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616A2E" w:rsidTr="0010095E">
        <w:trPr>
          <w:trHeight w:hRule="exact" w:val="1418"/>
        </w:trPr>
        <w:tc>
          <w:tcPr>
            <w:tcW w:w="6804" w:type="dxa"/>
            <w:shd w:val="clear" w:color="auto" w:fill="auto"/>
            <w:vAlign w:val="center"/>
          </w:tcPr>
          <w:p w:rsidR="00751A4A" w:rsidRPr="00616A2E" w:rsidRDefault="002833E3" w:rsidP="0010095E">
            <w:pPr>
              <w:pStyle w:val="EPName"/>
            </w:pPr>
            <w:r w:rsidRPr="00616A2E">
              <w:t>Ευρωπαϊκό Κοινοβούλιο</w:t>
            </w:r>
          </w:p>
          <w:p w:rsidR="00751A4A" w:rsidRPr="00616A2E" w:rsidRDefault="00817416" w:rsidP="00756632">
            <w:pPr>
              <w:pStyle w:val="EPTerm"/>
              <w:rPr>
                <w:rStyle w:val="HideTWBExt"/>
                <w:noProof w:val="0"/>
                <w:vanish w:val="0"/>
                <w:color w:val="auto"/>
              </w:rPr>
            </w:pPr>
            <w:r w:rsidRPr="002371F3">
              <w:t>2019</w:t>
            </w:r>
            <w:r w:rsidRPr="00616A2E">
              <w:t>-</w:t>
            </w:r>
            <w:r w:rsidRPr="002371F3">
              <w:t>2024</w:t>
            </w:r>
          </w:p>
        </w:tc>
        <w:tc>
          <w:tcPr>
            <w:tcW w:w="2268" w:type="dxa"/>
            <w:shd w:val="clear" w:color="auto" w:fill="auto"/>
          </w:tcPr>
          <w:p w:rsidR="00751A4A" w:rsidRPr="00616A2E" w:rsidRDefault="00187494" w:rsidP="0010095E">
            <w:pPr>
              <w:pStyle w:val="EPLogo"/>
            </w:pPr>
            <w:r w:rsidRPr="00616A2E">
              <w:rPr>
                <w:noProof/>
                <w:lang w:val="en-GB"/>
              </w:rPr>
              <w:drawing>
                <wp:inline distT="0" distB="0" distL="0" distR="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rsidR="00D058B8" w:rsidRPr="00616A2E" w:rsidRDefault="00D058B8" w:rsidP="004C5D52">
      <w:pPr>
        <w:pStyle w:val="LineTop"/>
      </w:pPr>
    </w:p>
    <w:p w:rsidR="00680577" w:rsidRPr="00616A2E" w:rsidRDefault="002833E3" w:rsidP="00680577">
      <w:pPr>
        <w:pStyle w:val="EPBodyTA1"/>
      </w:pPr>
      <w:r w:rsidRPr="00616A2E">
        <w:t>ΚΕΙΜΕΝΑ ΠΟΥ ΕΓΚΡΙΘΗΚΑΝ</w:t>
      </w:r>
    </w:p>
    <w:p w:rsidR="00D058B8" w:rsidRPr="00616A2E" w:rsidRDefault="00D058B8" w:rsidP="00D058B8">
      <w:pPr>
        <w:pStyle w:val="LineBottom"/>
      </w:pPr>
    </w:p>
    <w:p w:rsidR="002833E3" w:rsidRPr="00616A2E" w:rsidRDefault="002833E3" w:rsidP="002833E3">
      <w:pPr>
        <w:pStyle w:val="ATHeading1"/>
      </w:pPr>
      <w:bookmarkStart w:id="0" w:name="TANumber"/>
      <w:r w:rsidRPr="00616A2E">
        <w:t>P</w:t>
      </w:r>
      <w:r w:rsidRPr="002371F3">
        <w:t>9</w:t>
      </w:r>
      <w:r w:rsidRPr="00616A2E">
        <w:t>_TA(</w:t>
      </w:r>
      <w:r w:rsidRPr="002371F3">
        <w:t>2024</w:t>
      </w:r>
      <w:r w:rsidRPr="00616A2E">
        <w:t>)</w:t>
      </w:r>
      <w:r w:rsidRPr="002371F3">
        <w:t>0</w:t>
      </w:r>
      <w:r w:rsidR="00616A2E" w:rsidRPr="002371F3">
        <w:t>355</w:t>
      </w:r>
      <w:bookmarkEnd w:id="0"/>
    </w:p>
    <w:p w:rsidR="002833E3" w:rsidRPr="00616A2E" w:rsidRDefault="002833E3" w:rsidP="002833E3">
      <w:pPr>
        <w:pStyle w:val="ATHeading2"/>
      </w:pPr>
      <w:bookmarkStart w:id="1" w:name="title"/>
      <w:r w:rsidRPr="00616A2E">
        <w:t>Κα</w:t>
      </w:r>
      <w:r w:rsidR="004827EE" w:rsidRPr="00616A2E">
        <w:t>νονισμός για την αλληλεγγύη στον κυβερνοχώρο</w:t>
      </w:r>
      <w:bookmarkEnd w:id="1"/>
    </w:p>
    <w:p w:rsidR="002833E3" w:rsidRPr="00616A2E" w:rsidRDefault="002833E3" w:rsidP="002833E3">
      <w:pPr>
        <w:rPr>
          <w:i/>
          <w:vanish/>
        </w:rPr>
      </w:pPr>
      <w:r w:rsidRPr="00616A2E">
        <w:rPr>
          <w:i/>
        </w:rPr>
        <w:fldChar w:fldCharType="begin"/>
      </w:r>
      <w:r w:rsidRPr="00616A2E">
        <w:rPr>
          <w:i/>
        </w:rPr>
        <w:instrText xml:space="preserve"> TC"(</w:instrText>
      </w:r>
      <w:bookmarkStart w:id="2" w:name="DocNumber"/>
      <w:r w:rsidRPr="00616A2E">
        <w:rPr>
          <w:i/>
        </w:rPr>
        <w:instrText>A</w:instrText>
      </w:r>
      <w:r w:rsidRPr="002371F3">
        <w:rPr>
          <w:i/>
        </w:rPr>
        <w:instrText>9</w:instrText>
      </w:r>
      <w:r w:rsidRPr="00616A2E">
        <w:rPr>
          <w:i/>
        </w:rPr>
        <w:instrText>-</w:instrText>
      </w:r>
      <w:r w:rsidRPr="002371F3">
        <w:rPr>
          <w:i/>
        </w:rPr>
        <w:instrText>0426</w:instrText>
      </w:r>
      <w:r w:rsidRPr="00616A2E">
        <w:rPr>
          <w:i/>
        </w:rPr>
        <w:instrText>/</w:instrText>
      </w:r>
      <w:r w:rsidRPr="002371F3">
        <w:rPr>
          <w:i/>
        </w:rPr>
        <w:instrText>2023</w:instrText>
      </w:r>
      <w:bookmarkEnd w:id="2"/>
      <w:r w:rsidRPr="00616A2E">
        <w:rPr>
          <w:i/>
        </w:rPr>
        <w:instrText xml:space="preserve"> - Εισηγήτρια: Lina Gálvez Muñoz)"\l</w:instrText>
      </w:r>
      <w:r w:rsidRPr="002371F3">
        <w:rPr>
          <w:i/>
        </w:rPr>
        <w:instrText>3</w:instrText>
      </w:r>
      <w:r w:rsidRPr="00616A2E">
        <w:rPr>
          <w:i/>
        </w:rPr>
        <w:instrText xml:space="preserve"> \n&gt; \* MERGEFORMAT </w:instrText>
      </w:r>
      <w:r w:rsidRPr="00616A2E">
        <w:rPr>
          <w:i/>
        </w:rPr>
        <w:fldChar w:fldCharType="end"/>
      </w:r>
    </w:p>
    <w:p w:rsidR="002833E3" w:rsidRPr="00616A2E" w:rsidRDefault="002833E3" w:rsidP="002833E3">
      <w:pPr>
        <w:rPr>
          <w:vanish/>
        </w:rPr>
      </w:pPr>
      <w:bookmarkStart w:id="3" w:name="Commission"/>
      <w:r w:rsidRPr="00616A2E">
        <w:rPr>
          <w:vanish/>
        </w:rPr>
        <w:t>Επιτροπή Βιομηχανίας, Έρευνας και Ενέργειας</w:t>
      </w:r>
      <w:bookmarkEnd w:id="3"/>
    </w:p>
    <w:p w:rsidR="002833E3" w:rsidRPr="00616A2E" w:rsidRDefault="002833E3" w:rsidP="002833E3">
      <w:pPr>
        <w:rPr>
          <w:vanish/>
        </w:rPr>
      </w:pPr>
      <w:bookmarkStart w:id="4" w:name="PE"/>
      <w:r w:rsidRPr="00616A2E">
        <w:rPr>
          <w:vanish/>
        </w:rPr>
        <w:t>PE</w:t>
      </w:r>
      <w:r w:rsidRPr="002371F3">
        <w:rPr>
          <w:vanish/>
        </w:rPr>
        <w:t>752</w:t>
      </w:r>
      <w:r w:rsidRPr="00616A2E">
        <w:rPr>
          <w:vanish/>
        </w:rPr>
        <w:t>.</w:t>
      </w:r>
      <w:r w:rsidRPr="002371F3">
        <w:rPr>
          <w:vanish/>
        </w:rPr>
        <w:t>795</w:t>
      </w:r>
      <w:bookmarkEnd w:id="4"/>
    </w:p>
    <w:p w:rsidR="002833E3" w:rsidRPr="00616A2E" w:rsidRDefault="002833E3" w:rsidP="002833E3">
      <w:pPr>
        <w:pStyle w:val="ATHeading3"/>
      </w:pPr>
      <w:bookmarkStart w:id="5" w:name="Sujet"/>
      <w:r w:rsidRPr="00616A2E">
        <w:t xml:space="preserve">Νομοθετικό ψήφισμα του Ευρωπαϊκού Κοινοβουλίου </w:t>
      </w:r>
      <w:r w:rsidR="00882ED4" w:rsidRPr="00616A2E">
        <w:t xml:space="preserve">της </w:t>
      </w:r>
      <w:r w:rsidR="004827EE" w:rsidRPr="002371F3">
        <w:t>24</w:t>
      </w:r>
      <w:r w:rsidR="00882ED4" w:rsidRPr="00616A2E">
        <w:t xml:space="preserve">ης Απριλίου </w:t>
      </w:r>
      <w:r w:rsidR="00882ED4" w:rsidRPr="002371F3">
        <w:t>2024</w:t>
      </w:r>
      <w:r w:rsidR="00882ED4" w:rsidRPr="00616A2E">
        <w:t xml:space="preserve"> </w:t>
      </w:r>
      <w:r w:rsidRPr="00616A2E">
        <w:t>σχετικά με την πρόταση κανονισμού του Ευρωπαϊκού Κοινοβουλίου και του Συμβουλίου που αφορά τον καθορισμό μέτρων για την ενίσχυση της αλληλεγγύης και των ικανοτήτων της Ένωσης για την ανίχνευση, την προετοιμασία και την αντιμετώπιση απειλών και περιστατικών κυβερνοασφάλειας</w:t>
      </w:r>
      <w:bookmarkEnd w:id="5"/>
      <w:r w:rsidRPr="00616A2E">
        <w:t xml:space="preserve"> </w:t>
      </w:r>
      <w:bookmarkStart w:id="6" w:name="References"/>
      <w:r w:rsidRPr="00616A2E">
        <w:t>(COM(</w:t>
      </w:r>
      <w:r w:rsidRPr="002371F3">
        <w:t>2023</w:t>
      </w:r>
      <w:r w:rsidRPr="00616A2E">
        <w:t>)</w:t>
      </w:r>
      <w:r w:rsidRPr="002371F3">
        <w:t>0209</w:t>
      </w:r>
      <w:r w:rsidRPr="00616A2E">
        <w:t xml:space="preserve"> – C</w:t>
      </w:r>
      <w:r w:rsidRPr="002371F3">
        <w:t>9</w:t>
      </w:r>
      <w:r w:rsidRPr="00616A2E">
        <w:t>-</w:t>
      </w:r>
      <w:r w:rsidRPr="002371F3">
        <w:t>0136</w:t>
      </w:r>
      <w:r w:rsidRPr="00616A2E">
        <w:t>/</w:t>
      </w:r>
      <w:r w:rsidRPr="002371F3">
        <w:t>2023</w:t>
      </w:r>
      <w:r w:rsidRPr="00616A2E">
        <w:t xml:space="preserve"> – </w:t>
      </w:r>
      <w:r w:rsidRPr="002371F3">
        <w:t>2023</w:t>
      </w:r>
      <w:r w:rsidRPr="00616A2E">
        <w:t>/</w:t>
      </w:r>
      <w:r w:rsidRPr="002371F3">
        <w:t>0109</w:t>
      </w:r>
      <w:r w:rsidRPr="00616A2E">
        <w:t>(COD))</w:t>
      </w:r>
      <w:bookmarkEnd w:id="6"/>
    </w:p>
    <w:p w:rsidR="008027D2" w:rsidRPr="00616A2E" w:rsidRDefault="008027D2" w:rsidP="008027D2">
      <w:pPr>
        <w:pStyle w:val="NormalBold"/>
      </w:pPr>
      <w:bookmarkStart w:id="7" w:name="TextBodyBegin"/>
      <w:bookmarkEnd w:id="7"/>
      <w:r w:rsidRPr="00616A2E">
        <w:t>(Συνήθης νομοθετική διαδικασία: πρώτη ανάγνωση)</w:t>
      </w:r>
    </w:p>
    <w:p w:rsidR="008027D2" w:rsidRPr="00616A2E" w:rsidRDefault="008027D2" w:rsidP="008027D2">
      <w:pPr>
        <w:pStyle w:val="EPComma"/>
      </w:pPr>
      <w:r w:rsidRPr="00616A2E">
        <w:rPr>
          <w:i/>
        </w:rPr>
        <w:t>Το Ευρωπαϊκό Κοινοβούλιο,</w:t>
      </w:r>
    </w:p>
    <w:p w:rsidR="008027D2" w:rsidRPr="00616A2E" w:rsidRDefault="008027D2" w:rsidP="008027D2">
      <w:pPr>
        <w:pStyle w:val="NormalHanging12a"/>
      </w:pPr>
      <w:r w:rsidRPr="00616A2E">
        <w:t>–</w:t>
      </w:r>
      <w:r w:rsidRPr="00616A2E">
        <w:tab/>
        <w:t>έχοντας υπόψη την πρόταση της Επιτροπής προς το Κοινοβούλιο και το Συμβούλιο (COM(</w:t>
      </w:r>
      <w:r w:rsidRPr="002371F3">
        <w:t>2023</w:t>
      </w:r>
      <w:r w:rsidRPr="00616A2E">
        <w:t>)</w:t>
      </w:r>
      <w:r w:rsidRPr="002371F3">
        <w:t>0209</w:t>
      </w:r>
      <w:r w:rsidRPr="00616A2E">
        <w:t>),</w:t>
      </w:r>
    </w:p>
    <w:p w:rsidR="008027D2" w:rsidRPr="00616A2E" w:rsidRDefault="008027D2" w:rsidP="008027D2">
      <w:pPr>
        <w:pStyle w:val="NormalHanging12a"/>
      </w:pPr>
      <w:r w:rsidRPr="00616A2E">
        <w:t>–</w:t>
      </w:r>
      <w:r w:rsidRPr="00616A2E">
        <w:tab/>
        <w:t xml:space="preserve">έχοντας υπόψη το άρθρο </w:t>
      </w:r>
      <w:r w:rsidRPr="002371F3">
        <w:t>294</w:t>
      </w:r>
      <w:r w:rsidRPr="00616A2E">
        <w:t xml:space="preserve"> παράγραφος </w:t>
      </w:r>
      <w:r w:rsidRPr="002371F3">
        <w:t>2</w:t>
      </w:r>
      <w:r w:rsidRPr="00616A2E">
        <w:t xml:space="preserve">, το άρθρο </w:t>
      </w:r>
      <w:r w:rsidRPr="002371F3">
        <w:t>173</w:t>
      </w:r>
      <w:r w:rsidRPr="00616A2E">
        <w:t xml:space="preserve"> παράγραφος </w:t>
      </w:r>
      <w:r w:rsidRPr="002371F3">
        <w:t>3</w:t>
      </w:r>
      <w:r w:rsidRPr="00616A2E">
        <w:t xml:space="preserve"> και το άρθρο </w:t>
      </w:r>
      <w:r w:rsidRPr="002371F3">
        <w:t>322</w:t>
      </w:r>
      <w:r w:rsidRPr="00616A2E">
        <w:t xml:space="preserve"> παράγραφος </w:t>
      </w:r>
      <w:r w:rsidRPr="002371F3">
        <w:t>1</w:t>
      </w:r>
      <w:r w:rsidRPr="00616A2E">
        <w:t xml:space="preserve"> στοιχείο α) της Συνθήκης για τη λειτουργία της Ευρωπαϊκής Ένωσης, σύμφωνα με τα οποία του υποβλήθηκε η πρόταση από την Επιτροπή (C</w:t>
      </w:r>
      <w:r w:rsidRPr="002371F3">
        <w:t>9</w:t>
      </w:r>
      <w:r w:rsidRPr="00616A2E">
        <w:noBreakHyphen/>
      </w:r>
      <w:r w:rsidRPr="002371F3">
        <w:t>0136</w:t>
      </w:r>
      <w:r w:rsidRPr="00616A2E">
        <w:t>/</w:t>
      </w:r>
      <w:r w:rsidRPr="002371F3">
        <w:t>2023</w:t>
      </w:r>
      <w:r w:rsidRPr="00616A2E">
        <w:t>),</w:t>
      </w:r>
    </w:p>
    <w:p w:rsidR="008027D2" w:rsidRPr="00616A2E" w:rsidRDefault="008027D2" w:rsidP="008027D2">
      <w:pPr>
        <w:pStyle w:val="NormalHanging12a"/>
      </w:pPr>
      <w:r w:rsidRPr="00616A2E">
        <w:t>–</w:t>
      </w:r>
      <w:r w:rsidRPr="00616A2E">
        <w:tab/>
        <w:t xml:space="preserve">έχοντας υπόψη το άρθρο </w:t>
      </w:r>
      <w:r w:rsidRPr="002371F3">
        <w:t>294</w:t>
      </w:r>
      <w:r w:rsidRPr="00616A2E">
        <w:t xml:space="preserve"> παράγραφος </w:t>
      </w:r>
      <w:r w:rsidRPr="002371F3">
        <w:t>3</w:t>
      </w:r>
      <w:r w:rsidRPr="00616A2E">
        <w:t xml:space="preserve"> της Συνθήκης για τη λειτουργία της Ευρωπαϊκής Ένωσης,</w:t>
      </w:r>
    </w:p>
    <w:p w:rsidR="00DE597A" w:rsidRPr="00616A2E" w:rsidRDefault="00DE597A" w:rsidP="008027D2">
      <w:pPr>
        <w:pStyle w:val="NormalHanging12a"/>
      </w:pPr>
      <w:r w:rsidRPr="00616A2E">
        <w:t>–</w:t>
      </w:r>
      <w:r w:rsidRPr="00616A2E">
        <w:tab/>
        <w:t>έ</w:t>
      </w:r>
      <w:r w:rsidRPr="00616A2E">
        <w:rPr>
          <w:lang w:eastAsia="en-US"/>
        </w:rPr>
        <w:t xml:space="preserve">χοντας υπόψη τη γνώμη του Ελεγκτικού Συνεδρίου της </w:t>
      </w:r>
      <w:r w:rsidRPr="002371F3">
        <w:rPr>
          <w:lang w:eastAsia="en-US"/>
        </w:rPr>
        <w:t>18</w:t>
      </w:r>
      <w:r w:rsidRPr="00616A2E">
        <w:rPr>
          <w:lang w:eastAsia="en-US"/>
        </w:rPr>
        <w:t xml:space="preserve">ης Απριλίου </w:t>
      </w:r>
      <w:r w:rsidRPr="002371F3">
        <w:rPr>
          <w:lang w:eastAsia="en-US"/>
        </w:rPr>
        <w:t>2023</w:t>
      </w:r>
      <w:r w:rsidRPr="00616A2E">
        <w:rPr>
          <w:vertAlign w:val="superscript"/>
          <w:lang w:eastAsia="en-US"/>
        </w:rPr>
        <w:footnoteReference w:id="1"/>
      </w:r>
      <w:r w:rsidRPr="00616A2E">
        <w:rPr>
          <w:lang w:eastAsia="en-US"/>
        </w:rPr>
        <w:t>,</w:t>
      </w:r>
    </w:p>
    <w:p w:rsidR="008027D2" w:rsidRPr="00616A2E" w:rsidRDefault="008027D2" w:rsidP="008027D2">
      <w:pPr>
        <w:pStyle w:val="NormalHanging12a"/>
      </w:pPr>
      <w:r w:rsidRPr="00616A2E">
        <w:t>–</w:t>
      </w:r>
      <w:r w:rsidRPr="00616A2E">
        <w:tab/>
        <w:t xml:space="preserve">έχοντας υπόψη τη γνώμη της Ευρωπαϊκής Οικονομικής και Κοινωνικής Επιτροπής της </w:t>
      </w:r>
      <w:r w:rsidRPr="002371F3">
        <w:t>13</w:t>
      </w:r>
      <w:r w:rsidRPr="00616A2E">
        <w:t xml:space="preserve">ης Ιουλίου </w:t>
      </w:r>
      <w:r w:rsidRPr="002371F3">
        <w:t>2023</w:t>
      </w:r>
      <w:r w:rsidRPr="00616A2E">
        <w:rPr>
          <w:rStyle w:val="FootnoteReference"/>
        </w:rPr>
        <w:footnoteReference w:id="2"/>
      </w:r>
      <w:r w:rsidRPr="00616A2E">
        <w:t>,</w:t>
      </w:r>
    </w:p>
    <w:p w:rsidR="004827EE" w:rsidRPr="00616A2E" w:rsidRDefault="004827EE" w:rsidP="004827EE">
      <w:pPr>
        <w:pStyle w:val="NormalHanging12a"/>
      </w:pPr>
      <w:r w:rsidRPr="00616A2E">
        <w:t>–</w:t>
      </w:r>
      <w:r w:rsidRPr="00616A2E">
        <w:tab/>
        <w:t xml:space="preserve">έχοντας υπόψη τη γνώμη της Επιτροπής των Περιφερειών της </w:t>
      </w:r>
      <w:r w:rsidRPr="002371F3">
        <w:t>30</w:t>
      </w:r>
      <w:r w:rsidRPr="00616A2E">
        <w:t xml:space="preserve">ής Νοεμβρίου </w:t>
      </w:r>
      <w:r w:rsidRPr="002371F3">
        <w:t>2023</w:t>
      </w:r>
      <w:r w:rsidRPr="00616A2E">
        <w:rPr>
          <w:rStyle w:val="FootnoteReference"/>
        </w:rPr>
        <w:footnoteReference w:id="3"/>
      </w:r>
      <w:r w:rsidRPr="00616A2E">
        <w:t>,</w:t>
      </w:r>
    </w:p>
    <w:p w:rsidR="004827EE" w:rsidRPr="00616A2E" w:rsidRDefault="004827EE" w:rsidP="008027D2">
      <w:pPr>
        <w:pStyle w:val="NormalHanging12a"/>
      </w:pPr>
      <w:r w:rsidRPr="00616A2E">
        <w:t>–</w:t>
      </w:r>
      <w:r w:rsidRPr="00616A2E">
        <w:tab/>
        <w:t xml:space="preserve">έχοντας υπόψη την προσωρινή συμφωνία που εγκρίθηκε από την αρμόδια επιτροπή σύμφωνα με το άρθρο </w:t>
      </w:r>
      <w:r w:rsidRPr="002371F3">
        <w:t>74</w:t>
      </w:r>
      <w:r w:rsidRPr="00616A2E">
        <w:t xml:space="preserve"> παράγραφος </w:t>
      </w:r>
      <w:r w:rsidRPr="002371F3">
        <w:t>4</w:t>
      </w:r>
      <w:r w:rsidRPr="00616A2E">
        <w:t xml:space="preserve"> του Κανονισμού του και τη δέσμευση του εκπροσώπου του Συμβουλίου, με επιστολή της </w:t>
      </w:r>
      <w:r w:rsidRPr="002371F3">
        <w:t>21</w:t>
      </w:r>
      <w:r w:rsidRPr="00616A2E">
        <w:t xml:space="preserve">ης Μαρτίου </w:t>
      </w:r>
      <w:r w:rsidRPr="002371F3">
        <w:t>2024</w:t>
      </w:r>
      <w:r w:rsidRPr="00616A2E">
        <w:t xml:space="preserve">, να εγκρίνει τη θέση του Κοινοβουλίου, σύμφωνα με το άρθρο </w:t>
      </w:r>
      <w:r w:rsidRPr="002371F3">
        <w:t>294</w:t>
      </w:r>
      <w:r w:rsidRPr="00616A2E">
        <w:t xml:space="preserve"> παράγραφος </w:t>
      </w:r>
      <w:r w:rsidRPr="002371F3">
        <w:t>4</w:t>
      </w:r>
      <w:r w:rsidRPr="00616A2E">
        <w:t xml:space="preserve"> της Συνθήκης για τη </w:t>
      </w:r>
      <w:r w:rsidRPr="00616A2E">
        <w:lastRenderedPageBreak/>
        <w:t>λειτουργία της Ευρωπαϊκής Ένωσης,</w:t>
      </w:r>
    </w:p>
    <w:p w:rsidR="008027D2" w:rsidRPr="00616A2E" w:rsidRDefault="008027D2" w:rsidP="008027D2">
      <w:pPr>
        <w:pStyle w:val="NormalHanging12a"/>
      </w:pPr>
      <w:r w:rsidRPr="00616A2E">
        <w:t>–</w:t>
      </w:r>
      <w:r w:rsidRPr="00616A2E">
        <w:tab/>
        <w:t xml:space="preserve">έχοντας υπόψη το άρθρο </w:t>
      </w:r>
      <w:r w:rsidRPr="002371F3">
        <w:t>59</w:t>
      </w:r>
      <w:r w:rsidRPr="00616A2E">
        <w:t xml:space="preserve"> του Κανονισμού του,</w:t>
      </w:r>
    </w:p>
    <w:p w:rsidR="008027D2" w:rsidRPr="00616A2E" w:rsidRDefault="008027D2" w:rsidP="008027D2">
      <w:pPr>
        <w:pStyle w:val="NormalHanging12a"/>
      </w:pPr>
      <w:r w:rsidRPr="00616A2E">
        <w:t>–</w:t>
      </w:r>
      <w:r w:rsidRPr="00616A2E">
        <w:tab/>
        <w:t xml:space="preserve">έχοντας υπόψη τις γνωμοδοτήσεις της Επιτροπής Εξωτερικών Υποθέσεων και της Επιτροπής Μεταφορών και Τουρισμού, </w:t>
      </w:r>
    </w:p>
    <w:p w:rsidR="008027D2" w:rsidRPr="00616A2E" w:rsidRDefault="008027D2" w:rsidP="008027D2">
      <w:pPr>
        <w:pStyle w:val="NormalHanging12a"/>
      </w:pPr>
      <w:r w:rsidRPr="00616A2E">
        <w:t>–</w:t>
      </w:r>
      <w:r w:rsidRPr="00616A2E">
        <w:tab/>
        <w:t>έχοντας υπόψη την έκθεση της Επιτροπής Βιομηχανίας, Έρευνας και Ενέργειας (A</w:t>
      </w:r>
      <w:r w:rsidRPr="002371F3">
        <w:t>9</w:t>
      </w:r>
      <w:r w:rsidRPr="00616A2E">
        <w:t>-</w:t>
      </w:r>
      <w:r w:rsidRPr="002371F3">
        <w:t>0426</w:t>
      </w:r>
      <w:r w:rsidRPr="00616A2E">
        <w:t>/</w:t>
      </w:r>
      <w:r w:rsidRPr="002371F3">
        <w:t>2023</w:t>
      </w:r>
      <w:r w:rsidRPr="00616A2E">
        <w:t>),</w:t>
      </w:r>
    </w:p>
    <w:p w:rsidR="008027D2" w:rsidRPr="00616A2E" w:rsidRDefault="008027D2" w:rsidP="008027D2">
      <w:pPr>
        <w:pStyle w:val="NormalHanging12a"/>
      </w:pPr>
      <w:r w:rsidRPr="002371F3">
        <w:t>1</w:t>
      </w:r>
      <w:r w:rsidRPr="00616A2E">
        <w:t>.</w:t>
      </w:r>
      <w:r w:rsidRPr="00616A2E">
        <w:tab/>
        <w:t>εγκρίνει τη θέση του σε πρώτη ανάγνωση όπως παρατίθεται κατωτέρω·</w:t>
      </w:r>
    </w:p>
    <w:p w:rsidR="008027D2" w:rsidRPr="00616A2E" w:rsidRDefault="004827EE" w:rsidP="008027D2">
      <w:pPr>
        <w:pStyle w:val="NormalHanging12a"/>
      </w:pPr>
      <w:r w:rsidRPr="002371F3">
        <w:t>2</w:t>
      </w:r>
      <w:r w:rsidRPr="00616A2E">
        <w:t xml:space="preserve">. </w:t>
      </w:r>
      <w:r w:rsidRPr="00616A2E">
        <w:tab/>
        <w:t xml:space="preserve">λαμβάνει υπό σημείωση τη δήλωση της Επιτροπής που επισυνάπτεται στο παρόν ψήφισμα, η οποία </w:t>
      </w:r>
      <w:r w:rsidRPr="00616A2E">
        <w:rPr>
          <w:szCs w:val="24"/>
        </w:rPr>
        <w:t xml:space="preserve">θα δημοσιευθεί στη σειρά C της </w:t>
      </w:r>
      <w:r w:rsidRPr="00616A2E">
        <w:rPr>
          <w:i/>
          <w:szCs w:val="24"/>
        </w:rPr>
        <w:t>Επίσημης Εφημερίδας της Ευρωπαϊκής Ένωσης</w:t>
      </w:r>
      <w:r w:rsidRPr="00616A2E">
        <w:t>·</w:t>
      </w:r>
    </w:p>
    <w:p w:rsidR="008027D2" w:rsidRPr="00616A2E" w:rsidRDefault="008027D2" w:rsidP="008027D2">
      <w:pPr>
        <w:pStyle w:val="NormalHanging12a"/>
      </w:pPr>
      <w:r w:rsidRPr="002371F3">
        <w:t>3</w:t>
      </w:r>
      <w:r w:rsidRPr="00616A2E">
        <w:t>.</w:t>
      </w:r>
      <w:r w:rsidRPr="00616A2E">
        <w:tab/>
        <w:t>ζητεί από την Επιτροπή να υποβάλει εκ νέου την πρόταση στο Κοινοβούλιο, αν την αντικαταστήσει με νέο κείμενο, αν της επιφέρει σημαντικές τροποποιήσεις ή αν προτίθεται να της επιφέρει σημαντικές τροποποιήσεις·</w:t>
      </w:r>
    </w:p>
    <w:p w:rsidR="008027D2" w:rsidRPr="00616A2E" w:rsidRDefault="008027D2" w:rsidP="00C0577E">
      <w:pPr>
        <w:pStyle w:val="NormalHanging12a"/>
      </w:pPr>
      <w:r w:rsidRPr="002371F3">
        <w:t>4</w:t>
      </w:r>
      <w:r w:rsidRPr="00616A2E">
        <w:t>.</w:t>
      </w:r>
      <w:r w:rsidRPr="00616A2E">
        <w:tab/>
        <w:t>αναθέτει στην Πρόεδρό του να διαβιβάσει τη θέση του Κοινοβουλίου στο Συμβούλιο, στην Επιτροπή και στα εθνικά κοινοβούλια.</w:t>
      </w:r>
    </w:p>
    <w:p w:rsidR="004827EE" w:rsidRPr="00616A2E" w:rsidRDefault="004827EE" w:rsidP="008027D2">
      <w:pPr>
        <w:sectPr w:rsidR="004827EE" w:rsidRPr="00616A2E" w:rsidSect="00BD610E">
          <w:footnotePr>
            <w:numRestart w:val="eachSect"/>
          </w:footnotePr>
          <w:endnotePr>
            <w:numFmt w:val="decimal"/>
          </w:endnotePr>
          <w:pgSz w:w="11906" w:h="16838" w:code="9"/>
          <w:pgMar w:top="1134" w:right="1418" w:bottom="1418" w:left="1418" w:header="1134" w:footer="567" w:gutter="0"/>
          <w:cols w:space="720"/>
          <w:noEndnote/>
          <w:docGrid w:linePitch="326"/>
        </w:sectPr>
      </w:pPr>
    </w:p>
    <w:p w:rsidR="004827EE" w:rsidRPr="00616A2E" w:rsidRDefault="004827EE" w:rsidP="004827EE">
      <w:pPr>
        <w:keepNext/>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after="240"/>
        <w:rPr>
          <w:b/>
        </w:rPr>
      </w:pPr>
      <w:r w:rsidRPr="00616A2E">
        <w:rPr>
          <w:b/>
        </w:rPr>
        <w:lastRenderedPageBreak/>
        <w:t>P</w:t>
      </w:r>
      <w:r w:rsidRPr="002371F3">
        <w:rPr>
          <w:b/>
        </w:rPr>
        <w:t>9</w:t>
      </w:r>
      <w:r w:rsidRPr="00616A2E">
        <w:rPr>
          <w:b/>
        </w:rPr>
        <w:t>_TC</w:t>
      </w:r>
      <w:r w:rsidRPr="002371F3">
        <w:rPr>
          <w:b/>
        </w:rPr>
        <w:t>1</w:t>
      </w:r>
      <w:r w:rsidRPr="00616A2E">
        <w:rPr>
          <w:b/>
        </w:rPr>
        <w:t>-COD(</w:t>
      </w:r>
      <w:r w:rsidRPr="002371F3">
        <w:rPr>
          <w:b/>
        </w:rPr>
        <w:t>2023</w:t>
      </w:r>
      <w:r w:rsidRPr="00616A2E">
        <w:rPr>
          <w:b/>
        </w:rPr>
        <w:t>)</w:t>
      </w:r>
      <w:r w:rsidRPr="002371F3">
        <w:rPr>
          <w:b/>
        </w:rPr>
        <w:t>0109</w:t>
      </w:r>
    </w:p>
    <w:p w:rsidR="0082339D" w:rsidRPr="0067750E" w:rsidRDefault="004827EE" w:rsidP="0082339D">
      <w:pPr>
        <w:keepNext/>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after="240"/>
        <w:rPr>
          <w:b/>
          <w:szCs w:val="24"/>
          <w:lang w:eastAsia="en-US"/>
        </w:rPr>
      </w:pPr>
      <w:r w:rsidRPr="00616A2E">
        <w:rPr>
          <w:b/>
        </w:rPr>
        <w:t xml:space="preserve">Θέση του Ευρωπαϊκού Κοινοβουλίου που καθορίστηκε σε πρώτη ανάγνωση στις </w:t>
      </w:r>
      <w:r w:rsidRPr="002371F3">
        <w:rPr>
          <w:b/>
        </w:rPr>
        <w:t>24</w:t>
      </w:r>
      <w:r w:rsidRPr="00616A2E">
        <w:rPr>
          <w:b/>
        </w:rPr>
        <w:t xml:space="preserve"> Απριλίου </w:t>
      </w:r>
      <w:r w:rsidRPr="002371F3">
        <w:rPr>
          <w:b/>
        </w:rPr>
        <w:t>2024</w:t>
      </w:r>
      <w:r w:rsidRPr="00616A2E">
        <w:rPr>
          <w:b/>
        </w:rPr>
        <w:t xml:space="preserve"> εν όψει της έγκρισης κανονισμού (ΕΕ) </w:t>
      </w:r>
      <w:r w:rsidRPr="002371F3">
        <w:rPr>
          <w:b/>
        </w:rPr>
        <w:t>202</w:t>
      </w:r>
      <w:r w:rsidR="0067750E">
        <w:rPr>
          <w:b/>
        </w:rPr>
        <w:t>5</w:t>
      </w:r>
      <w:r w:rsidRPr="00616A2E">
        <w:rPr>
          <w:b/>
        </w:rPr>
        <w:t>/... του Ευρωπαϊκού Κοινοβουλίου και του Συμβουλίου</w:t>
      </w:r>
      <w:r w:rsidR="0082339D">
        <w:rPr>
          <w:b/>
        </w:rPr>
        <w:t xml:space="preserve"> </w:t>
      </w:r>
      <w:r w:rsidR="0082339D" w:rsidRPr="0082339D">
        <w:rPr>
          <w:b/>
          <w:szCs w:val="24"/>
          <w:lang w:eastAsia="en-US"/>
        </w:rPr>
        <w:t xml:space="preserve">σχετικά με τον καθορισμό μέτρων για την ενίσχυση της αλληλεγγύης και των ικανοτήτων της Ένωσης για την ανίχνευση, την προετοιμασία και την αντιμετώπιση κυβερνοαπειλών και περιστατικών κυβερνοασφάλειας </w:t>
      </w:r>
      <w:r w:rsidR="0082339D" w:rsidRPr="0067750E">
        <w:rPr>
          <w:b/>
          <w:szCs w:val="24"/>
          <w:lang w:eastAsia="en-US"/>
        </w:rPr>
        <w:t xml:space="preserve">και για την τροποποίηση του κανονισμού (ΕΕ) 2021/694 </w:t>
      </w:r>
      <w:r w:rsidR="0082339D" w:rsidRPr="0067750E">
        <w:rPr>
          <w:b/>
          <w:iCs/>
          <w:szCs w:val="24"/>
          <w:lang w:eastAsia="en-US"/>
        </w:rPr>
        <w:t>(κανονισμός για την αλληλεγγύη στον κυβερνοχώρο)</w:t>
      </w:r>
    </w:p>
    <w:p w:rsidR="0082339D" w:rsidRPr="0067750E" w:rsidRDefault="0067750E" w:rsidP="0067750E">
      <w:pPr>
        <w:spacing w:before="120" w:after="120"/>
        <w:rPr>
          <w:szCs w:val="24"/>
          <w:lang w:eastAsia="en-US"/>
        </w:rPr>
      </w:pPr>
      <w:r w:rsidRPr="007B7B26">
        <w:rPr>
          <w:i/>
        </w:rPr>
        <w:t>(Καθώς έχει επιτευχθεί συμφωνία μεταξύ του Κοινοβουλίου και του Συμβουλίου, η θέση του Κοινοβουλίου αντιστοιχεί στην τελική νομοθετική πράξη, κανονισμός (Ε</w:t>
      </w:r>
      <w:r>
        <w:rPr>
          <w:i/>
        </w:rPr>
        <w:t>Ε</w:t>
      </w:r>
      <w:r w:rsidRPr="007B7B26">
        <w:rPr>
          <w:i/>
        </w:rPr>
        <w:t xml:space="preserve">) </w:t>
      </w:r>
      <w:r>
        <w:rPr>
          <w:i/>
        </w:rPr>
        <w:t>202</w:t>
      </w:r>
      <w:r>
        <w:rPr>
          <w:i/>
        </w:rPr>
        <w:t>5</w:t>
      </w:r>
      <w:r>
        <w:rPr>
          <w:i/>
        </w:rPr>
        <w:t>/</w:t>
      </w:r>
      <w:r>
        <w:rPr>
          <w:i/>
        </w:rPr>
        <w:t>38</w:t>
      </w:r>
      <w:r>
        <w:rPr>
          <w:i/>
        </w:rPr>
        <w:t>.</w:t>
      </w:r>
      <w:r w:rsidRPr="007B7B26">
        <w:rPr>
          <w:i/>
        </w:rPr>
        <w:t>)</w:t>
      </w:r>
    </w:p>
    <w:p w:rsidR="0082339D" w:rsidRPr="0067750E" w:rsidRDefault="0082339D" w:rsidP="0082339D">
      <w:pPr>
        <w:spacing w:before="120" w:after="120" w:line="360" w:lineRule="auto"/>
        <w:rPr>
          <w:szCs w:val="24"/>
          <w:lang w:eastAsia="en-US"/>
        </w:rPr>
      </w:pPr>
    </w:p>
    <w:p w:rsidR="004827EE" w:rsidRPr="0067750E" w:rsidRDefault="004827EE" w:rsidP="003B0C18">
      <w:pPr>
        <w:spacing w:before="120" w:after="120" w:line="360" w:lineRule="auto"/>
        <w:jc w:val="center"/>
        <w:rPr>
          <w:lang w:eastAsia="en-US"/>
        </w:rPr>
      </w:pPr>
    </w:p>
    <w:p w:rsidR="004827EE" w:rsidRPr="0067750E" w:rsidRDefault="004827EE" w:rsidP="003B0C18">
      <w:pPr>
        <w:spacing w:before="120" w:after="120" w:line="360" w:lineRule="auto"/>
        <w:jc w:val="center"/>
        <w:rPr>
          <w:lang w:eastAsia="en-US"/>
        </w:rPr>
        <w:sectPr w:rsidR="004827EE" w:rsidRPr="0067750E" w:rsidSect="00BD610E">
          <w:headerReference w:type="even" r:id="rId9"/>
          <w:headerReference w:type="default" r:id="rId10"/>
          <w:footerReference w:type="even" r:id="rId11"/>
          <w:headerReference w:type="first" r:id="rId12"/>
          <w:footerReference w:type="first" r:id="rId13"/>
          <w:footnotePr>
            <w:numRestart w:val="eachSect"/>
          </w:footnotePr>
          <w:endnotePr>
            <w:numFmt w:val="decimal"/>
          </w:endnotePr>
          <w:pgSz w:w="11906" w:h="16838" w:code="9"/>
          <w:pgMar w:top="1134" w:right="1418" w:bottom="1418" w:left="1418" w:header="1134" w:footer="567" w:gutter="0"/>
          <w:cols w:space="720"/>
          <w:noEndnote/>
          <w:docGrid w:linePitch="326"/>
        </w:sectPr>
      </w:pPr>
    </w:p>
    <w:p w:rsidR="004827EE" w:rsidRPr="00616A2E" w:rsidRDefault="004827EE" w:rsidP="004827EE">
      <w:pPr>
        <w:spacing w:after="240" w:line="360" w:lineRule="auto"/>
        <w:jc w:val="right"/>
        <w:rPr>
          <w:szCs w:val="24"/>
          <w:lang w:eastAsia="en-US"/>
        </w:rPr>
      </w:pPr>
      <w:r w:rsidRPr="00616A2E">
        <w:rPr>
          <w:szCs w:val="24"/>
          <w:lang w:eastAsia="en-US"/>
        </w:rPr>
        <w:t>ΠΑΡΑΡΤΗΜΑ ΣΤΟ ΝΟΜΟΘΕΤΙΚΟ ΨΗΦΙΣΜΑ</w:t>
      </w:r>
    </w:p>
    <w:p w:rsidR="004827EE" w:rsidRPr="00616A2E" w:rsidRDefault="004827EE" w:rsidP="004827EE">
      <w:pPr>
        <w:kinsoku w:val="0"/>
        <w:overflowPunct w:val="0"/>
        <w:spacing w:after="240" w:line="360" w:lineRule="auto"/>
        <w:ind w:left="116" w:right="111"/>
        <w:jc w:val="center"/>
        <w:rPr>
          <w:b/>
          <w:iCs/>
          <w:szCs w:val="24"/>
        </w:rPr>
      </w:pPr>
      <w:r w:rsidRPr="00616A2E">
        <w:rPr>
          <w:b/>
          <w:iCs/>
          <w:szCs w:val="24"/>
        </w:rPr>
        <w:t>Δήλωση της Επιτροπής σχετικά με τον προϋπολογισμό όσον αφορά τον κανονισμό</w:t>
      </w:r>
      <w:r w:rsidR="0067750E">
        <w:rPr>
          <w:b/>
          <w:iCs/>
          <w:szCs w:val="24"/>
        </w:rPr>
        <w:t xml:space="preserve"> (ΕΕ) 2025/38</w:t>
      </w:r>
      <w:r w:rsidRPr="00616A2E">
        <w:rPr>
          <w:b/>
          <w:iCs/>
          <w:szCs w:val="24"/>
        </w:rPr>
        <w:t xml:space="preserve"> του Ευρωπαϊκού Κοινοβουλίου και του Συμβουλίου</w:t>
      </w:r>
      <w:r w:rsidR="0067750E">
        <w:rPr>
          <w:b/>
          <w:iCs/>
          <w:szCs w:val="24"/>
        </w:rPr>
        <w:t>, της 19ης Δεκεμβρίου 2024,</w:t>
      </w:r>
      <w:r w:rsidRPr="00616A2E">
        <w:rPr>
          <w:b/>
          <w:iCs/>
          <w:szCs w:val="24"/>
        </w:rPr>
        <w:t xml:space="preserve"> σχετικά με τον καθορισμό μέτρων για την ενίσχυση της αλληλεγγύης και των ικανοτήτων της Ένωσης για την ανίχνευση, την προετοιμασία και την αντιμετώπιση απειλών και </w:t>
      </w:r>
      <w:r w:rsidR="003705AF" w:rsidRPr="00616A2E">
        <w:rPr>
          <w:b/>
          <w:iCs/>
          <w:szCs w:val="24"/>
        </w:rPr>
        <w:t>περιστατικών κυβερνοασφάλειας (Κ</w:t>
      </w:r>
      <w:r w:rsidRPr="00616A2E">
        <w:rPr>
          <w:b/>
          <w:iCs/>
          <w:szCs w:val="24"/>
        </w:rPr>
        <w:t>ανονισμός για την αλληλεγγύη στον κυβερνοχώρο)</w:t>
      </w:r>
      <w:r w:rsidR="0067750E">
        <w:rPr>
          <w:rStyle w:val="FootnoteReference"/>
          <w:b/>
          <w:iCs/>
          <w:szCs w:val="24"/>
        </w:rPr>
        <w:footnoteReference w:customMarkFollows="1" w:id="4"/>
        <w:t>1</w:t>
      </w:r>
    </w:p>
    <w:p w:rsidR="004827EE" w:rsidRPr="00616A2E" w:rsidRDefault="004827EE" w:rsidP="004827EE">
      <w:pPr>
        <w:spacing w:after="240" w:line="360" w:lineRule="auto"/>
        <w:ind w:left="720" w:hanging="720"/>
        <w:rPr>
          <w:iCs/>
          <w:szCs w:val="24"/>
        </w:rPr>
      </w:pPr>
      <w:r w:rsidRPr="002371F3">
        <w:rPr>
          <w:w w:val="99"/>
          <w:szCs w:val="24"/>
        </w:rPr>
        <w:t>1</w:t>
      </w:r>
      <w:r w:rsidRPr="00616A2E">
        <w:rPr>
          <w:w w:val="99"/>
          <w:szCs w:val="24"/>
        </w:rPr>
        <w:t>.</w:t>
      </w:r>
      <w:r w:rsidRPr="00616A2E">
        <w:rPr>
          <w:w w:val="99"/>
          <w:szCs w:val="24"/>
        </w:rPr>
        <w:tab/>
      </w:r>
      <w:r w:rsidRPr="00616A2E">
        <w:rPr>
          <w:szCs w:val="24"/>
        </w:rPr>
        <w:t xml:space="preserve">Το νομοθετικό δημοσιονομικό δελτίο της Επιτροπής που συνοδεύει την πρόταση κανονισμού για την αλληλεγγύη στον κυβερνοχώρο δημοσιεύθηκε τον Απρίλιο του </w:t>
      </w:r>
      <w:r w:rsidRPr="002371F3">
        <w:rPr>
          <w:szCs w:val="24"/>
        </w:rPr>
        <w:t>2023</w:t>
      </w:r>
      <w:r w:rsidRPr="00616A2E">
        <w:rPr>
          <w:szCs w:val="24"/>
        </w:rPr>
        <w:t>. Έκτοτε, τα σχετικά εκτιμώμενα ποσά έχουν αλλάξει λόγω της έκδοσης ή της αναμενόμενης έκδοσης άλλων νομοθετικών πράξεων.</w:t>
      </w:r>
    </w:p>
    <w:p w:rsidR="004827EE" w:rsidRPr="00616A2E" w:rsidRDefault="004827EE" w:rsidP="004827EE">
      <w:pPr>
        <w:spacing w:after="240" w:line="360" w:lineRule="auto"/>
        <w:ind w:left="720" w:hanging="720"/>
        <w:rPr>
          <w:iCs/>
          <w:szCs w:val="24"/>
        </w:rPr>
      </w:pPr>
      <w:r w:rsidRPr="002371F3">
        <w:rPr>
          <w:w w:val="99"/>
          <w:szCs w:val="24"/>
        </w:rPr>
        <w:t>2</w:t>
      </w:r>
      <w:r w:rsidRPr="00616A2E">
        <w:rPr>
          <w:w w:val="99"/>
          <w:szCs w:val="24"/>
        </w:rPr>
        <w:t>.</w:t>
      </w:r>
      <w:r w:rsidRPr="00616A2E">
        <w:rPr>
          <w:w w:val="99"/>
          <w:szCs w:val="24"/>
        </w:rPr>
        <w:tab/>
      </w:r>
      <w:r w:rsidRPr="00616A2E">
        <w:rPr>
          <w:szCs w:val="24"/>
        </w:rPr>
        <w:t xml:space="preserve">Στις </w:t>
      </w:r>
      <w:r w:rsidRPr="002371F3">
        <w:rPr>
          <w:szCs w:val="24"/>
        </w:rPr>
        <w:t>5</w:t>
      </w:r>
      <w:r w:rsidRPr="00616A2E">
        <w:rPr>
          <w:szCs w:val="24"/>
        </w:rPr>
        <w:t xml:space="preserve"> Μαρτίου </w:t>
      </w:r>
      <w:r w:rsidRPr="002371F3">
        <w:rPr>
          <w:szCs w:val="24"/>
        </w:rPr>
        <w:t>2024</w:t>
      </w:r>
      <w:r w:rsidRPr="00616A2E">
        <w:rPr>
          <w:szCs w:val="24"/>
        </w:rPr>
        <w:t xml:space="preserve">, οι συννομοθέτες κατέληξαν σε προκαταρκτική πολιτική συμφωνία για τον περιορισμό σε </w:t>
      </w:r>
      <w:r w:rsidRPr="002371F3">
        <w:rPr>
          <w:szCs w:val="24"/>
        </w:rPr>
        <w:t>22</w:t>
      </w:r>
      <w:r w:rsidRPr="00616A2E">
        <w:rPr>
          <w:szCs w:val="24"/>
        </w:rPr>
        <w:t xml:space="preserve"> εκατ</w:t>
      </w:r>
      <w:r w:rsidR="0067750E">
        <w:rPr>
          <w:szCs w:val="24"/>
        </w:rPr>
        <w:t>ομμύρια</w:t>
      </w:r>
      <w:r w:rsidRPr="00616A2E">
        <w:rPr>
          <w:szCs w:val="24"/>
        </w:rPr>
        <w:t xml:space="preserve"> EUR της ανακατανομής από τον ειδικό στόχο </w:t>
      </w:r>
      <w:r w:rsidRPr="002371F3">
        <w:rPr>
          <w:szCs w:val="24"/>
        </w:rPr>
        <w:t>4</w:t>
      </w:r>
      <w:r w:rsidRPr="00616A2E">
        <w:rPr>
          <w:szCs w:val="24"/>
        </w:rPr>
        <w:t xml:space="preserve"> «Προηγμένες ψηφιακές δεξιότητες» στον ειδικό στόχο </w:t>
      </w:r>
      <w:r w:rsidRPr="002371F3">
        <w:rPr>
          <w:szCs w:val="24"/>
        </w:rPr>
        <w:t>3</w:t>
      </w:r>
      <w:r w:rsidRPr="00616A2E">
        <w:rPr>
          <w:szCs w:val="24"/>
        </w:rPr>
        <w:t xml:space="preserve"> «Κυβερνοασφάλεια και εμπιστοσύνη» του προγράμματος «Ψηφιακή Ευρώπη» που προβλέπεται στο νομοθετικό δημοσιονομικό δελτίο.</w:t>
      </w:r>
    </w:p>
    <w:p w:rsidR="004827EE" w:rsidRPr="00616A2E" w:rsidRDefault="004827EE" w:rsidP="004827EE">
      <w:pPr>
        <w:spacing w:after="240" w:line="360" w:lineRule="auto"/>
        <w:ind w:left="720" w:hanging="720"/>
        <w:rPr>
          <w:iCs/>
          <w:szCs w:val="24"/>
        </w:rPr>
      </w:pPr>
      <w:r w:rsidRPr="002371F3">
        <w:rPr>
          <w:w w:val="99"/>
          <w:szCs w:val="24"/>
        </w:rPr>
        <w:t>3</w:t>
      </w:r>
      <w:r w:rsidRPr="00616A2E">
        <w:rPr>
          <w:w w:val="99"/>
          <w:szCs w:val="24"/>
        </w:rPr>
        <w:t>.</w:t>
      </w:r>
      <w:r w:rsidRPr="00616A2E">
        <w:rPr>
          <w:w w:val="99"/>
          <w:szCs w:val="24"/>
        </w:rPr>
        <w:tab/>
      </w:r>
      <w:r w:rsidRPr="00616A2E">
        <w:rPr>
          <w:szCs w:val="24"/>
        </w:rPr>
        <w:t xml:space="preserve">Προκειμένου να αποτυπώνονται στο κείμενο οι όροι της προκαταρκτικής πολιτικής συμφωνίας, η Επιτροπή επικαιροποίησε το νομοθετικό δημοσιονομικό δελτίο του κανονισμού για την αλληλεγγύη στον κυβερνοχώρο όσον αφορά τα χρηματοδοτικά κονδύλια για τους ειδικούς στόχους </w:t>
      </w:r>
      <w:r w:rsidRPr="002371F3">
        <w:rPr>
          <w:szCs w:val="24"/>
        </w:rPr>
        <w:t>2</w:t>
      </w:r>
      <w:r w:rsidRPr="00616A2E">
        <w:rPr>
          <w:szCs w:val="24"/>
        </w:rPr>
        <w:t xml:space="preserve"> «Τεχνητή νοημοσύνη», </w:t>
      </w:r>
      <w:r w:rsidRPr="002371F3">
        <w:rPr>
          <w:szCs w:val="24"/>
        </w:rPr>
        <w:t>3</w:t>
      </w:r>
      <w:r w:rsidRPr="00616A2E">
        <w:rPr>
          <w:szCs w:val="24"/>
        </w:rPr>
        <w:t xml:space="preserve"> «Κυβερνοασφάλεια και εμπιστοσύνη» και </w:t>
      </w:r>
      <w:r w:rsidRPr="002371F3">
        <w:rPr>
          <w:szCs w:val="24"/>
        </w:rPr>
        <w:t>4</w:t>
      </w:r>
      <w:r w:rsidRPr="00616A2E">
        <w:rPr>
          <w:szCs w:val="24"/>
        </w:rPr>
        <w:t xml:space="preserve"> «Προηγμένες ψηφιακές δεξιότητες», λαμβάνοντας υπόψη τις ανακατανομές που συμφωνήθηκαν από τους συννομοθέτες.</w:t>
      </w:r>
    </w:p>
    <w:p w:rsidR="004827EE" w:rsidRPr="00616A2E" w:rsidRDefault="004827EE" w:rsidP="004827EE">
      <w:pPr>
        <w:spacing w:after="240" w:line="360" w:lineRule="auto"/>
        <w:ind w:left="720" w:hanging="720"/>
        <w:rPr>
          <w:iCs/>
          <w:szCs w:val="24"/>
        </w:rPr>
      </w:pPr>
      <w:r w:rsidRPr="002371F3">
        <w:rPr>
          <w:w w:val="99"/>
          <w:szCs w:val="24"/>
        </w:rPr>
        <w:t>4</w:t>
      </w:r>
      <w:r w:rsidRPr="00616A2E">
        <w:rPr>
          <w:w w:val="99"/>
          <w:szCs w:val="24"/>
        </w:rPr>
        <w:t>.</w:t>
      </w:r>
      <w:r w:rsidRPr="00616A2E">
        <w:rPr>
          <w:w w:val="99"/>
          <w:szCs w:val="24"/>
        </w:rPr>
        <w:tab/>
      </w:r>
      <w:r w:rsidRPr="00616A2E">
        <w:rPr>
          <w:szCs w:val="24"/>
        </w:rPr>
        <w:t xml:space="preserve">Κατά συνέπεια, τα χρηματοδοτικά κονδύλια για την περίοδο </w:t>
      </w:r>
      <w:r w:rsidRPr="002371F3">
        <w:rPr>
          <w:szCs w:val="24"/>
        </w:rPr>
        <w:t>2025</w:t>
      </w:r>
      <w:r w:rsidRPr="00616A2E">
        <w:rPr>
          <w:szCs w:val="24"/>
        </w:rPr>
        <w:t>-</w:t>
      </w:r>
      <w:r w:rsidRPr="002371F3">
        <w:rPr>
          <w:szCs w:val="24"/>
        </w:rPr>
        <w:t>2027</w:t>
      </w:r>
      <w:r w:rsidRPr="00616A2E">
        <w:rPr>
          <w:szCs w:val="24"/>
        </w:rPr>
        <w:t xml:space="preserve"> που παρουσιάζονται στο επικαιροποιημένο νομοθετικό δημοσιονομικό δελτίο, με την επιφύλαξη των εξουσιών της Επιτροπής στο πλαίσιο της ετήσιας διαδικασίας του προϋπολογισμού, είναι τα ακόλουθα:</w:t>
      </w:r>
    </w:p>
    <w:p w:rsidR="004827EE" w:rsidRPr="00616A2E" w:rsidRDefault="004827EE" w:rsidP="004827EE">
      <w:pPr>
        <w:spacing w:after="240" w:line="360" w:lineRule="auto"/>
        <w:ind w:left="1440" w:hanging="720"/>
        <w:rPr>
          <w:iCs/>
          <w:szCs w:val="24"/>
        </w:rPr>
      </w:pPr>
      <w:r w:rsidRPr="00616A2E">
        <w:rPr>
          <w:iCs/>
          <w:szCs w:val="24"/>
        </w:rPr>
        <w:t>–</w:t>
      </w:r>
      <w:r w:rsidRPr="00616A2E">
        <w:rPr>
          <w:iCs/>
          <w:szCs w:val="24"/>
        </w:rPr>
        <w:tab/>
      </w:r>
      <w:r w:rsidRPr="00616A2E">
        <w:rPr>
          <w:szCs w:val="24"/>
        </w:rPr>
        <w:t>[</w:t>
      </w:r>
      <w:r w:rsidRPr="002371F3">
        <w:rPr>
          <w:szCs w:val="24"/>
        </w:rPr>
        <w:t>544</w:t>
      </w:r>
      <w:r w:rsidRPr="00616A2E">
        <w:rPr>
          <w:szCs w:val="24"/>
        </w:rPr>
        <w:t> </w:t>
      </w:r>
      <w:r w:rsidRPr="002371F3">
        <w:rPr>
          <w:szCs w:val="24"/>
        </w:rPr>
        <w:t>726</w:t>
      </w:r>
      <w:r w:rsidRPr="00616A2E">
        <w:rPr>
          <w:szCs w:val="24"/>
        </w:rPr>
        <w:t> </w:t>
      </w:r>
      <w:r w:rsidRPr="002371F3">
        <w:rPr>
          <w:szCs w:val="24"/>
        </w:rPr>
        <w:t>000</w:t>
      </w:r>
      <w:r w:rsidRPr="00616A2E">
        <w:rPr>
          <w:szCs w:val="24"/>
        </w:rPr>
        <w:t xml:space="preserve"> EUR] για τον ειδικό στόχο </w:t>
      </w:r>
      <w:r w:rsidRPr="002371F3">
        <w:rPr>
          <w:szCs w:val="24"/>
        </w:rPr>
        <w:t>2</w:t>
      </w:r>
      <w:r w:rsidRPr="00616A2E">
        <w:rPr>
          <w:szCs w:val="24"/>
        </w:rPr>
        <w:t xml:space="preserve"> «Τεχνητή νοημοσύνη», λαμβανομένου υπόψη ποσού </w:t>
      </w:r>
      <w:r w:rsidRPr="002371F3">
        <w:rPr>
          <w:szCs w:val="24"/>
        </w:rPr>
        <w:t>65</w:t>
      </w:r>
      <w:r w:rsidRPr="00616A2E">
        <w:rPr>
          <w:szCs w:val="24"/>
        </w:rPr>
        <w:t xml:space="preserve"> εκατ</w:t>
      </w:r>
      <w:r w:rsidR="0067750E">
        <w:rPr>
          <w:szCs w:val="24"/>
        </w:rPr>
        <w:t>ομμυρίων</w:t>
      </w:r>
      <w:r w:rsidRPr="00616A2E">
        <w:rPr>
          <w:szCs w:val="24"/>
        </w:rPr>
        <w:t xml:space="preserve"> EUR που ανακατανέμεται στον ειδικό στόχο </w:t>
      </w:r>
      <w:r w:rsidRPr="002371F3">
        <w:rPr>
          <w:szCs w:val="24"/>
        </w:rPr>
        <w:t>3</w:t>
      </w:r>
      <w:r w:rsidRPr="00616A2E">
        <w:rPr>
          <w:szCs w:val="24"/>
        </w:rPr>
        <w:t xml:space="preserve"> «Κυβερνοασφάλεια και εμπιστοσύνη»·</w:t>
      </w:r>
    </w:p>
    <w:p w:rsidR="004827EE" w:rsidRPr="00616A2E" w:rsidRDefault="004827EE" w:rsidP="004827EE">
      <w:pPr>
        <w:spacing w:after="240" w:line="360" w:lineRule="auto"/>
        <w:ind w:left="1440" w:hanging="720"/>
        <w:rPr>
          <w:iCs/>
          <w:szCs w:val="24"/>
        </w:rPr>
      </w:pPr>
      <w:r w:rsidRPr="00616A2E">
        <w:rPr>
          <w:iCs/>
          <w:szCs w:val="24"/>
        </w:rPr>
        <w:t>–</w:t>
      </w:r>
      <w:r w:rsidRPr="00616A2E">
        <w:rPr>
          <w:iCs/>
          <w:szCs w:val="24"/>
        </w:rPr>
        <w:tab/>
      </w:r>
      <w:r w:rsidRPr="00616A2E">
        <w:rPr>
          <w:szCs w:val="24"/>
        </w:rPr>
        <w:t>[</w:t>
      </w:r>
      <w:r w:rsidRPr="002371F3">
        <w:rPr>
          <w:szCs w:val="24"/>
        </w:rPr>
        <w:t>44</w:t>
      </w:r>
      <w:r w:rsidRPr="00616A2E">
        <w:rPr>
          <w:szCs w:val="24"/>
        </w:rPr>
        <w:t> </w:t>
      </w:r>
      <w:r w:rsidRPr="002371F3">
        <w:rPr>
          <w:szCs w:val="24"/>
        </w:rPr>
        <w:t>451</w:t>
      </w:r>
      <w:r w:rsidRPr="00616A2E">
        <w:rPr>
          <w:szCs w:val="24"/>
        </w:rPr>
        <w:t> </w:t>
      </w:r>
      <w:r w:rsidRPr="002371F3">
        <w:rPr>
          <w:szCs w:val="24"/>
        </w:rPr>
        <w:t>000</w:t>
      </w:r>
      <w:r w:rsidRPr="00616A2E">
        <w:rPr>
          <w:szCs w:val="24"/>
        </w:rPr>
        <w:t xml:space="preserve"> EUR] για τον ειδικό στόχο </w:t>
      </w:r>
      <w:r w:rsidRPr="002371F3">
        <w:rPr>
          <w:szCs w:val="24"/>
        </w:rPr>
        <w:t>3</w:t>
      </w:r>
      <w:r w:rsidRPr="00616A2E">
        <w:rPr>
          <w:szCs w:val="24"/>
        </w:rPr>
        <w:t xml:space="preserve"> «Κυβερνοασφάλεια και εμπιστοσύνη» </w:t>
      </w:r>
      <w:r w:rsidRPr="00616A2E">
        <w:rPr>
          <w:iCs/>
          <w:szCs w:val="24"/>
        </w:rPr>
        <w:t>–</w:t>
      </w:r>
      <w:r w:rsidRPr="00616A2E">
        <w:rPr>
          <w:szCs w:val="24"/>
        </w:rPr>
        <w:t xml:space="preserve"> εν μέρει υπό την άμεση διαχείριση της Επιτροπής, συμπεριλαμβανομένου ποσού </w:t>
      </w:r>
      <w:r w:rsidRPr="002371F3">
        <w:rPr>
          <w:szCs w:val="24"/>
        </w:rPr>
        <w:t>26</w:t>
      </w:r>
      <w:r w:rsidRPr="00616A2E">
        <w:rPr>
          <w:szCs w:val="24"/>
        </w:rPr>
        <w:t xml:space="preserve"> εκατ</w:t>
      </w:r>
      <w:r w:rsidR="0067750E">
        <w:rPr>
          <w:szCs w:val="24"/>
        </w:rPr>
        <w:t>ομμυρίων</w:t>
      </w:r>
      <w:r w:rsidRPr="00616A2E">
        <w:rPr>
          <w:szCs w:val="24"/>
        </w:rPr>
        <w:t xml:space="preserve"> EUR που ανακατανέμεται από τους ειδικούς στόχους </w:t>
      </w:r>
      <w:r w:rsidRPr="002371F3">
        <w:rPr>
          <w:szCs w:val="24"/>
        </w:rPr>
        <w:t>2</w:t>
      </w:r>
      <w:r w:rsidRPr="00616A2E">
        <w:rPr>
          <w:szCs w:val="24"/>
        </w:rPr>
        <w:t xml:space="preserve"> και </w:t>
      </w:r>
      <w:r w:rsidRPr="002371F3">
        <w:rPr>
          <w:szCs w:val="24"/>
        </w:rPr>
        <w:t>4</w:t>
      </w:r>
      <w:r w:rsidRPr="00616A2E">
        <w:rPr>
          <w:szCs w:val="24"/>
        </w:rPr>
        <w:t>·</w:t>
      </w:r>
    </w:p>
    <w:p w:rsidR="004827EE" w:rsidRPr="00616A2E" w:rsidRDefault="004827EE" w:rsidP="004827EE">
      <w:pPr>
        <w:spacing w:after="240" w:line="360" w:lineRule="auto"/>
        <w:ind w:left="1440" w:hanging="720"/>
        <w:rPr>
          <w:iCs/>
          <w:szCs w:val="24"/>
        </w:rPr>
      </w:pPr>
      <w:r w:rsidRPr="00616A2E">
        <w:rPr>
          <w:iCs/>
          <w:szCs w:val="24"/>
        </w:rPr>
        <w:t>–</w:t>
      </w:r>
      <w:r w:rsidRPr="00616A2E">
        <w:rPr>
          <w:iCs/>
          <w:szCs w:val="24"/>
        </w:rPr>
        <w:tab/>
      </w:r>
      <w:r w:rsidRPr="00616A2E">
        <w:rPr>
          <w:szCs w:val="24"/>
        </w:rPr>
        <w:t>[</w:t>
      </w:r>
      <w:r w:rsidRPr="002371F3">
        <w:rPr>
          <w:szCs w:val="24"/>
        </w:rPr>
        <w:t>353</w:t>
      </w:r>
      <w:r w:rsidRPr="00616A2E">
        <w:rPr>
          <w:szCs w:val="24"/>
        </w:rPr>
        <w:t> </w:t>
      </w:r>
      <w:r w:rsidRPr="002371F3">
        <w:rPr>
          <w:szCs w:val="24"/>
        </w:rPr>
        <w:t>190</w:t>
      </w:r>
      <w:r w:rsidRPr="00616A2E">
        <w:rPr>
          <w:szCs w:val="24"/>
        </w:rPr>
        <w:t> </w:t>
      </w:r>
      <w:r w:rsidRPr="002371F3">
        <w:rPr>
          <w:szCs w:val="24"/>
        </w:rPr>
        <w:t>613</w:t>
      </w:r>
      <w:r w:rsidRPr="00616A2E">
        <w:rPr>
          <w:szCs w:val="24"/>
        </w:rPr>
        <w:t xml:space="preserve"> EUR] για τον ειδικό στόχο </w:t>
      </w:r>
      <w:r w:rsidRPr="002371F3">
        <w:rPr>
          <w:szCs w:val="24"/>
        </w:rPr>
        <w:t>3</w:t>
      </w:r>
      <w:r w:rsidRPr="00616A2E">
        <w:rPr>
          <w:szCs w:val="24"/>
        </w:rPr>
        <w:t xml:space="preserve"> «Κυβερνοασφάλεια και εμπιστοσύνη» </w:t>
      </w:r>
      <w:r w:rsidRPr="00616A2E">
        <w:rPr>
          <w:iCs/>
          <w:szCs w:val="24"/>
        </w:rPr>
        <w:t>–</w:t>
      </w:r>
      <w:r w:rsidRPr="00616A2E">
        <w:rPr>
          <w:szCs w:val="24"/>
        </w:rPr>
        <w:t xml:space="preserve"> εν μέρει υπό τη διαχείριση του Ευρωπαϊκού Κέντρου Αρμοδιότητας για Βιομηχανικά, Τεχνολογικά και Ερευνητικά Θέματα Κυβερνοασφάλειας, συμπεριλαμβανομένου ποσού </w:t>
      </w:r>
      <w:r w:rsidRPr="002371F3">
        <w:rPr>
          <w:szCs w:val="24"/>
        </w:rPr>
        <w:t>61</w:t>
      </w:r>
      <w:r w:rsidRPr="00616A2E">
        <w:rPr>
          <w:szCs w:val="24"/>
        </w:rPr>
        <w:t xml:space="preserve"> εκατ</w:t>
      </w:r>
      <w:r w:rsidR="0067750E">
        <w:rPr>
          <w:szCs w:val="24"/>
        </w:rPr>
        <w:t>ομμυρίων</w:t>
      </w:r>
      <w:r w:rsidRPr="00616A2E">
        <w:rPr>
          <w:szCs w:val="24"/>
        </w:rPr>
        <w:t xml:space="preserve"> EUR που ανακατανέμεται από τους ειδικούς στόχους </w:t>
      </w:r>
      <w:r w:rsidRPr="002371F3">
        <w:rPr>
          <w:szCs w:val="24"/>
        </w:rPr>
        <w:t>2</w:t>
      </w:r>
      <w:r w:rsidRPr="00616A2E">
        <w:rPr>
          <w:szCs w:val="24"/>
        </w:rPr>
        <w:t xml:space="preserve"> και </w:t>
      </w:r>
      <w:r w:rsidRPr="002371F3">
        <w:rPr>
          <w:szCs w:val="24"/>
        </w:rPr>
        <w:t>4</w:t>
      </w:r>
      <w:r w:rsidRPr="00616A2E">
        <w:rPr>
          <w:szCs w:val="24"/>
        </w:rPr>
        <w:t>·</w:t>
      </w:r>
    </w:p>
    <w:p w:rsidR="004827EE" w:rsidRPr="00616A2E" w:rsidRDefault="004827EE" w:rsidP="004827EE">
      <w:pPr>
        <w:spacing w:after="240" w:line="360" w:lineRule="auto"/>
        <w:ind w:left="1440" w:hanging="720"/>
        <w:rPr>
          <w:iCs/>
          <w:szCs w:val="24"/>
        </w:rPr>
      </w:pPr>
      <w:r w:rsidRPr="00616A2E">
        <w:rPr>
          <w:iCs/>
          <w:szCs w:val="24"/>
        </w:rPr>
        <w:t>–</w:t>
      </w:r>
      <w:r w:rsidRPr="00616A2E">
        <w:rPr>
          <w:iCs/>
          <w:szCs w:val="24"/>
        </w:rPr>
        <w:tab/>
      </w:r>
      <w:r w:rsidRPr="00616A2E">
        <w:rPr>
          <w:szCs w:val="24"/>
        </w:rPr>
        <w:t>[</w:t>
      </w:r>
      <w:r w:rsidRPr="002371F3">
        <w:rPr>
          <w:szCs w:val="24"/>
        </w:rPr>
        <w:t>167</w:t>
      </w:r>
      <w:r w:rsidRPr="00616A2E">
        <w:rPr>
          <w:szCs w:val="24"/>
        </w:rPr>
        <w:t> </w:t>
      </w:r>
      <w:r w:rsidRPr="002371F3">
        <w:rPr>
          <w:szCs w:val="24"/>
        </w:rPr>
        <w:t>162</w:t>
      </w:r>
      <w:r w:rsidRPr="00616A2E">
        <w:rPr>
          <w:szCs w:val="24"/>
        </w:rPr>
        <w:t> </w:t>
      </w:r>
      <w:r w:rsidRPr="002371F3">
        <w:rPr>
          <w:szCs w:val="24"/>
        </w:rPr>
        <w:t>423</w:t>
      </w:r>
      <w:r w:rsidRPr="00616A2E">
        <w:rPr>
          <w:szCs w:val="24"/>
        </w:rPr>
        <w:t xml:space="preserve"> EUR] για τον ειδικό στόχο </w:t>
      </w:r>
      <w:r w:rsidRPr="002371F3">
        <w:rPr>
          <w:szCs w:val="24"/>
        </w:rPr>
        <w:t>4</w:t>
      </w:r>
      <w:r w:rsidRPr="00616A2E">
        <w:rPr>
          <w:szCs w:val="24"/>
        </w:rPr>
        <w:t xml:space="preserve"> «Προηγμένες ψηφιακές δεξιότητες», λαμβανομένου υπόψη ποσού </w:t>
      </w:r>
      <w:r w:rsidRPr="002371F3">
        <w:rPr>
          <w:szCs w:val="24"/>
        </w:rPr>
        <w:t>65</w:t>
      </w:r>
      <w:r w:rsidRPr="00616A2E">
        <w:rPr>
          <w:szCs w:val="24"/>
        </w:rPr>
        <w:t xml:space="preserve"> εκατ</w:t>
      </w:r>
      <w:r w:rsidR="0067750E">
        <w:rPr>
          <w:szCs w:val="24"/>
        </w:rPr>
        <w:t>ομμυρίων</w:t>
      </w:r>
      <w:r w:rsidRPr="00616A2E">
        <w:rPr>
          <w:szCs w:val="24"/>
        </w:rPr>
        <w:t xml:space="preserve"> EUR που ανακατανέμεται στον ειδικό στόχο </w:t>
      </w:r>
      <w:r w:rsidRPr="002371F3">
        <w:rPr>
          <w:szCs w:val="24"/>
        </w:rPr>
        <w:t>3</w:t>
      </w:r>
      <w:r w:rsidRPr="00616A2E">
        <w:rPr>
          <w:szCs w:val="24"/>
        </w:rPr>
        <w:t xml:space="preserve"> «Κυβερνοασφάλεια και εμπιστοσύνη».</w:t>
      </w:r>
    </w:p>
    <w:p w:rsidR="004827EE" w:rsidRPr="00616A2E" w:rsidRDefault="004827EE" w:rsidP="004827EE">
      <w:pPr>
        <w:spacing w:after="240" w:line="360" w:lineRule="auto"/>
        <w:ind w:left="720" w:hanging="720"/>
        <w:rPr>
          <w:iCs/>
          <w:szCs w:val="24"/>
        </w:rPr>
      </w:pPr>
      <w:r w:rsidRPr="002371F3">
        <w:rPr>
          <w:w w:val="99"/>
          <w:szCs w:val="24"/>
        </w:rPr>
        <w:t>5</w:t>
      </w:r>
      <w:r w:rsidRPr="00616A2E">
        <w:rPr>
          <w:w w:val="99"/>
          <w:szCs w:val="24"/>
        </w:rPr>
        <w:t>.</w:t>
      </w:r>
      <w:r w:rsidRPr="00616A2E">
        <w:rPr>
          <w:w w:val="99"/>
          <w:szCs w:val="24"/>
        </w:rPr>
        <w:tab/>
      </w:r>
      <w:r w:rsidRPr="00616A2E">
        <w:rPr>
          <w:szCs w:val="24"/>
        </w:rPr>
        <w:t xml:space="preserve">Η εφεδρεία της ΕΕ στον τομέα της κυβερνοασφάλειας θα χρηματοδοτηθεί από το χρηματοδοτικό κονδύλιο του ειδικού στόχου </w:t>
      </w:r>
      <w:r w:rsidRPr="002371F3">
        <w:rPr>
          <w:szCs w:val="24"/>
        </w:rPr>
        <w:t>3</w:t>
      </w:r>
      <w:r w:rsidRPr="00616A2E">
        <w:rPr>
          <w:szCs w:val="24"/>
        </w:rPr>
        <w:t xml:space="preserve"> «Κυβερνοασφάλεια και εμπιστοσύνη» – εν μέρει υπό την άμεση διαχείρ</w:t>
      </w:r>
      <w:bookmarkStart w:id="8" w:name="_GoBack"/>
      <w:bookmarkEnd w:id="8"/>
      <w:r w:rsidRPr="00616A2E">
        <w:rPr>
          <w:szCs w:val="24"/>
        </w:rPr>
        <w:t>ιση της Επιτροπής (το εν λόγω μέρος, σύμφωνα με το επικαιροποιημένο νομοθετικό δημοσιονομικό δελτίο, εκτιμάται σε [</w:t>
      </w:r>
      <w:r w:rsidRPr="002371F3">
        <w:rPr>
          <w:szCs w:val="24"/>
        </w:rPr>
        <w:t>44</w:t>
      </w:r>
      <w:r w:rsidRPr="00616A2E">
        <w:rPr>
          <w:szCs w:val="24"/>
        </w:rPr>
        <w:t> </w:t>
      </w:r>
      <w:r w:rsidRPr="002371F3">
        <w:rPr>
          <w:szCs w:val="24"/>
        </w:rPr>
        <w:t>451</w:t>
      </w:r>
      <w:r w:rsidRPr="00616A2E">
        <w:rPr>
          <w:szCs w:val="24"/>
        </w:rPr>
        <w:t> </w:t>
      </w:r>
      <w:r w:rsidRPr="002371F3">
        <w:rPr>
          <w:szCs w:val="24"/>
        </w:rPr>
        <w:t>000</w:t>
      </w:r>
      <w:r w:rsidRPr="00616A2E">
        <w:rPr>
          <w:szCs w:val="24"/>
        </w:rPr>
        <w:t xml:space="preserve"> EUR]).</w:t>
      </w:r>
    </w:p>
    <w:p w:rsidR="004827EE" w:rsidRPr="00616A2E" w:rsidRDefault="004827EE" w:rsidP="0026766E">
      <w:pPr>
        <w:spacing w:after="240" w:line="360" w:lineRule="auto"/>
        <w:rPr>
          <w:szCs w:val="24"/>
          <w:lang w:eastAsia="en-US"/>
        </w:rPr>
      </w:pPr>
    </w:p>
    <w:sectPr w:rsidR="004827EE" w:rsidRPr="00616A2E" w:rsidSect="00BD610E">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2339D" w:rsidRPr="00BD610E" w:rsidRDefault="0082339D">
      <w:r w:rsidRPr="00BD610E">
        <w:separator/>
      </w:r>
    </w:p>
  </w:endnote>
  <w:endnote w:type="continuationSeparator" w:id="0">
    <w:p w:rsidR="0082339D" w:rsidRPr="00BD610E" w:rsidRDefault="0082339D">
      <w:r w:rsidRPr="00BD610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DE"/>
    <w:family w:val="swiss"/>
    <w:pitch w:val="variable"/>
    <w:sig w:usb0="83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2339D" w:rsidRPr="00F940DF" w:rsidRDefault="0082339D">
    <w:pPr>
      <w:pStyle w:val="Footer1"/>
    </w:pPr>
    <w:r w:rsidRPr="00F940DF">
      <w:rPr>
        <w:rStyle w:val="Footer2"/>
      </w:rPr>
      <w:t>EL</w:t>
    </w:r>
    <w:r w:rsidRPr="00F940DF">
      <w:tab/>
    </w:r>
    <w:r w:rsidRPr="00F940DF">
      <w:fldChar w:fldCharType="begin"/>
    </w:r>
    <w:r w:rsidRPr="00F940DF">
      <w:instrText xml:space="preserve"> PAGE </w:instrText>
    </w:r>
    <w:r w:rsidRPr="00F940DF">
      <w:fldChar w:fldCharType="separate"/>
    </w:r>
    <w:r>
      <w:rPr>
        <w:noProof/>
      </w:rPr>
      <w:t>142</w:t>
    </w:r>
    <w:r w:rsidRPr="00F940DF">
      <w:fldChar w:fldCharType="end"/>
    </w:r>
    <w:r w:rsidRPr="00F940DF">
      <w:tab/>
    </w:r>
    <w:r w:rsidRPr="00F940DF">
      <w:rPr>
        <w:rStyle w:val="Footer2"/>
      </w:rPr>
      <w:t>EL</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2339D" w:rsidRPr="00F940DF" w:rsidRDefault="0082339D">
    <w:pPr>
      <w:pStyle w:val="Footer1"/>
    </w:pPr>
    <w:r w:rsidRPr="00F940DF">
      <w:rPr>
        <w:rStyle w:val="Footer2"/>
      </w:rPr>
      <w:t>EL</w:t>
    </w:r>
    <w:r w:rsidRPr="00F940DF">
      <w:tab/>
    </w:r>
    <w:r w:rsidRPr="00F940DF">
      <w:fldChar w:fldCharType="begin"/>
    </w:r>
    <w:r w:rsidRPr="00F940DF">
      <w:instrText xml:space="preserve"> PAGE </w:instrText>
    </w:r>
    <w:r w:rsidRPr="00F940DF">
      <w:fldChar w:fldCharType="separate"/>
    </w:r>
    <w:r>
      <w:rPr>
        <w:noProof/>
      </w:rPr>
      <w:t>142</w:t>
    </w:r>
    <w:r w:rsidRPr="00F940DF">
      <w:fldChar w:fldCharType="end"/>
    </w:r>
    <w:r w:rsidRPr="00F940DF">
      <w:tab/>
    </w:r>
    <w:r w:rsidRPr="00F940DF">
      <w:rPr>
        <w:rStyle w:val="Footer2"/>
      </w:rPr>
      <w:t>EL</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2339D" w:rsidRPr="00BD610E" w:rsidRDefault="0082339D">
      <w:r w:rsidRPr="00BD610E">
        <w:separator/>
      </w:r>
    </w:p>
  </w:footnote>
  <w:footnote w:type="continuationSeparator" w:id="0">
    <w:p w:rsidR="0082339D" w:rsidRPr="00BD610E" w:rsidRDefault="0082339D">
      <w:r w:rsidRPr="00BD610E">
        <w:continuationSeparator/>
      </w:r>
    </w:p>
  </w:footnote>
  <w:footnote w:id="1">
    <w:p w:rsidR="0082339D" w:rsidRPr="003867A5" w:rsidRDefault="0082339D" w:rsidP="00DE597A">
      <w:pPr>
        <w:pStyle w:val="FootnoteTextForceStyle"/>
        <w:ind w:left="720" w:hanging="720"/>
        <w:rPr>
          <w:szCs w:val="24"/>
        </w:rPr>
      </w:pPr>
      <w:r w:rsidRPr="003867A5">
        <w:rPr>
          <w:szCs w:val="24"/>
          <w:vertAlign w:val="superscript"/>
        </w:rPr>
        <w:footnoteRef/>
      </w:r>
      <w:r w:rsidRPr="003867A5">
        <w:rPr>
          <w:szCs w:val="24"/>
        </w:rPr>
        <w:tab/>
        <w:t>Δεν έχει ακόμη δημοσιευτεί στην Επίσημη Εφημερίδα.</w:t>
      </w:r>
    </w:p>
  </w:footnote>
  <w:footnote w:id="2">
    <w:p w:rsidR="0082339D" w:rsidRPr="003867A5" w:rsidRDefault="0082339D" w:rsidP="003B0C18">
      <w:pPr>
        <w:pStyle w:val="FootnoteText"/>
        <w:spacing w:line="240" w:lineRule="auto"/>
        <w:ind w:left="720" w:hanging="720"/>
        <w:rPr>
          <w:sz w:val="24"/>
          <w:szCs w:val="24"/>
          <w:lang w:val="el-GR"/>
        </w:rPr>
      </w:pPr>
      <w:r w:rsidRPr="003867A5">
        <w:rPr>
          <w:rStyle w:val="FootnoteReference"/>
          <w:sz w:val="24"/>
          <w:szCs w:val="24"/>
          <w:lang w:val="el-GR"/>
        </w:rPr>
        <w:footnoteRef/>
      </w:r>
      <w:r w:rsidRPr="003867A5">
        <w:rPr>
          <w:sz w:val="24"/>
          <w:szCs w:val="24"/>
          <w:lang w:val="el-GR"/>
        </w:rPr>
        <w:t xml:space="preserve"> </w:t>
      </w:r>
      <w:r w:rsidRPr="003867A5">
        <w:rPr>
          <w:sz w:val="24"/>
          <w:szCs w:val="24"/>
          <w:lang w:val="el-GR"/>
        </w:rPr>
        <w:tab/>
        <w:t>ΕΕ C 349 της 29.9.2023, σ. 167.</w:t>
      </w:r>
    </w:p>
  </w:footnote>
  <w:footnote w:id="3">
    <w:p w:rsidR="0082339D" w:rsidRPr="003867A5" w:rsidRDefault="0082339D" w:rsidP="003B0C18">
      <w:pPr>
        <w:pStyle w:val="FootnoteText"/>
        <w:spacing w:line="240" w:lineRule="auto"/>
        <w:ind w:left="720" w:hanging="720"/>
        <w:rPr>
          <w:sz w:val="24"/>
          <w:szCs w:val="24"/>
          <w:lang w:val="el-GR"/>
        </w:rPr>
      </w:pPr>
      <w:r w:rsidRPr="003867A5">
        <w:rPr>
          <w:rStyle w:val="FootnoteReference"/>
          <w:sz w:val="24"/>
          <w:szCs w:val="24"/>
          <w:lang w:val="el-GR"/>
        </w:rPr>
        <w:footnoteRef/>
      </w:r>
      <w:r w:rsidRPr="003867A5">
        <w:rPr>
          <w:sz w:val="24"/>
          <w:szCs w:val="24"/>
          <w:lang w:val="el-GR"/>
        </w:rPr>
        <w:t xml:space="preserve"> </w:t>
      </w:r>
      <w:r w:rsidRPr="003867A5">
        <w:rPr>
          <w:sz w:val="24"/>
          <w:szCs w:val="24"/>
          <w:lang w:val="el-GR"/>
        </w:rPr>
        <w:tab/>
      </w:r>
      <w:r w:rsidRPr="003867A5">
        <w:rPr>
          <w:sz w:val="24"/>
          <w:szCs w:val="24"/>
          <w:lang w:val="el-GR"/>
        </w:rPr>
        <w:t xml:space="preserve">ΕΕ </w:t>
      </w:r>
      <w:r w:rsidRPr="003867A5">
        <w:rPr>
          <w:sz w:val="24"/>
          <w:szCs w:val="24"/>
          <w:lang w:val="fi-FI"/>
        </w:rPr>
        <w:t>C</w:t>
      </w:r>
      <w:r w:rsidRPr="003867A5">
        <w:rPr>
          <w:sz w:val="24"/>
          <w:szCs w:val="24"/>
          <w:lang w:val="el-GR"/>
        </w:rPr>
        <w:t xml:space="preserve">, </w:t>
      </w:r>
      <w:r w:rsidRPr="003867A5">
        <w:rPr>
          <w:sz w:val="24"/>
          <w:szCs w:val="24"/>
          <w:lang w:val="fi-FI"/>
        </w:rPr>
        <w:t>C</w:t>
      </w:r>
      <w:r w:rsidRPr="003867A5">
        <w:rPr>
          <w:sz w:val="24"/>
          <w:szCs w:val="24"/>
          <w:lang w:val="el-GR"/>
        </w:rPr>
        <w:t xml:space="preserve">/2024/1049, 9.2.2024, </w:t>
      </w:r>
      <w:r w:rsidRPr="003867A5">
        <w:rPr>
          <w:sz w:val="24"/>
          <w:szCs w:val="24"/>
          <w:lang w:val="fi-FI"/>
        </w:rPr>
        <w:t>ELI</w:t>
      </w:r>
      <w:r w:rsidRPr="003867A5">
        <w:rPr>
          <w:sz w:val="24"/>
          <w:szCs w:val="24"/>
          <w:lang w:val="el-GR"/>
        </w:rPr>
        <w:t xml:space="preserve">: </w:t>
      </w:r>
      <w:hyperlink r:id="rId1" w:tooltip="Gives access to this document through its ELI URI." w:history="1">
        <w:r w:rsidRPr="003867A5">
          <w:rPr>
            <w:rStyle w:val="Hyperlink"/>
            <w:sz w:val="24"/>
            <w:szCs w:val="24"/>
            <w:lang w:val="el-GR" w:eastAsia="en-US"/>
          </w:rPr>
          <w:t>http://data.europa.eu/eli/C/2024/1049/oj</w:t>
        </w:r>
      </w:hyperlink>
      <w:r w:rsidRPr="003867A5">
        <w:rPr>
          <w:sz w:val="24"/>
          <w:szCs w:val="24"/>
          <w:lang w:val="el-GR"/>
        </w:rPr>
        <w:t>.</w:t>
      </w:r>
    </w:p>
  </w:footnote>
  <w:footnote w:id="4">
    <w:p w:rsidR="0067750E" w:rsidRPr="0067750E" w:rsidRDefault="0067750E" w:rsidP="0067750E">
      <w:pPr>
        <w:pStyle w:val="FootnoteText"/>
        <w:ind w:left="567" w:hanging="567"/>
        <w:rPr>
          <w:sz w:val="24"/>
          <w:szCs w:val="24"/>
          <w:lang w:val="el-GR"/>
        </w:rPr>
      </w:pPr>
      <w:r w:rsidRPr="0067750E">
        <w:rPr>
          <w:rStyle w:val="FootnoteReference"/>
          <w:lang w:val="el-GR"/>
        </w:rPr>
        <w:t>1</w:t>
      </w:r>
      <w:r w:rsidRPr="0067750E">
        <w:rPr>
          <w:sz w:val="24"/>
          <w:szCs w:val="24"/>
          <w:lang w:val="el-GR"/>
        </w:rPr>
        <w:t xml:space="preserve"> </w:t>
      </w:r>
      <w:r w:rsidRPr="0067750E">
        <w:rPr>
          <w:sz w:val="24"/>
          <w:szCs w:val="24"/>
          <w:lang w:val="el-GR"/>
        </w:rPr>
        <w:tab/>
      </w:r>
      <w:r>
        <w:rPr>
          <w:sz w:val="24"/>
          <w:szCs w:val="24"/>
          <w:lang w:val="el-GR"/>
        </w:rPr>
        <w:t>ΕΕ</w:t>
      </w:r>
      <w:r w:rsidRPr="0067750E">
        <w:rPr>
          <w:iCs/>
          <w:color w:val="333333"/>
          <w:sz w:val="24"/>
          <w:szCs w:val="24"/>
          <w:shd w:val="clear" w:color="auto" w:fill="FFFFFF"/>
          <w:lang w:val="el-GR" w:eastAsia="en-GB"/>
        </w:rPr>
        <w:t xml:space="preserve"> </w:t>
      </w:r>
      <w:r w:rsidRPr="00DE3478">
        <w:rPr>
          <w:iCs/>
          <w:color w:val="333333"/>
          <w:sz w:val="24"/>
          <w:szCs w:val="24"/>
          <w:shd w:val="clear" w:color="auto" w:fill="FFFFFF"/>
          <w:lang w:val="pl-PL" w:eastAsia="en-GB"/>
        </w:rPr>
        <w:t>L</w:t>
      </w:r>
      <w:r w:rsidRPr="0067750E">
        <w:rPr>
          <w:iCs/>
          <w:color w:val="333333"/>
          <w:sz w:val="24"/>
          <w:szCs w:val="24"/>
          <w:shd w:val="clear" w:color="auto" w:fill="FFFFFF"/>
          <w:lang w:val="el-GR" w:eastAsia="en-GB"/>
        </w:rPr>
        <w:t xml:space="preserve">, 2025/38, 15.1.2025, </w:t>
      </w:r>
      <w:r w:rsidRPr="00DE3478">
        <w:rPr>
          <w:iCs/>
          <w:color w:val="333333"/>
          <w:sz w:val="24"/>
          <w:szCs w:val="24"/>
          <w:shd w:val="clear" w:color="auto" w:fill="FFFFFF"/>
          <w:lang w:val="pl-PL" w:eastAsia="en-GB"/>
        </w:rPr>
        <w:t>ELI</w:t>
      </w:r>
      <w:r w:rsidRPr="0067750E">
        <w:rPr>
          <w:iCs/>
          <w:color w:val="333333"/>
          <w:sz w:val="24"/>
          <w:szCs w:val="24"/>
          <w:shd w:val="clear" w:color="auto" w:fill="FFFFFF"/>
          <w:lang w:val="el-GR" w:eastAsia="en-GB"/>
        </w:rPr>
        <w:t>:</w:t>
      </w:r>
      <w:r w:rsidRPr="00DE3478">
        <w:rPr>
          <w:iCs/>
          <w:color w:val="333333"/>
          <w:sz w:val="24"/>
          <w:szCs w:val="24"/>
          <w:shd w:val="clear" w:color="auto" w:fill="FFFFFF"/>
          <w:lang w:val="pl-PL" w:eastAsia="en-GB"/>
        </w:rPr>
        <w:t> </w:t>
      </w:r>
      <w:hyperlink r:id="rId2" w:tgtFrame="_blank" w:tooltip="Gives access to this document through its ELI URI." w:history="1">
        <w:r w:rsidRPr="00DE3478">
          <w:rPr>
            <w:iCs/>
            <w:color w:val="337AB7"/>
            <w:sz w:val="24"/>
            <w:szCs w:val="24"/>
            <w:u w:val="single"/>
            <w:lang w:val="pl-PL" w:eastAsia="en-GB"/>
          </w:rPr>
          <w:t>http</w:t>
        </w:r>
        <w:r w:rsidRPr="0067750E">
          <w:rPr>
            <w:iCs/>
            <w:color w:val="337AB7"/>
            <w:sz w:val="24"/>
            <w:szCs w:val="24"/>
            <w:u w:val="single"/>
            <w:lang w:val="el-GR" w:eastAsia="en-GB"/>
          </w:rPr>
          <w:t>://</w:t>
        </w:r>
        <w:r w:rsidRPr="00DE3478">
          <w:rPr>
            <w:iCs/>
            <w:color w:val="337AB7"/>
            <w:sz w:val="24"/>
            <w:szCs w:val="24"/>
            <w:u w:val="single"/>
            <w:lang w:val="pl-PL" w:eastAsia="en-GB"/>
          </w:rPr>
          <w:t>data</w:t>
        </w:r>
        <w:r w:rsidRPr="0067750E">
          <w:rPr>
            <w:iCs/>
            <w:color w:val="337AB7"/>
            <w:sz w:val="24"/>
            <w:szCs w:val="24"/>
            <w:u w:val="single"/>
            <w:lang w:val="el-GR" w:eastAsia="en-GB"/>
          </w:rPr>
          <w:t>.</w:t>
        </w:r>
        <w:r w:rsidRPr="00DE3478">
          <w:rPr>
            <w:iCs/>
            <w:color w:val="337AB7"/>
            <w:sz w:val="24"/>
            <w:szCs w:val="24"/>
            <w:u w:val="single"/>
            <w:lang w:val="pl-PL" w:eastAsia="en-GB"/>
          </w:rPr>
          <w:t>europa</w:t>
        </w:r>
        <w:r w:rsidRPr="0067750E">
          <w:rPr>
            <w:iCs/>
            <w:color w:val="337AB7"/>
            <w:sz w:val="24"/>
            <w:szCs w:val="24"/>
            <w:u w:val="single"/>
            <w:lang w:val="el-GR" w:eastAsia="en-GB"/>
          </w:rPr>
          <w:t>.</w:t>
        </w:r>
        <w:r w:rsidRPr="00DE3478">
          <w:rPr>
            <w:iCs/>
            <w:color w:val="337AB7"/>
            <w:sz w:val="24"/>
            <w:szCs w:val="24"/>
            <w:u w:val="single"/>
            <w:lang w:val="pl-PL" w:eastAsia="en-GB"/>
          </w:rPr>
          <w:t>eu</w:t>
        </w:r>
        <w:r w:rsidRPr="0067750E">
          <w:rPr>
            <w:iCs/>
            <w:color w:val="337AB7"/>
            <w:sz w:val="24"/>
            <w:szCs w:val="24"/>
            <w:u w:val="single"/>
            <w:lang w:val="el-GR" w:eastAsia="en-GB"/>
          </w:rPr>
          <w:t>/</w:t>
        </w:r>
        <w:r w:rsidRPr="00DE3478">
          <w:rPr>
            <w:iCs/>
            <w:color w:val="337AB7"/>
            <w:sz w:val="24"/>
            <w:szCs w:val="24"/>
            <w:u w:val="single"/>
            <w:lang w:val="pl-PL" w:eastAsia="en-GB"/>
          </w:rPr>
          <w:t>eli</w:t>
        </w:r>
        <w:r w:rsidRPr="0067750E">
          <w:rPr>
            <w:iCs/>
            <w:color w:val="337AB7"/>
            <w:sz w:val="24"/>
            <w:szCs w:val="24"/>
            <w:u w:val="single"/>
            <w:lang w:val="el-GR" w:eastAsia="en-GB"/>
          </w:rPr>
          <w:t>/</w:t>
        </w:r>
        <w:r w:rsidRPr="00DE3478">
          <w:rPr>
            <w:iCs/>
            <w:color w:val="337AB7"/>
            <w:sz w:val="24"/>
            <w:szCs w:val="24"/>
            <w:u w:val="single"/>
            <w:lang w:val="pl-PL" w:eastAsia="en-GB"/>
          </w:rPr>
          <w:t>reg</w:t>
        </w:r>
        <w:r w:rsidRPr="0067750E">
          <w:rPr>
            <w:iCs/>
            <w:color w:val="337AB7"/>
            <w:sz w:val="24"/>
            <w:szCs w:val="24"/>
            <w:u w:val="single"/>
            <w:lang w:val="el-GR" w:eastAsia="en-GB"/>
          </w:rPr>
          <w:t>/2025/38/</w:t>
        </w:r>
        <w:r w:rsidRPr="00DE3478">
          <w:rPr>
            <w:iCs/>
            <w:color w:val="337AB7"/>
            <w:sz w:val="24"/>
            <w:szCs w:val="24"/>
            <w:u w:val="single"/>
            <w:lang w:val="pl-PL" w:eastAsia="en-GB"/>
          </w:rPr>
          <w:t>oj</w:t>
        </w:r>
      </w:hyperlink>
      <w:r w:rsidRPr="0067750E">
        <w:rPr>
          <w:sz w:val="24"/>
          <w:szCs w:val="24"/>
          <w:lang w:val="el-GR"/>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2339D" w:rsidRDefault="0082339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2339D" w:rsidRDefault="0082339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2339D" w:rsidRDefault="0082339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402"/>
    <w:multiLevelType w:val="multilevel"/>
    <w:tmpl w:val="00000885"/>
    <w:lvl w:ilvl="0">
      <w:start w:val="1"/>
      <w:numFmt w:val="decimal"/>
      <w:lvlText w:val="(%1)"/>
      <w:lvlJc w:val="left"/>
      <w:pPr>
        <w:ind w:left="116" w:hanging="281"/>
      </w:pPr>
      <w:rPr>
        <w:rFonts w:ascii="Times New Roman" w:hAnsi="Times New Roman" w:cs="Times New Roman"/>
        <w:b w:val="0"/>
        <w:bCs w:val="0"/>
        <w:i w:val="0"/>
        <w:iCs w:val="0"/>
        <w:w w:val="99"/>
        <w:sz w:val="22"/>
        <w:szCs w:val="22"/>
      </w:rPr>
    </w:lvl>
    <w:lvl w:ilvl="1">
      <w:numFmt w:val="bullet"/>
      <w:lvlText w:val="•"/>
      <w:lvlJc w:val="left"/>
      <w:pPr>
        <w:ind w:left="1038" w:hanging="281"/>
      </w:pPr>
    </w:lvl>
    <w:lvl w:ilvl="2">
      <w:numFmt w:val="bullet"/>
      <w:lvlText w:val="•"/>
      <w:lvlJc w:val="left"/>
      <w:pPr>
        <w:ind w:left="1957" w:hanging="281"/>
      </w:pPr>
    </w:lvl>
    <w:lvl w:ilvl="3">
      <w:numFmt w:val="bullet"/>
      <w:lvlText w:val="•"/>
      <w:lvlJc w:val="left"/>
      <w:pPr>
        <w:ind w:left="2875" w:hanging="281"/>
      </w:pPr>
    </w:lvl>
    <w:lvl w:ilvl="4">
      <w:numFmt w:val="bullet"/>
      <w:lvlText w:val="•"/>
      <w:lvlJc w:val="left"/>
      <w:pPr>
        <w:ind w:left="3794" w:hanging="281"/>
      </w:pPr>
    </w:lvl>
    <w:lvl w:ilvl="5">
      <w:numFmt w:val="bullet"/>
      <w:lvlText w:val="•"/>
      <w:lvlJc w:val="left"/>
      <w:pPr>
        <w:ind w:left="4713" w:hanging="281"/>
      </w:pPr>
    </w:lvl>
    <w:lvl w:ilvl="6">
      <w:numFmt w:val="bullet"/>
      <w:lvlText w:val="•"/>
      <w:lvlJc w:val="left"/>
      <w:pPr>
        <w:ind w:left="5631" w:hanging="281"/>
      </w:pPr>
    </w:lvl>
    <w:lvl w:ilvl="7">
      <w:numFmt w:val="bullet"/>
      <w:lvlText w:val="•"/>
      <w:lvlJc w:val="left"/>
      <w:pPr>
        <w:ind w:left="6550" w:hanging="281"/>
      </w:pPr>
    </w:lvl>
    <w:lvl w:ilvl="8">
      <w:numFmt w:val="bullet"/>
      <w:lvlText w:val="•"/>
      <w:lvlJc w:val="left"/>
      <w:pPr>
        <w:ind w:left="7469" w:hanging="281"/>
      </w:pPr>
    </w:lvl>
  </w:abstractNum>
  <w:abstractNum w:abstractNumId="11" w15:restartNumberingAfterBreak="0">
    <w:nsid w:val="00000403"/>
    <w:multiLevelType w:val="multilevel"/>
    <w:tmpl w:val="00000886"/>
    <w:lvl w:ilvl="0">
      <w:start w:val="1"/>
      <w:numFmt w:val="decimal"/>
      <w:lvlText w:val="%1."/>
      <w:lvlJc w:val="left"/>
      <w:pPr>
        <w:ind w:left="116" w:hanging="271"/>
      </w:pPr>
      <w:rPr>
        <w:rFonts w:ascii="Times New Roman" w:hAnsi="Times New Roman" w:cs="Times New Roman"/>
        <w:b w:val="0"/>
        <w:bCs w:val="0"/>
        <w:i w:val="0"/>
        <w:iCs w:val="0"/>
        <w:w w:val="100"/>
        <w:sz w:val="24"/>
        <w:szCs w:val="24"/>
      </w:rPr>
    </w:lvl>
    <w:lvl w:ilvl="1">
      <w:numFmt w:val="bullet"/>
      <w:lvlText w:val="•"/>
      <w:lvlJc w:val="left"/>
      <w:pPr>
        <w:ind w:left="1038" w:hanging="271"/>
      </w:pPr>
    </w:lvl>
    <w:lvl w:ilvl="2">
      <w:numFmt w:val="bullet"/>
      <w:lvlText w:val="•"/>
      <w:lvlJc w:val="left"/>
      <w:pPr>
        <w:ind w:left="1957" w:hanging="271"/>
      </w:pPr>
    </w:lvl>
    <w:lvl w:ilvl="3">
      <w:numFmt w:val="bullet"/>
      <w:lvlText w:val="•"/>
      <w:lvlJc w:val="left"/>
      <w:pPr>
        <w:ind w:left="2875" w:hanging="271"/>
      </w:pPr>
    </w:lvl>
    <w:lvl w:ilvl="4">
      <w:numFmt w:val="bullet"/>
      <w:lvlText w:val="•"/>
      <w:lvlJc w:val="left"/>
      <w:pPr>
        <w:ind w:left="3794" w:hanging="271"/>
      </w:pPr>
    </w:lvl>
    <w:lvl w:ilvl="5">
      <w:numFmt w:val="bullet"/>
      <w:lvlText w:val="•"/>
      <w:lvlJc w:val="left"/>
      <w:pPr>
        <w:ind w:left="4713" w:hanging="271"/>
      </w:pPr>
    </w:lvl>
    <w:lvl w:ilvl="6">
      <w:numFmt w:val="bullet"/>
      <w:lvlText w:val="•"/>
      <w:lvlJc w:val="left"/>
      <w:pPr>
        <w:ind w:left="5631" w:hanging="271"/>
      </w:pPr>
    </w:lvl>
    <w:lvl w:ilvl="7">
      <w:numFmt w:val="bullet"/>
      <w:lvlText w:val="•"/>
      <w:lvlJc w:val="left"/>
      <w:pPr>
        <w:ind w:left="6550" w:hanging="271"/>
      </w:pPr>
    </w:lvl>
    <w:lvl w:ilvl="8">
      <w:numFmt w:val="bullet"/>
      <w:lvlText w:val="•"/>
      <w:lvlJc w:val="left"/>
      <w:pPr>
        <w:ind w:left="7469" w:hanging="271"/>
      </w:pPr>
    </w:lvl>
  </w:abstractNum>
  <w:abstractNum w:abstractNumId="12" w15:restartNumberingAfterBreak="0">
    <w:nsid w:val="00000404"/>
    <w:multiLevelType w:val="multilevel"/>
    <w:tmpl w:val="00000887"/>
    <w:lvl w:ilvl="0">
      <w:start w:val="3"/>
      <w:numFmt w:val="decimal"/>
      <w:lvlText w:val="%1"/>
      <w:lvlJc w:val="left"/>
      <w:pPr>
        <w:ind w:left="536" w:hanging="420"/>
      </w:pPr>
    </w:lvl>
    <w:lvl w:ilvl="1">
      <w:start w:val="1"/>
      <w:numFmt w:val="decimal"/>
      <w:lvlText w:val="%1.%2."/>
      <w:lvlJc w:val="left"/>
      <w:pPr>
        <w:ind w:left="536" w:hanging="420"/>
      </w:pPr>
      <w:rPr>
        <w:rFonts w:ascii="Times New Roman" w:hAnsi="Times New Roman" w:cs="Times New Roman"/>
        <w:b w:val="0"/>
        <w:bCs w:val="0"/>
        <w:i w:val="0"/>
        <w:iCs w:val="0"/>
        <w:w w:val="100"/>
        <w:sz w:val="24"/>
        <w:szCs w:val="24"/>
      </w:rPr>
    </w:lvl>
    <w:lvl w:ilvl="2">
      <w:numFmt w:val="bullet"/>
      <w:lvlText w:val="•"/>
      <w:lvlJc w:val="left"/>
      <w:pPr>
        <w:ind w:left="2293" w:hanging="420"/>
      </w:pPr>
    </w:lvl>
    <w:lvl w:ilvl="3">
      <w:numFmt w:val="bullet"/>
      <w:lvlText w:val="•"/>
      <w:lvlJc w:val="left"/>
      <w:pPr>
        <w:ind w:left="3169" w:hanging="420"/>
      </w:pPr>
    </w:lvl>
    <w:lvl w:ilvl="4">
      <w:numFmt w:val="bullet"/>
      <w:lvlText w:val="•"/>
      <w:lvlJc w:val="left"/>
      <w:pPr>
        <w:ind w:left="4046" w:hanging="420"/>
      </w:pPr>
    </w:lvl>
    <w:lvl w:ilvl="5">
      <w:numFmt w:val="bullet"/>
      <w:lvlText w:val="•"/>
      <w:lvlJc w:val="left"/>
      <w:pPr>
        <w:ind w:left="4923" w:hanging="420"/>
      </w:pPr>
    </w:lvl>
    <w:lvl w:ilvl="6">
      <w:numFmt w:val="bullet"/>
      <w:lvlText w:val="•"/>
      <w:lvlJc w:val="left"/>
      <w:pPr>
        <w:ind w:left="5799" w:hanging="420"/>
      </w:pPr>
    </w:lvl>
    <w:lvl w:ilvl="7">
      <w:numFmt w:val="bullet"/>
      <w:lvlText w:val="•"/>
      <w:lvlJc w:val="left"/>
      <w:pPr>
        <w:ind w:left="6676" w:hanging="420"/>
      </w:pPr>
    </w:lvl>
    <w:lvl w:ilvl="8">
      <w:numFmt w:val="bullet"/>
      <w:lvlText w:val="•"/>
      <w:lvlJc w:val="left"/>
      <w:pPr>
        <w:ind w:left="7553" w:hanging="420"/>
      </w:pPr>
    </w:lvl>
  </w:abstractNum>
  <w:abstractNum w:abstractNumId="13"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4"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3"/>
  </w:num>
  <w:num w:numId="42">
    <w:abstractNumId w:val="13"/>
  </w:num>
  <w:num w:numId="43">
    <w:abstractNumId w:val="13"/>
  </w:num>
  <w:num w:numId="44">
    <w:abstractNumId w:val="14"/>
  </w:num>
  <w:num w:numId="45">
    <w:abstractNumId w:val="12"/>
  </w:num>
  <w:num w:numId="46">
    <w:abstractNumId w:val="11"/>
  </w:num>
  <w:num w:numId="4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426/2023"/>
    <w:docVar w:name="dvlangue" w:val="EL"/>
    <w:docVar w:name="dvnumam" w:val="0"/>
    <w:docVar w:name="dvpe" w:val="752.795"/>
    <w:docVar w:name="dvrapporteur" w:val="Εισηγήτρια: "/>
    <w:docVar w:name="dvstar" w:val="***I"/>
    <w:docVar w:name="dvtitre" w:val="Νομοθετικό ψήφισμα του Ευρωπαϊκού Κοινοβουλίου σχετικά με την πρόταση κανονισμού του Ευρωπαϊκού Κοινοβουλίου και του Συμβουλίου που αφορά τον καθορισμό μέτρων για την ενίσχυση της αλληλεγγύης και των ικανοτήτων της Ένωσης για την ανίχνευση, την προετοιμασία και την αντιμετώπιση απειλών και περιστατικών κυβερνοασφάλειας(COM(2023)0209 – C9-0136/2023 – 2023/0109(COD))"/>
    <w:docVar w:name="strDocTypeID" w:val="NONE"/>
  </w:docVars>
  <w:rsids>
    <w:rsidRoot w:val="002833E3"/>
    <w:rsid w:val="00002272"/>
    <w:rsid w:val="00064002"/>
    <w:rsid w:val="000677B9"/>
    <w:rsid w:val="000831BA"/>
    <w:rsid w:val="000A42CC"/>
    <w:rsid w:val="000E7DD9"/>
    <w:rsid w:val="0010095E"/>
    <w:rsid w:val="00125B37"/>
    <w:rsid w:val="00187494"/>
    <w:rsid w:val="001F32AE"/>
    <w:rsid w:val="002371F3"/>
    <w:rsid w:val="0026766E"/>
    <w:rsid w:val="002767FF"/>
    <w:rsid w:val="002833E3"/>
    <w:rsid w:val="002B18FE"/>
    <w:rsid w:val="002B5493"/>
    <w:rsid w:val="00343214"/>
    <w:rsid w:val="00361C00"/>
    <w:rsid w:val="003705AF"/>
    <w:rsid w:val="003867A5"/>
    <w:rsid w:val="00395FA1"/>
    <w:rsid w:val="003B0C18"/>
    <w:rsid w:val="003B1DF7"/>
    <w:rsid w:val="003E15D4"/>
    <w:rsid w:val="00411CCE"/>
    <w:rsid w:val="0041666E"/>
    <w:rsid w:val="00421060"/>
    <w:rsid w:val="00471C19"/>
    <w:rsid w:val="004827EE"/>
    <w:rsid w:val="004867E3"/>
    <w:rsid w:val="00494A28"/>
    <w:rsid w:val="004C0004"/>
    <w:rsid w:val="004C5D52"/>
    <w:rsid w:val="0050519A"/>
    <w:rsid w:val="005072A1"/>
    <w:rsid w:val="00514517"/>
    <w:rsid w:val="00545827"/>
    <w:rsid w:val="00560270"/>
    <w:rsid w:val="005C2568"/>
    <w:rsid w:val="006037C0"/>
    <w:rsid w:val="00616A2E"/>
    <w:rsid w:val="006631B6"/>
    <w:rsid w:val="0067750E"/>
    <w:rsid w:val="00680577"/>
    <w:rsid w:val="006F74FA"/>
    <w:rsid w:val="00731ADD"/>
    <w:rsid w:val="00734777"/>
    <w:rsid w:val="00747932"/>
    <w:rsid w:val="00751A4A"/>
    <w:rsid w:val="00756632"/>
    <w:rsid w:val="00762C74"/>
    <w:rsid w:val="00786EC0"/>
    <w:rsid w:val="007D1690"/>
    <w:rsid w:val="007E22AD"/>
    <w:rsid w:val="008027D2"/>
    <w:rsid w:val="00817416"/>
    <w:rsid w:val="0082339D"/>
    <w:rsid w:val="00842779"/>
    <w:rsid w:val="00865F67"/>
    <w:rsid w:val="00881A7B"/>
    <w:rsid w:val="00882ED4"/>
    <w:rsid w:val="008840E5"/>
    <w:rsid w:val="00887B3E"/>
    <w:rsid w:val="008C2AC6"/>
    <w:rsid w:val="00930C23"/>
    <w:rsid w:val="0093193B"/>
    <w:rsid w:val="009509D8"/>
    <w:rsid w:val="00950B64"/>
    <w:rsid w:val="00981893"/>
    <w:rsid w:val="00A1687D"/>
    <w:rsid w:val="00A43E52"/>
    <w:rsid w:val="00A4678D"/>
    <w:rsid w:val="00A778C7"/>
    <w:rsid w:val="00AB441E"/>
    <w:rsid w:val="00AB6293"/>
    <w:rsid w:val="00AE0928"/>
    <w:rsid w:val="00AF3B82"/>
    <w:rsid w:val="00B12E95"/>
    <w:rsid w:val="00B22876"/>
    <w:rsid w:val="00B513B1"/>
    <w:rsid w:val="00B558F0"/>
    <w:rsid w:val="00BD48FE"/>
    <w:rsid w:val="00BD610E"/>
    <w:rsid w:val="00BD7BD8"/>
    <w:rsid w:val="00BE6ADC"/>
    <w:rsid w:val="00C0577E"/>
    <w:rsid w:val="00C05BFE"/>
    <w:rsid w:val="00C23CD4"/>
    <w:rsid w:val="00C61C0C"/>
    <w:rsid w:val="00C941CB"/>
    <w:rsid w:val="00CC2357"/>
    <w:rsid w:val="00CF071A"/>
    <w:rsid w:val="00D058B8"/>
    <w:rsid w:val="00D56C11"/>
    <w:rsid w:val="00D834A0"/>
    <w:rsid w:val="00D84A6E"/>
    <w:rsid w:val="00D872DF"/>
    <w:rsid w:val="00D91E21"/>
    <w:rsid w:val="00DA7FCD"/>
    <w:rsid w:val="00DE597A"/>
    <w:rsid w:val="00E365E1"/>
    <w:rsid w:val="00E820A4"/>
    <w:rsid w:val="00EB006A"/>
    <w:rsid w:val="00EB4772"/>
    <w:rsid w:val="00ED169E"/>
    <w:rsid w:val="00ED4235"/>
    <w:rsid w:val="00F04346"/>
    <w:rsid w:val="00F075DC"/>
    <w:rsid w:val="00F149E9"/>
    <w:rsid w:val="00F5134D"/>
    <w:rsid w:val="00F74202"/>
    <w:rsid w:val="00F87713"/>
    <w:rsid w:val="00F90741"/>
    <w:rsid w:val="00F957EB"/>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F58C7DF"/>
  <w15:chartTrackingRefBased/>
  <w15:docId w15:val="{2AF1490B-153F-4755-A47A-A5DF39F875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Body Text" w:qFormat="1"/>
    <w:lsdException w:name="Subtitle" w:qFormat="1"/>
    <w:lsdException w:name="Hyperlink" w:uiPriority="99"/>
    <w:lsdException w:name="Strong" w:qFormat="1"/>
    <w:lsdException w:name="Emphasis" w:uiPriority="20"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lang w:val="el-GR"/>
    </w:rPr>
  </w:style>
  <w:style w:type="paragraph" w:styleId="Heading1">
    <w:name w:val="heading 1"/>
    <w:basedOn w:val="Normal"/>
    <w:next w:val="Normal"/>
    <w:link w:val="Heading1Char"/>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link w:val="Heading3Char"/>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link w:val="Heading4Char"/>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link w:val="Heading5Char"/>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link w:val="Heading6Char"/>
    <w:semiHidden/>
    <w:qFormat/>
    <w:pPr>
      <w:spacing w:before="240" w:after="60"/>
      <w:outlineLvl w:val="5"/>
    </w:pPr>
    <w:rPr>
      <w:i/>
      <w:sz w:val="22"/>
    </w:rPr>
  </w:style>
  <w:style w:type="paragraph" w:styleId="Heading7">
    <w:name w:val="heading 7"/>
    <w:basedOn w:val="Normal"/>
    <w:next w:val="Normal"/>
    <w:link w:val="Heading7Char"/>
    <w:semiHidden/>
    <w:qFormat/>
    <w:pPr>
      <w:spacing w:before="240" w:after="60"/>
      <w:outlineLvl w:val="6"/>
    </w:pPr>
    <w:rPr>
      <w:rFonts w:ascii="Arial" w:hAnsi="Arial"/>
    </w:rPr>
  </w:style>
  <w:style w:type="paragraph" w:styleId="Heading8">
    <w:name w:val="heading 8"/>
    <w:basedOn w:val="Normal"/>
    <w:next w:val="Normal"/>
    <w:link w:val="Heading8Char"/>
    <w:semiHidden/>
    <w:qFormat/>
    <w:pPr>
      <w:spacing w:before="240" w:after="60"/>
      <w:outlineLvl w:val="7"/>
    </w:pPr>
    <w:rPr>
      <w:rFonts w:ascii="Arial" w:hAnsi="Arial"/>
      <w:i/>
    </w:rPr>
  </w:style>
  <w:style w:type="paragraph" w:styleId="Heading9">
    <w:name w:val="heading 9"/>
    <w:basedOn w:val="Normal"/>
    <w:next w:val="Normal"/>
    <w:link w:val="Heading9Char"/>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rsid w:val="00395FA1"/>
  </w:style>
  <w:style w:type="paragraph" w:styleId="TOC2">
    <w:name w:val="toc 2"/>
    <w:basedOn w:val="Normal"/>
    <w:next w:val="Normal"/>
    <w:autoRedefine/>
    <w:rsid w:val="00395FA1"/>
    <w:pPr>
      <w:keepNext/>
      <w:keepLines/>
      <w:widowControl/>
    </w:pPr>
    <w:rPr>
      <w:b/>
      <w:noProof/>
      <w:lang w:val="fr-FR" w:eastAsia="fr-FR"/>
    </w:rPr>
  </w:style>
  <w:style w:type="paragraph" w:styleId="TOC3">
    <w:name w:val="toc 3"/>
    <w:basedOn w:val="Normal"/>
    <w:next w:val="Normal"/>
    <w:autoRedefine/>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EPFooter2">
    <w:name w:val="EPFooter2"/>
    <w:basedOn w:val="Normal"/>
    <w:next w:val="Normal"/>
    <w:rsid w:val="008027D2"/>
    <w:pPr>
      <w:widowControl/>
      <w:tabs>
        <w:tab w:val="center" w:pos="4535"/>
        <w:tab w:val="right" w:pos="9921"/>
      </w:tabs>
      <w:ind w:left="-850" w:right="-850"/>
    </w:pPr>
    <w:rPr>
      <w:rFonts w:ascii="Arial" w:hAnsi="Arial" w:cs="Arial"/>
      <w:b/>
      <w:sz w:val="48"/>
    </w:rPr>
  </w:style>
  <w:style w:type="paragraph" w:customStyle="1" w:styleId="Normal6a">
    <w:name w:val="Normal6a"/>
    <w:basedOn w:val="Normal"/>
    <w:rsid w:val="008027D2"/>
    <w:pPr>
      <w:spacing w:after="120"/>
    </w:pPr>
  </w:style>
  <w:style w:type="paragraph" w:customStyle="1" w:styleId="NormalBold">
    <w:name w:val="NormalBold"/>
    <w:basedOn w:val="Normal"/>
    <w:link w:val="NormalBoldChar"/>
    <w:rsid w:val="008027D2"/>
    <w:rPr>
      <w:b/>
    </w:rPr>
  </w:style>
  <w:style w:type="character" w:customStyle="1" w:styleId="NormalBoldChar">
    <w:name w:val="NormalBold Char"/>
    <w:basedOn w:val="DefaultParagraphFont"/>
    <w:link w:val="NormalBold"/>
    <w:locked/>
    <w:rsid w:val="008027D2"/>
    <w:rPr>
      <w:b/>
      <w:sz w:val="24"/>
      <w:lang w:val="el-GR"/>
    </w:rPr>
  </w:style>
  <w:style w:type="paragraph" w:customStyle="1" w:styleId="NormalBold12a">
    <w:name w:val="NormalBold12a"/>
    <w:basedOn w:val="Normal"/>
    <w:rsid w:val="008027D2"/>
    <w:pPr>
      <w:spacing w:after="240"/>
    </w:pPr>
    <w:rPr>
      <w:b/>
    </w:rPr>
  </w:style>
  <w:style w:type="paragraph" w:customStyle="1" w:styleId="NormalHanging12a">
    <w:name w:val="NormalHanging12a"/>
    <w:basedOn w:val="Normal"/>
    <w:rsid w:val="008027D2"/>
    <w:pPr>
      <w:spacing w:after="240"/>
      <w:ind w:left="567" w:hanging="567"/>
    </w:pPr>
  </w:style>
  <w:style w:type="paragraph" w:styleId="Header">
    <w:name w:val="header"/>
    <w:basedOn w:val="Normal"/>
    <w:link w:val="HeaderChar"/>
    <w:rsid w:val="008027D2"/>
    <w:pPr>
      <w:tabs>
        <w:tab w:val="center" w:pos="4513"/>
        <w:tab w:val="right" w:pos="9026"/>
      </w:tabs>
    </w:pPr>
  </w:style>
  <w:style w:type="character" w:customStyle="1" w:styleId="HeaderChar">
    <w:name w:val="Header Char"/>
    <w:basedOn w:val="DefaultParagraphFont"/>
    <w:link w:val="Header"/>
    <w:rsid w:val="008027D2"/>
    <w:rPr>
      <w:sz w:val="24"/>
      <w:lang w:val="el-GR"/>
    </w:rPr>
  </w:style>
  <w:style w:type="paragraph" w:customStyle="1" w:styleId="AmNumberTabs">
    <w:name w:val="AmNumberTabs"/>
    <w:basedOn w:val="Normal"/>
    <w:link w:val="AmNumberTabsChar"/>
    <w:rsid w:val="008027D2"/>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EPFooter">
    <w:name w:val="EPFooter"/>
    <w:basedOn w:val="Normal"/>
    <w:rsid w:val="008027D2"/>
    <w:pPr>
      <w:tabs>
        <w:tab w:val="center" w:pos="4535"/>
        <w:tab w:val="right" w:pos="9071"/>
      </w:tabs>
      <w:spacing w:before="240" w:after="240"/>
    </w:pPr>
    <w:rPr>
      <w:color w:val="010000"/>
      <w:sz w:val="22"/>
    </w:rPr>
  </w:style>
  <w:style w:type="paragraph" w:customStyle="1" w:styleId="EPComma">
    <w:name w:val="EPComma"/>
    <w:basedOn w:val="Normal"/>
    <w:rsid w:val="008027D2"/>
    <w:pPr>
      <w:spacing w:before="480" w:after="240"/>
    </w:pPr>
  </w:style>
  <w:style w:type="character" w:styleId="Hyperlink">
    <w:name w:val="Hyperlink"/>
    <w:basedOn w:val="DefaultParagraphFont"/>
    <w:uiPriority w:val="99"/>
    <w:rsid w:val="008027D2"/>
    <w:rPr>
      <w:color w:val="0563C1" w:themeColor="hyperlink"/>
      <w:u w:val="single"/>
    </w:rPr>
  </w:style>
  <w:style w:type="paragraph" w:customStyle="1" w:styleId="NormalCenter12a">
    <w:name w:val="NormalCenter12a"/>
    <w:basedOn w:val="Normal"/>
    <w:rsid w:val="008027D2"/>
    <w:pPr>
      <w:spacing w:after="240"/>
      <w:jc w:val="center"/>
    </w:pPr>
  </w:style>
  <w:style w:type="character" w:customStyle="1" w:styleId="AmNumberTabsChar">
    <w:name w:val="AmNumberTabs Char"/>
    <w:basedOn w:val="DefaultParagraphFont"/>
    <w:link w:val="AmNumberTabs"/>
    <w:locked/>
    <w:rsid w:val="008027D2"/>
    <w:rPr>
      <w:b/>
      <w:sz w:val="24"/>
      <w:lang w:val="el-GR"/>
    </w:rPr>
  </w:style>
  <w:style w:type="paragraph" w:customStyle="1" w:styleId="AmHeadingConsam">
    <w:name w:val="AmHeadingConsam"/>
    <w:basedOn w:val="Normal"/>
    <w:next w:val="NormalCenter12a"/>
    <w:rsid w:val="008027D2"/>
    <w:pPr>
      <w:spacing w:before="720" w:after="240"/>
      <w:jc w:val="center"/>
    </w:pPr>
  </w:style>
  <w:style w:type="character" w:styleId="Emphasis">
    <w:name w:val="Emphasis"/>
    <w:basedOn w:val="DefaultParagraphFont"/>
    <w:uiPriority w:val="20"/>
    <w:qFormat/>
    <w:rsid w:val="008027D2"/>
    <w:rPr>
      <w:i/>
      <w:iCs/>
    </w:rPr>
  </w:style>
  <w:style w:type="paragraph" w:customStyle="1" w:styleId="ManualConsidrant">
    <w:name w:val="Manual Considérant"/>
    <w:basedOn w:val="Normal"/>
    <w:rsid w:val="008027D2"/>
    <w:pPr>
      <w:widowControl/>
      <w:spacing w:before="120" w:after="120"/>
      <w:ind w:left="709" w:hanging="709"/>
      <w:jc w:val="both"/>
    </w:pPr>
    <w:rPr>
      <w:rFonts w:eastAsiaTheme="minorHAnsi"/>
      <w:szCs w:val="22"/>
      <w:lang w:eastAsia="en-US"/>
    </w:rPr>
  </w:style>
  <w:style w:type="character" w:customStyle="1" w:styleId="eop">
    <w:name w:val="eop"/>
    <w:basedOn w:val="DefaultParagraphFont"/>
    <w:rsid w:val="008027D2"/>
  </w:style>
  <w:style w:type="paragraph" w:customStyle="1" w:styleId="Point0">
    <w:name w:val="Point 0"/>
    <w:basedOn w:val="Normal"/>
    <w:rsid w:val="008027D2"/>
    <w:pPr>
      <w:widowControl/>
      <w:spacing w:before="120" w:after="120"/>
      <w:ind w:left="850" w:hanging="850"/>
      <w:jc w:val="both"/>
    </w:pPr>
    <w:rPr>
      <w:rFonts w:eastAsiaTheme="minorHAnsi"/>
      <w:szCs w:val="22"/>
      <w:lang w:eastAsia="en-US"/>
    </w:rPr>
  </w:style>
  <w:style w:type="paragraph" w:customStyle="1" w:styleId="paragraph">
    <w:name w:val="paragraph"/>
    <w:basedOn w:val="Normal"/>
    <w:rsid w:val="008027D2"/>
    <w:pPr>
      <w:widowControl/>
      <w:spacing w:beforeAutospacing="1" w:after="200" w:afterAutospacing="1" w:line="276" w:lineRule="auto"/>
    </w:pPr>
    <w:rPr>
      <w:szCs w:val="24"/>
      <w:lang w:eastAsia="en-IE"/>
    </w:rPr>
  </w:style>
  <w:style w:type="paragraph" w:styleId="ListParagraph">
    <w:name w:val="List Paragraph"/>
    <w:aliases w:val="Listaszerű bekezdés1,List Paragraph à moi,Colorful List - Accent 11,Medium Grid 1 - Accent 21,Listaszeru bekezdés1,Colorful List - Accent 111,Dot pt,F5 List Paragraph,List Paragraph1,No Spacing1,List Paragraph Char Char Char,Bullets"/>
    <w:basedOn w:val="Normal"/>
    <w:link w:val="ListParagraphChar"/>
    <w:uiPriority w:val="34"/>
    <w:qFormat/>
    <w:rsid w:val="008027D2"/>
    <w:pPr>
      <w:ind w:left="720"/>
      <w:contextualSpacing/>
    </w:pPr>
  </w:style>
  <w:style w:type="character" w:customStyle="1" w:styleId="normaltextrun">
    <w:name w:val="normaltextrun"/>
    <w:basedOn w:val="DefaultParagraphFont"/>
    <w:rsid w:val="008027D2"/>
  </w:style>
  <w:style w:type="character" w:customStyle="1" w:styleId="ListParagraphChar">
    <w:name w:val="List Paragraph Char"/>
    <w:aliases w:val="Listaszerű bekezdés1 Char,List Paragraph à moi Char,Colorful List - Accent 11 Char,Medium Grid 1 - Accent 21 Char,Listaszeru bekezdés1 Char,Colorful List - Accent 111 Char,Dot pt Char,F5 List Paragraph Char,List Paragraph1 Char"/>
    <w:link w:val="ListParagraph"/>
    <w:uiPriority w:val="34"/>
    <w:qFormat/>
    <w:rsid w:val="008027D2"/>
    <w:rPr>
      <w:sz w:val="24"/>
      <w:lang w:val="el-GR"/>
    </w:rPr>
  </w:style>
  <w:style w:type="paragraph" w:customStyle="1" w:styleId="Normal0">
    <w:name w:val="_Normal"/>
    <w:basedOn w:val="Normal"/>
    <w:link w:val="NormalCar"/>
    <w:qFormat/>
    <w:rsid w:val="008027D2"/>
    <w:pPr>
      <w:widowControl/>
      <w:spacing w:before="120" w:after="120" w:line="240" w:lineRule="atLeast"/>
      <w:jc w:val="both"/>
    </w:pPr>
    <w:rPr>
      <w:rFonts w:ascii="Arial" w:hAnsi="Arial"/>
      <w:sz w:val="20"/>
      <w:szCs w:val="24"/>
      <w:lang w:eastAsia="en-US"/>
    </w:rPr>
  </w:style>
  <w:style w:type="character" w:customStyle="1" w:styleId="NormalCar">
    <w:name w:val="_Normal Car"/>
    <w:link w:val="Normal0"/>
    <w:rsid w:val="008027D2"/>
    <w:rPr>
      <w:rFonts w:ascii="Arial" w:hAnsi="Arial"/>
      <w:szCs w:val="24"/>
      <w:lang w:val="el-GR" w:eastAsia="en-US"/>
    </w:rPr>
  </w:style>
  <w:style w:type="paragraph" w:styleId="BodyText">
    <w:name w:val="Body Text"/>
    <w:basedOn w:val="Normal"/>
    <w:link w:val="BodyTextChar"/>
    <w:qFormat/>
    <w:rsid w:val="008027D2"/>
    <w:pPr>
      <w:autoSpaceDE w:val="0"/>
      <w:autoSpaceDN w:val="0"/>
      <w:adjustRightInd w:val="0"/>
    </w:pPr>
    <w:rPr>
      <w:rFonts w:eastAsiaTheme="minorEastAsia"/>
      <w:szCs w:val="24"/>
    </w:rPr>
  </w:style>
  <w:style w:type="character" w:customStyle="1" w:styleId="BodyTextChar">
    <w:name w:val="Body Text Char"/>
    <w:basedOn w:val="DefaultParagraphFont"/>
    <w:link w:val="BodyText"/>
    <w:rsid w:val="008027D2"/>
    <w:rPr>
      <w:rFonts w:eastAsiaTheme="minorEastAsia"/>
      <w:sz w:val="24"/>
      <w:szCs w:val="24"/>
      <w:lang w:val="el-GR"/>
    </w:rPr>
  </w:style>
  <w:style w:type="paragraph" w:styleId="Footer">
    <w:name w:val="footer"/>
    <w:basedOn w:val="Normal"/>
    <w:link w:val="FooterChar"/>
    <w:uiPriority w:val="99"/>
    <w:rsid w:val="00882ED4"/>
    <w:pPr>
      <w:tabs>
        <w:tab w:val="center" w:pos="4513"/>
        <w:tab w:val="right" w:pos="9026"/>
      </w:tabs>
    </w:pPr>
  </w:style>
  <w:style w:type="character" w:customStyle="1" w:styleId="FooterChar">
    <w:name w:val="Footer Char"/>
    <w:basedOn w:val="DefaultParagraphFont"/>
    <w:link w:val="Footer"/>
    <w:uiPriority w:val="99"/>
    <w:rsid w:val="00882ED4"/>
    <w:rPr>
      <w:sz w:val="24"/>
      <w:lang w:val="el-GR"/>
    </w:rPr>
  </w:style>
  <w:style w:type="paragraph" w:styleId="BalloonText">
    <w:name w:val="Balloon Text"/>
    <w:basedOn w:val="Normal"/>
    <w:link w:val="BalloonTextChar"/>
    <w:rsid w:val="004827EE"/>
    <w:rPr>
      <w:rFonts w:ascii="Segoe UI" w:hAnsi="Segoe UI" w:cs="Segoe UI"/>
      <w:sz w:val="18"/>
      <w:szCs w:val="18"/>
    </w:rPr>
  </w:style>
  <w:style w:type="character" w:customStyle="1" w:styleId="BalloonTextChar">
    <w:name w:val="Balloon Text Char"/>
    <w:basedOn w:val="DefaultParagraphFont"/>
    <w:link w:val="BalloonText"/>
    <w:rsid w:val="004827EE"/>
    <w:rPr>
      <w:rFonts w:ascii="Segoe UI" w:hAnsi="Segoe UI" w:cs="Segoe UI"/>
      <w:sz w:val="18"/>
      <w:szCs w:val="18"/>
      <w:lang w:val="el-GR"/>
    </w:rPr>
  </w:style>
  <w:style w:type="character" w:customStyle="1" w:styleId="Heading1Char">
    <w:name w:val="Heading 1 Char"/>
    <w:basedOn w:val="DefaultParagraphFont"/>
    <w:link w:val="Heading1"/>
    <w:rsid w:val="004827EE"/>
    <w:rPr>
      <w:b/>
      <w:kern w:val="28"/>
      <w:sz w:val="28"/>
      <w:lang w:val="fr-FR" w:eastAsia="fr-FR"/>
    </w:rPr>
  </w:style>
  <w:style w:type="character" w:customStyle="1" w:styleId="Heading2Char">
    <w:name w:val="Heading 2 Char"/>
    <w:basedOn w:val="DefaultParagraphFont"/>
    <w:link w:val="Heading2"/>
    <w:semiHidden/>
    <w:rsid w:val="004827EE"/>
    <w:rPr>
      <w:sz w:val="24"/>
      <w:lang w:val="fr-FR" w:eastAsia="fr-FR"/>
    </w:rPr>
  </w:style>
  <w:style w:type="character" w:customStyle="1" w:styleId="Heading3Char">
    <w:name w:val="Heading 3 Char"/>
    <w:basedOn w:val="DefaultParagraphFont"/>
    <w:link w:val="Heading3"/>
    <w:semiHidden/>
    <w:rsid w:val="004827EE"/>
    <w:rPr>
      <w:rFonts w:ascii="Arial" w:hAnsi="Arial"/>
      <w:sz w:val="24"/>
      <w:lang w:val="fr-FR" w:eastAsia="fr-FR"/>
    </w:rPr>
  </w:style>
  <w:style w:type="character" w:customStyle="1" w:styleId="Heading4Char">
    <w:name w:val="Heading 4 Char"/>
    <w:basedOn w:val="DefaultParagraphFont"/>
    <w:link w:val="Heading4"/>
    <w:semiHidden/>
    <w:rsid w:val="004827EE"/>
    <w:rPr>
      <w:sz w:val="24"/>
      <w:lang w:val="en-US" w:eastAsia="fr-FR"/>
    </w:rPr>
  </w:style>
  <w:style w:type="character" w:customStyle="1" w:styleId="Heading5Char">
    <w:name w:val="Heading 5 Char"/>
    <w:basedOn w:val="DefaultParagraphFont"/>
    <w:link w:val="Heading5"/>
    <w:semiHidden/>
    <w:rsid w:val="004827EE"/>
    <w:rPr>
      <w:sz w:val="24"/>
      <w:lang w:val="en-US" w:eastAsia="fr-FR"/>
    </w:rPr>
  </w:style>
  <w:style w:type="character" w:customStyle="1" w:styleId="Heading6Char">
    <w:name w:val="Heading 6 Char"/>
    <w:basedOn w:val="DefaultParagraphFont"/>
    <w:link w:val="Heading6"/>
    <w:semiHidden/>
    <w:rsid w:val="004827EE"/>
    <w:rPr>
      <w:i/>
      <w:sz w:val="22"/>
      <w:lang w:val="el-GR"/>
    </w:rPr>
  </w:style>
  <w:style w:type="character" w:customStyle="1" w:styleId="Heading7Char">
    <w:name w:val="Heading 7 Char"/>
    <w:basedOn w:val="DefaultParagraphFont"/>
    <w:link w:val="Heading7"/>
    <w:semiHidden/>
    <w:rsid w:val="004827EE"/>
    <w:rPr>
      <w:rFonts w:ascii="Arial" w:hAnsi="Arial"/>
      <w:sz w:val="24"/>
      <w:lang w:val="el-GR"/>
    </w:rPr>
  </w:style>
  <w:style w:type="character" w:customStyle="1" w:styleId="Heading8Char">
    <w:name w:val="Heading 8 Char"/>
    <w:basedOn w:val="DefaultParagraphFont"/>
    <w:link w:val="Heading8"/>
    <w:semiHidden/>
    <w:rsid w:val="004827EE"/>
    <w:rPr>
      <w:rFonts w:ascii="Arial" w:hAnsi="Arial"/>
      <w:i/>
      <w:sz w:val="24"/>
      <w:lang w:val="el-GR"/>
    </w:rPr>
  </w:style>
  <w:style w:type="character" w:customStyle="1" w:styleId="Heading9Char">
    <w:name w:val="Heading 9 Char"/>
    <w:basedOn w:val="DefaultParagraphFont"/>
    <w:link w:val="Heading9"/>
    <w:semiHidden/>
    <w:rsid w:val="004827EE"/>
    <w:rPr>
      <w:rFonts w:ascii="Arial" w:hAnsi="Arial"/>
      <w:b/>
      <w:i/>
      <w:sz w:val="18"/>
      <w:lang w:val="el-GR"/>
    </w:rPr>
  </w:style>
  <w:style w:type="paragraph" w:customStyle="1" w:styleId="AmDocTypeTab">
    <w:name w:val="AmDocTypeTab"/>
    <w:basedOn w:val="Normal"/>
    <w:rsid w:val="004827EE"/>
    <w:pPr>
      <w:tabs>
        <w:tab w:val="right" w:pos="9072"/>
      </w:tabs>
    </w:pPr>
    <w:rPr>
      <w:b/>
    </w:rPr>
  </w:style>
  <w:style w:type="paragraph" w:customStyle="1" w:styleId="Normal12a">
    <w:name w:val="Normal12a"/>
    <w:basedOn w:val="Normal"/>
    <w:rsid w:val="004827EE"/>
    <w:pPr>
      <w:spacing w:after="240"/>
    </w:pPr>
  </w:style>
  <w:style w:type="paragraph" w:customStyle="1" w:styleId="AmOrLang">
    <w:name w:val="AmOrLang"/>
    <w:basedOn w:val="Normal"/>
    <w:rsid w:val="004827EE"/>
    <w:pPr>
      <w:spacing w:before="240" w:after="240"/>
      <w:jc w:val="right"/>
    </w:pPr>
  </w:style>
  <w:style w:type="paragraph" w:customStyle="1" w:styleId="AmDateTab">
    <w:name w:val="AmDateTab"/>
    <w:basedOn w:val="Normal"/>
    <w:rsid w:val="004827EE"/>
    <w:pPr>
      <w:tabs>
        <w:tab w:val="right" w:pos="9072"/>
      </w:tabs>
    </w:pPr>
  </w:style>
  <w:style w:type="paragraph" w:styleId="TOCHeading">
    <w:name w:val="TOC Heading"/>
    <w:basedOn w:val="Normal"/>
    <w:next w:val="Normal"/>
    <w:uiPriority w:val="39"/>
    <w:unhideWhenUsed/>
    <w:qFormat/>
    <w:rsid w:val="004827EE"/>
    <w:pPr>
      <w:keepLines/>
      <w:spacing w:after="240"/>
    </w:pPr>
    <w:rPr>
      <w:rFonts w:asciiTheme="majorHAnsi" w:eastAsiaTheme="majorEastAsia" w:hAnsiTheme="majorHAnsi" w:cstheme="majorBidi"/>
      <w:b/>
      <w:color w:val="2E74B5" w:themeColor="accent1" w:themeShade="BF"/>
      <w:sz w:val="32"/>
      <w:szCs w:val="32"/>
    </w:rPr>
  </w:style>
  <w:style w:type="character" w:customStyle="1" w:styleId="CommentTextChar">
    <w:name w:val="Comment Text Char"/>
    <w:basedOn w:val="DefaultParagraphFont"/>
    <w:link w:val="CommentText"/>
    <w:rsid w:val="004827EE"/>
    <w:rPr>
      <w:lang w:val="el-GR" w:eastAsia="en-US"/>
    </w:rPr>
  </w:style>
  <w:style w:type="paragraph" w:styleId="CommentText">
    <w:name w:val="annotation text"/>
    <w:basedOn w:val="Normal"/>
    <w:link w:val="CommentTextChar"/>
    <w:unhideWhenUsed/>
    <w:rsid w:val="004827EE"/>
    <w:pPr>
      <w:spacing w:before="120" w:after="120"/>
    </w:pPr>
    <w:rPr>
      <w:sz w:val="20"/>
      <w:lang w:eastAsia="en-US"/>
    </w:rPr>
  </w:style>
  <w:style w:type="character" w:customStyle="1" w:styleId="CommentTextChar1">
    <w:name w:val="Comment Text Char1"/>
    <w:basedOn w:val="DefaultParagraphFont"/>
    <w:uiPriority w:val="99"/>
    <w:rsid w:val="004827EE"/>
    <w:rPr>
      <w:lang w:val="el-GR"/>
    </w:rPr>
  </w:style>
  <w:style w:type="character" w:customStyle="1" w:styleId="CommentSubjectChar">
    <w:name w:val="Comment Subject Char"/>
    <w:basedOn w:val="CommentTextChar"/>
    <w:link w:val="CommentSubject"/>
    <w:rsid w:val="004827EE"/>
    <w:rPr>
      <w:b/>
      <w:bCs/>
      <w:lang w:val="el-GR" w:eastAsia="en-US"/>
    </w:rPr>
  </w:style>
  <w:style w:type="paragraph" w:styleId="CommentSubject">
    <w:name w:val="annotation subject"/>
    <w:basedOn w:val="CommentText"/>
    <w:next w:val="CommentText"/>
    <w:link w:val="CommentSubjectChar"/>
    <w:unhideWhenUsed/>
    <w:rsid w:val="004827EE"/>
    <w:rPr>
      <w:b/>
      <w:bCs/>
    </w:rPr>
  </w:style>
  <w:style w:type="character" w:customStyle="1" w:styleId="CommentSubjectChar1">
    <w:name w:val="Comment Subject Char1"/>
    <w:basedOn w:val="CommentTextChar1"/>
    <w:uiPriority w:val="99"/>
    <w:rsid w:val="004827EE"/>
    <w:rPr>
      <w:b/>
      <w:bCs/>
      <w:lang w:val="el-GR"/>
    </w:rPr>
  </w:style>
  <w:style w:type="character" w:customStyle="1" w:styleId="BalloonTextChar1">
    <w:name w:val="Balloon Text Char1"/>
    <w:basedOn w:val="DefaultParagraphFont"/>
    <w:uiPriority w:val="99"/>
    <w:semiHidden/>
    <w:rsid w:val="004827EE"/>
    <w:rPr>
      <w:rFonts w:ascii="Segoe UI" w:hAnsi="Segoe UI" w:cs="Segoe UI"/>
      <w:sz w:val="18"/>
      <w:szCs w:val="18"/>
      <w:lang w:val="el-GR"/>
    </w:rPr>
  </w:style>
  <w:style w:type="paragraph" w:customStyle="1" w:styleId="Rfrenceinstitutionnelle">
    <w:name w:val="Référence institutionnelle"/>
    <w:basedOn w:val="Normal"/>
    <w:next w:val="Normal"/>
    <w:rsid w:val="004827EE"/>
    <w:pPr>
      <w:widowControl/>
      <w:spacing w:after="240" w:line="360" w:lineRule="auto"/>
      <w:ind w:left="5102"/>
    </w:pPr>
    <w:rPr>
      <w:szCs w:val="24"/>
      <w:lang w:eastAsia="en-US"/>
    </w:rPr>
  </w:style>
  <w:style w:type="paragraph" w:customStyle="1" w:styleId="Typedudocument">
    <w:name w:val="Type du document"/>
    <w:basedOn w:val="Normal"/>
    <w:next w:val="Normal"/>
    <w:rsid w:val="004827EE"/>
    <w:pPr>
      <w:widowControl/>
      <w:spacing w:before="360" w:line="360" w:lineRule="auto"/>
      <w:jc w:val="center"/>
    </w:pPr>
    <w:rPr>
      <w:b/>
      <w:szCs w:val="24"/>
      <w:lang w:eastAsia="en-US"/>
    </w:rPr>
  </w:style>
  <w:style w:type="paragraph" w:customStyle="1" w:styleId="Titreobjet">
    <w:name w:val="Titre objet"/>
    <w:basedOn w:val="Normal"/>
    <w:next w:val="Normal"/>
    <w:rsid w:val="004827EE"/>
    <w:pPr>
      <w:widowControl/>
      <w:spacing w:before="360" w:after="360" w:line="360" w:lineRule="auto"/>
      <w:jc w:val="center"/>
    </w:pPr>
    <w:rPr>
      <w:b/>
      <w:szCs w:val="24"/>
      <w:lang w:eastAsia="en-US"/>
    </w:rPr>
  </w:style>
  <w:style w:type="paragraph" w:customStyle="1" w:styleId="Institutionquiagit">
    <w:name w:val="Institution qui agit"/>
    <w:basedOn w:val="Normal"/>
    <w:next w:val="Normal"/>
    <w:rsid w:val="004827EE"/>
    <w:pPr>
      <w:keepNext/>
      <w:spacing w:before="600" w:after="120" w:line="360" w:lineRule="auto"/>
    </w:pPr>
    <w:rPr>
      <w:szCs w:val="24"/>
      <w:lang w:eastAsia="en-US"/>
    </w:rPr>
  </w:style>
  <w:style w:type="paragraph" w:customStyle="1" w:styleId="Normale">
    <w:name w:val="Normale"/>
    <w:rsid w:val="004827EE"/>
    <w:pPr>
      <w:widowControl w:val="0"/>
      <w:spacing w:before="120" w:after="120" w:line="360" w:lineRule="auto"/>
    </w:pPr>
    <w:rPr>
      <w:sz w:val="24"/>
      <w:lang w:val="el-GR" w:eastAsia="en-US"/>
    </w:rPr>
  </w:style>
  <w:style w:type="paragraph" w:customStyle="1" w:styleId="Considrant">
    <w:name w:val="Considérant"/>
    <w:basedOn w:val="Normal"/>
    <w:rsid w:val="004827EE"/>
    <w:pPr>
      <w:spacing w:before="120" w:after="120" w:line="360" w:lineRule="auto"/>
      <w:ind w:left="850" w:hanging="850"/>
    </w:pPr>
    <w:rPr>
      <w:szCs w:val="24"/>
      <w:lang w:eastAsia="en-US"/>
    </w:rPr>
  </w:style>
  <w:style w:type="paragraph" w:customStyle="1" w:styleId="Applicationdirecte">
    <w:name w:val="Application directe"/>
    <w:basedOn w:val="Normal"/>
    <w:next w:val="Normal"/>
    <w:rsid w:val="004827EE"/>
    <w:pPr>
      <w:spacing w:before="120" w:after="120" w:line="360" w:lineRule="auto"/>
    </w:pPr>
    <w:rPr>
      <w:szCs w:val="24"/>
      <w:lang w:eastAsia="en-US"/>
    </w:rPr>
  </w:style>
  <w:style w:type="paragraph" w:customStyle="1" w:styleId="Fait">
    <w:name w:val="Fait à"/>
    <w:basedOn w:val="Normal"/>
    <w:rsid w:val="004827EE"/>
    <w:pPr>
      <w:keepNext/>
      <w:widowControl/>
      <w:spacing w:before="120" w:line="360" w:lineRule="auto"/>
    </w:pPr>
    <w:rPr>
      <w:szCs w:val="24"/>
      <w:lang w:eastAsia="en-US"/>
    </w:rPr>
  </w:style>
  <w:style w:type="paragraph" w:customStyle="1" w:styleId="SignatureInstitution">
    <w:name w:val="Signature Institution"/>
    <w:basedOn w:val="Normal"/>
    <w:rsid w:val="004827EE"/>
    <w:pPr>
      <w:keepNext/>
      <w:widowControl/>
      <w:tabs>
        <w:tab w:val="left" w:pos="4252"/>
      </w:tabs>
      <w:spacing w:before="720" w:after="100" w:line="360" w:lineRule="auto"/>
      <w:jc w:val="both"/>
    </w:pPr>
    <w:rPr>
      <w:i/>
      <w:szCs w:val="24"/>
      <w:lang w:eastAsia="en-US"/>
    </w:rPr>
  </w:style>
  <w:style w:type="paragraph" w:customStyle="1" w:styleId="SignaturePersonne">
    <w:name w:val="Signature Personne"/>
    <w:basedOn w:val="Normal"/>
    <w:rsid w:val="004827EE"/>
    <w:pPr>
      <w:widowControl/>
      <w:tabs>
        <w:tab w:val="left" w:pos="4252"/>
      </w:tabs>
      <w:spacing w:line="360" w:lineRule="auto"/>
    </w:pPr>
    <w:rPr>
      <w:i/>
      <w:szCs w:val="24"/>
      <w:lang w:eastAsia="en-US"/>
    </w:rPr>
  </w:style>
  <w:style w:type="paragraph" w:customStyle="1" w:styleId="FootnoteTextForceStyle">
    <w:name w:val="Footnote Text ForceStyle"/>
    <w:rsid w:val="004827EE"/>
    <w:pPr>
      <w:keepLines/>
      <w:widowControl w:val="0"/>
      <w:ind w:left="850" w:hanging="850"/>
    </w:pPr>
    <w:rPr>
      <w:sz w:val="24"/>
      <w:lang w:val="el-GR" w:eastAsia="en-US"/>
    </w:rPr>
  </w:style>
  <w:style w:type="character" w:customStyle="1" w:styleId="Footer2">
    <w:name w:val="Footer2"/>
    <w:rsid w:val="004827EE"/>
    <w:rPr>
      <w:rFonts w:ascii="Arial" w:hAnsi="Arial"/>
      <w:b/>
      <w:sz w:val="48"/>
    </w:rPr>
  </w:style>
  <w:style w:type="paragraph" w:customStyle="1" w:styleId="Footer1">
    <w:name w:val="Footer1"/>
    <w:basedOn w:val="Normal"/>
    <w:rsid w:val="004827EE"/>
    <w:pPr>
      <w:widowControl/>
      <w:tabs>
        <w:tab w:val="center" w:pos="4150"/>
        <w:tab w:val="right" w:pos="8306"/>
        <w:tab w:val="right" w:pos="9638"/>
      </w:tabs>
      <w:spacing w:line="360" w:lineRule="auto"/>
    </w:pPr>
    <w:rPr>
      <w:szCs w:val="24"/>
      <w:lang w:eastAsia="en-US"/>
    </w:rPr>
  </w:style>
  <w:style w:type="paragraph" w:customStyle="1" w:styleId="HeadingDocType24a">
    <w:name w:val="HeadingDocType24a"/>
    <w:basedOn w:val="Normal"/>
    <w:rsid w:val="0082339D"/>
    <w:pPr>
      <w:spacing w:after="480"/>
      <w:jc w:val="center"/>
    </w:pPr>
    <w:rPr>
      <w:rFonts w:ascii="Arial" w:hAnsi="Arial"/>
      <w:b/>
      <w:sz w:val="48"/>
    </w:rPr>
  </w:style>
  <w:style w:type="paragraph" w:customStyle="1" w:styleId="HeadingReferenceERCO">
    <w:name w:val="HeadingReferenceERCO"/>
    <w:basedOn w:val="Normal"/>
    <w:rsid w:val="0082339D"/>
    <w:pPr>
      <w:spacing w:before="360" w:after="240"/>
      <w:jc w:val="right"/>
    </w:pPr>
    <w:rPr>
      <w:rFonts w:ascii="Arial" w:hAnsi="Arial"/>
      <w:b/>
    </w:rPr>
  </w:style>
  <w:style w:type="paragraph" w:customStyle="1" w:styleId="NormalCenter">
    <w:name w:val="NormalCenter"/>
    <w:basedOn w:val="Normal"/>
    <w:rsid w:val="0082339D"/>
    <w:pPr>
      <w:jc w:val="center"/>
    </w:pPr>
  </w:style>
  <w:style w:type="paragraph" w:customStyle="1" w:styleId="Normal24a">
    <w:name w:val="Normal24a"/>
    <w:basedOn w:val="Normal"/>
    <w:rsid w:val="0082339D"/>
    <w:pPr>
      <w:spacing w:after="480"/>
    </w:pPr>
  </w:style>
  <w:style w:type="paragraph" w:customStyle="1" w:styleId="EPBody">
    <w:name w:val="EPBody"/>
    <w:basedOn w:val="Normal"/>
    <w:rsid w:val="0082339D"/>
    <w:pPr>
      <w:jc w:val="center"/>
    </w:pPr>
    <w:rPr>
      <w:rFonts w:ascii="Arial" w:hAnsi="Arial" w:cs="Arial"/>
      <w:i/>
      <w:sz w:val="22"/>
      <w:szCs w:val="22"/>
    </w:rPr>
  </w:style>
  <w:style w:type="paragraph" w:customStyle="1" w:styleId="LineSingle">
    <w:name w:val="LineSingle"/>
    <w:basedOn w:val="Normal"/>
    <w:next w:val="Normal"/>
    <w:rsid w:val="0082339D"/>
    <w:pPr>
      <w:pBdr>
        <w:bottom w:val="single" w:sz="4" w:space="1" w:color="auto"/>
      </w:pBdr>
      <w:spacing w:after="240"/>
    </w:pPr>
  </w:style>
  <w:style w:type="paragraph" w:customStyle="1" w:styleId="HeadingDate">
    <w:name w:val="HeadingDate"/>
    <w:basedOn w:val="Normal"/>
    <w:rsid w:val="0082339D"/>
    <w:pPr>
      <w:spacing w:before="240" w:after="240"/>
    </w:pPr>
  </w:style>
  <w:style w:type="character" w:styleId="FollowedHyperlink">
    <w:name w:val="FollowedHyperlink"/>
    <w:basedOn w:val="DefaultParagraphFont"/>
    <w:rsid w:val="0082339D"/>
    <w:rPr>
      <w:color w:val="954F72" w:themeColor="followedHyperlink"/>
      <w:u w:val="single"/>
    </w:rPr>
  </w:style>
  <w:style w:type="character" w:styleId="CommentReference">
    <w:name w:val="annotation reference"/>
    <w:basedOn w:val="DefaultParagraphFont"/>
    <w:rsid w:val="0082339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7761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data.europa.eu/eli/reg/2025/38/oj" TargetMode="External"/><Relationship Id="rId1" Type="http://schemas.openxmlformats.org/officeDocument/2006/relationships/hyperlink" Target="http://data.europa.eu/eli/C/2024/1049/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4E31E3-CDC4-4C29-A527-D5FD397889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856</Words>
  <Characters>5407</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6251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KOLOKYTHIA Amalia</dc:creator>
  <cp:keywords/>
  <cp:lastModifiedBy>CHRISTOFOROU Nikolaos</cp:lastModifiedBy>
  <cp:revision>2</cp:revision>
  <cp:lastPrinted>2004-11-19T15:42:00Z</cp:lastPrinted>
  <dcterms:created xsi:type="dcterms:W3CDTF">2025-03-11T10:30:00Z</dcterms:created>
  <dcterms:modified xsi:type="dcterms:W3CDTF">2025-03-11T10:30:00Z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EL</vt:lpwstr>
  </property>
  <property fmtid="{D5CDD505-2E9C-101B-9397-08002B2CF9AE}" pid="3" name="&lt;FdR&gt;">
    <vt:lpwstr>P9_TA(2024)0355_</vt:lpwstr>
  </property>
  <property fmtid="{D5CDD505-2E9C-101B-9397-08002B2CF9AE}" pid="4" name="&lt;Type&gt;">
    <vt:lpwstr>RR</vt:lpwstr>
  </property>
</Properties>
</file>