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header3.xml" ContentType="application/vnd.openxmlformats-officedocument.wordprocessingml.header+xml"/>
  <Override PartName="/word/footer5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072" w:type="dxa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804"/>
        <w:gridCol w:w="2268"/>
      </w:tblGrid>
      <w:tr w:rsidR="00751A4A" w:rsidRPr="0089503A" w:rsidTr="0010095E">
        <w:trPr>
          <w:trHeight w:hRule="exact" w:val="1418"/>
        </w:trPr>
        <w:tc>
          <w:tcPr>
            <w:tcW w:w="6804" w:type="dxa"/>
            <w:shd w:val="clear" w:color="auto" w:fill="auto"/>
            <w:vAlign w:val="center"/>
          </w:tcPr>
          <w:p w:rsidR="00751A4A" w:rsidRPr="0089503A" w:rsidRDefault="002C0B57" w:rsidP="0010095E">
            <w:pPr>
              <w:pStyle w:val="EPName"/>
            </w:pPr>
            <w:r w:rsidRPr="0089503A">
              <w:t>Parlamento Europeo</w:t>
            </w:r>
          </w:p>
          <w:p w:rsidR="00751A4A" w:rsidRPr="0089503A" w:rsidRDefault="00817416" w:rsidP="00756632">
            <w:pPr>
              <w:pStyle w:val="EPTerm"/>
              <w:rPr>
                <w:rStyle w:val="HideTWBExt"/>
                <w:noProof w:val="0"/>
                <w:vanish w:val="0"/>
                <w:color w:val="auto"/>
              </w:rPr>
            </w:pPr>
            <w:r w:rsidRPr="00EA026D">
              <w:t>2019</w:t>
            </w:r>
            <w:r w:rsidRPr="0089503A">
              <w:t>-</w:t>
            </w:r>
            <w:r w:rsidRPr="00EA026D">
              <w:t>2024</w:t>
            </w:r>
          </w:p>
        </w:tc>
        <w:tc>
          <w:tcPr>
            <w:tcW w:w="2268" w:type="dxa"/>
            <w:shd w:val="clear" w:color="auto" w:fill="auto"/>
          </w:tcPr>
          <w:p w:rsidR="00751A4A" w:rsidRPr="0089503A" w:rsidRDefault="00187494" w:rsidP="0010095E">
            <w:pPr>
              <w:pStyle w:val="EPLogo"/>
            </w:pPr>
            <w:r w:rsidRPr="0089503A">
              <w:rPr>
                <w:noProof/>
                <w:lang w:val="en-GB"/>
              </w:rPr>
              <w:drawing>
                <wp:inline distT="0" distB="0" distL="0" distR="0">
                  <wp:extent cx="1158875" cy="652145"/>
                  <wp:effectExtent l="0" t="0" r="0" b="0"/>
                  <wp:docPr id="1" name="Picture 1" descr="EP logo RGB_Mut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EP logo RGB_Mut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58875" cy="6521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D058B8" w:rsidRPr="0089503A" w:rsidRDefault="00D058B8" w:rsidP="004C5D52">
      <w:pPr>
        <w:pStyle w:val="LineTop"/>
      </w:pPr>
    </w:p>
    <w:p w:rsidR="00680577" w:rsidRPr="0089503A" w:rsidRDefault="002C0B57" w:rsidP="00680577">
      <w:pPr>
        <w:pStyle w:val="EPBodyTA1"/>
      </w:pPr>
      <w:r w:rsidRPr="0089503A">
        <w:t>TEXTOS APROBADOS</w:t>
      </w:r>
    </w:p>
    <w:p w:rsidR="00D058B8" w:rsidRPr="0089503A" w:rsidRDefault="00D058B8" w:rsidP="00D058B8">
      <w:pPr>
        <w:pStyle w:val="LineBottom"/>
      </w:pPr>
    </w:p>
    <w:p w:rsidR="002C0B57" w:rsidRPr="0089503A" w:rsidRDefault="002C0B57" w:rsidP="002C0B57">
      <w:pPr>
        <w:pStyle w:val="ATHeading1"/>
      </w:pPr>
      <w:bookmarkStart w:id="0" w:name="TANumber"/>
      <w:r w:rsidRPr="0089503A">
        <w:t>P</w:t>
      </w:r>
      <w:r w:rsidRPr="00EA026D">
        <w:t>9</w:t>
      </w:r>
      <w:r w:rsidRPr="0089503A">
        <w:t>_TA(</w:t>
      </w:r>
      <w:r w:rsidRPr="00EA026D">
        <w:t>2024</w:t>
      </w:r>
      <w:r w:rsidRPr="0089503A">
        <w:t>)</w:t>
      </w:r>
      <w:r w:rsidRPr="00EA026D">
        <w:t>0</w:t>
      </w:r>
      <w:r w:rsidR="003601CC" w:rsidRPr="00EA026D">
        <w:t>355</w:t>
      </w:r>
      <w:bookmarkEnd w:id="0"/>
    </w:p>
    <w:p w:rsidR="002C0B57" w:rsidRPr="0089503A" w:rsidRDefault="00281E6C" w:rsidP="002C0B57">
      <w:pPr>
        <w:pStyle w:val="ATHeading2"/>
      </w:pPr>
      <w:bookmarkStart w:id="1" w:name="title"/>
      <w:r w:rsidRPr="0089503A">
        <w:t>Reglamento</w:t>
      </w:r>
      <w:r w:rsidR="00A704B8" w:rsidRPr="0089503A">
        <w:t xml:space="preserve"> de Cibersolidaridad</w:t>
      </w:r>
      <w:bookmarkEnd w:id="1"/>
    </w:p>
    <w:p w:rsidR="002C0B57" w:rsidRPr="0089503A" w:rsidRDefault="002C0B57" w:rsidP="002C0B57">
      <w:pPr>
        <w:rPr>
          <w:i/>
          <w:vanish/>
        </w:rPr>
      </w:pPr>
      <w:r w:rsidRPr="0089503A">
        <w:rPr>
          <w:i/>
        </w:rPr>
        <w:fldChar w:fldCharType="begin"/>
      </w:r>
      <w:r w:rsidRPr="0089503A">
        <w:rPr>
          <w:i/>
        </w:rPr>
        <w:instrText xml:space="preserve"> TC"(</w:instrText>
      </w:r>
      <w:bookmarkStart w:id="2" w:name="DocNumber"/>
      <w:r w:rsidRPr="0089503A">
        <w:rPr>
          <w:i/>
        </w:rPr>
        <w:instrText>A</w:instrText>
      </w:r>
      <w:r w:rsidRPr="00EA026D">
        <w:rPr>
          <w:i/>
        </w:rPr>
        <w:instrText>9</w:instrText>
      </w:r>
      <w:r w:rsidRPr="0089503A">
        <w:rPr>
          <w:i/>
        </w:rPr>
        <w:instrText>-</w:instrText>
      </w:r>
      <w:r w:rsidRPr="00EA026D">
        <w:rPr>
          <w:i/>
        </w:rPr>
        <w:instrText>0426</w:instrText>
      </w:r>
      <w:r w:rsidRPr="0089503A">
        <w:rPr>
          <w:i/>
        </w:rPr>
        <w:instrText>/</w:instrText>
      </w:r>
      <w:r w:rsidRPr="00EA026D">
        <w:rPr>
          <w:i/>
        </w:rPr>
        <w:instrText>2023</w:instrText>
      </w:r>
      <w:bookmarkEnd w:id="2"/>
      <w:r w:rsidRPr="0089503A">
        <w:rPr>
          <w:i/>
        </w:rPr>
        <w:instrText xml:space="preserve"> - Ponente: Lina Gálvez Muñoz)"\l</w:instrText>
      </w:r>
      <w:r w:rsidRPr="00EA026D">
        <w:rPr>
          <w:i/>
        </w:rPr>
        <w:instrText>3</w:instrText>
      </w:r>
      <w:r w:rsidRPr="0089503A">
        <w:rPr>
          <w:i/>
        </w:rPr>
        <w:instrText xml:space="preserve"> \n&gt; \* MERGEFORMAT </w:instrText>
      </w:r>
      <w:r w:rsidRPr="0089503A">
        <w:rPr>
          <w:i/>
        </w:rPr>
        <w:fldChar w:fldCharType="end"/>
      </w:r>
    </w:p>
    <w:p w:rsidR="002C0B57" w:rsidRPr="0089503A" w:rsidRDefault="002C0B57" w:rsidP="002C0B57">
      <w:pPr>
        <w:rPr>
          <w:vanish/>
        </w:rPr>
      </w:pPr>
      <w:bookmarkStart w:id="3" w:name="Commission"/>
      <w:r w:rsidRPr="0089503A">
        <w:rPr>
          <w:vanish/>
        </w:rPr>
        <w:t>Comisión de Industria, Investigación y Energía</w:t>
      </w:r>
      <w:bookmarkEnd w:id="3"/>
    </w:p>
    <w:p w:rsidR="002C0B57" w:rsidRPr="0089503A" w:rsidRDefault="002C0B57" w:rsidP="002C0B57">
      <w:pPr>
        <w:rPr>
          <w:vanish/>
        </w:rPr>
      </w:pPr>
      <w:bookmarkStart w:id="4" w:name="PE"/>
      <w:r w:rsidRPr="0089503A">
        <w:rPr>
          <w:vanish/>
        </w:rPr>
        <w:t>PE</w:t>
      </w:r>
      <w:r w:rsidRPr="00EA026D">
        <w:rPr>
          <w:vanish/>
        </w:rPr>
        <w:t>752</w:t>
      </w:r>
      <w:r w:rsidRPr="0089503A">
        <w:rPr>
          <w:vanish/>
        </w:rPr>
        <w:t>.</w:t>
      </w:r>
      <w:r w:rsidRPr="00EA026D">
        <w:rPr>
          <w:vanish/>
        </w:rPr>
        <w:t>795</w:t>
      </w:r>
      <w:bookmarkEnd w:id="4"/>
    </w:p>
    <w:p w:rsidR="002C0B57" w:rsidRPr="0089503A" w:rsidRDefault="002C0B57" w:rsidP="002C0B57">
      <w:pPr>
        <w:pStyle w:val="ATHeading3"/>
      </w:pPr>
      <w:bookmarkStart w:id="5" w:name="Sujet"/>
      <w:r w:rsidRPr="0089503A">
        <w:t xml:space="preserve">Resolución legislativa del Parlamento Europeo, de </w:t>
      </w:r>
      <w:r w:rsidR="00F01A99" w:rsidRPr="00EA026D">
        <w:t>24</w:t>
      </w:r>
      <w:r w:rsidRPr="0089503A">
        <w:t xml:space="preserve"> de abril de </w:t>
      </w:r>
      <w:r w:rsidRPr="00EA026D">
        <w:t>2024</w:t>
      </w:r>
      <w:r w:rsidRPr="0089503A">
        <w:t>, sobre la propuesta de Reglamento del Parlamento Europeo y del Consejo por el que se establecen medidas destinadas a reforzar la solidaridad y las capacidades en la Unión a fin de detectar amenazas e incidentes de ciberseguridad, prepararse para ellos y responder a ellos</w:t>
      </w:r>
      <w:bookmarkEnd w:id="5"/>
      <w:r w:rsidRPr="0089503A">
        <w:t xml:space="preserve"> </w:t>
      </w:r>
      <w:bookmarkStart w:id="6" w:name="References"/>
      <w:r w:rsidRPr="0089503A">
        <w:t>(COM(</w:t>
      </w:r>
      <w:r w:rsidRPr="00EA026D">
        <w:t>2023</w:t>
      </w:r>
      <w:r w:rsidRPr="0089503A">
        <w:t>)</w:t>
      </w:r>
      <w:r w:rsidRPr="00EA026D">
        <w:t>0209</w:t>
      </w:r>
      <w:r w:rsidRPr="0089503A">
        <w:t xml:space="preserve"> – C</w:t>
      </w:r>
      <w:r w:rsidRPr="00EA026D">
        <w:t>9</w:t>
      </w:r>
      <w:r w:rsidRPr="0089503A">
        <w:t>-</w:t>
      </w:r>
      <w:r w:rsidRPr="00EA026D">
        <w:t>0136</w:t>
      </w:r>
      <w:r w:rsidRPr="0089503A">
        <w:t>/</w:t>
      </w:r>
      <w:r w:rsidRPr="00EA026D">
        <w:t>2023</w:t>
      </w:r>
      <w:r w:rsidRPr="0089503A">
        <w:t xml:space="preserve"> – </w:t>
      </w:r>
      <w:r w:rsidRPr="00EA026D">
        <w:t>2023</w:t>
      </w:r>
      <w:r w:rsidRPr="0089503A">
        <w:t>/</w:t>
      </w:r>
      <w:r w:rsidRPr="00EA026D">
        <w:t>0109</w:t>
      </w:r>
      <w:r w:rsidRPr="0089503A">
        <w:t>(COD))</w:t>
      </w:r>
      <w:bookmarkEnd w:id="6"/>
    </w:p>
    <w:p w:rsidR="002F0836" w:rsidRPr="0089503A" w:rsidRDefault="002F0836" w:rsidP="002F0836">
      <w:pPr>
        <w:pStyle w:val="NormalBold"/>
      </w:pPr>
      <w:bookmarkStart w:id="7" w:name="TextBodyBegin"/>
      <w:bookmarkEnd w:id="7"/>
      <w:r w:rsidRPr="0089503A">
        <w:t>(Procedimiento legislativo ordinario: primera lectura)</w:t>
      </w:r>
    </w:p>
    <w:p w:rsidR="002F0836" w:rsidRPr="0089503A" w:rsidRDefault="002F0836" w:rsidP="002F0836">
      <w:pPr>
        <w:pStyle w:val="EPComma"/>
      </w:pPr>
      <w:r w:rsidRPr="0089503A">
        <w:rPr>
          <w:i/>
        </w:rPr>
        <w:t>El Parlamento Europeo</w:t>
      </w:r>
      <w:r w:rsidRPr="0089503A">
        <w:t>,</w:t>
      </w:r>
    </w:p>
    <w:p w:rsidR="002F0836" w:rsidRPr="0089503A" w:rsidRDefault="002F0836" w:rsidP="002F0836">
      <w:pPr>
        <w:pStyle w:val="NormalHanging12a"/>
      </w:pPr>
      <w:r w:rsidRPr="0089503A">
        <w:t>–</w:t>
      </w:r>
      <w:r w:rsidRPr="0089503A">
        <w:tab/>
        <w:t>Vista la propuesta de la Comisión al Parlamento Europeo y al Consejo (COM(</w:t>
      </w:r>
      <w:r w:rsidRPr="00EA026D">
        <w:t>2023</w:t>
      </w:r>
      <w:r w:rsidRPr="0089503A">
        <w:t>)</w:t>
      </w:r>
      <w:r w:rsidRPr="00EA026D">
        <w:t>0209</w:t>
      </w:r>
      <w:r w:rsidRPr="0089503A">
        <w:t>),</w:t>
      </w:r>
    </w:p>
    <w:p w:rsidR="002F0836" w:rsidRPr="0089503A" w:rsidRDefault="002F0836" w:rsidP="002F0836">
      <w:pPr>
        <w:pStyle w:val="NormalHanging12a"/>
      </w:pPr>
      <w:r w:rsidRPr="0089503A">
        <w:t>–</w:t>
      </w:r>
      <w:r w:rsidRPr="0089503A">
        <w:tab/>
        <w:t>Vistos el artículo </w:t>
      </w:r>
      <w:r w:rsidRPr="00EA026D">
        <w:t>294</w:t>
      </w:r>
      <w:r w:rsidRPr="0089503A">
        <w:t>, apartado </w:t>
      </w:r>
      <w:r w:rsidRPr="00EA026D">
        <w:t>2</w:t>
      </w:r>
      <w:r w:rsidRPr="0089503A">
        <w:t>, y los artículos </w:t>
      </w:r>
      <w:r w:rsidRPr="00EA026D">
        <w:t>173</w:t>
      </w:r>
      <w:r w:rsidRPr="0089503A">
        <w:t>, apartado </w:t>
      </w:r>
      <w:r w:rsidRPr="00EA026D">
        <w:t>3</w:t>
      </w:r>
      <w:r w:rsidRPr="0089503A">
        <w:t>, y </w:t>
      </w:r>
      <w:r w:rsidRPr="00EA026D">
        <w:t>322</w:t>
      </w:r>
      <w:r w:rsidRPr="0089503A">
        <w:t>, apartado </w:t>
      </w:r>
      <w:r w:rsidRPr="00EA026D">
        <w:t>1</w:t>
      </w:r>
      <w:r w:rsidRPr="0089503A">
        <w:t>, letra a), del Tratado de Funcionamiento de la Unión Europea, conforme a los cuales la Comisión le ha presentado su propuesta (C</w:t>
      </w:r>
      <w:r w:rsidRPr="00EA026D">
        <w:t>9</w:t>
      </w:r>
      <w:r w:rsidRPr="0089503A">
        <w:noBreakHyphen/>
      </w:r>
      <w:r w:rsidRPr="00EA026D">
        <w:t>0136</w:t>
      </w:r>
      <w:r w:rsidRPr="0089503A">
        <w:t>/</w:t>
      </w:r>
      <w:r w:rsidRPr="00EA026D">
        <w:t>2023</w:t>
      </w:r>
      <w:r w:rsidRPr="0089503A">
        <w:t>),</w:t>
      </w:r>
    </w:p>
    <w:p w:rsidR="002F0836" w:rsidRPr="0089503A" w:rsidRDefault="002F0836" w:rsidP="002F0836">
      <w:pPr>
        <w:pStyle w:val="NormalHanging12a"/>
      </w:pPr>
      <w:r w:rsidRPr="0089503A">
        <w:t>–</w:t>
      </w:r>
      <w:r w:rsidRPr="0089503A">
        <w:tab/>
        <w:t>Visto el artículo </w:t>
      </w:r>
      <w:r w:rsidRPr="00EA026D">
        <w:t>294</w:t>
      </w:r>
      <w:r w:rsidRPr="0089503A">
        <w:t>, apartado </w:t>
      </w:r>
      <w:r w:rsidRPr="00EA026D">
        <w:t>3</w:t>
      </w:r>
      <w:r w:rsidRPr="0089503A">
        <w:t>, del Tratado de Funcionamiento de la Unión Europea,</w:t>
      </w:r>
    </w:p>
    <w:p w:rsidR="001342F3" w:rsidRPr="0089503A" w:rsidRDefault="001342F3" w:rsidP="002F0836">
      <w:pPr>
        <w:pStyle w:val="NormalHanging12a"/>
      </w:pPr>
      <w:r w:rsidRPr="0089503A">
        <w:t>–</w:t>
      </w:r>
      <w:r w:rsidRPr="0089503A">
        <w:tab/>
        <w:t xml:space="preserve">Vista la opinión del Tribunal de Cuentas de </w:t>
      </w:r>
      <w:r w:rsidRPr="00EA026D">
        <w:t>18</w:t>
      </w:r>
      <w:r w:rsidRPr="0089503A">
        <w:t xml:space="preserve"> de abril de </w:t>
      </w:r>
      <w:r w:rsidRPr="00EA026D">
        <w:t>2023</w:t>
      </w:r>
      <w:r w:rsidRPr="0089503A">
        <w:rPr>
          <w:rStyle w:val="FootnoteReference"/>
        </w:rPr>
        <w:footnoteReference w:id="1"/>
      </w:r>
      <w:r w:rsidRPr="0089503A">
        <w:t>,</w:t>
      </w:r>
    </w:p>
    <w:p w:rsidR="002F0836" w:rsidRPr="0089503A" w:rsidRDefault="002F0836" w:rsidP="002F0836">
      <w:pPr>
        <w:pStyle w:val="NormalHanging12a"/>
      </w:pPr>
      <w:r w:rsidRPr="0089503A">
        <w:t>–</w:t>
      </w:r>
      <w:r w:rsidRPr="0089503A">
        <w:tab/>
        <w:t xml:space="preserve">Vista la opinión del Comité Económico y Social Europeo de </w:t>
      </w:r>
      <w:r w:rsidRPr="00EA026D">
        <w:t>13</w:t>
      </w:r>
      <w:r w:rsidRPr="0089503A">
        <w:t> de julio de </w:t>
      </w:r>
      <w:r w:rsidRPr="00EA026D">
        <w:t>2023</w:t>
      </w:r>
      <w:r w:rsidRPr="0089503A">
        <w:rPr>
          <w:rStyle w:val="FootnoteReference"/>
        </w:rPr>
        <w:footnoteReference w:id="2"/>
      </w:r>
      <w:r w:rsidRPr="0089503A">
        <w:t>,</w:t>
      </w:r>
    </w:p>
    <w:p w:rsidR="00F01A99" w:rsidRPr="0089503A" w:rsidRDefault="00F01A99" w:rsidP="002F0836">
      <w:pPr>
        <w:pStyle w:val="NormalHanging12a"/>
      </w:pPr>
      <w:r w:rsidRPr="0089503A">
        <w:t>–</w:t>
      </w:r>
      <w:r w:rsidRPr="0089503A">
        <w:tab/>
        <w:t xml:space="preserve">Visto el dictamen del Comité de las Regiones de </w:t>
      </w:r>
      <w:r w:rsidRPr="00EA026D">
        <w:t>30</w:t>
      </w:r>
      <w:r w:rsidRPr="0089503A">
        <w:t xml:space="preserve"> de noviembre de </w:t>
      </w:r>
      <w:r w:rsidRPr="00EA026D">
        <w:t>2023</w:t>
      </w:r>
      <w:r w:rsidRPr="0089503A">
        <w:rPr>
          <w:rStyle w:val="FootnoteReference"/>
        </w:rPr>
        <w:footnoteReference w:id="3"/>
      </w:r>
      <w:r w:rsidRPr="0089503A">
        <w:t>,</w:t>
      </w:r>
    </w:p>
    <w:p w:rsidR="00F01A99" w:rsidRPr="0089503A" w:rsidRDefault="00F01A99" w:rsidP="002F0836">
      <w:pPr>
        <w:pStyle w:val="NormalHanging12a"/>
      </w:pPr>
      <w:r w:rsidRPr="0089503A">
        <w:t>–</w:t>
      </w:r>
      <w:r w:rsidRPr="0089503A">
        <w:tab/>
        <w:t xml:space="preserve">Vistos el acuerdo provisional aprobado por la comisión competente con arreglo al artículo </w:t>
      </w:r>
      <w:r w:rsidRPr="00EA026D">
        <w:t>74</w:t>
      </w:r>
      <w:r w:rsidRPr="0089503A">
        <w:t xml:space="preserve">, apartado </w:t>
      </w:r>
      <w:r w:rsidRPr="00EA026D">
        <w:t>4</w:t>
      </w:r>
      <w:r w:rsidRPr="0089503A">
        <w:t xml:space="preserve">, de su Reglamento interno y el compromiso asumido por el representante del Consejo, mediante carta de </w:t>
      </w:r>
      <w:r w:rsidRPr="00EA026D">
        <w:t>21</w:t>
      </w:r>
      <w:r w:rsidRPr="0089503A">
        <w:t xml:space="preserve"> de marzo de </w:t>
      </w:r>
      <w:r w:rsidRPr="00EA026D">
        <w:t>2024</w:t>
      </w:r>
      <w:r w:rsidRPr="0089503A">
        <w:t xml:space="preserve">, de aprobar la Posición del Parlamento Europeo, de conformidad con el artículo </w:t>
      </w:r>
      <w:r w:rsidRPr="00EA026D">
        <w:t>294</w:t>
      </w:r>
      <w:r w:rsidRPr="0089503A">
        <w:t xml:space="preserve">, apartado </w:t>
      </w:r>
      <w:r w:rsidRPr="00EA026D">
        <w:t>4</w:t>
      </w:r>
      <w:r w:rsidRPr="0089503A">
        <w:t>, del Tratado de Funcionamiento de la Unión Europea,</w:t>
      </w:r>
    </w:p>
    <w:p w:rsidR="002F0836" w:rsidRPr="0089503A" w:rsidRDefault="002F0836" w:rsidP="002F0836">
      <w:pPr>
        <w:pStyle w:val="NormalHanging12a"/>
      </w:pPr>
      <w:r w:rsidRPr="0089503A">
        <w:lastRenderedPageBreak/>
        <w:t>–</w:t>
      </w:r>
      <w:r w:rsidRPr="0089503A">
        <w:tab/>
        <w:t>Visto el artículo </w:t>
      </w:r>
      <w:r w:rsidRPr="00EA026D">
        <w:t>59</w:t>
      </w:r>
      <w:r w:rsidRPr="0089503A">
        <w:t xml:space="preserve"> de su Reglamento interno,</w:t>
      </w:r>
    </w:p>
    <w:p w:rsidR="002F0836" w:rsidRPr="0089503A" w:rsidRDefault="002F0836" w:rsidP="002F0836">
      <w:pPr>
        <w:pStyle w:val="NormalHanging12a"/>
      </w:pPr>
      <w:r w:rsidRPr="0089503A">
        <w:t>–</w:t>
      </w:r>
      <w:r w:rsidRPr="0089503A">
        <w:tab/>
        <w:t xml:space="preserve">Vistas las opiniones de la Comisión de Asuntos Exteriores y de la Comisión de Transportes y Turismo, </w:t>
      </w:r>
    </w:p>
    <w:p w:rsidR="002F0836" w:rsidRPr="0089503A" w:rsidRDefault="002F0836" w:rsidP="002F0836">
      <w:pPr>
        <w:pStyle w:val="NormalHanging12a"/>
      </w:pPr>
      <w:r w:rsidRPr="0089503A">
        <w:t>–</w:t>
      </w:r>
      <w:r w:rsidRPr="0089503A">
        <w:tab/>
        <w:t>Visto el informe de la Comisión de Industria, Investigación y Energía (A</w:t>
      </w:r>
      <w:r w:rsidRPr="00EA026D">
        <w:t>9</w:t>
      </w:r>
      <w:r w:rsidRPr="0089503A">
        <w:t>-</w:t>
      </w:r>
      <w:r w:rsidRPr="00EA026D">
        <w:t>0426</w:t>
      </w:r>
      <w:r w:rsidRPr="0089503A">
        <w:t>/</w:t>
      </w:r>
      <w:r w:rsidRPr="00EA026D">
        <w:t>2023</w:t>
      </w:r>
      <w:r w:rsidRPr="0089503A">
        <w:t>),</w:t>
      </w:r>
    </w:p>
    <w:p w:rsidR="002F0836" w:rsidRPr="0089503A" w:rsidRDefault="002F0836" w:rsidP="002F0836">
      <w:pPr>
        <w:pStyle w:val="NormalHanging12a"/>
      </w:pPr>
      <w:r w:rsidRPr="00EA026D">
        <w:t>1</w:t>
      </w:r>
      <w:r w:rsidRPr="0089503A">
        <w:t>.</w:t>
      </w:r>
      <w:r w:rsidRPr="0089503A">
        <w:tab/>
        <w:t>Aprueba la Posición en primera lectura que figura a continuación;</w:t>
      </w:r>
    </w:p>
    <w:p w:rsidR="002F0836" w:rsidRPr="0089503A" w:rsidRDefault="002F0836" w:rsidP="002F0836">
      <w:pPr>
        <w:pStyle w:val="NormalHanging12a"/>
      </w:pPr>
      <w:r w:rsidRPr="00EA026D">
        <w:t>2</w:t>
      </w:r>
      <w:r w:rsidRPr="0089503A">
        <w:t>.</w:t>
      </w:r>
      <w:r w:rsidRPr="0089503A">
        <w:tab/>
      </w:r>
      <w:r w:rsidR="00F01A99" w:rsidRPr="0089503A">
        <w:t xml:space="preserve">Toma nota de la declaración de la Comisión adjunta a la presente Resolución, que se publicará en la serie C del </w:t>
      </w:r>
      <w:r w:rsidR="00F01A99" w:rsidRPr="0089503A">
        <w:rPr>
          <w:i/>
        </w:rPr>
        <w:t>Diario Oficial de la Unión Europea</w:t>
      </w:r>
      <w:r w:rsidRPr="0089503A">
        <w:t>;</w:t>
      </w:r>
    </w:p>
    <w:p w:rsidR="002F0836" w:rsidRPr="0089503A" w:rsidRDefault="002F0836" w:rsidP="002F0836">
      <w:pPr>
        <w:pStyle w:val="NormalHanging12a"/>
      </w:pPr>
      <w:r w:rsidRPr="00EA026D">
        <w:t>3</w:t>
      </w:r>
      <w:r w:rsidRPr="0089503A">
        <w:t>.</w:t>
      </w:r>
      <w:r w:rsidRPr="0089503A">
        <w:tab/>
        <w:t>Pide a la Comisión que le consulte de nuevo si sustituye su propuesta, la modifica sustancialmente o se propone modificarla sustancialmente;</w:t>
      </w:r>
    </w:p>
    <w:p w:rsidR="002F0836" w:rsidRPr="0089503A" w:rsidRDefault="002F0836" w:rsidP="00FD56CE">
      <w:pPr>
        <w:pStyle w:val="NormalHanging12a"/>
      </w:pPr>
      <w:r w:rsidRPr="00EA026D">
        <w:t>4</w:t>
      </w:r>
      <w:r w:rsidRPr="0089503A">
        <w:t>.</w:t>
      </w:r>
      <w:r w:rsidRPr="0089503A">
        <w:tab/>
        <w:t>Encarga a su presidenta que transmita la Posición del Parlamento al Consejo y a la Comisión, así como a los Parlamentos nacionales.</w:t>
      </w:r>
    </w:p>
    <w:p w:rsidR="00F01A99" w:rsidRPr="0089503A" w:rsidRDefault="00F01A99" w:rsidP="002F0836">
      <w:pPr>
        <w:pStyle w:val="AmNumberTabs"/>
        <w:keepNext/>
        <w:sectPr w:rsidR="00F01A99" w:rsidRPr="0089503A" w:rsidSect="006B6EBD">
          <w:footerReference w:type="even" r:id="rId9"/>
          <w:footerReference w:type="first" r:id="rId10"/>
          <w:footnotePr>
            <w:numRestart w:val="eachSect"/>
          </w:footnotePr>
          <w:endnotePr>
            <w:numFmt w:val="decimal"/>
          </w:endnotePr>
          <w:pgSz w:w="11906" w:h="16838" w:code="9"/>
          <w:pgMar w:top="1134" w:right="1418" w:bottom="1418" w:left="1418" w:header="1134" w:footer="567" w:gutter="0"/>
          <w:cols w:space="720"/>
          <w:noEndnote/>
          <w:docGrid w:linePitch="326"/>
        </w:sectPr>
      </w:pPr>
    </w:p>
    <w:p w:rsidR="00A704B8" w:rsidRPr="0089503A" w:rsidRDefault="00A704B8" w:rsidP="00A704B8">
      <w:pPr>
        <w:pStyle w:val="Normal12Hanging"/>
        <w:ind w:left="0" w:firstLine="0"/>
        <w:jc w:val="both"/>
        <w:rPr>
          <w:b/>
        </w:rPr>
      </w:pPr>
      <w:r w:rsidRPr="0089503A">
        <w:rPr>
          <w:b/>
        </w:rPr>
        <w:lastRenderedPageBreak/>
        <w:t>P</w:t>
      </w:r>
      <w:r w:rsidRPr="00EA026D">
        <w:rPr>
          <w:b/>
        </w:rPr>
        <w:t>9</w:t>
      </w:r>
      <w:r w:rsidRPr="0089503A">
        <w:rPr>
          <w:b/>
        </w:rPr>
        <w:t>_TC</w:t>
      </w:r>
      <w:r w:rsidRPr="00EA026D">
        <w:rPr>
          <w:b/>
        </w:rPr>
        <w:t>1</w:t>
      </w:r>
      <w:r w:rsidRPr="0089503A">
        <w:rPr>
          <w:b/>
        </w:rPr>
        <w:t>-COD(</w:t>
      </w:r>
      <w:r w:rsidRPr="00EA026D">
        <w:rPr>
          <w:b/>
        </w:rPr>
        <w:t>2023</w:t>
      </w:r>
      <w:r w:rsidRPr="0089503A">
        <w:rPr>
          <w:b/>
        </w:rPr>
        <w:t>)</w:t>
      </w:r>
      <w:r w:rsidRPr="00EA026D">
        <w:rPr>
          <w:b/>
        </w:rPr>
        <w:t>0109</w:t>
      </w:r>
    </w:p>
    <w:p w:rsidR="00E973F4" w:rsidRPr="00E973F4" w:rsidRDefault="00A704B8" w:rsidP="00E973F4">
      <w:pPr>
        <w:pStyle w:val="AmNumberTabs"/>
        <w:keepNext/>
        <w:rPr>
          <w:szCs w:val="24"/>
          <w:lang w:eastAsia="en-US"/>
        </w:rPr>
      </w:pPr>
      <w:r w:rsidRPr="0089503A">
        <w:t xml:space="preserve">Posición del Parlamento Europeo aprobada en primera lectura el </w:t>
      </w:r>
      <w:r w:rsidRPr="00EA026D">
        <w:t>24</w:t>
      </w:r>
      <w:r w:rsidRPr="0089503A">
        <w:t xml:space="preserve"> de abril de </w:t>
      </w:r>
      <w:r w:rsidRPr="00EA026D">
        <w:t>2024</w:t>
      </w:r>
      <w:r w:rsidRPr="0089503A">
        <w:t xml:space="preserve"> con vistas a la adopción del Reglamento (UE) </w:t>
      </w:r>
      <w:r w:rsidRPr="00EA026D">
        <w:t>202</w:t>
      </w:r>
      <w:r w:rsidR="00B73653">
        <w:t>5</w:t>
      </w:r>
      <w:r w:rsidRPr="0089503A">
        <w:t xml:space="preserve">/... del Parlamento Europeo y del Consejo </w:t>
      </w:r>
      <w:bookmarkStart w:id="8" w:name="_Hlk179359820"/>
      <w:bookmarkStart w:id="9" w:name="_Hlk179628005"/>
      <w:r w:rsidR="00E973F4" w:rsidRPr="00E973F4">
        <w:rPr>
          <w:szCs w:val="24"/>
          <w:lang w:eastAsia="en-US"/>
        </w:rPr>
        <w:t>por el que se establecen medidas destinadas a reforzar la solidaridad y las capacidades en la Unión a fin de detectar ciberamenazas e incidentes, prepararse y responder a ellos</w:t>
      </w:r>
      <w:r w:rsidR="00E973F4" w:rsidRPr="00B73653">
        <w:rPr>
          <w:szCs w:val="24"/>
          <w:lang w:eastAsia="en-US"/>
        </w:rPr>
        <w:t xml:space="preserve"> y por el que se modifica el Reglamento (UE) 2021/694 </w:t>
      </w:r>
      <w:bookmarkEnd w:id="8"/>
      <w:r w:rsidR="00E973F4" w:rsidRPr="00B73653">
        <w:rPr>
          <w:szCs w:val="24"/>
          <w:lang w:eastAsia="en-US"/>
        </w:rPr>
        <w:t>(Reglamento de Cibersolidaridad)</w:t>
      </w:r>
      <w:bookmarkEnd w:id="9"/>
    </w:p>
    <w:p w:rsidR="00B73653" w:rsidRDefault="00B73653" w:rsidP="00B73653">
      <w:pPr>
        <w:widowControl/>
        <w:spacing w:before="240"/>
        <w:rPr>
          <w:bCs/>
          <w:iCs/>
          <w:lang w:val="es-ES"/>
        </w:rPr>
      </w:pPr>
      <w:r>
        <w:rPr>
          <w:i/>
        </w:rPr>
        <w:t>(Dado que el Parlamento Europeo y el Consejo llegaron a un acuerdo, la posición del Parlamento coincide con el texto del acto legislativo defini</w:t>
      </w:r>
      <w:r w:rsidRPr="00B73653">
        <w:rPr>
          <w:i/>
        </w:rPr>
        <w:t>tivo, el Reglamento (UE) 2025/38.)</w:t>
      </w:r>
    </w:p>
    <w:p w:rsidR="00B73653" w:rsidRDefault="00B73653">
      <w:pPr>
        <w:widowControl/>
        <w:rPr>
          <w:bCs/>
          <w:iCs/>
        </w:rPr>
      </w:pPr>
      <w:r>
        <w:rPr>
          <w:b/>
          <w:bCs/>
          <w:iCs/>
        </w:rPr>
        <w:br w:type="page"/>
      </w:r>
    </w:p>
    <w:p w:rsidR="00A704B8" w:rsidRPr="0089503A" w:rsidRDefault="00880E32" w:rsidP="003601CC">
      <w:pPr>
        <w:pStyle w:val="AmNumberTabs"/>
        <w:keepNext/>
        <w:spacing w:after="120"/>
        <w:jc w:val="right"/>
        <w:rPr>
          <w:b w:val="0"/>
          <w:bCs/>
          <w:iCs/>
        </w:rPr>
      </w:pPr>
      <w:r w:rsidRPr="0089503A">
        <w:rPr>
          <w:b w:val="0"/>
          <w:bCs/>
          <w:iCs/>
        </w:rPr>
        <w:t>ANEXO A LA RESOLUCIÓN LEGISLATIVA</w:t>
      </w:r>
    </w:p>
    <w:p w:rsidR="00DF1E06" w:rsidRPr="0089503A" w:rsidRDefault="00DF1E06" w:rsidP="00B73653">
      <w:pPr>
        <w:kinsoku w:val="0"/>
        <w:overflowPunct w:val="0"/>
        <w:spacing w:before="240" w:after="120" w:line="360" w:lineRule="auto"/>
        <w:ind w:right="111"/>
        <w:jc w:val="center"/>
        <w:rPr>
          <w:b/>
          <w:i/>
          <w:iCs/>
          <w:szCs w:val="24"/>
        </w:rPr>
      </w:pPr>
      <w:r w:rsidRPr="0089503A">
        <w:rPr>
          <w:b/>
          <w:i/>
        </w:rPr>
        <w:t xml:space="preserve">Declaración de la Comisión sobre el presupuesto con respecto al Reglamento </w:t>
      </w:r>
      <w:r w:rsidR="00B73653">
        <w:rPr>
          <w:b/>
          <w:i/>
        </w:rPr>
        <w:t xml:space="preserve">(UE) 2025/38 </w:t>
      </w:r>
      <w:r w:rsidRPr="0089503A">
        <w:rPr>
          <w:b/>
          <w:i/>
        </w:rPr>
        <w:t>del Parlamento Europeo y del Consejo</w:t>
      </w:r>
      <w:r w:rsidR="00B73653">
        <w:rPr>
          <w:b/>
          <w:i/>
        </w:rPr>
        <w:t>, de 19 de diciembre de 2024,</w:t>
      </w:r>
      <w:r w:rsidRPr="0089503A">
        <w:rPr>
          <w:b/>
          <w:i/>
        </w:rPr>
        <w:t xml:space="preserve"> por el que se establecen medidas destinadas a reforzar la solidaridad y las capacidades en la Unión a fin de detectar amenazas e incidentes de ciberseguridad, prepararse para ellos y responder a ellos (</w:t>
      </w:r>
      <w:r w:rsidR="00281E6C" w:rsidRPr="0089503A">
        <w:rPr>
          <w:b/>
          <w:i/>
        </w:rPr>
        <w:t>Reglamento</w:t>
      </w:r>
      <w:r w:rsidRPr="0089503A">
        <w:rPr>
          <w:b/>
          <w:i/>
        </w:rPr>
        <w:t xml:space="preserve"> de Cibersolidaridad)</w:t>
      </w:r>
      <w:r w:rsidR="00B73653">
        <w:rPr>
          <w:rStyle w:val="FootnoteReference"/>
          <w:b/>
          <w:i/>
        </w:rPr>
        <w:footnoteReference w:id="4"/>
      </w:r>
    </w:p>
    <w:p w:rsidR="00DF1E06" w:rsidRPr="0089503A" w:rsidRDefault="000343E3" w:rsidP="000343E3">
      <w:pPr>
        <w:tabs>
          <w:tab w:val="left" w:pos="837"/>
        </w:tabs>
        <w:kinsoku w:val="0"/>
        <w:overflowPunct w:val="0"/>
        <w:autoSpaceDE w:val="0"/>
        <w:autoSpaceDN w:val="0"/>
        <w:adjustRightInd w:val="0"/>
        <w:spacing w:before="120" w:after="120" w:line="360" w:lineRule="auto"/>
        <w:ind w:left="851" w:right="110" w:hanging="851"/>
        <w:rPr>
          <w:iCs/>
          <w:szCs w:val="24"/>
        </w:rPr>
      </w:pPr>
      <w:r w:rsidRPr="00EA026D">
        <w:t>1</w:t>
      </w:r>
      <w:r w:rsidRPr="0089503A">
        <w:t>.</w:t>
      </w:r>
      <w:r w:rsidRPr="0089503A">
        <w:tab/>
      </w:r>
      <w:r w:rsidR="00DF1E06" w:rsidRPr="0089503A">
        <w:t xml:space="preserve">La ficha de financiación legislativa de la Comisión que acompaña a la propuesta de Ley de Cibersolidaridad se publicó en abril de </w:t>
      </w:r>
      <w:r w:rsidR="00DF1E06" w:rsidRPr="00EA026D">
        <w:t>2023</w:t>
      </w:r>
      <w:r w:rsidR="00DF1E06" w:rsidRPr="0089503A">
        <w:t>. Desde entonces, las cifras estimadas pertinentes han cambiado debido a la adopción o la adopción prevista de otros actos legislativos.</w:t>
      </w:r>
    </w:p>
    <w:p w:rsidR="00DF1E06" w:rsidRPr="0089503A" w:rsidRDefault="000343E3" w:rsidP="000343E3">
      <w:pPr>
        <w:tabs>
          <w:tab w:val="left" w:pos="837"/>
        </w:tabs>
        <w:kinsoku w:val="0"/>
        <w:overflowPunct w:val="0"/>
        <w:autoSpaceDE w:val="0"/>
        <w:autoSpaceDN w:val="0"/>
        <w:adjustRightInd w:val="0"/>
        <w:spacing w:before="120" w:after="120" w:line="360" w:lineRule="auto"/>
        <w:ind w:left="851" w:right="111" w:hanging="851"/>
        <w:rPr>
          <w:iCs/>
          <w:szCs w:val="24"/>
        </w:rPr>
      </w:pPr>
      <w:r w:rsidRPr="00EA026D">
        <w:t>2</w:t>
      </w:r>
      <w:r w:rsidRPr="0089503A">
        <w:t>.</w:t>
      </w:r>
      <w:r w:rsidRPr="0089503A">
        <w:tab/>
      </w:r>
      <w:r w:rsidR="00DF1E06" w:rsidRPr="0089503A">
        <w:t xml:space="preserve">El </w:t>
      </w:r>
      <w:r w:rsidR="00DF1E06" w:rsidRPr="00EA026D">
        <w:t>5</w:t>
      </w:r>
      <w:r w:rsidR="00DF1E06" w:rsidRPr="0089503A">
        <w:t xml:space="preserve"> de marzo de </w:t>
      </w:r>
      <w:r w:rsidR="00DF1E06" w:rsidRPr="00EA026D">
        <w:t>2024</w:t>
      </w:r>
      <w:r w:rsidR="00DF1E06" w:rsidRPr="0089503A">
        <w:t xml:space="preserve">, los colegisladores alcanzaron un acuerdo político preliminar para limitar a </w:t>
      </w:r>
      <w:r w:rsidR="00DF1E06" w:rsidRPr="00EA026D">
        <w:t>22</w:t>
      </w:r>
      <w:r w:rsidR="00DF1E06" w:rsidRPr="0089503A">
        <w:t> millones EUR la reasignación del objetivo específico </w:t>
      </w:r>
      <w:r w:rsidR="00DF1E06" w:rsidRPr="00EA026D">
        <w:t>4</w:t>
      </w:r>
      <w:r w:rsidR="00DF1E06" w:rsidRPr="0089503A">
        <w:t xml:space="preserve"> «Capacidades digitales avanzadas» al objetivo específico </w:t>
      </w:r>
      <w:r w:rsidR="00DF1E06" w:rsidRPr="00EA026D">
        <w:t>3</w:t>
      </w:r>
      <w:r w:rsidR="00DF1E06" w:rsidRPr="0089503A">
        <w:t xml:space="preserve"> «Ciberseguridad y confianza» del programa Europa Digital prevista en la ficha de financiación legislativa.</w:t>
      </w:r>
    </w:p>
    <w:p w:rsidR="00DF1E06" w:rsidRPr="0089503A" w:rsidRDefault="000343E3" w:rsidP="000343E3">
      <w:pPr>
        <w:tabs>
          <w:tab w:val="left" w:pos="837"/>
        </w:tabs>
        <w:kinsoku w:val="0"/>
        <w:overflowPunct w:val="0"/>
        <w:autoSpaceDE w:val="0"/>
        <w:autoSpaceDN w:val="0"/>
        <w:adjustRightInd w:val="0"/>
        <w:spacing w:before="120" w:after="120" w:line="360" w:lineRule="auto"/>
        <w:ind w:left="851" w:right="102" w:hanging="851"/>
        <w:rPr>
          <w:iCs/>
          <w:sz w:val="20"/>
        </w:rPr>
      </w:pPr>
      <w:r w:rsidRPr="00EA026D">
        <w:t>3</w:t>
      </w:r>
      <w:r w:rsidRPr="0089503A">
        <w:t>.</w:t>
      </w:r>
      <w:r w:rsidRPr="0089503A">
        <w:tab/>
      </w:r>
      <w:r w:rsidR="00DF1E06" w:rsidRPr="0089503A">
        <w:t>Para reflejar los términos del acuerdo político preliminar, la Comisión actualizó la ficha de financiación legislativa de la Ley de Cibersolidaridad con respecto a las dotaciones financieras para los objetivos específicos </w:t>
      </w:r>
      <w:r w:rsidR="00DF1E06" w:rsidRPr="00EA026D">
        <w:t>2</w:t>
      </w:r>
      <w:r w:rsidR="00DF1E06" w:rsidRPr="0089503A">
        <w:t xml:space="preserve"> «Inteligencia artificial», </w:t>
      </w:r>
      <w:r w:rsidR="00DF1E06" w:rsidRPr="00EA026D">
        <w:t>3</w:t>
      </w:r>
      <w:r w:rsidR="00DF1E06" w:rsidRPr="0089503A">
        <w:t xml:space="preserve"> «Ciberseguridad y confianza» y </w:t>
      </w:r>
      <w:r w:rsidR="00DF1E06" w:rsidRPr="00EA026D">
        <w:t>4</w:t>
      </w:r>
      <w:r w:rsidR="00DF1E06" w:rsidRPr="0089503A">
        <w:t xml:space="preserve"> «Capacidades digitales avanzadas», teniendo en cuenta las reasignaciones acordadas por los colegisladores.</w:t>
      </w:r>
    </w:p>
    <w:p w:rsidR="00DF1E06" w:rsidRPr="0089503A" w:rsidRDefault="000343E3" w:rsidP="000343E3">
      <w:pPr>
        <w:tabs>
          <w:tab w:val="left" w:pos="837"/>
        </w:tabs>
        <w:kinsoku w:val="0"/>
        <w:overflowPunct w:val="0"/>
        <w:autoSpaceDE w:val="0"/>
        <w:autoSpaceDN w:val="0"/>
        <w:adjustRightInd w:val="0"/>
        <w:spacing w:before="120" w:after="120" w:line="360" w:lineRule="auto"/>
        <w:ind w:left="851" w:right="110" w:hanging="851"/>
        <w:rPr>
          <w:iCs/>
          <w:sz w:val="20"/>
        </w:rPr>
      </w:pPr>
      <w:r w:rsidRPr="00EA026D">
        <w:t>4</w:t>
      </w:r>
      <w:r w:rsidRPr="0089503A">
        <w:t>.</w:t>
      </w:r>
      <w:r w:rsidRPr="0089503A">
        <w:tab/>
      </w:r>
      <w:r w:rsidR="00DF1E06" w:rsidRPr="0089503A">
        <w:t xml:space="preserve">En consonancia, las dotaciones financieras para el período </w:t>
      </w:r>
      <w:r w:rsidR="00DF1E06" w:rsidRPr="00EA026D">
        <w:t>2025</w:t>
      </w:r>
      <w:r w:rsidR="00DF1E06" w:rsidRPr="0089503A">
        <w:t>-</w:t>
      </w:r>
      <w:r w:rsidR="00DF1E06" w:rsidRPr="00EA026D">
        <w:t>2027</w:t>
      </w:r>
      <w:r w:rsidR="00DF1E06" w:rsidRPr="0089503A">
        <w:t xml:space="preserve"> presentadas en la ficha de financiación legislativa actualizada, sin perjuicio de las competencias de la Comisión en el contexto del procedimiento presupuestario anual, son las siguientes:</w:t>
      </w:r>
    </w:p>
    <w:p w:rsidR="00DF1E06" w:rsidRPr="0089503A" w:rsidRDefault="000343E3" w:rsidP="000343E3">
      <w:pPr>
        <w:tabs>
          <w:tab w:val="left" w:pos="1418"/>
        </w:tabs>
        <w:kinsoku w:val="0"/>
        <w:overflowPunct w:val="0"/>
        <w:autoSpaceDE w:val="0"/>
        <w:autoSpaceDN w:val="0"/>
        <w:adjustRightInd w:val="0"/>
        <w:spacing w:before="120" w:after="120" w:line="360" w:lineRule="auto"/>
        <w:ind w:left="1418" w:right="111" w:hanging="567"/>
        <w:rPr>
          <w:iCs/>
          <w:sz w:val="20"/>
        </w:rPr>
      </w:pPr>
      <w:r w:rsidRPr="0089503A">
        <w:t>-</w:t>
      </w:r>
      <w:r w:rsidRPr="0089503A">
        <w:tab/>
      </w:r>
      <w:r w:rsidR="00DF1E06" w:rsidRPr="0089503A">
        <w:t>[</w:t>
      </w:r>
      <w:r w:rsidR="00DF1E06" w:rsidRPr="00EA026D">
        <w:t>544</w:t>
      </w:r>
      <w:r w:rsidR="00DF1E06" w:rsidRPr="0089503A">
        <w:t> </w:t>
      </w:r>
      <w:r w:rsidR="00DF1E06" w:rsidRPr="00EA026D">
        <w:t>726</w:t>
      </w:r>
      <w:r w:rsidR="00DF1E06" w:rsidRPr="0089503A">
        <w:t> </w:t>
      </w:r>
      <w:r w:rsidR="00DF1E06" w:rsidRPr="00EA026D">
        <w:t>000</w:t>
      </w:r>
      <w:r w:rsidR="00DF1E06" w:rsidRPr="0089503A">
        <w:t> EUR] para el objetivo específico </w:t>
      </w:r>
      <w:r w:rsidR="00DF1E06" w:rsidRPr="00EA026D">
        <w:t>2</w:t>
      </w:r>
      <w:r w:rsidR="00DF1E06" w:rsidRPr="0089503A">
        <w:t xml:space="preserve"> «Inteligencia artificial», teniendo en cuenta </w:t>
      </w:r>
      <w:r w:rsidR="00DF1E06" w:rsidRPr="00EA026D">
        <w:t>65</w:t>
      </w:r>
      <w:r w:rsidR="00DF1E06" w:rsidRPr="0089503A">
        <w:t> millones EUR reasignados al objetivo específico </w:t>
      </w:r>
      <w:r w:rsidR="00DF1E06" w:rsidRPr="00EA026D">
        <w:t>3</w:t>
      </w:r>
      <w:r w:rsidR="00DF1E06" w:rsidRPr="0089503A">
        <w:t xml:space="preserve"> «Ciberseguridad y confianza»;</w:t>
      </w:r>
    </w:p>
    <w:p w:rsidR="00DF1E06" w:rsidRPr="0089503A" w:rsidRDefault="000343E3" w:rsidP="000343E3">
      <w:pPr>
        <w:tabs>
          <w:tab w:val="left" w:pos="1418"/>
        </w:tabs>
        <w:kinsoku w:val="0"/>
        <w:overflowPunct w:val="0"/>
        <w:autoSpaceDE w:val="0"/>
        <w:autoSpaceDN w:val="0"/>
        <w:adjustRightInd w:val="0"/>
        <w:spacing w:before="120" w:after="120" w:line="360" w:lineRule="auto"/>
        <w:ind w:left="1418" w:right="110" w:hanging="567"/>
        <w:rPr>
          <w:iCs/>
          <w:sz w:val="20"/>
        </w:rPr>
      </w:pPr>
      <w:r w:rsidRPr="0089503A">
        <w:t>-</w:t>
      </w:r>
      <w:r w:rsidRPr="0089503A">
        <w:tab/>
      </w:r>
      <w:r w:rsidR="00DF1E06" w:rsidRPr="0089503A">
        <w:t>[</w:t>
      </w:r>
      <w:r w:rsidR="00DF1E06" w:rsidRPr="00EA026D">
        <w:t>44</w:t>
      </w:r>
      <w:r w:rsidR="00DF1E06" w:rsidRPr="0089503A">
        <w:t> </w:t>
      </w:r>
      <w:r w:rsidR="00DF1E06" w:rsidRPr="00EA026D">
        <w:t>451</w:t>
      </w:r>
      <w:r w:rsidR="00DF1E06" w:rsidRPr="0089503A">
        <w:t> </w:t>
      </w:r>
      <w:r w:rsidR="00DF1E06" w:rsidRPr="00EA026D">
        <w:t>000</w:t>
      </w:r>
      <w:r w:rsidR="00DF1E06" w:rsidRPr="0089503A">
        <w:t> EUR] para el objetivo específico </w:t>
      </w:r>
      <w:r w:rsidR="00DF1E06" w:rsidRPr="00EA026D">
        <w:t>3</w:t>
      </w:r>
      <w:r w:rsidR="00DF1E06" w:rsidRPr="0089503A">
        <w:t xml:space="preserve"> «Ciberseguridad y confianza», parte en régimen de gestión directa de la Comisión, incluidos </w:t>
      </w:r>
      <w:r w:rsidR="00DF1E06" w:rsidRPr="00EA026D">
        <w:t>26</w:t>
      </w:r>
      <w:r w:rsidR="00DF1E06" w:rsidRPr="0089503A">
        <w:t> millones EUR reasignados de los objetivos específicos </w:t>
      </w:r>
      <w:r w:rsidR="00DF1E06" w:rsidRPr="00EA026D">
        <w:t>2</w:t>
      </w:r>
      <w:r w:rsidR="00DF1E06" w:rsidRPr="0089503A">
        <w:t xml:space="preserve"> y </w:t>
      </w:r>
      <w:r w:rsidR="00DF1E06" w:rsidRPr="00EA026D">
        <w:t>4</w:t>
      </w:r>
      <w:r w:rsidR="00DF1E06" w:rsidRPr="0089503A">
        <w:t>.</w:t>
      </w:r>
    </w:p>
    <w:p w:rsidR="00DF1E06" w:rsidRPr="0089503A" w:rsidRDefault="000343E3" w:rsidP="000343E3">
      <w:pPr>
        <w:tabs>
          <w:tab w:val="left" w:pos="1418"/>
        </w:tabs>
        <w:kinsoku w:val="0"/>
        <w:overflowPunct w:val="0"/>
        <w:autoSpaceDE w:val="0"/>
        <w:autoSpaceDN w:val="0"/>
        <w:adjustRightInd w:val="0"/>
        <w:spacing w:before="120" w:after="120" w:line="360" w:lineRule="auto"/>
        <w:ind w:left="1418" w:right="110" w:hanging="567"/>
        <w:rPr>
          <w:iCs/>
          <w:sz w:val="20"/>
        </w:rPr>
      </w:pPr>
      <w:r w:rsidRPr="0089503A">
        <w:t>-</w:t>
      </w:r>
      <w:r w:rsidRPr="0089503A">
        <w:tab/>
      </w:r>
      <w:r w:rsidR="00DF1E06" w:rsidRPr="0089503A">
        <w:t>[</w:t>
      </w:r>
      <w:r w:rsidR="00DF1E06" w:rsidRPr="00EA026D">
        <w:t>353</w:t>
      </w:r>
      <w:r w:rsidR="00DF1E06" w:rsidRPr="0089503A">
        <w:t> </w:t>
      </w:r>
      <w:r w:rsidR="00DF1E06" w:rsidRPr="00EA026D">
        <w:t>190</w:t>
      </w:r>
      <w:r w:rsidR="00DF1E06" w:rsidRPr="0089503A">
        <w:t> </w:t>
      </w:r>
      <w:r w:rsidR="00DF1E06" w:rsidRPr="00EA026D">
        <w:t>613</w:t>
      </w:r>
      <w:r w:rsidR="00DF1E06" w:rsidRPr="0089503A">
        <w:t> EUR] para el objetivo específico </w:t>
      </w:r>
      <w:r w:rsidR="00DF1E06" w:rsidRPr="00EA026D">
        <w:t>3</w:t>
      </w:r>
      <w:r w:rsidR="00DF1E06" w:rsidRPr="0089503A">
        <w:t xml:space="preserve"> «Ciberseguridad y confianza», parte gestionada por el Centro Europeo de Competencia en Ciberseguridad, incluida la reasignación de </w:t>
      </w:r>
      <w:r w:rsidR="00DF1E06" w:rsidRPr="00EA026D">
        <w:t>61</w:t>
      </w:r>
      <w:r w:rsidR="00DF1E06" w:rsidRPr="0089503A">
        <w:t> millones EUR de los objetivos específicos </w:t>
      </w:r>
      <w:r w:rsidR="00DF1E06" w:rsidRPr="00EA026D">
        <w:t>2</w:t>
      </w:r>
      <w:r w:rsidR="00DF1E06" w:rsidRPr="0089503A">
        <w:t xml:space="preserve"> y </w:t>
      </w:r>
      <w:r w:rsidR="00DF1E06" w:rsidRPr="00EA026D">
        <w:t>4</w:t>
      </w:r>
      <w:r w:rsidR="00DF1E06" w:rsidRPr="0089503A">
        <w:t>.</w:t>
      </w:r>
    </w:p>
    <w:p w:rsidR="00DF1E06" w:rsidRPr="0089503A" w:rsidRDefault="000343E3" w:rsidP="000343E3">
      <w:pPr>
        <w:tabs>
          <w:tab w:val="left" w:pos="1418"/>
        </w:tabs>
        <w:kinsoku w:val="0"/>
        <w:overflowPunct w:val="0"/>
        <w:autoSpaceDE w:val="0"/>
        <w:autoSpaceDN w:val="0"/>
        <w:adjustRightInd w:val="0"/>
        <w:spacing w:before="120" w:after="120" w:line="360" w:lineRule="auto"/>
        <w:ind w:left="1418" w:right="118" w:hanging="567"/>
        <w:rPr>
          <w:iCs/>
          <w:szCs w:val="24"/>
        </w:rPr>
      </w:pPr>
      <w:r w:rsidRPr="0089503A">
        <w:t>-</w:t>
      </w:r>
      <w:r w:rsidRPr="0089503A">
        <w:tab/>
      </w:r>
      <w:r w:rsidR="00DF1E06" w:rsidRPr="0089503A">
        <w:t>[</w:t>
      </w:r>
      <w:r w:rsidR="00DF1E06" w:rsidRPr="00EA026D">
        <w:t>167</w:t>
      </w:r>
      <w:r w:rsidR="00DF1E06" w:rsidRPr="0089503A">
        <w:t> </w:t>
      </w:r>
      <w:r w:rsidR="00DF1E06" w:rsidRPr="00EA026D">
        <w:t>162</w:t>
      </w:r>
      <w:r w:rsidR="00DF1E06" w:rsidRPr="0089503A">
        <w:t> </w:t>
      </w:r>
      <w:r w:rsidR="00DF1E06" w:rsidRPr="00EA026D">
        <w:t>423</w:t>
      </w:r>
      <w:r w:rsidR="00DF1E06" w:rsidRPr="0089503A">
        <w:t> EUR] para el objetivo específico </w:t>
      </w:r>
      <w:r w:rsidR="00DF1E06" w:rsidRPr="00EA026D">
        <w:t>4</w:t>
      </w:r>
      <w:r w:rsidR="00DF1E06" w:rsidRPr="0089503A">
        <w:t xml:space="preserve"> «Capacidades digitales avanzadas», teniendo en cuenta la reasignación de </w:t>
      </w:r>
      <w:r w:rsidR="00DF1E06" w:rsidRPr="00EA026D">
        <w:t>22</w:t>
      </w:r>
      <w:r w:rsidR="00DF1E06" w:rsidRPr="0089503A">
        <w:t> millones EUR al objetivo específico </w:t>
      </w:r>
      <w:r w:rsidR="00DF1E06" w:rsidRPr="00EA026D">
        <w:t>3</w:t>
      </w:r>
      <w:r w:rsidR="00DF1E06" w:rsidRPr="0089503A">
        <w:t xml:space="preserve"> «Ciberseguridad y confianza».</w:t>
      </w:r>
    </w:p>
    <w:p w:rsidR="00880E32" w:rsidRPr="0089503A" w:rsidRDefault="000343E3" w:rsidP="00FD56CE">
      <w:pPr>
        <w:tabs>
          <w:tab w:val="left" w:pos="851"/>
        </w:tabs>
        <w:kinsoku w:val="0"/>
        <w:overflowPunct w:val="0"/>
        <w:autoSpaceDE w:val="0"/>
        <w:autoSpaceDN w:val="0"/>
        <w:adjustRightInd w:val="0"/>
        <w:spacing w:before="120" w:after="120" w:line="360" w:lineRule="auto"/>
        <w:ind w:left="851" w:right="113" w:hanging="851"/>
        <w:rPr>
          <w:b/>
          <w:bCs/>
          <w:iCs/>
        </w:rPr>
      </w:pPr>
      <w:r w:rsidRPr="00EA026D">
        <w:t>5</w:t>
      </w:r>
      <w:r w:rsidRPr="0089503A">
        <w:t>.</w:t>
      </w:r>
      <w:r w:rsidRPr="0089503A">
        <w:tab/>
      </w:r>
      <w:r w:rsidR="00DF1E06" w:rsidRPr="0089503A">
        <w:t>La Reserva de Ciberseguridad de la UE se financiará con cargo a la dotación financiera del objetivo específico </w:t>
      </w:r>
      <w:r w:rsidR="00DF1E06" w:rsidRPr="00EA026D">
        <w:t>3</w:t>
      </w:r>
      <w:r w:rsidR="00DF1E06" w:rsidRPr="0089503A">
        <w:t xml:space="preserve"> «Ciberseguridad y confianza», parte en régimen de gestión directa de la Comisión (que, según la ficha de financiación legislativa actualizada, se estima en [</w:t>
      </w:r>
      <w:r w:rsidR="00DF1E06" w:rsidRPr="00EA026D">
        <w:t>44</w:t>
      </w:r>
      <w:r w:rsidR="00DF1E06" w:rsidRPr="0089503A">
        <w:t> </w:t>
      </w:r>
      <w:r w:rsidR="00DF1E06" w:rsidRPr="00EA026D">
        <w:t>451</w:t>
      </w:r>
      <w:r w:rsidR="00DF1E06" w:rsidRPr="0089503A">
        <w:t> </w:t>
      </w:r>
      <w:r w:rsidR="00DF1E06" w:rsidRPr="00EA026D">
        <w:t>000</w:t>
      </w:r>
      <w:r w:rsidR="00DF1E06" w:rsidRPr="0089503A">
        <w:t>] EUR).</w:t>
      </w:r>
    </w:p>
    <w:sectPr w:rsidR="00880E32" w:rsidRPr="0089503A" w:rsidSect="006B6EBD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footnotePr>
        <w:numRestart w:val="eachSect"/>
      </w:footnotePr>
      <w:endnotePr>
        <w:numFmt w:val="decimal"/>
      </w:endnotePr>
      <w:pgSz w:w="11906" w:h="16838" w:code="9"/>
      <w:pgMar w:top="1134" w:right="1418" w:bottom="1418" w:left="1418" w:header="1134" w:footer="567" w:gutter="0"/>
      <w:cols w:space="720"/>
      <w:noEndnote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C0B57" w:rsidRPr="006B6EBD" w:rsidRDefault="002C0B57">
      <w:r w:rsidRPr="006B6EBD">
        <w:separator/>
      </w:r>
    </w:p>
  </w:endnote>
  <w:endnote w:type="continuationSeparator" w:id="0">
    <w:p w:rsidR="002C0B57" w:rsidRPr="006B6EBD" w:rsidRDefault="002C0B57">
      <w:r w:rsidRPr="006B6EBD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DokChampa">
    <w:altName w:val="Leelawadee UI"/>
    <w:charset w:val="DE"/>
    <w:family w:val="swiss"/>
    <w:pitch w:val="variable"/>
    <w:sig w:usb0="83000003" w:usb1="00000000" w:usb2="00000000" w:usb3="00000000" w:csb0="0001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F0836" w:rsidRPr="006B6EBD" w:rsidRDefault="002F0836" w:rsidP="00155A6D">
    <w:pPr>
      <w:pStyle w:val="EPFooter"/>
    </w:pPr>
    <w:r w:rsidRPr="006B6EBD">
      <w:t>PE</w:t>
    </w:r>
    <w:r w:rsidRPr="006B6EBD">
      <w:rPr>
        <w:rStyle w:val="HideTWBExt"/>
      </w:rPr>
      <w:t>&lt;NoPE&gt;</w:t>
    </w:r>
    <w:r w:rsidRPr="006B6EBD">
      <w:t>752.795</w:t>
    </w:r>
    <w:r w:rsidRPr="006B6EBD">
      <w:rPr>
        <w:rStyle w:val="HideTWBExt"/>
      </w:rPr>
      <w:t>&lt;/NoPE&gt;&lt;Version&gt;</w:t>
    </w:r>
    <w:r w:rsidRPr="006B6EBD">
      <w:t>v02-00</w:t>
    </w:r>
    <w:r w:rsidRPr="006B6EBD">
      <w:rPr>
        <w:rStyle w:val="HideTWBExt"/>
      </w:rPr>
      <w:t>&lt;/Version&gt;</w:t>
    </w:r>
    <w:r w:rsidRPr="006B6EBD">
      <w:tab/>
    </w:r>
    <w:r w:rsidRPr="006B6EBD">
      <w:fldChar w:fldCharType="begin"/>
    </w:r>
    <w:r w:rsidRPr="006B6EBD">
      <w:instrText xml:space="preserve"> PAGE  \* MERGEFORMAT </w:instrText>
    </w:r>
    <w:r w:rsidRPr="006B6EBD">
      <w:fldChar w:fldCharType="separate"/>
    </w:r>
    <w:r w:rsidR="006B6EBD" w:rsidRPr="006B6EBD">
      <w:rPr>
        <w:noProof/>
      </w:rPr>
      <w:t>2</w:t>
    </w:r>
    <w:r w:rsidRPr="006B6EBD">
      <w:fldChar w:fldCharType="end"/>
    </w:r>
    <w:r w:rsidRPr="006B6EBD">
      <w:t>/</w:t>
    </w:r>
    <w:r w:rsidR="00A8012D">
      <w:fldChar w:fldCharType="begin"/>
    </w:r>
    <w:r w:rsidR="00A8012D">
      <w:instrText xml:space="preserve"> NUMPAGES  \* MERGEFORMAT </w:instrText>
    </w:r>
    <w:r w:rsidR="00A8012D">
      <w:fldChar w:fldCharType="separate"/>
    </w:r>
    <w:r w:rsidR="006B6EBD" w:rsidRPr="006B6EBD">
      <w:rPr>
        <w:noProof/>
      </w:rPr>
      <w:t>45</w:t>
    </w:r>
    <w:r w:rsidR="00A8012D">
      <w:rPr>
        <w:noProof/>
      </w:rPr>
      <w:fldChar w:fldCharType="end"/>
    </w:r>
    <w:r w:rsidRPr="006B6EBD">
      <w:tab/>
    </w:r>
    <w:r w:rsidRPr="006B6EBD">
      <w:rPr>
        <w:rStyle w:val="HideTWBExt"/>
      </w:rPr>
      <w:t>&lt;PathFdR&gt;</w:t>
    </w:r>
    <w:r w:rsidRPr="006B6EBD">
      <w:t>RR\1292615ES.docx</w:t>
    </w:r>
    <w:r w:rsidRPr="006B6EBD">
      <w:rPr>
        <w:rStyle w:val="HideTWBExt"/>
      </w:rPr>
      <w:t>&lt;/PathFdR&gt;</w:t>
    </w:r>
  </w:p>
  <w:p w:rsidR="002F0836" w:rsidRPr="006B6EBD" w:rsidRDefault="002F0836" w:rsidP="00155A6D">
    <w:pPr>
      <w:pStyle w:val="EPFooter2"/>
    </w:pPr>
    <w:r w:rsidRPr="006B6EBD">
      <w:t>ES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F0836" w:rsidRPr="006B6EBD" w:rsidRDefault="002F0836" w:rsidP="00155A6D">
    <w:pPr>
      <w:pStyle w:val="EPFooter"/>
    </w:pPr>
    <w:r w:rsidRPr="006B6EBD">
      <w:rPr>
        <w:rStyle w:val="HideTWBExt"/>
      </w:rPr>
      <w:t>&lt;PathFdR&gt;</w:t>
    </w:r>
    <w:r w:rsidRPr="006B6EBD">
      <w:t>RR\1292615ES.docx</w:t>
    </w:r>
    <w:r w:rsidRPr="006B6EBD">
      <w:rPr>
        <w:rStyle w:val="HideTWBExt"/>
      </w:rPr>
      <w:t>&lt;/PathFdR&gt;</w:t>
    </w:r>
    <w:r w:rsidRPr="006B6EBD">
      <w:tab/>
    </w:r>
    <w:r w:rsidRPr="006B6EBD">
      <w:tab/>
      <w:t>PE</w:t>
    </w:r>
    <w:r w:rsidRPr="006B6EBD">
      <w:rPr>
        <w:rStyle w:val="HideTWBExt"/>
      </w:rPr>
      <w:t>&lt;NoPE&gt;</w:t>
    </w:r>
    <w:r w:rsidRPr="006B6EBD">
      <w:t>752.795</w:t>
    </w:r>
    <w:r w:rsidRPr="006B6EBD">
      <w:rPr>
        <w:rStyle w:val="HideTWBExt"/>
      </w:rPr>
      <w:t>&lt;/NoPE&gt;&lt;Version&gt;</w:t>
    </w:r>
    <w:r w:rsidRPr="006B6EBD">
      <w:t>v02-00</w:t>
    </w:r>
    <w:r w:rsidRPr="006B6EBD">
      <w:rPr>
        <w:rStyle w:val="HideTWBExt"/>
      </w:rPr>
      <w:t>&lt;/Version&gt;</w:t>
    </w:r>
  </w:p>
  <w:p w:rsidR="002F0836" w:rsidRPr="006B6EBD" w:rsidRDefault="002F0836" w:rsidP="00155A6D">
    <w:pPr>
      <w:pStyle w:val="EPFooter2"/>
    </w:pPr>
    <w:r w:rsidRPr="006B6EBD">
      <w:t>ES</w:t>
    </w:r>
    <w:r w:rsidRPr="006B6EBD">
      <w:tab/>
    </w:r>
    <w:r w:rsidRPr="006B6EBD">
      <w:rPr>
        <w:b w:val="0"/>
        <w:i/>
        <w:color w:val="C0C0C0"/>
        <w:sz w:val="22"/>
      </w:rPr>
      <w:t>Unida en la diversidad</w:t>
    </w:r>
    <w:r w:rsidRPr="006B6EBD">
      <w:tab/>
      <w:t>ES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64002" w:rsidRPr="006B6EBD" w:rsidRDefault="00064002"/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64002" w:rsidRPr="006B6EBD" w:rsidRDefault="00064002"/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64002" w:rsidRPr="006B6EBD" w:rsidRDefault="00064002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C0B57" w:rsidRPr="006B6EBD" w:rsidRDefault="002C0B57">
      <w:r w:rsidRPr="006B6EBD">
        <w:separator/>
      </w:r>
    </w:p>
  </w:footnote>
  <w:footnote w:type="continuationSeparator" w:id="0">
    <w:p w:rsidR="002C0B57" w:rsidRPr="006B6EBD" w:rsidRDefault="002C0B57">
      <w:r w:rsidRPr="006B6EBD">
        <w:continuationSeparator/>
      </w:r>
    </w:p>
  </w:footnote>
  <w:footnote w:id="1">
    <w:p w:rsidR="001342F3" w:rsidRPr="00B73653" w:rsidRDefault="001342F3" w:rsidP="003601CC">
      <w:pPr>
        <w:pStyle w:val="FootnoteText"/>
        <w:ind w:left="567" w:hanging="567"/>
        <w:rPr>
          <w:sz w:val="24"/>
          <w:szCs w:val="24"/>
          <w:lang w:val="es-ES"/>
        </w:rPr>
      </w:pPr>
      <w:r w:rsidRPr="00B73653">
        <w:rPr>
          <w:rStyle w:val="FootnoteReference"/>
          <w:sz w:val="24"/>
          <w:szCs w:val="24"/>
        </w:rPr>
        <w:footnoteRef/>
      </w:r>
      <w:r w:rsidRPr="00B73653">
        <w:rPr>
          <w:sz w:val="24"/>
          <w:szCs w:val="24"/>
          <w:lang w:val="es-ES"/>
        </w:rPr>
        <w:t xml:space="preserve"> </w:t>
      </w:r>
      <w:r w:rsidRPr="00B73653">
        <w:rPr>
          <w:sz w:val="24"/>
          <w:szCs w:val="24"/>
          <w:lang w:val="es-ES"/>
        </w:rPr>
        <w:tab/>
        <w:t>Pendiente de publicación en el Diario Oficial.</w:t>
      </w:r>
    </w:p>
  </w:footnote>
  <w:footnote w:id="2">
    <w:p w:rsidR="002F0836" w:rsidRPr="00B73653" w:rsidRDefault="002F0836" w:rsidP="003601CC">
      <w:pPr>
        <w:pStyle w:val="FootnoteText"/>
        <w:tabs>
          <w:tab w:val="left" w:pos="851"/>
        </w:tabs>
        <w:ind w:left="567" w:hanging="567"/>
        <w:rPr>
          <w:sz w:val="24"/>
          <w:szCs w:val="24"/>
          <w:lang w:val="pt-PT"/>
        </w:rPr>
      </w:pPr>
      <w:r w:rsidRPr="00B73653">
        <w:rPr>
          <w:rStyle w:val="FootnoteReference"/>
          <w:sz w:val="24"/>
          <w:szCs w:val="24"/>
          <w:lang w:val="es-ES_tradnl"/>
        </w:rPr>
        <w:footnoteRef/>
      </w:r>
      <w:r w:rsidR="006B6EBD" w:rsidRPr="00B73653">
        <w:rPr>
          <w:sz w:val="24"/>
          <w:szCs w:val="24"/>
          <w:lang w:val="pt-PT"/>
        </w:rPr>
        <w:t xml:space="preserve"> </w:t>
      </w:r>
      <w:r w:rsidR="006B6EBD" w:rsidRPr="00B73653">
        <w:rPr>
          <w:sz w:val="24"/>
          <w:szCs w:val="24"/>
          <w:lang w:val="pt-PT"/>
        </w:rPr>
        <w:tab/>
      </w:r>
      <w:r w:rsidRPr="00B73653">
        <w:rPr>
          <w:sz w:val="24"/>
          <w:szCs w:val="24"/>
          <w:lang w:val="pt-PT"/>
        </w:rPr>
        <w:t>DO C 349 de 29.9.2023, p. 167.</w:t>
      </w:r>
    </w:p>
  </w:footnote>
  <w:footnote w:id="3">
    <w:p w:rsidR="00F01A99" w:rsidRPr="00B73653" w:rsidRDefault="00F01A99" w:rsidP="003601CC">
      <w:pPr>
        <w:pStyle w:val="FootnoteText"/>
        <w:tabs>
          <w:tab w:val="left" w:pos="851"/>
        </w:tabs>
        <w:ind w:left="567" w:hanging="567"/>
        <w:rPr>
          <w:sz w:val="24"/>
          <w:szCs w:val="24"/>
          <w:lang w:val="pt-PT"/>
        </w:rPr>
      </w:pPr>
      <w:r w:rsidRPr="00B73653">
        <w:rPr>
          <w:rStyle w:val="FootnoteReference"/>
          <w:sz w:val="24"/>
          <w:szCs w:val="24"/>
        </w:rPr>
        <w:footnoteRef/>
      </w:r>
      <w:r w:rsidRPr="00B73653">
        <w:rPr>
          <w:sz w:val="24"/>
          <w:szCs w:val="24"/>
          <w:lang w:val="pt-PT"/>
        </w:rPr>
        <w:t xml:space="preserve"> </w:t>
      </w:r>
      <w:r w:rsidRPr="00B73653">
        <w:rPr>
          <w:sz w:val="24"/>
          <w:szCs w:val="24"/>
          <w:lang w:val="pt-PT"/>
        </w:rPr>
        <w:tab/>
        <w:t xml:space="preserve">DO C, C/2024/1049, 9.2.2024, ELI: </w:t>
      </w:r>
      <w:hyperlink r:id="rId1" w:tooltip="Gives access to this document through its ELI URI." w:history="1">
        <w:r w:rsidRPr="00B73653">
          <w:rPr>
            <w:sz w:val="24"/>
            <w:szCs w:val="24"/>
            <w:lang w:val="pt-PT"/>
          </w:rPr>
          <w:t>http://data.europa.eu/eli/C/2024/1049/oj</w:t>
        </w:r>
      </w:hyperlink>
      <w:r w:rsidRPr="00B73653">
        <w:rPr>
          <w:sz w:val="24"/>
          <w:szCs w:val="24"/>
          <w:lang w:val="pt-PT"/>
        </w:rPr>
        <w:t>.</w:t>
      </w:r>
    </w:p>
  </w:footnote>
  <w:footnote w:id="4">
    <w:p w:rsidR="00B73653" w:rsidRPr="00B73653" w:rsidRDefault="00B73653" w:rsidP="00B73653">
      <w:pPr>
        <w:pStyle w:val="FootnoteText"/>
        <w:ind w:left="567" w:hanging="567"/>
        <w:rPr>
          <w:sz w:val="24"/>
          <w:szCs w:val="24"/>
          <w:lang w:val="pl-PL"/>
        </w:rPr>
      </w:pPr>
      <w:r w:rsidRPr="00B73653">
        <w:rPr>
          <w:rStyle w:val="FootnoteReference"/>
          <w:sz w:val="24"/>
          <w:szCs w:val="24"/>
        </w:rPr>
        <w:footnoteRef/>
      </w:r>
      <w:r w:rsidRPr="00B73653">
        <w:rPr>
          <w:sz w:val="24"/>
          <w:szCs w:val="24"/>
          <w:lang w:val="pl-PL"/>
        </w:rPr>
        <w:t xml:space="preserve"> </w:t>
      </w:r>
      <w:r w:rsidRPr="00B73653">
        <w:rPr>
          <w:sz w:val="24"/>
          <w:szCs w:val="24"/>
          <w:lang w:val="pl-PL"/>
        </w:rPr>
        <w:tab/>
      </w:r>
      <w:r>
        <w:rPr>
          <w:sz w:val="24"/>
          <w:szCs w:val="24"/>
          <w:lang w:val="lt-LT"/>
        </w:rPr>
        <w:t>D</w:t>
      </w:r>
      <w:r w:rsidRPr="00B73653">
        <w:rPr>
          <w:iCs/>
          <w:color w:val="333333"/>
          <w:sz w:val="24"/>
          <w:szCs w:val="24"/>
          <w:shd w:val="clear" w:color="auto" w:fill="FFFFFF"/>
          <w:lang w:val="pl-PL" w:eastAsia="en-GB"/>
        </w:rPr>
        <w:t>O L, 2025/38, 15.1.2025, ELI: </w:t>
      </w:r>
      <w:hyperlink r:id="rId2" w:tgtFrame="_blank" w:tooltip="Gives access to this document through its ELI URI." w:history="1">
        <w:r w:rsidRPr="00B73653">
          <w:rPr>
            <w:iCs/>
            <w:color w:val="337AB7"/>
            <w:sz w:val="24"/>
            <w:szCs w:val="24"/>
            <w:u w:val="single"/>
            <w:lang w:val="pl-PL" w:eastAsia="en-GB"/>
          </w:rPr>
          <w:t>http://data.europa.eu/eli/reg/2025/38/oj</w:t>
        </w:r>
      </w:hyperlink>
      <w:r w:rsidR="00A8012D">
        <w:rPr>
          <w:iCs/>
          <w:color w:val="333333"/>
          <w:sz w:val="24"/>
          <w:szCs w:val="24"/>
          <w:shd w:val="clear" w:color="auto" w:fill="FFFFFF"/>
          <w:lang w:val="en-GB" w:eastAsia="en-GB"/>
        </w:rPr>
        <w:t>.</w:t>
      </w:r>
      <w:bookmarkStart w:id="10" w:name="_GoBack"/>
      <w:bookmarkEnd w:id="10"/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64002" w:rsidRPr="006B6EBD" w:rsidRDefault="00064002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64002" w:rsidRPr="006B6EBD" w:rsidRDefault="00064002"/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64002" w:rsidRPr="006B6EBD" w:rsidRDefault="00064002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5B22A8A2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D0C0EE6C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BFB40F5E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BF525DAA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97309190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8026A280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1CDC9AF0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1E120C2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D92AAA7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AB4278A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0000402"/>
    <w:multiLevelType w:val="multilevel"/>
    <w:tmpl w:val="00000885"/>
    <w:lvl w:ilvl="0">
      <w:start w:val="1"/>
      <w:numFmt w:val="decimal"/>
      <w:lvlText w:val="(%1)"/>
      <w:lvlJc w:val="left"/>
      <w:pPr>
        <w:ind w:left="116" w:hanging="281"/>
      </w:pPr>
      <w:rPr>
        <w:rFonts w:ascii="Times New Roman" w:hAnsi="Times New Roman" w:cs="Times New Roman"/>
        <w:b w:val="0"/>
        <w:bCs w:val="0"/>
        <w:i w:val="0"/>
        <w:iCs w:val="0"/>
        <w:w w:val="99"/>
        <w:sz w:val="22"/>
        <w:szCs w:val="22"/>
      </w:rPr>
    </w:lvl>
    <w:lvl w:ilvl="1">
      <w:numFmt w:val="bullet"/>
      <w:lvlText w:val="•"/>
      <w:lvlJc w:val="left"/>
      <w:pPr>
        <w:ind w:left="1038" w:hanging="281"/>
      </w:pPr>
    </w:lvl>
    <w:lvl w:ilvl="2">
      <w:numFmt w:val="bullet"/>
      <w:lvlText w:val="•"/>
      <w:lvlJc w:val="left"/>
      <w:pPr>
        <w:ind w:left="1957" w:hanging="281"/>
      </w:pPr>
    </w:lvl>
    <w:lvl w:ilvl="3">
      <w:numFmt w:val="bullet"/>
      <w:lvlText w:val="•"/>
      <w:lvlJc w:val="left"/>
      <w:pPr>
        <w:ind w:left="2875" w:hanging="281"/>
      </w:pPr>
    </w:lvl>
    <w:lvl w:ilvl="4">
      <w:numFmt w:val="bullet"/>
      <w:lvlText w:val="•"/>
      <w:lvlJc w:val="left"/>
      <w:pPr>
        <w:ind w:left="3794" w:hanging="281"/>
      </w:pPr>
    </w:lvl>
    <w:lvl w:ilvl="5">
      <w:numFmt w:val="bullet"/>
      <w:lvlText w:val="•"/>
      <w:lvlJc w:val="left"/>
      <w:pPr>
        <w:ind w:left="4713" w:hanging="281"/>
      </w:pPr>
    </w:lvl>
    <w:lvl w:ilvl="6">
      <w:numFmt w:val="bullet"/>
      <w:lvlText w:val="•"/>
      <w:lvlJc w:val="left"/>
      <w:pPr>
        <w:ind w:left="5631" w:hanging="281"/>
      </w:pPr>
    </w:lvl>
    <w:lvl w:ilvl="7">
      <w:numFmt w:val="bullet"/>
      <w:lvlText w:val="•"/>
      <w:lvlJc w:val="left"/>
      <w:pPr>
        <w:ind w:left="6550" w:hanging="281"/>
      </w:pPr>
    </w:lvl>
    <w:lvl w:ilvl="8">
      <w:numFmt w:val="bullet"/>
      <w:lvlText w:val="•"/>
      <w:lvlJc w:val="left"/>
      <w:pPr>
        <w:ind w:left="7469" w:hanging="281"/>
      </w:pPr>
    </w:lvl>
  </w:abstractNum>
  <w:abstractNum w:abstractNumId="11" w15:restartNumberingAfterBreak="0">
    <w:nsid w:val="00000403"/>
    <w:multiLevelType w:val="multilevel"/>
    <w:tmpl w:val="00000886"/>
    <w:lvl w:ilvl="0">
      <w:start w:val="1"/>
      <w:numFmt w:val="decimal"/>
      <w:lvlText w:val="%1."/>
      <w:lvlJc w:val="left"/>
      <w:pPr>
        <w:ind w:left="116" w:hanging="271"/>
      </w:pPr>
      <w:rPr>
        <w:rFonts w:ascii="Times New Roman" w:hAnsi="Times New Roman" w:cs="Times New Roman"/>
        <w:b w:val="0"/>
        <w:bCs w:val="0"/>
        <w:i w:val="0"/>
        <w:iCs w:val="0"/>
        <w:w w:val="100"/>
        <w:sz w:val="24"/>
        <w:szCs w:val="24"/>
      </w:rPr>
    </w:lvl>
    <w:lvl w:ilvl="1">
      <w:numFmt w:val="bullet"/>
      <w:lvlText w:val="•"/>
      <w:lvlJc w:val="left"/>
      <w:pPr>
        <w:ind w:left="1038" w:hanging="271"/>
      </w:pPr>
    </w:lvl>
    <w:lvl w:ilvl="2">
      <w:numFmt w:val="bullet"/>
      <w:lvlText w:val="•"/>
      <w:lvlJc w:val="left"/>
      <w:pPr>
        <w:ind w:left="1957" w:hanging="271"/>
      </w:pPr>
    </w:lvl>
    <w:lvl w:ilvl="3">
      <w:numFmt w:val="bullet"/>
      <w:lvlText w:val="•"/>
      <w:lvlJc w:val="left"/>
      <w:pPr>
        <w:ind w:left="2875" w:hanging="271"/>
      </w:pPr>
    </w:lvl>
    <w:lvl w:ilvl="4">
      <w:numFmt w:val="bullet"/>
      <w:lvlText w:val="•"/>
      <w:lvlJc w:val="left"/>
      <w:pPr>
        <w:ind w:left="3794" w:hanging="271"/>
      </w:pPr>
    </w:lvl>
    <w:lvl w:ilvl="5">
      <w:numFmt w:val="bullet"/>
      <w:lvlText w:val="•"/>
      <w:lvlJc w:val="left"/>
      <w:pPr>
        <w:ind w:left="4713" w:hanging="271"/>
      </w:pPr>
    </w:lvl>
    <w:lvl w:ilvl="6">
      <w:numFmt w:val="bullet"/>
      <w:lvlText w:val="•"/>
      <w:lvlJc w:val="left"/>
      <w:pPr>
        <w:ind w:left="5631" w:hanging="271"/>
      </w:pPr>
    </w:lvl>
    <w:lvl w:ilvl="7">
      <w:numFmt w:val="bullet"/>
      <w:lvlText w:val="•"/>
      <w:lvlJc w:val="left"/>
      <w:pPr>
        <w:ind w:left="6550" w:hanging="271"/>
      </w:pPr>
    </w:lvl>
    <w:lvl w:ilvl="8">
      <w:numFmt w:val="bullet"/>
      <w:lvlText w:val="•"/>
      <w:lvlJc w:val="left"/>
      <w:pPr>
        <w:ind w:left="7469" w:hanging="271"/>
      </w:pPr>
    </w:lvl>
  </w:abstractNum>
  <w:abstractNum w:abstractNumId="12" w15:restartNumberingAfterBreak="0">
    <w:nsid w:val="00000404"/>
    <w:multiLevelType w:val="multilevel"/>
    <w:tmpl w:val="00000887"/>
    <w:lvl w:ilvl="0">
      <w:start w:val="3"/>
      <w:numFmt w:val="decimal"/>
      <w:lvlText w:val="%1"/>
      <w:lvlJc w:val="left"/>
      <w:pPr>
        <w:ind w:left="536" w:hanging="420"/>
      </w:pPr>
    </w:lvl>
    <w:lvl w:ilvl="1">
      <w:start w:val="1"/>
      <w:numFmt w:val="decimal"/>
      <w:lvlText w:val="%1.%2."/>
      <w:lvlJc w:val="left"/>
      <w:pPr>
        <w:ind w:left="536" w:hanging="420"/>
      </w:pPr>
      <w:rPr>
        <w:rFonts w:ascii="Times New Roman" w:hAnsi="Times New Roman" w:cs="Times New Roman"/>
        <w:b w:val="0"/>
        <w:bCs w:val="0"/>
        <w:i w:val="0"/>
        <w:iCs w:val="0"/>
        <w:w w:val="100"/>
        <w:sz w:val="24"/>
        <w:szCs w:val="24"/>
      </w:rPr>
    </w:lvl>
    <w:lvl w:ilvl="2">
      <w:numFmt w:val="bullet"/>
      <w:lvlText w:val="•"/>
      <w:lvlJc w:val="left"/>
      <w:pPr>
        <w:ind w:left="2293" w:hanging="420"/>
      </w:pPr>
    </w:lvl>
    <w:lvl w:ilvl="3">
      <w:numFmt w:val="bullet"/>
      <w:lvlText w:val="•"/>
      <w:lvlJc w:val="left"/>
      <w:pPr>
        <w:ind w:left="3169" w:hanging="420"/>
      </w:pPr>
    </w:lvl>
    <w:lvl w:ilvl="4">
      <w:numFmt w:val="bullet"/>
      <w:lvlText w:val="•"/>
      <w:lvlJc w:val="left"/>
      <w:pPr>
        <w:ind w:left="4046" w:hanging="420"/>
      </w:pPr>
    </w:lvl>
    <w:lvl w:ilvl="5">
      <w:numFmt w:val="bullet"/>
      <w:lvlText w:val="•"/>
      <w:lvlJc w:val="left"/>
      <w:pPr>
        <w:ind w:left="4923" w:hanging="420"/>
      </w:pPr>
    </w:lvl>
    <w:lvl w:ilvl="6">
      <w:numFmt w:val="bullet"/>
      <w:lvlText w:val="•"/>
      <w:lvlJc w:val="left"/>
      <w:pPr>
        <w:ind w:left="5799" w:hanging="420"/>
      </w:pPr>
    </w:lvl>
    <w:lvl w:ilvl="7">
      <w:numFmt w:val="bullet"/>
      <w:lvlText w:val="•"/>
      <w:lvlJc w:val="left"/>
      <w:pPr>
        <w:ind w:left="6676" w:hanging="420"/>
      </w:pPr>
    </w:lvl>
    <w:lvl w:ilvl="8">
      <w:numFmt w:val="bullet"/>
      <w:lvlText w:val="•"/>
      <w:lvlJc w:val="left"/>
      <w:pPr>
        <w:ind w:left="7553" w:hanging="420"/>
      </w:pPr>
    </w:lvl>
  </w:abstractNum>
  <w:abstractNum w:abstractNumId="13" w15:restartNumberingAfterBreak="0">
    <w:nsid w:val="093C6E60"/>
    <w:multiLevelType w:val="multilevel"/>
    <w:tmpl w:val="BC64E53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pStyle w:val="Heading2"/>
      <w:lvlText w:val="%1.%2."/>
      <w:lvlJc w:val="left"/>
      <w:pPr>
        <w:tabs>
          <w:tab w:val="num" w:pos="792"/>
        </w:tabs>
        <w:ind w:left="792" w:hanging="792"/>
      </w:pPr>
    </w:lvl>
    <w:lvl w:ilvl="2">
      <w:start w:val="1"/>
      <w:numFmt w:val="decimal"/>
      <w:pStyle w:val="Heading3"/>
      <w:lvlText w:val="%1.%2.%3."/>
      <w:lvlJc w:val="left"/>
      <w:pPr>
        <w:tabs>
          <w:tab w:val="num" w:pos="1224"/>
        </w:tabs>
        <w:ind w:left="1224" w:hanging="1224"/>
      </w:pPr>
    </w:lvl>
    <w:lvl w:ilvl="3">
      <w:start w:val="1"/>
      <w:numFmt w:val="decimal"/>
      <w:pStyle w:val="Heading4"/>
      <w:lvlText w:val="%1.%2.%3.%4."/>
      <w:lvlJc w:val="left"/>
      <w:pPr>
        <w:tabs>
          <w:tab w:val="num" w:pos="1728"/>
        </w:tabs>
        <w:ind w:left="1728" w:hanging="1728"/>
      </w:p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2232"/>
      </w:p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2736"/>
      </w:p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3240"/>
      </w:p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3744"/>
      </w:p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4320"/>
      </w:pPr>
    </w:lvl>
  </w:abstractNum>
  <w:abstractNum w:abstractNumId="14" w15:restartNumberingAfterBreak="0">
    <w:nsid w:val="17A00841"/>
    <w:multiLevelType w:val="multilevel"/>
    <w:tmpl w:val="C12436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34CB7D30"/>
    <w:multiLevelType w:val="multilevel"/>
    <w:tmpl w:val="C66A7F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39692AE2"/>
    <w:multiLevelType w:val="multilevel"/>
    <w:tmpl w:val="975EA0B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79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1224"/>
      </w:p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1728"/>
      </w:pPr>
    </w:lvl>
    <w:lvl w:ilvl="4">
      <w:start w:val="1"/>
      <w:numFmt w:val="decimal"/>
      <w:pStyle w:val="Heading5"/>
      <w:lvlText w:val="%1.%2.%3.%4.%5."/>
      <w:lvlJc w:val="left"/>
      <w:pPr>
        <w:tabs>
          <w:tab w:val="num" w:pos="2232"/>
        </w:tabs>
        <w:ind w:left="2232" w:hanging="2232"/>
      </w:p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2736"/>
      </w:p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3240"/>
      </w:p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3744"/>
      </w:p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4320"/>
      </w:pPr>
    </w:lvl>
  </w:abstractNum>
  <w:abstractNum w:abstractNumId="17" w15:restartNumberingAfterBreak="0">
    <w:nsid w:val="435568BA"/>
    <w:multiLevelType w:val="multilevel"/>
    <w:tmpl w:val="CC16DC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9"/>
  </w:num>
  <w:num w:numId="2">
    <w:abstractNumId w:val="9"/>
  </w:num>
  <w:num w:numId="3">
    <w:abstractNumId w:val="7"/>
  </w:num>
  <w:num w:numId="4">
    <w:abstractNumId w:val="7"/>
  </w:num>
  <w:num w:numId="5">
    <w:abstractNumId w:val="6"/>
  </w:num>
  <w:num w:numId="6">
    <w:abstractNumId w:val="6"/>
  </w:num>
  <w:num w:numId="7">
    <w:abstractNumId w:val="5"/>
  </w:num>
  <w:num w:numId="8">
    <w:abstractNumId w:val="5"/>
  </w:num>
  <w:num w:numId="9">
    <w:abstractNumId w:val="4"/>
  </w:num>
  <w:num w:numId="10">
    <w:abstractNumId w:val="4"/>
  </w:num>
  <w:num w:numId="11">
    <w:abstractNumId w:val="8"/>
  </w:num>
  <w:num w:numId="12">
    <w:abstractNumId w:val="8"/>
  </w:num>
  <w:num w:numId="13">
    <w:abstractNumId w:val="3"/>
  </w:num>
  <w:num w:numId="14">
    <w:abstractNumId w:val="3"/>
  </w:num>
  <w:num w:numId="15">
    <w:abstractNumId w:val="2"/>
  </w:num>
  <w:num w:numId="16">
    <w:abstractNumId w:val="2"/>
  </w:num>
  <w:num w:numId="17">
    <w:abstractNumId w:val="1"/>
  </w:num>
  <w:num w:numId="18">
    <w:abstractNumId w:val="1"/>
  </w:num>
  <w:num w:numId="19">
    <w:abstractNumId w:val="0"/>
  </w:num>
  <w:num w:numId="20">
    <w:abstractNumId w:val="0"/>
  </w:num>
  <w:num w:numId="21">
    <w:abstractNumId w:val="9"/>
  </w:num>
  <w:num w:numId="22">
    <w:abstractNumId w:val="7"/>
  </w:num>
  <w:num w:numId="23">
    <w:abstractNumId w:val="6"/>
  </w:num>
  <w:num w:numId="24">
    <w:abstractNumId w:val="5"/>
  </w:num>
  <w:num w:numId="25">
    <w:abstractNumId w:val="4"/>
  </w:num>
  <w:num w:numId="26">
    <w:abstractNumId w:val="8"/>
  </w:num>
  <w:num w:numId="27">
    <w:abstractNumId w:val="3"/>
  </w:num>
  <w:num w:numId="28">
    <w:abstractNumId w:val="2"/>
  </w:num>
  <w:num w:numId="29">
    <w:abstractNumId w:val="1"/>
  </w:num>
  <w:num w:numId="30">
    <w:abstractNumId w:val="0"/>
  </w:num>
  <w:num w:numId="31">
    <w:abstractNumId w:val="9"/>
  </w:num>
  <w:num w:numId="32">
    <w:abstractNumId w:val="7"/>
  </w:num>
  <w:num w:numId="33">
    <w:abstractNumId w:val="6"/>
  </w:num>
  <w:num w:numId="34">
    <w:abstractNumId w:val="5"/>
  </w:num>
  <w:num w:numId="35">
    <w:abstractNumId w:val="4"/>
  </w:num>
  <w:num w:numId="36">
    <w:abstractNumId w:val="8"/>
  </w:num>
  <w:num w:numId="37">
    <w:abstractNumId w:val="3"/>
  </w:num>
  <w:num w:numId="38">
    <w:abstractNumId w:val="2"/>
  </w:num>
  <w:num w:numId="39">
    <w:abstractNumId w:val="1"/>
  </w:num>
  <w:num w:numId="40">
    <w:abstractNumId w:val="0"/>
  </w:num>
  <w:num w:numId="41">
    <w:abstractNumId w:val="13"/>
  </w:num>
  <w:num w:numId="42">
    <w:abstractNumId w:val="13"/>
  </w:num>
  <w:num w:numId="43">
    <w:abstractNumId w:val="13"/>
  </w:num>
  <w:num w:numId="44">
    <w:abstractNumId w:val="16"/>
  </w:num>
  <w:num w:numId="45">
    <w:abstractNumId w:val="12"/>
  </w:num>
  <w:num w:numId="46">
    <w:abstractNumId w:val="11"/>
  </w:num>
  <w:num w:numId="47">
    <w:abstractNumId w:val="10"/>
  </w:num>
  <w:num w:numId="48">
    <w:abstractNumId w:val="14"/>
  </w:num>
  <w:num w:numId="49">
    <w:abstractNumId w:val="15"/>
  </w:num>
  <w:num w:numId="50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mirrorMargins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oNotHyphenateCaps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doNotShadeFormData/>
  <w:noPunctuationKerning/>
  <w:characterSpacingControl w:val="doNotCompress"/>
  <w:footnotePr>
    <w:numRestart w:val="eachSect"/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dvdocse" w:val="A9-0426/2023"/>
    <w:docVar w:name="dvlangue" w:val="ES"/>
    <w:docVar w:name="dvnumam" w:val="92"/>
    <w:docVar w:name="dvpe" w:val="752.795"/>
    <w:docVar w:name="dvrapporteur" w:val="Ponente: "/>
    <w:docVar w:name="dvstar" w:val="***I"/>
    <w:docVar w:name="dvtitre" w:val="Resolución legislativa del Parlamento Europeo, de x de abril de 2024, sobre la propuesta de Reglamento del Parlamento Europeo y del Consejo por el que se establecen medidas destinadas a reforzar la solidaridad y las capacidades en la Unión a fin de detectar amenazas e incidentes de ciberseguridad, prepararse para ellos y responder a ellos(COM(2023)0209 – C9-0136/2023 – 2023/0109(COD))"/>
  </w:docVars>
  <w:rsids>
    <w:rsidRoot w:val="002C0B57"/>
    <w:rsid w:val="00002272"/>
    <w:rsid w:val="000343E3"/>
    <w:rsid w:val="00064002"/>
    <w:rsid w:val="000677B9"/>
    <w:rsid w:val="000831BA"/>
    <w:rsid w:val="000920B2"/>
    <w:rsid w:val="000A42CC"/>
    <w:rsid w:val="000E7DD9"/>
    <w:rsid w:val="0010095E"/>
    <w:rsid w:val="00125B37"/>
    <w:rsid w:val="001342F3"/>
    <w:rsid w:val="00187494"/>
    <w:rsid w:val="001F32AE"/>
    <w:rsid w:val="002767FF"/>
    <w:rsid w:val="00281E6C"/>
    <w:rsid w:val="002B18FE"/>
    <w:rsid w:val="002B5493"/>
    <w:rsid w:val="002C0B57"/>
    <w:rsid w:val="002F0836"/>
    <w:rsid w:val="00321879"/>
    <w:rsid w:val="00343214"/>
    <w:rsid w:val="003601CC"/>
    <w:rsid w:val="00361C00"/>
    <w:rsid w:val="00395FA1"/>
    <w:rsid w:val="003E15D4"/>
    <w:rsid w:val="00411CCE"/>
    <w:rsid w:val="0041666E"/>
    <w:rsid w:val="00421060"/>
    <w:rsid w:val="00471C19"/>
    <w:rsid w:val="004867E3"/>
    <w:rsid w:val="00494A28"/>
    <w:rsid w:val="004C0004"/>
    <w:rsid w:val="004C5D52"/>
    <w:rsid w:val="0050519A"/>
    <w:rsid w:val="005072A1"/>
    <w:rsid w:val="00514517"/>
    <w:rsid w:val="00545827"/>
    <w:rsid w:val="00560270"/>
    <w:rsid w:val="005C2568"/>
    <w:rsid w:val="006037C0"/>
    <w:rsid w:val="006631B6"/>
    <w:rsid w:val="00680577"/>
    <w:rsid w:val="006B6EBD"/>
    <w:rsid w:val="006F74FA"/>
    <w:rsid w:val="00731ADD"/>
    <w:rsid w:val="00734777"/>
    <w:rsid w:val="00747932"/>
    <w:rsid w:val="00751A4A"/>
    <w:rsid w:val="00756632"/>
    <w:rsid w:val="00762C74"/>
    <w:rsid w:val="00786EC0"/>
    <w:rsid w:val="007D1690"/>
    <w:rsid w:val="007E22AD"/>
    <w:rsid w:val="00817416"/>
    <w:rsid w:val="00842779"/>
    <w:rsid w:val="00865F67"/>
    <w:rsid w:val="00880E32"/>
    <w:rsid w:val="00881A7B"/>
    <w:rsid w:val="008840E5"/>
    <w:rsid w:val="00887B3E"/>
    <w:rsid w:val="0089503A"/>
    <w:rsid w:val="008C2AC6"/>
    <w:rsid w:val="00930C23"/>
    <w:rsid w:val="0093193B"/>
    <w:rsid w:val="009509D8"/>
    <w:rsid w:val="00950B64"/>
    <w:rsid w:val="00981893"/>
    <w:rsid w:val="00A07C8C"/>
    <w:rsid w:val="00A1687D"/>
    <w:rsid w:val="00A43E52"/>
    <w:rsid w:val="00A4678D"/>
    <w:rsid w:val="00A704B8"/>
    <w:rsid w:val="00A778C7"/>
    <w:rsid w:val="00A8012D"/>
    <w:rsid w:val="00AB441E"/>
    <w:rsid w:val="00AB6293"/>
    <w:rsid w:val="00AE0928"/>
    <w:rsid w:val="00AF3B82"/>
    <w:rsid w:val="00B06A06"/>
    <w:rsid w:val="00B12E95"/>
    <w:rsid w:val="00B22876"/>
    <w:rsid w:val="00B558F0"/>
    <w:rsid w:val="00B73653"/>
    <w:rsid w:val="00BD48FE"/>
    <w:rsid w:val="00BD7BD8"/>
    <w:rsid w:val="00BE6ADC"/>
    <w:rsid w:val="00C05BFE"/>
    <w:rsid w:val="00C23CD4"/>
    <w:rsid w:val="00C61C0C"/>
    <w:rsid w:val="00C941CB"/>
    <w:rsid w:val="00CC2357"/>
    <w:rsid w:val="00CF071A"/>
    <w:rsid w:val="00D058B8"/>
    <w:rsid w:val="00D56C11"/>
    <w:rsid w:val="00D834A0"/>
    <w:rsid w:val="00D872DF"/>
    <w:rsid w:val="00D91E21"/>
    <w:rsid w:val="00DA7FCD"/>
    <w:rsid w:val="00DF1E06"/>
    <w:rsid w:val="00E365E1"/>
    <w:rsid w:val="00E774AE"/>
    <w:rsid w:val="00E820A4"/>
    <w:rsid w:val="00E973F4"/>
    <w:rsid w:val="00EA026D"/>
    <w:rsid w:val="00EB006A"/>
    <w:rsid w:val="00EB4772"/>
    <w:rsid w:val="00ED169E"/>
    <w:rsid w:val="00ED4235"/>
    <w:rsid w:val="00F01A99"/>
    <w:rsid w:val="00F04346"/>
    <w:rsid w:val="00F075DC"/>
    <w:rsid w:val="00F149E9"/>
    <w:rsid w:val="00F159B0"/>
    <w:rsid w:val="00F5134D"/>
    <w:rsid w:val="00F74202"/>
    <w:rsid w:val="00F87713"/>
    <w:rsid w:val="00FB4360"/>
    <w:rsid w:val="00FD0C70"/>
    <w:rsid w:val="00FD56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lo-L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5801718"/>
  <w15:chartTrackingRefBased/>
  <w15:docId w15:val="{FACFA688-E025-4E0C-BEAA-A6458E9CB8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er" w:uiPriority="99"/>
    <w:lsdException w:name="caption" w:semiHidden="1" w:unhideWhenUsed="1" w:qFormat="1"/>
    <w:lsdException w:name="Title" w:qFormat="1"/>
    <w:lsdException w:name="Body Text" w:uiPriority="1" w:qFormat="1"/>
    <w:lsdException w:name="Subtitle" w:qFormat="1"/>
    <w:lsdException w:name="Hyperlink" w:uiPriority="99"/>
    <w:lsdException w:name="FollowedHyperlink" w:uiPriority="99"/>
    <w:lsdException w:name="Strong" w:qFormat="1"/>
    <w:lsdException w:name="Emphasis" w:uiPriority="20" w:qFormat="1"/>
    <w:lsdException w:name="Normal Table" w:semiHidden="1" w:unhideWhenUsed="1"/>
    <w:lsdException w:name="No List" w:uiPriority="99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uiPriority="39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A7FCD"/>
    <w:pPr>
      <w:widowControl w:val="0"/>
    </w:pPr>
    <w:rPr>
      <w:sz w:val="24"/>
      <w:lang w:val="es-ES_tradnl"/>
    </w:rPr>
  </w:style>
  <w:style w:type="paragraph" w:styleId="Heading1">
    <w:name w:val="heading 1"/>
    <w:basedOn w:val="Normal"/>
    <w:next w:val="Normal"/>
    <w:link w:val="Heading1Char"/>
    <w:qFormat/>
    <w:rsid w:val="00395FA1"/>
    <w:pPr>
      <w:keepNext/>
      <w:keepLines/>
      <w:widowControl/>
      <w:spacing w:after="120"/>
      <w:ind w:left="510" w:hanging="510"/>
      <w:outlineLvl w:val="0"/>
    </w:pPr>
    <w:rPr>
      <w:b/>
      <w:kern w:val="28"/>
      <w:sz w:val="28"/>
      <w:lang w:val="fr-FR" w:eastAsia="fr-FR"/>
    </w:rPr>
  </w:style>
  <w:style w:type="paragraph" w:styleId="Heading2">
    <w:name w:val="heading 2"/>
    <w:basedOn w:val="Normal"/>
    <w:next w:val="Normal"/>
    <w:link w:val="Heading2Char"/>
    <w:semiHidden/>
    <w:qFormat/>
    <w:rsid w:val="00395FA1"/>
    <w:pPr>
      <w:keepNext/>
      <w:widowControl/>
      <w:numPr>
        <w:ilvl w:val="1"/>
        <w:numId w:val="43"/>
      </w:numPr>
      <w:spacing w:before="240" w:after="60"/>
      <w:outlineLvl w:val="1"/>
    </w:pPr>
    <w:rPr>
      <w:lang w:val="fr-FR" w:eastAsia="fr-FR"/>
    </w:rPr>
  </w:style>
  <w:style w:type="paragraph" w:styleId="Heading3">
    <w:name w:val="heading 3"/>
    <w:basedOn w:val="Normal"/>
    <w:next w:val="Normal"/>
    <w:link w:val="Heading3Char"/>
    <w:semiHidden/>
    <w:qFormat/>
    <w:rsid w:val="00395FA1"/>
    <w:pPr>
      <w:keepNext/>
      <w:widowControl/>
      <w:numPr>
        <w:ilvl w:val="2"/>
        <w:numId w:val="43"/>
      </w:numPr>
      <w:spacing w:before="240" w:after="60"/>
      <w:outlineLvl w:val="2"/>
    </w:pPr>
    <w:rPr>
      <w:rFonts w:ascii="Arial" w:hAnsi="Arial"/>
      <w:lang w:val="fr-FR" w:eastAsia="fr-FR"/>
    </w:rPr>
  </w:style>
  <w:style w:type="paragraph" w:styleId="Heading4">
    <w:name w:val="heading 4"/>
    <w:basedOn w:val="Normal"/>
    <w:next w:val="Normal"/>
    <w:link w:val="Heading4Char"/>
    <w:semiHidden/>
    <w:qFormat/>
    <w:rsid w:val="00395FA1"/>
    <w:pPr>
      <w:keepNext/>
      <w:widowControl/>
      <w:numPr>
        <w:ilvl w:val="3"/>
        <w:numId w:val="43"/>
      </w:numPr>
      <w:spacing w:before="240" w:after="60"/>
      <w:outlineLvl w:val="3"/>
    </w:pPr>
    <w:rPr>
      <w:lang w:val="en-US" w:eastAsia="fr-FR"/>
    </w:rPr>
  </w:style>
  <w:style w:type="paragraph" w:styleId="Heading5">
    <w:name w:val="heading 5"/>
    <w:basedOn w:val="Normal"/>
    <w:next w:val="Normal"/>
    <w:link w:val="Heading5Char"/>
    <w:semiHidden/>
    <w:qFormat/>
    <w:rsid w:val="00395FA1"/>
    <w:pPr>
      <w:widowControl/>
      <w:numPr>
        <w:ilvl w:val="4"/>
        <w:numId w:val="44"/>
      </w:numPr>
      <w:spacing w:before="240" w:after="60"/>
      <w:outlineLvl w:val="4"/>
    </w:pPr>
    <w:rPr>
      <w:lang w:val="en-US" w:eastAsia="fr-FR"/>
    </w:rPr>
  </w:style>
  <w:style w:type="paragraph" w:styleId="Heading6">
    <w:name w:val="heading 6"/>
    <w:basedOn w:val="Normal"/>
    <w:next w:val="Normal"/>
    <w:link w:val="Heading6Char"/>
    <w:semiHidden/>
    <w:qFormat/>
    <w:pPr>
      <w:spacing w:before="240" w:after="60"/>
      <w:outlineLvl w:val="5"/>
    </w:pPr>
    <w:rPr>
      <w:i/>
      <w:sz w:val="22"/>
    </w:rPr>
  </w:style>
  <w:style w:type="paragraph" w:styleId="Heading7">
    <w:name w:val="heading 7"/>
    <w:basedOn w:val="Normal"/>
    <w:next w:val="Normal"/>
    <w:link w:val="Heading7Char"/>
    <w:semiHidden/>
    <w:qFormat/>
    <w:pPr>
      <w:spacing w:before="240" w:after="60"/>
      <w:outlineLvl w:val="6"/>
    </w:pPr>
    <w:rPr>
      <w:rFonts w:ascii="Arial" w:hAnsi="Arial"/>
    </w:rPr>
  </w:style>
  <w:style w:type="paragraph" w:styleId="Heading8">
    <w:name w:val="heading 8"/>
    <w:basedOn w:val="Normal"/>
    <w:next w:val="Normal"/>
    <w:link w:val="Heading8Char"/>
    <w:semiHidden/>
    <w:qFormat/>
    <w:pPr>
      <w:spacing w:before="240" w:after="60"/>
      <w:outlineLvl w:val="7"/>
    </w:pPr>
    <w:rPr>
      <w:rFonts w:ascii="Arial" w:hAnsi="Arial"/>
      <w:i/>
    </w:rPr>
  </w:style>
  <w:style w:type="paragraph" w:styleId="Heading9">
    <w:name w:val="heading 9"/>
    <w:basedOn w:val="Normal"/>
    <w:next w:val="Normal"/>
    <w:link w:val="Heading9Char"/>
    <w:semiHidden/>
    <w:qFormat/>
    <w:pPr>
      <w:spacing w:before="240" w:after="60"/>
      <w:outlineLvl w:val="8"/>
    </w:pPr>
    <w:rPr>
      <w:rFonts w:ascii="Arial" w:hAnsi="Arial"/>
      <w:b/>
      <w:i/>
      <w:sz w:val="1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ideTWBExt">
    <w:name w:val="HideTWBExt"/>
    <w:rPr>
      <w:rFonts w:ascii="Arial" w:hAnsi="Arial"/>
      <w:noProof/>
      <w:vanish/>
      <w:color w:val="000080"/>
      <w:sz w:val="20"/>
    </w:rPr>
  </w:style>
  <w:style w:type="paragraph" w:styleId="TOC1">
    <w:name w:val="toc 1"/>
    <w:basedOn w:val="Normal"/>
    <w:next w:val="Normal"/>
    <w:autoRedefine/>
    <w:semiHidden/>
    <w:rsid w:val="00395FA1"/>
    <w:pPr>
      <w:keepNext/>
      <w:keepLines/>
      <w:widowControl/>
      <w:spacing w:before="200"/>
    </w:pPr>
    <w:rPr>
      <w:b/>
      <w:noProof/>
      <w:lang w:val="fr-FR" w:eastAsia="fr-FR"/>
    </w:rPr>
  </w:style>
  <w:style w:type="character" w:customStyle="1" w:styleId="HideTWBInt">
    <w:name w:val="HideTWBInt"/>
    <w:rPr>
      <w:rFonts w:ascii="Arial" w:hAnsi="Arial" w:cs="Arial"/>
      <w:vanish/>
      <w:color w:val="808080"/>
      <w:sz w:val="20"/>
    </w:rPr>
  </w:style>
  <w:style w:type="paragraph" w:customStyle="1" w:styleId="EPBodyTA2">
    <w:name w:val="EPBodyTA2"/>
    <w:basedOn w:val="Normal"/>
    <w:rsid w:val="00AE0928"/>
    <w:pPr>
      <w:jc w:val="center"/>
    </w:pPr>
    <w:rPr>
      <w:rFonts w:ascii="Arial" w:hAnsi="Arial"/>
      <w:bCs/>
      <w:i/>
      <w:sz w:val="20"/>
    </w:rPr>
  </w:style>
  <w:style w:type="table" w:styleId="TableGrid">
    <w:name w:val="Table Grid"/>
    <w:basedOn w:val="TableNormal"/>
    <w:rsid w:val="00D058B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EPBodyTA1">
    <w:name w:val="EPBodyTA1"/>
    <w:basedOn w:val="Normal"/>
    <w:rsid w:val="00AE0928"/>
    <w:pPr>
      <w:jc w:val="center"/>
    </w:pPr>
    <w:rPr>
      <w:rFonts w:ascii="Arial" w:hAnsi="Arial" w:cs="Arial"/>
      <w:b/>
      <w:sz w:val="22"/>
      <w:szCs w:val="22"/>
    </w:rPr>
  </w:style>
  <w:style w:type="paragraph" w:customStyle="1" w:styleId="LineTop">
    <w:name w:val="LineTop"/>
    <w:basedOn w:val="Normal"/>
    <w:next w:val="Normal"/>
    <w:rsid w:val="00D058B8"/>
    <w:pPr>
      <w:pBdr>
        <w:top w:val="single" w:sz="4" w:space="1" w:color="auto"/>
      </w:pBdr>
      <w:jc w:val="center"/>
    </w:pPr>
    <w:rPr>
      <w:rFonts w:ascii="Arial" w:hAnsi="Arial" w:cs="Arial"/>
      <w:sz w:val="16"/>
      <w:szCs w:val="16"/>
    </w:rPr>
  </w:style>
  <w:style w:type="paragraph" w:customStyle="1" w:styleId="LineBottom">
    <w:name w:val="LineBottom"/>
    <w:basedOn w:val="Normal"/>
    <w:next w:val="Normal"/>
    <w:rsid w:val="00A1687D"/>
    <w:pPr>
      <w:pBdr>
        <w:bottom w:val="single" w:sz="4" w:space="1" w:color="auto"/>
      </w:pBdr>
      <w:spacing w:after="240"/>
      <w:jc w:val="center"/>
    </w:pPr>
    <w:rPr>
      <w:rFonts w:ascii="Arial" w:hAnsi="Arial" w:cs="Arial"/>
      <w:sz w:val="16"/>
      <w:szCs w:val="16"/>
    </w:rPr>
  </w:style>
  <w:style w:type="paragraph" w:customStyle="1" w:styleId="ATHeading1">
    <w:name w:val="AT Heading 1"/>
    <w:basedOn w:val="Normal"/>
    <w:next w:val="Normal"/>
    <w:rsid w:val="00F5134D"/>
    <w:pPr>
      <w:keepNext/>
      <w:keepLines/>
      <w:widowControl/>
      <w:spacing w:before="480" w:after="120"/>
      <w:outlineLvl w:val="0"/>
    </w:pPr>
    <w:rPr>
      <w:b/>
      <w:sz w:val="28"/>
      <w:lang w:eastAsia="fr-FR"/>
    </w:rPr>
  </w:style>
  <w:style w:type="paragraph" w:customStyle="1" w:styleId="ATHeading2">
    <w:name w:val="AT Heading 2"/>
    <w:basedOn w:val="Normal"/>
    <w:next w:val="Normal"/>
    <w:rsid w:val="00395FA1"/>
    <w:pPr>
      <w:widowControl/>
      <w:spacing w:before="120" w:after="120"/>
      <w:outlineLvl w:val="1"/>
    </w:pPr>
    <w:rPr>
      <w:b/>
      <w:sz w:val="28"/>
      <w:lang w:eastAsia="fr-FR"/>
    </w:rPr>
  </w:style>
  <w:style w:type="paragraph" w:customStyle="1" w:styleId="ATHeading3">
    <w:name w:val="AT Heading 3"/>
    <w:basedOn w:val="Normal"/>
    <w:next w:val="Normal"/>
    <w:rsid w:val="00395FA1"/>
    <w:pPr>
      <w:keepNext/>
      <w:keepLines/>
      <w:widowControl/>
      <w:spacing w:before="120" w:after="120"/>
      <w:outlineLvl w:val="2"/>
    </w:pPr>
    <w:rPr>
      <w:b/>
      <w:lang w:eastAsia="fr-FR"/>
    </w:rPr>
  </w:style>
  <w:style w:type="paragraph" w:customStyle="1" w:styleId="ATHeadingMotiv">
    <w:name w:val="AT Heading Motiv"/>
    <w:basedOn w:val="Normal"/>
    <w:next w:val="Normal"/>
    <w:rsid w:val="00395FA1"/>
    <w:pPr>
      <w:keepNext/>
      <w:widowControl/>
      <w:spacing w:before="60" w:after="60"/>
      <w:jc w:val="center"/>
    </w:pPr>
    <w:rPr>
      <w:i/>
      <w:lang w:eastAsia="fr-FR"/>
    </w:rPr>
  </w:style>
  <w:style w:type="character" w:styleId="FootnoteReference">
    <w:name w:val="footnote reference"/>
    <w:rsid w:val="00395FA1"/>
    <w:rPr>
      <w:b w:val="0"/>
      <w:vertAlign w:val="superscript"/>
    </w:rPr>
  </w:style>
  <w:style w:type="paragraph" w:styleId="FootnoteText">
    <w:name w:val="footnote text"/>
    <w:basedOn w:val="Normal"/>
    <w:link w:val="FootnoteTextChar"/>
    <w:rsid w:val="00395FA1"/>
    <w:pPr>
      <w:keepLines/>
      <w:widowControl/>
      <w:spacing w:line="260" w:lineRule="exact"/>
      <w:ind w:left="425" w:hanging="425"/>
    </w:pPr>
    <w:rPr>
      <w:sz w:val="22"/>
      <w:lang w:val="fr-FR" w:eastAsia="fr-FR"/>
    </w:rPr>
  </w:style>
  <w:style w:type="character" w:customStyle="1" w:styleId="FootnoteTextChar">
    <w:name w:val="Footnote Text Char"/>
    <w:link w:val="FootnoteText"/>
    <w:rsid w:val="00762C74"/>
    <w:rPr>
      <w:sz w:val="22"/>
      <w:lang w:val="fr-FR" w:eastAsia="fr-FR"/>
    </w:rPr>
  </w:style>
  <w:style w:type="character" w:styleId="PageNumber">
    <w:name w:val="page number"/>
    <w:rsid w:val="00395FA1"/>
  </w:style>
  <w:style w:type="paragraph" w:styleId="TOC2">
    <w:name w:val="toc 2"/>
    <w:basedOn w:val="Normal"/>
    <w:next w:val="Normal"/>
    <w:autoRedefine/>
    <w:rsid w:val="00395FA1"/>
    <w:pPr>
      <w:keepNext/>
      <w:keepLines/>
      <w:widowControl/>
    </w:pPr>
    <w:rPr>
      <w:b/>
      <w:noProof/>
      <w:lang w:val="fr-FR" w:eastAsia="fr-FR"/>
    </w:rPr>
  </w:style>
  <w:style w:type="paragraph" w:styleId="TOC3">
    <w:name w:val="toc 3"/>
    <w:basedOn w:val="Normal"/>
    <w:next w:val="Normal"/>
    <w:autoRedefine/>
    <w:rsid w:val="00395FA1"/>
    <w:pPr>
      <w:keepLines/>
      <w:widowControl/>
      <w:ind w:right="510"/>
    </w:pPr>
    <w:rPr>
      <w:noProof/>
      <w:lang w:val="fr-FR" w:eastAsia="fr-FR"/>
    </w:rPr>
  </w:style>
  <w:style w:type="paragraph" w:customStyle="1" w:styleId="EPName">
    <w:name w:val="EPName"/>
    <w:basedOn w:val="Normal"/>
    <w:rsid w:val="00751A4A"/>
    <w:pPr>
      <w:spacing w:before="80" w:after="80"/>
    </w:pPr>
    <w:rPr>
      <w:rFonts w:ascii="Arial Narrow" w:hAnsi="Arial Narrow" w:cs="Arial"/>
      <w:b/>
      <w:sz w:val="32"/>
      <w:szCs w:val="22"/>
    </w:rPr>
  </w:style>
  <w:style w:type="paragraph" w:customStyle="1" w:styleId="EPTerm">
    <w:name w:val="EPTerm"/>
    <w:basedOn w:val="Normal"/>
    <w:next w:val="Normal"/>
    <w:rsid w:val="00751A4A"/>
    <w:pPr>
      <w:spacing w:after="80"/>
    </w:pPr>
    <w:rPr>
      <w:rFonts w:ascii="Arial" w:hAnsi="Arial" w:cs="Arial"/>
      <w:sz w:val="20"/>
      <w:szCs w:val="22"/>
    </w:rPr>
  </w:style>
  <w:style w:type="paragraph" w:customStyle="1" w:styleId="EPLogo">
    <w:name w:val="EPLogo"/>
    <w:basedOn w:val="Normal"/>
    <w:qFormat/>
    <w:rsid w:val="00751A4A"/>
    <w:pPr>
      <w:jc w:val="right"/>
    </w:pPr>
  </w:style>
  <w:style w:type="paragraph" w:customStyle="1" w:styleId="EPFooter2">
    <w:name w:val="EPFooter2"/>
    <w:basedOn w:val="Normal"/>
    <w:next w:val="Normal"/>
    <w:rsid w:val="002F0836"/>
    <w:pPr>
      <w:widowControl/>
      <w:tabs>
        <w:tab w:val="center" w:pos="4535"/>
        <w:tab w:val="right" w:pos="9921"/>
      </w:tabs>
      <w:ind w:left="-850" w:right="-850"/>
    </w:pPr>
    <w:rPr>
      <w:rFonts w:ascii="Arial" w:hAnsi="Arial" w:cs="Arial"/>
      <w:b/>
      <w:sz w:val="48"/>
    </w:rPr>
  </w:style>
  <w:style w:type="paragraph" w:customStyle="1" w:styleId="Normal6a">
    <w:name w:val="Normal6a"/>
    <w:basedOn w:val="Normal"/>
    <w:rsid w:val="002F0836"/>
    <w:pPr>
      <w:spacing w:after="120"/>
    </w:pPr>
  </w:style>
  <w:style w:type="paragraph" w:customStyle="1" w:styleId="NormalBold">
    <w:name w:val="NormalBold"/>
    <w:basedOn w:val="Normal"/>
    <w:link w:val="NormalBoldChar"/>
    <w:rsid w:val="002F0836"/>
    <w:rPr>
      <w:b/>
    </w:rPr>
  </w:style>
  <w:style w:type="character" w:customStyle="1" w:styleId="NormalBoldChar">
    <w:name w:val="NormalBold Char"/>
    <w:basedOn w:val="DefaultParagraphFont"/>
    <w:link w:val="NormalBold"/>
    <w:locked/>
    <w:rsid w:val="002F0836"/>
    <w:rPr>
      <w:b/>
      <w:sz w:val="24"/>
      <w:lang w:val="es-ES_tradnl"/>
    </w:rPr>
  </w:style>
  <w:style w:type="paragraph" w:customStyle="1" w:styleId="NormalHanging12a">
    <w:name w:val="NormalHanging12a"/>
    <w:basedOn w:val="Normal"/>
    <w:rsid w:val="002F0836"/>
    <w:pPr>
      <w:spacing w:after="240"/>
      <w:ind w:left="567" w:hanging="567"/>
    </w:pPr>
  </w:style>
  <w:style w:type="paragraph" w:styleId="Header">
    <w:name w:val="header"/>
    <w:basedOn w:val="Normal"/>
    <w:link w:val="HeaderChar"/>
    <w:rsid w:val="002F0836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rsid w:val="002F0836"/>
    <w:rPr>
      <w:sz w:val="24"/>
      <w:lang w:val="es-ES_tradnl"/>
    </w:rPr>
  </w:style>
  <w:style w:type="paragraph" w:customStyle="1" w:styleId="AmNumberTabs">
    <w:name w:val="AmNumberTabs"/>
    <w:basedOn w:val="Normal"/>
    <w:link w:val="AmNumberTabsChar"/>
    <w:rsid w:val="002F0836"/>
    <w:pPr>
      <w:tabs>
        <w:tab w:val="left" w:pos="879"/>
        <w:tab w:val="left" w:pos="936"/>
        <w:tab w:val="left" w:pos="1021"/>
        <w:tab w:val="left" w:pos="1077"/>
        <w:tab w:val="left" w:pos="1134"/>
        <w:tab w:val="left" w:pos="1191"/>
        <w:tab w:val="left" w:pos="1247"/>
        <w:tab w:val="left" w:pos="1304"/>
        <w:tab w:val="left" w:pos="1361"/>
        <w:tab w:val="left" w:pos="1418"/>
        <w:tab w:val="left" w:pos="1474"/>
        <w:tab w:val="left" w:pos="1531"/>
        <w:tab w:val="left" w:pos="1588"/>
        <w:tab w:val="left" w:pos="1644"/>
        <w:tab w:val="left" w:pos="1701"/>
        <w:tab w:val="left" w:pos="1758"/>
        <w:tab w:val="left" w:pos="1814"/>
        <w:tab w:val="left" w:pos="1871"/>
        <w:tab w:val="left" w:pos="2070"/>
        <w:tab w:val="left" w:pos="2126"/>
        <w:tab w:val="left" w:pos="3374"/>
        <w:tab w:val="left" w:pos="3430"/>
      </w:tabs>
      <w:spacing w:before="240"/>
    </w:pPr>
    <w:rPr>
      <w:b/>
    </w:rPr>
  </w:style>
  <w:style w:type="character" w:customStyle="1" w:styleId="AmNumberTabsChar">
    <w:name w:val="AmNumberTabs Char"/>
    <w:basedOn w:val="DefaultParagraphFont"/>
    <w:link w:val="AmNumberTabs"/>
    <w:locked/>
    <w:rsid w:val="002F0836"/>
    <w:rPr>
      <w:b/>
      <w:sz w:val="24"/>
      <w:lang w:val="es-ES_tradnl"/>
    </w:rPr>
  </w:style>
  <w:style w:type="paragraph" w:customStyle="1" w:styleId="EPFooter">
    <w:name w:val="EPFooter"/>
    <w:basedOn w:val="Normal"/>
    <w:rsid w:val="002F0836"/>
    <w:pPr>
      <w:tabs>
        <w:tab w:val="center" w:pos="4535"/>
        <w:tab w:val="right" w:pos="9071"/>
      </w:tabs>
      <w:spacing w:before="240" w:after="240"/>
    </w:pPr>
    <w:rPr>
      <w:color w:val="010000"/>
      <w:sz w:val="22"/>
    </w:rPr>
  </w:style>
  <w:style w:type="paragraph" w:customStyle="1" w:styleId="EPComma">
    <w:name w:val="EPComma"/>
    <w:basedOn w:val="Normal"/>
    <w:rsid w:val="002F0836"/>
    <w:pPr>
      <w:spacing w:before="480" w:after="240"/>
    </w:pPr>
  </w:style>
  <w:style w:type="character" w:styleId="Hyperlink">
    <w:name w:val="Hyperlink"/>
    <w:basedOn w:val="DefaultParagraphFont"/>
    <w:uiPriority w:val="99"/>
    <w:rsid w:val="002F0836"/>
    <w:rPr>
      <w:color w:val="0563C1" w:themeColor="hyperlink"/>
      <w:u w:val="single"/>
    </w:rPr>
  </w:style>
  <w:style w:type="paragraph" w:customStyle="1" w:styleId="NormalCenter12a">
    <w:name w:val="NormalCenter12a"/>
    <w:basedOn w:val="Normal"/>
    <w:rsid w:val="002F0836"/>
    <w:pPr>
      <w:spacing w:after="240"/>
      <w:jc w:val="center"/>
    </w:pPr>
    <w:rPr>
      <w:lang w:val="en-GB"/>
    </w:rPr>
  </w:style>
  <w:style w:type="paragraph" w:customStyle="1" w:styleId="AmHeadingConsam">
    <w:name w:val="AmHeadingConsam"/>
    <w:basedOn w:val="Normal"/>
    <w:next w:val="NormalCenter12a"/>
    <w:rsid w:val="002F0836"/>
    <w:pPr>
      <w:spacing w:before="720" w:after="240"/>
      <w:jc w:val="center"/>
    </w:pPr>
    <w:rPr>
      <w:lang w:val="en-GB"/>
    </w:rPr>
  </w:style>
  <w:style w:type="character" w:styleId="Emphasis">
    <w:name w:val="Emphasis"/>
    <w:basedOn w:val="DefaultParagraphFont"/>
    <w:uiPriority w:val="20"/>
    <w:qFormat/>
    <w:rsid w:val="002F0836"/>
    <w:rPr>
      <w:i/>
      <w:iCs/>
    </w:rPr>
  </w:style>
  <w:style w:type="paragraph" w:customStyle="1" w:styleId="ManualConsidrant">
    <w:name w:val="Manual Considérant"/>
    <w:basedOn w:val="Normal"/>
    <w:rsid w:val="002F0836"/>
    <w:pPr>
      <w:widowControl/>
      <w:spacing w:before="120" w:after="120"/>
      <w:ind w:left="709" w:hanging="709"/>
      <w:jc w:val="both"/>
    </w:pPr>
    <w:rPr>
      <w:rFonts w:eastAsiaTheme="minorHAnsi"/>
      <w:szCs w:val="22"/>
      <w:lang w:val="en-GB" w:eastAsia="en-US"/>
    </w:rPr>
  </w:style>
  <w:style w:type="character" w:customStyle="1" w:styleId="eop">
    <w:name w:val="eop"/>
    <w:basedOn w:val="DefaultParagraphFont"/>
    <w:rsid w:val="002F0836"/>
  </w:style>
  <w:style w:type="paragraph" w:customStyle="1" w:styleId="Point0">
    <w:name w:val="Point 0"/>
    <w:basedOn w:val="Normal"/>
    <w:rsid w:val="002F0836"/>
    <w:pPr>
      <w:widowControl/>
      <w:spacing w:before="120" w:after="120"/>
      <w:ind w:left="850" w:hanging="850"/>
      <w:jc w:val="both"/>
    </w:pPr>
    <w:rPr>
      <w:rFonts w:eastAsiaTheme="minorHAnsi"/>
      <w:szCs w:val="22"/>
      <w:lang w:val="en-GB" w:eastAsia="en-US"/>
    </w:rPr>
  </w:style>
  <w:style w:type="paragraph" w:customStyle="1" w:styleId="paragraph">
    <w:name w:val="paragraph"/>
    <w:basedOn w:val="Normal"/>
    <w:rsid w:val="002F0836"/>
    <w:pPr>
      <w:widowControl/>
      <w:spacing w:beforeAutospacing="1" w:after="200" w:afterAutospacing="1" w:line="276" w:lineRule="auto"/>
    </w:pPr>
    <w:rPr>
      <w:szCs w:val="24"/>
      <w:lang w:val="en-GB" w:eastAsia="en-IE"/>
    </w:rPr>
  </w:style>
  <w:style w:type="paragraph" w:styleId="ListParagraph">
    <w:name w:val="List Paragraph"/>
    <w:aliases w:val="Listaszerű bekezdés1,List Paragraph à moi,Colorful List - Accent 11,Medium Grid 1 - Accent 21,Listaszeru bekezdés1,Colorful List - Accent 111,Dot pt,F5 List Paragraph,List Paragraph1,No Spacing1,List Paragraph Char Char Char,Bullets"/>
    <w:basedOn w:val="Normal"/>
    <w:link w:val="ListParagraphChar"/>
    <w:uiPriority w:val="1"/>
    <w:qFormat/>
    <w:rsid w:val="002F0836"/>
    <w:pPr>
      <w:ind w:left="720"/>
      <w:contextualSpacing/>
    </w:pPr>
    <w:rPr>
      <w:lang w:val="en-GB"/>
    </w:rPr>
  </w:style>
  <w:style w:type="character" w:customStyle="1" w:styleId="ListParagraphChar">
    <w:name w:val="List Paragraph Char"/>
    <w:aliases w:val="Listaszerű bekezdés1 Char,List Paragraph à moi Char,Colorful List - Accent 11 Char,Medium Grid 1 - Accent 21 Char,Listaszeru bekezdés1 Char,Colorful List - Accent 111 Char,Dot pt Char,F5 List Paragraph Char,List Paragraph1 Char"/>
    <w:link w:val="ListParagraph"/>
    <w:uiPriority w:val="1"/>
    <w:qFormat/>
    <w:rsid w:val="002F0836"/>
    <w:rPr>
      <w:sz w:val="24"/>
    </w:rPr>
  </w:style>
  <w:style w:type="character" w:customStyle="1" w:styleId="normaltextrun">
    <w:name w:val="normaltextrun"/>
    <w:basedOn w:val="DefaultParagraphFont"/>
    <w:rsid w:val="002F0836"/>
  </w:style>
  <w:style w:type="paragraph" w:customStyle="1" w:styleId="Normal0">
    <w:name w:val="_Normal"/>
    <w:basedOn w:val="Normal"/>
    <w:link w:val="NormalCar"/>
    <w:qFormat/>
    <w:rsid w:val="002F0836"/>
    <w:pPr>
      <w:widowControl/>
      <w:spacing w:before="120" w:after="120" w:line="240" w:lineRule="atLeast"/>
      <w:jc w:val="both"/>
    </w:pPr>
    <w:rPr>
      <w:rFonts w:ascii="Arial" w:hAnsi="Arial"/>
      <w:sz w:val="20"/>
      <w:szCs w:val="24"/>
      <w:lang w:val="en-GB" w:eastAsia="en-US"/>
    </w:rPr>
  </w:style>
  <w:style w:type="character" w:customStyle="1" w:styleId="NormalCar">
    <w:name w:val="_Normal Car"/>
    <w:link w:val="Normal0"/>
    <w:rsid w:val="002F0836"/>
    <w:rPr>
      <w:rFonts w:ascii="Arial" w:hAnsi="Arial"/>
      <w:szCs w:val="24"/>
      <w:lang w:eastAsia="en-US"/>
    </w:rPr>
  </w:style>
  <w:style w:type="paragraph" w:styleId="BodyText">
    <w:name w:val="Body Text"/>
    <w:basedOn w:val="Normal"/>
    <w:link w:val="BodyTextChar"/>
    <w:uiPriority w:val="1"/>
    <w:qFormat/>
    <w:rsid w:val="002F0836"/>
    <w:pPr>
      <w:autoSpaceDE w:val="0"/>
      <w:autoSpaceDN w:val="0"/>
      <w:adjustRightInd w:val="0"/>
    </w:pPr>
    <w:rPr>
      <w:rFonts w:eastAsiaTheme="minorEastAsia"/>
      <w:szCs w:val="24"/>
      <w:lang w:val="en-GB"/>
    </w:rPr>
  </w:style>
  <w:style w:type="character" w:customStyle="1" w:styleId="BodyTextChar">
    <w:name w:val="Body Text Char"/>
    <w:basedOn w:val="DefaultParagraphFont"/>
    <w:link w:val="BodyText"/>
    <w:uiPriority w:val="1"/>
    <w:rsid w:val="002F0836"/>
    <w:rPr>
      <w:rFonts w:eastAsiaTheme="minorEastAsia"/>
      <w:sz w:val="24"/>
      <w:szCs w:val="24"/>
    </w:rPr>
  </w:style>
  <w:style w:type="paragraph" w:styleId="BalloonText">
    <w:name w:val="Balloon Text"/>
    <w:basedOn w:val="Normal"/>
    <w:link w:val="BalloonTextChar"/>
    <w:rsid w:val="00F01A99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rsid w:val="00F01A99"/>
    <w:rPr>
      <w:rFonts w:ascii="Segoe UI" w:hAnsi="Segoe UI" w:cs="Segoe UI"/>
      <w:sz w:val="18"/>
      <w:szCs w:val="18"/>
      <w:lang w:val="es-ES_tradnl"/>
    </w:rPr>
  </w:style>
  <w:style w:type="paragraph" w:customStyle="1" w:styleId="Normal12Hanging">
    <w:name w:val="Normal12Hanging"/>
    <w:basedOn w:val="Normal"/>
    <w:rsid w:val="00A704B8"/>
    <w:pPr>
      <w:spacing w:after="240"/>
      <w:ind w:left="357" w:hanging="357"/>
    </w:pPr>
    <w:rPr>
      <w:snapToGrid w:val="0"/>
    </w:rPr>
  </w:style>
  <w:style w:type="character" w:customStyle="1" w:styleId="Heading1Char">
    <w:name w:val="Heading 1 Char"/>
    <w:basedOn w:val="DefaultParagraphFont"/>
    <w:link w:val="Heading1"/>
    <w:rsid w:val="00A704B8"/>
    <w:rPr>
      <w:b/>
      <w:kern w:val="28"/>
      <w:sz w:val="28"/>
      <w:lang w:val="fr-FR" w:eastAsia="fr-FR"/>
    </w:rPr>
  </w:style>
  <w:style w:type="character" w:customStyle="1" w:styleId="Heading2Char">
    <w:name w:val="Heading 2 Char"/>
    <w:basedOn w:val="DefaultParagraphFont"/>
    <w:link w:val="Heading2"/>
    <w:semiHidden/>
    <w:rsid w:val="00A704B8"/>
    <w:rPr>
      <w:sz w:val="24"/>
      <w:lang w:val="fr-FR" w:eastAsia="fr-FR"/>
    </w:rPr>
  </w:style>
  <w:style w:type="character" w:customStyle="1" w:styleId="Heading3Char">
    <w:name w:val="Heading 3 Char"/>
    <w:basedOn w:val="DefaultParagraphFont"/>
    <w:link w:val="Heading3"/>
    <w:semiHidden/>
    <w:rsid w:val="00A704B8"/>
    <w:rPr>
      <w:rFonts w:ascii="Arial" w:hAnsi="Arial"/>
      <w:sz w:val="24"/>
      <w:lang w:val="fr-FR" w:eastAsia="fr-FR"/>
    </w:rPr>
  </w:style>
  <w:style w:type="character" w:customStyle="1" w:styleId="Heading4Char">
    <w:name w:val="Heading 4 Char"/>
    <w:basedOn w:val="DefaultParagraphFont"/>
    <w:link w:val="Heading4"/>
    <w:semiHidden/>
    <w:rsid w:val="00A704B8"/>
    <w:rPr>
      <w:sz w:val="24"/>
      <w:lang w:val="en-US" w:eastAsia="fr-FR"/>
    </w:rPr>
  </w:style>
  <w:style w:type="character" w:customStyle="1" w:styleId="Heading5Char">
    <w:name w:val="Heading 5 Char"/>
    <w:basedOn w:val="DefaultParagraphFont"/>
    <w:link w:val="Heading5"/>
    <w:semiHidden/>
    <w:rsid w:val="00A704B8"/>
    <w:rPr>
      <w:sz w:val="24"/>
      <w:lang w:val="en-US" w:eastAsia="fr-FR"/>
    </w:rPr>
  </w:style>
  <w:style w:type="character" w:customStyle="1" w:styleId="Heading6Char">
    <w:name w:val="Heading 6 Char"/>
    <w:basedOn w:val="DefaultParagraphFont"/>
    <w:link w:val="Heading6"/>
    <w:semiHidden/>
    <w:rsid w:val="00A704B8"/>
    <w:rPr>
      <w:i/>
      <w:sz w:val="22"/>
      <w:lang w:val="es-ES_tradnl"/>
    </w:rPr>
  </w:style>
  <w:style w:type="character" w:customStyle="1" w:styleId="Heading7Char">
    <w:name w:val="Heading 7 Char"/>
    <w:basedOn w:val="DefaultParagraphFont"/>
    <w:link w:val="Heading7"/>
    <w:semiHidden/>
    <w:rsid w:val="00A704B8"/>
    <w:rPr>
      <w:rFonts w:ascii="Arial" w:hAnsi="Arial"/>
      <w:sz w:val="24"/>
      <w:lang w:val="es-ES_tradnl"/>
    </w:rPr>
  </w:style>
  <w:style w:type="character" w:customStyle="1" w:styleId="Heading8Char">
    <w:name w:val="Heading 8 Char"/>
    <w:basedOn w:val="DefaultParagraphFont"/>
    <w:link w:val="Heading8"/>
    <w:semiHidden/>
    <w:rsid w:val="00A704B8"/>
    <w:rPr>
      <w:rFonts w:ascii="Arial" w:hAnsi="Arial"/>
      <w:i/>
      <w:sz w:val="24"/>
      <w:lang w:val="es-ES_tradnl"/>
    </w:rPr>
  </w:style>
  <w:style w:type="character" w:customStyle="1" w:styleId="Heading9Char">
    <w:name w:val="Heading 9 Char"/>
    <w:basedOn w:val="DefaultParagraphFont"/>
    <w:link w:val="Heading9"/>
    <w:semiHidden/>
    <w:rsid w:val="00A704B8"/>
    <w:rPr>
      <w:rFonts w:ascii="Arial" w:hAnsi="Arial"/>
      <w:b/>
      <w:i/>
      <w:sz w:val="18"/>
      <w:lang w:val="es-ES_tradnl"/>
    </w:rPr>
  </w:style>
  <w:style w:type="paragraph" w:customStyle="1" w:styleId="AmDocTypeTab">
    <w:name w:val="AmDocTypeTab"/>
    <w:basedOn w:val="Normal"/>
    <w:rsid w:val="00A704B8"/>
    <w:pPr>
      <w:tabs>
        <w:tab w:val="right" w:pos="9072"/>
      </w:tabs>
    </w:pPr>
    <w:rPr>
      <w:b/>
    </w:rPr>
  </w:style>
  <w:style w:type="paragraph" w:customStyle="1" w:styleId="Normal12a">
    <w:name w:val="Normal12a"/>
    <w:basedOn w:val="Normal"/>
    <w:rsid w:val="00A704B8"/>
    <w:pPr>
      <w:spacing w:after="240"/>
    </w:pPr>
  </w:style>
  <w:style w:type="paragraph" w:customStyle="1" w:styleId="AmOrLang">
    <w:name w:val="AmOrLang"/>
    <w:basedOn w:val="Normal"/>
    <w:rsid w:val="00A704B8"/>
    <w:pPr>
      <w:spacing w:before="240" w:after="240"/>
      <w:jc w:val="right"/>
    </w:pPr>
  </w:style>
  <w:style w:type="paragraph" w:customStyle="1" w:styleId="AmDateTab">
    <w:name w:val="AmDateTab"/>
    <w:basedOn w:val="Normal"/>
    <w:rsid w:val="00A704B8"/>
    <w:pPr>
      <w:tabs>
        <w:tab w:val="right" w:pos="9072"/>
      </w:tabs>
    </w:pPr>
  </w:style>
  <w:style w:type="paragraph" w:styleId="TOCHeading">
    <w:name w:val="TOC Heading"/>
    <w:basedOn w:val="Normal"/>
    <w:next w:val="Normal"/>
    <w:uiPriority w:val="39"/>
    <w:unhideWhenUsed/>
    <w:qFormat/>
    <w:rsid w:val="00A704B8"/>
    <w:pPr>
      <w:keepLines/>
      <w:spacing w:after="240"/>
    </w:pPr>
    <w:rPr>
      <w:rFonts w:asciiTheme="majorHAnsi" w:eastAsiaTheme="majorEastAsia" w:hAnsiTheme="majorHAnsi" w:cstheme="majorBidi"/>
      <w:b/>
      <w:color w:val="2E74B5" w:themeColor="accent1" w:themeShade="BF"/>
      <w:sz w:val="32"/>
      <w:szCs w:val="32"/>
    </w:rPr>
  </w:style>
  <w:style w:type="paragraph" w:styleId="Footer">
    <w:name w:val="footer"/>
    <w:basedOn w:val="Normal"/>
    <w:link w:val="FooterChar"/>
    <w:uiPriority w:val="99"/>
    <w:rsid w:val="00A704B8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A704B8"/>
    <w:rPr>
      <w:sz w:val="24"/>
      <w:lang w:val="es-ES_tradnl"/>
    </w:rPr>
  </w:style>
  <w:style w:type="numbering" w:customStyle="1" w:styleId="NoList1">
    <w:name w:val="No List1"/>
    <w:next w:val="NoList"/>
    <w:uiPriority w:val="99"/>
    <w:semiHidden/>
    <w:unhideWhenUsed/>
    <w:rsid w:val="00A704B8"/>
  </w:style>
  <w:style w:type="paragraph" w:customStyle="1" w:styleId="SignaturePersonne">
    <w:name w:val="Signature Personne"/>
    <w:basedOn w:val="Normal"/>
    <w:rsid w:val="00A704B8"/>
    <w:pPr>
      <w:widowControl/>
      <w:tabs>
        <w:tab w:val="left" w:pos="4252"/>
      </w:tabs>
      <w:spacing w:line="360" w:lineRule="auto"/>
    </w:pPr>
    <w:rPr>
      <w:i/>
      <w:szCs w:val="24"/>
      <w:lang w:val="en-US" w:eastAsia="en-US"/>
    </w:rPr>
  </w:style>
  <w:style w:type="paragraph" w:customStyle="1" w:styleId="Considrant">
    <w:name w:val="Considérant"/>
    <w:basedOn w:val="Normal"/>
    <w:rsid w:val="00A704B8"/>
    <w:pPr>
      <w:spacing w:before="120" w:after="120" w:line="360" w:lineRule="auto"/>
      <w:ind w:left="850" w:hanging="850"/>
    </w:pPr>
    <w:rPr>
      <w:szCs w:val="24"/>
      <w:lang w:val="en-US" w:eastAsia="en-US"/>
    </w:rPr>
  </w:style>
  <w:style w:type="paragraph" w:customStyle="1" w:styleId="Institutionquiagit">
    <w:name w:val="Institution qui agit"/>
    <w:basedOn w:val="Normal"/>
    <w:next w:val="Normal"/>
    <w:rsid w:val="00A704B8"/>
    <w:pPr>
      <w:keepNext/>
      <w:spacing w:before="600" w:after="120" w:line="360" w:lineRule="auto"/>
    </w:pPr>
    <w:rPr>
      <w:szCs w:val="24"/>
      <w:lang w:val="en-US" w:eastAsia="en-US"/>
    </w:rPr>
  </w:style>
  <w:style w:type="paragraph" w:customStyle="1" w:styleId="Institutionquisigne">
    <w:name w:val="Institution qui signe"/>
    <w:basedOn w:val="Normal"/>
    <w:next w:val="Normal"/>
    <w:rsid w:val="00A704B8"/>
    <w:pPr>
      <w:keepNext/>
      <w:tabs>
        <w:tab w:val="left" w:pos="4252"/>
      </w:tabs>
      <w:spacing w:before="720" w:line="360" w:lineRule="auto"/>
    </w:pPr>
    <w:rPr>
      <w:i/>
      <w:szCs w:val="24"/>
      <w:lang w:val="en-US" w:eastAsia="en-US"/>
    </w:rPr>
  </w:style>
  <w:style w:type="paragraph" w:customStyle="1" w:styleId="Fait">
    <w:name w:val="Fait à"/>
    <w:basedOn w:val="Normal"/>
    <w:rsid w:val="00A704B8"/>
    <w:pPr>
      <w:keepNext/>
      <w:widowControl/>
      <w:spacing w:before="120" w:line="360" w:lineRule="auto"/>
    </w:pPr>
    <w:rPr>
      <w:szCs w:val="24"/>
      <w:lang w:val="en-US" w:eastAsia="en-US"/>
    </w:rPr>
  </w:style>
  <w:style w:type="paragraph" w:customStyle="1" w:styleId="FootnoteTextForceStyle">
    <w:name w:val="Footnote Text ForceStyle"/>
    <w:rsid w:val="00A704B8"/>
    <w:pPr>
      <w:keepLines/>
      <w:widowControl w:val="0"/>
      <w:ind w:left="850" w:hanging="850"/>
    </w:pPr>
    <w:rPr>
      <w:sz w:val="24"/>
      <w:lang w:val="en-US" w:eastAsia="en-US"/>
    </w:rPr>
  </w:style>
  <w:style w:type="character" w:customStyle="1" w:styleId="Footer2">
    <w:name w:val="Footer2"/>
    <w:rsid w:val="00A704B8"/>
    <w:rPr>
      <w:rFonts w:ascii="Arial" w:hAnsi="Arial"/>
      <w:b/>
      <w:sz w:val="48"/>
    </w:rPr>
  </w:style>
  <w:style w:type="paragraph" w:customStyle="1" w:styleId="Applicationdirecte">
    <w:name w:val="Application directe"/>
    <w:basedOn w:val="Normal"/>
    <w:next w:val="Normal"/>
    <w:rsid w:val="00A704B8"/>
    <w:pPr>
      <w:spacing w:before="120" w:after="120" w:line="360" w:lineRule="auto"/>
    </w:pPr>
    <w:rPr>
      <w:szCs w:val="24"/>
      <w:lang w:val="en-US" w:eastAsia="en-US"/>
    </w:rPr>
  </w:style>
  <w:style w:type="paragraph" w:customStyle="1" w:styleId="Normale">
    <w:name w:val="Normale"/>
    <w:rsid w:val="00A704B8"/>
    <w:pPr>
      <w:widowControl w:val="0"/>
      <w:spacing w:before="120" w:after="120" w:line="360" w:lineRule="auto"/>
    </w:pPr>
    <w:rPr>
      <w:sz w:val="24"/>
      <w:lang w:val="en-US" w:eastAsia="en-US"/>
    </w:rPr>
  </w:style>
  <w:style w:type="paragraph" w:customStyle="1" w:styleId="Formuledadoption">
    <w:name w:val="Formule d'adoption"/>
    <w:basedOn w:val="Normal"/>
    <w:next w:val="Normal"/>
    <w:rsid w:val="00A704B8"/>
    <w:pPr>
      <w:keepNext/>
      <w:widowControl/>
      <w:spacing w:before="120" w:after="120" w:line="360" w:lineRule="auto"/>
    </w:pPr>
    <w:rPr>
      <w:szCs w:val="24"/>
      <w:lang w:val="en-US" w:eastAsia="en-US"/>
    </w:rPr>
  </w:style>
  <w:style w:type="paragraph" w:customStyle="1" w:styleId="Rfrenceinstitutionnelle">
    <w:name w:val="Référence institutionnelle"/>
    <w:basedOn w:val="Normal"/>
    <w:next w:val="Normal"/>
    <w:rsid w:val="00A704B8"/>
    <w:pPr>
      <w:widowControl/>
      <w:spacing w:after="240" w:line="360" w:lineRule="auto"/>
      <w:ind w:left="5102"/>
    </w:pPr>
    <w:rPr>
      <w:szCs w:val="24"/>
      <w:lang w:val="en-US" w:eastAsia="en-US"/>
    </w:rPr>
  </w:style>
  <w:style w:type="paragraph" w:customStyle="1" w:styleId="Footer1">
    <w:name w:val="Footer1"/>
    <w:basedOn w:val="Normal"/>
    <w:rsid w:val="00A704B8"/>
    <w:pPr>
      <w:widowControl/>
      <w:tabs>
        <w:tab w:val="center" w:pos="4150"/>
        <w:tab w:val="right" w:pos="8306"/>
        <w:tab w:val="right" w:pos="9638"/>
      </w:tabs>
      <w:spacing w:line="360" w:lineRule="auto"/>
    </w:pPr>
    <w:rPr>
      <w:szCs w:val="24"/>
      <w:lang w:val="en-US" w:eastAsia="en-US"/>
    </w:rPr>
  </w:style>
  <w:style w:type="paragraph" w:customStyle="1" w:styleId="SignatureInstitution">
    <w:name w:val="Signature Institution"/>
    <w:basedOn w:val="Normal"/>
    <w:rsid w:val="00A704B8"/>
    <w:pPr>
      <w:keepNext/>
      <w:widowControl/>
      <w:tabs>
        <w:tab w:val="left" w:pos="4252"/>
      </w:tabs>
      <w:spacing w:before="720" w:after="100" w:line="360" w:lineRule="auto"/>
      <w:jc w:val="both"/>
    </w:pPr>
    <w:rPr>
      <w:i/>
      <w:szCs w:val="24"/>
      <w:lang w:val="en-US" w:eastAsia="en-US"/>
    </w:rPr>
  </w:style>
  <w:style w:type="paragraph" w:customStyle="1" w:styleId="Statut">
    <w:name w:val="Statut"/>
    <w:basedOn w:val="Normal"/>
    <w:next w:val="Normal"/>
    <w:rsid w:val="00A704B8"/>
    <w:pPr>
      <w:widowControl/>
      <w:spacing w:before="840" w:line="360" w:lineRule="auto"/>
      <w:jc w:val="center"/>
    </w:pPr>
    <w:rPr>
      <w:szCs w:val="24"/>
      <w:lang w:val="en-US" w:eastAsia="en-US"/>
    </w:rPr>
  </w:style>
  <w:style w:type="paragraph" w:customStyle="1" w:styleId="Typedudocument">
    <w:name w:val="Type du document"/>
    <w:basedOn w:val="Normal"/>
    <w:next w:val="Normal"/>
    <w:rsid w:val="00A704B8"/>
    <w:pPr>
      <w:widowControl/>
      <w:spacing w:before="360" w:line="360" w:lineRule="auto"/>
      <w:jc w:val="center"/>
    </w:pPr>
    <w:rPr>
      <w:b/>
      <w:szCs w:val="24"/>
      <w:lang w:val="en-US" w:eastAsia="en-US"/>
    </w:rPr>
  </w:style>
  <w:style w:type="paragraph" w:customStyle="1" w:styleId="Titreobjet">
    <w:name w:val="Titre objet"/>
    <w:basedOn w:val="Normal"/>
    <w:next w:val="Normal"/>
    <w:rsid w:val="00A704B8"/>
    <w:pPr>
      <w:widowControl/>
      <w:spacing w:before="360" w:after="360" w:line="360" w:lineRule="auto"/>
      <w:jc w:val="center"/>
    </w:pPr>
    <w:rPr>
      <w:b/>
      <w:szCs w:val="24"/>
      <w:lang w:val="en-US" w:eastAsia="en-US"/>
    </w:rPr>
  </w:style>
  <w:style w:type="paragraph" w:customStyle="1" w:styleId="IntrtEEE">
    <w:name w:val="Intérêt EEE"/>
    <w:basedOn w:val="Normal"/>
    <w:next w:val="Normal"/>
    <w:rsid w:val="00A704B8"/>
    <w:pPr>
      <w:widowControl/>
      <w:spacing w:before="360" w:after="240" w:line="360" w:lineRule="auto"/>
      <w:jc w:val="center"/>
    </w:pPr>
    <w:rPr>
      <w:szCs w:val="24"/>
      <w:lang w:val="en-US" w:eastAsia="en-US"/>
    </w:rPr>
  </w:style>
  <w:style w:type="character" w:styleId="CommentReference">
    <w:name w:val="annotation reference"/>
    <w:basedOn w:val="DefaultParagraphFont"/>
    <w:unhideWhenUsed/>
    <w:rsid w:val="00A704B8"/>
    <w:rPr>
      <w:sz w:val="16"/>
      <w:szCs w:val="16"/>
    </w:rPr>
  </w:style>
  <w:style w:type="paragraph" w:styleId="CommentText">
    <w:name w:val="annotation text"/>
    <w:basedOn w:val="Normal"/>
    <w:link w:val="CommentTextChar"/>
    <w:unhideWhenUsed/>
    <w:rsid w:val="00A704B8"/>
    <w:pPr>
      <w:spacing w:before="120" w:after="120"/>
    </w:pPr>
    <w:rPr>
      <w:sz w:val="20"/>
      <w:lang w:val="en-US" w:eastAsia="en-US"/>
    </w:rPr>
  </w:style>
  <w:style w:type="character" w:customStyle="1" w:styleId="CommentTextChar">
    <w:name w:val="Comment Text Char"/>
    <w:basedOn w:val="DefaultParagraphFont"/>
    <w:link w:val="CommentText"/>
    <w:rsid w:val="00A704B8"/>
    <w:rPr>
      <w:lang w:val="en-US" w:eastAsia="en-US"/>
    </w:rPr>
  </w:style>
  <w:style w:type="paragraph" w:styleId="CommentSubject">
    <w:name w:val="annotation subject"/>
    <w:basedOn w:val="CommentText"/>
    <w:next w:val="CommentText"/>
    <w:link w:val="CommentSubjectChar"/>
    <w:unhideWhenUsed/>
    <w:rsid w:val="00A704B8"/>
    <w:rPr>
      <w:b/>
      <w:bCs/>
    </w:rPr>
  </w:style>
  <w:style w:type="character" w:customStyle="1" w:styleId="CommentSubjectChar">
    <w:name w:val="Comment Subject Char"/>
    <w:basedOn w:val="CommentTextChar"/>
    <w:link w:val="CommentSubject"/>
    <w:rsid w:val="00A704B8"/>
    <w:rPr>
      <w:b/>
      <w:bCs/>
      <w:lang w:val="en-US" w:eastAsia="en-US"/>
    </w:rPr>
  </w:style>
  <w:style w:type="paragraph" w:styleId="Revision">
    <w:name w:val="Revision"/>
    <w:hidden/>
    <w:uiPriority w:val="99"/>
    <w:semiHidden/>
    <w:rsid w:val="00A704B8"/>
    <w:rPr>
      <w:sz w:val="24"/>
      <w:szCs w:val="24"/>
      <w:lang w:val="en-US" w:eastAsia="en-US"/>
    </w:rPr>
  </w:style>
  <w:style w:type="character" w:styleId="FollowedHyperlink">
    <w:name w:val="FollowedHyperlink"/>
    <w:basedOn w:val="DefaultParagraphFont"/>
    <w:uiPriority w:val="99"/>
    <w:unhideWhenUsed/>
    <w:rsid w:val="00A704B8"/>
    <w:rPr>
      <w:color w:val="954F72" w:themeColor="followedHyperlink"/>
      <w:u w:val="single"/>
    </w:rPr>
  </w:style>
  <w:style w:type="paragraph" w:customStyle="1" w:styleId="msonormal0">
    <w:name w:val="msonormal"/>
    <w:basedOn w:val="Normal"/>
    <w:rsid w:val="00A704B8"/>
    <w:pPr>
      <w:widowControl/>
      <w:spacing w:before="100" w:beforeAutospacing="1" w:after="100" w:afterAutospacing="1"/>
    </w:pPr>
    <w:rPr>
      <w:szCs w:val="24"/>
      <w:lang w:eastAsia="es-ES_tradnl"/>
    </w:rPr>
  </w:style>
  <w:style w:type="paragraph" w:customStyle="1" w:styleId="HeadingDocType24a">
    <w:name w:val="HeadingDocType24a"/>
    <w:basedOn w:val="Normal"/>
    <w:rsid w:val="00E973F4"/>
    <w:pPr>
      <w:spacing w:after="480"/>
      <w:jc w:val="center"/>
    </w:pPr>
    <w:rPr>
      <w:rFonts w:ascii="Arial" w:hAnsi="Arial"/>
      <w:b/>
      <w:sz w:val="48"/>
    </w:rPr>
  </w:style>
  <w:style w:type="paragraph" w:customStyle="1" w:styleId="HeadingReferenceERCO">
    <w:name w:val="HeadingReferenceERCO"/>
    <w:basedOn w:val="Normal"/>
    <w:rsid w:val="00E973F4"/>
    <w:pPr>
      <w:spacing w:before="360" w:after="240"/>
      <w:jc w:val="right"/>
    </w:pPr>
    <w:rPr>
      <w:rFonts w:ascii="Arial" w:hAnsi="Arial"/>
      <w:b/>
    </w:rPr>
  </w:style>
  <w:style w:type="paragraph" w:customStyle="1" w:styleId="NormalCenter">
    <w:name w:val="NormalCenter"/>
    <w:basedOn w:val="Normal"/>
    <w:rsid w:val="00E973F4"/>
    <w:pPr>
      <w:jc w:val="center"/>
    </w:pPr>
  </w:style>
  <w:style w:type="paragraph" w:customStyle="1" w:styleId="Normal24a">
    <w:name w:val="Normal24a"/>
    <w:basedOn w:val="Normal"/>
    <w:rsid w:val="00E973F4"/>
    <w:pPr>
      <w:spacing w:after="480"/>
    </w:pPr>
  </w:style>
  <w:style w:type="paragraph" w:customStyle="1" w:styleId="EPBody">
    <w:name w:val="EPBody"/>
    <w:basedOn w:val="Normal"/>
    <w:rsid w:val="00E973F4"/>
    <w:pPr>
      <w:jc w:val="center"/>
    </w:pPr>
    <w:rPr>
      <w:rFonts w:ascii="Arial" w:hAnsi="Arial" w:cs="Arial"/>
      <w:i/>
      <w:sz w:val="22"/>
      <w:szCs w:val="22"/>
    </w:rPr>
  </w:style>
  <w:style w:type="paragraph" w:customStyle="1" w:styleId="LineSingle">
    <w:name w:val="LineSingle"/>
    <w:basedOn w:val="Normal"/>
    <w:next w:val="Normal"/>
    <w:rsid w:val="00E973F4"/>
    <w:pPr>
      <w:pBdr>
        <w:bottom w:val="single" w:sz="4" w:space="1" w:color="auto"/>
      </w:pBdr>
      <w:spacing w:after="240"/>
    </w:pPr>
  </w:style>
  <w:style w:type="paragraph" w:customStyle="1" w:styleId="HeadingDate">
    <w:name w:val="HeadingDate"/>
    <w:basedOn w:val="Normal"/>
    <w:rsid w:val="00E973F4"/>
    <w:pPr>
      <w:spacing w:before="240" w:after="240"/>
    </w:pPr>
  </w:style>
  <w:style w:type="paragraph" w:customStyle="1" w:styleId="j">
    <w:name w:val="j"/>
    <w:basedOn w:val="Normal"/>
    <w:rsid w:val="00E973F4"/>
    <w:pPr>
      <w:widowControl/>
      <w:spacing w:before="100" w:beforeAutospacing="1" w:after="100" w:afterAutospacing="1"/>
    </w:pPr>
    <w:rPr>
      <w:szCs w:val="24"/>
      <w:lang w:val="en-GB"/>
    </w:rPr>
  </w:style>
  <w:style w:type="character" w:customStyle="1" w:styleId="nacep">
    <w:name w:val="n_acep"/>
    <w:basedOn w:val="DefaultParagraphFont"/>
    <w:rsid w:val="00E973F4"/>
  </w:style>
  <w:style w:type="character" w:customStyle="1" w:styleId="h">
    <w:name w:val="h"/>
    <w:basedOn w:val="DefaultParagraphFont"/>
    <w:rsid w:val="00E973F4"/>
  </w:style>
  <w:style w:type="paragraph" w:styleId="EndnoteText">
    <w:name w:val="endnote text"/>
    <w:basedOn w:val="Normal"/>
    <w:link w:val="EndnoteTextChar"/>
    <w:rsid w:val="00E973F4"/>
    <w:rPr>
      <w:sz w:val="20"/>
    </w:rPr>
  </w:style>
  <w:style w:type="character" w:customStyle="1" w:styleId="EndnoteTextChar">
    <w:name w:val="Endnote Text Char"/>
    <w:basedOn w:val="DefaultParagraphFont"/>
    <w:link w:val="EndnoteText"/>
    <w:rsid w:val="00E973F4"/>
    <w:rPr>
      <w:lang w:val="es-ES_tradnl"/>
    </w:rPr>
  </w:style>
  <w:style w:type="character" w:styleId="EndnoteReference">
    <w:name w:val="endnote reference"/>
    <w:basedOn w:val="DefaultParagraphFont"/>
    <w:rsid w:val="00E973F4"/>
    <w:rPr>
      <w:vertAlign w:val="superscript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E973F4"/>
    <w:rPr>
      <w:color w:val="605E5C"/>
      <w:shd w:val="clear" w:color="auto" w:fill="E1DFDD"/>
    </w:rPr>
  </w:style>
  <w:style w:type="character" w:customStyle="1" w:styleId="sin">
    <w:name w:val="sin"/>
    <w:basedOn w:val="DefaultParagraphFont"/>
    <w:rsid w:val="00E973F4"/>
  </w:style>
  <w:style w:type="character" w:customStyle="1" w:styleId="u">
    <w:name w:val="u"/>
    <w:basedOn w:val="DefaultParagraphFont"/>
    <w:rsid w:val="00E973F4"/>
  </w:style>
  <w:style w:type="character" w:customStyle="1" w:styleId="editorial-label">
    <w:name w:val="editorial-label"/>
    <w:basedOn w:val="DefaultParagraphFont"/>
    <w:rsid w:val="00E973F4"/>
  </w:style>
  <w:style w:type="character" w:customStyle="1" w:styleId="daterange">
    <w:name w:val="daterange"/>
    <w:basedOn w:val="DefaultParagraphFont"/>
    <w:rsid w:val="00E973F4"/>
  </w:style>
  <w:style w:type="character" w:customStyle="1" w:styleId="grammar">
    <w:name w:val="grammar"/>
    <w:basedOn w:val="DefaultParagraphFont"/>
    <w:rsid w:val="00E973F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oter" Target="footer3.xm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5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header" Target="header3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footer" Target="footer4.xml"/></Relationships>
</file>

<file path=word/_rels/footnotes.xml.rels><?xml version="1.0" encoding="UTF-8" standalone="yes"?>
<Relationships xmlns="http://schemas.openxmlformats.org/package/2006/relationships"><Relationship Id="rId2" Type="http://schemas.openxmlformats.org/officeDocument/2006/relationships/hyperlink" Target="http://data.europa.eu/eli/reg/2025/38/oj" TargetMode="External"/><Relationship Id="rId1" Type="http://schemas.openxmlformats.org/officeDocument/2006/relationships/hyperlink" Target="http://data.europa.eu/eli/C/2024/1049/oj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456C66C-4683-4F72-946F-F5AF1BDF734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875</Words>
  <Characters>4993</Characters>
  <Application>Microsoft Office Word</Application>
  <DocSecurity>0</DocSecurity>
  <Lines>41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TA</vt:lpstr>
    </vt:vector>
  </TitlesOfParts>
  <Company/>
  <LinksUpToDate>false</LinksUpToDate>
  <CharactersWithSpaces>5857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TA</dc:title>
  <dc:subject/>
  <dc:creator>Rodríguez Fernán RELFINAL</dc:creator>
  <cp:keywords/>
  <cp:lastModifiedBy>Rodríguez Fernán</cp:lastModifiedBy>
  <cp:revision>2</cp:revision>
  <cp:lastPrinted>2004-11-19T15:42:00Z</cp:lastPrinted>
  <dcterms:created xsi:type="dcterms:W3CDTF">2025-03-18T09:32:00Z</dcterms:created>
  <dcterms:modified xsi:type="dcterms:W3CDTF">2025-03-18T09:32:00Z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&lt;Extension&gt;">
    <vt:lpwstr>ES</vt:lpwstr>
  </property>
  <property fmtid="{D5CDD505-2E9C-101B-9397-08002B2CF9AE}" pid="3" name="&lt;FdR&gt;">
    <vt:lpwstr>P9_TA(2024)0355_</vt:lpwstr>
  </property>
  <property fmtid="{D5CDD505-2E9C-101B-9397-08002B2CF9AE}" pid="4" name="&lt;Type&gt;">
    <vt:lpwstr>RR</vt:lpwstr>
  </property>
</Properties>
</file>