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B0524" w14:paraId="6E02154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D26345" w14:textId="77777777" w:rsidR="00751A4A" w:rsidRPr="009B0524" w:rsidRDefault="00F50946" w:rsidP="0010095E">
            <w:pPr>
              <w:pStyle w:val="EPName"/>
            </w:pPr>
            <w:r w:rsidRPr="009B0524">
              <w:t>Euroopan parlamentti</w:t>
            </w:r>
          </w:p>
          <w:p w14:paraId="24374C06" w14:textId="77777777" w:rsidR="00751A4A" w:rsidRPr="009B052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B0524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86C4E3B" w14:textId="77777777" w:rsidR="00751A4A" w:rsidRPr="009B0524" w:rsidRDefault="00187494" w:rsidP="0010095E">
            <w:pPr>
              <w:pStyle w:val="EPLogo"/>
            </w:pPr>
            <w:r w:rsidRPr="009B0524">
              <w:rPr>
                <w:noProof/>
                <w:lang w:eastAsia="fi-FI"/>
              </w:rPr>
              <w:drawing>
                <wp:inline distT="0" distB="0" distL="0" distR="0" wp14:anchorId="5B9DA9DC" wp14:editId="4A8A404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F76211" w14:textId="77777777" w:rsidR="00D058B8" w:rsidRPr="009B0524" w:rsidRDefault="00D058B8" w:rsidP="004C5D52">
      <w:pPr>
        <w:pStyle w:val="LineTop"/>
      </w:pPr>
    </w:p>
    <w:p w14:paraId="0D7A0A35" w14:textId="77777777" w:rsidR="00680577" w:rsidRPr="009B0524" w:rsidRDefault="00F50946" w:rsidP="00680577">
      <w:pPr>
        <w:pStyle w:val="EPBodyTA1"/>
      </w:pPr>
      <w:r w:rsidRPr="009B0524">
        <w:t>HYVÄKSYTYT TEKSTIT</w:t>
      </w:r>
    </w:p>
    <w:p w14:paraId="1DE6598A" w14:textId="77777777" w:rsidR="00D058B8" w:rsidRPr="009B0524" w:rsidRDefault="00D058B8" w:rsidP="00D058B8">
      <w:pPr>
        <w:pStyle w:val="LineBottom"/>
      </w:pPr>
    </w:p>
    <w:p w14:paraId="2905C525" w14:textId="77777777" w:rsidR="00F50946" w:rsidRPr="009B0524" w:rsidRDefault="00F50946" w:rsidP="00F50946">
      <w:pPr>
        <w:pStyle w:val="ATHeading1"/>
      </w:pPr>
      <w:bookmarkStart w:id="0" w:name="TANumber"/>
      <w:r w:rsidRPr="009B0524">
        <w:t>P9_TA(2024)0</w:t>
      </w:r>
      <w:r w:rsidR="008D0018" w:rsidRPr="009B0524">
        <w:t>355</w:t>
      </w:r>
      <w:bookmarkEnd w:id="0"/>
    </w:p>
    <w:p w14:paraId="5D68F741" w14:textId="77777777" w:rsidR="00F50946" w:rsidRPr="009B0524" w:rsidRDefault="009F5A81" w:rsidP="00F50946">
      <w:pPr>
        <w:pStyle w:val="ATHeading2"/>
      </w:pPr>
      <w:bookmarkStart w:id="1" w:name="title"/>
      <w:r w:rsidRPr="009B0524">
        <w:t>Kyber</w:t>
      </w:r>
      <w:r w:rsidR="00F50946" w:rsidRPr="009B0524">
        <w:t>solidaarisuu</w:t>
      </w:r>
      <w:r w:rsidRPr="009B0524">
        <w:t>ssäädös</w:t>
      </w:r>
      <w:bookmarkEnd w:id="1"/>
    </w:p>
    <w:p w14:paraId="1EE25826" w14:textId="77777777" w:rsidR="00F50946" w:rsidRPr="009B0524" w:rsidRDefault="00F50946" w:rsidP="00F50946">
      <w:pPr>
        <w:rPr>
          <w:i/>
          <w:vanish/>
        </w:rPr>
      </w:pPr>
      <w:r w:rsidRPr="009B0524">
        <w:rPr>
          <w:i/>
        </w:rPr>
        <w:fldChar w:fldCharType="begin"/>
      </w:r>
      <w:r w:rsidRPr="009B0524">
        <w:rPr>
          <w:i/>
        </w:rPr>
        <w:instrText xml:space="preserve"> TC"(</w:instrText>
      </w:r>
      <w:bookmarkStart w:id="2" w:name="DocNumber"/>
      <w:r w:rsidRPr="009B0524">
        <w:rPr>
          <w:i/>
        </w:rPr>
        <w:instrText>A9-0426/2023</w:instrText>
      </w:r>
      <w:bookmarkEnd w:id="2"/>
      <w:r w:rsidRPr="009B0524">
        <w:rPr>
          <w:i/>
        </w:rPr>
        <w:instrText xml:space="preserve"> - Esittelijä: Lina Gálvez Muñoz)"\l3 \n&gt; \* MERGEFORMAT </w:instrText>
      </w:r>
      <w:r w:rsidRPr="009B0524">
        <w:rPr>
          <w:i/>
        </w:rPr>
        <w:fldChar w:fldCharType="end"/>
      </w:r>
    </w:p>
    <w:p w14:paraId="6C5C73FB" w14:textId="77777777" w:rsidR="00F50946" w:rsidRPr="009B0524" w:rsidRDefault="00F50946" w:rsidP="00F50946">
      <w:pPr>
        <w:rPr>
          <w:vanish/>
        </w:rPr>
      </w:pPr>
      <w:bookmarkStart w:id="3" w:name="Commission"/>
      <w:r w:rsidRPr="009B0524">
        <w:rPr>
          <w:vanish/>
        </w:rPr>
        <w:t>Teollisuus-, tutkimus- ja energiavaliokunta</w:t>
      </w:r>
      <w:bookmarkEnd w:id="3"/>
    </w:p>
    <w:p w14:paraId="31DA5DA5" w14:textId="77777777" w:rsidR="00F50946" w:rsidRPr="009B0524" w:rsidRDefault="00F50946" w:rsidP="00F50946">
      <w:pPr>
        <w:rPr>
          <w:vanish/>
        </w:rPr>
      </w:pPr>
      <w:bookmarkStart w:id="4" w:name="PE"/>
      <w:r w:rsidRPr="009B0524">
        <w:rPr>
          <w:vanish/>
        </w:rPr>
        <w:t>PE752.795</w:t>
      </w:r>
      <w:bookmarkEnd w:id="4"/>
    </w:p>
    <w:p w14:paraId="2147475A" w14:textId="77777777" w:rsidR="00F50946" w:rsidRPr="009B0524" w:rsidRDefault="00F50946" w:rsidP="00F50946">
      <w:pPr>
        <w:pStyle w:val="ATHeading3"/>
      </w:pPr>
      <w:bookmarkStart w:id="5" w:name="Sujet"/>
      <w:r w:rsidRPr="009B0524">
        <w:t xml:space="preserve">Euroopan parlamentin lainsäädäntöpäätöslauselma </w:t>
      </w:r>
      <w:r w:rsidR="001F0AC8" w:rsidRPr="009B0524">
        <w:t>24</w:t>
      </w:r>
      <w:r w:rsidRPr="009B0524">
        <w:t>. huhtikuuta 2024 ehdotuksesta Euroopan parlamentin ja neuvoston asetukseksi toimenpiteistä solidaarisuuden ja valmiuksien vahvistamiseksi unionissa kyberturvallisuusuhkien ja -poikkeamien havaitsemista sekä niihin varautumista ja reagoimista varten</w:t>
      </w:r>
      <w:bookmarkEnd w:id="5"/>
      <w:r w:rsidRPr="009B0524">
        <w:t xml:space="preserve"> </w:t>
      </w:r>
      <w:bookmarkStart w:id="6" w:name="References"/>
      <w:r w:rsidRPr="009B0524">
        <w:t>(COM(2023)0209 – C9-0136/2023 – 2023/0109(COD))</w:t>
      </w:r>
      <w:bookmarkEnd w:id="6"/>
    </w:p>
    <w:p w14:paraId="46891B51" w14:textId="77777777" w:rsidR="005061BC" w:rsidRPr="009B0524" w:rsidRDefault="005061BC" w:rsidP="005061BC">
      <w:pPr>
        <w:pStyle w:val="NormalBold"/>
      </w:pPr>
      <w:bookmarkStart w:id="7" w:name="TextBodyBegin"/>
      <w:bookmarkEnd w:id="7"/>
      <w:r w:rsidRPr="009B0524">
        <w:t>(Tavallinen lainsäätämisjärjestys: ensimmäinen käsittely)</w:t>
      </w:r>
    </w:p>
    <w:p w14:paraId="14E9C12E" w14:textId="77777777" w:rsidR="005061BC" w:rsidRPr="009B0524" w:rsidRDefault="005061BC" w:rsidP="005061BC">
      <w:pPr>
        <w:pStyle w:val="EPComma"/>
      </w:pPr>
      <w:r w:rsidRPr="009B0524">
        <w:rPr>
          <w:i/>
          <w:iCs/>
        </w:rPr>
        <w:t>Euroopan parlamentti</w:t>
      </w:r>
      <w:r w:rsidRPr="009B0524">
        <w:t>, joka</w:t>
      </w:r>
    </w:p>
    <w:p w14:paraId="66A4B183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komission ehdotuksen Euroopan parlamentille ja neuvostolle (COM(2023)0209),</w:t>
      </w:r>
    </w:p>
    <w:p w14:paraId="573AEA72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Euroopan unionin toiminnasta tehdyn sopimuksen 294 artiklan 2 kohdan sekä 173 artiklan 3 kohdan ja 322 artiklan 1 kohdan a alakohdan, joiden mukaisesti komissio on antanut ehdotuksen Euroopan parlamentille (C9</w:t>
      </w:r>
      <w:r w:rsidRPr="009B0524">
        <w:noBreakHyphen/>
        <w:t>0136/2023),</w:t>
      </w:r>
    </w:p>
    <w:p w14:paraId="0A40FAEC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Euroopan unionin toiminnasta tehdyn sopimuksen 294 artiklan 3 kohdan,</w:t>
      </w:r>
    </w:p>
    <w:p w14:paraId="79E6EB99" w14:textId="77777777" w:rsidR="00847F67" w:rsidRPr="009B0524" w:rsidRDefault="00847F67" w:rsidP="008D0018">
      <w:pPr>
        <w:pStyle w:val="NormalHanging12a"/>
        <w:widowControl/>
      </w:pPr>
      <w:r w:rsidRPr="009B0524">
        <w:t>–</w:t>
      </w:r>
      <w:r w:rsidRPr="009B0524">
        <w:tab/>
        <w:t>ottaa huomioon tilintarkastustuomioistuimen 18. huhtikuuta 2023 antaman lausunnon</w:t>
      </w:r>
      <w:r w:rsidRPr="009B0524">
        <w:rPr>
          <w:rStyle w:val="FootnoteReference"/>
        </w:rPr>
        <w:footnoteReference w:id="1"/>
      </w:r>
      <w:r w:rsidRPr="009B0524">
        <w:t>,</w:t>
      </w:r>
    </w:p>
    <w:p w14:paraId="2AE951CE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Euroopan talous- ja sosiaalikomitean 13. heinäkuuta 2023 antaman lausunnon</w:t>
      </w:r>
      <w:r w:rsidRPr="009B0524">
        <w:rPr>
          <w:rStyle w:val="FootnoteReference"/>
        </w:rPr>
        <w:footnoteReference w:id="2"/>
      </w:r>
      <w:r w:rsidRPr="009B0524">
        <w:t>,</w:t>
      </w:r>
    </w:p>
    <w:p w14:paraId="53F4242D" w14:textId="77777777" w:rsidR="001F0AC8" w:rsidRPr="009B0524" w:rsidRDefault="001F0AC8" w:rsidP="005061BC">
      <w:pPr>
        <w:pStyle w:val="NormalHanging12a"/>
      </w:pPr>
      <w:r w:rsidRPr="009B0524">
        <w:t>–</w:t>
      </w:r>
      <w:r w:rsidRPr="009B0524">
        <w:tab/>
        <w:t>ottaa huomioon alueiden komitean 30. marraskuuta 2023 antaman lausunnon</w:t>
      </w:r>
      <w:r w:rsidRPr="009B0524">
        <w:rPr>
          <w:rStyle w:val="FootnoteReference"/>
        </w:rPr>
        <w:footnoteReference w:id="3"/>
      </w:r>
      <w:r w:rsidRPr="009B0524">
        <w:t>,</w:t>
      </w:r>
    </w:p>
    <w:p w14:paraId="581CB21B" w14:textId="77777777" w:rsidR="001F0AC8" w:rsidRPr="009B0524" w:rsidRDefault="001F0AC8" w:rsidP="005061BC">
      <w:pPr>
        <w:pStyle w:val="NormalHanging12a"/>
      </w:pPr>
      <w:r w:rsidRPr="009B0524">
        <w:t>–</w:t>
      </w:r>
      <w:r w:rsidRPr="009B0524">
        <w:tab/>
        <w:t>ottaa huomioon asiasta vastaavan valiokunnan työjärjestyksen 74 artiklan 4 kohdan mukaisesti hyväksymän alustavan sopimuksen sekä neuvoston edustajan 21. maaliskuuta 2024 päivätyllä kirjeellä antaman sitoumuksen hyväksyä Euroopan parlamentin kanta Euroopan unionin toiminnasta tehdyn sopimuksen 294 artiklan 4 kohdan mukaisesti,</w:t>
      </w:r>
    </w:p>
    <w:p w14:paraId="5FE994E4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työjärjestyksen 59 artiklan,</w:t>
      </w:r>
    </w:p>
    <w:p w14:paraId="1F01DBED" w14:textId="77777777" w:rsidR="005061BC" w:rsidRPr="009B0524" w:rsidRDefault="005061BC" w:rsidP="005061BC">
      <w:pPr>
        <w:pStyle w:val="NormalHanging12a"/>
      </w:pPr>
      <w:r w:rsidRPr="009B0524">
        <w:lastRenderedPageBreak/>
        <w:t>–</w:t>
      </w:r>
      <w:r w:rsidRPr="009B0524">
        <w:tab/>
        <w:t xml:space="preserve">ottaa huomioon ulkoasiainvaliokunnan ja liikenne- ja matkailuvaliokunnan lausunnot, </w:t>
      </w:r>
    </w:p>
    <w:p w14:paraId="255ED88F" w14:textId="77777777" w:rsidR="005061BC" w:rsidRPr="009B0524" w:rsidRDefault="005061BC" w:rsidP="005061BC">
      <w:pPr>
        <w:pStyle w:val="NormalHanging12a"/>
      </w:pPr>
      <w:r w:rsidRPr="009B0524">
        <w:t>–</w:t>
      </w:r>
      <w:r w:rsidRPr="009B0524">
        <w:tab/>
        <w:t>ottaa huomioon teollisuus-, tutkimus- ja energiavaliokunnan mietinnön (A9-0426/2023),</w:t>
      </w:r>
    </w:p>
    <w:p w14:paraId="42A6A809" w14:textId="77777777" w:rsidR="00C74442" w:rsidRPr="009B0524" w:rsidRDefault="005061BC" w:rsidP="005061BC">
      <w:pPr>
        <w:pStyle w:val="NormalHanging12a"/>
      </w:pPr>
      <w:r w:rsidRPr="009B0524">
        <w:t>1.</w:t>
      </w:r>
      <w:r w:rsidRPr="009B0524">
        <w:tab/>
        <w:t>vahvistaa jäljempänä esitetyn ensimmäisen käsittelyn kannan;</w:t>
      </w:r>
    </w:p>
    <w:p w14:paraId="0E89430E" w14:textId="77777777" w:rsidR="005061BC" w:rsidRPr="009B0524" w:rsidRDefault="005061BC" w:rsidP="005061BC">
      <w:pPr>
        <w:pStyle w:val="NormalHanging12a"/>
      </w:pPr>
      <w:r w:rsidRPr="009B0524">
        <w:t>2.</w:t>
      </w:r>
      <w:r w:rsidRPr="009B0524">
        <w:tab/>
      </w:r>
      <w:r w:rsidR="00C74442" w:rsidRPr="009B0524">
        <w:t xml:space="preserve">panee merkille tämän päätöslauselman liitteenä olevan komission lausuman, joka julkaistaan </w:t>
      </w:r>
      <w:r w:rsidR="00C74442" w:rsidRPr="009B0524">
        <w:rPr>
          <w:i/>
        </w:rPr>
        <w:t>Euroopan unionin virallisen lehden</w:t>
      </w:r>
      <w:r w:rsidR="00C74442" w:rsidRPr="009B0524">
        <w:t xml:space="preserve"> C-sarjassa</w:t>
      </w:r>
      <w:r w:rsidRPr="009B0524">
        <w:t>;</w:t>
      </w:r>
    </w:p>
    <w:p w14:paraId="42DE2523" w14:textId="77777777" w:rsidR="005061BC" w:rsidRPr="009B0524" w:rsidRDefault="005061BC" w:rsidP="005061BC">
      <w:pPr>
        <w:pStyle w:val="NormalHanging12a"/>
      </w:pPr>
      <w:r w:rsidRPr="009B0524">
        <w:t>3.</w:t>
      </w:r>
      <w:r w:rsidRPr="009B0524">
        <w:tab/>
        <w:t>pyytää komissiota antamaan asian uudelleen Euroopan parlamentin käsiteltäväksi, jos se korvaa ehdotuksensa, muuttaa sitä huomattavasti tai aikoo muuttaa sitä huomattavasti;</w:t>
      </w:r>
    </w:p>
    <w:p w14:paraId="5F437A44" w14:textId="77777777" w:rsidR="00FE1C11" w:rsidRDefault="005061BC" w:rsidP="005061BC">
      <w:pPr>
        <w:pStyle w:val="NormalHanging12a"/>
      </w:pPr>
      <w:r w:rsidRPr="009B0524">
        <w:t>4.</w:t>
      </w:r>
      <w:r w:rsidRPr="009B0524">
        <w:tab/>
        <w:t>kehottaa puhemiestä välittämään parlamentin kannan neuvostolle ja komissiolle sekä kansallisille parlamenteille.</w:t>
      </w:r>
    </w:p>
    <w:p w14:paraId="3AB678A4" w14:textId="77777777" w:rsidR="00F4575E" w:rsidRPr="009B0524" w:rsidRDefault="00F4575E" w:rsidP="005061BC">
      <w:pPr>
        <w:pStyle w:val="NormalHanging12a"/>
        <w:sectPr w:rsidR="00F4575E" w:rsidRPr="009B0524" w:rsidSect="00FE1C11">
          <w:footerReference w:type="even" r:id="rId9"/>
          <w:footerReference w:type="first" r:id="rId10"/>
          <w:footnotePr>
            <w:numRestart w:val="eachSect"/>
          </w:footnotePr>
          <w:pgSz w:w="11909" w:h="16834"/>
          <w:pgMar w:top="1134" w:right="1134" w:bottom="1134" w:left="1134" w:header="1134" w:footer="567" w:gutter="0"/>
          <w:cols w:space="720"/>
          <w:docGrid w:linePitch="326"/>
        </w:sectPr>
      </w:pPr>
    </w:p>
    <w:p w14:paraId="053F01AD" w14:textId="77777777" w:rsidR="00FE1C11" w:rsidRPr="009B0524" w:rsidRDefault="00FE1C11" w:rsidP="00FE1C11">
      <w:pPr>
        <w:spacing w:after="240"/>
        <w:rPr>
          <w:b/>
          <w:szCs w:val="24"/>
        </w:rPr>
      </w:pPr>
      <w:r w:rsidRPr="009B0524">
        <w:rPr>
          <w:b/>
          <w:szCs w:val="24"/>
        </w:rPr>
        <w:lastRenderedPageBreak/>
        <w:t>P9_TC1-COD(2023)0109</w:t>
      </w:r>
    </w:p>
    <w:p w14:paraId="5D2FF202" w14:textId="77777777" w:rsidR="004928D2" w:rsidRDefault="00FE1C11" w:rsidP="004928D2">
      <w:pPr>
        <w:rPr>
          <w:b/>
          <w:szCs w:val="24"/>
          <w:lang w:eastAsia="en-US"/>
        </w:rPr>
      </w:pPr>
      <w:r w:rsidRPr="009B0524">
        <w:rPr>
          <w:b/>
          <w:szCs w:val="24"/>
        </w:rPr>
        <w:t xml:space="preserve">Euroopan parlamentin kanta, vahvistettu ensimmäisessä käsittelyssä 24. huhtikuuta 2024, Euroopan parlamentin </w:t>
      </w:r>
      <w:r w:rsidR="00694FD7">
        <w:rPr>
          <w:b/>
          <w:szCs w:val="24"/>
        </w:rPr>
        <w:t>ja neuvoston asetuksen (EU) 2025</w:t>
      </w:r>
      <w:r w:rsidRPr="009B0524">
        <w:rPr>
          <w:b/>
          <w:szCs w:val="24"/>
        </w:rPr>
        <w:t xml:space="preserve">/… antamiseksi </w:t>
      </w:r>
      <w:r w:rsidR="004928D2" w:rsidRPr="009B0524">
        <w:rPr>
          <w:b/>
          <w:szCs w:val="24"/>
          <w:lang w:eastAsia="en-US"/>
        </w:rPr>
        <w:t xml:space="preserve">toimenpiteistä </w:t>
      </w:r>
      <w:r w:rsidR="004928D2" w:rsidRPr="00694FD7">
        <w:rPr>
          <w:b/>
          <w:szCs w:val="24"/>
          <w:lang w:eastAsia="en-US"/>
        </w:rPr>
        <w:t xml:space="preserve">solidaarisuuden ja valmiuksien vahvistamiseksi unionissa kyberuhkien ja poikkeamien havaitsemista sekä niihin varautumista ja reagoimista varten ja </w:t>
      </w:r>
      <w:bookmarkStart w:id="8" w:name="_Hlk179548523"/>
      <w:r w:rsidR="004928D2" w:rsidRPr="00694FD7">
        <w:rPr>
          <w:b/>
          <w:szCs w:val="24"/>
          <w:lang w:eastAsia="en-US"/>
        </w:rPr>
        <w:t xml:space="preserve">asetuksen (EU) 2021/694 </w:t>
      </w:r>
      <w:bookmarkEnd w:id="8"/>
      <w:r w:rsidR="004928D2" w:rsidRPr="00694FD7">
        <w:rPr>
          <w:b/>
          <w:szCs w:val="24"/>
          <w:lang w:eastAsia="en-US"/>
        </w:rPr>
        <w:t>muuttamisesta (</w:t>
      </w:r>
      <w:r w:rsidR="004928D2" w:rsidRPr="00694FD7">
        <w:rPr>
          <w:b/>
          <w:iCs/>
          <w:szCs w:val="24"/>
          <w:lang w:eastAsia="en-US"/>
        </w:rPr>
        <w:t>kybersolidaarisuussäädös</w:t>
      </w:r>
      <w:r w:rsidR="004928D2" w:rsidRPr="00694FD7">
        <w:rPr>
          <w:b/>
          <w:szCs w:val="24"/>
          <w:lang w:eastAsia="en-US"/>
        </w:rPr>
        <w:t>)</w:t>
      </w:r>
    </w:p>
    <w:p w14:paraId="13641E5B" w14:textId="77777777" w:rsidR="00FA2FB2" w:rsidRDefault="00694FD7" w:rsidP="00694FD7">
      <w:pPr>
        <w:suppressAutoHyphens/>
        <w:spacing w:before="120" w:after="120"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2025</w:t>
      </w:r>
      <w:r w:rsidRPr="002F34F6">
        <w:rPr>
          <w:i/>
          <w:szCs w:val="24"/>
        </w:rPr>
        <w:t>/</w:t>
      </w:r>
      <w:r>
        <w:rPr>
          <w:i/>
          <w:szCs w:val="24"/>
        </w:rPr>
        <w:t>38.</w:t>
      </w:r>
      <w:r w:rsidRPr="008046BC">
        <w:rPr>
          <w:i/>
          <w:szCs w:val="24"/>
        </w:rPr>
        <w:t>)</w:t>
      </w:r>
    </w:p>
    <w:p w14:paraId="02ED448E" w14:textId="77777777" w:rsidR="00FA2FB2" w:rsidRDefault="00FA2FB2">
      <w:pPr>
        <w:widowControl/>
        <w:rPr>
          <w:i/>
          <w:szCs w:val="24"/>
        </w:rPr>
      </w:pPr>
      <w:r>
        <w:rPr>
          <w:i/>
          <w:szCs w:val="24"/>
        </w:rPr>
        <w:br w:type="page"/>
      </w:r>
    </w:p>
    <w:p w14:paraId="636BB79A" w14:textId="77777777" w:rsidR="00FA2FB2" w:rsidRPr="008D0018" w:rsidRDefault="00FA2FB2" w:rsidP="00FA2FB2">
      <w:pPr>
        <w:widowControl/>
        <w:spacing w:before="120" w:after="120" w:line="360" w:lineRule="auto"/>
        <w:jc w:val="right"/>
      </w:pPr>
      <w:r w:rsidRPr="008D0018">
        <w:lastRenderedPageBreak/>
        <w:t>LAINSÄÄDÄNTÖPÄÄTÖSLAUSELMAN LIITE</w:t>
      </w:r>
    </w:p>
    <w:p w14:paraId="366F7BBF" w14:textId="74E51F79" w:rsidR="00FA2FB2" w:rsidRPr="008D0018" w:rsidRDefault="00FA2FB2" w:rsidP="00FA2FB2">
      <w:pPr>
        <w:widowControl/>
        <w:spacing w:before="120" w:after="120" w:line="360" w:lineRule="auto"/>
        <w:jc w:val="center"/>
        <w:rPr>
          <w:b/>
          <w:i/>
          <w:iCs/>
        </w:rPr>
      </w:pPr>
      <w:r w:rsidRPr="008D0018">
        <w:rPr>
          <w:b/>
          <w:i/>
          <w:iCs/>
          <w:szCs w:val="24"/>
        </w:rPr>
        <w:t xml:space="preserve">Komission lausuma määrärahoista, jotka liittyvät </w:t>
      </w:r>
      <w:r>
        <w:rPr>
          <w:b/>
          <w:i/>
          <w:iCs/>
          <w:szCs w:val="24"/>
        </w:rPr>
        <w:t xml:space="preserve">19 päivänä joulukuuta </w:t>
      </w:r>
      <w:r w:rsidR="008609E4">
        <w:rPr>
          <w:b/>
          <w:i/>
          <w:iCs/>
          <w:szCs w:val="24"/>
        </w:rPr>
        <w:t xml:space="preserve">2024 </w:t>
      </w:r>
      <w:r>
        <w:rPr>
          <w:b/>
          <w:i/>
          <w:iCs/>
          <w:szCs w:val="24"/>
        </w:rPr>
        <w:t xml:space="preserve">annettuun </w:t>
      </w:r>
      <w:r w:rsidRPr="008D0018">
        <w:rPr>
          <w:b/>
          <w:i/>
          <w:iCs/>
          <w:szCs w:val="24"/>
        </w:rPr>
        <w:t xml:space="preserve">Euroopan parlamentin ja neuvoston asetukseen </w:t>
      </w:r>
      <w:r w:rsidRPr="00867056">
        <w:rPr>
          <w:b/>
          <w:i/>
          <w:iCs/>
        </w:rPr>
        <w:t>(EU) 2025/38</w:t>
      </w:r>
      <w:r>
        <w:rPr>
          <w:b/>
          <w:i/>
          <w:iCs/>
        </w:rPr>
        <w:t xml:space="preserve"> </w:t>
      </w:r>
      <w:r w:rsidRPr="008D0018">
        <w:rPr>
          <w:b/>
          <w:i/>
          <w:iCs/>
          <w:szCs w:val="24"/>
        </w:rPr>
        <w:t>toimenpiteistä solidaarisuuden ja valmiuksien vahvistamiseksi unionissa kyberturvallisuusuhkien ja -poikkeamien havaitsemista sekä niihin varautumista ja reagoimista varten (kybersolidaarisuussäädös)</w:t>
      </w:r>
      <w:r>
        <w:rPr>
          <w:rStyle w:val="FootnoteReference"/>
          <w:b/>
          <w:i/>
          <w:iCs/>
          <w:szCs w:val="24"/>
        </w:rPr>
        <w:footnoteReference w:id="4"/>
      </w:r>
    </w:p>
    <w:p w14:paraId="6DEB0EF9" w14:textId="77777777" w:rsidR="00FA2FB2" w:rsidRPr="008D0018" w:rsidRDefault="00FA2FB2" w:rsidP="00FA2FB2">
      <w:pPr>
        <w:pStyle w:val="BodyText"/>
        <w:widowControl/>
        <w:kinsoku w:val="0"/>
        <w:overflowPunct w:val="0"/>
        <w:spacing w:before="120" w:after="120" w:line="360" w:lineRule="auto"/>
        <w:ind w:left="851" w:hanging="851"/>
        <w:rPr>
          <w:iCs/>
        </w:rPr>
      </w:pPr>
      <w:r w:rsidRPr="008D0018">
        <w:t>1.</w:t>
      </w:r>
      <w:r w:rsidRPr="008D0018">
        <w:tab/>
        <w:t>Kybersolidaarisuussäädösehdotukseen liittyvä komission rahoitusselvitys julkaistiin huhtikuussa 2023. Arvioidut määrät ovat sittemmin muuttuneet muiden säädösten hyväksymisen tai odotettavissa olevan hyväksymisen vuoksi.</w:t>
      </w:r>
    </w:p>
    <w:p w14:paraId="6DAA5653" w14:textId="77777777" w:rsidR="00FA2FB2" w:rsidRPr="008D0018" w:rsidRDefault="00FA2FB2" w:rsidP="00FA2FB2">
      <w:pPr>
        <w:pStyle w:val="BodyText"/>
        <w:widowControl/>
        <w:kinsoku w:val="0"/>
        <w:overflowPunct w:val="0"/>
        <w:spacing w:before="120" w:after="120" w:line="360" w:lineRule="auto"/>
        <w:ind w:left="851" w:hanging="851"/>
        <w:rPr>
          <w:iCs/>
        </w:rPr>
      </w:pPr>
      <w:r w:rsidRPr="008D0018">
        <w:rPr>
          <w:iCs/>
        </w:rPr>
        <w:t>2.</w:t>
      </w:r>
      <w:r w:rsidRPr="008D0018">
        <w:rPr>
          <w:iCs/>
        </w:rPr>
        <w:tab/>
        <w:t>Lainsäätäjät pääsivät 5 päivänä maaliskuuta 2024 alustavaan poliittiseen yhteisymmärrykseen siitä, että säädökseen liittyvässä rahoitusselvityksessä esitetystä Digitaalinen Eurooppa -ohjelman erityistavoitteesta 4 ”Pitkälle viety digitaalinen osaaminen” kohdennetaan uudelleen 22 miljoonaa euroa erityistavoitteeseen 3 ”Kyberturvallisuus ja luottamus”.</w:t>
      </w:r>
    </w:p>
    <w:p w14:paraId="3ABE8F56" w14:textId="77777777" w:rsidR="00FA2FB2" w:rsidRPr="008D0018" w:rsidRDefault="00FA2FB2" w:rsidP="00FA2FB2">
      <w:pPr>
        <w:pStyle w:val="BodyText"/>
        <w:widowControl/>
        <w:kinsoku w:val="0"/>
        <w:overflowPunct w:val="0"/>
        <w:spacing w:before="120" w:after="120" w:line="360" w:lineRule="auto"/>
        <w:ind w:left="851" w:hanging="851"/>
        <w:rPr>
          <w:iCs/>
        </w:rPr>
      </w:pPr>
      <w:r w:rsidRPr="008D0018">
        <w:rPr>
          <w:iCs/>
        </w:rPr>
        <w:t>3.</w:t>
      </w:r>
      <w:r w:rsidRPr="008D0018">
        <w:rPr>
          <w:iCs/>
        </w:rPr>
        <w:tab/>
        <w:t>Alustavan poliittisen yhteisymmärryksen ehtojen huomioon ottamiseksi komissio päivitti kybersolidaarisuussäädökseen liittyvää rahoitusselvitystä erityistavoitteiden 2 ”Tekoäly”, 3 ”Kyberturvallisuus ja luottamus” ja 4 ”Pitkälle viety digitaalinen osaaminen” määrärahojen osalta ottaen huomioon lainsäätäjien sopimat uudelleenkohdentamiset.</w:t>
      </w:r>
    </w:p>
    <w:p w14:paraId="3B8DA059" w14:textId="77777777" w:rsidR="00FA2FB2" w:rsidRPr="008D0018" w:rsidRDefault="00FA2FB2" w:rsidP="00FA2FB2">
      <w:pPr>
        <w:pStyle w:val="BodyText"/>
        <w:widowControl/>
        <w:kinsoku w:val="0"/>
        <w:overflowPunct w:val="0"/>
        <w:spacing w:before="120" w:after="120" w:line="360" w:lineRule="auto"/>
        <w:ind w:left="851" w:hanging="851"/>
        <w:rPr>
          <w:iCs/>
        </w:rPr>
      </w:pPr>
      <w:r w:rsidRPr="008D0018">
        <w:rPr>
          <w:iCs/>
        </w:rPr>
        <w:t>4.</w:t>
      </w:r>
      <w:r w:rsidRPr="008D0018">
        <w:rPr>
          <w:iCs/>
        </w:rPr>
        <w:tab/>
        <w:t>Päivitetyssä rahoitusselvityksessä esitetyt vuosien 2025–2027 määrärahat ovat näin ollen seuraavat, sanotun kuitenkaan rajoittamatta komission toimivaltaa vuotuisessa talousarviomenettelyssä:</w:t>
      </w:r>
    </w:p>
    <w:p w14:paraId="434D4276" w14:textId="77777777" w:rsidR="00FA2FB2" w:rsidRPr="008D0018" w:rsidRDefault="00FA2FB2" w:rsidP="00FA2FB2">
      <w:pPr>
        <w:widowControl/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hanging="567"/>
        <w:rPr>
          <w:iCs/>
          <w:szCs w:val="24"/>
        </w:rPr>
      </w:pPr>
      <w:r w:rsidRPr="008D0018">
        <w:t>–</w:t>
      </w:r>
      <w:r w:rsidRPr="008D0018">
        <w:tab/>
      </w:r>
      <w:r w:rsidRPr="008D0018">
        <w:rPr>
          <w:iCs/>
          <w:szCs w:val="24"/>
        </w:rPr>
        <w:t>[544 726 000 euroa] erityistavoitteeseen 2 ”Tekoäly”, ottaen huomioon 65 miljoonaa euroa, jotka on kohdennettu uudelleen erityistavoitteeseen 3 ”Kyberturvallisuus ja luottamus”;</w:t>
      </w:r>
    </w:p>
    <w:p w14:paraId="05FB7154" w14:textId="77777777" w:rsidR="00FA2FB2" w:rsidRPr="008D0018" w:rsidRDefault="00FA2FB2" w:rsidP="00FA2FB2">
      <w:pPr>
        <w:widowControl/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hanging="567"/>
        <w:rPr>
          <w:iCs/>
          <w:szCs w:val="24"/>
        </w:rPr>
      </w:pPr>
      <w:r w:rsidRPr="008D0018">
        <w:t>–</w:t>
      </w:r>
      <w:r w:rsidRPr="008D0018">
        <w:tab/>
      </w:r>
      <w:r w:rsidRPr="008D0018">
        <w:rPr>
          <w:iCs/>
          <w:szCs w:val="24"/>
        </w:rPr>
        <w:t>[44 451 000 euroa] erityistavoitteeseen 3 ”Kyberturvallisuus ja luottamus” – komission suoraan hallinnoima osa, johon sisältyy 26 miljoonaa euroa, jotka on kohdennettu uudelleen erityistavoitteista 2 ja 4.</w:t>
      </w:r>
    </w:p>
    <w:p w14:paraId="1A37496F" w14:textId="77777777" w:rsidR="00FA2FB2" w:rsidRPr="008D0018" w:rsidRDefault="00FA2FB2" w:rsidP="00FA2FB2">
      <w:pPr>
        <w:widowControl/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hanging="567"/>
        <w:rPr>
          <w:iCs/>
          <w:szCs w:val="24"/>
        </w:rPr>
      </w:pPr>
      <w:r w:rsidRPr="008D0018">
        <w:t>–</w:t>
      </w:r>
      <w:r w:rsidRPr="008D0018">
        <w:tab/>
      </w:r>
      <w:r w:rsidRPr="008D0018">
        <w:rPr>
          <w:iCs/>
          <w:szCs w:val="24"/>
        </w:rPr>
        <w:t xml:space="preserve">[353 190 613 euroa] erityistavoitteeseen 3 ”Kyberturvallisuus ja luottamus” – Euroopan kyberturvallisuuden osaamiskeskuksen hallinnoima osa, johon </w:t>
      </w:r>
      <w:r w:rsidRPr="008D0018">
        <w:rPr>
          <w:iCs/>
          <w:szCs w:val="24"/>
        </w:rPr>
        <w:lastRenderedPageBreak/>
        <w:t>sisältyy 61 miljoonaa euroa, jotka on kohdennettu uudelleen erityistavoitteista 2 ja 4.</w:t>
      </w:r>
    </w:p>
    <w:p w14:paraId="5608D75A" w14:textId="77777777" w:rsidR="00FA2FB2" w:rsidRPr="008D0018" w:rsidRDefault="00FA2FB2" w:rsidP="00FA2FB2">
      <w:pPr>
        <w:widowControl/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hanging="567"/>
        <w:rPr>
          <w:iCs/>
          <w:szCs w:val="24"/>
        </w:rPr>
      </w:pPr>
      <w:r w:rsidRPr="008D0018">
        <w:t>–</w:t>
      </w:r>
      <w:r w:rsidRPr="008D0018">
        <w:tab/>
      </w:r>
      <w:r w:rsidRPr="008D0018">
        <w:rPr>
          <w:iCs/>
          <w:szCs w:val="24"/>
        </w:rPr>
        <w:t>[167 162 423 euroa] erityistavoitteeseen 4 ”Pitkälle viety digitaalinen osaaminen”, ottaen huomioon 22 miljoonaa euroa, jotka on kohdennettu uudelleen erityistavoitteeseen 3 ”Kyberturvallisuus ja luottamus”.</w:t>
      </w:r>
    </w:p>
    <w:p w14:paraId="2C3A8218" w14:textId="77777777" w:rsidR="00FE1C11" w:rsidRPr="009B0524" w:rsidRDefault="00FA2FB2" w:rsidP="00FA2FB2">
      <w:pPr>
        <w:widowControl/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hanging="851"/>
      </w:pPr>
      <w:r w:rsidRPr="008D0018">
        <w:t>5.</w:t>
      </w:r>
      <w:r w:rsidRPr="008D0018">
        <w:tab/>
      </w:r>
      <w:r w:rsidRPr="008D0018">
        <w:rPr>
          <w:iCs/>
          <w:szCs w:val="24"/>
        </w:rPr>
        <w:t>EU:n kyberturvallisuusreservi rahoitetaan erityistavoitteen 3 ”Kyberturvallisuus ja luottamus” määrärahoista – komission suoraan hallinnoima osa (säädökseen liittyvän päivitetyn rahoitusselvityksen mukaan määrä on arviolta [44 451 000] euroa).</w:t>
      </w:r>
    </w:p>
    <w:sectPr w:rsidR="00FE1C11" w:rsidRPr="009B0524" w:rsidSect="00B203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24E8" w14:textId="77777777" w:rsidR="004928D2" w:rsidRPr="00B203BE" w:rsidRDefault="004928D2">
      <w:r w:rsidRPr="00B203BE">
        <w:separator/>
      </w:r>
    </w:p>
  </w:endnote>
  <w:endnote w:type="continuationSeparator" w:id="0">
    <w:p w14:paraId="2A0CBD63" w14:textId="77777777" w:rsidR="004928D2" w:rsidRPr="00B203BE" w:rsidRDefault="004928D2">
      <w:r w:rsidRPr="00B20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C156" w14:textId="77777777" w:rsidR="004928D2" w:rsidRPr="00BE5E04" w:rsidRDefault="004928D2">
    <w:pPr>
      <w:pStyle w:val="Footer1"/>
    </w:pPr>
    <w:r>
      <w:rPr>
        <w:rStyle w:val="Footer2"/>
      </w:rPr>
      <w:t>FI</w:t>
    </w:r>
    <w:r>
      <w:tab/>
    </w:r>
    <w:r w:rsidRPr="00BE5E04">
      <w:fldChar w:fldCharType="begin"/>
    </w:r>
    <w:r w:rsidRPr="00BE5E04">
      <w:instrText xml:space="preserve"> PAGE </w:instrText>
    </w:r>
    <w:r w:rsidRPr="00BE5E04">
      <w:fldChar w:fldCharType="separate"/>
    </w:r>
    <w:r>
      <w:rPr>
        <w:noProof/>
      </w:rPr>
      <w:t>140</w:t>
    </w:r>
    <w:r w:rsidRPr="00BE5E04">
      <w:fldChar w:fldCharType="end"/>
    </w:r>
    <w:r>
      <w:tab/>
    </w:r>
    <w:r>
      <w:rPr>
        <w:rStyle w:val="Footer2"/>
      </w:rPr>
      <w:t>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C0C5" w14:textId="77777777" w:rsidR="004928D2" w:rsidRPr="00BE5E04" w:rsidRDefault="004928D2">
    <w:pPr>
      <w:pStyle w:val="Footer1"/>
    </w:pPr>
    <w:r>
      <w:rPr>
        <w:rStyle w:val="Footer2"/>
      </w:rPr>
      <w:t>FI</w:t>
    </w:r>
    <w:r>
      <w:tab/>
    </w:r>
    <w:r w:rsidRPr="00BE5E04">
      <w:fldChar w:fldCharType="begin"/>
    </w:r>
    <w:r w:rsidRPr="00BE5E04">
      <w:instrText xml:space="preserve"> PAGE </w:instrText>
    </w:r>
    <w:r w:rsidRPr="00BE5E04">
      <w:fldChar w:fldCharType="separate"/>
    </w:r>
    <w:r>
      <w:rPr>
        <w:noProof/>
      </w:rPr>
      <w:t>140</w:t>
    </w:r>
    <w:r w:rsidRPr="00BE5E04">
      <w:fldChar w:fldCharType="end"/>
    </w:r>
    <w:r>
      <w:tab/>
    </w:r>
    <w:r>
      <w:rPr>
        <w:rStyle w:val="Footer2"/>
      </w:rPr>
      <w:t>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6623" w14:textId="77777777" w:rsidR="004928D2" w:rsidRPr="00B203BE" w:rsidRDefault="004928D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FC02" w14:textId="77777777" w:rsidR="004928D2" w:rsidRPr="00FA2FB2" w:rsidRDefault="004928D2" w:rsidP="00FA2FB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FB88" w14:textId="77777777" w:rsidR="004928D2" w:rsidRPr="00B203BE" w:rsidRDefault="004928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18" w14:textId="77777777" w:rsidR="004928D2" w:rsidRPr="00B203BE" w:rsidRDefault="004928D2">
      <w:r w:rsidRPr="00B203BE">
        <w:separator/>
      </w:r>
    </w:p>
  </w:footnote>
  <w:footnote w:type="continuationSeparator" w:id="0">
    <w:p w14:paraId="62DE50C2" w14:textId="77777777" w:rsidR="004928D2" w:rsidRPr="00B203BE" w:rsidRDefault="004928D2">
      <w:r w:rsidRPr="00B203BE">
        <w:continuationSeparator/>
      </w:r>
    </w:p>
  </w:footnote>
  <w:footnote w:id="1">
    <w:p w14:paraId="10CEF592" w14:textId="77777777" w:rsidR="004928D2" w:rsidRPr="008D0018" w:rsidRDefault="004928D2" w:rsidP="00847F67">
      <w:pPr>
        <w:pStyle w:val="FootnoteText"/>
        <w:ind w:left="567" w:hanging="567"/>
        <w:rPr>
          <w:sz w:val="24"/>
          <w:szCs w:val="24"/>
          <w:lang w:val="fi-FI"/>
        </w:rPr>
      </w:pPr>
      <w:r w:rsidRPr="008D0018">
        <w:rPr>
          <w:rStyle w:val="FootnoteReference"/>
          <w:sz w:val="24"/>
          <w:szCs w:val="24"/>
        </w:rPr>
        <w:footnoteRef/>
      </w:r>
      <w:r w:rsidRPr="008D0018">
        <w:rPr>
          <w:sz w:val="24"/>
          <w:szCs w:val="24"/>
          <w:lang w:val="fi-FI"/>
        </w:rPr>
        <w:t xml:space="preserve"> </w:t>
      </w:r>
      <w:r w:rsidRPr="008D0018">
        <w:rPr>
          <w:sz w:val="24"/>
          <w:szCs w:val="24"/>
          <w:lang w:val="fi-FI"/>
        </w:rPr>
        <w:tab/>
        <w:t>Ei vielä julkaistu virallisessa lehdessä.</w:t>
      </w:r>
    </w:p>
  </w:footnote>
  <w:footnote w:id="2">
    <w:p w14:paraId="6EAF9151" w14:textId="77777777" w:rsidR="004928D2" w:rsidRPr="008D0018" w:rsidRDefault="004928D2" w:rsidP="00B203BE">
      <w:pPr>
        <w:pStyle w:val="FootnoteText"/>
        <w:ind w:left="567" w:hanging="567"/>
        <w:rPr>
          <w:sz w:val="24"/>
          <w:szCs w:val="24"/>
          <w:lang w:val="fi-FI"/>
        </w:rPr>
      </w:pPr>
      <w:r w:rsidRPr="008D0018">
        <w:rPr>
          <w:rStyle w:val="FootnoteReference"/>
          <w:sz w:val="24"/>
          <w:szCs w:val="24"/>
          <w:lang w:val="fi-FI"/>
        </w:rPr>
        <w:footnoteRef/>
      </w:r>
      <w:r w:rsidRPr="008D0018">
        <w:rPr>
          <w:sz w:val="24"/>
          <w:szCs w:val="24"/>
          <w:lang w:val="fi-FI"/>
        </w:rPr>
        <w:t xml:space="preserve"> </w:t>
      </w:r>
      <w:r w:rsidRPr="008D0018">
        <w:rPr>
          <w:sz w:val="24"/>
          <w:szCs w:val="24"/>
          <w:lang w:val="fi-FI"/>
        </w:rPr>
        <w:tab/>
        <w:t xml:space="preserve">EUVL C </w:t>
      </w:r>
      <w:r w:rsidRPr="00395BA1">
        <w:rPr>
          <w:sz w:val="24"/>
          <w:szCs w:val="24"/>
          <w:lang w:val="fi-FI"/>
        </w:rPr>
        <w:t>349</w:t>
      </w:r>
      <w:r w:rsidRPr="008D0018">
        <w:rPr>
          <w:sz w:val="24"/>
          <w:szCs w:val="24"/>
          <w:lang w:val="fi-FI"/>
        </w:rPr>
        <w:t xml:space="preserve">, </w:t>
      </w:r>
      <w:r w:rsidRPr="00395BA1">
        <w:rPr>
          <w:sz w:val="24"/>
          <w:szCs w:val="24"/>
          <w:lang w:val="fi-FI"/>
        </w:rPr>
        <w:t>29</w:t>
      </w:r>
      <w:r w:rsidRPr="008D0018">
        <w:rPr>
          <w:sz w:val="24"/>
          <w:szCs w:val="24"/>
          <w:lang w:val="fi-FI"/>
        </w:rPr>
        <w:t>.</w:t>
      </w:r>
      <w:r w:rsidRPr="00395BA1">
        <w:rPr>
          <w:sz w:val="24"/>
          <w:szCs w:val="24"/>
          <w:lang w:val="fi-FI"/>
        </w:rPr>
        <w:t>9</w:t>
      </w:r>
      <w:r w:rsidRPr="008D0018">
        <w:rPr>
          <w:sz w:val="24"/>
          <w:szCs w:val="24"/>
          <w:lang w:val="fi-FI"/>
        </w:rPr>
        <w:t>.</w:t>
      </w:r>
      <w:r w:rsidRPr="00395BA1">
        <w:rPr>
          <w:sz w:val="24"/>
          <w:szCs w:val="24"/>
          <w:lang w:val="fi-FI"/>
        </w:rPr>
        <w:t>2023</w:t>
      </w:r>
      <w:r w:rsidRPr="008D0018">
        <w:rPr>
          <w:sz w:val="24"/>
          <w:szCs w:val="24"/>
          <w:lang w:val="fi-FI"/>
        </w:rPr>
        <w:t xml:space="preserve">, s. </w:t>
      </w:r>
      <w:r w:rsidRPr="00395BA1">
        <w:rPr>
          <w:sz w:val="24"/>
          <w:szCs w:val="24"/>
          <w:lang w:val="fi-FI"/>
        </w:rPr>
        <w:t>167</w:t>
      </w:r>
      <w:r w:rsidRPr="008D0018">
        <w:rPr>
          <w:sz w:val="24"/>
          <w:szCs w:val="24"/>
          <w:lang w:val="fi-FI"/>
        </w:rPr>
        <w:t>.</w:t>
      </w:r>
    </w:p>
  </w:footnote>
  <w:footnote w:id="3">
    <w:p w14:paraId="6066C1DE" w14:textId="77777777" w:rsidR="004928D2" w:rsidRPr="008D0018" w:rsidRDefault="004928D2" w:rsidP="008D0018">
      <w:pPr>
        <w:pStyle w:val="FootnoteText"/>
        <w:ind w:left="567" w:hanging="567"/>
        <w:rPr>
          <w:sz w:val="24"/>
          <w:szCs w:val="24"/>
          <w:lang w:val="fi-FI"/>
        </w:rPr>
      </w:pPr>
      <w:r w:rsidRPr="008D0018">
        <w:rPr>
          <w:rStyle w:val="FootnoteReference"/>
          <w:sz w:val="24"/>
          <w:szCs w:val="24"/>
        </w:rPr>
        <w:footnoteRef/>
      </w:r>
      <w:r w:rsidRPr="008D0018">
        <w:rPr>
          <w:sz w:val="24"/>
          <w:szCs w:val="24"/>
          <w:lang w:val="fi-FI"/>
        </w:rPr>
        <w:tab/>
        <w:t>EUVL C, C/</w:t>
      </w:r>
      <w:r w:rsidRPr="00395BA1">
        <w:rPr>
          <w:sz w:val="24"/>
          <w:szCs w:val="24"/>
          <w:lang w:val="fi-FI"/>
        </w:rPr>
        <w:t>2024</w:t>
      </w:r>
      <w:r w:rsidRPr="008D0018">
        <w:rPr>
          <w:sz w:val="24"/>
          <w:szCs w:val="24"/>
          <w:lang w:val="fi-FI"/>
        </w:rPr>
        <w:t>/</w:t>
      </w:r>
      <w:r w:rsidRPr="00395BA1">
        <w:rPr>
          <w:sz w:val="24"/>
          <w:szCs w:val="24"/>
          <w:lang w:val="fi-FI"/>
        </w:rPr>
        <w:t>1049</w:t>
      </w:r>
      <w:r w:rsidRPr="008D0018">
        <w:rPr>
          <w:sz w:val="24"/>
          <w:szCs w:val="24"/>
          <w:lang w:val="fi-FI"/>
        </w:rPr>
        <w:t xml:space="preserve">, </w:t>
      </w:r>
      <w:r w:rsidRPr="00395BA1">
        <w:rPr>
          <w:sz w:val="24"/>
          <w:szCs w:val="24"/>
          <w:lang w:val="fi-FI"/>
        </w:rPr>
        <w:t>9</w:t>
      </w:r>
      <w:r w:rsidRPr="008D0018">
        <w:rPr>
          <w:sz w:val="24"/>
          <w:szCs w:val="24"/>
          <w:lang w:val="fi-FI"/>
        </w:rPr>
        <w:t>.</w:t>
      </w:r>
      <w:r w:rsidRPr="00395BA1">
        <w:rPr>
          <w:sz w:val="24"/>
          <w:szCs w:val="24"/>
          <w:lang w:val="fi-FI"/>
        </w:rPr>
        <w:t>2</w:t>
      </w:r>
      <w:r w:rsidRPr="008D0018">
        <w:rPr>
          <w:sz w:val="24"/>
          <w:szCs w:val="24"/>
          <w:lang w:val="fi-FI"/>
        </w:rPr>
        <w:t>.</w:t>
      </w:r>
      <w:r w:rsidRPr="00395BA1">
        <w:rPr>
          <w:sz w:val="24"/>
          <w:szCs w:val="24"/>
          <w:lang w:val="fi-FI"/>
        </w:rPr>
        <w:t>2024</w:t>
      </w:r>
      <w:r w:rsidRPr="008D0018">
        <w:rPr>
          <w:sz w:val="24"/>
          <w:szCs w:val="24"/>
          <w:lang w:val="fi-FI"/>
        </w:rPr>
        <w:t xml:space="preserve">, ELI: </w:t>
      </w:r>
      <w:hyperlink r:id="rId1" w:tooltip="Gives access to this document through its ELI URI." w:history="1">
        <w:r w:rsidRPr="008D0018">
          <w:rPr>
            <w:sz w:val="24"/>
            <w:szCs w:val="24"/>
            <w:lang w:val="fi-FI"/>
          </w:rPr>
          <w:t>http://data.europa.eu/eli/C/</w:t>
        </w:r>
        <w:r w:rsidRPr="00395BA1">
          <w:rPr>
            <w:sz w:val="24"/>
            <w:szCs w:val="24"/>
            <w:lang w:val="fi-FI"/>
          </w:rPr>
          <w:t>2024</w:t>
        </w:r>
        <w:r w:rsidRPr="008D0018">
          <w:rPr>
            <w:sz w:val="24"/>
            <w:szCs w:val="24"/>
            <w:lang w:val="fi-FI"/>
          </w:rPr>
          <w:t>/</w:t>
        </w:r>
        <w:r w:rsidRPr="00395BA1">
          <w:rPr>
            <w:sz w:val="24"/>
            <w:szCs w:val="24"/>
            <w:lang w:val="fi-FI"/>
          </w:rPr>
          <w:t>1049</w:t>
        </w:r>
        <w:r w:rsidRPr="008D0018">
          <w:rPr>
            <w:sz w:val="24"/>
            <w:szCs w:val="24"/>
            <w:lang w:val="fi-FI"/>
          </w:rPr>
          <w:t>/oj</w:t>
        </w:r>
      </w:hyperlink>
      <w:r w:rsidRPr="008D0018">
        <w:rPr>
          <w:sz w:val="24"/>
          <w:szCs w:val="24"/>
          <w:lang w:val="fi-FI"/>
        </w:rPr>
        <w:t>.</w:t>
      </w:r>
    </w:p>
  </w:footnote>
  <w:footnote w:id="4">
    <w:p w14:paraId="61283BC9" w14:textId="77777777" w:rsidR="00FA2FB2" w:rsidRPr="00FA2FB2" w:rsidRDefault="00FA2FB2">
      <w:pPr>
        <w:pStyle w:val="FootnoteText"/>
        <w:rPr>
          <w:sz w:val="24"/>
          <w:szCs w:val="24"/>
        </w:rPr>
      </w:pPr>
      <w:r w:rsidRPr="00FA2FB2">
        <w:rPr>
          <w:rStyle w:val="FootnoteReference"/>
          <w:sz w:val="24"/>
          <w:szCs w:val="24"/>
        </w:rPr>
        <w:footnoteRef/>
      </w:r>
      <w:r w:rsidRPr="00FA2FB2">
        <w:rPr>
          <w:sz w:val="24"/>
          <w:szCs w:val="24"/>
        </w:rPr>
        <w:tab/>
        <w:t>EUVL</w:t>
      </w:r>
      <w:r w:rsidRPr="00FA2FB2">
        <w:rPr>
          <w:iCs/>
          <w:color w:val="333333"/>
          <w:sz w:val="24"/>
          <w:szCs w:val="24"/>
          <w:shd w:val="clear" w:color="auto" w:fill="FFFFFF"/>
          <w:lang w:eastAsia="en-GB"/>
        </w:rPr>
        <w:t xml:space="preserve"> L, 2025/38, 15.1.2025, ELI: </w:t>
      </w:r>
      <w:hyperlink r:id="rId2" w:tgtFrame="_blank" w:tooltip="Gives access to this document through its ELI URI." w:history="1">
        <w:r w:rsidRPr="00FA2FB2">
          <w:rPr>
            <w:iCs/>
            <w:color w:val="337AB7"/>
            <w:sz w:val="24"/>
            <w:szCs w:val="24"/>
            <w:u w:val="single"/>
            <w:lang w:eastAsia="en-GB"/>
          </w:rPr>
          <w:t>http://data.europa.eu/eli/reg/2025/38/oj</w:t>
        </w:r>
      </w:hyperlink>
      <w:r w:rsidRPr="00FA2FB2">
        <w:rPr>
          <w:iCs/>
          <w:color w:val="333333"/>
          <w:sz w:val="24"/>
          <w:szCs w:val="24"/>
          <w:shd w:val="clear" w:color="auto" w:fill="FFFFFF"/>
          <w:lang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AF91" w14:textId="77777777" w:rsidR="004928D2" w:rsidRPr="00B203BE" w:rsidRDefault="004928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2E70" w14:textId="77777777" w:rsidR="004928D2" w:rsidRPr="00FE1C11" w:rsidRDefault="004928D2" w:rsidP="00FE1C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0DE4" w14:textId="77777777" w:rsidR="004928D2" w:rsidRPr="00B203BE" w:rsidRDefault="004928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71D10EB"/>
    <w:multiLevelType w:val="hybridMultilevel"/>
    <w:tmpl w:val="24809E9C"/>
    <w:lvl w:ilvl="0" w:tplc="469E9A9E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  <w:b/>
        <w:i/>
      </w:rPr>
    </w:lvl>
    <w:lvl w:ilvl="1" w:tplc="040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22332A44"/>
    <w:multiLevelType w:val="hybridMultilevel"/>
    <w:tmpl w:val="100E5B9C"/>
    <w:lvl w:ilvl="0" w:tplc="858CD738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94445090">
    <w:abstractNumId w:val="9"/>
  </w:num>
  <w:num w:numId="2" w16cid:durableId="1369141998">
    <w:abstractNumId w:val="9"/>
  </w:num>
  <w:num w:numId="3" w16cid:durableId="2781729">
    <w:abstractNumId w:val="7"/>
  </w:num>
  <w:num w:numId="4" w16cid:durableId="1963268392">
    <w:abstractNumId w:val="7"/>
  </w:num>
  <w:num w:numId="5" w16cid:durableId="194469478">
    <w:abstractNumId w:val="6"/>
  </w:num>
  <w:num w:numId="6" w16cid:durableId="843587983">
    <w:abstractNumId w:val="6"/>
  </w:num>
  <w:num w:numId="7" w16cid:durableId="1263609727">
    <w:abstractNumId w:val="5"/>
  </w:num>
  <w:num w:numId="8" w16cid:durableId="844513826">
    <w:abstractNumId w:val="5"/>
  </w:num>
  <w:num w:numId="9" w16cid:durableId="1803692807">
    <w:abstractNumId w:val="4"/>
  </w:num>
  <w:num w:numId="10" w16cid:durableId="976648614">
    <w:abstractNumId w:val="4"/>
  </w:num>
  <w:num w:numId="11" w16cid:durableId="1514107990">
    <w:abstractNumId w:val="8"/>
  </w:num>
  <w:num w:numId="12" w16cid:durableId="381442569">
    <w:abstractNumId w:val="8"/>
  </w:num>
  <w:num w:numId="13" w16cid:durableId="265696473">
    <w:abstractNumId w:val="3"/>
  </w:num>
  <w:num w:numId="14" w16cid:durableId="396519272">
    <w:abstractNumId w:val="3"/>
  </w:num>
  <w:num w:numId="15" w16cid:durableId="466824945">
    <w:abstractNumId w:val="2"/>
  </w:num>
  <w:num w:numId="16" w16cid:durableId="824513708">
    <w:abstractNumId w:val="2"/>
  </w:num>
  <w:num w:numId="17" w16cid:durableId="1338389278">
    <w:abstractNumId w:val="1"/>
  </w:num>
  <w:num w:numId="18" w16cid:durableId="765806257">
    <w:abstractNumId w:val="1"/>
  </w:num>
  <w:num w:numId="19" w16cid:durableId="783814274">
    <w:abstractNumId w:val="0"/>
  </w:num>
  <w:num w:numId="20" w16cid:durableId="468740689">
    <w:abstractNumId w:val="0"/>
  </w:num>
  <w:num w:numId="21" w16cid:durableId="1239048704">
    <w:abstractNumId w:val="9"/>
  </w:num>
  <w:num w:numId="22" w16cid:durableId="1674143282">
    <w:abstractNumId w:val="7"/>
  </w:num>
  <w:num w:numId="23" w16cid:durableId="221411980">
    <w:abstractNumId w:val="6"/>
  </w:num>
  <w:num w:numId="24" w16cid:durableId="1876700582">
    <w:abstractNumId w:val="5"/>
  </w:num>
  <w:num w:numId="25" w16cid:durableId="1257637035">
    <w:abstractNumId w:val="4"/>
  </w:num>
  <w:num w:numId="26" w16cid:durableId="217134895">
    <w:abstractNumId w:val="8"/>
  </w:num>
  <w:num w:numId="27" w16cid:durableId="293562743">
    <w:abstractNumId w:val="3"/>
  </w:num>
  <w:num w:numId="28" w16cid:durableId="688263532">
    <w:abstractNumId w:val="2"/>
  </w:num>
  <w:num w:numId="29" w16cid:durableId="761729669">
    <w:abstractNumId w:val="1"/>
  </w:num>
  <w:num w:numId="30" w16cid:durableId="2073844699">
    <w:abstractNumId w:val="0"/>
  </w:num>
  <w:num w:numId="31" w16cid:durableId="129054785">
    <w:abstractNumId w:val="9"/>
  </w:num>
  <w:num w:numId="32" w16cid:durableId="1633435691">
    <w:abstractNumId w:val="7"/>
  </w:num>
  <w:num w:numId="33" w16cid:durableId="999193953">
    <w:abstractNumId w:val="6"/>
  </w:num>
  <w:num w:numId="34" w16cid:durableId="1162701328">
    <w:abstractNumId w:val="5"/>
  </w:num>
  <w:num w:numId="35" w16cid:durableId="932085289">
    <w:abstractNumId w:val="4"/>
  </w:num>
  <w:num w:numId="36" w16cid:durableId="1867674456">
    <w:abstractNumId w:val="8"/>
  </w:num>
  <w:num w:numId="37" w16cid:durableId="1855219898">
    <w:abstractNumId w:val="3"/>
  </w:num>
  <w:num w:numId="38" w16cid:durableId="1954944196">
    <w:abstractNumId w:val="2"/>
  </w:num>
  <w:num w:numId="39" w16cid:durableId="1676223480">
    <w:abstractNumId w:val="1"/>
  </w:num>
  <w:num w:numId="40" w16cid:durableId="1695615515">
    <w:abstractNumId w:val="0"/>
  </w:num>
  <w:num w:numId="41" w16cid:durableId="1856379268">
    <w:abstractNumId w:val="14"/>
  </w:num>
  <w:num w:numId="42" w16cid:durableId="206337843">
    <w:abstractNumId w:val="14"/>
  </w:num>
  <w:num w:numId="43" w16cid:durableId="956838644">
    <w:abstractNumId w:val="14"/>
  </w:num>
  <w:num w:numId="44" w16cid:durableId="1693454557">
    <w:abstractNumId w:val="16"/>
  </w:num>
  <w:num w:numId="45" w16cid:durableId="273443786">
    <w:abstractNumId w:val="12"/>
  </w:num>
  <w:num w:numId="46" w16cid:durableId="1637684114">
    <w:abstractNumId w:val="11"/>
  </w:num>
  <w:num w:numId="47" w16cid:durableId="588007009">
    <w:abstractNumId w:val="10"/>
  </w:num>
  <w:num w:numId="48" w16cid:durableId="872351711">
    <w:abstractNumId w:val="15"/>
  </w:num>
  <w:num w:numId="49" w16cid:durableId="254899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9-0426/2023"/>
    <w:docVar w:name="dvlangue" w:val="FI"/>
    <w:docVar w:name="dvnumam" w:val="92"/>
    <w:docVar w:name="dvpe" w:val="752.795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toimenpiteistä solidaarisuuden ja valmiuksien vahvistamiseksi unionissa kyberturvallisuusuhkien ja -poikkeamien havaitsemista sekä niihin varautumista ja reagoimista varten(COM(2023)0209 – C9-0136/2023 – 2023/0109(COD))"/>
  </w:docVars>
  <w:rsids>
    <w:rsidRoot w:val="00F5094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0AC8"/>
    <w:rsid w:val="001F32AE"/>
    <w:rsid w:val="00221EEA"/>
    <w:rsid w:val="002767FF"/>
    <w:rsid w:val="002B18FE"/>
    <w:rsid w:val="002B5493"/>
    <w:rsid w:val="00324EA8"/>
    <w:rsid w:val="00343214"/>
    <w:rsid w:val="00361C00"/>
    <w:rsid w:val="00395BA1"/>
    <w:rsid w:val="00395FA1"/>
    <w:rsid w:val="003E15D4"/>
    <w:rsid w:val="00411CCE"/>
    <w:rsid w:val="0041666E"/>
    <w:rsid w:val="00421060"/>
    <w:rsid w:val="00445835"/>
    <w:rsid w:val="004528D2"/>
    <w:rsid w:val="00471C19"/>
    <w:rsid w:val="004867E3"/>
    <w:rsid w:val="004928D2"/>
    <w:rsid w:val="00494A28"/>
    <w:rsid w:val="004C0004"/>
    <w:rsid w:val="004C5D52"/>
    <w:rsid w:val="0050519A"/>
    <w:rsid w:val="005061BC"/>
    <w:rsid w:val="005072A1"/>
    <w:rsid w:val="00514517"/>
    <w:rsid w:val="00545827"/>
    <w:rsid w:val="00560270"/>
    <w:rsid w:val="005C2568"/>
    <w:rsid w:val="006037C0"/>
    <w:rsid w:val="006631B6"/>
    <w:rsid w:val="00680577"/>
    <w:rsid w:val="00683C08"/>
    <w:rsid w:val="00694FD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7F67"/>
    <w:rsid w:val="008609E4"/>
    <w:rsid w:val="00865F67"/>
    <w:rsid w:val="00881A7B"/>
    <w:rsid w:val="008840E5"/>
    <w:rsid w:val="00887B3E"/>
    <w:rsid w:val="008C2AC6"/>
    <w:rsid w:val="008D0018"/>
    <w:rsid w:val="00930C23"/>
    <w:rsid w:val="0093193B"/>
    <w:rsid w:val="009509D8"/>
    <w:rsid w:val="00950B64"/>
    <w:rsid w:val="00981893"/>
    <w:rsid w:val="009B0524"/>
    <w:rsid w:val="009F5A8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03BE"/>
    <w:rsid w:val="00B22876"/>
    <w:rsid w:val="00B558F0"/>
    <w:rsid w:val="00BD48FE"/>
    <w:rsid w:val="00BD7BD8"/>
    <w:rsid w:val="00BE6ADC"/>
    <w:rsid w:val="00C05BFE"/>
    <w:rsid w:val="00C23CD4"/>
    <w:rsid w:val="00C61C0C"/>
    <w:rsid w:val="00C74442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0EE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575E"/>
    <w:rsid w:val="00F50946"/>
    <w:rsid w:val="00F5134D"/>
    <w:rsid w:val="00F74202"/>
    <w:rsid w:val="00F87713"/>
    <w:rsid w:val="00FA2FB2"/>
    <w:rsid w:val="00FB4360"/>
    <w:rsid w:val="00FD0C70"/>
    <w:rsid w:val="00F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84DDB"/>
  <w15:chartTrackingRefBased/>
  <w15:docId w15:val="{065CEB54-857B-4F4D-846A-6F40494A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061BC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5061B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061BC"/>
    <w:rPr>
      <w:b/>
      <w:sz w:val="24"/>
      <w:lang w:val="fi-FI"/>
    </w:rPr>
  </w:style>
  <w:style w:type="paragraph" w:customStyle="1" w:styleId="NormalHanging12a">
    <w:name w:val="NormalHanging12a"/>
    <w:basedOn w:val="Normal"/>
    <w:rsid w:val="005061BC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5061BC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5061B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5061BC"/>
    <w:rPr>
      <w:b/>
      <w:sz w:val="24"/>
      <w:lang w:val="fi-FI"/>
    </w:rPr>
  </w:style>
  <w:style w:type="paragraph" w:customStyle="1" w:styleId="AmHeadingConsam">
    <w:name w:val="AmHeadingConsam"/>
    <w:basedOn w:val="Normal"/>
    <w:next w:val="NormalCenter12a"/>
    <w:rsid w:val="005061BC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5061B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061BC"/>
    <w:rPr>
      <w:i/>
      <w:iCs/>
    </w:rPr>
  </w:style>
  <w:style w:type="paragraph" w:customStyle="1" w:styleId="ManualConsidrant">
    <w:name w:val="Manual Considérant"/>
    <w:basedOn w:val="Normal"/>
    <w:rsid w:val="005061BC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5061BC"/>
  </w:style>
  <w:style w:type="paragraph" w:customStyle="1" w:styleId="Point0">
    <w:name w:val="Point 0"/>
    <w:basedOn w:val="Normal"/>
    <w:rsid w:val="005061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5061BC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5061BC"/>
    <w:pPr>
      <w:spacing w:after="120"/>
    </w:pPr>
    <w:rPr>
      <w:szCs w:val="24"/>
      <w:lang w:eastAsia="en-US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34"/>
    <w:qFormat/>
    <w:rsid w:val="005061BC"/>
    <w:pPr>
      <w:ind w:left="720"/>
      <w:contextualSpacing/>
    </w:pPr>
  </w:style>
  <w:style w:type="character" w:customStyle="1" w:styleId="normaltextrun">
    <w:name w:val="normaltextrun"/>
    <w:basedOn w:val="DefaultParagraphFont"/>
    <w:rsid w:val="005061BC"/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34"/>
    <w:qFormat/>
    <w:rsid w:val="005061BC"/>
    <w:rPr>
      <w:sz w:val="24"/>
      <w:lang w:val="fi-FI"/>
    </w:rPr>
  </w:style>
  <w:style w:type="paragraph" w:customStyle="1" w:styleId="Normal0">
    <w:name w:val="_Normal"/>
    <w:basedOn w:val="Normal"/>
    <w:link w:val="NormalCar"/>
    <w:qFormat/>
    <w:rsid w:val="005061BC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5061BC"/>
    <w:rPr>
      <w:rFonts w:ascii="Arial" w:hAnsi="Arial"/>
      <w:szCs w:val="24"/>
      <w:lang w:val="fi-FI" w:eastAsia="en-US"/>
    </w:rPr>
  </w:style>
  <w:style w:type="paragraph" w:styleId="BodyText">
    <w:name w:val="Body Text"/>
    <w:basedOn w:val="Normal"/>
    <w:link w:val="BodyTextChar"/>
    <w:qFormat/>
    <w:rsid w:val="005061BC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rsid w:val="005061BC"/>
    <w:rPr>
      <w:rFonts w:eastAsiaTheme="minorEastAsia"/>
      <w:sz w:val="24"/>
      <w:szCs w:val="24"/>
      <w:lang w:val="fi-FI"/>
    </w:rPr>
  </w:style>
  <w:style w:type="character" w:customStyle="1" w:styleId="Heading1Char">
    <w:name w:val="Heading 1 Char"/>
    <w:basedOn w:val="DefaultParagraphFont"/>
    <w:link w:val="Heading1"/>
    <w:rsid w:val="00FE1C1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FE1C1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FE1C1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FE1C1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FE1C1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FE1C11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FE1C11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FE1C11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FE1C11"/>
    <w:rPr>
      <w:rFonts w:ascii="Arial" w:hAnsi="Arial"/>
      <w:b/>
      <w:i/>
      <w:sz w:val="18"/>
      <w:lang w:val="fi-FI"/>
    </w:rPr>
  </w:style>
  <w:style w:type="paragraph" w:styleId="Header">
    <w:name w:val="header"/>
    <w:basedOn w:val="Normal"/>
    <w:link w:val="HeaderChar"/>
    <w:rsid w:val="00FE1C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E1C11"/>
    <w:rPr>
      <w:sz w:val="24"/>
      <w:lang w:val="fi-FI"/>
    </w:rPr>
  </w:style>
  <w:style w:type="paragraph" w:customStyle="1" w:styleId="AmDocTypeTab">
    <w:name w:val="AmDocTypeTab"/>
    <w:basedOn w:val="Normal"/>
    <w:rsid w:val="00FE1C11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FE1C11"/>
    <w:pPr>
      <w:spacing w:after="240"/>
    </w:pPr>
  </w:style>
  <w:style w:type="paragraph" w:customStyle="1" w:styleId="EPFooter2">
    <w:name w:val="EPFooter2"/>
    <w:basedOn w:val="Normal"/>
    <w:next w:val="Normal"/>
    <w:rsid w:val="00FE1C1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FE1C11"/>
    <w:pPr>
      <w:spacing w:before="240" w:after="240"/>
      <w:jc w:val="right"/>
    </w:pPr>
  </w:style>
  <w:style w:type="paragraph" w:customStyle="1" w:styleId="AmDateTab">
    <w:name w:val="AmDateTab"/>
    <w:basedOn w:val="Normal"/>
    <w:rsid w:val="00FE1C11"/>
    <w:pPr>
      <w:tabs>
        <w:tab w:val="right" w:pos="9072"/>
      </w:tabs>
    </w:pPr>
  </w:style>
  <w:style w:type="paragraph" w:customStyle="1" w:styleId="EPFooter">
    <w:name w:val="EPFooter"/>
    <w:basedOn w:val="Normal"/>
    <w:rsid w:val="00FE1C1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FE1C11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FE1C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C11"/>
    <w:rPr>
      <w:sz w:val="24"/>
      <w:lang w:val="fi-FI"/>
    </w:rPr>
  </w:style>
  <w:style w:type="numbering" w:customStyle="1" w:styleId="NoList1">
    <w:name w:val="No List1"/>
    <w:next w:val="NoList"/>
    <w:uiPriority w:val="99"/>
    <w:semiHidden/>
    <w:unhideWhenUsed/>
    <w:rsid w:val="00FE1C11"/>
  </w:style>
  <w:style w:type="paragraph" w:customStyle="1" w:styleId="SignaturePersonne">
    <w:name w:val="Signature Personne"/>
    <w:basedOn w:val="Normal"/>
    <w:rsid w:val="00FE1C1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FE1C11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FE1C11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FE1C11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FE1C11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FE1C11"/>
    <w:pPr>
      <w:keepLines/>
      <w:widowControl w:val="0"/>
      <w:ind w:left="850" w:hanging="850"/>
    </w:pPr>
    <w:rPr>
      <w:sz w:val="24"/>
      <w:lang w:val="fi-FI" w:eastAsia="en-US"/>
    </w:rPr>
  </w:style>
  <w:style w:type="character" w:customStyle="1" w:styleId="Footer2">
    <w:name w:val="Footer2"/>
    <w:rsid w:val="00FE1C11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FE1C11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FE1C11"/>
    <w:pPr>
      <w:widowControl w:val="0"/>
      <w:spacing w:before="120" w:after="120" w:line="360" w:lineRule="auto"/>
    </w:pPr>
    <w:rPr>
      <w:sz w:val="24"/>
      <w:lang w:val="fi-FI" w:eastAsia="en-US"/>
    </w:rPr>
  </w:style>
  <w:style w:type="paragraph" w:customStyle="1" w:styleId="Formuledadoption">
    <w:name w:val="Formule d'adoption"/>
    <w:basedOn w:val="Normal"/>
    <w:next w:val="Normal"/>
    <w:rsid w:val="00FE1C11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FE1C11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FE1C1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E1C1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FE1C11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FE1C11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FE1C11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FE1C11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FE1C1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1C11"/>
    <w:pPr>
      <w:spacing w:before="120" w:after="120"/>
    </w:pPr>
    <w:rPr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E1C11"/>
    <w:rPr>
      <w:lang w:val="fi-FI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E1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1C11"/>
    <w:rPr>
      <w:b/>
      <w:bCs/>
      <w:lang w:val="fi-FI" w:eastAsia="en-US"/>
    </w:rPr>
  </w:style>
  <w:style w:type="paragraph" w:styleId="BalloonText">
    <w:name w:val="Balloon Text"/>
    <w:basedOn w:val="Normal"/>
    <w:link w:val="BalloonTextChar"/>
    <w:unhideWhenUsed/>
    <w:rsid w:val="00FE1C11"/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FE1C11"/>
    <w:rPr>
      <w:rFonts w:ascii="Segoe UI" w:hAnsi="Segoe UI" w:cs="Segoe UI"/>
      <w:sz w:val="18"/>
      <w:szCs w:val="18"/>
      <w:lang w:val="fi-FI" w:eastAsia="en-US"/>
    </w:rPr>
  </w:style>
  <w:style w:type="paragraph" w:styleId="Revision">
    <w:name w:val="Revision"/>
    <w:hidden/>
    <w:uiPriority w:val="99"/>
    <w:semiHidden/>
    <w:rsid w:val="00FE1C11"/>
    <w:rPr>
      <w:sz w:val="24"/>
      <w:szCs w:val="24"/>
      <w:lang w:val="fi-FI" w:eastAsia="en-US"/>
    </w:rPr>
  </w:style>
  <w:style w:type="paragraph" w:customStyle="1" w:styleId="HeadingDocType24a">
    <w:name w:val="HeadingDocType24a"/>
    <w:basedOn w:val="Normal"/>
    <w:rsid w:val="004928D2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928D2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928D2"/>
    <w:pPr>
      <w:jc w:val="center"/>
    </w:pPr>
  </w:style>
  <w:style w:type="paragraph" w:customStyle="1" w:styleId="Normal24a">
    <w:name w:val="Normal24a"/>
    <w:basedOn w:val="Normal"/>
    <w:rsid w:val="004928D2"/>
    <w:pPr>
      <w:spacing w:after="480"/>
    </w:pPr>
  </w:style>
  <w:style w:type="paragraph" w:customStyle="1" w:styleId="EPBody">
    <w:name w:val="EPBody"/>
    <w:basedOn w:val="Normal"/>
    <w:rsid w:val="004928D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4928D2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928D2"/>
    <w:pPr>
      <w:spacing w:before="240" w:after="240"/>
    </w:pPr>
  </w:style>
  <w:style w:type="character" w:styleId="FollowedHyperlink">
    <w:name w:val="FollowedHyperlink"/>
    <w:basedOn w:val="DefaultParagraphFont"/>
    <w:rsid w:val="004928D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6E63-9296-4ED2-B1B1-0733BB67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564</Words>
  <Characters>4932</Characters>
  <Application>Microsoft Office Word</Application>
  <DocSecurity>4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GOROPECNIK Tina</cp:lastModifiedBy>
  <cp:revision>2</cp:revision>
  <cp:lastPrinted>2004-11-19T15:42:00Z</cp:lastPrinted>
  <dcterms:created xsi:type="dcterms:W3CDTF">2025-06-25T07:32:00Z</dcterms:created>
  <dcterms:modified xsi:type="dcterms:W3CDTF">2025-06-25T07:32:00Z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