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77A50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E77A50" w:rsidRDefault="00CC5836" w:rsidP="0010095E">
            <w:pPr>
              <w:pStyle w:val="EPName"/>
            </w:pPr>
            <w:r w:rsidRPr="00E77A50">
              <w:t>Parlement européen</w:t>
            </w:r>
          </w:p>
          <w:p w:rsidR="00751A4A" w:rsidRPr="00E77A50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A11CA">
              <w:t>2019</w:t>
            </w:r>
            <w:r w:rsidRPr="00E77A50">
              <w:t>-</w:t>
            </w:r>
            <w:r w:rsidRPr="00CA11CA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E77A50" w:rsidRDefault="00187494" w:rsidP="0010095E">
            <w:pPr>
              <w:pStyle w:val="EPLogo"/>
            </w:pPr>
            <w:r w:rsidRPr="00E77A50">
              <w:rPr>
                <w:noProof/>
                <w:lang w:val="pl-PL" w:eastAsia="pl-PL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E77A50" w:rsidRDefault="00D058B8" w:rsidP="004C5D52">
      <w:pPr>
        <w:pStyle w:val="LineTop"/>
      </w:pPr>
    </w:p>
    <w:p w:rsidR="00680577" w:rsidRPr="00E77A50" w:rsidRDefault="00CC5836" w:rsidP="00680577">
      <w:pPr>
        <w:pStyle w:val="EPBodyTA1"/>
      </w:pPr>
      <w:r w:rsidRPr="00E77A50">
        <w:t>TEXTES ADOPTÉS</w:t>
      </w:r>
    </w:p>
    <w:p w:rsidR="00D058B8" w:rsidRPr="00E77A50" w:rsidRDefault="00D058B8" w:rsidP="00D058B8">
      <w:pPr>
        <w:pStyle w:val="LineBottom"/>
      </w:pPr>
    </w:p>
    <w:p w:rsidR="00CC5836" w:rsidRPr="00E77A50" w:rsidRDefault="00CC5836" w:rsidP="00CC5836">
      <w:pPr>
        <w:pStyle w:val="ATHeading1"/>
      </w:pPr>
      <w:bookmarkStart w:id="0" w:name="TANumber"/>
      <w:r w:rsidRPr="00E77A50">
        <w:t>P</w:t>
      </w:r>
      <w:r w:rsidRPr="00CA11CA">
        <w:t>9</w:t>
      </w:r>
      <w:r w:rsidRPr="00E77A50">
        <w:t>_</w:t>
      </w:r>
      <w:proofErr w:type="gramStart"/>
      <w:r w:rsidRPr="00E77A50">
        <w:t>TA(</w:t>
      </w:r>
      <w:proofErr w:type="gramEnd"/>
      <w:r w:rsidRPr="00CA11CA">
        <w:t>2024</w:t>
      </w:r>
      <w:r w:rsidRPr="00E77A50">
        <w:t>)</w:t>
      </w:r>
      <w:r w:rsidRPr="00CA11CA">
        <w:t>0</w:t>
      </w:r>
      <w:bookmarkEnd w:id="0"/>
      <w:r w:rsidR="00EA0077" w:rsidRPr="00CA11CA">
        <w:t>355</w:t>
      </w:r>
    </w:p>
    <w:p w:rsidR="00CC5836" w:rsidRPr="00E77A50" w:rsidRDefault="00C969E9" w:rsidP="00CC5836">
      <w:pPr>
        <w:pStyle w:val="ATHeading2"/>
      </w:pPr>
      <w:bookmarkStart w:id="1" w:name="title"/>
      <w:r>
        <w:t>Règlement</w:t>
      </w:r>
      <w:r w:rsidR="004F0C49" w:rsidRPr="004F0C49">
        <w:t xml:space="preserve"> sur la </w:t>
      </w:r>
      <w:proofErr w:type="spellStart"/>
      <w:r w:rsidR="004F0C49" w:rsidRPr="004F0C49">
        <w:t>cybersolidarité</w:t>
      </w:r>
      <w:bookmarkEnd w:id="1"/>
      <w:proofErr w:type="spellEnd"/>
    </w:p>
    <w:p w:rsidR="00CC5836" w:rsidRPr="00E77A50" w:rsidRDefault="00CC5836" w:rsidP="00CC5836">
      <w:pPr>
        <w:rPr>
          <w:i/>
          <w:vanish/>
        </w:rPr>
      </w:pPr>
      <w:r w:rsidRPr="00E77A50">
        <w:rPr>
          <w:i/>
        </w:rPr>
        <w:fldChar w:fldCharType="begin"/>
      </w:r>
      <w:r w:rsidRPr="00E77A50">
        <w:rPr>
          <w:i/>
        </w:rPr>
        <w:instrText xml:space="preserve"> TC"(</w:instrText>
      </w:r>
      <w:bookmarkStart w:id="2" w:name="DocNumber"/>
      <w:r w:rsidRPr="00E77A50">
        <w:rPr>
          <w:i/>
        </w:rPr>
        <w:instrText>A</w:instrText>
      </w:r>
      <w:r w:rsidRPr="00CA11CA">
        <w:rPr>
          <w:i/>
        </w:rPr>
        <w:instrText>9</w:instrText>
      </w:r>
      <w:r w:rsidRPr="00E77A50">
        <w:rPr>
          <w:i/>
        </w:rPr>
        <w:instrText>-</w:instrText>
      </w:r>
      <w:r w:rsidRPr="00CA11CA">
        <w:rPr>
          <w:i/>
        </w:rPr>
        <w:instrText>0426</w:instrText>
      </w:r>
      <w:r w:rsidRPr="00E77A50">
        <w:rPr>
          <w:i/>
        </w:rPr>
        <w:instrText>/</w:instrText>
      </w:r>
      <w:r w:rsidRPr="00CA11CA">
        <w:rPr>
          <w:i/>
        </w:rPr>
        <w:instrText>2023</w:instrText>
      </w:r>
      <w:bookmarkEnd w:id="2"/>
      <w:r w:rsidRPr="00E77A50">
        <w:rPr>
          <w:i/>
        </w:rPr>
        <w:instrText xml:space="preserve"> - </w:instrText>
      </w:r>
      <w:proofErr w:type="spellStart"/>
      <w:r w:rsidRPr="00E77A50">
        <w:rPr>
          <w:i/>
        </w:rPr>
        <w:instrText>Rapporteure</w:instrText>
      </w:r>
      <w:proofErr w:type="spellEnd"/>
      <w:r w:rsidRPr="00E77A50">
        <w:rPr>
          <w:i/>
        </w:rPr>
        <w:instrText xml:space="preserve">: Lina Gálvez </w:instrText>
      </w:r>
      <w:proofErr w:type="spellStart"/>
      <w:r w:rsidRPr="00E77A50">
        <w:rPr>
          <w:i/>
        </w:rPr>
        <w:instrText>Muñoz</w:instrText>
      </w:r>
      <w:proofErr w:type="spellEnd"/>
      <w:r w:rsidRPr="00E77A50">
        <w:rPr>
          <w:i/>
        </w:rPr>
        <w:instrText>)"\l</w:instrText>
      </w:r>
      <w:r w:rsidRPr="00CA11CA">
        <w:rPr>
          <w:i/>
        </w:rPr>
        <w:instrText>3</w:instrText>
      </w:r>
      <w:r w:rsidRPr="00E77A50">
        <w:rPr>
          <w:i/>
        </w:rPr>
        <w:instrText xml:space="preserve"> \n&gt; \* MERGEFORMAT </w:instrText>
      </w:r>
      <w:r w:rsidRPr="00E77A50">
        <w:rPr>
          <w:i/>
        </w:rPr>
        <w:fldChar w:fldCharType="end"/>
      </w:r>
    </w:p>
    <w:p w:rsidR="00CC5836" w:rsidRPr="00E77A50" w:rsidRDefault="00CC5836" w:rsidP="00CC5836">
      <w:pPr>
        <w:rPr>
          <w:vanish/>
        </w:rPr>
      </w:pPr>
      <w:bookmarkStart w:id="3" w:name="Commission"/>
      <w:r w:rsidRPr="00E77A50">
        <w:rPr>
          <w:vanish/>
        </w:rPr>
        <w:t>Commission de l’industrie, de la recherche et de l’énergie</w:t>
      </w:r>
      <w:bookmarkEnd w:id="3"/>
    </w:p>
    <w:p w:rsidR="00CC5836" w:rsidRPr="00E77A50" w:rsidRDefault="00CC5836" w:rsidP="00CC5836">
      <w:pPr>
        <w:rPr>
          <w:vanish/>
        </w:rPr>
      </w:pPr>
      <w:bookmarkStart w:id="4" w:name="PE"/>
      <w:r w:rsidRPr="00E77A50">
        <w:rPr>
          <w:vanish/>
        </w:rPr>
        <w:t>PE</w:t>
      </w:r>
      <w:r w:rsidRPr="00CA11CA">
        <w:rPr>
          <w:vanish/>
        </w:rPr>
        <w:t>752</w:t>
      </w:r>
      <w:r w:rsidRPr="00E77A50">
        <w:rPr>
          <w:vanish/>
        </w:rPr>
        <w:t>.</w:t>
      </w:r>
      <w:r w:rsidRPr="00CA11CA">
        <w:rPr>
          <w:vanish/>
        </w:rPr>
        <w:t>795</w:t>
      </w:r>
      <w:bookmarkEnd w:id="4"/>
    </w:p>
    <w:p w:rsidR="00CC5836" w:rsidRPr="00E77A50" w:rsidRDefault="00CC5836" w:rsidP="00CC5836">
      <w:pPr>
        <w:pStyle w:val="ATHeading3"/>
      </w:pPr>
      <w:bookmarkStart w:id="5" w:name="Sujet"/>
      <w:r w:rsidRPr="00E77A50">
        <w:t xml:space="preserve">Résolution législative du Parlement européen du </w:t>
      </w:r>
      <w:r w:rsidRPr="00CA11CA">
        <w:t>24</w:t>
      </w:r>
      <w:r w:rsidRPr="00E77A50">
        <w:t xml:space="preserve"> avril </w:t>
      </w:r>
      <w:r w:rsidRPr="00CA11CA">
        <w:t>2024</w:t>
      </w:r>
      <w:r w:rsidRPr="00E77A50">
        <w:t xml:space="preserve"> sur la proposition de règlement du Parlement européen et du Conseil établissant des mesures destinées à renforcer la solidarité et les capacités dans l’Union afin de détecter les menaces et incidents de </w:t>
      </w:r>
      <w:proofErr w:type="spellStart"/>
      <w:r w:rsidRPr="00E77A50">
        <w:t>cybersécurité</w:t>
      </w:r>
      <w:proofErr w:type="spellEnd"/>
      <w:r w:rsidRPr="00E77A50">
        <w:t>, de s’y préparer et d’y réagir</w:t>
      </w:r>
      <w:bookmarkEnd w:id="5"/>
      <w:r w:rsidRPr="00E77A50">
        <w:t xml:space="preserve"> </w:t>
      </w:r>
      <w:bookmarkStart w:id="6" w:name="References"/>
      <w:r w:rsidRPr="00E77A50">
        <w:t>(</w:t>
      </w:r>
      <w:proofErr w:type="gramStart"/>
      <w:r w:rsidRPr="00E77A50">
        <w:t>COM(</w:t>
      </w:r>
      <w:proofErr w:type="gramEnd"/>
      <w:r w:rsidRPr="00CA11CA">
        <w:t>2023</w:t>
      </w:r>
      <w:r w:rsidRPr="00E77A50">
        <w:t>)</w:t>
      </w:r>
      <w:r w:rsidRPr="00CA11CA">
        <w:t>0209</w:t>
      </w:r>
      <w:r w:rsidRPr="00E77A50">
        <w:t xml:space="preserve"> – C</w:t>
      </w:r>
      <w:r w:rsidRPr="00CA11CA">
        <w:t>9</w:t>
      </w:r>
      <w:r w:rsidRPr="00E77A50">
        <w:t>-</w:t>
      </w:r>
      <w:r w:rsidRPr="00CA11CA">
        <w:t>0136</w:t>
      </w:r>
      <w:r w:rsidRPr="00E77A50">
        <w:t>/</w:t>
      </w:r>
      <w:r w:rsidRPr="00CA11CA">
        <w:t>2023</w:t>
      </w:r>
      <w:r w:rsidRPr="00E77A50">
        <w:t xml:space="preserve"> – </w:t>
      </w:r>
      <w:r w:rsidRPr="00CA11CA">
        <w:t>2023</w:t>
      </w:r>
      <w:r w:rsidRPr="00E77A50">
        <w:t>/</w:t>
      </w:r>
      <w:r w:rsidRPr="00CA11CA">
        <w:t>0109</w:t>
      </w:r>
      <w:r w:rsidRPr="00E77A50">
        <w:t>(COD))</w:t>
      </w:r>
      <w:bookmarkEnd w:id="6"/>
    </w:p>
    <w:p w:rsidR="0049100D" w:rsidRPr="00E77A50" w:rsidRDefault="0049100D" w:rsidP="0049100D">
      <w:pPr>
        <w:pStyle w:val="NormalBold"/>
      </w:pPr>
      <w:bookmarkStart w:id="7" w:name="TextBodyBegin"/>
      <w:bookmarkEnd w:id="7"/>
      <w:r w:rsidRPr="00E77A50">
        <w:t>(Procédure législative ordinaire: première lecture)</w:t>
      </w:r>
    </w:p>
    <w:p w:rsidR="0049100D" w:rsidRPr="00E77A50" w:rsidRDefault="0049100D" w:rsidP="0049100D">
      <w:pPr>
        <w:pStyle w:val="EPComma"/>
      </w:pPr>
      <w:r w:rsidRPr="00E77A50">
        <w:rPr>
          <w:i/>
        </w:rPr>
        <w:t>Le Parlement européen</w:t>
      </w:r>
      <w:r w:rsidRPr="00E77A50">
        <w:t>,</w:t>
      </w:r>
    </w:p>
    <w:p w:rsidR="0049100D" w:rsidRPr="00E77A50" w:rsidRDefault="0049100D" w:rsidP="0049100D">
      <w:pPr>
        <w:pStyle w:val="NormalHanging12a"/>
      </w:pPr>
      <w:r w:rsidRPr="00E77A50">
        <w:t>–</w:t>
      </w:r>
      <w:r w:rsidRPr="00E77A50">
        <w:tab/>
        <w:t>vu la proposition de la Commission au Parlement européen et au Conseil (</w:t>
      </w:r>
      <w:proofErr w:type="gramStart"/>
      <w:r w:rsidRPr="00E77A50">
        <w:t>COM(</w:t>
      </w:r>
      <w:proofErr w:type="gramEnd"/>
      <w:r w:rsidRPr="00CA11CA">
        <w:t>2023</w:t>
      </w:r>
      <w:r w:rsidRPr="00E77A50">
        <w:t>)</w:t>
      </w:r>
      <w:r w:rsidRPr="00CA11CA">
        <w:t>0209</w:t>
      </w:r>
      <w:r w:rsidRPr="00E77A50">
        <w:t>),</w:t>
      </w:r>
    </w:p>
    <w:p w:rsidR="0049100D" w:rsidRPr="00E77A50" w:rsidRDefault="0049100D" w:rsidP="0049100D">
      <w:pPr>
        <w:pStyle w:val="NormalHanging12a"/>
      </w:pPr>
      <w:r w:rsidRPr="00E77A50">
        <w:t>–</w:t>
      </w:r>
      <w:r w:rsidRPr="00E77A50">
        <w:tab/>
        <w:t>vu l’article </w:t>
      </w:r>
      <w:r w:rsidRPr="00CA11CA">
        <w:t>294</w:t>
      </w:r>
      <w:r w:rsidRPr="00E77A50">
        <w:t>, paragraphe </w:t>
      </w:r>
      <w:r w:rsidRPr="00CA11CA">
        <w:t>2</w:t>
      </w:r>
      <w:r w:rsidRPr="00E77A50">
        <w:t xml:space="preserve">, </w:t>
      </w:r>
      <w:r w:rsidR="00974282">
        <w:t>ainsi que</w:t>
      </w:r>
      <w:r w:rsidR="00974282" w:rsidRPr="00E77A50">
        <w:t xml:space="preserve"> </w:t>
      </w:r>
      <w:r w:rsidR="00974282">
        <w:t>l’</w:t>
      </w:r>
      <w:r w:rsidRPr="00E77A50">
        <w:t>article </w:t>
      </w:r>
      <w:r w:rsidRPr="00CA11CA">
        <w:t>173</w:t>
      </w:r>
      <w:r w:rsidRPr="00E77A50">
        <w:t>, paragraphe </w:t>
      </w:r>
      <w:r w:rsidRPr="00CA11CA">
        <w:t>3</w:t>
      </w:r>
      <w:r w:rsidRPr="00E77A50">
        <w:t>, et </w:t>
      </w:r>
      <w:r w:rsidR="00974282">
        <w:t xml:space="preserve">l’article </w:t>
      </w:r>
      <w:r w:rsidRPr="00CA11CA">
        <w:t>322</w:t>
      </w:r>
      <w:r w:rsidRPr="00E77A50">
        <w:t>, paragraphe </w:t>
      </w:r>
      <w:r w:rsidRPr="00CA11CA">
        <w:t>1</w:t>
      </w:r>
      <w:r w:rsidRPr="00E77A50">
        <w:t xml:space="preserve">, </w:t>
      </w:r>
      <w:proofErr w:type="gramStart"/>
      <w:r w:rsidRPr="00E77A50">
        <w:t>point a</w:t>
      </w:r>
      <w:proofErr w:type="gramEnd"/>
      <w:r w:rsidRPr="00E77A50">
        <w:t>), du traité sur le fonctionnement de l’Union européenne, conformément auxquels la proposition lui a été présentée par la Commission (C</w:t>
      </w:r>
      <w:r w:rsidRPr="00CA11CA">
        <w:t>9</w:t>
      </w:r>
      <w:r w:rsidRPr="00E77A50">
        <w:noBreakHyphen/>
      </w:r>
      <w:r w:rsidRPr="00CA11CA">
        <w:t>0136</w:t>
      </w:r>
      <w:r w:rsidRPr="00E77A50">
        <w:t>/</w:t>
      </w:r>
      <w:r w:rsidRPr="00CA11CA">
        <w:t>2023</w:t>
      </w:r>
      <w:r w:rsidRPr="00E77A50">
        <w:t>),</w:t>
      </w:r>
    </w:p>
    <w:p w:rsidR="0049100D" w:rsidRDefault="0049100D" w:rsidP="0049100D">
      <w:pPr>
        <w:pStyle w:val="NormalHanging12a"/>
      </w:pPr>
      <w:r w:rsidRPr="00E77A50">
        <w:t>–</w:t>
      </w:r>
      <w:r w:rsidRPr="00E77A50">
        <w:tab/>
        <w:t>vu l’article </w:t>
      </w:r>
      <w:r w:rsidRPr="00CA11CA">
        <w:t>294</w:t>
      </w:r>
      <w:r w:rsidRPr="00E77A50">
        <w:t>, paragraphe </w:t>
      </w:r>
      <w:r w:rsidRPr="00CA11CA">
        <w:t>3</w:t>
      </w:r>
      <w:r w:rsidRPr="00E77A50">
        <w:t>, du traité sur le fonctionnement de l’Union européenne,</w:t>
      </w:r>
    </w:p>
    <w:p w:rsidR="00BE30C1" w:rsidRPr="00E77A50" w:rsidRDefault="00BE30C1" w:rsidP="0049100D">
      <w:pPr>
        <w:pStyle w:val="NormalHanging12a"/>
      </w:pPr>
      <w:r w:rsidRPr="00E77A50">
        <w:t>–</w:t>
      </w:r>
      <w:r>
        <w:tab/>
      </w:r>
      <w:r w:rsidRPr="002F6F61">
        <w:t>vu l’avis de la Cour des comptes</w:t>
      </w:r>
      <w:r>
        <w:t xml:space="preserve"> du </w:t>
      </w:r>
      <w:r w:rsidRPr="00CA11CA">
        <w:t>18</w:t>
      </w:r>
      <w:r>
        <w:t xml:space="preserve"> avril </w:t>
      </w:r>
      <w:r w:rsidRPr="00CA11CA">
        <w:t>2023</w:t>
      </w:r>
      <w:r>
        <w:rPr>
          <w:rStyle w:val="FootnoteReference"/>
        </w:rPr>
        <w:footnoteReference w:id="1"/>
      </w:r>
      <w:r w:rsidR="00525350">
        <w:t>,</w:t>
      </w:r>
    </w:p>
    <w:p w:rsidR="0049100D" w:rsidRDefault="0049100D" w:rsidP="0049100D">
      <w:pPr>
        <w:pStyle w:val="NormalHanging12a"/>
      </w:pPr>
      <w:r w:rsidRPr="00E77A50">
        <w:t>–</w:t>
      </w:r>
      <w:r w:rsidRPr="00E77A50">
        <w:tab/>
        <w:t xml:space="preserve">vu l’avis du Comité économique et social européen du </w:t>
      </w:r>
      <w:r w:rsidRPr="00CA11CA">
        <w:t>13</w:t>
      </w:r>
      <w:r w:rsidRPr="00E77A50">
        <w:t> juillet </w:t>
      </w:r>
      <w:r w:rsidRPr="00CA11CA">
        <w:t>2023</w:t>
      </w:r>
      <w:r w:rsidRPr="00E77A50">
        <w:rPr>
          <w:rStyle w:val="FootnoteReference"/>
        </w:rPr>
        <w:footnoteReference w:id="2"/>
      </w:r>
      <w:r w:rsidRPr="00E77A50">
        <w:t>,</w:t>
      </w:r>
    </w:p>
    <w:p w:rsidR="004F0C49" w:rsidRDefault="004F0C49" w:rsidP="0049100D">
      <w:pPr>
        <w:pStyle w:val="NormalHanging12a"/>
      </w:pPr>
      <w:r w:rsidRPr="00E77A50">
        <w:t>–</w:t>
      </w:r>
      <w:r w:rsidRPr="00E77A50">
        <w:tab/>
        <w:t xml:space="preserve">vu l’avis du Comité </w:t>
      </w:r>
      <w:r>
        <w:t xml:space="preserve">des Régions du </w:t>
      </w:r>
      <w:r w:rsidRPr="00CA11CA">
        <w:t>30</w:t>
      </w:r>
      <w:r>
        <w:t xml:space="preserve"> novembre</w:t>
      </w:r>
      <w:r w:rsidRPr="00E77A50">
        <w:t> </w:t>
      </w:r>
      <w:r w:rsidRPr="00CA11CA">
        <w:t>2023</w:t>
      </w:r>
      <w:r>
        <w:rPr>
          <w:rStyle w:val="FootnoteReference"/>
        </w:rPr>
        <w:footnoteReference w:id="3"/>
      </w:r>
      <w:r>
        <w:t>,</w:t>
      </w:r>
    </w:p>
    <w:p w:rsidR="004F0C49" w:rsidRPr="00FC1030" w:rsidRDefault="004F0C49" w:rsidP="004F0C49">
      <w:pPr>
        <w:spacing w:after="240"/>
        <w:ind w:left="567" w:hanging="567"/>
      </w:pPr>
      <w:r w:rsidRPr="00FC1030">
        <w:t>–</w:t>
      </w:r>
      <w:r w:rsidRPr="00FC1030">
        <w:tab/>
        <w:t>vu l’accord provisoire approuvé en vertu de l’article </w:t>
      </w:r>
      <w:r w:rsidRPr="00CA11CA">
        <w:t>74</w:t>
      </w:r>
      <w:r w:rsidRPr="00FC1030">
        <w:t>, paragraphe </w:t>
      </w:r>
      <w:r w:rsidRPr="00CA11CA">
        <w:t>4</w:t>
      </w:r>
      <w:r w:rsidRPr="00FC1030">
        <w:t xml:space="preserve">, de son règlement intérieur par la commission compétente et l’engagement pris par le représentant du Conseil, par lettre du </w:t>
      </w:r>
      <w:r w:rsidRPr="00CA11CA">
        <w:t>21</w:t>
      </w:r>
      <w:r>
        <w:t xml:space="preserve"> mars </w:t>
      </w:r>
      <w:r w:rsidRPr="00CA11CA">
        <w:t>2024</w:t>
      </w:r>
      <w:r w:rsidRPr="00FC1030">
        <w:t>, d’approuver la position du Parlement européen, conformément à l’article </w:t>
      </w:r>
      <w:r w:rsidRPr="00CA11CA">
        <w:t>294</w:t>
      </w:r>
      <w:r w:rsidRPr="00FC1030">
        <w:t>, paragraphe </w:t>
      </w:r>
      <w:r w:rsidRPr="00CA11CA">
        <w:t>4</w:t>
      </w:r>
      <w:r w:rsidRPr="00FC1030">
        <w:t xml:space="preserve">, du traité sur le fonctionnement de l’Union </w:t>
      </w:r>
      <w:r w:rsidRPr="00FC1030">
        <w:lastRenderedPageBreak/>
        <w:t>européenne,</w:t>
      </w:r>
    </w:p>
    <w:p w:rsidR="0049100D" w:rsidRPr="00E77A50" w:rsidRDefault="0049100D" w:rsidP="0049100D">
      <w:pPr>
        <w:pStyle w:val="NormalHanging12a"/>
      </w:pPr>
      <w:r w:rsidRPr="00E77A50">
        <w:t>–</w:t>
      </w:r>
      <w:r w:rsidRPr="00E77A50">
        <w:tab/>
        <w:t>vu l’article </w:t>
      </w:r>
      <w:r w:rsidRPr="00CA11CA">
        <w:t>59</w:t>
      </w:r>
      <w:r w:rsidRPr="00E77A50">
        <w:t xml:space="preserve"> de son règlement intérieur,</w:t>
      </w:r>
    </w:p>
    <w:p w:rsidR="0049100D" w:rsidRPr="00E77A50" w:rsidRDefault="0049100D" w:rsidP="0049100D">
      <w:pPr>
        <w:pStyle w:val="NormalHanging12a"/>
      </w:pPr>
      <w:r w:rsidRPr="00E77A50">
        <w:t>–</w:t>
      </w:r>
      <w:r w:rsidRPr="00E77A50">
        <w:tab/>
        <w:t xml:space="preserve">vu les avis de la commission des affaires internationales et de la commission des transports et du tourisme, </w:t>
      </w:r>
    </w:p>
    <w:p w:rsidR="0049100D" w:rsidRPr="00E77A50" w:rsidRDefault="0049100D" w:rsidP="0049100D">
      <w:pPr>
        <w:pStyle w:val="NormalHanging12a"/>
      </w:pPr>
      <w:r w:rsidRPr="00E77A50">
        <w:t>–</w:t>
      </w:r>
      <w:r w:rsidRPr="00E77A50">
        <w:tab/>
        <w:t>vu le rapport de la commission de l’industrie, de la recherche et de l’énergie (A</w:t>
      </w:r>
      <w:r w:rsidRPr="00CA11CA">
        <w:t>9</w:t>
      </w:r>
      <w:r w:rsidRPr="00E77A50">
        <w:noBreakHyphen/>
      </w:r>
      <w:r w:rsidRPr="00CA11CA">
        <w:t>0426</w:t>
      </w:r>
      <w:r w:rsidRPr="00E77A50">
        <w:t>/</w:t>
      </w:r>
      <w:r w:rsidRPr="00CA11CA">
        <w:t>2023</w:t>
      </w:r>
      <w:r w:rsidRPr="00E77A50">
        <w:t>),</w:t>
      </w:r>
    </w:p>
    <w:p w:rsidR="0049100D" w:rsidRPr="00E77A50" w:rsidRDefault="0049100D" w:rsidP="0049100D">
      <w:pPr>
        <w:pStyle w:val="NormalHanging12a"/>
      </w:pPr>
      <w:r w:rsidRPr="00CA11CA">
        <w:t>1</w:t>
      </w:r>
      <w:r w:rsidRPr="00E77A50">
        <w:t>.</w:t>
      </w:r>
      <w:r w:rsidRPr="00E77A50">
        <w:tab/>
        <w:t>arrête la position en première lecture figurant ci-après;</w:t>
      </w:r>
    </w:p>
    <w:p w:rsidR="0049100D" w:rsidRPr="00BD2ED2" w:rsidRDefault="0049100D" w:rsidP="00BD2ED2">
      <w:pPr>
        <w:pStyle w:val="Normal12Hanging"/>
        <w:ind w:left="567" w:hanging="567"/>
        <w:rPr>
          <w:lang w:val="fr-FR"/>
        </w:rPr>
      </w:pPr>
      <w:r w:rsidRPr="00CA11CA">
        <w:rPr>
          <w:lang w:val="fr-FR"/>
        </w:rPr>
        <w:t>2</w:t>
      </w:r>
      <w:r w:rsidRPr="00BD2ED2">
        <w:rPr>
          <w:lang w:val="fr-FR"/>
        </w:rPr>
        <w:t>.</w:t>
      </w:r>
      <w:r w:rsidRPr="00BD2ED2">
        <w:rPr>
          <w:lang w:val="fr-FR"/>
        </w:rPr>
        <w:tab/>
      </w:r>
      <w:r w:rsidR="005E6BDB">
        <w:rPr>
          <w:lang w:val="fr-FR"/>
        </w:rPr>
        <w:t>prend note de la déclaration de la Commission annexée à la présente résolution</w:t>
      </w:r>
      <w:r w:rsidR="00974282">
        <w:rPr>
          <w:lang w:val="fr-FR"/>
        </w:rPr>
        <w:t>,</w:t>
      </w:r>
      <w:r w:rsidR="005E6BDB">
        <w:rPr>
          <w:lang w:val="fr-FR"/>
        </w:rPr>
        <w:t xml:space="preserve"> qui sera publiée </w:t>
      </w:r>
      <w:r w:rsidR="00974282">
        <w:rPr>
          <w:lang w:val="fr-FR"/>
        </w:rPr>
        <w:t>dans la série C du</w:t>
      </w:r>
      <w:r w:rsidR="005E6BDB">
        <w:rPr>
          <w:i/>
          <w:iCs/>
          <w:lang w:val="fr-FR"/>
        </w:rPr>
        <w:t xml:space="preserve"> Journal officiel de l’Union européenne</w:t>
      </w:r>
      <w:r w:rsidRPr="00BD2ED2">
        <w:rPr>
          <w:lang w:val="fr-FR"/>
        </w:rPr>
        <w:t>;</w:t>
      </w:r>
    </w:p>
    <w:p w:rsidR="0049100D" w:rsidRPr="00E77A50" w:rsidRDefault="0049100D" w:rsidP="0049100D">
      <w:pPr>
        <w:pStyle w:val="NormalHanging12a"/>
      </w:pPr>
      <w:r w:rsidRPr="00CA11CA">
        <w:t>3</w:t>
      </w:r>
      <w:r w:rsidRPr="00E77A50">
        <w:t>.</w:t>
      </w:r>
      <w:r w:rsidRPr="00E77A50">
        <w:tab/>
        <w:t>demande à la Commission de le saisir à nouveau, si elle remplace, modifie de manière substantielle ou entend modifier de manière substantielle sa proposition;</w:t>
      </w:r>
    </w:p>
    <w:p w:rsidR="004D6991" w:rsidRDefault="0049100D" w:rsidP="004D6991">
      <w:pPr>
        <w:pStyle w:val="NormalHanging12a"/>
      </w:pPr>
      <w:r w:rsidRPr="00CA11CA">
        <w:t>4</w:t>
      </w:r>
      <w:r w:rsidRPr="00E77A50">
        <w:t>.</w:t>
      </w:r>
      <w:r w:rsidRPr="00E77A50">
        <w:tab/>
        <w:t>charge sa Présidente de transmettre la position du Parlement au Conseil et à la Commission ainsi qu’aux parlements nationaux.</w:t>
      </w:r>
    </w:p>
    <w:p w:rsidR="00074A84" w:rsidRDefault="00074A84" w:rsidP="004D6991">
      <w:pPr>
        <w:pStyle w:val="NormalHanging12a"/>
        <w:sectPr w:rsidR="00074A84" w:rsidSect="00E77A5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4D6991" w:rsidRPr="00C617B0" w:rsidRDefault="004D6991" w:rsidP="004D6991">
      <w:pPr>
        <w:spacing w:after="240"/>
        <w:rPr>
          <w:b/>
        </w:rPr>
      </w:pPr>
      <w:r>
        <w:rPr>
          <w:b/>
        </w:rPr>
        <w:lastRenderedPageBreak/>
        <w:t>P</w:t>
      </w:r>
      <w:r w:rsidRPr="00CA11CA">
        <w:rPr>
          <w:b/>
        </w:rPr>
        <w:t>9</w:t>
      </w:r>
      <w:r w:rsidRPr="00C617B0">
        <w:rPr>
          <w:b/>
        </w:rPr>
        <w:t>_TC</w:t>
      </w:r>
      <w:r w:rsidRPr="00CA11CA">
        <w:rPr>
          <w:b/>
        </w:rPr>
        <w:t>1</w:t>
      </w:r>
      <w:r w:rsidRPr="00C617B0">
        <w:rPr>
          <w:b/>
        </w:rPr>
        <w:t>-</w:t>
      </w:r>
      <w:proofErr w:type="gramStart"/>
      <w:r w:rsidRPr="00C617B0">
        <w:rPr>
          <w:b/>
        </w:rPr>
        <w:t>COD(</w:t>
      </w:r>
      <w:proofErr w:type="gramEnd"/>
      <w:r w:rsidR="00C762FD" w:rsidRPr="00CA11CA">
        <w:rPr>
          <w:b/>
        </w:rPr>
        <w:t>2023</w:t>
      </w:r>
      <w:r w:rsidRPr="00C617B0">
        <w:rPr>
          <w:b/>
        </w:rPr>
        <w:t>)</w:t>
      </w:r>
      <w:r w:rsidR="00C762FD" w:rsidRPr="00CA11CA">
        <w:rPr>
          <w:b/>
        </w:rPr>
        <w:t>0109</w:t>
      </w:r>
    </w:p>
    <w:p w:rsidR="003F766A" w:rsidRPr="00B36009" w:rsidRDefault="004D6991" w:rsidP="003F766A">
      <w:pPr>
        <w:spacing w:after="240"/>
        <w:rPr>
          <w:b/>
          <w:szCs w:val="24"/>
          <w:lang w:eastAsia="en-US"/>
        </w:rPr>
      </w:pPr>
      <w:r w:rsidRPr="00C92B87">
        <w:rPr>
          <w:b/>
        </w:rPr>
        <w:t xml:space="preserve">Position du Parlement européen </w:t>
      </w:r>
      <w:r w:rsidRPr="007C3D18">
        <w:rPr>
          <w:b/>
        </w:rPr>
        <w:t xml:space="preserve">arrêtée en première lecture le </w:t>
      </w:r>
      <w:r w:rsidR="00C762FD" w:rsidRPr="00CA11CA">
        <w:rPr>
          <w:b/>
        </w:rPr>
        <w:t>24</w:t>
      </w:r>
      <w:r w:rsidR="00C762FD">
        <w:rPr>
          <w:b/>
        </w:rPr>
        <w:t xml:space="preserve"> avril </w:t>
      </w:r>
      <w:r w:rsidR="00C762FD" w:rsidRPr="00CA11CA">
        <w:rPr>
          <w:b/>
        </w:rPr>
        <w:t>2024</w:t>
      </w:r>
      <w:r w:rsidRPr="007C3D18">
        <w:rPr>
          <w:b/>
        </w:rPr>
        <w:t xml:space="preserve"> en vue de l’adoption du </w:t>
      </w:r>
      <w:r w:rsidRPr="00C762FD">
        <w:rPr>
          <w:b/>
        </w:rPr>
        <w:t xml:space="preserve">règlement (UE) </w:t>
      </w:r>
      <w:r w:rsidRPr="00CA11CA">
        <w:rPr>
          <w:b/>
        </w:rPr>
        <w:t>202</w:t>
      </w:r>
      <w:r w:rsidR="00B36009">
        <w:rPr>
          <w:b/>
        </w:rPr>
        <w:t>5</w:t>
      </w:r>
      <w:r w:rsidRPr="007C3D18">
        <w:rPr>
          <w:b/>
        </w:rPr>
        <w:t xml:space="preserve">/... du Parlement européen et du Conseil </w:t>
      </w:r>
      <w:r w:rsidR="003F766A" w:rsidRPr="003F766A">
        <w:rPr>
          <w:b/>
        </w:rPr>
        <w:t xml:space="preserve">établissant des mesures destinées à renforcer la solidarité et les capacités dans l’Union afin de détecter les </w:t>
      </w:r>
      <w:proofErr w:type="spellStart"/>
      <w:r w:rsidR="003F766A" w:rsidRPr="003F766A">
        <w:rPr>
          <w:b/>
        </w:rPr>
        <w:t>cybermenaces</w:t>
      </w:r>
      <w:proofErr w:type="spellEnd"/>
      <w:r w:rsidR="003F766A" w:rsidRPr="003F766A">
        <w:rPr>
          <w:b/>
        </w:rPr>
        <w:t xml:space="preserve"> et incidents, de s’y préparer et d’y </w:t>
      </w:r>
      <w:r w:rsidR="003F766A" w:rsidRPr="00B36009">
        <w:rPr>
          <w:b/>
        </w:rPr>
        <w:t xml:space="preserve">réagir et modifiant le règlement (UE) 2021/694 (règlement sur la </w:t>
      </w:r>
      <w:proofErr w:type="spellStart"/>
      <w:r w:rsidR="003F766A" w:rsidRPr="00B36009">
        <w:rPr>
          <w:b/>
        </w:rPr>
        <w:t>cybersolidarité</w:t>
      </w:r>
      <w:proofErr w:type="spellEnd"/>
      <w:r w:rsidR="003F766A" w:rsidRPr="00B36009">
        <w:rPr>
          <w:b/>
        </w:rPr>
        <w:t>)</w:t>
      </w:r>
    </w:p>
    <w:p w:rsidR="00B36009" w:rsidRDefault="00B36009" w:rsidP="00B36009">
      <w:pPr>
        <w:pStyle w:val="NormalWeb"/>
        <w:spacing w:before="360" w:beforeAutospacing="0" w:after="240" w:afterAutospacing="0"/>
        <w:rPr>
          <w:lang w:val="fr-FR"/>
        </w:rPr>
      </w:pPr>
      <w:r>
        <w:rPr>
          <w:i/>
          <w:iCs/>
          <w:lang w:val="fr-FR"/>
        </w:rPr>
        <w:t>(Étant donné l'accord intervenu entre le Parlement et le Conseil, la position du Parlement correspond à l'acte législatif final, le règlement (UE) 2025/38.)</w:t>
      </w:r>
    </w:p>
    <w:p w:rsidR="00B36009" w:rsidRDefault="00B36009">
      <w:pPr>
        <w:widowControl/>
      </w:pPr>
      <w:r>
        <w:br w:type="page"/>
      </w:r>
    </w:p>
    <w:p w:rsidR="001834DE" w:rsidRDefault="001834DE" w:rsidP="00EA0077">
      <w:pPr>
        <w:kinsoku w:val="0"/>
        <w:overflowPunct w:val="0"/>
        <w:ind w:left="116" w:right="111"/>
        <w:jc w:val="right"/>
      </w:pPr>
      <w:r w:rsidRPr="001834DE">
        <w:lastRenderedPageBreak/>
        <w:t>ANNEXE À LA RÉSOLUTION LÉGISLATIVE</w:t>
      </w:r>
    </w:p>
    <w:p w:rsidR="001834DE" w:rsidRDefault="001834DE" w:rsidP="00EA0077">
      <w:pPr>
        <w:kinsoku w:val="0"/>
        <w:overflowPunct w:val="0"/>
        <w:ind w:left="116" w:right="111"/>
        <w:jc w:val="right"/>
      </w:pPr>
    </w:p>
    <w:p w:rsidR="001834DE" w:rsidRPr="001834DE" w:rsidRDefault="001834DE" w:rsidP="004C3396">
      <w:pPr>
        <w:kinsoku w:val="0"/>
        <w:overflowPunct w:val="0"/>
        <w:spacing w:before="79" w:after="120" w:line="360" w:lineRule="auto"/>
        <w:ind w:right="-2"/>
        <w:jc w:val="center"/>
        <w:rPr>
          <w:b/>
          <w:i/>
          <w:iCs/>
          <w:szCs w:val="24"/>
        </w:rPr>
      </w:pPr>
      <w:r w:rsidRPr="001834DE">
        <w:rPr>
          <w:b/>
          <w:i/>
          <w:iCs/>
          <w:szCs w:val="24"/>
        </w:rPr>
        <w:t xml:space="preserve">Déclaration de la Commission sur le budget concernant le règlement </w:t>
      </w:r>
      <w:r w:rsidR="00B36009">
        <w:rPr>
          <w:b/>
          <w:i/>
          <w:iCs/>
          <w:szCs w:val="24"/>
        </w:rPr>
        <w:t xml:space="preserve">(UE) 2025/38 </w:t>
      </w:r>
      <w:r w:rsidRPr="001834DE">
        <w:rPr>
          <w:b/>
          <w:i/>
          <w:iCs/>
          <w:szCs w:val="24"/>
        </w:rPr>
        <w:t xml:space="preserve">du Parlement européen et du Conseil </w:t>
      </w:r>
      <w:r w:rsidR="00B36009">
        <w:rPr>
          <w:b/>
          <w:i/>
          <w:iCs/>
          <w:szCs w:val="24"/>
        </w:rPr>
        <w:t xml:space="preserve">du 19 décembre 2024 </w:t>
      </w:r>
      <w:r w:rsidRPr="001834DE">
        <w:rPr>
          <w:b/>
          <w:i/>
          <w:iCs/>
          <w:szCs w:val="24"/>
        </w:rPr>
        <w:t xml:space="preserve">établissant des mesures destinées à renforcer la solidarité et les capacités dans l’Union afin de détecter les menaces et incidents de </w:t>
      </w:r>
      <w:proofErr w:type="spellStart"/>
      <w:r w:rsidRPr="001834DE">
        <w:rPr>
          <w:b/>
          <w:i/>
          <w:iCs/>
          <w:szCs w:val="24"/>
        </w:rPr>
        <w:t>cybersécurité</w:t>
      </w:r>
      <w:proofErr w:type="spellEnd"/>
      <w:r w:rsidRPr="001834DE">
        <w:rPr>
          <w:b/>
          <w:i/>
          <w:iCs/>
          <w:szCs w:val="24"/>
        </w:rPr>
        <w:t xml:space="preserve">, de s’y préparer et d’y réagir </w:t>
      </w:r>
      <w:bookmarkStart w:id="8" w:name="_GoBack"/>
      <w:bookmarkEnd w:id="8"/>
      <w:r w:rsidRPr="001834DE">
        <w:rPr>
          <w:b/>
          <w:i/>
          <w:iCs/>
          <w:szCs w:val="24"/>
        </w:rPr>
        <w:t xml:space="preserve">(Règlement sur la </w:t>
      </w:r>
      <w:proofErr w:type="spellStart"/>
      <w:r w:rsidRPr="001834DE">
        <w:rPr>
          <w:b/>
          <w:i/>
          <w:iCs/>
          <w:szCs w:val="24"/>
        </w:rPr>
        <w:t>cybersolidarité</w:t>
      </w:r>
      <w:proofErr w:type="spellEnd"/>
      <w:r w:rsidRPr="001834DE">
        <w:rPr>
          <w:b/>
          <w:i/>
          <w:iCs/>
          <w:szCs w:val="24"/>
        </w:rPr>
        <w:t>)</w:t>
      </w:r>
      <w:r w:rsidR="00B36009">
        <w:rPr>
          <w:rStyle w:val="FootnoteReference"/>
          <w:b/>
          <w:i/>
          <w:iCs/>
          <w:szCs w:val="24"/>
        </w:rPr>
        <w:footnoteReference w:id="4"/>
      </w:r>
    </w:p>
    <w:p w:rsidR="001834DE" w:rsidRPr="001834DE" w:rsidRDefault="001834DE" w:rsidP="00EA0077">
      <w:pPr>
        <w:numPr>
          <w:ilvl w:val="0"/>
          <w:numId w:val="16"/>
        </w:numPr>
        <w:kinsoku w:val="0"/>
        <w:overflowPunct w:val="0"/>
        <w:autoSpaceDE w:val="0"/>
        <w:autoSpaceDN w:val="0"/>
        <w:adjustRightInd w:val="0"/>
        <w:spacing w:before="79" w:line="360" w:lineRule="auto"/>
        <w:ind w:left="709" w:right="111" w:hanging="720"/>
        <w:contextualSpacing/>
        <w:rPr>
          <w:iCs/>
          <w:szCs w:val="24"/>
        </w:rPr>
      </w:pPr>
      <w:r w:rsidRPr="001834DE">
        <w:rPr>
          <w:szCs w:val="24"/>
        </w:rPr>
        <w:t xml:space="preserve">La fiche financière législative de la Commission qui accompagne la proposition relative au règlement sur la </w:t>
      </w:r>
      <w:proofErr w:type="spellStart"/>
      <w:r w:rsidRPr="001834DE">
        <w:rPr>
          <w:szCs w:val="24"/>
        </w:rPr>
        <w:t>cybersolidarité</w:t>
      </w:r>
      <w:proofErr w:type="spellEnd"/>
      <w:r w:rsidRPr="001834DE">
        <w:rPr>
          <w:szCs w:val="24"/>
        </w:rPr>
        <w:t xml:space="preserve"> a été publiée en avril </w:t>
      </w:r>
      <w:r w:rsidRPr="00CA11CA">
        <w:rPr>
          <w:szCs w:val="24"/>
        </w:rPr>
        <w:t>2023</w:t>
      </w:r>
      <w:r w:rsidRPr="001834DE">
        <w:rPr>
          <w:szCs w:val="24"/>
        </w:rPr>
        <w:t>. Depuis cette date, les estimations pertinentes ont connu des modifications en raison de l’adoption ou de l’adoption prévue d’autres actes législatifs.</w:t>
      </w:r>
    </w:p>
    <w:p w:rsidR="001834DE" w:rsidRPr="001834DE" w:rsidRDefault="001834DE" w:rsidP="00EA0077">
      <w:pPr>
        <w:numPr>
          <w:ilvl w:val="0"/>
          <w:numId w:val="16"/>
        </w:numPr>
        <w:kinsoku w:val="0"/>
        <w:overflowPunct w:val="0"/>
        <w:autoSpaceDE w:val="0"/>
        <w:autoSpaceDN w:val="0"/>
        <w:adjustRightInd w:val="0"/>
        <w:spacing w:before="79" w:line="360" w:lineRule="auto"/>
        <w:ind w:left="709" w:right="111" w:hanging="720"/>
        <w:contextualSpacing/>
        <w:rPr>
          <w:iCs/>
          <w:szCs w:val="24"/>
        </w:rPr>
      </w:pPr>
      <w:r w:rsidRPr="001834DE">
        <w:rPr>
          <w:szCs w:val="24"/>
        </w:rPr>
        <w:t xml:space="preserve">Le </w:t>
      </w:r>
      <w:r w:rsidRPr="00CA11CA">
        <w:rPr>
          <w:szCs w:val="24"/>
        </w:rPr>
        <w:t>5</w:t>
      </w:r>
      <w:r w:rsidRPr="001834DE">
        <w:rPr>
          <w:szCs w:val="24"/>
        </w:rPr>
        <w:t> mars </w:t>
      </w:r>
      <w:r w:rsidRPr="00CA11CA">
        <w:rPr>
          <w:szCs w:val="24"/>
        </w:rPr>
        <w:t>2024</w:t>
      </w:r>
      <w:r w:rsidRPr="001834DE">
        <w:rPr>
          <w:szCs w:val="24"/>
        </w:rPr>
        <w:t xml:space="preserve">, les </w:t>
      </w:r>
      <w:proofErr w:type="spellStart"/>
      <w:r w:rsidRPr="001834DE">
        <w:rPr>
          <w:szCs w:val="24"/>
        </w:rPr>
        <w:t>colégislateurs</w:t>
      </w:r>
      <w:proofErr w:type="spellEnd"/>
      <w:r w:rsidRPr="001834DE">
        <w:rPr>
          <w:szCs w:val="24"/>
        </w:rPr>
        <w:t xml:space="preserve"> sont parvenus à un accord politique préliminaire qui prévoit que le montant réaffecté depuis l’objectif spécifique n° </w:t>
      </w:r>
      <w:r w:rsidRPr="00CA11CA">
        <w:rPr>
          <w:szCs w:val="24"/>
        </w:rPr>
        <w:t>4</w:t>
      </w:r>
      <w:proofErr w:type="gramStart"/>
      <w:r w:rsidRPr="001834DE">
        <w:rPr>
          <w:szCs w:val="24"/>
        </w:rPr>
        <w:t xml:space="preserve"> «Compétences</w:t>
      </w:r>
      <w:proofErr w:type="gramEnd"/>
      <w:r w:rsidRPr="001834DE">
        <w:rPr>
          <w:szCs w:val="24"/>
        </w:rPr>
        <w:t xml:space="preserve"> numériques avancées» à l’objectif spécifique n° </w:t>
      </w:r>
      <w:r w:rsidRPr="00CA11CA">
        <w:rPr>
          <w:szCs w:val="24"/>
        </w:rPr>
        <w:t>3</w:t>
      </w:r>
      <w:r w:rsidRPr="001834DE">
        <w:rPr>
          <w:szCs w:val="24"/>
        </w:rPr>
        <w:t xml:space="preserve"> «</w:t>
      </w:r>
      <w:proofErr w:type="spellStart"/>
      <w:r w:rsidRPr="001834DE">
        <w:rPr>
          <w:szCs w:val="24"/>
        </w:rPr>
        <w:t>Cybersécurité</w:t>
      </w:r>
      <w:proofErr w:type="spellEnd"/>
      <w:r w:rsidRPr="001834DE">
        <w:rPr>
          <w:szCs w:val="24"/>
        </w:rPr>
        <w:t xml:space="preserve"> et confiance» du programme pour une Europe numérique, prévu dans la fiche financière législative, sera limité à </w:t>
      </w:r>
      <w:r w:rsidRPr="00CA11CA">
        <w:rPr>
          <w:szCs w:val="24"/>
        </w:rPr>
        <w:t>22</w:t>
      </w:r>
      <w:r w:rsidRPr="001834DE">
        <w:rPr>
          <w:szCs w:val="24"/>
        </w:rPr>
        <w:t> millions d’EUR.</w:t>
      </w:r>
    </w:p>
    <w:p w:rsidR="001834DE" w:rsidRPr="001834DE" w:rsidRDefault="001834DE" w:rsidP="00EA0077">
      <w:pPr>
        <w:numPr>
          <w:ilvl w:val="0"/>
          <w:numId w:val="16"/>
        </w:numPr>
        <w:kinsoku w:val="0"/>
        <w:overflowPunct w:val="0"/>
        <w:autoSpaceDE w:val="0"/>
        <w:autoSpaceDN w:val="0"/>
        <w:adjustRightInd w:val="0"/>
        <w:spacing w:before="79" w:line="360" w:lineRule="auto"/>
        <w:ind w:left="709" w:right="111" w:hanging="720"/>
        <w:contextualSpacing/>
        <w:rPr>
          <w:iCs/>
          <w:szCs w:val="24"/>
        </w:rPr>
      </w:pPr>
      <w:r w:rsidRPr="001834DE">
        <w:rPr>
          <w:szCs w:val="24"/>
        </w:rPr>
        <w:t xml:space="preserve">Pour respecter les termes de l’accord politique préliminaire, la Commission a mis à jour, dans la fiche financière législative du règlement sur la </w:t>
      </w:r>
      <w:proofErr w:type="spellStart"/>
      <w:r w:rsidRPr="001834DE">
        <w:rPr>
          <w:szCs w:val="24"/>
        </w:rPr>
        <w:t>cybersolidarité</w:t>
      </w:r>
      <w:proofErr w:type="spellEnd"/>
      <w:r w:rsidRPr="001834DE">
        <w:rPr>
          <w:szCs w:val="24"/>
        </w:rPr>
        <w:t>, les enveloppes financières prévues pour l’objectif spécifique n° </w:t>
      </w:r>
      <w:r w:rsidRPr="00CA11CA">
        <w:rPr>
          <w:szCs w:val="24"/>
        </w:rPr>
        <w:t>2</w:t>
      </w:r>
      <w:proofErr w:type="gramStart"/>
      <w:r w:rsidRPr="001834DE">
        <w:rPr>
          <w:szCs w:val="24"/>
        </w:rPr>
        <w:t xml:space="preserve"> «Intelligence</w:t>
      </w:r>
      <w:proofErr w:type="gramEnd"/>
      <w:r w:rsidRPr="001834DE">
        <w:rPr>
          <w:szCs w:val="24"/>
        </w:rPr>
        <w:t xml:space="preserve"> artificielle», l’objectif spécifique n° </w:t>
      </w:r>
      <w:r w:rsidRPr="00CA11CA">
        <w:rPr>
          <w:szCs w:val="24"/>
        </w:rPr>
        <w:t>3</w:t>
      </w:r>
      <w:r w:rsidRPr="001834DE">
        <w:rPr>
          <w:szCs w:val="24"/>
        </w:rPr>
        <w:t xml:space="preserve"> «</w:t>
      </w:r>
      <w:proofErr w:type="spellStart"/>
      <w:r w:rsidRPr="001834DE">
        <w:rPr>
          <w:szCs w:val="24"/>
        </w:rPr>
        <w:t>Cybersécurité</w:t>
      </w:r>
      <w:proofErr w:type="spellEnd"/>
      <w:r w:rsidRPr="001834DE">
        <w:rPr>
          <w:szCs w:val="24"/>
        </w:rPr>
        <w:t xml:space="preserve"> et confiance» et l’objectif spécifique n° </w:t>
      </w:r>
      <w:r w:rsidRPr="00CA11CA">
        <w:rPr>
          <w:szCs w:val="24"/>
        </w:rPr>
        <w:t>4</w:t>
      </w:r>
      <w:r w:rsidRPr="001834DE">
        <w:rPr>
          <w:szCs w:val="24"/>
        </w:rPr>
        <w:t xml:space="preserve"> «Compétences numériques avancées», en tenant compte de la réaffectation convenue par les </w:t>
      </w:r>
      <w:proofErr w:type="spellStart"/>
      <w:r w:rsidRPr="001834DE">
        <w:rPr>
          <w:szCs w:val="24"/>
        </w:rPr>
        <w:t>colégislateurs</w:t>
      </w:r>
      <w:proofErr w:type="spellEnd"/>
      <w:r w:rsidRPr="001834DE">
        <w:rPr>
          <w:szCs w:val="24"/>
        </w:rPr>
        <w:t>.</w:t>
      </w:r>
    </w:p>
    <w:p w:rsidR="001834DE" w:rsidRPr="001834DE" w:rsidRDefault="001834DE" w:rsidP="00EA0077">
      <w:pPr>
        <w:numPr>
          <w:ilvl w:val="0"/>
          <w:numId w:val="16"/>
        </w:numPr>
        <w:kinsoku w:val="0"/>
        <w:overflowPunct w:val="0"/>
        <w:autoSpaceDE w:val="0"/>
        <w:autoSpaceDN w:val="0"/>
        <w:adjustRightInd w:val="0"/>
        <w:spacing w:before="79" w:line="360" w:lineRule="auto"/>
        <w:ind w:left="709" w:right="111" w:hanging="720"/>
        <w:contextualSpacing/>
        <w:rPr>
          <w:iCs/>
          <w:szCs w:val="24"/>
        </w:rPr>
      </w:pPr>
      <w:r w:rsidRPr="001834DE">
        <w:rPr>
          <w:szCs w:val="24"/>
        </w:rPr>
        <w:t>En conséquence, les enveloppes financières pour la période </w:t>
      </w:r>
      <w:r w:rsidRPr="00CA11CA">
        <w:rPr>
          <w:szCs w:val="24"/>
        </w:rPr>
        <w:t>2025</w:t>
      </w:r>
      <w:r w:rsidRPr="001834DE">
        <w:rPr>
          <w:szCs w:val="24"/>
        </w:rPr>
        <w:noBreakHyphen/>
      </w:r>
      <w:r w:rsidRPr="00CA11CA">
        <w:rPr>
          <w:szCs w:val="24"/>
        </w:rPr>
        <w:t>2027</w:t>
      </w:r>
      <w:r w:rsidRPr="001834DE">
        <w:rPr>
          <w:szCs w:val="24"/>
        </w:rPr>
        <w:t xml:space="preserve"> prévues dans la fiche financière législative sont, sans préjudice des pouvoirs de la Commission dans le cadre de la procédure budgétaire annuelle:</w:t>
      </w:r>
    </w:p>
    <w:p w:rsidR="001834DE" w:rsidRPr="001834DE" w:rsidRDefault="001834DE" w:rsidP="00EA0077">
      <w:pPr>
        <w:numPr>
          <w:ilvl w:val="0"/>
          <w:numId w:val="18"/>
        </w:numPr>
        <w:kinsoku w:val="0"/>
        <w:overflowPunct w:val="0"/>
        <w:autoSpaceDE w:val="0"/>
        <w:autoSpaceDN w:val="0"/>
        <w:adjustRightInd w:val="0"/>
        <w:spacing w:line="360" w:lineRule="auto"/>
        <w:ind w:right="111"/>
        <w:rPr>
          <w:iCs/>
          <w:szCs w:val="24"/>
        </w:rPr>
      </w:pPr>
      <w:proofErr w:type="gramStart"/>
      <w:r w:rsidRPr="001834DE">
        <w:rPr>
          <w:szCs w:val="24"/>
        </w:rPr>
        <w:t>de</w:t>
      </w:r>
      <w:proofErr w:type="gramEnd"/>
      <w:r w:rsidRPr="001834DE">
        <w:rPr>
          <w:szCs w:val="24"/>
        </w:rPr>
        <w:t xml:space="preserve"> [</w:t>
      </w:r>
      <w:r w:rsidRPr="00CA11CA">
        <w:rPr>
          <w:szCs w:val="24"/>
        </w:rPr>
        <w:t>544</w:t>
      </w:r>
      <w:r w:rsidRPr="001834DE">
        <w:rPr>
          <w:szCs w:val="24"/>
        </w:rPr>
        <w:t> </w:t>
      </w:r>
      <w:r w:rsidRPr="00CA11CA">
        <w:rPr>
          <w:szCs w:val="24"/>
        </w:rPr>
        <w:t>726</w:t>
      </w:r>
      <w:r w:rsidRPr="001834DE">
        <w:rPr>
          <w:szCs w:val="24"/>
        </w:rPr>
        <w:t> </w:t>
      </w:r>
      <w:r w:rsidRPr="00CA11CA">
        <w:rPr>
          <w:szCs w:val="24"/>
        </w:rPr>
        <w:t>000</w:t>
      </w:r>
      <w:r w:rsidRPr="001834DE">
        <w:rPr>
          <w:szCs w:val="24"/>
        </w:rPr>
        <w:t> EUR] pour l’objectif spécifique n° </w:t>
      </w:r>
      <w:r w:rsidRPr="00CA11CA">
        <w:rPr>
          <w:szCs w:val="24"/>
        </w:rPr>
        <w:t>2</w:t>
      </w:r>
      <w:r w:rsidRPr="001834DE">
        <w:rPr>
          <w:szCs w:val="24"/>
        </w:rPr>
        <w:t xml:space="preserve"> «Intelligence artificielle», compte tenu du montant de </w:t>
      </w:r>
      <w:r w:rsidRPr="00CA11CA">
        <w:rPr>
          <w:szCs w:val="24"/>
        </w:rPr>
        <w:t>65</w:t>
      </w:r>
      <w:r w:rsidRPr="001834DE">
        <w:rPr>
          <w:szCs w:val="24"/>
        </w:rPr>
        <w:t> millions d’EUR réaffecté à l’objectif spécifique n° </w:t>
      </w:r>
      <w:r w:rsidRPr="00CA11CA">
        <w:rPr>
          <w:szCs w:val="24"/>
        </w:rPr>
        <w:t>3</w:t>
      </w:r>
      <w:r w:rsidRPr="001834DE">
        <w:rPr>
          <w:szCs w:val="24"/>
        </w:rPr>
        <w:t xml:space="preserve"> «</w:t>
      </w:r>
      <w:proofErr w:type="spellStart"/>
      <w:r w:rsidRPr="001834DE">
        <w:rPr>
          <w:szCs w:val="24"/>
        </w:rPr>
        <w:t>Cybersécurité</w:t>
      </w:r>
      <w:proofErr w:type="spellEnd"/>
      <w:r w:rsidRPr="001834DE">
        <w:rPr>
          <w:szCs w:val="24"/>
        </w:rPr>
        <w:t xml:space="preserve"> et confiance»;</w:t>
      </w:r>
    </w:p>
    <w:p w:rsidR="001834DE" w:rsidRPr="001834DE" w:rsidRDefault="001834DE" w:rsidP="00EA0077">
      <w:pPr>
        <w:numPr>
          <w:ilvl w:val="0"/>
          <w:numId w:val="18"/>
        </w:numPr>
        <w:kinsoku w:val="0"/>
        <w:overflowPunct w:val="0"/>
        <w:autoSpaceDE w:val="0"/>
        <w:autoSpaceDN w:val="0"/>
        <w:adjustRightInd w:val="0"/>
        <w:spacing w:before="1" w:line="360" w:lineRule="auto"/>
        <w:ind w:right="110"/>
        <w:rPr>
          <w:iCs/>
          <w:szCs w:val="24"/>
        </w:rPr>
      </w:pPr>
      <w:r w:rsidRPr="001834DE">
        <w:rPr>
          <w:szCs w:val="24"/>
        </w:rPr>
        <w:t>de [</w:t>
      </w:r>
      <w:r w:rsidRPr="00CA11CA">
        <w:rPr>
          <w:szCs w:val="24"/>
        </w:rPr>
        <w:t>44</w:t>
      </w:r>
      <w:r w:rsidRPr="001834DE">
        <w:rPr>
          <w:szCs w:val="24"/>
        </w:rPr>
        <w:t> </w:t>
      </w:r>
      <w:r w:rsidRPr="00CA11CA">
        <w:rPr>
          <w:szCs w:val="24"/>
        </w:rPr>
        <w:t>451</w:t>
      </w:r>
      <w:r w:rsidRPr="001834DE">
        <w:rPr>
          <w:szCs w:val="24"/>
        </w:rPr>
        <w:t> </w:t>
      </w:r>
      <w:r w:rsidRPr="00CA11CA">
        <w:rPr>
          <w:szCs w:val="24"/>
        </w:rPr>
        <w:t>000</w:t>
      </w:r>
      <w:r w:rsidRPr="001834DE">
        <w:rPr>
          <w:szCs w:val="24"/>
        </w:rPr>
        <w:t> EUR] pour l’objectif spécifique n° </w:t>
      </w:r>
      <w:r w:rsidRPr="00CA11CA">
        <w:rPr>
          <w:szCs w:val="24"/>
        </w:rPr>
        <w:t>3</w:t>
      </w:r>
      <w:r w:rsidRPr="001834DE">
        <w:rPr>
          <w:szCs w:val="24"/>
        </w:rPr>
        <w:t xml:space="preserve"> «</w:t>
      </w:r>
      <w:proofErr w:type="spellStart"/>
      <w:r w:rsidRPr="001834DE">
        <w:rPr>
          <w:szCs w:val="24"/>
        </w:rPr>
        <w:t>Cybersécurité</w:t>
      </w:r>
      <w:proofErr w:type="spellEnd"/>
      <w:r w:rsidRPr="001834DE">
        <w:rPr>
          <w:szCs w:val="24"/>
        </w:rPr>
        <w:t xml:space="preserve"> et confiance», partie en gestion directe par la Commission, y compris un montant de </w:t>
      </w:r>
      <w:r w:rsidRPr="00CA11CA">
        <w:rPr>
          <w:szCs w:val="24"/>
        </w:rPr>
        <w:t>26</w:t>
      </w:r>
      <w:r w:rsidRPr="001834DE">
        <w:rPr>
          <w:szCs w:val="24"/>
        </w:rPr>
        <w:t> millions d’EUR réaffecté des objectifs spécifiques n</w:t>
      </w:r>
      <w:r w:rsidRPr="001834DE">
        <w:rPr>
          <w:szCs w:val="24"/>
          <w:vertAlign w:val="superscript"/>
        </w:rPr>
        <w:t>os</w:t>
      </w:r>
      <w:r w:rsidRPr="001834DE">
        <w:rPr>
          <w:szCs w:val="24"/>
        </w:rPr>
        <w:t> </w:t>
      </w:r>
      <w:r w:rsidRPr="00CA11CA">
        <w:rPr>
          <w:szCs w:val="24"/>
        </w:rPr>
        <w:t>2</w:t>
      </w:r>
      <w:r w:rsidRPr="001834DE">
        <w:rPr>
          <w:szCs w:val="24"/>
        </w:rPr>
        <w:t xml:space="preserve"> et </w:t>
      </w:r>
      <w:r w:rsidRPr="00CA11CA">
        <w:rPr>
          <w:szCs w:val="24"/>
        </w:rPr>
        <w:t>4</w:t>
      </w:r>
      <w:r w:rsidRPr="001834DE">
        <w:rPr>
          <w:szCs w:val="24"/>
        </w:rPr>
        <w:t>;</w:t>
      </w:r>
      <w:r w:rsidR="00D53C8A">
        <w:rPr>
          <w:szCs w:val="24"/>
        </w:rPr>
        <w:br/>
      </w:r>
    </w:p>
    <w:p w:rsidR="001834DE" w:rsidRPr="001834DE" w:rsidRDefault="001834DE" w:rsidP="00EA0077">
      <w:pPr>
        <w:numPr>
          <w:ilvl w:val="0"/>
          <w:numId w:val="18"/>
        </w:numPr>
        <w:kinsoku w:val="0"/>
        <w:overflowPunct w:val="0"/>
        <w:autoSpaceDE w:val="0"/>
        <w:autoSpaceDN w:val="0"/>
        <w:adjustRightInd w:val="0"/>
        <w:spacing w:line="360" w:lineRule="auto"/>
        <w:ind w:right="110"/>
        <w:rPr>
          <w:iCs/>
          <w:szCs w:val="24"/>
        </w:rPr>
      </w:pPr>
      <w:proofErr w:type="gramStart"/>
      <w:r w:rsidRPr="001834DE">
        <w:rPr>
          <w:szCs w:val="24"/>
        </w:rPr>
        <w:t>de</w:t>
      </w:r>
      <w:proofErr w:type="gramEnd"/>
      <w:r w:rsidRPr="001834DE">
        <w:rPr>
          <w:szCs w:val="24"/>
        </w:rPr>
        <w:t xml:space="preserve"> [</w:t>
      </w:r>
      <w:r w:rsidRPr="00CA11CA">
        <w:rPr>
          <w:szCs w:val="24"/>
        </w:rPr>
        <w:t>353</w:t>
      </w:r>
      <w:r w:rsidRPr="001834DE">
        <w:rPr>
          <w:szCs w:val="24"/>
        </w:rPr>
        <w:t> </w:t>
      </w:r>
      <w:r w:rsidRPr="00CA11CA">
        <w:rPr>
          <w:szCs w:val="24"/>
        </w:rPr>
        <w:t>190</w:t>
      </w:r>
      <w:r w:rsidRPr="001834DE">
        <w:rPr>
          <w:szCs w:val="24"/>
        </w:rPr>
        <w:t> </w:t>
      </w:r>
      <w:r w:rsidRPr="00CA11CA">
        <w:rPr>
          <w:szCs w:val="24"/>
        </w:rPr>
        <w:t>613</w:t>
      </w:r>
      <w:r w:rsidRPr="001834DE">
        <w:rPr>
          <w:szCs w:val="24"/>
        </w:rPr>
        <w:t> EUR] pour l’objectif spécifique n° </w:t>
      </w:r>
      <w:r w:rsidRPr="00CA11CA">
        <w:rPr>
          <w:szCs w:val="24"/>
        </w:rPr>
        <w:t>3</w:t>
      </w:r>
      <w:r w:rsidRPr="001834DE">
        <w:rPr>
          <w:szCs w:val="24"/>
        </w:rPr>
        <w:t xml:space="preserve"> «</w:t>
      </w:r>
      <w:proofErr w:type="spellStart"/>
      <w:r w:rsidRPr="001834DE">
        <w:rPr>
          <w:szCs w:val="24"/>
        </w:rPr>
        <w:t>Cybersécurité</w:t>
      </w:r>
      <w:proofErr w:type="spellEnd"/>
      <w:r w:rsidRPr="001834DE">
        <w:rPr>
          <w:szCs w:val="24"/>
        </w:rPr>
        <w:t xml:space="preserve"> et </w:t>
      </w:r>
      <w:r w:rsidRPr="001834DE">
        <w:rPr>
          <w:szCs w:val="24"/>
        </w:rPr>
        <w:lastRenderedPageBreak/>
        <w:t xml:space="preserve">confiance», partie gérée par le Centre de compétences européen en matière de </w:t>
      </w:r>
      <w:proofErr w:type="spellStart"/>
      <w:r w:rsidRPr="001834DE">
        <w:rPr>
          <w:szCs w:val="24"/>
        </w:rPr>
        <w:t>cybersécurité</w:t>
      </w:r>
      <w:proofErr w:type="spellEnd"/>
      <w:r w:rsidRPr="001834DE">
        <w:rPr>
          <w:szCs w:val="24"/>
        </w:rPr>
        <w:t xml:space="preserve">, y compris un montant de </w:t>
      </w:r>
      <w:r w:rsidRPr="00CA11CA">
        <w:rPr>
          <w:szCs w:val="24"/>
        </w:rPr>
        <w:t>61</w:t>
      </w:r>
      <w:r w:rsidRPr="001834DE">
        <w:rPr>
          <w:szCs w:val="24"/>
        </w:rPr>
        <w:t> millions d’EUR réaffecté des objectifs spécifiques n</w:t>
      </w:r>
      <w:r w:rsidRPr="001834DE">
        <w:rPr>
          <w:szCs w:val="24"/>
          <w:vertAlign w:val="superscript"/>
        </w:rPr>
        <w:t>os</w:t>
      </w:r>
      <w:r w:rsidRPr="001834DE">
        <w:rPr>
          <w:szCs w:val="24"/>
        </w:rPr>
        <w:t> </w:t>
      </w:r>
      <w:r w:rsidRPr="00CA11CA">
        <w:rPr>
          <w:szCs w:val="24"/>
        </w:rPr>
        <w:t>2</w:t>
      </w:r>
      <w:r w:rsidRPr="001834DE">
        <w:rPr>
          <w:szCs w:val="24"/>
        </w:rPr>
        <w:t xml:space="preserve"> et </w:t>
      </w:r>
      <w:r w:rsidRPr="00CA11CA">
        <w:rPr>
          <w:szCs w:val="24"/>
        </w:rPr>
        <w:t>4</w:t>
      </w:r>
      <w:r w:rsidRPr="001834DE">
        <w:rPr>
          <w:szCs w:val="24"/>
        </w:rPr>
        <w:t>;</w:t>
      </w:r>
    </w:p>
    <w:p w:rsidR="001834DE" w:rsidRPr="001834DE" w:rsidRDefault="001834DE" w:rsidP="00EA0077">
      <w:pPr>
        <w:numPr>
          <w:ilvl w:val="0"/>
          <w:numId w:val="19"/>
        </w:numPr>
        <w:tabs>
          <w:tab w:val="left" w:pos="1560"/>
        </w:tabs>
        <w:kinsoku w:val="0"/>
        <w:overflowPunct w:val="0"/>
        <w:autoSpaceDE w:val="0"/>
        <w:autoSpaceDN w:val="0"/>
        <w:adjustRightInd w:val="0"/>
        <w:spacing w:line="360" w:lineRule="auto"/>
        <w:ind w:right="110"/>
        <w:rPr>
          <w:iCs/>
          <w:szCs w:val="24"/>
        </w:rPr>
      </w:pPr>
      <w:proofErr w:type="gramStart"/>
      <w:r w:rsidRPr="001834DE">
        <w:rPr>
          <w:szCs w:val="24"/>
        </w:rPr>
        <w:t>de</w:t>
      </w:r>
      <w:proofErr w:type="gramEnd"/>
      <w:r w:rsidRPr="001834DE">
        <w:rPr>
          <w:szCs w:val="24"/>
        </w:rPr>
        <w:t xml:space="preserve"> [</w:t>
      </w:r>
      <w:r w:rsidRPr="00CA11CA">
        <w:rPr>
          <w:szCs w:val="24"/>
        </w:rPr>
        <w:t>167</w:t>
      </w:r>
      <w:r w:rsidRPr="001834DE">
        <w:rPr>
          <w:szCs w:val="24"/>
        </w:rPr>
        <w:t> </w:t>
      </w:r>
      <w:r w:rsidRPr="00CA11CA">
        <w:rPr>
          <w:szCs w:val="24"/>
        </w:rPr>
        <w:t>162</w:t>
      </w:r>
      <w:r w:rsidRPr="001834DE">
        <w:rPr>
          <w:szCs w:val="24"/>
        </w:rPr>
        <w:t> </w:t>
      </w:r>
      <w:r w:rsidRPr="00CA11CA">
        <w:rPr>
          <w:szCs w:val="24"/>
        </w:rPr>
        <w:t>423</w:t>
      </w:r>
      <w:r w:rsidRPr="001834DE">
        <w:rPr>
          <w:szCs w:val="24"/>
        </w:rPr>
        <w:t> EUR] pour l’objectif spécifique n° </w:t>
      </w:r>
      <w:r w:rsidRPr="00CA11CA">
        <w:rPr>
          <w:szCs w:val="24"/>
        </w:rPr>
        <w:t>4</w:t>
      </w:r>
      <w:r w:rsidRPr="001834DE">
        <w:rPr>
          <w:szCs w:val="24"/>
        </w:rPr>
        <w:t xml:space="preserve"> «Compétences numériques avancées», compte tenu du montant de </w:t>
      </w:r>
      <w:r w:rsidRPr="00CA11CA">
        <w:rPr>
          <w:szCs w:val="24"/>
        </w:rPr>
        <w:t>22</w:t>
      </w:r>
      <w:r w:rsidRPr="001834DE">
        <w:rPr>
          <w:szCs w:val="24"/>
        </w:rPr>
        <w:t> millions d’EUR réaffecté à l’objectif spécifique n° </w:t>
      </w:r>
      <w:r w:rsidRPr="00CA11CA">
        <w:rPr>
          <w:szCs w:val="24"/>
        </w:rPr>
        <w:t>3</w:t>
      </w:r>
      <w:r w:rsidRPr="001834DE">
        <w:rPr>
          <w:szCs w:val="24"/>
        </w:rPr>
        <w:t xml:space="preserve"> «</w:t>
      </w:r>
      <w:proofErr w:type="spellStart"/>
      <w:r w:rsidRPr="001834DE">
        <w:rPr>
          <w:szCs w:val="24"/>
        </w:rPr>
        <w:t>Cybersécurité</w:t>
      </w:r>
      <w:proofErr w:type="spellEnd"/>
      <w:r w:rsidRPr="001834DE">
        <w:rPr>
          <w:szCs w:val="24"/>
        </w:rPr>
        <w:t xml:space="preserve"> et confiance».</w:t>
      </w:r>
    </w:p>
    <w:p w:rsidR="00DF3223" w:rsidRPr="00EA0077" w:rsidRDefault="001834DE" w:rsidP="002B4BC2">
      <w:pPr>
        <w:numPr>
          <w:ilvl w:val="0"/>
          <w:numId w:val="16"/>
        </w:numPr>
        <w:kinsoku w:val="0"/>
        <w:overflowPunct w:val="0"/>
        <w:autoSpaceDE w:val="0"/>
        <w:autoSpaceDN w:val="0"/>
        <w:adjustRightInd w:val="0"/>
        <w:spacing w:before="233" w:line="360" w:lineRule="auto"/>
        <w:ind w:left="709" w:right="113" w:hanging="720"/>
        <w:contextualSpacing/>
      </w:pPr>
      <w:r w:rsidRPr="00074A84">
        <w:rPr>
          <w:szCs w:val="24"/>
        </w:rPr>
        <w:t xml:space="preserve">La réserve de </w:t>
      </w:r>
      <w:proofErr w:type="spellStart"/>
      <w:r w:rsidRPr="00074A84">
        <w:rPr>
          <w:szCs w:val="24"/>
        </w:rPr>
        <w:t>cybersécurité</w:t>
      </w:r>
      <w:proofErr w:type="spellEnd"/>
      <w:r w:rsidRPr="00074A84">
        <w:rPr>
          <w:szCs w:val="24"/>
        </w:rPr>
        <w:t xml:space="preserve"> de l’Union sera financée à partir de l’enveloppe financière de l’objectif spécifique n° 3</w:t>
      </w:r>
      <w:proofErr w:type="gramStart"/>
      <w:r w:rsidRPr="00074A84">
        <w:rPr>
          <w:szCs w:val="24"/>
        </w:rPr>
        <w:t xml:space="preserve"> «</w:t>
      </w:r>
      <w:proofErr w:type="spellStart"/>
      <w:r w:rsidRPr="00074A84">
        <w:rPr>
          <w:szCs w:val="24"/>
        </w:rPr>
        <w:t>Cybersécurité</w:t>
      </w:r>
      <w:proofErr w:type="spellEnd"/>
      <w:proofErr w:type="gramEnd"/>
      <w:r w:rsidRPr="00074A84">
        <w:rPr>
          <w:szCs w:val="24"/>
        </w:rPr>
        <w:t xml:space="preserve"> et confiance», partie en gestion directe par la Commission (estimée, dans la fiche financière législative mise à jour, à [44 451 000 EUR]).</w:t>
      </w:r>
    </w:p>
    <w:sectPr w:rsidR="00DF3223" w:rsidRPr="00EA0077" w:rsidSect="00E77A5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836" w:rsidRPr="00E77A50" w:rsidRDefault="00CC5836">
      <w:r w:rsidRPr="00E77A50">
        <w:separator/>
      </w:r>
    </w:p>
  </w:endnote>
  <w:endnote w:type="continuationSeparator" w:id="0">
    <w:p w:rsidR="00CC5836" w:rsidRPr="00E77A50" w:rsidRDefault="00CC5836">
      <w:r w:rsidRPr="00E77A5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29A" w:rsidRDefault="00F512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29A" w:rsidRDefault="00F512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29A" w:rsidRDefault="00F5129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F61" w:rsidRPr="00780F79" w:rsidRDefault="002F6F61">
    <w:pPr>
      <w:pStyle w:val="Footer1"/>
      <w:rPr>
        <w:lang w:val="fr-FR"/>
      </w:rPr>
    </w:pPr>
    <w:r w:rsidRPr="00780F79">
      <w:rPr>
        <w:rStyle w:val="Footer2"/>
      </w:rPr>
      <w:t>FR</w:t>
    </w:r>
    <w:r w:rsidRPr="00780F79">
      <w:rPr>
        <w:lang w:val="fr-FR"/>
      </w:rPr>
      <w:tab/>
    </w:r>
    <w:r w:rsidRPr="00780F79">
      <w:rPr>
        <w:lang w:val="fr-FR"/>
      </w:rPr>
      <w:fldChar w:fldCharType="begin"/>
    </w:r>
    <w:r w:rsidRPr="00780F79">
      <w:rPr>
        <w:lang w:val="fr-FR"/>
      </w:rPr>
      <w:instrText xml:space="preserve"> PAGE </w:instrText>
    </w:r>
    <w:r w:rsidRPr="00780F79">
      <w:rPr>
        <w:lang w:val="fr-FR"/>
      </w:rPr>
      <w:fldChar w:fldCharType="separate"/>
    </w:r>
    <w:r>
      <w:rPr>
        <w:noProof/>
        <w:lang w:val="fr-FR"/>
      </w:rPr>
      <w:t>140</w:t>
    </w:r>
    <w:r w:rsidRPr="00780F79">
      <w:rPr>
        <w:lang w:val="fr-FR"/>
      </w:rPr>
      <w:fldChar w:fldCharType="end"/>
    </w:r>
    <w:r w:rsidRPr="00780F79">
      <w:rPr>
        <w:lang w:val="fr-FR"/>
      </w:rPr>
      <w:tab/>
    </w:r>
    <w:r w:rsidRPr="00780F79">
      <w:rPr>
        <w:rStyle w:val="Footer2"/>
      </w:rPr>
      <w:t>FR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F61" w:rsidRPr="00F5129A" w:rsidRDefault="002F6F61" w:rsidP="00EA00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F61" w:rsidRPr="00780F79" w:rsidRDefault="002F6F61">
    <w:pPr>
      <w:pStyle w:val="Footer1"/>
      <w:rPr>
        <w:lang w:val="fr-FR"/>
      </w:rPr>
    </w:pPr>
    <w:r w:rsidRPr="00780F79">
      <w:rPr>
        <w:rStyle w:val="Footer2"/>
      </w:rPr>
      <w:t>FR</w:t>
    </w:r>
    <w:r w:rsidRPr="00780F79">
      <w:rPr>
        <w:lang w:val="fr-FR"/>
      </w:rPr>
      <w:tab/>
    </w:r>
    <w:r w:rsidRPr="00780F79">
      <w:rPr>
        <w:lang w:val="fr-FR"/>
      </w:rPr>
      <w:fldChar w:fldCharType="begin"/>
    </w:r>
    <w:r w:rsidRPr="00780F79">
      <w:rPr>
        <w:lang w:val="fr-FR"/>
      </w:rPr>
      <w:instrText xml:space="preserve"> PAGE </w:instrText>
    </w:r>
    <w:r w:rsidRPr="00780F79">
      <w:rPr>
        <w:lang w:val="fr-FR"/>
      </w:rPr>
      <w:fldChar w:fldCharType="separate"/>
    </w:r>
    <w:r>
      <w:rPr>
        <w:noProof/>
        <w:lang w:val="fr-FR"/>
      </w:rPr>
      <w:t>140</w:t>
    </w:r>
    <w:r w:rsidRPr="00780F79">
      <w:rPr>
        <w:lang w:val="fr-FR"/>
      </w:rPr>
      <w:fldChar w:fldCharType="end"/>
    </w:r>
    <w:r w:rsidRPr="00780F79">
      <w:rPr>
        <w:lang w:val="fr-FR"/>
      </w:rPr>
      <w:tab/>
    </w:r>
    <w:r w:rsidRPr="00780F79">
      <w:rPr>
        <w:rStyle w:val="Footer2"/>
      </w:rPr>
      <w:t>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836" w:rsidRPr="00E77A50" w:rsidRDefault="00CC5836">
      <w:r w:rsidRPr="00E77A50">
        <w:separator/>
      </w:r>
    </w:p>
  </w:footnote>
  <w:footnote w:type="continuationSeparator" w:id="0">
    <w:p w:rsidR="00CC5836" w:rsidRPr="00E77A50" w:rsidRDefault="00CC5836">
      <w:r w:rsidRPr="00E77A50">
        <w:continuationSeparator/>
      </w:r>
    </w:p>
  </w:footnote>
  <w:footnote w:id="1">
    <w:p w:rsidR="00BE30C1" w:rsidRPr="003F766A" w:rsidRDefault="00BE30C1" w:rsidP="003F766A">
      <w:pPr>
        <w:pStyle w:val="FootnoteText"/>
        <w:ind w:left="851" w:hanging="851"/>
        <w:rPr>
          <w:sz w:val="24"/>
          <w:szCs w:val="24"/>
        </w:rPr>
      </w:pPr>
      <w:r w:rsidRPr="003F766A">
        <w:rPr>
          <w:rStyle w:val="FootnoteReference"/>
          <w:sz w:val="24"/>
          <w:szCs w:val="24"/>
        </w:rPr>
        <w:footnoteRef/>
      </w:r>
      <w:r w:rsidRPr="003F766A">
        <w:rPr>
          <w:sz w:val="24"/>
          <w:szCs w:val="24"/>
        </w:rPr>
        <w:t xml:space="preserve"> </w:t>
      </w:r>
      <w:r w:rsidRPr="003F766A">
        <w:rPr>
          <w:sz w:val="24"/>
          <w:szCs w:val="24"/>
        </w:rPr>
        <w:tab/>
        <w:t>Non encore paru au Journal officiel.</w:t>
      </w:r>
    </w:p>
  </w:footnote>
  <w:footnote w:id="2">
    <w:p w:rsidR="0049100D" w:rsidRPr="003F766A" w:rsidRDefault="0049100D" w:rsidP="003F766A">
      <w:pPr>
        <w:pStyle w:val="FootnoteText"/>
        <w:ind w:left="851" w:hanging="851"/>
        <w:rPr>
          <w:sz w:val="24"/>
          <w:szCs w:val="24"/>
          <w:lang w:val="fi-FI"/>
        </w:rPr>
      </w:pPr>
      <w:r w:rsidRPr="003F766A">
        <w:rPr>
          <w:rStyle w:val="FootnoteReference"/>
          <w:sz w:val="24"/>
          <w:szCs w:val="24"/>
        </w:rPr>
        <w:footnoteRef/>
      </w:r>
      <w:r w:rsidR="00E77A50" w:rsidRPr="003F766A">
        <w:rPr>
          <w:sz w:val="24"/>
          <w:szCs w:val="24"/>
          <w:lang w:val="fi-FI"/>
        </w:rPr>
        <w:t xml:space="preserve"> </w:t>
      </w:r>
      <w:r w:rsidR="00E77A50" w:rsidRPr="003F766A">
        <w:rPr>
          <w:sz w:val="24"/>
          <w:szCs w:val="24"/>
          <w:lang w:val="fi-FI"/>
        </w:rPr>
        <w:tab/>
      </w:r>
      <w:r w:rsidRPr="003F766A">
        <w:rPr>
          <w:sz w:val="24"/>
          <w:szCs w:val="24"/>
          <w:lang w:val="fi-FI"/>
        </w:rPr>
        <w:t>JO C 349 du 29.9.2023, p. 167.</w:t>
      </w:r>
    </w:p>
  </w:footnote>
  <w:footnote w:id="3">
    <w:p w:rsidR="004F0C49" w:rsidRPr="003F766A" w:rsidRDefault="004F0C49" w:rsidP="003F766A">
      <w:pPr>
        <w:pStyle w:val="FootnoteText"/>
        <w:ind w:left="851" w:hanging="851"/>
        <w:rPr>
          <w:sz w:val="24"/>
          <w:szCs w:val="24"/>
          <w:lang w:val="fi-FI"/>
        </w:rPr>
      </w:pPr>
      <w:r w:rsidRPr="003F766A">
        <w:rPr>
          <w:rStyle w:val="FootnoteReference"/>
          <w:sz w:val="24"/>
          <w:szCs w:val="24"/>
        </w:rPr>
        <w:footnoteRef/>
      </w:r>
      <w:r w:rsidRPr="003F766A">
        <w:rPr>
          <w:sz w:val="24"/>
          <w:szCs w:val="24"/>
          <w:lang w:val="fi-FI"/>
        </w:rPr>
        <w:t xml:space="preserve"> </w:t>
      </w:r>
      <w:r w:rsidRPr="003F766A">
        <w:rPr>
          <w:sz w:val="24"/>
          <w:szCs w:val="24"/>
          <w:lang w:val="fi-FI"/>
        </w:rPr>
        <w:tab/>
        <w:t xml:space="preserve">JO C, C/2024/1049, 9.2.2024, ELI: </w:t>
      </w:r>
      <w:hyperlink r:id="rId1" w:tooltip="Gives access to this document through its ELI URI." w:history="1">
        <w:r w:rsidRPr="003F766A">
          <w:rPr>
            <w:sz w:val="24"/>
            <w:szCs w:val="24"/>
            <w:lang w:val="fi-FI"/>
          </w:rPr>
          <w:t>http://data.europa.eu/eli/C/2024/1049/oj</w:t>
        </w:r>
      </w:hyperlink>
      <w:r w:rsidRPr="003F766A">
        <w:rPr>
          <w:sz w:val="24"/>
          <w:szCs w:val="24"/>
          <w:lang w:val="fi-FI"/>
        </w:rPr>
        <w:t>.</w:t>
      </w:r>
    </w:p>
  </w:footnote>
  <w:footnote w:id="4">
    <w:p w:rsidR="00B36009" w:rsidRPr="00B36009" w:rsidRDefault="00B36009">
      <w:pPr>
        <w:pStyle w:val="FootnoteText"/>
        <w:rPr>
          <w:lang w:val="fi-FI"/>
        </w:rPr>
      </w:pPr>
      <w:r w:rsidRPr="00B36009">
        <w:rPr>
          <w:rStyle w:val="FootnoteReference"/>
        </w:rPr>
        <w:footnoteRef/>
      </w:r>
      <w:r w:rsidRPr="00B36009">
        <w:rPr>
          <w:lang w:val="fi-FI"/>
        </w:rPr>
        <w:t xml:space="preserve"> </w:t>
      </w:r>
      <w:r w:rsidRPr="00B36009">
        <w:rPr>
          <w:lang w:val="fi-FI"/>
        </w:rPr>
        <w:tab/>
      </w:r>
      <w:r w:rsidRPr="00B36009">
        <w:rPr>
          <w:iCs/>
          <w:sz w:val="24"/>
          <w:szCs w:val="24"/>
          <w:shd w:val="clear" w:color="auto" w:fill="FFFFFF"/>
          <w:lang w:val="fi-FI" w:eastAsia="en-GB"/>
        </w:rPr>
        <w:t>JO L, 2025/38, 15.1.2025, ELI</w:t>
      </w:r>
      <w:r w:rsidRPr="00B36009">
        <w:rPr>
          <w:iCs/>
          <w:color w:val="333333"/>
          <w:sz w:val="24"/>
          <w:szCs w:val="24"/>
          <w:shd w:val="clear" w:color="auto" w:fill="FFFFFF"/>
          <w:lang w:val="fi-FI" w:eastAsia="en-GB"/>
        </w:rPr>
        <w:t>: </w:t>
      </w:r>
      <w:hyperlink r:id="rId2" w:tgtFrame="_blank" w:tooltip="Gives access to this document through its ELI URI." w:history="1">
        <w:r w:rsidRPr="00B36009">
          <w:rPr>
            <w:iCs/>
            <w:color w:val="337AB7"/>
            <w:sz w:val="24"/>
            <w:szCs w:val="24"/>
            <w:u w:val="single"/>
            <w:lang w:val="fi-FI" w:eastAsia="en-GB"/>
          </w:rPr>
          <w:t>http://data.europa.eu/eli/reg/2025/38/oj</w:t>
        </w:r>
      </w:hyperlink>
      <w:r w:rsidRPr="00B36009">
        <w:rPr>
          <w:iCs/>
          <w:color w:val="333333"/>
          <w:sz w:val="24"/>
          <w:szCs w:val="24"/>
          <w:shd w:val="clear" w:color="auto" w:fill="FFFFFF"/>
          <w:lang w:val="fi-FI" w:eastAsia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29A" w:rsidRDefault="00F512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29A" w:rsidRDefault="00F512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29A" w:rsidRDefault="00F5129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F61" w:rsidRDefault="002F6F61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F61" w:rsidRDefault="002F6F61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F61" w:rsidRDefault="002F6F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076723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5489D9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E1A48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BEE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14C851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2459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943E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5CB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44ED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6AEA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402"/>
    <w:multiLevelType w:val="multilevel"/>
    <w:tmpl w:val="00000885"/>
    <w:lvl w:ilvl="0">
      <w:start w:val="1"/>
      <w:numFmt w:val="decimal"/>
      <w:lvlText w:val="(%1)"/>
      <w:lvlJc w:val="left"/>
      <w:pPr>
        <w:ind w:left="116" w:hanging="281"/>
      </w:pPr>
      <w:rPr>
        <w:rFonts w:ascii="Times New Roman" w:hAnsi="Times New Roman" w:cs="Times New Roman"/>
        <w:b w:val="0"/>
        <w:bCs w:val="0"/>
        <w:i w:val="0"/>
        <w:iCs w:val="0"/>
        <w:w w:val="99"/>
        <w:sz w:val="22"/>
        <w:szCs w:val="22"/>
      </w:rPr>
    </w:lvl>
    <w:lvl w:ilvl="1">
      <w:numFmt w:val="bullet"/>
      <w:lvlText w:val="•"/>
      <w:lvlJc w:val="left"/>
      <w:pPr>
        <w:ind w:left="1132" w:hanging="281"/>
      </w:pPr>
    </w:lvl>
    <w:lvl w:ilvl="2">
      <w:numFmt w:val="bullet"/>
      <w:lvlText w:val="•"/>
      <w:lvlJc w:val="left"/>
      <w:pPr>
        <w:ind w:left="1957" w:hanging="281"/>
      </w:pPr>
    </w:lvl>
    <w:lvl w:ilvl="3">
      <w:numFmt w:val="bullet"/>
      <w:lvlText w:val="•"/>
      <w:lvlJc w:val="left"/>
      <w:pPr>
        <w:ind w:left="2875" w:hanging="281"/>
      </w:pPr>
    </w:lvl>
    <w:lvl w:ilvl="4">
      <w:numFmt w:val="bullet"/>
      <w:lvlText w:val="•"/>
      <w:lvlJc w:val="left"/>
      <w:pPr>
        <w:ind w:left="3794" w:hanging="281"/>
      </w:pPr>
    </w:lvl>
    <w:lvl w:ilvl="5">
      <w:numFmt w:val="bullet"/>
      <w:lvlText w:val="•"/>
      <w:lvlJc w:val="left"/>
      <w:pPr>
        <w:ind w:left="4713" w:hanging="281"/>
      </w:pPr>
    </w:lvl>
    <w:lvl w:ilvl="6">
      <w:numFmt w:val="bullet"/>
      <w:lvlText w:val="•"/>
      <w:lvlJc w:val="left"/>
      <w:pPr>
        <w:ind w:left="5631" w:hanging="281"/>
      </w:pPr>
    </w:lvl>
    <w:lvl w:ilvl="7">
      <w:numFmt w:val="bullet"/>
      <w:lvlText w:val="•"/>
      <w:lvlJc w:val="left"/>
      <w:pPr>
        <w:ind w:left="6550" w:hanging="281"/>
      </w:pPr>
    </w:lvl>
    <w:lvl w:ilvl="8">
      <w:numFmt w:val="bullet"/>
      <w:lvlText w:val="•"/>
      <w:lvlJc w:val="left"/>
      <w:pPr>
        <w:ind w:left="7469" w:hanging="281"/>
      </w:pPr>
    </w:lvl>
  </w:abstractNum>
  <w:abstractNum w:abstractNumId="1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116" w:hanging="27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038" w:hanging="271"/>
      </w:pPr>
    </w:lvl>
    <w:lvl w:ilvl="2">
      <w:numFmt w:val="bullet"/>
      <w:lvlText w:val="•"/>
      <w:lvlJc w:val="left"/>
      <w:pPr>
        <w:ind w:left="1957" w:hanging="271"/>
      </w:pPr>
    </w:lvl>
    <w:lvl w:ilvl="3">
      <w:numFmt w:val="bullet"/>
      <w:lvlText w:val="•"/>
      <w:lvlJc w:val="left"/>
      <w:pPr>
        <w:ind w:left="2875" w:hanging="271"/>
      </w:pPr>
    </w:lvl>
    <w:lvl w:ilvl="4">
      <w:numFmt w:val="bullet"/>
      <w:lvlText w:val="•"/>
      <w:lvlJc w:val="left"/>
      <w:pPr>
        <w:ind w:left="3794" w:hanging="271"/>
      </w:pPr>
    </w:lvl>
    <w:lvl w:ilvl="5">
      <w:numFmt w:val="bullet"/>
      <w:lvlText w:val="•"/>
      <w:lvlJc w:val="left"/>
      <w:pPr>
        <w:ind w:left="4713" w:hanging="271"/>
      </w:pPr>
    </w:lvl>
    <w:lvl w:ilvl="6">
      <w:numFmt w:val="bullet"/>
      <w:lvlText w:val="•"/>
      <w:lvlJc w:val="left"/>
      <w:pPr>
        <w:ind w:left="5631" w:hanging="271"/>
      </w:pPr>
    </w:lvl>
    <w:lvl w:ilvl="7">
      <w:numFmt w:val="bullet"/>
      <w:lvlText w:val="•"/>
      <w:lvlJc w:val="left"/>
      <w:pPr>
        <w:ind w:left="6550" w:hanging="271"/>
      </w:pPr>
    </w:lvl>
    <w:lvl w:ilvl="8">
      <w:numFmt w:val="bullet"/>
      <w:lvlText w:val="•"/>
      <w:lvlJc w:val="left"/>
      <w:pPr>
        <w:ind w:left="7469" w:hanging="271"/>
      </w:pPr>
    </w:lvl>
  </w:abstractNum>
  <w:abstractNum w:abstractNumId="12" w15:restartNumberingAfterBreak="0">
    <w:nsid w:val="00000404"/>
    <w:multiLevelType w:val="multilevel"/>
    <w:tmpl w:val="00000887"/>
    <w:lvl w:ilvl="0">
      <w:start w:val="3"/>
      <w:numFmt w:val="decimal"/>
      <w:lvlText w:val="%1"/>
      <w:lvlJc w:val="left"/>
      <w:pPr>
        <w:ind w:left="536" w:hanging="420"/>
      </w:pPr>
    </w:lvl>
    <w:lvl w:ilvl="1">
      <w:start w:val="1"/>
      <w:numFmt w:val="decimal"/>
      <w:lvlText w:val="%1.%2."/>
      <w:lvlJc w:val="left"/>
      <w:pPr>
        <w:ind w:left="536" w:hanging="420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2293" w:hanging="420"/>
      </w:pPr>
    </w:lvl>
    <w:lvl w:ilvl="3">
      <w:numFmt w:val="bullet"/>
      <w:lvlText w:val="•"/>
      <w:lvlJc w:val="left"/>
      <w:pPr>
        <w:ind w:left="3169" w:hanging="420"/>
      </w:pPr>
    </w:lvl>
    <w:lvl w:ilvl="4">
      <w:numFmt w:val="bullet"/>
      <w:lvlText w:val="•"/>
      <w:lvlJc w:val="left"/>
      <w:pPr>
        <w:ind w:left="4046" w:hanging="420"/>
      </w:pPr>
    </w:lvl>
    <w:lvl w:ilvl="5">
      <w:numFmt w:val="bullet"/>
      <w:lvlText w:val="•"/>
      <w:lvlJc w:val="left"/>
      <w:pPr>
        <w:ind w:left="4923" w:hanging="420"/>
      </w:pPr>
    </w:lvl>
    <w:lvl w:ilvl="6">
      <w:numFmt w:val="bullet"/>
      <w:lvlText w:val="•"/>
      <w:lvlJc w:val="left"/>
      <w:pPr>
        <w:ind w:left="5799" w:hanging="420"/>
      </w:pPr>
    </w:lvl>
    <w:lvl w:ilvl="7">
      <w:numFmt w:val="bullet"/>
      <w:lvlText w:val="•"/>
      <w:lvlJc w:val="left"/>
      <w:pPr>
        <w:ind w:left="6676" w:hanging="420"/>
      </w:pPr>
    </w:lvl>
    <w:lvl w:ilvl="8">
      <w:numFmt w:val="bullet"/>
      <w:lvlText w:val="•"/>
      <w:lvlJc w:val="left"/>
      <w:pPr>
        <w:ind w:left="7553" w:hanging="420"/>
      </w:pPr>
    </w:lvl>
  </w:abstractNum>
  <w:abstractNum w:abstractNumId="13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4" w15:restartNumberingAfterBreak="0">
    <w:nsid w:val="0AD54B64"/>
    <w:multiLevelType w:val="hybridMultilevel"/>
    <w:tmpl w:val="2500D708"/>
    <w:lvl w:ilvl="0" w:tplc="0809000F">
      <w:start w:val="1"/>
      <w:numFmt w:val="decimal"/>
      <w:lvlText w:val="%1."/>
      <w:lvlJc w:val="left"/>
      <w:pPr>
        <w:ind w:left="294" w:hanging="360"/>
      </w:pPr>
    </w:lvl>
    <w:lvl w:ilvl="1" w:tplc="08090019" w:tentative="1">
      <w:start w:val="1"/>
      <w:numFmt w:val="lowerLetter"/>
      <w:lvlText w:val="%2."/>
      <w:lvlJc w:val="left"/>
      <w:pPr>
        <w:ind w:left="1014" w:hanging="360"/>
      </w:pPr>
    </w:lvl>
    <w:lvl w:ilvl="2" w:tplc="0809001B" w:tentative="1">
      <w:start w:val="1"/>
      <w:numFmt w:val="lowerRoman"/>
      <w:lvlText w:val="%3."/>
      <w:lvlJc w:val="right"/>
      <w:pPr>
        <w:ind w:left="1734" w:hanging="180"/>
      </w:pPr>
    </w:lvl>
    <w:lvl w:ilvl="3" w:tplc="0809000F" w:tentative="1">
      <w:start w:val="1"/>
      <w:numFmt w:val="decimal"/>
      <w:lvlText w:val="%4."/>
      <w:lvlJc w:val="left"/>
      <w:pPr>
        <w:ind w:left="2454" w:hanging="360"/>
      </w:pPr>
    </w:lvl>
    <w:lvl w:ilvl="4" w:tplc="08090019" w:tentative="1">
      <w:start w:val="1"/>
      <w:numFmt w:val="lowerLetter"/>
      <w:lvlText w:val="%5."/>
      <w:lvlJc w:val="left"/>
      <w:pPr>
        <w:ind w:left="3174" w:hanging="360"/>
      </w:pPr>
    </w:lvl>
    <w:lvl w:ilvl="5" w:tplc="0809001B" w:tentative="1">
      <w:start w:val="1"/>
      <w:numFmt w:val="lowerRoman"/>
      <w:lvlText w:val="%6."/>
      <w:lvlJc w:val="right"/>
      <w:pPr>
        <w:ind w:left="3894" w:hanging="180"/>
      </w:pPr>
    </w:lvl>
    <w:lvl w:ilvl="6" w:tplc="0809000F" w:tentative="1">
      <w:start w:val="1"/>
      <w:numFmt w:val="decimal"/>
      <w:lvlText w:val="%7."/>
      <w:lvlJc w:val="left"/>
      <w:pPr>
        <w:ind w:left="4614" w:hanging="360"/>
      </w:pPr>
    </w:lvl>
    <w:lvl w:ilvl="7" w:tplc="08090019" w:tentative="1">
      <w:start w:val="1"/>
      <w:numFmt w:val="lowerLetter"/>
      <w:lvlText w:val="%8."/>
      <w:lvlJc w:val="left"/>
      <w:pPr>
        <w:ind w:left="5334" w:hanging="360"/>
      </w:pPr>
    </w:lvl>
    <w:lvl w:ilvl="8" w:tplc="08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5" w15:restartNumberingAfterBreak="0">
    <w:nsid w:val="1D8122BD"/>
    <w:multiLevelType w:val="hybridMultilevel"/>
    <w:tmpl w:val="DF3ED6E2"/>
    <w:lvl w:ilvl="0" w:tplc="D340C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AE4CF3"/>
    <w:multiLevelType w:val="hybridMultilevel"/>
    <w:tmpl w:val="B4FCD5B2"/>
    <w:lvl w:ilvl="0" w:tplc="D340C1E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8" w15:restartNumberingAfterBreak="0">
    <w:nsid w:val="5E2C0939"/>
    <w:multiLevelType w:val="hybridMultilevel"/>
    <w:tmpl w:val="26BC4FAA"/>
    <w:lvl w:ilvl="0" w:tplc="D340C1E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D340C1EA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12"/>
  </w:num>
  <w:num w:numId="4">
    <w:abstractNumId w:val="11"/>
  </w:num>
  <w:num w:numId="5">
    <w:abstractNumId w:val="1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4"/>
  </w:num>
  <w:num w:numId="17">
    <w:abstractNumId w:val="15"/>
  </w:num>
  <w:num w:numId="18">
    <w:abstractNumId w:val="16"/>
  </w:num>
  <w:num w:numId="19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426/2023"/>
    <w:docVar w:name="dvlangue" w:val="FR"/>
    <w:docVar w:name="dvnumam" w:val="0"/>
    <w:docVar w:name="dvpe" w:val="752.795"/>
    <w:docVar w:name="dvrapporteur" w:val="Rapporteure: "/>
    <w:docVar w:name="dvstar" w:val="***I"/>
    <w:docVar w:name="dvtitre" w:val="Résolution législative du Parlement européen du 24 avril 2024 sur la proposition de règlement du Parlement européen et du Conseil établissant des mesures destinées à renforcer la solidarité et les capacités dans l’Union afin de détecter les menaces et incidents de cybersécurité, de s’y préparer et d’y réagir(COM(2023)0209 – C9-0136/2023 – 2023/0109(COD))"/>
  </w:docVars>
  <w:rsids>
    <w:rsidRoot w:val="00CC5836"/>
    <w:rsid w:val="00002272"/>
    <w:rsid w:val="00064002"/>
    <w:rsid w:val="000677B9"/>
    <w:rsid w:val="00074A84"/>
    <w:rsid w:val="000831BA"/>
    <w:rsid w:val="000A42CC"/>
    <w:rsid w:val="000E7DD9"/>
    <w:rsid w:val="0010095E"/>
    <w:rsid w:val="00125B37"/>
    <w:rsid w:val="001834DE"/>
    <w:rsid w:val="00187494"/>
    <w:rsid w:val="001F32AE"/>
    <w:rsid w:val="002767FF"/>
    <w:rsid w:val="002B18FE"/>
    <w:rsid w:val="002B5493"/>
    <w:rsid w:val="002F6F61"/>
    <w:rsid w:val="00343214"/>
    <w:rsid w:val="00361C00"/>
    <w:rsid w:val="00395FA1"/>
    <w:rsid w:val="003E15D4"/>
    <w:rsid w:val="003F766A"/>
    <w:rsid w:val="00411CCE"/>
    <w:rsid w:val="0041666E"/>
    <w:rsid w:val="00421060"/>
    <w:rsid w:val="00471C19"/>
    <w:rsid w:val="004867E3"/>
    <w:rsid w:val="0049100D"/>
    <w:rsid w:val="00494A28"/>
    <w:rsid w:val="004C0004"/>
    <w:rsid w:val="004C3396"/>
    <w:rsid w:val="004C5D52"/>
    <w:rsid w:val="004D6991"/>
    <w:rsid w:val="004F0C49"/>
    <w:rsid w:val="0050519A"/>
    <w:rsid w:val="005072A1"/>
    <w:rsid w:val="00514517"/>
    <w:rsid w:val="00525350"/>
    <w:rsid w:val="00545827"/>
    <w:rsid w:val="00560270"/>
    <w:rsid w:val="005C2568"/>
    <w:rsid w:val="005E6BDB"/>
    <w:rsid w:val="006037C0"/>
    <w:rsid w:val="006631B6"/>
    <w:rsid w:val="00680577"/>
    <w:rsid w:val="006F74FA"/>
    <w:rsid w:val="00724C30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13A8"/>
    <w:rsid w:val="008C2AC6"/>
    <w:rsid w:val="00930C23"/>
    <w:rsid w:val="0093193B"/>
    <w:rsid w:val="009509D8"/>
    <w:rsid w:val="00950B64"/>
    <w:rsid w:val="00974282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36009"/>
    <w:rsid w:val="00B558F0"/>
    <w:rsid w:val="00BD2ED2"/>
    <w:rsid w:val="00BD48FE"/>
    <w:rsid w:val="00BD7BD8"/>
    <w:rsid w:val="00BE30C1"/>
    <w:rsid w:val="00BE6ADC"/>
    <w:rsid w:val="00C05BFE"/>
    <w:rsid w:val="00C23CD4"/>
    <w:rsid w:val="00C434D1"/>
    <w:rsid w:val="00C61C0C"/>
    <w:rsid w:val="00C762FD"/>
    <w:rsid w:val="00C941CB"/>
    <w:rsid w:val="00C969E9"/>
    <w:rsid w:val="00CA11CA"/>
    <w:rsid w:val="00CC2357"/>
    <w:rsid w:val="00CC5836"/>
    <w:rsid w:val="00CF071A"/>
    <w:rsid w:val="00D058B8"/>
    <w:rsid w:val="00D53C8A"/>
    <w:rsid w:val="00D56C11"/>
    <w:rsid w:val="00D834A0"/>
    <w:rsid w:val="00D872DF"/>
    <w:rsid w:val="00D91E21"/>
    <w:rsid w:val="00DA7FCD"/>
    <w:rsid w:val="00DE4480"/>
    <w:rsid w:val="00DF3223"/>
    <w:rsid w:val="00E12102"/>
    <w:rsid w:val="00E365E1"/>
    <w:rsid w:val="00E77A50"/>
    <w:rsid w:val="00E820A4"/>
    <w:rsid w:val="00EA0077"/>
    <w:rsid w:val="00EB006A"/>
    <w:rsid w:val="00EB4772"/>
    <w:rsid w:val="00ED169E"/>
    <w:rsid w:val="00ED4235"/>
    <w:rsid w:val="00F04346"/>
    <w:rsid w:val="00F075DC"/>
    <w:rsid w:val="00F149E9"/>
    <w:rsid w:val="00F5129A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2BDB1F-72B3-4BB4-BB60-315C2AF67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r-FR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rsid w:val="00395FA1"/>
    <w:pPr>
      <w:keepNext/>
      <w:keepLines/>
      <w:widowControl/>
    </w:pPr>
    <w:rPr>
      <w:b/>
      <w:noProof/>
      <w:lang w:eastAsia="fr-FR"/>
    </w:rPr>
  </w:style>
  <w:style w:type="paragraph" w:styleId="TOC3">
    <w:name w:val="toc 3"/>
    <w:basedOn w:val="Normal"/>
    <w:next w:val="Normal"/>
    <w:autoRedefine/>
    <w:rsid w:val="00395FA1"/>
    <w:pPr>
      <w:keepLines/>
      <w:widowControl/>
      <w:ind w:right="510"/>
    </w:pPr>
    <w:rPr>
      <w:noProof/>
      <w:lang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49100D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49100D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49100D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49100D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49100D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49100D"/>
    <w:rPr>
      <w:i/>
      <w:sz w:val="22"/>
      <w:lang w:val="fr-FR"/>
    </w:rPr>
  </w:style>
  <w:style w:type="character" w:customStyle="1" w:styleId="Heading7Char">
    <w:name w:val="Heading 7 Char"/>
    <w:basedOn w:val="DefaultParagraphFont"/>
    <w:link w:val="Heading7"/>
    <w:semiHidden/>
    <w:rsid w:val="0049100D"/>
    <w:rPr>
      <w:rFonts w:ascii="Arial" w:hAnsi="Arial"/>
      <w:sz w:val="24"/>
      <w:lang w:val="fr-FR"/>
    </w:rPr>
  </w:style>
  <w:style w:type="character" w:customStyle="1" w:styleId="Heading8Char">
    <w:name w:val="Heading 8 Char"/>
    <w:basedOn w:val="DefaultParagraphFont"/>
    <w:link w:val="Heading8"/>
    <w:semiHidden/>
    <w:rsid w:val="0049100D"/>
    <w:rPr>
      <w:rFonts w:ascii="Arial" w:hAnsi="Arial"/>
      <w:i/>
      <w:sz w:val="24"/>
      <w:lang w:val="fr-FR"/>
    </w:rPr>
  </w:style>
  <w:style w:type="character" w:customStyle="1" w:styleId="Heading9Char">
    <w:name w:val="Heading 9 Char"/>
    <w:basedOn w:val="DefaultParagraphFont"/>
    <w:link w:val="Heading9"/>
    <w:semiHidden/>
    <w:rsid w:val="0049100D"/>
    <w:rPr>
      <w:rFonts w:ascii="Arial" w:hAnsi="Arial"/>
      <w:b/>
      <w:i/>
      <w:sz w:val="18"/>
      <w:lang w:val="fr-FR"/>
    </w:rPr>
  </w:style>
  <w:style w:type="paragraph" w:styleId="TOCHeading">
    <w:name w:val="TOC Heading"/>
    <w:basedOn w:val="Normal"/>
    <w:next w:val="Normal"/>
    <w:uiPriority w:val="39"/>
    <w:unhideWhenUsed/>
    <w:qFormat/>
    <w:rsid w:val="0049100D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49100D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49100D"/>
    <w:pPr>
      <w:spacing w:before="480" w:after="240"/>
    </w:pPr>
  </w:style>
  <w:style w:type="paragraph" w:customStyle="1" w:styleId="TOCPage">
    <w:name w:val="TOC Page"/>
    <w:basedOn w:val="Normal"/>
    <w:next w:val="TOC1"/>
    <w:rsid w:val="0049100D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rsid w:val="0049100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49100D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49100D"/>
    <w:rPr>
      <w:b/>
      <w:sz w:val="24"/>
      <w:lang w:val="fr-FR"/>
    </w:rPr>
  </w:style>
  <w:style w:type="paragraph" w:customStyle="1" w:styleId="NormalBold12a">
    <w:name w:val="NormalBold12a"/>
    <w:basedOn w:val="Normal"/>
    <w:rsid w:val="0049100D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49100D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49100D"/>
    <w:pPr>
      <w:spacing w:after="480"/>
      <w:ind w:left="1417"/>
    </w:pPr>
  </w:style>
  <w:style w:type="paragraph" w:customStyle="1" w:styleId="CoverNormal">
    <w:name w:val="CoverNormal"/>
    <w:basedOn w:val="Normal"/>
    <w:rsid w:val="0049100D"/>
    <w:pPr>
      <w:ind w:left="1418"/>
    </w:pPr>
  </w:style>
  <w:style w:type="paragraph" w:customStyle="1" w:styleId="NormalCenter12a">
    <w:name w:val="NormalCenter12a"/>
    <w:basedOn w:val="Normal"/>
    <w:rsid w:val="0049100D"/>
    <w:pPr>
      <w:spacing w:after="240"/>
      <w:jc w:val="center"/>
    </w:pPr>
  </w:style>
  <w:style w:type="paragraph" w:customStyle="1" w:styleId="CoverReference">
    <w:name w:val="CoverReference"/>
    <w:basedOn w:val="Normal"/>
    <w:rsid w:val="0049100D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49100D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49100D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49100D"/>
    <w:pPr>
      <w:spacing w:before="240" w:after="1200"/>
    </w:pPr>
  </w:style>
  <w:style w:type="paragraph" w:styleId="Header">
    <w:name w:val="header"/>
    <w:basedOn w:val="Normal"/>
    <w:link w:val="HeaderChar"/>
    <w:rsid w:val="004910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9100D"/>
    <w:rPr>
      <w:sz w:val="24"/>
      <w:lang w:val="fr-FR"/>
    </w:rPr>
  </w:style>
  <w:style w:type="paragraph" w:customStyle="1" w:styleId="AmNumberTabs">
    <w:name w:val="AmNumberTabs"/>
    <w:basedOn w:val="Normal"/>
    <w:link w:val="AmNumberTabsChar"/>
    <w:rsid w:val="0049100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locked/>
    <w:rsid w:val="0049100D"/>
    <w:rPr>
      <w:b/>
      <w:sz w:val="24"/>
      <w:lang w:val="fr-FR"/>
    </w:rPr>
  </w:style>
  <w:style w:type="paragraph" w:customStyle="1" w:styleId="AmHeadingConsam">
    <w:name w:val="AmHeadingConsam"/>
    <w:basedOn w:val="Normal"/>
    <w:next w:val="NormalCenter12a"/>
    <w:rsid w:val="0049100D"/>
    <w:pPr>
      <w:spacing w:before="720" w:after="240"/>
      <w:jc w:val="center"/>
    </w:pPr>
  </w:style>
  <w:style w:type="paragraph" w:customStyle="1" w:styleId="EPBody">
    <w:name w:val="EPBody"/>
    <w:basedOn w:val="Normal"/>
    <w:rsid w:val="0049100D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49100D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rsid w:val="0049100D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49100D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49100D"/>
    <w:rPr>
      <w:sz w:val="18"/>
    </w:rPr>
  </w:style>
  <w:style w:type="character" w:styleId="Hyperlink">
    <w:name w:val="Hyperlink"/>
    <w:uiPriority w:val="99"/>
    <w:unhideWhenUsed/>
    <w:rsid w:val="0049100D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9100D"/>
    <w:rPr>
      <w:i/>
      <w:iCs/>
    </w:rPr>
  </w:style>
  <w:style w:type="paragraph" w:styleId="BalloonText">
    <w:name w:val="Balloon Text"/>
    <w:basedOn w:val="Normal"/>
    <w:link w:val="BalloonTextChar"/>
    <w:unhideWhenUsed/>
    <w:rsid w:val="004910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9100D"/>
    <w:rPr>
      <w:rFonts w:ascii="Segoe UI" w:hAnsi="Segoe UI" w:cs="Segoe UI"/>
      <w:sz w:val="18"/>
      <w:szCs w:val="18"/>
      <w:lang w:val="fr-FR"/>
    </w:rPr>
  </w:style>
  <w:style w:type="paragraph" w:customStyle="1" w:styleId="ManualConsidrant">
    <w:name w:val="Manual Considérant"/>
    <w:basedOn w:val="Normal"/>
    <w:rsid w:val="0049100D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character" w:customStyle="1" w:styleId="eop">
    <w:name w:val="eop"/>
    <w:basedOn w:val="DefaultParagraphFont"/>
    <w:rsid w:val="0049100D"/>
  </w:style>
  <w:style w:type="paragraph" w:customStyle="1" w:styleId="Point0">
    <w:name w:val="Point 0"/>
    <w:basedOn w:val="Normal"/>
    <w:rsid w:val="0049100D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aragraph">
    <w:name w:val="paragraph"/>
    <w:basedOn w:val="Normal"/>
    <w:rsid w:val="0049100D"/>
    <w:pPr>
      <w:widowControl/>
      <w:spacing w:beforeAutospacing="1" w:after="200" w:afterAutospacing="1" w:line="276" w:lineRule="auto"/>
    </w:pPr>
    <w:rPr>
      <w:szCs w:val="24"/>
      <w:lang w:eastAsia="en-IE"/>
    </w:rPr>
  </w:style>
  <w:style w:type="paragraph" w:customStyle="1" w:styleId="Normal6a">
    <w:name w:val="Normal6a"/>
    <w:basedOn w:val="Normal"/>
    <w:rsid w:val="0049100D"/>
    <w:pPr>
      <w:spacing w:after="120"/>
    </w:pPr>
    <w:rPr>
      <w:szCs w:val="24"/>
      <w:lang w:eastAsia="en-US"/>
    </w:rPr>
  </w:style>
  <w:style w:type="paragraph" w:styleId="ListParagraph">
    <w:name w:val="List Paragraph"/>
    <w:aliases w:val="Listaszerű bekezdés1,List Paragraph à moi,Colorful List - Accent 11,Medium Grid 1 - Accent 21,Listaszeru bekezdés1,Colorful List - Accent 111,Dot pt,F5 List Paragraph,List Paragraph1,No Spacing1,List Paragraph Char Char Char,Bullets"/>
    <w:basedOn w:val="Normal"/>
    <w:link w:val="ListParagraphChar"/>
    <w:uiPriority w:val="34"/>
    <w:qFormat/>
    <w:rsid w:val="0049100D"/>
    <w:pPr>
      <w:ind w:left="720"/>
      <w:contextualSpacing/>
    </w:pPr>
  </w:style>
  <w:style w:type="character" w:customStyle="1" w:styleId="normaltextrun">
    <w:name w:val="normaltextrun"/>
    <w:basedOn w:val="DefaultParagraphFont"/>
    <w:rsid w:val="0049100D"/>
  </w:style>
  <w:style w:type="paragraph" w:customStyle="1" w:styleId="oj-normal">
    <w:name w:val="oj-normal"/>
    <w:basedOn w:val="Normal"/>
    <w:rsid w:val="0049100D"/>
    <w:pPr>
      <w:widowControl/>
      <w:spacing w:before="100" w:beforeAutospacing="1" w:after="100" w:afterAutospacing="1"/>
    </w:pPr>
    <w:rPr>
      <w:szCs w:val="24"/>
      <w:lang w:eastAsia="en-US"/>
    </w:rPr>
  </w:style>
  <w:style w:type="paragraph" w:styleId="CommentText">
    <w:name w:val="annotation text"/>
    <w:basedOn w:val="Normal"/>
    <w:link w:val="CommentTextChar"/>
    <w:unhideWhenUsed/>
    <w:rsid w:val="0049100D"/>
    <w:pPr>
      <w:widowControl/>
      <w:spacing w:before="120" w:after="120"/>
      <w:jc w:val="both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9100D"/>
    <w:rPr>
      <w:lang w:val="fr-FR"/>
    </w:rPr>
  </w:style>
  <w:style w:type="character" w:styleId="CommentReference">
    <w:name w:val="annotation reference"/>
    <w:unhideWhenUsed/>
    <w:rsid w:val="0049100D"/>
    <w:rPr>
      <w:rFonts w:ascii="Times New Roman" w:hAnsi="Times New Roman" w:cs="Times New Roman" w:hint="default"/>
      <w:sz w:val="16"/>
      <w:szCs w:val="16"/>
    </w:rPr>
  </w:style>
  <w:style w:type="paragraph" w:customStyle="1" w:styleId="Normal24a">
    <w:name w:val="Normal24a"/>
    <w:basedOn w:val="Normal"/>
    <w:rsid w:val="0049100D"/>
    <w:pPr>
      <w:spacing w:after="480"/>
    </w:pPr>
  </w:style>
  <w:style w:type="paragraph" w:customStyle="1" w:styleId="NormalBoldCenter">
    <w:name w:val="NormalBoldCenter"/>
    <w:basedOn w:val="Normal"/>
    <w:rsid w:val="0049100D"/>
    <w:pPr>
      <w:jc w:val="center"/>
    </w:pPr>
    <w:rPr>
      <w:b/>
    </w:rPr>
  </w:style>
  <w:style w:type="paragraph" w:customStyle="1" w:styleId="Normal12a">
    <w:name w:val="Normal12a"/>
    <w:basedOn w:val="Normal"/>
    <w:rsid w:val="0049100D"/>
    <w:pPr>
      <w:spacing w:after="240"/>
    </w:pPr>
  </w:style>
  <w:style w:type="paragraph" w:customStyle="1" w:styleId="PageHeadingNotTOC">
    <w:name w:val="PageHeadingNotTOC"/>
    <w:basedOn w:val="Normal"/>
    <w:rsid w:val="0049100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JustText">
    <w:name w:val="AmJustText"/>
    <w:basedOn w:val="Normal"/>
    <w:rsid w:val="0049100D"/>
    <w:pPr>
      <w:spacing w:after="240"/>
    </w:pPr>
    <w:rPr>
      <w:i/>
    </w:rPr>
  </w:style>
  <w:style w:type="paragraph" w:customStyle="1" w:styleId="AmCrossRef">
    <w:name w:val="AmCrossRef"/>
    <w:basedOn w:val="Normal"/>
    <w:rsid w:val="0049100D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49100D"/>
    <w:pPr>
      <w:keepNext/>
      <w:spacing w:before="240" w:after="240"/>
      <w:jc w:val="center"/>
    </w:pPr>
    <w:rPr>
      <w:i/>
    </w:rPr>
  </w:style>
  <w:style w:type="paragraph" w:customStyle="1" w:styleId="AmHeadingPA">
    <w:name w:val="AmHeadingPA"/>
    <w:basedOn w:val="Normal"/>
    <w:next w:val="Normal"/>
    <w:rsid w:val="0049100D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AmOrLang">
    <w:name w:val="AmOrLang"/>
    <w:basedOn w:val="Normal"/>
    <w:rsid w:val="0049100D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49100D"/>
    <w:pPr>
      <w:spacing w:after="240"/>
      <w:jc w:val="center"/>
    </w:pPr>
    <w:rPr>
      <w:i/>
    </w:rPr>
  </w:style>
  <w:style w:type="paragraph" w:customStyle="1" w:styleId="NormalBold12b">
    <w:name w:val="NormalBold12b"/>
    <w:basedOn w:val="Normal"/>
    <w:link w:val="NormalBold12bChar"/>
    <w:rsid w:val="0049100D"/>
    <w:pPr>
      <w:spacing w:before="240"/>
    </w:pPr>
    <w:rPr>
      <w:b/>
    </w:rPr>
  </w:style>
  <w:style w:type="character" w:customStyle="1" w:styleId="NormalBold12bChar">
    <w:name w:val="NormalBold12b Char"/>
    <w:basedOn w:val="AmNumberTabsChar"/>
    <w:link w:val="NormalBold12b"/>
    <w:locked/>
    <w:rsid w:val="0049100D"/>
    <w:rPr>
      <w:b/>
      <w:sz w:val="24"/>
      <w:lang w:val="fr-FR"/>
    </w:rPr>
  </w:style>
  <w:style w:type="paragraph" w:customStyle="1" w:styleId="msonormal0">
    <w:name w:val="msonormal"/>
    <w:basedOn w:val="Normal"/>
    <w:rsid w:val="0049100D"/>
    <w:pPr>
      <w:widowControl/>
      <w:spacing w:before="100" w:beforeAutospacing="1" w:after="100" w:afterAutospacing="1"/>
    </w:pPr>
    <w:rPr>
      <w:szCs w:val="24"/>
    </w:rPr>
  </w:style>
  <w:style w:type="paragraph" w:customStyle="1" w:styleId="Text1">
    <w:name w:val="Text 1"/>
    <w:basedOn w:val="Normal"/>
    <w:rsid w:val="0049100D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character" w:customStyle="1" w:styleId="Normal12Char">
    <w:name w:val="Normal12 Char"/>
    <w:basedOn w:val="DefaultParagraphFont"/>
    <w:link w:val="Normal12"/>
    <w:locked/>
    <w:rsid w:val="0049100D"/>
    <w:rPr>
      <w:noProof/>
      <w:sz w:val="24"/>
    </w:rPr>
  </w:style>
  <w:style w:type="paragraph" w:customStyle="1" w:styleId="Normal12">
    <w:name w:val="Normal12"/>
    <w:basedOn w:val="Normal"/>
    <w:link w:val="Normal12Char"/>
    <w:rsid w:val="0049100D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49100D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49100D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49100D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49100D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49100D"/>
    <w:pPr>
      <w:jc w:val="right"/>
    </w:pPr>
    <w:rPr>
      <w:rFonts w:ascii="Arial" w:hAnsi="Arial" w:cs="Arial"/>
      <w:sz w:val="22"/>
      <w:szCs w:val="22"/>
    </w:rPr>
  </w:style>
  <w:style w:type="character" w:customStyle="1" w:styleId="Normal6Char">
    <w:name w:val="Normal6 Char"/>
    <w:basedOn w:val="DefaultParagraphFont"/>
    <w:link w:val="Normal6"/>
    <w:locked/>
    <w:rsid w:val="0049100D"/>
    <w:rPr>
      <w:sz w:val="24"/>
      <w:lang w:val="fr-FR"/>
    </w:rPr>
  </w:style>
  <w:style w:type="paragraph" w:customStyle="1" w:styleId="Normal6">
    <w:name w:val="Normal6"/>
    <w:basedOn w:val="Normal"/>
    <w:link w:val="Normal6Char"/>
    <w:rsid w:val="0049100D"/>
    <w:pPr>
      <w:spacing w:after="120"/>
    </w:pPr>
  </w:style>
  <w:style w:type="paragraph" w:customStyle="1" w:styleId="Normal12Italic">
    <w:name w:val="Normal12Italic"/>
    <w:basedOn w:val="Normal12"/>
    <w:rsid w:val="0049100D"/>
    <w:rPr>
      <w:i/>
    </w:rPr>
  </w:style>
  <w:style w:type="paragraph" w:customStyle="1" w:styleId="JustificationTitle">
    <w:name w:val="JustificationTitle"/>
    <w:basedOn w:val="Normal"/>
    <w:next w:val="Normal12"/>
    <w:rsid w:val="0049100D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49100D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49100D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49100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49100D"/>
    <w:pPr>
      <w:spacing w:before="240"/>
      <w:jc w:val="center"/>
    </w:pPr>
    <w:rPr>
      <w:i/>
    </w:rPr>
  </w:style>
  <w:style w:type="paragraph" w:customStyle="1" w:styleId="EntPE">
    <w:name w:val="EntPE"/>
    <w:basedOn w:val="Normal12"/>
    <w:rsid w:val="0049100D"/>
    <w:pPr>
      <w:jc w:val="center"/>
    </w:pPr>
    <w:rPr>
      <w:noProof w:val="0"/>
      <w:sz w:val="56"/>
    </w:rPr>
  </w:style>
  <w:style w:type="paragraph" w:customStyle="1" w:styleId="RollCallSymbols14pt">
    <w:name w:val="RollCallSymbols14pt"/>
    <w:basedOn w:val="Normal"/>
    <w:rsid w:val="0049100D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49100D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49100D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49100D"/>
    <w:pPr>
      <w:spacing w:before="120" w:after="120"/>
    </w:pPr>
    <w:rPr>
      <w:snapToGrid w:val="0"/>
      <w:sz w:val="16"/>
      <w:lang w:eastAsia="en-US"/>
    </w:rPr>
  </w:style>
  <w:style w:type="character" w:styleId="Strong">
    <w:name w:val="Strong"/>
    <w:basedOn w:val="DefaultParagraphFont"/>
    <w:uiPriority w:val="22"/>
    <w:qFormat/>
    <w:rsid w:val="0049100D"/>
    <w:rPr>
      <w:b/>
      <w:bCs/>
    </w:rPr>
  </w:style>
  <w:style w:type="paragraph" w:customStyle="1" w:styleId="Default">
    <w:name w:val="Default"/>
    <w:rsid w:val="0049100D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val="fr-FR" w:eastAsia="en-US"/>
    </w:rPr>
  </w:style>
  <w:style w:type="paragraph" w:styleId="Footer">
    <w:name w:val="footer"/>
    <w:basedOn w:val="Normal"/>
    <w:link w:val="FooterChar"/>
    <w:uiPriority w:val="99"/>
    <w:rsid w:val="004910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100D"/>
    <w:rPr>
      <w:sz w:val="24"/>
      <w:lang w:val="fr-FR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49100D"/>
    <w:pPr>
      <w:widowControl w:val="0"/>
      <w:spacing w:before="0" w:after="0"/>
      <w:jc w:val="left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9100D"/>
    <w:rPr>
      <w:b/>
      <w:bCs/>
      <w:lang w:val="fr-FR"/>
    </w:rPr>
  </w:style>
  <w:style w:type="character" w:customStyle="1" w:styleId="ListParagraphChar">
    <w:name w:val="List Paragraph Char"/>
    <w:aliases w:val="Listaszerű bekezdés1 Char,List Paragraph à moi Char,Colorful List - Accent 11 Char,Medium Grid 1 - Accent 21 Char,Listaszeru bekezdés1 Char,Colorful List - Accent 111 Char,Dot pt Char,F5 List Paragraph Char,List Paragraph1 Char"/>
    <w:link w:val="ListParagraph"/>
    <w:uiPriority w:val="34"/>
    <w:qFormat/>
    <w:rsid w:val="0049100D"/>
    <w:rPr>
      <w:sz w:val="24"/>
      <w:lang w:val="fr-FR"/>
    </w:rPr>
  </w:style>
  <w:style w:type="paragraph" w:customStyle="1" w:styleId="Normal0">
    <w:name w:val="_Normal"/>
    <w:basedOn w:val="Normal"/>
    <w:link w:val="NormalCar"/>
    <w:qFormat/>
    <w:rsid w:val="0049100D"/>
    <w:pPr>
      <w:widowControl/>
      <w:spacing w:before="120" w:after="120" w:line="240" w:lineRule="atLeast"/>
      <w:jc w:val="both"/>
    </w:pPr>
    <w:rPr>
      <w:rFonts w:ascii="Arial" w:hAnsi="Arial"/>
      <w:sz w:val="20"/>
      <w:szCs w:val="24"/>
      <w:lang w:eastAsia="en-US"/>
    </w:rPr>
  </w:style>
  <w:style w:type="character" w:customStyle="1" w:styleId="NormalCar">
    <w:name w:val="_Normal Car"/>
    <w:link w:val="Normal0"/>
    <w:rsid w:val="0049100D"/>
    <w:rPr>
      <w:rFonts w:ascii="Arial" w:hAnsi="Arial"/>
      <w:szCs w:val="24"/>
      <w:lang w:val="fr-FR" w:eastAsia="en-US"/>
    </w:rPr>
  </w:style>
  <w:style w:type="paragraph" w:styleId="BodyText">
    <w:name w:val="Body Text"/>
    <w:basedOn w:val="Normal"/>
    <w:link w:val="BodyTextChar"/>
    <w:uiPriority w:val="1"/>
    <w:qFormat/>
    <w:rsid w:val="0049100D"/>
    <w:pPr>
      <w:autoSpaceDE w:val="0"/>
      <w:autoSpaceDN w:val="0"/>
      <w:adjustRightInd w:val="0"/>
    </w:pPr>
    <w:rPr>
      <w:rFonts w:eastAsiaTheme="minorEastAsia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9100D"/>
    <w:rPr>
      <w:rFonts w:eastAsiaTheme="minorEastAsia"/>
      <w:sz w:val="24"/>
      <w:szCs w:val="24"/>
      <w:lang w:val="fr-FR"/>
    </w:rPr>
  </w:style>
  <w:style w:type="paragraph" w:customStyle="1" w:styleId="Normal12Hanging">
    <w:name w:val="Normal12Hanging"/>
    <w:basedOn w:val="Normal"/>
    <w:link w:val="Normal12HangingChar"/>
    <w:rsid w:val="005E6BDB"/>
    <w:pPr>
      <w:spacing w:after="240"/>
      <w:ind w:left="357" w:hanging="357"/>
    </w:pPr>
    <w:rPr>
      <w:snapToGrid w:val="0"/>
      <w:lang w:val="it-IT"/>
    </w:rPr>
  </w:style>
  <w:style w:type="character" w:customStyle="1" w:styleId="Normal12HangingChar">
    <w:name w:val="Normal12Hanging Char"/>
    <w:link w:val="Normal12Hanging"/>
    <w:rsid w:val="005E6BDB"/>
    <w:rPr>
      <w:snapToGrid w:val="0"/>
      <w:sz w:val="24"/>
      <w:lang w:val="it-IT"/>
    </w:rPr>
  </w:style>
  <w:style w:type="paragraph" w:customStyle="1" w:styleId="AmDocTypeTab">
    <w:name w:val="AmDocTypeTab"/>
    <w:basedOn w:val="Normal"/>
    <w:rsid w:val="002F6F61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2F6F61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2F6F61"/>
  </w:style>
  <w:style w:type="paragraph" w:customStyle="1" w:styleId="SignaturePersonne">
    <w:name w:val="Signature Personne"/>
    <w:basedOn w:val="Normal"/>
    <w:rsid w:val="002F6F61"/>
    <w:pPr>
      <w:widowControl/>
      <w:tabs>
        <w:tab w:val="left" w:pos="4252"/>
      </w:tabs>
      <w:spacing w:line="360" w:lineRule="auto"/>
    </w:pPr>
    <w:rPr>
      <w:i/>
      <w:szCs w:val="24"/>
      <w:lang w:val="en-US" w:eastAsia="en-US"/>
    </w:rPr>
  </w:style>
  <w:style w:type="paragraph" w:customStyle="1" w:styleId="Considrant">
    <w:name w:val="Considérant"/>
    <w:basedOn w:val="Normal"/>
    <w:rsid w:val="002F6F61"/>
    <w:pPr>
      <w:spacing w:before="120" w:after="120" w:line="360" w:lineRule="auto"/>
      <w:ind w:left="850" w:hanging="850"/>
    </w:pPr>
    <w:rPr>
      <w:szCs w:val="24"/>
      <w:lang w:val="en-US" w:eastAsia="en-US"/>
    </w:rPr>
  </w:style>
  <w:style w:type="paragraph" w:customStyle="1" w:styleId="Institutionquiagit">
    <w:name w:val="Institution qui agit"/>
    <w:basedOn w:val="Normal"/>
    <w:next w:val="Normal"/>
    <w:rsid w:val="002F6F61"/>
    <w:pPr>
      <w:keepNext/>
      <w:spacing w:before="600" w:after="120" w:line="360" w:lineRule="auto"/>
    </w:pPr>
    <w:rPr>
      <w:szCs w:val="24"/>
      <w:lang w:val="en-US" w:eastAsia="en-US"/>
    </w:rPr>
  </w:style>
  <w:style w:type="paragraph" w:customStyle="1" w:styleId="Institutionquisigne">
    <w:name w:val="Institution qui signe"/>
    <w:basedOn w:val="Normal"/>
    <w:next w:val="Normal"/>
    <w:rsid w:val="002F6F61"/>
    <w:pPr>
      <w:keepNext/>
      <w:tabs>
        <w:tab w:val="left" w:pos="4252"/>
      </w:tabs>
      <w:spacing w:before="720" w:line="360" w:lineRule="auto"/>
    </w:pPr>
    <w:rPr>
      <w:i/>
      <w:szCs w:val="24"/>
      <w:lang w:val="en-US" w:eastAsia="en-US"/>
    </w:rPr>
  </w:style>
  <w:style w:type="paragraph" w:customStyle="1" w:styleId="Fait">
    <w:name w:val="Fait à"/>
    <w:basedOn w:val="Normal"/>
    <w:rsid w:val="002F6F61"/>
    <w:pPr>
      <w:keepNext/>
      <w:widowControl/>
      <w:spacing w:before="120" w:line="360" w:lineRule="auto"/>
    </w:pPr>
    <w:rPr>
      <w:szCs w:val="24"/>
      <w:lang w:val="en-US" w:eastAsia="en-US"/>
    </w:rPr>
  </w:style>
  <w:style w:type="paragraph" w:customStyle="1" w:styleId="FootnoteTextForceStyle">
    <w:name w:val="Footnote Text ForceStyle"/>
    <w:rsid w:val="002F6F61"/>
    <w:pPr>
      <w:keepLines/>
      <w:widowControl w:val="0"/>
      <w:ind w:left="850" w:hanging="850"/>
    </w:pPr>
    <w:rPr>
      <w:sz w:val="24"/>
      <w:lang w:val="en-US" w:eastAsia="en-US"/>
    </w:rPr>
  </w:style>
  <w:style w:type="character" w:customStyle="1" w:styleId="Footer2">
    <w:name w:val="Footer2"/>
    <w:rsid w:val="002F6F61"/>
    <w:rPr>
      <w:rFonts w:ascii="Arial" w:hAnsi="Arial"/>
      <w:b/>
      <w:sz w:val="48"/>
    </w:rPr>
  </w:style>
  <w:style w:type="paragraph" w:customStyle="1" w:styleId="Applicationdirecte">
    <w:name w:val="Application directe"/>
    <w:basedOn w:val="Normal"/>
    <w:next w:val="Normal"/>
    <w:rsid w:val="002F6F61"/>
    <w:pPr>
      <w:spacing w:before="120" w:after="120" w:line="360" w:lineRule="auto"/>
    </w:pPr>
    <w:rPr>
      <w:szCs w:val="24"/>
      <w:lang w:val="en-US" w:eastAsia="en-US"/>
    </w:rPr>
  </w:style>
  <w:style w:type="paragraph" w:customStyle="1" w:styleId="Normale">
    <w:name w:val="Normale"/>
    <w:rsid w:val="002F6F61"/>
    <w:pPr>
      <w:widowControl w:val="0"/>
      <w:spacing w:before="120" w:after="120" w:line="360" w:lineRule="auto"/>
    </w:pPr>
    <w:rPr>
      <w:sz w:val="24"/>
      <w:lang w:val="en-US" w:eastAsia="en-US"/>
    </w:rPr>
  </w:style>
  <w:style w:type="paragraph" w:customStyle="1" w:styleId="Formuledadoption">
    <w:name w:val="Formule d'adoption"/>
    <w:basedOn w:val="Normal"/>
    <w:next w:val="Normal"/>
    <w:rsid w:val="002F6F61"/>
    <w:pPr>
      <w:keepNext/>
      <w:widowControl/>
      <w:spacing w:before="120" w:after="120" w:line="360" w:lineRule="auto"/>
    </w:pPr>
    <w:rPr>
      <w:szCs w:val="24"/>
      <w:lang w:val="en-US" w:eastAsia="en-US"/>
    </w:rPr>
  </w:style>
  <w:style w:type="paragraph" w:customStyle="1" w:styleId="Rfrenceinstitutionnelle">
    <w:name w:val="Référence institutionnelle"/>
    <w:basedOn w:val="Normal"/>
    <w:next w:val="Normal"/>
    <w:rsid w:val="002F6F61"/>
    <w:pPr>
      <w:widowControl/>
      <w:spacing w:after="240" w:line="360" w:lineRule="auto"/>
      <w:ind w:left="5102"/>
    </w:pPr>
    <w:rPr>
      <w:szCs w:val="24"/>
      <w:lang w:val="en-US" w:eastAsia="en-US"/>
    </w:rPr>
  </w:style>
  <w:style w:type="paragraph" w:customStyle="1" w:styleId="Footer1">
    <w:name w:val="Footer1"/>
    <w:basedOn w:val="Normal"/>
    <w:rsid w:val="002F6F61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val="en-US" w:eastAsia="en-US"/>
    </w:rPr>
  </w:style>
  <w:style w:type="paragraph" w:customStyle="1" w:styleId="SignatureInstitution">
    <w:name w:val="Signature Institution"/>
    <w:basedOn w:val="Normal"/>
    <w:rsid w:val="002F6F61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val="en-US" w:eastAsia="en-US"/>
    </w:rPr>
  </w:style>
  <w:style w:type="paragraph" w:customStyle="1" w:styleId="Statut">
    <w:name w:val="Statut"/>
    <w:basedOn w:val="Normal"/>
    <w:next w:val="Normal"/>
    <w:rsid w:val="002F6F61"/>
    <w:pPr>
      <w:widowControl/>
      <w:spacing w:before="840" w:line="360" w:lineRule="auto"/>
      <w:jc w:val="center"/>
    </w:pPr>
    <w:rPr>
      <w:szCs w:val="24"/>
      <w:lang w:val="en-US" w:eastAsia="en-US"/>
    </w:rPr>
  </w:style>
  <w:style w:type="paragraph" w:customStyle="1" w:styleId="Typedudocument">
    <w:name w:val="Type du document"/>
    <w:basedOn w:val="Normal"/>
    <w:next w:val="Normal"/>
    <w:rsid w:val="002F6F61"/>
    <w:pPr>
      <w:widowControl/>
      <w:spacing w:before="360" w:line="360" w:lineRule="auto"/>
      <w:jc w:val="center"/>
    </w:pPr>
    <w:rPr>
      <w:b/>
      <w:szCs w:val="24"/>
      <w:lang w:val="en-US" w:eastAsia="en-US"/>
    </w:rPr>
  </w:style>
  <w:style w:type="paragraph" w:customStyle="1" w:styleId="Titreobjet">
    <w:name w:val="Titre objet"/>
    <w:basedOn w:val="Normal"/>
    <w:next w:val="Normal"/>
    <w:rsid w:val="002F6F61"/>
    <w:pPr>
      <w:widowControl/>
      <w:spacing w:before="360" w:after="360" w:line="360" w:lineRule="auto"/>
      <w:jc w:val="center"/>
    </w:pPr>
    <w:rPr>
      <w:b/>
      <w:szCs w:val="24"/>
      <w:lang w:val="en-US" w:eastAsia="en-US"/>
    </w:rPr>
  </w:style>
  <w:style w:type="paragraph" w:customStyle="1" w:styleId="IntrtEEE">
    <w:name w:val="Intérêt EEE"/>
    <w:basedOn w:val="Normal"/>
    <w:next w:val="Normal"/>
    <w:rsid w:val="002F6F61"/>
    <w:pPr>
      <w:widowControl/>
      <w:spacing w:before="360" w:after="240" w:line="360" w:lineRule="auto"/>
      <w:jc w:val="center"/>
    </w:pPr>
    <w:rPr>
      <w:szCs w:val="24"/>
      <w:lang w:val="en-US" w:eastAsia="en-US"/>
    </w:rPr>
  </w:style>
  <w:style w:type="paragraph" w:styleId="Revision">
    <w:name w:val="Revision"/>
    <w:hidden/>
    <w:uiPriority w:val="99"/>
    <w:semiHidden/>
    <w:rsid w:val="002F6F61"/>
    <w:rPr>
      <w:sz w:val="24"/>
      <w:szCs w:val="24"/>
      <w:lang w:val="en-US" w:eastAsia="en-US"/>
    </w:rPr>
  </w:style>
  <w:style w:type="numbering" w:customStyle="1" w:styleId="NoList2">
    <w:name w:val="No List2"/>
    <w:next w:val="NoList"/>
    <w:uiPriority w:val="99"/>
    <w:semiHidden/>
    <w:unhideWhenUsed/>
    <w:rsid w:val="002F6F61"/>
  </w:style>
  <w:style w:type="paragraph" w:customStyle="1" w:styleId="HeadingDocType24a">
    <w:name w:val="HeadingDocType24a"/>
    <w:basedOn w:val="Normal"/>
    <w:rsid w:val="003F766A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3F766A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3F766A"/>
    <w:pPr>
      <w:jc w:val="center"/>
    </w:pPr>
  </w:style>
  <w:style w:type="paragraph" w:customStyle="1" w:styleId="LineSingle">
    <w:name w:val="LineSingle"/>
    <w:basedOn w:val="Normal"/>
    <w:next w:val="Normal"/>
    <w:rsid w:val="003F766A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3F766A"/>
    <w:pPr>
      <w:spacing w:before="240" w:after="240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F766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3F766A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36009"/>
    <w:pPr>
      <w:widowControl/>
      <w:spacing w:before="100" w:beforeAutospacing="1" w:after="100" w:afterAutospacing="1"/>
    </w:pPr>
    <w:rPr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reg/2025/38/oj" TargetMode="External"/><Relationship Id="rId1" Type="http://schemas.openxmlformats.org/officeDocument/2006/relationships/hyperlink" Target="http://data.europa.eu/eli/C/2024/1049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F80F0-B47B-4671-9D1F-4A0C2CBDE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863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CHABOTEAU Viviane</dc:creator>
  <cp:keywords/>
  <cp:lastModifiedBy>BINKEVICIUTE Aurelija</cp:lastModifiedBy>
  <cp:revision>3</cp:revision>
  <cp:lastPrinted>2004-11-19T15:42:00Z</cp:lastPrinted>
  <dcterms:created xsi:type="dcterms:W3CDTF">2025-03-18T15:45:00Z</dcterms:created>
  <dcterms:modified xsi:type="dcterms:W3CDTF">2025-06-18T14:44:00Z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FR</vt:lpwstr>
  </property>
  <property fmtid="{D5CDD505-2E9C-101B-9397-08002B2CF9AE}" pid="3" name="&lt;FdR&gt;">
    <vt:lpwstr>P9_TA(2024)0355_</vt:lpwstr>
  </property>
  <property fmtid="{D5CDD505-2E9C-101B-9397-08002B2CF9AE}" pid="4" name="&lt;Type&gt;">
    <vt:lpwstr>RR</vt:lpwstr>
  </property>
</Properties>
</file>