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96F1A" w:rsidTr="0010095E">
        <w:trPr>
          <w:trHeight w:hRule="exact" w:val="1418"/>
        </w:trPr>
        <w:tc>
          <w:tcPr>
            <w:tcW w:w="6804" w:type="dxa"/>
            <w:shd w:val="clear" w:color="auto" w:fill="auto"/>
            <w:vAlign w:val="center"/>
          </w:tcPr>
          <w:p w:rsidR="00751A4A" w:rsidRPr="00296F1A" w:rsidRDefault="00994592" w:rsidP="0010095E">
            <w:pPr>
              <w:pStyle w:val="EPName"/>
            </w:pPr>
            <w:r w:rsidRPr="00296F1A">
              <w:t>Europos Parlamentas</w:t>
            </w:r>
          </w:p>
          <w:p w:rsidR="00751A4A" w:rsidRPr="00296F1A" w:rsidRDefault="00817416" w:rsidP="00756632">
            <w:pPr>
              <w:pStyle w:val="EPTerm"/>
              <w:rPr>
                <w:rStyle w:val="HideTWBExt"/>
                <w:noProof w:val="0"/>
                <w:vanish w:val="0"/>
                <w:color w:val="auto"/>
              </w:rPr>
            </w:pPr>
            <w:r w:rsidRPr="00F37547">
              <w:t>2019</w:t>
            </w:r>
            <w:r w:rsidRPr="00296F1A">
              <w:t>-</w:t>
            </w:r>
            <w:r w:rsidRPr="00F37547">
              <w:t>2024</w:t>
            </w:r>
          </w:p>
        </w:tc>
        <w:tc>
          <w:tcPr>
            <w:tcW w:w="2268" w:type="dxa"/>
            <w:shd w:val="clear" w:color="auto" w:fill="auto"/>
          </w:tcPr>
          <w:p w:rsidR="00751A4A" w:rsidRPr="00296F1A" w:rsidRDefault="00187494" w:rsidP="0010095E">
            <w:pPr>
              <w:pStyle w:val="EPLogo"/>
            </w:pPr>
            <w:r w:rsidRPr="00296F1A">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96F1A" w:rsidRDefault="00D058B8" w:rsidP="004C5D52">
      <w:pPr>
        <w:pStyle w:val="LineTop"/>
      </w:pPr>
    </w:p>
    <w:p w:rsidR="00680577" w:rsidRPr="00296F1A" w:rsidRDefault="00994592" w:rsidP="00680577">
      <w:pPr>
        <w:pStyle w:val="EPBodyTA1"/>
      </w:pPr>
      <w:r w:rsidRPr="00296F1A">
        <w:t>PRIIMTI TEKSTAI</w:t>
      </w:r>
    </w:p>
    <w:p w:rsidR="00D058B8" w:rsidRPr="00296F1A" w:rsidRDefault="00D058B8" w:rsidP="00D058B8">
      <w:pPr>
        <w:pStyle w:val="LineBottom"/>
      </w:pPr>
    </w:p>
    <w:p w:rsidR="00994592" w:rsidRPr="00296F1A" w:rsidRDefault="00994592" w:rsidP="00994592">
      <w:pPr>
        <w:pStyle w:val="ATHeading1"/>
      </w:pPr>
      <w:bookmarkStart w:id="0" w:name="TANumber"/>
      <w:r w:rsidRPr="00296F1A">
        <w:t>P</w:t>
      </w:r>
      <w:r w:rsidRPr="00F37547">
        <w:t>9</w:t>
      </w:r>
      <w:r w:rsidRPr="00296F1A">
        <w:t>_TA(</w:t>
      </w:r>
      <w:r w:rsidRPr="00F37547">
        <w:t>2024</w:t>
      </w:r>
      <w:r w:rsidRPr="00296F1A">
        <w:t>)</w:t>
      </w:r>
      <w:r w:rsidRPr="00F37547">
        <w:t>0</w:t>
      </w:r>
      <w:r w:rsidR="00661409" w:rsidRPr="00F37547">
        <w:t>355</w:t>
      </w:r>
      <w:bookmarkEnd w:id="0"/>
    </w:p>
    <w:p w:rsidR="00994592" w:rsidRPr="00296F1A" w:rsidRDefault="006136A3" w:rsidP="00994592">
      <w:pPr>
        <w:pStyle w:val="ATHeading2"/>
      </w:pPr>
      <w:bookmarkStart w:id="1" w:name="title"/>
      <w:r>
        <w:t>Kibernetinio s</w:t>
      </w:r>
      <w:r w:rsidR="00994592" w:rsidRPr="00296F1A">
        <w:t xml:space="preserve">olidarumo </w:t>
      </w:r>
      <w:r>
        <w:t>akt</w:t>
      </w:r>
      <w:r w:rsidR="00994592" w:rsidRPr="00296F1A">
        <w:t>as</w:t>
      </w:r>
      <w:bookmarkEnd w:id="1"/>
    </w:p>
    <w:p w:rsidR="00994592" w:rsidRPr="00296F1A" w:rsidRDefault="00994592" w:rsidP="00994592">
      <w:pPr>
        <w:rPr>
          <w:i/>
          <w:vanish/>
        </w:rPr>
      </w:pPr>
      <w:r w:rsidRPr="00296F1A">
        <w:rPr>
          <w:i/>
        </w:rPr>
        <w:fldChar w:fldCharType="begin"/>
      </w:r>
      <w:r w:rsidRPr="00296F1A">
        <w:rPr>
          <w:i/>
        </w:rPr>
        <w:instrText xml:space="preserve"> TC"(</w:instrText>
      </w:r>
      <w:bookmarkStart w:id="2" w:name="DocNumber"/>
      <w:r w:rsidRPr="00296F1A">
        <w:rPr>
          <w:i/>
        </w:rPr>
        <w:instrText>A</w:instrText>
      </w:r>
      <w:r w:rsidRPr="00F37547">
        <w:rPr>
          <w:i/>
        </w:rPr>
        <w:instrText>9</w:instrText>
      </w:r>
      <w:r w:rsidRPr="00296F1A">
        <w:rPr>
          <w:i/>
        </w:rPr>
        <w:instrText>-</w:instrText>
      </w:r>
      <w:r w:rsidRPr="00F37547">
        <w:rPr>
          <w:i/>
        </w:rPr>
        <w:instrText>0426</w:instrText>
      </w:r>
      <w:r w:rsidRPr="00296F1A">
        <w:rPr>
          <w:i/>
        </w:rPr>
        <w:instrText>/</w:instrText>
      </w:r>
      <w:r w:rsidRPr="00F37547">
        <w:rPr>
          <w:i/>
        </w:rPr>
        <w:instrText>2023</w:instrText>
      </w:r>
      <w:bookmarkEnd w:id="2"/>
      <w:r w:rsidRPr="00296F1A">
        <w:rPr>
          <w:i/>
        </w:rPr>
        <w:instrText xml:space="preserve"> - Pranešėja: Lina </w:instrText>
      </w:r>
      <w:proofErr w:type="spellStart"/>
      <w:r w:rsidRPr="00296F1A">
        <w:rPr>
          <w:i/>
        </w:rPr>
        <w:instrText>Gálvez</w:instrText>
      </w:r>
      <w:proofErr w:type="spellEnd"/>
      <w:r w:rsidRPr="00296F1A">
        <w:rPr>
          <w:i/>
        </w:rPr>
        <w:instrText xml:space="preserve"> </w:instrText>
      </w:r>
      <w:proofErr w:type="spellStart"/>
      <w:r w:rsidRPr="00296F1A">
        <w:rPr>
          <w:i/>
        </w:rPr>
        <w:instrText>Muñoz</w:instrText>
      </w:r>
      <w:proofErr w:type="spellEnd"/>
      <w:r w:rsidRPr="00296F1A">
        <w:rPr>
          <w:i/>
        </w:rPr>
        <w:instrText>)"\l</w:instrText>
      </w:r>
      <w:r w:rsidRPr="00F37547">
        <w:rPr>
          <w:i/>
        </w:rPr>
        <w:instrText>3</w:instrText>
      </w:r>
      <w:r w:rsidRPr="00296F1A">
        <w:rPr>
          <w:i/>
        </w:rPr>
        <w:instrText xml:space="preserve"> \n&gt; \* MERGEFORMAT </w:instrText>
      </w:r>
      <w:r w:rsidRPr="00296F1A">
        <w:rPr>
          <w:i/>
        </w:rPr>
        <w:fldChar w:fldCharType="end"/>
      </w:r>
    </w:p>
    <w:p w:rsidR="00994592" w:rsidRPr="00296F1A" w:rsidRDefault="00994592" w:rsidP="00994592">
      <w:pPr>
        <w:rPr>
          <w:vanish/>
        </w:rPr>
      </w:pPr>
      <w:bookmarkStart w:id="3" w:name="Commission"/>
      <w:r w:rsidRPr="00296F1A">
        <w:rPr>
          <w:vanish/>
        </w:rPr>
        <w:t>Pramonės, mokslinių tyrimų ir energetikos komitetas</w:t>
      </w:r>
      <w:bookmarkEnd w:id="3"/>
    </w:p>
    <w:p w:rsidR="00994592" w:rsidRPr="00296F1A" w:rsidRDefault="00994592" w:rsidP="00994592">
      <w:pPr>
        <w:rPr>
          <w:vanish/>
        </w:rPr>
      </w:pPr>
      <w:bookmarkStart w:id="4" w:name="PE"/>
      <w:r w:rsidRPr="00296F1A">
        <w:rPr>
          <w:vanish/>
        </w:rPr>
        <w:t>PE</w:t>
      </w:r>
      <w:r w:rsidRPr="00F37547">
        <w:rPr>
          <w:vanish/>
        </w:rPr>
        <w:t>752</w:t>
      </w:r>
      <w:r w:rsidRPr="00296F1A">
        <w:rPr>
          <w:vanish/>
        </w:rPr>
        <w:t>.</w:t>
      </w:r>
      <w:r w:rsidRPr="00F37547">
        <w:rPr>
          <w:vanish/>
        </w:rPr>
        <w:t>795</w:t>
      </w:r>
      <w:bookmarkEnd w:id="4"/>
    </w:p>
    <w:p w:rsidR="00994592" w:rsidRPr="00296F1A" w:rsidRDefault="005359F6" w:rsidP="00994592">
      <w:pPr>
        <w:pStyle w:val="ATHeading3"/>
      </w:pPr>
      <w:bookmarkStart w:id="5" w:name="Sujet"/>
      <w:r w:rsidRPr="00F37547">
        <w:t>2024</w:t>
      </w:r>
      <w:r>
        <w:t xml:space="preserve"> m. balandžio </w:t>
      </w:r>
      <w:r w:rsidR="001758E5" w:rsidRPr="00F37547">
        <w:t>24</w:t>
      </w:r>
      <w:r>
        <w:t xml:space="preserve"> d. </w:t>
      </w:r>
      <w:r w:rsidR="00994592" w:rsidRPr="00296F1A">
        <w:t>Europos Parlamento teisėkūros rezoliucija dėl pasiūlymo dėl Europos Parlamento ir Tarybos reglamento, kuriuo nustatomos solidarumo stiprinimo ir pajėgumo aptikti kibernetinio saugumo grėsmes ir incidentus Sąjungoje, jiems pasirengti ir į juos reaguoti didinimo priemonės</w:t>
      </w:r>
      <w:bookmarkEnd w:id="5"/>
      <w:r w:rsidR="00994592" w:rsidRPr="00296F1A">
        <w:t xml:space="preserve"> </w:t>
      </w:r>
      <w:bookmarkStart w:id="6" w:name="References"/>
      <w:r w:rsidR="00994592" w:rsidRPr="00296F1A">
        <w:t>(COM(</w:t>
      </w:r>
      <w:r w:rsidR="00994592" w:rsidRPr="00F37547">
        <w:t>2023</w:t>
      </w:r>
      <w:r w:rsidR="00994592" w:rsidRPr="00296F1A">
        <w:t>)</w:t>
      </w:r>
      <w:r w:rsidR="00994592" w:rsidRPr="00F37547">
        <w:t>0209</w:t>
      </w:r>
      <w:r w:rsidR="00994592" w:rsidRPr="00296F1A">
        <w:t xml:space="preserve"> – C</w:t>
      </w:r>
      <w:r w:rsidR="00994592" w:rsidRPr="00F37547">
        <w:t>9</w:t>
      </w:r>
      <w:r w:rsidR="00994592" w:rsidRPr="00296F1A">
        <w:t>-</w:t>
      </w:r>
      <w:r w:rsidR="00994592" w:rsidRPr="00F37547">
        <w:t>0136</w:t>
      </w:r>
      <w:r w:rsidR="00994592" w:rsidRPr="00296F1A">
        <w:t>/</w:t>
      </w:r>
      <w:r w:rsidR="00994592" w:rsidRPr="00F37547">
        <w:t>2023</w:t>
      </w:r>
      <w:r w:rsidR="00994592" w:rsidRPr="00296F1A">
        <w:t xml:space="preserve"> – </w:t>
      </w:r>
      <w:r w:rsidR="00994592" w:rsidRPr="00F37547">
        <w:t>2023</w:t>
      </w:r>
      <w:r w:rsidR="00994592" w:rsidRPr="00296F1A">
        <w:t>/</w:t>
      </w:r>
      <w:r w:rsidR="00994592" w:rsidRPr="00F37547">
        <w:t>0109</w:t>
      </w:r>
      <w:r w:rsidR="00994592" w:rsidRPr="00296F1A">
        <w:t>(COD))</w:t>
      </w:r>
      <w:bookmarkEnd w:id="6"/>
    </w:p>
    <w:p w:rsidR="00997FA3" w:rsidRPr="00296F1A" w:rsidRDefault="00997FA3" w:rsidP="00997FA3">
      <w:pPr>
        <w:pStyle w:val="NormalBold"/>
      </w:pPr>
      <w:bookmarkStart w:id="7" w:name="TextBodyBegin"/>
      <w:bookmarkEnd w:id="7"/>
      <w:r w:rsidRPr="00296F1A">
        <w:t>(Įprasta teisėkūros procedūra: pirmasis svarstymas)</w:t>
      </w:r>
    </w:p>
    <w:p w:rsidR="00997FA3" w:rsidRPr="00296F1A" w:rsidRDefault="00997FA3" w:rsidP="00997FA3">
      <w:pPr>
        <w:pStyle w:val="EPComma"/>
      </w:pPr>
      <w:r w:rsidRPr="00296F1A">
        <w:rPr>
          <w:i/>
          <w:iCs/>
        </w:rPr>
        <w:t>Europos Parlamentas,</w:t>
      </w:r>
    </w:p>
    <w:p w:rsidR="00997FA3" w:rsidRPr="00296F1A" w:rsidRDefault="00997FA3" w:rsidP="00997FA3">
      <w:pPr>
        <w:pStyle w:val="NormalHanging12a"/>
      </w:pPr>
      <w:r w:rsidRPr="00296F1A">
        <w:t>–</w:t>
      </w:r>
      <w:r w:rsidRPr="00296F1A">
        <w:tab/>
        <w:t>atsižvelgdamas į Komisijos pasiūlymą Europos Parlamentui ir Tarybai (COM(</w:t>
      </w:r>
      <w:r w:rsidRPr="00F37547">
        <w:t>2023</w:t>
      </w:r>
      <w:r w:rsidRPr="00296F1A">
        <w:t>)</w:t>
      </w:r>
      <w:r w:rsidRPr="00F37547">
        <w:t>0209</w:t>
      </w:r>
      <w:r w:rsidRPr="00296F1A">
        <w:t>),</w:t>
      </w:r>
    </w:p>
    <w:p w:rsidR="00997FA3" w:rsidRPr="00296F1A" w:rsidRDefault="00997FA3" w:rsidP="00997FA3">
      <w:pPr>
        <w:pStyle w:val="NormalHanging12a"/>
      </w:pPr>
      <w:r w:rsidRPr="00296F1A">
        <w:t>–</w:t>
      </w:r>
      <w:r w:rsidRPr="00296F1A">
        <w:tab/>
        <w:t xml:space="preserve">atsižvelgdamas į Sutarties dėl Europos Sąjungos veikimo </w:t>
      </w:r>
      <w:r w:rsidRPr="00F37547">
        <w:t>294</w:t>
      </w:r>
      <w:r w:rsidRPr="00296F1A">
        <w:t xml:space="preserve"> straipsnio </w:t>
      </w:r>
      <w:r w:rsidRPr="00F37547">
        <w:t>2</w:t>
      </w:r>
      <w:r w:rsidRPr="00296F1A">
        <w:t xml:space="preserve"> dalį ir </w:t>
      </w:r>
      <w:r w:rsidR="005F20C6">
        <w:t xml:space="preserve">į </w:t>
      </w:r>
      <w:r w:rsidRPr="00F37547">
        <w:t>173</w:t>
      </w:r>
      <w:r w:rsidRPr="00296F1A">
        <w:t xml:space="preserve"> straipsnio </w:t>
      </w:r>
      <w:r w:rsidRPr="00F37547">
        <w:t>3</w:t>
      </w:r>
      <w:r w:rsidRPr="00296F1A">
        <w:t xml:space="preserve"> dalį bei </w:t>
      </w:r>
      <w:r w:rsidRPr="00F37547">
        <w:t>322</w:t>
      </w:r>
      <w:r w:rsidRPr="00296F1A">
        <w:t xml:space="preserve"> straipsnio </w:t>
      </w:r>
      <w:r w:rsidRPr="00F37547">
        <w:t>1</w:t>
      </w:r>
      <w:r w:rsidRPr="00296F1A">
        <w:t> dalies a punktą, pagal kuriuos Komisija pateikė pasiūlymą Parlamentui (C</w:t>
      </w:r>
      <w:r w:rsidRPr="00F37547">
        <w:t>9</w:t>
      </w:r>
      <w:r w:rsidRPr="00296F1A">
        <w:noBreakHyphen/>
      </w:r>
      <w:r w:rsidRPr="00F37547">
        <w:t>0136</w:t>
      </w:r>
      <w:r w:rsidRPr="00296F1A">
        <w:t>/</w:t>
      </w:r>
      <w:r w:rsidRPr="00F37547">
        <w:t>2023</w:t>
      </w:r>
      <w:r w:rsidRPr="00296F1A">
        <w:t>),</w:t>
      </w:r>
    </w:p>
    <w:p w:rsidR="00997FA3" w:rsidRDefault="00997FA3" w:rsidP="00997FA3">
      <w:pPr>
        <w:pStyle w:val="NormalHanging12a"/>
      </w:pPr>
      <w:r w:rsidRPr="00296F1A">
        <w:t>–</w:t>
      </w:r>
      <w:r w:rsidRPr="00296F1A">
        <w:tab/>
        <w:t xml:space="preserve">atsižvelgdamas į Sutarties dėl Europos Sąjungos veikimo </w:t>
      </w:r>
      <w:r w:rsidRPr="00F37547">
        <w:t>294</w:t>
      </w:r>
      <w:r w:rsidRPr="00296F1A">
        <w:t xml:space="preserve"> straipsnio </w:t>
      </w:r>
      <w:r w:rsidRPr="00F37547">
        <w:t>3</w:t>
      </w:r>
      <w:r w:rsidRPr="00296F1A">
        <w:t> dalį,</w:t>
      </w:r>
    </w:p>
    <w:p w:rsidR="001066B9" w:rsidRPr="00296F1A" w:rsidRDefault="001066B9" w:rsidP="00997FA3">
      <w:pPr>
        <w:pStyle w:val="NormalHanging12a"/>
      </w:pPr>
      <w:r w:rsidRPr="00296F1A">
        <w:t>–</w:t>
      </w:r>
      <w:r w:rsidRPr="00296F1A">
        <w:tab/>
      </w:r>
      <w:r w:rsidRPr="001066B9">
        <w:t xml:space="preserve">atsižvelgdamas į </w:t>
      </w:r>
      <w:r w:rsidRPr="00F37547">
        <w:t>2023</w:t>
      </w:r>
      <w:r w:rsidRPr="001066B9">
        <w:t xml:space="preserve"> m. </w:t>
      </w:r>
      <w:r>
        <w:t>balandžio</w:t>
      </w:r>
      <w:r w:rsidRPr="001066B9">
        <w:t xml:space="preserve"> </w:t>
      </w:r>
      <w:r w:rsidRPr="00F37547">
        <w:t>18</w:t>
      </w:r>
      <w:r w:rsidRPr="001066B9">
        <w:t xml:space="preserve"> d. Audito Rūmų nuomonę</w:t>
      </w:r>
      <w:r>
        <w:rPr>
          <w:rStyle w:val="FootnoteReference"/>
        </w:rPr>
        <w:footnoteReference w:id="1"/>
      </w:r>
      <w:r>
        <w:t>,</w:t>
      </w:r>
    </w:p>
    <w:p w:rsidR="00997FA3" w:rsidRDefault="00997FA3" w:rsidP="00997FA3">
      <w:pPr>
        <w:pStyle w:val="NormalHanging12a"/>
      </w:pPr>
      <w:r w:rsidRPr="00296F1A">
        <w:t>–</w:t>
      </w:r>
      <w:r w:rsidRPr="00296F1A">
        <w:tab/>
        <w:t xml:space="preserve">atsižvelgdamas į </w:t>
      </w:r>
      <w:r w:rsidRPr="00F37547">
        <w:t>2023</w:t>
      </w:r>
      <w:r w:rsidRPr="00296F1A">
        <w:t xml:space="preserve"> m. liepos </w:t>
      </w:r>
      <w:r w:rsidRPr="00F37547">
        <w:t>13</w:t>
      </w:r>
      <w:r w:rsidRPr="00296F1A">
        <w:t> d. Europos ekonomikos ir socialinių reikalų komiteto nuomonę</w:t>
      </w:r>
      <w:r w:rsidRPr="00296F1A">
        <w:rPr>
          <w:rStyle w:val="FootnoteReference"/>
        </w:rPr>
        <w:footnoteReference w:id="2"/>
      </w:r>
      <w:r w:rsidRPr="00296F1A">
        <w:t>,</w:t>
      </w:r>
    </w:p>
    <w:p w:rsidR="005F20C6" w:rsidRDefault="005F20C6" w:rsidP="005F20C6">
      <w:pPr>
        <w:pStyle w:val="NormalHanging12a"/>
      </w:pPr>
      <w:r w:rsidRPr="00296F1A">
        <w:t>–</w:t>
      </w:r>
      <w:r w:rsidRPr="00296F1A">
        <w:tab/>
        <w:t xml:space="preserve">atsižvelgdamas į </w:t>
      </w:r>
      <w:r w:rsidRPr="00F37547">
        <w:t>2023</w:t>
      </w:r>
      <w:r w:rsidRPr="00296F1A">
        <w:t xml:space="preserve"> m. </w:t>
      </w:r>
      <w:r>
        <w:t xml:space="preserve">lapkričio </w:t>
      </w:r>
      <w:r w:rsidRPr="00F37547">
        <w:t>30</w:t>
      </w:r>
      <w:r w:rsidRPr="00296F1A">
        <w:t xml:space="preserve"> d. </w:t>
      </w:r>
      <w:r>
        <w:t>Regionų</w:t>
      </w:r>
      <w:r w:rsidRPr="00296F1A">
        <w:t xml:space="preserve"> komiteto nuomonę</w:t>
      </w:r>
      <w:r w:rsidRPr="00296F1A">
        <w:rPr>
          <w:rStyle w:val="FootnoteReference"/>
        </w:rPr>
        <w:footnoteReference w:id="3"/>
      </w:r>
      <w:r w:rsidRPr="00296F1A">
        <w:t>,</w:t>
      </w:r>
    </w:p>
    <w:p w:rsidR="00546A79" w:rsidRDefault="00546A79" w:rsidP="005F20C6">
      <w:pPr>
        <w:pStyle w:val="NormalHanging12a"/>
      </w:pPr>
      <w:r w:rsidRPr="00CF25A0">
        <w:t>–</w:t>
      </w:r>
      <w:r w:rsidRPr="00CF25A0">
        <w:tab/>
        <w:t>atsižvelgdamas į preliminarų susitarimą, kurį atsaking</w:t>
      </w:r>
      <w:r>
        <w:t>i</w:t>
      </w:r>
      <w:r w:rsidRPr="00CF25A0">
        <w:t xml:space="preserve"> komiteta</w:t>
      </w:r>
      <w:r>
        <w:t>i</w:t>
      </w:r>
      <w:r w:rsidRPr="00CF25A0">
        <w:t xml:space="preserve"> patvirtino pagal Darbo tvarkos taisyklių </w:t>
      </w:r>
      <w:r w:rsidRPr="00F37547">
        <w:t>74</w:t>
      </w:r>
      <w:r w:rsidRPr="00CF25A0">
        <w:t xml:space="preserve"> straipsnio </w:t>
      </w:r>
      <w:r w:rsidRPr="00F37547">
        <w:t>4</w:t>
      </w:r>
      <w:r w:rsidRPr="00CF25A0">
        <w:t xml:space="preserve"> dalį, ir į </w:t>
      </w:r>
      <w:r w:rsidRPr="00F37547">
        <w:t>2024</w:t>
      </w:r>
      <w:r w:rsidRPr="00CF25A0">
        <w:t xml:space="preserve"> m. </w:t>
      </w:r>
      <w:r>
        <w:t xml:space="preserve">kovo </w:t>
      </w:r>
      <w:r w:rsidRPr="00F37547">
        <w:t>21</w:t>
      </w:r>
      <w:r w:rsidRPr="00CF25A0">
        <w:t xml:space="preserve"> d. laišku Tarybos atstovo prisiimtą įsipareigojimą pritarti Parlamento pozicijai pagal Sutarties dėl Europos Sąjungos veikimo </w:t>
      </w:r>
      <w:r w:rsidRPr="00F37547">
        <w:t>294</w:t>
      </w:r>
      <w:r w:rsidRPr="00CF25A0">
        <w:t xml:space="preserve"> straipsnio </w:t>
      </w:r>
      <w:r w:rsidRPr="00F37547">
        <w:t>4</w:t>
      </w:r>
      <w:r w:rsidRPr="00CF25A0">
        <w:t xml:space="preserve"> dalį,</w:t>
      </w:r>
    </w:p>
    <w:p w:rsidR="00997FA3" w:rsidRPr="00296F1A" w:rsidRDefault="00997FA3" w:rsidP="00997FA3">
      <w:pPr>
        <w:pStyle w:val="NormalHanging12a"/>
      </w:pPr>
      <w:r w:rsidRPr="00296F1A">
        <w:t>–</w:t>
      </w:r>
      <w:r w:rsidRPr="00296F1A">
        <w:tab/>
        <w:t xml:space="preserve">atsižvelgdamas į Darbo tvarkos taisyklių </w:t>
      </w:r>
      <w:r w:rsidRPr="00F37547">
        <w:t>59</w:t>
      </w:r>
      <w:r w:rsidRPr="00296F1A">
        <w:t> straipsnį,</w:t>
      </w:r>
    </w:p>
    <w:p w:rsidR="00997FA3" w:rsidRPr="00296F1A" w:rsidRDefault="00997FA3" w:rsidP="00997FA3">
      <w:pPr>
        <w:pStyle w:val="NormalHanging12a"/>
      </w:pPr>
      <w:r w:rsidRPr="00296F1A">
        <w:t>–</w:t>
      </w:r>
      <w:r w:rsidRPr="00296F1A">
        <w:tab/>
        <w:t xml:space="preserve">atsižvelgdamas į Užsienio reikalų komiteto bei Transporto ir turizmo komiteto nuomones, </w:t>
      </w:r>
    </w:p>
    <w:p w:rsidR="00997FA3" w:rsidRPr="00296F1A" w:rsidRDefault="00997FA3" w:rsidP="00997FA3">
      <w:pPr>
        <w:pStyle w:val="NormalHanging12a"/>
      </w:pPr>
      <w:r w:rsidRPr="00296F1A">
        <w:t>–</w:t>
      </w:r>
      <w:r w:rsidRPr="00296F1A">
        <w:tab/>
        <w:t>atsižvelgdamas į Pramonės, mokslinių tyrimų ir energetikos komiteto pranešimą (A</w:t>
      </w:r>
      <w:r w:rsidRPr="00F37547">
        <w:t>9</w:t>
      </w:r>
      <w:r w:rsidRPr="00296F1A">
        <w:t>-</w:t>
      </w:r>
      <w:r w:rsidRPr="00F37547">
        <w:lastRenderedPageBreak/>
        <w:t>0426</w:t>
      </w:r>
      <w:r w:rsidRPr="00296F1A">
        <w:t>/</w:t>
      </w:r>
      <w:r w:rsidRPr="00F37547">
        <w:t>2023</w:t>
      </w:r>
      <w:r w:rsidRPr="00296F1A">
        <w:t>),</w:t>
      </w:r>
    </w:p>
    <w:p w:rsidR="00997FA3" w:rsidRPr="00296F1A" w:rsidRDefault="00997FA3" w:rsidP="00997FA3">
      <w:pPr>
        <w:pStyle w:val="NormalHanging12a"/>
      </w:pPr>
      <w:r w:rsidRPr="00F37547">
        <w:t>1</w:t>
      </w:r>
      <w:r w:rsidRPr="00296F1A">
        <w:t>.</w:t>
      </w:r>
      <w:r w:rsidRPr="00296F1A">
        <w:tab/>
        <w:t>priima per pirmąjį svarstymą toliau pateiktą poziciją;</w:t>
      </w:r>
    </w:p>
    <w:p w:rsidR="00997FA3" w:rsidRPr="00296F1A" w:rsidRDefault="00997FA3" w:rsidP="00997FA3">
      <w:pPr>
        <w:pStyle w:val="NormalHanging12a"/>
      </w:pPr>
      <w:r w:rsidRPr="00F37547">
        <w:t>2</w:t>
      </w:r>
      <w:r w:rsidRPr="00296F1A">
        <w:t>.</w:t>
      </w:r>
      <w:r w:rsidRPr="00296F1A">
        <w:tab/>
      </w:r>
      <w:r w:rsidR="00321A51">
        <w:t xml:space="preserve">atsižvelgia į </w:t>
      </w:r>
      <w:r w:rsidR="00080BE9">
        <w:t xml:space="preserve">Komisijos </w:t>
      </w:r>
      <w:r w:rsidR="00321A51">
        <w:t>pareiškimą</w:t>
      </w:r>
      <w:r w:rsidRPr="00296F1A">
        <w:t>, pridėt</w:t>
      </w:r>
      <w:r w:rsidR="00321A51">
        <w:t>ą</w:t>
      </w:r>
      <w:r w:rsidRPr="00296F1A">
        <w:t xml:space="preserve"> prie šios rezoliucijos;</w:t>
      </w:r>
      <w:r w:rsidR="00321A51">
        <w:t xml:space="preserve"> jis</w:t>
      </w:r>
      <w:r w:rsidR="00321A51" w:rsidRPr="00321A51">
        <w:t xml:space="preserve"> bus paskelbtas </w:t>
      </w:r>
      <w:r w:rsidR="00321A51" w:rsidRPr="008B59F1">
        <w:rPr>
          <w:i/>
        </w:rPr>
        <w:t>Europos Sąjungos oficialiojo leidinio</w:t>
      </w:r>
      <w:r w:rsidR="00321A51" w:rsidRPr="00321A51">
        <w:t xml:space="preserve"> </w:t>
      </w:r>
      <w:r w:rsidR="00321A51">
        <w:t>C</w:t>
      </w:r>
      <w:r w:rsidR="00321A51" w:rsidRPr="00321A51">
        <w:t xml:space="preserve"> serijoje</w:t>
      </w:r>
      <w:r w:rsidR="00321A51">
        <w:t>;</w:t>
      </w:r>
      <w:r w:rsidR="00321A51" w:rsidRPr="00321A51">
        <w:t xml:space="preserve"> </w:t>
      </w:r>
    </w:p>
    <w:p w:rsidR="00997FA3" w:rsidRPr="00296F1A" w:rsidRDefault="00997FA3" w:rsidP="00997FA3">
      <w:pPr>
        <w:pStyle w:val="NormalHanging12a"/>
      </w:pPr>
      <w:r w:rsidRPr="00F37547">
        <w:t>3</w:t>
      </w:r>
      <w:r w:rsidRPr="00296F1A">
        <w:t>.</w:t>
      </w:r>
      <w:r w:rsidRPr="00296F1A">
        <w:tab/>
        <w:t>ragina Komisiją dar kartą perduoti klausimą svarstyti Parlamentui, jei ji savo pasiūlymą pakeičia nauju tekstu, jį keičia iš esmės arba ketina jį keisti iš esmės;</w:t>
      </w:r>
    </w:p>
    <w:p w:rsidR="00997FA3" w:rsidRPr="00296F1A" w:rsidRDefault="00997FA3" w:rsidP="008B59F1">
      <w:pPr>
        <w:pStyle w:val="NormalHanging12a"/>
      </w:pPr>
      <w:r w:rsidRPr="00F37547">
        <w:t>4</w:t>
      </w:r>
      <w:r w:rsidRPr="00296F1A">
        <w:t>.</w:t>
      </w:r>
      <w:r w:rsidRPr="00296F1A">
        <w:tab/>
        <w:t>paveda Pirmininkei perduoti Parlamento poziciją Tarybai, Komisijai ir nacionaliniams parlamentams.</w:t>
      </w:r>
    </w:p>
    <w:p w:rsidR="001758E5" w:rsidRDefault="001758E5">
      <w:pPr>
        <w:widowControl/>
        <w:sectPr w:rsidR="001758E5" w:rsidSect="001758E5">
          <w:footerReference w:type="even" r:id="rId9"/>
          <w:footerReference w:type="first" r:id="rId10"/>
          <w:footnotePr>
            <w:numRestart w:val="eachSect"/>
          </w:footnotePr>
          <w:pgSz w:w="11909" w:h="16834"/>
          <w:pgMar w:top="1134" w:right="1134" w:bottom="1134" w:left="1134" w:header="1134" w:footer="567" w:gutter="0"/>
          <w:cols w:space="720"/>
          <w:docGrid w:linePitch="326"/>
        </w:sectPr>
      </w:pPr>
    </w:p>
    <w:p w:rsidR="006136A3" w:rsidRPr="00101469" w:rsidRDefault="006136A3" w:rsidP="008B59F1">
      <w:pPr>
        <w:widowControl/>
        <w:spacing w:after="240"/>
        <w:rPr>
          <w:b/>
          <w:bCs/>
          <w:szCs w:val="24"/>
        </w:rPr>
      </w:pPr>
      <w:r w:rsidRPr="00101469">
        <w:rPr>
          <w:b/>
          <w:bCs/>
          <w:szCs w:val="24"/>
        </w:rPr>
        <w:lastRenderedPageBreak/>
        <w:t>P</w:t>
      </w:r>
      <w:r w:rsidRPr="00F37547">
        <w:rPr>
          <w:b/>
          <w:bCs/>
          <w:szCs w:val="24"/>
        </w:rPr>
        <w:t>9</w:t>
      </w:r>
      <w:r w:rsidRPr="00101469">
        <w:rPr>
          <w:b/>
          <w:bCs/>
          <w:szCs w:val="24"/>
        </w:rPr>
        <w:t>_TC</w:t>
      </w:r>
      <w:r w:rsidRPr="00F37547">
        <w:rPr>
          <w:b/>
          <w:bCs/>
          <w:szCs w:val="24"/>
        </w:rPr>
        <w:t>1</w:t>
      </w:r>
      <w:r w:rsidRPr="00101469">
        <w:rPr>
          <w:b/>
          <w:bCs/>
          <w:szCs w:val="24"/>
        </w:rPr>
        <w:t>-COD(</w:t>
      </w:r>
      <w:r w:rsidRPr="00F37547">
        <w:rPr>
          <w:b/>
          <w:bCs/>
          <w:szCs w:val="24"/>
        </w:rPr>
        <w:t>202</w:t>
      </w:r>
      <w:r w:rsidR="007378D7" w:rsidRPr="00F37547">
        <w:rPr>
          <w:b/>
          <w:bCs/>
          <w:szCs w:val="24"/>
        </w:rPr>
        <w:t>3</w:t>
      </w:r>
      <w:r w:rsidRPr="00101469">
        <w:rPr>
          <w:b/>
          <w:bCs/>
          <w:szCs w:val="24"/>
        </w:rPr>
        <w:t>)</w:t>
      </w:r>
      <w:r w:rsidRPr="00F37547">
        <w:rPr>
          <w:b/>
          <w:bCs/>
          <w:szCs w:val="24"/>
        </w:rPr>
        <w:t>0</w:t>
      </w:r>
      <w:r w:rsidR="007378D7" w:rsidRPr="00F37547">
        <w:rPr>
          <w:b/>
          <w:bCs/>
          <w:szCs w:val="24"/>
        </w:rPr>
        <w:t>109</w:t>
      </w:r>
    </w:p>
    <w:p w:rsidR="007F47F7" w:rsidRPr="007F47F7" w:rsidRDefault="006136A3" w:rsidP="007F47F7">
      <w:pPr>
        <w:widowControl/>
        <w:spacing w:after="240"/>
        <w:rPr>
          <w:b/>
          <w:szCs w:val="24"/>
          <w:lang w:eastAsia="en-US"/>
        </w:rPr>
      </w:pPr>
      <w:r w:rsidRPr="00101469">
        <w:rPr>
          <w:b/>
          <w:snapToGrid w:val="0"/>
          <w:szCs w:val="24"/>
        </w:rPr>
        <w:t xml:space="preserve">Europos </w:t>
      </w:r>
      <w:r w:rsidRPr="00101469">
        <w:rPr>
          <w:b/>
          <w:bCs/>
          <w:szCs w:val="24"/>
        </w:rPr>
        <w:t>Parlamento</w:t>
      </w:r>
      <w:r w:rsidRPr="00101469">
        <w:rPr>
          <w:b/>
          <w:snapToGrid w:val="0"/>
          <w:szCs w:val="24"/>
        </w:rPr>
        <w:t xml:space="preserve"> pozicija, priimta </w:t>
      </w:r>
      <w:r w:rsidRPr="00F37547">
        <w:rPr>
          <w:b/>
          <w:snapToGrid w:val="0"/>
          <w:szCs w:val="24"/>
        </w:rPr>
        <w:t>2024</w:t>
      </w:r>
      <w:r w:rsidRPr="00101469">
        <w:rPr>
          <w:b/>
          <w:snapToGrid w:val="0"/>
          <w:szCs w:val="24"/>
        </w:rPr>
        <w:t xml:space="preserve"> m. balandžio </w:t>
      </w:r>
      <w:r w:rsidRPr="00F37547">
        <w:rPr>
          <w:b/>
          <w:snapToGrid w:val="0"/>
          <w:szCs w:val="24"/>
        </w:rPr>
        <w:t>24</w:t>
      </w:r>
      <w:r w:rsidRPr="00101469">
        <w:rPr>
          <w:b/>
          <w:snapToGrid w:val="0"/>
          <w:szCs w:val="24"/>
        </w:rPr>
        <w:t> d. per pirmąjį svarstymą, siekiant priimti Europos Parlamento ir Tarybos reglamentą (ES) </w:t>
      </w:r>
      <w:r w:rsidRPr="00F37547">
        <w:rPr>
          <w:b/>
          <w:snapToGrid w:val="0"/>
          <w:szCs w:val="24"/>
        </w:rPr>
        <w:t>202</w:t>
      </w:r>
      <w:r w:rsidR="00D5440E">
        <w:rPr>
          <w:b/>
          <w:snapToGrid w:val="0"/>
          <w:szCs w:val="24"/>
        </w:rPr>
        <w:t>5</w:t>
      </w:r>
      <w:r w:rsidRPr="00101469">
        <w:rPr>
          <w:b/>
          <w:snapToGrid w:val="0"/>
          <w:szCs w:val="24"/>
        </w:rPr>
        <w:t xml:space="preserve">/..., </w:t>
      </w:r>
      <w:r w:rsidR="00D5440E" w:rsidRPr="00D5440E">
        <w:rPr>
          <w:b/>
          <w:szCs w:val="24"/>
          <w:lang w:eastAsia="en-US"/>
        </w:rPr>
        <w:t>kuriuo nustatomos solidarumo stiprinimo ir pajėgumo aptikti kibernetinio saugumo grėsmes ir incidentus Sąjungoje, jiems pasirengti ir į juos reaguoti didinimo priemonės ir iš dalies keičiamas Reglamentas (ES) 2021/694 (Kibernetinio solidarumo aktas)</w:t>
      </w:r>
    </w:p>
    <w:p w:rsidR="00D5440E" w:rsidRDefault="00D5440E">
      <w:pPr>
        <w:widowControl/>
        <w:rPr>
          <w:i/>
          <w:szCs w:val="24"/>
        </w:rPr>
      </w:pPr>
      <w:r>
        <w:rPr>
          <w:i/>
          <w:szCs w:val="24"/>
        </w:rPr>
        <w:t>(Kadangi Parlamentas ir Taryba pasiekė susitarimą, Parlamento pozicija atitinka galutinį teisės aktą, Reglamentą (ES) 2025/38.)</w:t>
      </w:r>
    </w:p>
    <w:p w:rsidR="00543656" w:rsidRDefault="00543656">
      <w:pPr>
        <w:widowControl/>
        <w:rPr>
          <w:b/>
          <w:szCs w:val="24"/>
          <w:lang w:eastAsia="en-US"/>
        </w:rPr>
      </w:pPr>
      <w:r>
        <w:rPr>
          <w:b/>
          <w:szCs w:val="24"/>
          <w:lang w:eastAsia="en-US"/>
        </w:rPr>
        <w:br w:type="page"/>
      </w:r>
    </w:p>
    <w:p w:rsidR="00543656" w:rsidRDefault="00543656" w:rsidP="00543656">
      <w:pPr>
        <w:spacing w:before="120" w:after="120" w:line="360" w:lineRule="auto"/>
        <w:jc w:val="right"/>
        <w:rPr>
          <w:szCs w:val="24"/>
          <w:lang w:eastAsia="en-US"/>
        </w:rPr>
      </w:pPr>
      <w:r>
        <w:rPr>
          <w:szCs w:val="24"/>
          <w:lang w:eastAsia="en-US"/>
        </w:rPr>
        <w:lastRenderedPageBreak/>
        <w:t>TEISĖKŪROS REZOLIUCIJOS PRIEDAS</w:t>
      </w:r>
    </w:p>
    <w:p w:rsidR="00543656" w:rsidRDefault="00543656" w:rsidP="00D5440E">
      <w:pPr>
        <w:pStyle w:val="BodyText"/>
        <w:kinsoku w:val="0"/>
        <w:overflowPunct w:val="0"/>
        <w:spacing w:before="120" w:after="120" w:line="360" w:lineRule="auto"/>
        <w:ind w:left="116" w:right="111"/>
        <w:jc w:val="center"/>
        <w:rPr>
          <w:b/>
        </w:rPr>
      </w:pPr>
      <w:r>
        <w:rPr>
          <w:b/>
          <w:i/>
        </w:rPr>
        <w:t xml:space="preserve">Komisijos pareiškimas dėl biudžeto, susijusio su </w:t>
      </w:r>
      <w:r w:rsidR="00D5440E">
        <w:rPr>
          <w:b/>
          <w:i/>
        </w:rPr>
        <w:t xml:space="preserve">2024 m. gruodžio 19 d. </w:t>
      </w:r>
      <w:r>
        <w:rPr>
          <w:b/>
          <w:i/>
        </w:rPr>
        <w:t>Europos Parlamento ir Tarybos reglamentu</w:t>
      </w:r>
      <w:r w:rsidR="00D5440E">
        <w:rPr>
          <w:b/>
          <w:i/>
        </w:rPr>
        <w:t xml:space="preserve"> (ES) 2025/38</w:t>
      </w:r>
      <w:r>
        <w:rPr>
          <w:b/>
          <w:i/>
        </w:rPr>
        <w:t xml:space="preserve">, </w:t>
      </w:r>
      <w:r w:rsidR="00D5440E" w:rsidRPr="00D5440E">
        <w:rPr>
          <w:b/>
          <w:i/>
        </w:rPr>
        <w:t xml:space="preserve">kuriuo nustatomos solidarumo stiprinimo ir pajėgumo aptikti kibernetinio saugumo grėsmes ir incidentus Sąjungoje, jiems pasirengti ir į juos reaguoti didinimo priemonės </w:t>
      </w:r>
      <w:bookmarkStart w:id="8" w:name="_GoBack"/>
      <w:bookmarkEnd w:id="8"/>
      <w:r w:rsidR="00D5440E" w:rsidRPr="00D5440E">
        <w:rPr>
          <w:b/>
          <w:i/>
        </w:rPr>
        <w:t>(Kibernetinio solidarumo aktas)</w:t>
      </w:r>
      <w:r w:rsidR="00D5440E">
        <w:rPr>
          <w:rStyle w:val="FootnoteReference"/>
          <w:b/>
          <w:i/>
          <w:iCs/>
        </w:rPr>
        <w:footnoteReference w:id="4"/>
      </w:r>
    </w:p>
    <w:p w:rsidR="00543656" w:rsidRDefault="00543656" w:rsidP="00543656">
      <w:pPr>
        <w:tabs>
          <w:tab w:val="left" w:pos="837"/>
        </w:tabs>
        <w:kinsoku w:val="0"/>
        <w:overflowPunct w:val="0"/>
        <w:autoSpaceDE w:val="0"/>
        <w:autoSpaceDN w:val="0"/>
        <w:adjustRightInd w:val="0"/>
        <w:spacing w:before="120" w:after="120" w:line="360" w:lineRule="auto"/>
        <w:ind w:left="851" w:right="110" w:hanging="851"/>
        <w:rPr>
          <w:iCs/>
        </w:rPr>
      </w:pPr>
      <w:r>
        <w:rPr>
          <w:w w:val="99"/>
          <w:sz w:val="22"/>
          <w:szCs w:val="22"/>
        </w:rPr>
        <w:t>1.</w:t>
      </w:r>
      <w:r>
        <w:rPr>
          <w:w w:val="99"/>
          <w:sz w:val="22"/>
          <w:szCs w:val="22"/>
        </w:rPr>
        <w:tab/>
      </w:r>
      <w:r>
        <w:t>Komisijos finansinė teisės akto pasiūlymo pažyma, pridėta prie pasiūlymo dėl Kibernetinio solidarumo akto, paskelbta 2023 m. balandžio mėn. Nuo to laiko atitinkami numatyti skaičiai pasikeitė dėl kitų priimtų ar numatomų priimti teisėkūros procedūra priimamų aktų.</w:t>
      </w:r>
    </w:p>
    <w:p w:rsidR="00543656" w:rsidRDefault="00543656" w:rsidP="00543656">
      <w:pPr>
        <w:tabs>
          <w:tab w:val="left" w:pos="837"/>
        </w:tabs>
        <w:kinsoku w:val="0"/>
        <w:overflowPunct w:val="0"/>
        <w:autoSpaceDE w:val="0"/>
        <w:autoSpaceDN w:val="0"/>
        <w:adjustRightInd w:val="0"/>
        <w:spacing w:before="120" w:after="120" w:line="360" w:lineRule="auto"/>
        <w:ind w:left="851" w:right="111" w:hanging="851"/>
        <w:rPr>
          <w:iCs/>
        </w:rPr>
      </w:pPr>
      <w:r>
        <w:rPr>
          <w:w w:val="99"/>
          <w:sz w:val="22"/>
          <w:szCs w:val="22"/>
        </w:rPr>
        <w:t>2.</w:t>
      </w:r>
      <w:r>
        <w:rPr>
          <w:w w:val="99"/>
          <w:sz w:val="22"/>
          <w:szCs w:val="22"/>
        </w:rPr>
        <w:tab/>
      </w:r>
      <w:r>
        <w:t>2024 m. kovo 5 d. teisėkūros institucijos pasiekė preliminarų politinį susitarimą apriboti finansinėje teisės akto pažymoje numatytą Skaitmeninės Europos programos 4-ojo konkretaus tikslo „Pažangūs skaitmeniniai įgūdžiai“ lėšų perskyrimą 3-iajam konkrečiam tikslui „Kibernetinis saugumas ir pasitikėjimas“ iki 22 mln. EUR.</w:t>
      </w:r>
    </w:p>
    <w:p w:rsidR="00543656" w:rsidRDefault="00543656" w:rsidP="00543656">
      <w:pPr>
        <w:tabs>
          <w:tab w:val="left" w:pos="837"/>
        </w:tabs>
        <w:kinsoku w:val="0"/>
        <w:overflowPunct w:val="0"/>
        <w:autoSpaceDE w:val="0"/>
        <w:autoSpaceDN w:val="0"/>
        <w:adjustRightInd w:val="0"/>
        <w:spacing w:before="120" w:after="120" w:line="360" w:lineRule="auto"/>
        <w:ind w:left="851" w:right="102" w:hanging="851"/>
        <w:rPr>
          <w:iCs/>
        </w:rPr>
      </w:pPr>
      <w:r>
        <w:rPr>
          <w:w w:val="99"/>
          <w:sz w:val="22"/>
          <w:szCs w:val="22"/>
        </w:rPr>
        <w:t>3.</w:t>
      </w:r>
      <w:r>
        <w:rPr>
          <w:w w:val="99"/>
          <w:sz w:val="22"/>
          <w:szCs w:val="22"/>
        </w:rPr>
        <w:tab/>
      </w:r>
      <w:r>
        <w:t>Siekdama atsižvelgti į preliminaraus politinio susitarimo sąlygas, Komisija atnaujino Kibernetinio solidarumo akto finansinę teisės akto pasiūlymo pažymą, kiek tai susiję su finansiniais paketais, skirtais 2-ajam konkrečiam tikslui „Dirbtinis intelektas“, 3-iajam tikslui „Kibernetinis saugumas ir pasitikėjimas“ ir 4-ajam tikslui „Pažangūs skaitmeniniai įgūdžiai“, atsižvelgdama į perskirstymą, dėl kurio susitarė teisėkūros institucijos.</w:t>
      </w:r>
    </w:p>
    <w:p w:rsidR="00543656" w:rsidRDefault="00543656" w:rsidP="00543656">
      <w:pPr>
        <w:tabs>
          <w:tab w:val="left" w:pos="837"/>
        </w:tabs>
        <w:kinsoku w:val="0"/>
        <w:overflowPunct w:val="0"/>
        <w:autoSpaceDE w:val="0"/>
        <w:autoSpaceDN w:val="0"/>
        <w:adjustRightInd w:val="0"/>
        <w:spacing w:before="120" w:after="120" w:line="360" w:lineRule="auto"/>
        <w:ind w:left="851" w:right="102" w:hanging="851"/>
        <w:rPr>
          <w:iCs/>
        </w:rPr>
      </w:pPr>
      <w:r>
        <w:rPr>
          <w:w w:val="99"/>
          <w:sz w:val="22"/>
          <w:szCs w:val="22"/>
        </w:rPr>
        <w:t>4.</w:t>
      </w:r>
      <w:r>
        <w:rPr>
          <w:w w:val="99"/>
          <w:sz w:val="22"/>
          <w:szCs w:val="22"/>
        </w:rPr>
        <w:tab/>
      </w:r>
      <w:r>
        <w:t>Todėl, nedarant poveikio Komisijos įgaliojimams, susijusiems su metine biudžeto procedūra, atnaujintoje finansinėje teisės akto pasiūlymo pažymoje pateikti 2025–2027 m. laikotarpio finansiniai paketai yra šie:</w:t>
      </w:r>
    </w:p>
    <w:p w:rsidR="00543656" w:rsidRDefault="00543656" w:rsidP="00543656">
      <w:pPr>
        <w:tabs>
          <w:tab w:val="left" w:pos="1418"/>
        </w:tabs>
        <w:kinsoku w:val="0"/>
        <w:overflowPunct w:val="0"/>
        <w:autoSpaceDE w:val="0"/>
        <w:autoSpaceDN w:val="0"/>
        <w:adjustRightInd w:val="0"/>
        <w:spacing w:before="120" w:after="120" w:line="360" w:lineRule="auto"/>
        <w:ind w:left="1418" w:right="111" w:hanging="567"/>
        <w:rPr>
          <w:iCs/>
        </w:rPr>
      </w:pPr>
      <w:r>
        <w:rPr>
          <w:iCs/>
        </w:rPr>
        <w:t>–</w:t>
      </w:r>
      <w:r>
        <w:rPr>
          <w:iCs/>
        </w:rPr>
        <w:tab/>
      </w:r>
      <w:r>
        <w:t>[544 726 000 EUR] 2-ajam konkrečiam tikslui „Dirbtinis intelektas“, atsižvelgiant į tai, kad 65 mln. EUR buvo perskirti 3-iajam konkrečiam tikslui „Kibernetinis saugumas ir pasitikėjimas“;</w:t>
      </w:r>
    </w:p>
    <w:p w:rsidR="00543656" w:rsidRDefault="00543656" w:rsidP="00543656">
      <w:pPr>
        <w:tabs>
          <w:tab w:val="left" w:pos="1418"/>
        </w:tabs>
        <w:kinsoku w:val="0"/>
        <w:overflowPunct w:val="0"/>
        <w:autoSpaceDE w:val="0"/>
        <w:autoSpaceDN w:val="0"/>
        <w:adjustRightInd w:val="0"/>
        <w:spacing w:before="120" w:after="120" w:line="360" w:lineRule="auto"/>
        <w:ind w:left="1418" w:right="110" w:hanging="567"/>
        <w:rPr>
          <w:iCs/>
        </w:rPr>
      </w:pPr>
      <w:r>
        <w:rPr>
          <w:iCs/>
        </w:rPr>
        <w:t>–</w:t>
      </w:r>
      <w:r>
        <w:rPr>
          <w:iCs/>
        </w:rPr>
        <w:tab/>
      </w:r>
      <w:r>
        <w:t>[44 451 000 EUR] 3-iajam konkrečiam tikslui „Kibernetinis saugumas ir pasitikėjimas“ – šią dalį tiesiogiai valdo Komisija, įskaitant 26 mln. EUR, perskirtus iš 2-ojo ir 4-ojo konkrečių tikslų.</w:t>
      </w:r>
    </w:p>
    <w:p w:rsidR="00543656" w:rsidRDefault="00543656" w:rsidP="00543656">
      <w:pPr>
        <w:tabs>
          <w:tab w:val="left" w:pos="1418"/>
        </w:tabs>
        <w:kinsoku w:val="0"/>
        <w:overflowPunct w:val="0"/>
        <w:autoSpaceDE w:val="0"/>
        <w:autoSpaceDN w:val="0"/>
        <w:adjustRightInd w:val="0"/>
        <w:spacing w:before="120" w:after="120" w:line="360" w:lineRule="auto"/>
        <w:ind w:left="1418" w:right="110" w:hanging="567"/>
        <w:rPr>
          <w:iCs/>
        </w:rPr>
      </w:pPr>
      <w:r>
        <w:rPr>
          <w:iCs/>
        </w:rPr>
        <w:t>–</w:t>
      </w:r>
      <w:r>
        <w:rPr>
          <w:iCs/>
        </w:rPr>
        <w:tab/>
      </w:r>
      <w:r>
        <w:t>[353 190 613 EUR] 3-iajam konkrečiam tikslui „Kibernetinis saugumas ir pasitikėjimas“ – šią dalį valdo Europos kibernetinio saugumo kompetencijos centras, įskaitant 61 mln. EUR, perskirtą iš 2-ojo ir 4-ojo konkrečių tikslų.</w:t>
      </w:r>
    </w:p>
    <w:p w:rsidR="00543656" w:rsidRDefault="00543656" w:rsidP="00543656">
      <w:pPr>
        <w:tabs>
          <w:tab w:val="left" w:pos="1418"/>
        </w:tabs>
        <w:kinsoku w:val="0"/>
        <w:overflowPunct w:val="0"/>
        <w:autoSpaceDE w:val="0"/>
        <w:autoSpaceDN w:val="0"/>
        <w:adjustRightInd w:val="0"/>
        <w:spacing w:before="120" w:after="120" w:line="360" w:lineRule="auto"/>
        <w:ind w:left="1418" w:right="118" w:hanging="567"/>
        <w:rPr>
          <w:iCs/>
        </w:rPr>
      </w:pPr>
      <w:r>
        <w:rPr>
          <w:iCs/>
        </w:rPr>
        <w:lastRenderedPageBreak/>
        <w:t>–</w:t>
      </w:r>
      <w:r>
        <w:rPr>
          <w:iCs/>
        </w:rPr>
        <w:tab/>
      </w:r>
      <w:r>
        <w:t>[544 162 423 EUR] 4-ajam konkrečiam tikslui „Dirbtinis intelektas“, atsižvelgiant į tai, kad 22 mln. EUR buvo perskirti 3-iajam konkrečiam tikslui „Kibernetinis saugumas ir pasitikėjimas“.</w:t>
      </w:r>
    </w:p>
    <w:p w:rsidR="007F47F7" w:rsidRPr="001758E5" w:rsidRDefault="00543656" w:rsidP="00D5440E">
      <w:pPr>
        <w:tabs>
          <w:tab w:val="left" w:pos="837"/>
        </w:tabs>
        <w:kinsoku w:val="0"/>
        <w:overflowPunct w:val="0"/>
        <w:autoSpaceDE w:val="0"/>
        <w:autoSpaceDN w:val="0"/>
        <w:adjustRightInd w:val="0"/>
        <w:spacing w:before="120" w:after="120" w:line="360" w:lineRule="auto"/>
        <w:ind w:left="851" w:right="102" w:hanging="851"/>
        <w:rPr>
          <w:b/>
          <w:szCs w:val="24"/>
          <w:lang w:eastAsia="en-US"/>
        </w:rPr>
      </w:pPr>
      <w:r>
        <w:rPr>
          <w:w w:val="99"/>
          <w:sz w:val="22"/>
          <w:szCs w:val="22"/>
        </w:rPr>
        <w:t>5.</w:t>
      </w:r>
      <w:r>
        <w:rPr>
          <w:w w:val="99"/>
          <w:sz w:val="22"/>
          <w:szCs w:val="22"/>
        </w:rPr>
        <w:tab/>
      </w:r>
      <w:r>
        <w:t>ES kibernetinio saugumo rezervas bus finansuojamas iš 3-iojo konkretaus tikslo „Kibernetinis saugumas ir pasitikėjimas“ finansinio paketo – šią dalį tiesiogiai valdo Komisija (atnaujinto darbo jėgos tyrimo duomenimis, jį sudarys [44 451 000] EUR).</w:t>
      </w:r>
      <w:bookmarkStart w:id="9" w:name="TextBodyEnd"/>
      <w:bookmarkEnd w:id="9"/>
    </w:p>
    <w:sectPr w:rsidR="007F47F7" w:rsidRPr="001758E5" w:rsidSect="007F47F7">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9" w:h="16834"/>
      <w:pgMar w:top="1134" w:right="1134"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592" w:rsidRPr="00296F1A" w:rsidRDefault="00994592">
      <w:r w:rsidRPr="00296F1A">
        <w:separator/>
      </w:r>
    </w:p>
  </w:endnote>
  <w:endnote w:type="continuationSeparator" w:id="0">
    <w:p w:rsidR="00994592" w:rsidRPr="00296F1A" w:rsidRDefault="00994592">
      <w:r w:rsidRPr="00296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8E5" w:rsidRPr="00FE2255" w:rsidRDefault="001758E5">
    <w:pPr>
      <w:pStyle w:val="Footer1"/>
    </w:pPr>
    <w:r w:rsidRPr="00FE2255">
      <w:rPr>
        <w:rStyle w:val="Footer2"/>
      </w:rPr>
      <w:t>EN</w:t>
    </w:r>
    <w:r w:rsidRPr="00FE2255">
      <w:tab/>
    </w:r>
    <w:r w:rsidRPr="00FE2255">
      <w:fldChar w:fldCharType="begin"/>
    </w:r>
    <w:r w:rsidRPr="00FE2255">
      <w:instrText xml:space="preserve"> PAGE </w:instrText>
    </w:r>
    <w:r w:rsidRPr="00FE2255">
      <w:fldChar w:fldCharType="separate"/>
    </w:r>
    <w:r>
      <w:rPr>
        <w:noProof/>
      </w:rPr>
      <w:t>140</w:t>
    </w:r>
    <w:r w:rsidRPr="00FE2255">
      <w:fldChar w:fldCharType="end"/>
    </w:r>
    <w:r w:rsidRPr="00FE2255">
      <w:tab/>
    </w:r>
    <w:r w:rsidRPr="00FE2255">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8E5" w:rsidRPr="00FE2255" w:rsidRDefault="001758E5">
    <w:pPr>
      <w:pStyle w:val="Footer1"/>
    </w:pPr>
    <w:r w:rsidRPr="00FE2255">
      <w:rPr>
        <w:rStyle w:val="Footer2"/>
      </w:rPr>
      <w:t>EN</w:t>
    </w:r>
    <w:r w:rsidRPr="00FE2255">
      <w:tab/>
    </w:r>
    <w:r w:rsidRPr="00FE2255">
      <w:fldChar w:fldCharType="begin"/>
    </w:r>
    <w:r w:rsidRPr="00FE2255">
      <w:instrText xml:space="preserve"> PAGE </w:instrText>
    </w:r>
    <w:r w:rsidRPr="00FE2255">
      <w:fldChar w:fldCharType="separate"/>
    </w:r>
    <w:r>
      <w:rPr>
        <w:noProof/>
      </w:rPr>
      <w:t>140</w:t>
    </w:r>
    <w:r w:rsidRPr="00FE2255">
      <w:fldChar w:fldCharType="end"/>
    </w:r>
    <w:r w:rsidRPr="00FE2255">
      <w:tab/>
    </w:r>
    <w:r w:rsidRPr="00FE2255">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96F1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96F1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96F1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592" w:rsidRPr="00296F1A" w:rsidRDefault="00994592">
      <w:r w:rsidRPr="00296F1A">
        <w:separator/>
      </w:r>
    </w:p>
  </w:footnote>
  <w:footnote w:type="continuationSeparator" w:id="0">
    <w:p w:rsidR="00994592" w:rsidRPr="00296F1A" w:rsidRDefault="00994592">
      <w:r w:rsidRPr="00296F1A">
        <w:continuationSeparator/>
      </w:r>
    </w:p>
  </w:footnote>
  <w:footnote w:id="1">
    <w:p w:rsidR="001066B9" w:rsidRPr="001066B9" w:rsidRDefault="001066B9" w:rsidP="001066B9">
      <w:pPr>
        <w:pStyle w:val="FootnoteText"/>
        <w:ind w:left="567" w:hanging="567"/>
        <w:rPr>
          <w:sz w:val="24"/>
          <w:szCs w:val="24"/>
          <w:lang w:val="lt-LT"/>
        </w:rPr>
      </w:pPr>
      <w:r w:rsidRPr="001066B9">
        <w:rPr>
          <w:rStyle w:val="FootnoteReference"/>
          <w:sz w:val="24"/>
          <w:szCs w:val="24"/>
        </w:rPr>
        <w:footnoteRef/>
      </w:r>
      <w:r w:rsidRPr="0083222E">
        <w:rPr>
          <w:sz w:val="24"/>
          <w:szCs w:val="24"/>
          <w:lang w:val="pt-PT"/>
        </w:rPr>
        <w:t xml:space="preserve"> </w:t>
      </w:r>
      <w:r w:rsidRPr="001066B9">
        <w:rPr>
          <w:sz w:val="24"/>
          <w:szCs w:val="24"/>
          <w:lang w:val="lt-LT"/>
        </w:rPr>
        <w:tab/>
        <w:t>Dar nepaskelbta Oficialiajame leidinyje.</w:t>
      </w:r>
    </w:p>
  </w:footnote>
  <w:footnote w:id="2">
    <w:p w:rsidR="00997FA3" w:rsidRPr="00296F1A" w:rsidRDefault="00997FA3" w:rsidP="0056582B">
      <w:pPr>
        <w:pStyle w:val="FootnoteText"/>
        <w:ind w:left="567" w:hanging="567"/>
        <w:rPr>
          <w:sz w:val="24"/>
          <w:lang w:val="lt-LT"/>
        </w:rPr>
      </w:pPr>
      <w:r w:rsidRPr="00296F1A">
        <w:rPr>
          <w:rStyle w:val="FootnoteReference"/>
          <w:sz w:val="24"/>
          <w:lang w:val="lt-LT"/>
        </w:rPr>
        <w:footnoteRef/>
      </w:r>
      <w:r w:rsidR="00296F1A" w:rsidRPr="00296F1A">
        <w:rPr>
          <w:sz w:val="24"/>
          <w:lang w:val="lt-LT"/>
        </w:rPr>
        <w:t xml:space="preserve"> </w:t>
      </w:r>
      <w:r w:rsidR="00296F1A" w:rsidRPr="00296F1A">
        <w:rPr>
          <w:sz w:val="24"/>
          <w:lang w:val="lt-LT"/>
        </w:rPr>
        <w:tab/>
      </w:r>
      <w:r w:rsidRPr="00296F1A">
        <w:rPr>
          <w:sz w:val="24"/>
          <w:lang w:val="lt-LT"/>
        </w:rPr>
        <w:t>OL C </w:t>
      </w:r>
      <w:r w:rsidRPr="00F37547">
        <w:rPr>
          <w:sz w:val="24"/>
          <w:lang w:val="lt-LT"/>
        </w:rPr>
        <w:t>349</w:t>
      </w:r>
      <w:r w:rsidRPr="00296F1A">
        <w:rPr>
          <w:sz w:val="24"/>
          <w:lang w:val="lt-LT"/>
        </w:rPr>
        <w:t xml:space="preserve">, </w:t>
      </w:r>
      <w:r w:rsidRPr="00F37547">
        <w:rPr>
          <w:sz w:val="24"/>
          <w:lang w:val="lt-LT"/>
        </w:rPr>
        <w:t>2023</w:t>
      </w:r>
      <w:r w:rsidRPr="00296F1A">
        <w:rPr>
          <w:sz w:val="24"/>
          <w:lang w:val="lt-LT"/>
        </w:rPr>
        <w:t> </w:t>
      </w:r>
      <w:r w:rsidRPr="00F37547">
        <w:rPr>
          <w:sz w:val="24"/>
          <w:lang w:val="lt-LT"/>
        </w:rPr>
        <w:t>9</w:t>
      </w:r>
      <w:r w:rsidRPr="00296F1A">
        <w:rPr>
          <w:sz w:val="24"/>
          <w:lang w:val="lt-LT"/>
        </w:rPr>
        <w:t> </w:t>
      </w:r>
      <w:r w:rsidRPr="00F37547">
        <w:rPr>
          <w:sz w:val="24"/>
          <w:lang w:val="lt-LT"/>
        </w:rPr>
        <w:t>29</w:t>
      </w:r>
      <w:r w:rsidRPr="00296F1A">
        <w:rPr>
          <w:sz w:val="24"/>
          <w:lang w:val="lt-LT"/>
        </w:rPr>
        <w:t>, p. </w:t>
      </w:r>
      <w:r w:rsidRPr="00F37547">
        <w:rPr>
          <w:sz w:val="24"/>
          <w:lang w:val="lt-LT"/>
        </w:rPr>
        <w:t>167</w:t>
      </w:r>
      <w:r w:rsidRPr="00296F1A">
        <w:rPr>
          <w:sz w:val="24"/>
          <w:lang w:val="lt-LT"/>
        </w:rPr>
        <w:t>.</w:t>
      </w:r>
    </w:p>
  </w:footnote>
  <w:footnote w:id="3">
    <w:p w:rsidR="005F20C6" w:rsidRPr="00296F1A" w:rsidRDefault="005F20C6" w:rsidP="0056582B">
      <w:pPr>
        <w:pStyle w:val="FootnoteText"/>
        <w:ind w:left="567" w:hanging="567"/>
        <w:rPr>
          <w:sz w:val="24"/>
          <w:lang w:val="lt-LT"/>
        </w:rPr>
      </w:pPr>
      <w:r w:rsidRPr="00296F1A">
        <w:rPr>
          <w:rStyle w:val="FootnoteReference"/>
          <w:sz w:val="24"/>
          <w:lang w:val="lt-LT"/>
        </w:rPr>
        <w:footnoteRef/>
      </w:r>
      <w:r w:rsidRPr="00296F1A">
        <w:rPr>
          <w:sz w:val="24"/>
          <w:lang w:val="lt-LT"/>
        </w:rPr>
        <w:t xml:space="preserve"> </w:t>
      </w:r>
      <w:r w:rsidRPr="00296F1A">
        <w:rPr>
          <w:sz w:val="24"/>
          <w:lang w:val="lt-LT"/>
        </w:rPr>
        <w:tab/>
      </w:r>
      <w:r w:rsidRPr="00A47A35">
        <w:rPr>
          <w:sz w:val="24"/>
          <w:szCs w:val="24"/>
          <w:lang w:val="fi-FI"/>
        </w:rPr>
        <w:t>O</w:t>
      </w:r>
      <w:r>
        <w:rPr>
          <w:sz w:val="24"/>
          <w:szCs w:val="24"/>
          <w:lang w:val="fi-FI"/>
        </w:rPr>
        <w:t>L C, C/</w:t>
      </w:r>
      <w:r w:rsidRPr="00F37547">
        <w:rPr>
          <w:sz w:val="24"/>
          <w:szCs w:val="24"/>
          <w:lang w:val="fi-FI"/>
        </w:rPr>
        <w:t>2024</w:t>
      </w:r>
      <w:r>
        <w:rPr>
          <w:sz w:val="24"/>
          <w:szCs w:val="24"/>
          <w:lang w:val="fi-FI"/>
        </w:rPr>
        <w:t>/</w:t>
      </w:r>
      <w:r w:rsidRPr="00F37547">
        <w:rPr>
          <w:sz w:val="24"/>
          <w:szCs w:val="24"/>
          <w:lang w:val="fi-FI"/>
        </w:rPr>
        <w:t>1049</w:t>
      </w:r>
      <w:r>
        <w:rPr>
          <w:sz w:val="24"/>
          <w:szCs w:val="24"/>
          <w:lang w:val="fi-FI"/>
        </w:rPr>
        <w:t xml:space="preserve">, </w:t>
      </w:r>
      <w:r w:rsidRPr="00F37547">
        <w:rPr>
          <w:sz w:val="24"/>
          <w:szCs w:val="24"/>
          <w:lang w:val="fi-FI"/>
        </w:rPr>
        <w:t>2024</w:t>
      </w:r>
      <w:r>
        <w:rPr>
          <w:sz w:val="24"/>
          <w:szCs w:val="24"/>
          <w:lang w:val="fi-FI"/>
        </w:rPr>
        <w:t xml:space="preserve"> </w:t>
      </w:r>
      <w:r w:rsidRPr="00F37547">
        <w:rPr>
          <w:sz w:val="24"/>
          <w:szCs w:val="24"/>
          <w:lang w:val="fi-FI"/>
        </w:rPr>
        <w:t>2</w:t>
      </w:r>
      <w:r>
        <w:rPr>
          <w:sz w:val="24"/>
          <w:szCs w:val="24"/>
          <w:lang w:val="fi-FI"/>
        </w:rPr>
        <w:t xml:space="preserve"> </w:t>
      </w:r>
      <w:r w:rsidRPr="00F37547">
        <w:rPr>
          <w:sz w:val="24"/>
          <w:szCs w:val="24"/>
          <w:lang w:val="fi-FI"/>
        </w:rPr>
        <w:t>9</w:t>
      </w:r>
      <w:r w:rsidRPr="00A47A35">
        <w:rPr>
          <w:sz w:val="24"/>
          <w:szCs w:val="24"/>
          <w:lang w:val="fi-FI"/>
        </w:rPr>
        <w:t xml:space="preserve">, ELI: </w:t>
      </w:r>
      <w:hyperlink r:id="rId1" w:tooltip="Gives access to this document through its ELI URI." w:history="1">
        <w:r w:rsidRPr="00A47A35">
          <w:rPr>
            <w:sz w:val="24"/>
            <w:szCs w:val="24"/>
            <w:lang w:val="fi-FI"/>
          </w:rPr>
          <w:t>http://data.europa.eu/eli/C/</w:t>
        </w:r>
        <w:r w:rsidRPr="00F37547">
          <w:rPr>
            <w:sz w:val="24"/>
            <w:szCs w:val="24"/>
            <w:lang w:val="fi-FI"/>
          </w:rPr>
          <w:t>2024</w:t>
        </w:r>
        <w:r w:rsidRPr="00A47A35">
          <w:rPr>
            <w:sz w:val="24"/>
            <w:szCs w:val="24"/>
            <w:lang w:val="fi-FI"/>
          </w:rPr>
          <w:t>/</w:t>
        </w:r>
        <w:r w:rsidRPr="00F37547">
          <w:rPr>
            <w:sz w:val="24"/>
            <w:szCs w:val="24"/>
            <w:lang w:val="fi-FI"/>
          </w:rPr>
          <w:t>1049</w:t>
        </w:r>
        <w:r w:rsidRPr="00A47A35">
          <w:rPr>
            <w:sz w:val="24"/>
            <w:szCs w:val="24"/>
            <w:lang w:val="fi-FI"/>
          </w:rPr>
          <w:t>/oj</w:t>
        </w:r>
      </w:hyperlink>
      <w:r w:rsidRPr="00296F1A">
        <w:rPr>
          <w:sz w:val="24"/>
          <w:lang w:val="lt-LT"/>
        </w:rPr>
        <w:t>.</w:t>
      </w:r>
    </w:p>
  </w:footnote>
  <w:footnote w:id="4">
    <w:p w:rsidR="00D5440E" w:rsidRPr="00867056" w:rsidRDefault="00D5440E" w:rsidP="00D5440E">
      <w:pPr>
        <w:pStyle w:val="FootnoteText"/>
        <w:ind w:left="567" w:hanging="567"/>
        <w:rPr>
          <w:sz w:val="24"/>
          <w:szCs w:val="24"/>
          <w:lang w:val="lt-LT"/>
        </w:rPr>
      </w:pPr>
      <w:r w:rsidRPr="00867056">
        <w:rPr>
          <w:rStyle w:val="FootnoteReference"/>
          <w:sz w:val="24"/>
          <w:szCs w:val="24"/>
        </w:rPr>
        <w:footnoteRef/>
      </w:r>
      <w:r w:rsidRPr="00867056">
        <w:rPr>
          <w:sz w:val="24"/>
          <w:szCs w:val="24"/>
        </w:rPr>
        <w:t xml:space="preserve"> </w:t>
      </w:r>
      <w:r w:rsidRPr="00867056">
        <w:rPr>
          <w:sz w:val="24"/>
          <w:szCs w:val="24"/>
          <w:lang w:val="lt-LT"/>
        </w:rPr>
        <w:tab/>
      </w:r>
      <w:r w:rsidRPr="00867056">
        <w:rPr>
          <w:iCs/>
          <w:color w:val="333333"/>
          <w:sz w:val="24"/>
          <w:szCs w:val="24"/>
          <w:shd w:val="clear" w:color="auto" w:fill="FFFFFF"/>
          <w:lang w:val="en-GB" w:eastAsia="en-GB"/>
        </w:rPr>
        <w:t>O</w:t>
      </w:r>
      <w:r>
        <w:rPr>
          <w:iCs/>
          <w:color w:val="333333"/>
          <w:sz w:val="24"/>
          <w:szCs w:val="24"/>
          <w:shd w:val="clear" w:color="auto" w:fill="FFFFFF"/>
          <w:lang w:val="en-GB" w:eastAsia="en-GB"/>
        </w:rPr>
        <w:t>L</w:t>
      </w:r>
      <w:r w:rsidRPr="00867056">
        <w:rPr>
          <w:iCs/>
          <w:color w:val="333333"/>
          <w:sz w:val="24"/>
          <w:szCs w:val="24"/>
          <w:shd w:val="clear" w:color="auto" w:fill="FFFFFF"/>
          <w:lang w:val="en-GB" w:eastAsia="en-GB"/>
        </w:rPr>
        <w:t xml:space="preserve"> L, </w:t>
      </w:r>
      <w:r>
        <w:rPr>
          <w:iCs/>
          <w:color w:val="333333"/>
          <w:sz w:val="24"/>
          <w:szCs w:val="24"/>
          <w:shd w:val="clear" w:color="auto" w:fill="FFFFFF"/>
          <w:lang w:val="en-GB" w:eastAsia="en-GB"/>
        </w:rPr>
        <w:t xml:space="preserve">2025/38, </w:t>
      </w:r>
      <w:r w:rsidRPr="00867056">
        <w:rPr>
          <w:iCs/>
          <w:color w:val="333333"/>
          <w:sz w:val="24"/>
          <w:szCs w:val="24"/>
          <w:shd w:val="clear" w:color="auto" w:fill="FFFFFF"/>
          <w:lang w:val="en-GB" w:eastAsia="en-GB"/>
        </w:rPr>
        <w:t>2025 </w:t>
      </w:r>
      <w:r>
        <w:rPr>
          <w:iCs/>
          <w:color w:val="333333"/>
          <w:sz w:val="24"/>
          <w:szCs w:val="24"/>
          <w:shd w:val="clear" w:color="auto" w:fill="FFFFFF"/>
          <w:lang w:val="en-GB" w:eastAsia="en-GB"/>
        </w:rPr>
        <w:t>1</w:t>
      </w:r>
      <w:r w:rsidRPr="00867056">
        <w:rPr>
          <w:iCs/>
          <w:color w:val="333333"/>
          <w:sz w:val="24"/>
          <w:szCs w:val="24"/>
          <w:shd w:val="clear" w:color="auto" w:fill="FFFFFF"/>
          <w:lang w:val="en-GB" w:eastAsia="en-GB"/>
        </w:rPr>
        <w:t> </w:t>
      </w:r>
      <w:r>
        <w:rPr>
          <w:iCs/>
          <w:color w:val="333333"/>
          <w:sz w:val="24"/>
          <w:szCs w:val="24"/>
          <w:shd w:val="clear" w:color="auto" w:fill="FFFFFF"/>
          <w:lang w:val="en-GB" w:eastAsia="en-GB"/>
        </w:rPr>
        <w:t>15</w:t>
      </w:r>
      <w:r w:rsidRPr="00867056">
        <w:rPr>
          <w:iCs/>
          <w:color w:val="333333"/>
          <w:sz w:val="24"/>
          <w:szCs w:val="24"/>
          <w:shd w:val="clear" w:color="auto" w:fill="FFFFFF"/>
          <w:lang w:val="en-GB" w:eastAsia="en-GB"/>
        </w:rPr>
        <w:t>, ELI: </w:t>
      </w:r>
      <w:hyperlink r:id="rId2" w:tgtFrame="_blank" w:tooltip="Gives access to this document through its ELI URI." w:history="1">
        <w:r w:rsidRPr="00867056">
          <w:rPr>
            <w:iCs/>
            <w:color w:val="337AB7"/>
            <w:sz w:val="24"/>
            <w:szCs w:val="24"/>
            <w:u w:val="single"/>
            <w:lang w:val="en-GB" w:eastAsia="en-GB"/>
          </w:rPr>
          <w:t>http://data.europa.eu/eli/reg/2025/38/oj</w:t>
        </w:r>
      </w:hyperlink>
      <w:r>
        <w:rPr>
          <w:iCs/>
          <w:color w:val="333333"/>
          <w:sz w:val="24"/>
          <w:szCs w:val="24"/>
          <w:shd w:val="clear" w:color="auto" w:fill="FFFFFF"/>
          <w:lang w:val="en-GB"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96F1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96F1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96F1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423" w:hanging="281"/>
      </w:pPr>
      <w:rPr>
        <w:rFonts w:ascii="Times New Roman" w:hAnsi="Times New Roman" w:cs="Times New Roman"/>
        <w:b w:val="0"/>
        <w:bCs w:val="0"/>
        <w:i w:val="0"/>
        <w:iCs w:val="0"/>
        <w:w w:val="99"/>
        <w:sz w:val="22"/>
        <w:szCs w:val="22"/>
      </w:rPr>
    </w:lvl>
    <w:lvl w:ilvl="1">
      <w:numFmt w:val="bullet"/>
      <w:lvlText w:val="•"/>
      <w:lvlJc w:val="left"/>
      <w:pPr>
        <w:ind w:left="1345" w:hanging="281"/>
      </w:pPr>
    </w:lvl>
    <w:lvl w:ilvl="2">
      <w:numFmt w:val="bullet"/>
      <w:lvlText w:val="•"/>
      <w:lvlJc w:val="left"/>
      <w:pPr>
        <w:ind w:left="2264" w:hanging="281"/>
      </w:pPr>
    </w:lvl>
    <w:lvl w:ilvl="3">
      <w:numFmt w:val="bullet"/>
      <w:lvlText w:val="•"/>
      <w:lvlJc w:val="left"/>
      <w:pPr>
        <w:ind w:left="3182" w:hanging="281"/>
      </w:pPr>
    </w:lvl>
    <w:lvl w:ilvl="4">
      <w:numFmt w:val="bullet"/>
      <w:lvlText w:val="•"/>
      <w:lvlJc w:val="left"/>
      <w:pPr>
        <w:ind w:left="4101" w:hanging="281"/>
      </w:pPr>
    </w:lvl>
    <w:lvl w:ilvl="5">
      <w:numFmt w:val="bullet"/>
      <w:lvlText w:val="•"/>
      <w:lvlJc w:val="left"/>
      <w:pPr>
        <w:ind w:left="5020" w:hanging="281"/>
      </w:pPr>
    </w:lvl>
    <w:lvl w:ilvl="6">
      <w:numFmt w:val="bullet"/>
      <w:lvlText w:val="•"/>
      <w:lvlJc w:val="left"/>
      <w:pPr>
        <w:ind w:left="5938" w:hanging="281"/>
      </w:pPr>
    </w:lvl>
    <w:lvl w:ilvl="7">
      <w:numFmt w:val="bullet"/>
      <w:lvlText w:val="•"/>
      <w:lvlJc w:val="left"/>
      <w:pPr>
        <w:ind w:left="6857" w:hanging="281"/>
      </w:pPr>
    </w:lvl>
    <w:lvl w:ilvl="8">
      <w:numFmt w:val="bullet"/>
      <w:lvlText w:val="•"/>
      <w:lvlJc w:val="left"/>
      <w:pPr>
        <w:ind w:left="7776"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0"/>
    <w:lvlOverride w:ilvl="0">
      <w:startOverride w:val="1"/>
    </w:lvlOverride>
    <w:lvlOverride w:ilvl="1"/>
    <w:lvlOverride w:ilvl="2"/>
    <w:lvlOverride w:ilvl="3"/>
    <w:lvlOverride w:ilvl="4"/>
    <w:lvlOverride w:ilvl="5"/>
    <w:lvlOverride w:ilvl="6"/>
    <w:lvlOverride w:ilvl="7"/>
    <w:lvlOverride w:ilvl="8"/>
  </w:num>
  <w:num w:numId="46">
    <w:abstractNumId w:val="11"/>
    <w:lvlOverride w:ilvl="0">
      <w:startOverride w:val="1"/>
    </w:lvlOverride>
    <w:lvlOverride w:ilvl="1"/>
    <w:lvlOverride w:ilvl="2"/>
    <w:lvlOverride w:ilvl="3"/>
    <w:lvlOverride w:ilvl="4"/>
    <w:lvlOverride w:ilvl="5"/>
    <w:lvlOverride w:ilvl="6"/>
    <w:lvlOverride w:ilvl="7"/>
    <w:lvlOverride w:ilvl="8"/>
  </w:num>
  <w:num w:numId="47">
    <w:abstractNumId w:val="12"/>
    <w:lvlOverride w:ilvl="0">
      <w:startOverride w:val="3"/>
    </w:lvlOverride>
    <w:lvlOverride w:ilvl="1">
      <w:startOverride w:val="1"/>
    </w:lvlOverride>
    <w:lvlOverride w:ilvl="2"/>
    <w:lvlOverride w:ilvl="3"/>
    <w:lvlOverride w:ilvl="4"/>
    <w:lvlOverride w:ilvl="5"/>
    <w:lvlOverride w:ilvl="6"/>
    <w:lvlOverride w:ilvl="7"/>
    <w:lvlOverride w:ilvl="8"/>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LT"/>
    <w:docVar w:name="dvnumam" w:val="92"/>
    <w:docVar w:name="dvpe" w:val="752.795"/>
    <w:docVar w:name="dvrapporteur" w:val="Pranešėja: "/>
    <w:docVar w:name="dvstar" w:val="***I"/>
    <w:docVar w:name="dvtitre" w:val="Europos Parlamento teisėkūros rezoliucija dėl pasiūlymo dėl Europos Parlamento ir Tarybos reglamento, kuriuo nustatomos solidarumo stiprinimo ir pajėgumo aptikti kibernetinio saugumo grėsmes ir incidentus Sąjungoje, jiems pasirengti ir į juos reaguoti didinimo priemonės(COM(2023)0209 – C9-0136/2023 – 2023/0109(COD))"/>
  </w:docVars>
  <w:rsids>
    <w:rsidRoot w:val="00994592"/>
    <w:rsid w:val="00002272"/>
    <w:rsid w:val="00064002"/>
    <w:rsid w:val="000677B9"/>
    <w:rsid w:val="00080BE9"/>
    <w:rsid w:val="000831BA"/>
    <w:rsid w:val="000A42CC"/>
    <w:rsid w:val="000E7DD9"/>
    <w:rsid w:val="0010095E"/>
    <w:rsid w:val="001066B9"/>
    <w:rsid w:val="00125B37"/>
    <w:rsid w:val="001758E5"/>
    <w:rsid w:val="00187494"/>
    <w:rsid w:val="001F32AE"/>
    <w:rsid w:val="002767FF"/>
    <w:rsid w:val="00296F1A"/>
    <w:rsid w:val="002B18FE"/>
    <w:rsid w:val="002B5493"/>
    <w:rsid w:val="00321A5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59F6"/>
    <w:rsid w:val="00543656"/>
    <w:rsid w:val="00545827"/>
    <w:rsid w:val="00546A79"/>
    <w:rsid w:val="00560270"/>
    <w:rsid w:val="0056582B"/>
    <w:rsid w:val="005C2568"/>
    <w:rsid w:val="005F20C6"/>
    <w:rsid w:val="006037C0"/>
    <w:rsid w:val="006136A3"/>
    <w:rsid w:val="00661409"/>
    <w:rsid w:val="006631B6"/>
    <w:rsid w:val="00680577"/>
    <w:rsid w:val="006F74FA"/>
    <w:rsid w:val="00731ADD"/>
    <w:rsid w:val="00734777"/>
    <w:rsid w:val="007378D7"/>
    <w:rsid w:val="007409F9"/>
    <w:rsid w:val="00747932"/>
    <w:rsid w:val="00751A4A"/>
    <w:rsid w:val="00756632"/>
    <w:rsid w:val="00762C74"/>
    <w:rsid w:val="00786EC0"/>
    <w:rsid w:val="007D0A0B"/>
    <w:rsid w:val="007D1690"/>
    <w:rsid w:val="007E22AD"/>
    <w:rsid w:val="007F47F7"/>
    <w:rsid w:val="00817416"/>
    <w:rsid w:val="008315A3"/>
    <w:rsid w:val="0083222E"/>
    <w:rsid w:val="00842779"/>
    <w:rsid w:val="00846861"/>
    <w:rsid w:val="00865F67"/>
    <w:rsid w:val="00881A7B"/>
    <w:rsid w:val="008840E5"/>
    <w:rsid w:val="00887B3E"/>
    <w:rsid w:val="008B59F1"/>
    <w:rsid w:val="008C2AC6"/>
    <w:rsid w:val="00930C23"/>
    <w:rsid w:val="0093193B"/>
    <w:rsid w:val="009509D8"/>
    <w:rsid w:val="00950B64"/>
    <w:rsid w:val="00951390"/>
    <w:rsid w:val="00981893"/>
    <w:rsid w:val="00994592"/>
    <w:rsid w:val="00997FA3"/>
    <w:rsid w:val="00A1687D"/>
    <w:rsid w:val="00A43E52"/>
    <w:rsid w:val="00A4678D"/>
    <w:rsid w:val="00A778C7"/>
    <w:rsid w:val="00AB441E"/>
    <w:rsid w:val="00AB6293"/>
    <w:rsid w:val="00AE0928"/>
    <w:rsid w:val="00AF3B82"/>
    <w:rsid w:val="00B12E95"/>
    <w:rsid w:val="00B22876"/>
    <w:rsid w:val="00B53FFC"/>
    <w:rsid w:val="00B558F0"/>
    <w:rsid w:val="00B72D27"/>
    <w:rsid w:val="00BD48FE"/>
    <w:rsid w:val="00BD7BD8"/>
    <w:rsid w:val="00BE6ADC"/>
    <w:rsid w:val="00BF23A7"/>
    <w:rsid w:val="00C05BFE"/>
    <w:rsid w:val="00C23CD4"/>
    <w:rsid w:val="00C4737F"/>
    <w:rsid w:val="00C61C0C"/>
    <w:rsid w:val="00C941CB"/>
    <w:rsid w:val="00CC2357"/>
    <w:rsid w:val="00CF071A"/>
    <w:rsid w:val="00D058B8"/>
    <w:rsid w:val="00D5440E"/>
    <w:rsid w:val="00D56C11"/>
    <w:rsid w:val="00D834A0"/>
    <w:rsid w:val="00D872DF"/>
    <w:rsid w:val="00D91E21"/>
    <w:rsid w:val="00DA7FCD"/>
    <w:rsid w:val="00DC4592"/>
    <w:rsid w:val="00E365E1"/>
    <w:rsid w:val="00E45C9C"/>
    <w:rsid w:val="00E820A4"/>
    <w:rsid w:val="00EB006A"/>
    <w:rsid w:val="00EB4772"/>
    <w:rsid w:val="00ED169E"/>
    <w:rsid w:val="00ED4235"/>
    <w:rsid w:val="00F04346"/>
    <w:rsid w:val="00F075DC"/>
    <w:rsid w:val="00F149E9"/>
    <w:rsid w:val="00F3754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652763-1F8B-4AE7-A7E7-ACCC62B9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997FA3"/>
    <w:pPr>
      <w:spacing w:after="120"/>
    </w:pPr>
  </w:style>
  <w:style w:type="paragraph" w:customStyle="1" w:styleId="NormalBold">
    <w:name w:val="NormalBold"/>
    <w:basedOn w:val="Normal"/>
    <w:link w:val="NormalBoldChar"/>
    <w:rsid w:val="00997FA3"/>
    <w:rPr>
      <w:b/>
    </w:rPr>
  </w:style>
  <w:style w:type="character" w:customStyle="1" w:styleId="NormalBoldChar">
    <w:name w:val="NormalBold Char"/>
    <w:basedOn w:val="DefaultParagraphFont"/>
    <w:link w:val="NormalBold"/>
    <w:locked/>
    <w:rsid w:val="00997FA3"/>
    <w:rPr>
      <w:b/>
      <w:sz w:val="24"/>
      <w:lang w:val="lt-LT"/>
    </w:rPr>
  </w:style>
  <w:style w:type="paragraph" w:customStyle="1" w:styleId="NormalHanging12a">
    <w:name w:val="NormalHanging12a"/>
    <w:basedOn w:val="Normal"/>
    <w:rsid w:val="00997FA3"/>
    <w:pPr>
      <w:spacing w:after="240"/>
      <w:ind w:left="567" w:hanging="567"/>
    </w:pPr>
  </w:style>
  <w:style w:type="paragraph" w:customStyle="1" w:styleId="AmNumberTabs">
    <w:name w:val="AmNumberTabs"/>
    <w:basedOn w:val="Normal"/>
    <w:link w:val="AmNumberTabsChar"/>
    <w:rsid w:val="00997FA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997FA3"/>
    <w:pPr>
      <w:spacing w:before="480" w:after="240"/>
    </w:pPr>
  </w:style>
  <w:style w:type="character" w:styleId="Hyperlink">
    <w:name w:val="Hyperlink"/>
    <w:basedOn w:val="DefaultParagraphFont"/>
    <w:uiPriority w:val="99"/>
    <w:rsid w:val="00997FA3"/>
    <w:rPr>
      <w:color w:val="0563C1" w:themeColor="hyperlink"/>
      <w:u w:val="single"/>
    </w:rPr>
  </w:style>
  <w:style w:type="paragraph" w:customStyle="1" w:styleId="NormalCenter12a">
    <w:name w:val="NormalCenter12a"/>
    <w:basedOn w:val="Normal"/>
    <w:rsid w:val="00997FA3"/>
    <w:pPr>
      <w:spacing w:after="240"/>
      <w:jc w:val="center"/>
    </w:pPr>
  </w:style>
  <w:style w:type="character" w:customStyle="1" w:styleId="AmNumberTabsChar">
    <w:name w:val="AmNumberTabs Char"/>
    <w:basedOn w:val="DefaultParagraphFont"/>
    <w:link w:val="AmNumberTabs"/>
    <w:locked/>
    <w:rsid w:val="00997FA3"/>
    <w:rPr>
      <w:b/>
      <w:sz w:val="24"/>
      <w:lang w:val="lt-LT"/>
    </w:rPr>
  </w:style>
  <w:style w:type="paragraph" w:customStyle="1" w:styleId="AmHeadingConsam">
    <w:name w:val="AmHeadingConsam"/>
    <w:basedOn w:val="Normal"/>
    <w:next w:val="NormalCenter12a"/>
    <w:rsid w:val="00997FA3"/>
    <w:pPr>
      <w:spacing w:before="720" w:after="240"/>
      <w:jc w:val="center"/>
    </w:pPr>
  </w:style>
  <w:style w:type="character" w:styleId="Emphasis">
    <w:name w:val="Emphasis"/>
    <w:basedOn w:val="DefaultParagraphFont"/>
    <w:uiPriority w:val="20"/>
    <w:qFormat/>
    <w:rsid w:val="00997FA3"/>
    <w:rPr>
      <w:i/>
      <w:iCs/>
    </w:rPr>
  </w:style>
  <w:style w:type="paragraph" w:customStyle="1" w:styleId="ManualConsidrant">
    <w:name w:val="Manual Considérant"/>
    <w:basedOn w:val="Normal"/>
    <w:rsid w:val="00997FA3"/>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997FA3"/>
  </w:style>
  <w:style w:type="paragraph" w:customStyle="1" w:styleId="Point0">
    <w:name w:val="Point 0"/>
    <w:basedOn w:val="Normal"/>
    <w:rsid w:val="00997FA3"/>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997FA3"/>
    <w:pPr>
      <w:widowControl/>
      <w:spacing w:beforeAutospacing="1" w:after="200" w:afterAutospacing="1" w:line="276" w:lineRule="auto"/>
    </w:pPr>
    <w:rPr>
      <w:szCs w:val="24"/>
      <w:lang w:eastAsia="en-IE"/>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
    <w:basedOn w:val="Normal"/>
    <w:link w:val="ListParagraphChar"/>
    <w:uiPriority w:val="1"/>
    <w:qFormat/>
    <w:rsid w:val="00997FA3"/>
    <w:pPr>
      <w:ind w:left="720"/>
      <w:contextualSpacing/>
    </w:pPr>
  </w:style>
  <w:style w:type="character" w:customStyle="1" w:styleId="normaltextrun">
    <w:name w:val="normaltextrun"/>
    <w:basedOn w:val="DefaultParagraphFont"/>
    <w:rsid w:val="00997FA3"/>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1"/>
    <w:qFormat/>
    <w:rsid w:val="00997FA3"/>
    <w:rPr>
      <w:sz w:val="24"/>
      <w:lang w:val="lt-LT"/>
    </w:rPr>
  </w:style>
  <w:style w:type="paragraph" w:customStyle="1" w:styleId="Normal0">
    <w:name w:val="_Normal"/>
    <w:basedOn w:val="Normal"/>
    <w:link w:val="NormalCar"/>
    <w:qFormat/>
    <w:rsid w:val="00997FA3"/>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997FA3"/>
    <w:rPr>
      <w:rFonts w:ascii="Arial" w:hAnsi="Arial"/>
      <w:szCs w:val="24"/>
      <w:lang w:val="lt-LT" w:eastAsia="en-US"/>
    </w:rPr>
  </w:style>
  <w:style w:type="paragraph" w:styleId="BodyText">
    <w:name w:val="Body Text"/>
    <w:basedOn w:val="Normal"/>
    <w:link w:val="BodyTextChar"/>
    <w:uiPriority w:val="1"/>
    <w:qFormat/>
    <w:rsid w:val="00997FA3"/>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997FA3"/>
    <w:rPr>
      <w:rFonts w:eastAsiaTheme="minorEastAsia"/>
      <w:sz w:val="24"/>
      <w:szCs w:val="24"/>
      <w:lang w:val="lt-LT"/>
    </w:rPr>
  </w:style>
  <w:style w:type="paragraph" w:styleId="BalloonText">
    <w:name w:val="Balloon Text"/>
    <w:basedOn w:val="Normal"/>
    <w:link w:val="BalloonTextChar"/>
    <w:uiPriority w:val="99"/>
    <w:rsid w:val="005F20C6"/>
    <w:rPr>
      <w:rFonts w:ascii="Segoe UI" w:hAnsi="Segoe UI" w:cs="Segoe UI"/>
      <w:sz w:val="18"/>
      <w:szCs w:val="18"/>
    </w:rPr>
  </w:style>
  <w:style w:type="character" w:customStyle="1" w:styleId="BalloonTextChar">
    <w:name w:val="Balloon Text Char"/>
    <w:basedOn w:val="DefaultParagraphFont"/>
    <w:link w:val="BalloonText"/>
    <w:uiPriority w:val="99"/>
    <w:rsid w:val="005F20C6"/>
    <w:rPr>
      <w:rFonts w:ascii="Segoe UI" w:hAnsi="Segoe UI" w:cs="Segoe UI"/>
      <w:sz w:val="18"/>
      <w:szCs w:val="18"/>
      <w:lang w:val="lt-LT"/>
    </w:rPr>
  </w:style>
  <w:style w:type="character" w:customStyle="1" w:styleId="Heading1Char">
    <w:name w:val="Heading 1 Char"/>
    <w:basedOn w:val="DefaultParagraphFont"/>
    <w:link w:val="Heading1"/>
    <w:rsid w:val="001758E5"/>
    <w:rPr>
      <w:b/>
      <w:kern w:val="28"/>
      <w:sz w:val="28"/>
      <w:lang w:val="fr-FR" w:eastAsia="fr-FR"/>
    </w:rPr>
  </w:style>
  <w:style w:type="character" w:customStyle="1" w:styleId="Heading2Char">
    <w:name w:val="Heading 2 Char"/>
    <w:basedOn w:val="DefaultParagraphFont"/>
    <w:link w:val="Heading2"/>
    <w:semiHidden/>
    <w:rsid w:val="001758E5"/>
    <w:rPr>
      <w:sz w:val="24"/>
      <w:lang w:val="fr-FR" w:eastAsia="fr-FR"/>
    </w:rPr>
  </w:style>
  <w:style w:type="character" w:customStyle="1" w:styleId="Heading3Char">
    <w:name w:val="Heading 3 Char"/>
    <w:basedOn w:val="DefaultParagraphFont"/>
    <w:link w:val="Heading3"/>
    <w:uiPriority w:val="9"/>
    <w:rsid w:val="001758E5"/>
    <w:rPr>
      <w:rFonts w:ascii="Arial" w:hAnsi="Arial"/>
      <w:sz w:val="24"/>
      <w:lang w:val="fr-FR" w:eastAsia="fr-FR"/>
    </w:rPr>
  </w:style>
  <w:style w:type="character" w:customStyle="1" w:styleId="Heading4Char">
    <w:name w:val="Heading 4 Char"/>
    <w:basedOn w:val="DefaultParagraphFont"/>
    <w:link w:val="Heading4"/>
    <w:semiHidden/>
    <w:rsid w:val="001758E5"/>
    <w:rPr>
      <w:sz w:val="24"/>
      <w:lang w:val="en-US" w:eastAsia="fr-FR"/>
    </w:rPr>
  </w:style>
  <w:style w:type="character" w:customStyle="1" w:styleId="Heading5Char">
    <w:name w:val="Heading 5 Char"/>
    <w:basedOn w:val="DefaultParagraphFont"/>
    <w:link w:val="Heading5"/>
    <w:semiHidden/>
    <w:rsid w:val="001758E5"/>
    <w:rPr>
      <w:sz w:val="24"/>
      <w:lang w:val="en-US" w:eastAsia="fr-FR"/>
    </w:rPr>
  </w:style>
  <w:style w:type="character" w:customStyle="1" w:styleId="Heading6Char">
    <w:name w:val="Heading 6 Char"/>
    <w:basedOn w:val="DefaultParagraphFont"/>
    <w:link w:val="Heading6"/>
    <w:semiHidden/>
    <w:rsid w:val="001758E5"/>
    <w:rPr>
      <w:i/>
      <w:sz w:val="22"/>
      <w:lang w:val="lt-LT"/>
    </w:rPr>
  </w:style>
  <w:style w:type="character" w:customStyle="1" w:styleId="Heading7Char">
    <w:name w:val="Heading 7 Char"/>
    <w:basedOn w:val="DefaultParagraphFont"/>
    <w:link w:val="Heading7"/>
    <w:semiHidden/>
    <w:rsid w:val="001758E5"/>
    <w:rPr>
      <w:rFonts w:ascii="Arial" w:hAnsi="Arial"/>
      <w:sz w:val="24"/>
      <w:lang w:val="lt-LT"/>
    </w:rPr>
  </w:style>
  <w:style w:type="character" w:customStyle="1" w:styleId="Heading8Char">
    <w:name w:val="Heading 8 Char"/>
    <w:basedOn w:val="DefaultParagraphFont"/>
    <w:link w:val="Heading8"/>
    <w:semiHidden/>
    <w:rsid w:val="001758E5"/>
    <w:rPr>
      <w:rFonts w:ascii="Arial" w:hAnsi="Arial"/>
      <w:i/>
      <w:sz w:val="24"/>
      <w:lang w:val="lt-LT"/>
    </w:rPr>
  </w:style>
  <w:style w:type="character" w:customStyle="1" w:styleId="Heading9Char">
    <w:name w:val="Heading 9 Char"/>
    <w:basedOn w:val="DefaultParagraphFont"/>
    <w:link w:val="Heading9"/>
    <w:semiHidden/>
    <w:rsid w:val="001758E5"/>
    <w:rPr>
      <w:rFonts w:ascii="Arial" w:hAnsi="Arial"/>
      <w:b/>
      <w:i/>
      <w:sz w:val="18"/>
      <w:lang w:val="lt-LT"/>
    </w:rPr>
  </w:style>
  <w:style w:type="paragraph" w:styleId="Header">
    <w:name w:val="header"/>
    <w:basedOn w:val="Normal"/>
    <w:link w:val="HeaderChar"/>
    <w:uiPriority w:val="99"/>
    <w:rsid w:val="001758E5"/>
    <w:pPr>
      <w:tabs>
        <w:tab w:val="center" w:pos="4513"/>
        <w:tab w:val="right" w:pos="9026"/>
      </w:tabs>
    </w:pPr>
  </w:style>
  <w:style w:type="character" w:customStyle="1" w:styleId="HeaderChar">
    <w:name w:val="Header Char"/>
    <w:basedOn w:val="DefaultParagraphFont"/>
    <w:link w:val="Header"/>
    <w:uiPriority w:val="99"/>
    <w:rsid w:val="001758E5"/>
    <w:rPr>
      <w:sz w:val="24"/>
      <w:lang w:val="lt-LT"/>
    </w:rPr>
  </w:style>
  <w:style w:type="paragraph" w:customStyle="1" w:styleId="AmDocTypeTab">
    <w:name w:val="AmDocTypeTab"/>
    <w:basedOn w:val="Normal"/>
    <w:rsid w:val="001758E5"/>
    <w:pPr>
      <w:tabs>
        <w:tab w:val="right" w:pos="9072"/>
      </w:tabs>
    </w:pPr>
    <w:rPr>
      <w:b/>
    </w:rPr>
  </w:style>
  <w:style w:type="paragraph" w:customStyle="1" w:styleId="Normal12a">
    <w:name w:val="Normal12a"/>
    <w:basedOn w:val="Normal"/>
    <w:rsid w:val="001758E5"/>
    <w:pPr>
      <w:spacing w:after="240"/>
    </w:pPr>
  </w:style>
  <w:style w:type="paragraph" w:customStyle="1" w:styleId="EPFooter2">
    <w:name w:val="EPFooter2"/>
    <w:basedOn w:val="Normal"/>
    <w:next w:val="Normal"/>
    <w:rsid w:val="001758E5"/>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1758E5"/>
    <w:pPr>
      <w:spacing w:before="240" w:after="240"/>
      <w:jc w:val="right"/>
    </w:pPr>
  </w:style>
  <w:style w:type="paragraph" w:customStyle="1" w:styleId="AmDateTab">
    <w:name w:val="AmDateTab"/>
    <w:basedOn w:val="Normal"/>
    <w:rsid w:val="001758E5"/>
    <w:pPr>
      <w:tabs>
        <w:tab w:val="right" w:pos="9072"/>
      </w:tabs>
    </w:pPr>
  </w:style>
  <w:style w:type="paragraph" w:customStyle="1" w:styleId="EPFooter">
    <w:name w:val="EPFooter"/>
    <w:basedOn w:val="Normal"/>
    <w:rsid w:val="001758E5"/>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1758E5"/>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1758E5"/>
    <w:pPr>
      <w:tabs>
        <w:tab w:val="center" w:pos="4513"/>
        <w:tab w:val="right" w:pos="9026"/>
      </w:tabs>
    </w:pPr>
  </w:style>
  <w:style w:type="character" w:customStyle="1" w:styleId="FooterChar">
    <w:name w:val="Footer Char"/>
    <w:basedOn w:val="DefaultParagraphFont"/>
    <w:link w:val="Footer"/>
    <w:uiPriority w:val="99"/>
    <w:rsid w:val="001758E5"/>
    <w:rPr>
      <w:sz w:val="24"/>
      <w:lang w:val="lt-LT"/>
    </w:rPr>
  </w:style>
  <w:style w:type="paragraph" w:customStyle="1" w:styleId="SignaturePersonne">
    <w:name w:val="Signature Personne"/>
    <w:basedOn w:val="Normal"/>
    <w:rsid w:val="001758E5"/>
    <w:pPr>
      <w:widowControl/>
      <w:tabs>
        <w:tab w:val="left" w:pos="4252"/>
      </w:tabs>
      <w:spacing w:line="360" w:lineRule="auto"/>
    </w:pPr>
    <w:rPr>
      <w:i/>
      <w:szCs w:val="24"/>
      <w:lang w:eastAsia="en-US"/>
    </w:rPr>
  </w:style>
  <w:style w:type="paragraph" w:customStyle="1" w:styleId="Considrant">
    <w:name w:val="Considérant"/>
    <w:basedOn w:val="Normal"/>
    <w:rsid w:val="001758E5"/>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1758E5"/>
    <w:pPr>
      <w:keepNext/>
      <w:spacing w:before="600" w:after="120" w:line="360" w:lineRule="auto"/>
    </w:pPr>
    <w:rPr>
      <w:szCs w:val="24"/>
      <w:lang w:eastAsia="en-US"/>
    </w:rPr>
  </w:style>
  <w:style w:type="paragraph" w:customStyle="1" w:styleId="Institutionquisigne">
    <w:name w:val="Institution qui signe"/>
    <w:basedOn w:val="Normal"/>
    <w:next w:val="Normal"/>
    <w:rsid w:val="001758E5"/>
    <w:pPr>
      <w:keepNext/>
      <w:tabs>
        <w:tab w:val="left" w:pos="4252"/>
      </w:tabs>
      <w:spacing w:before="720" w:line="360" w:lineRule="auto"/>
    </w:pPr>
    <w:rPr>
      <w:i/>
      <w:szCs w:val="24"/>
      <w:lang w:eastAsia="en-US"/>
    </w:rPr>
  </w:style>
  <w:style w:type="paragraph" w:customStyle="1" w:styleId="Fait">
    <w:name w:val="Fait à"/>
    <w:basedOn w:val="Normal"/>
    <w:rsid w:val="001758E5"/>
    <w:pPr>
      <w:keepNext/>
      <w:widowControl/>
      <w:spacing w:before="120" w:line="360" w:lineRule="auto"/>
    </w:pPr>
    <w:rPr>
      <w:szCs w:val="24"/>
      <w:lang w:eastAsia="en-US"/>
    </w:rPr>
  </w:style>
  <w:style w:type="paragraph" w:customStyle="1" w:styleId="FootnoteTextForceStyle">
    <w:name w:val="Footnote Text ForceStyle"/>
    <w:rsid w:val="001758E5"/>
    <w:pPr>
      <w:keepLines/>
      <w:widowControl w:val="0"/>
      <w:ind w:left="850" w:hanging="850"/>
    </w:pPr>
    <w:rPr>
      <w:sz w:val="24"/>
      <w:lang w:val="lt-LT" w:eastAsia="en-US"/>
    </w:rPr>
  </w:style>
  <w:style w:type="character" w:customStyle="1" w:styleId="Footer2">
    <w:name w:val="Footer2"/>
    <w:rsid w:val="001758E5"/>
    <w:rPr>
      <w:rFonts w:ascii="Arial" w:hAnsi="Arial"/>
      <w:b/>
      <w:sz w:val="48"/>
    </w:rPr>
  </w:style>
  <w:style w:type="paragraph" w:customStyle="1" w:styleId="Applicationdirecte">
    <w:name w:val="Application directe"/>
    <w:basedOn w:val="Normal"/>
    <w:next w:val="Normal"/>
    <w:rsid w:val="001758E5"/>
    <w:pPr>
      <w:spacing w:before="120" w:after="120" w:line="360" w:lineRule="auto"/>
    </w:pPr>
    <w:rPr>
      <w:szCs w:val="24"/>
      <w:lang w:eastAsia="en-US"/>
    </w:rPr>
  </w:style>
  <w:style w:type="paragraph" w:customStyle="1" w:styleId="Normale">
    <w:name w:val="Normale"/>
    <w:rsid w:val="001758E5"/>
    <w:pPr>
      <w:widowControl w:val="0"/>
      <w:spacing w:before="120" w:after="120" w:line="360" w:lineRule="auto"/>
    </w:pPr>
    <w:rPr>
      <w:sz w:val="24"/>
      <w:lang w:val="lt-LT" w:eastAsia="en-US"/>
    </w:rPr>
  </w:style>
  <w:style w:type="paragraph" w:customStyle="1" w:styleId="Formuledadoption">
    <w:name w:val="Formule d'adoption"/>
    <w:basedOn w:val="Normal"/>
    <w:next w:val="Normal"/>
    <w:rsid w:val="001758E5"/>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1758E5"/>
    <w:pPr>
      <w:widowControl/>
      <w:spacing w:after="240" w:line="360" w:lineRule="auto"/>
      <w:ind w:left="5102"/>
    </w:pPr>
    <w:rPr>
      <w:szCs w:val="24"/>
      <w:lang w:eastAsia="en-US"/>
    </w:rPr>
  </w:style>
  <w:style w:type="paragraph" w:customStyle="1" w:styleId="Footer1">
    <w:name w:val="Footer1"/>
    <w:basedOn w:val="Normal"/>
    <w:rsid w:val="001758E5"/>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1758E5"/>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1758E5"/>
    <w:pPr>
      <w:widowControl/>
      <w:spacing w:before="840" w:line="360" w:lineRule="auto"/>
      <w:jc w:val="center"/>
    </w:pPr>
    <w:rPr>
      <w:szCs w:val="24"/>
      <w:lang w:eastAsia="en-US"/>
    </w:rPr>
  </w:style>
  <w:style w:type="paragraph" w:customStyle="1" w:styleId="Typedudocument">
    <w:name w:val="Type du document"/>
    <w:basedOn w:val="Normal"/>
    <w:next w:val="Normal"/>
    <w:rsid w:val="001758E5"/>
    <w:pPr>
      <w:widowControl/>
      <w:spacing w:before="360" w:line="360" w:lineRule="auto"/>
      <w:jc w:val="center"/>
    </w:pPr>
    <w:rPr>
      <w:b/>
      <w:szCs w:val="24"/>
      <w:lang w:eastAsia="en-US"/>
    </w:rPr>
  </w:style>
  <w:style w:type="paragraph" w:customStyle="1" w:styleId="Titreobjet">
    <w:name w:val="Titre objet"/>
    <w:basedOn w:val="Normal"/>
    <w:next w:val="Normal"/>
    <w:rsid w:val="001758E5"/>
    <w:pPr>
      <w:widowControl/>
      <w:spacing w:before="360" w:after="360" w:line="360" w:lineRule="auto"/>
      <w:jc w:val="center"/>
    </w:pPr>
    <w:rPr>
      <w:b/>
      <w:szCs w:val="24"/>
      <w:lang w:eastAsia="en-US"/>
    </w:rPr>
  </w:style>
  <w:style w:type="paragraph" w:customStyle="1" w:styleId="IntrtEEE">
    <w:name w:val="Intérêt EEE"/>
    <w:basedOn w:val="Normal"/>
    <w:next w:val="Normal"/>
    <w:rsid w:val="001758E5"/>
    <w:pPr>
      <w:widowControl/>
      <w:spacing w:before="360" w:after="240" w:line="360" w:lineRule="auto"/>
      <w:jc w:val="center"/>
    </w:pPr>
    <w:rPr>
      <w:szCs w:val="24"/>
      <w:lang w:eastAsia="en-US"/>
    </w:rPr>
  </w:style>
  <w:style w:type="character" w:styleId="CommentReference">
    <w:name w:val="annotation reference"/>
    <w:basedOn w:val="DefaultParagraphFont"/>
    <w:uiPriority w:val="99"/>
    <w:unhideWhenUsed/>
    <w:rsid w:val="001758E5"/>
    <w:rPr>
      <w:rFonts w:cs="Times New Roman"/>
      <w:sz w:val="16"/>
      <w:szCs w:val="16"/>
    </w:rPr>
  </w:style>
  <w:style w:type="paragraph" w:styleId="CommentText">
    <w:name w:val="annotation text"/>
    <w:basedOn w:val="Normal"/>
    <w:link w:val="CommentTextChar"/>
    <w:uiPriority w:val="99"/>
    <w:unhideWhenUsed/>
    <w:rsid w:val="001758E5"/>
    <w:pPr>
      <w:spacing w:before="120" w:after="120"/>
    </w:pPr>
    <w:rPr>
      <w:sz w:val="20"/>
      <w:lang w:eastAsia="en-US"/>
    </w:rPr>
  </w:style>
  <w:style w:type="character" w:customStyle="1" w:styleId="CommentTextChar">
    <w:name w:val="Comment Text Char"/>
    <w:basedOn w:val="DefaultParagraphFont"/>
    <w:link w:val="CommentText"/>
    <w:uiPriority w:val="99"/>
    <w:rsid w:val="001758E5"/>
    <w:rPr>
      <w:lang w:val="lt-LT" w:eastAsia="en-US"/>
    </w:rPr>
  </w:style>
  <w:style w:type="paragraph" w:styleId="CommentSubject">
    <w:name w:val="annotation subject"/>
    <w:basedOn w:val="CommentText"/>
    <w:next w:val="CommentText"/>
    <w:link w:val="CommentSubjectChar"/>
    <w:uiPriority w:val="99"/>
    <w:unhideWhenUsed/>
    <w:rsid w:val="001758E5"/>
    <w:rPr>
      <w:b/>
      <w:bCs/>
    </w:rPr>
  </w:style>
  <w:style w:type="character" w:customStyle="1" w:styleId="CommentSubjectChar">
    <w:name w:val="Comment Subject Char"/>
    <w:basedOn w:val="CommentTextChar"/>
    <w:link w:val="CommentSubject"/>
    <w:uiPriority w:val="99"/>
    <w:rsid w:val="001758E5"/>
    <w:rPr>
      <w:b/>
      <w:bCs/>
      <w:lang w:val="lt-LT" w:eastAsia="en-US"/>
    </w:rPr>
  </w:style>
  <w:style w:type="paragraph" w:styleId="Revision">
    <w:name w:val="Revision"/>
    <w:hidden/>
    <w:uiPriority w:val="99"/>
    <w:semiHidden/>
    <w:rsid w:val="001758E5"/>
    <w:rPr>
      <w:sz w:val="24"/>
      <w:szCs w:val="24"/>
      <w:lang w:val="lt-LT" w:eastAsia="en-US"/>
    </w:rPr>
  </w:style>
  <w:style w:type="paragraph" w:customStyle="1" w:styleId="AppelnotedebasdepageCharCharCharCharCharCharChar">
    <w:name w:val="Appel note de bas de page Char Char Char Char Char Char Char"/>
    <w:basedOn w:val="Normal"/>
    <w:link w:val="FootnoteReference"/>
    <w:uiPriority w:val="99"/>
    <w:rsid w:val="001758E5"/>
    <w:pPr>
      <w:widowControl/>
      <w:spacing w:line="276" w:lineRule="auto"/>
    </w:pPr>
    <w:rPr>
      <w:sz w:val="20"/>
      <w:vertAlign w:val="superscript"/>
      <w:lang w:val="en-GB"/>
    </w:rPr>
  </w:style>
  <w:style w:type="paragraph" w:customStyle="1" w:styleId="HeadingDocType24a">
    <w:name w:val="HeadingDocType24a"/>
    <w:basedOn w:val="Normal"/>
    <w:rsid w:val="007F47F7"/>
    <w:pPr>
      <w:spacing w:after="480"/>
      <w:jc w:val="center"/>
    </w:pPr>
    <w:rPr>
      <w:rFonts w:ascii="Arial" w:hAnsi="Arial"/>
      <w:b/>
      <w:sz w:val="48"/>
    </w:rPr>
  </w:style>
  <w:style w:type="paragraph" w:customStyle="1" w:styleId="HeadingReferenceERCO">
    <w:name w:val="HeadingReferenceERCO"/>
    <w:basedOn w:val="Normal"/>
    <w:rsid w:val="007F47F7"/>
    <w:pPr>
      <w:spacing w:before="360" w:after="240"/>
      <w:jc w:val="right"/>
    </w:pPr>
    <w:rPr>
      <w:rFonts w:ascii="Arial" w:hAnsi="Arial"/>
      <w:b/>
    </w:rPr>
  </w:style>
  <w:style w:type="paragraph" w:customStyle="1" w:styleId="NormalCenter">
    <w:name w:val="NormalCenter"/>
    <w:basedOn w:val="Normal"/>
    <w:rsid w:val="007F47F7"/>
    <w:pPr>
      <w:jc w:val="center"/>
    </w:pPr>
  </w:style>
  <w:style w:type="paragraph" w:customStyle="1" w:styleId="Normal24a">
    <w:name w:val="Normal24a"/>
    <w:basedOn w:val="Normal"/>
    <w:rsid w:val="007F47F7"/>
    <w:pPr>
      <w:spacing w:after="480"/>
    </w:pPr>
  </w:style>
  <w:style w:type="paragraph" w:customStyle="1" w:styleId="EPBody">
    <w:name w:val="EPBody"/>
    <w:basedOn w:val="Normal"/>
    <w:rsid w:val="007F47F7"/>
    <w:pPr>
      <w:jc w:val="center"/>
    </w:pPr>
    <w:rPr>
      <w:rFonts w:ascii="Arial" w:hAnsi="Arial" w:cs="Arial"/>
      <w:i/>
      <w:sz w:val="22"/>
      <w:szCs w:val="22"/>
    </w:rPr>
  </w:style>
  <w:style w:type="paragraph" w:customStyle="1" w:styleId="LineSingle">
    <w:name w:val="LineSingle"/>
    <w:basedOn w:val="Normal"/>
    <w:next w:val="Normal"/>
    <w:rsid w:val="007F47F7"/>
    <w:pPr>
      <w:pBdr>
        <w:bottom w:val="single" w:sz="4" w:space="1" w:color="auto"/>
      </w:pBdr>
      <w:spacing w:after="240"/>
    </w:pPr>
  </w:style>
  <w:style w:type="paragraph" w:customStyle="1" w:styleId="HeadingDate">
    <w:name w:val="HeadingDate"/>
    <w:basedOn w:val="Normal"/>
    <w:rsid w:val="007F47F7"/>
    <w:pPr>
      <w:spacing w:before="240" w:after="240"/>
    </w:pPr>
  </w:style>
  <w:style w:type="character" w:styleId="FollowedHyperlink">
    <w:name w:val="FollowedHyperlink"/>
    <w:basedOn w:val="DefaultParagraphFont"/>
    <w:rsid w:val="007F47F7"/>
    <w:rPr>
      <w:color w:val="954F72" w:themeColor="followedHyperlink"/>
      <w:u w:val="single"/>
    </w:rPr>
  </w:style>
  <w:style w:type="character" w:styleId="Strong">
    <w:name w:val="Strong"/>
    <w:basedOn w:val="DefaultParagraphFont"/>
    <w:uiPriority w:val="22"/>
    <w:qFormat/>
    <w:rsid w:val="007F47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809830">
      <w:bodyDiv w:val="1"/>
      <w:marLeft w:val="0"/>
      <w:marRight w:val="0"/>
      <w:marTop w:val="0"/>
      <w:marBottom w:val="0"/>
      <w:divBdr>
        <w:top w:val="none" w:sz="0" w:space="0" w:color="auto"/>
        <w:left w:val="none" w:sz="0" w:space="0" w:color="auto"/>
        <w:bottom w:val="none" w:sz="0" w:space="0" w:color="auto"/>
        <w:right w:val="none" w:sz="0" w:space="0" w:color="auto"/>
      </w:divBdr>
    </w:div>
    <w:div w:id="16788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2575-2FFA-4B77-BC77-A8C3E354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682</Words>
  <Characters>4822</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4</cp:revision>
  <cp:lastPrinted>2004-11-19T15:42:00Z</cp:lastPrinted>
  <dcterms:created xsi:type="dcterms:W3CDTF">2024-11-14T17:23:00Z</dcterms:created>
  <dcterms:modified xsi:type="dcterms:W3CDTF">2025-06-18T14:50:00Z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A9-0426/2023</vt:lpwstr>
  </property>
  <property fmtid="{D5CDD505-2E9C-101B-9397-08002B2CF9AE}" pid="4" name="&lt;Type&gt;">
    <vt:lpwstr>RR</vt:lpwstr>
  </property>
</Properties>
</file>