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5667F6" w14:paraId="793AA614" w14:textId="77777777" w:rsidTr="0010095E">
        <w:trPr>
          <w:trHeight w:hRule="exact" w:val="1418"/>
        </w:trPr>
        <w:tc>
          <w:tcPr>
            <w:tcW w:w="6804" w:type="dxa"/>
            <w:shd w:val="clear" w:color="auto" w:fill="auto"/>
            <w:vAlign w:val="center"/>
          </w:tcPr>
          <w:p w14:paraId="409ED043" w14:textId="77777777" w:rsidR="00751A4A" w:rsidRPr="005667F6" w:rsidRDefault="0031421D" w:rsidP="0010095E">
            <w:pPr>
              <w:pStyle w:val="EPName"/>
            </w:pPr>
            <w:r w:rsidRPr="005667F6">
              <w:t>Parlamento Europeu</w:t>
            </w:r>
          </w:p>
          <w:p w14:paraId="27A869D7" w14:textId="77777777" w:rsidR="00751A4A" w:rsidRPr="005667F6" w:rsidRDefault="00817416" w:rsidP="00756632">
            <w:pPr>
              <w:pStyle w:val="EPTerm"/>
              <w:rPr>
                <w:rStyle w:val="HideTWBExt"/>
                <w:noProof w:val="0"/>
                <w:vanish w:val="0"/>
                <w:color w:val="auto"/>
              </w:rPr>
            </w:pPr>
            <w:r w:rsidRPr="001D30AA">
              <w:t>2019</w:t>
            </w:r>
            <w:r w:rsidRPr="005667F6">
              <w:t>-</w:t>
            </w:r>
            <w:r w:rsidRPr="001D30AA">
              <w:t>2024</w:t>
            </w:r>
          </w:p>
        </w:tc>
        <w:tc>
          <w:tcPr>
            <w:tcW w:w="2268" w:type="dxa"/>
            <w:shd w:val="clear" w:color="auto" w:fill="auto"/>
          </w:tcPr>
          <w:p w14:paraId="02F12C3C" w14:textId="77777777" w:rsidR="00751A4A" w:rsidRPr="005667F6" w:rsidRDefault="00187494" w:rsidP="0010095E">
            <w:pPr>
              <w:pStyle w:val="EPLogo"/>
            </w:pPr>
            <w:r w:rsidRPr="005667F6">
              <w:rPr>
                <w:noProof/>
                <w:lang w:val="en-GB"/>
              </w:rPr>
              <w:drawing>
                <wp:inline distT="0" distB="0" distL="0" distR="0" wp14:anchorId="1245DE02" wp14:editId="1D62AE72">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5A023485" w14:textId="77777777" w:rsidR="00D058B8" w:rsidRPr="005667F6" w:rsidRDefault="00D058B8" w:rsidP="004C5D52">
      <w:pPr>
        <w:pStyle w:val="LineTop"/>
      </w:pPr>
    </w:p>
    <w:p w14:paraId="21A5A869" w14:textId="77777777" w:rsidR="00680577" w:rsidRPr="005667F6" w:rsidRDefault="0031421D" w:rsidP="00680577">
      <w:pPr>
        <w:pStyle w:val="EPBodyTA1"/>
      </w:pPr>
      <w:r w:rsidRPr="005667F6">
        <w:t>TEXTOS APROVADOS</w:t>
      </w:r>
    </w:p>
    <w:p w14:paraId="6B3A92AB" w14:textId="77777777" w:rsidR="00D058B8" w:rsidRPr="005667F6" w:rsidRDefault="00D058B8" w:rsidP="00D058B8">
      <w:pPr>
        <w:pStyle w:val="LineBottom"/>
      </w:pPr>
    </w:p>
    <w:p w14:paraId="411991BF" w14:textId="0E3CA1EC" w:rsidR="0031421D" w:rsidRPr="005667F6" w:rsidRDefault="0031421D" w:rsidP="0031421D">
      <w:pPr>
        <w:pStyle w:val="ATHeading1"/>
      </w:pPr>
      <w:bookmarkStart w:id="0" w:name="TANumber"/>
      <w:r w:rsidRPr="005667F6">
        <w:t>P</w:t>
      </w:r>
      <w:r w:rsidRPr="001D30AA">
        <w:t>9</w:t>
      </w:r>
      <w:r w:rsidRPr="005667F6">
        <w:t>_</w:t>
      </w:r>
      <w:proofErr w:type="gramStart"/>
      <w:r w:rsidRPr="005667F6">
        <w:t>TA(</w:t>
      </w:r>
      <w:proofErr w:type="gramEnd"/>
      <w:r w:rsidRPr="001D30AA">
        <w:t>2024</w:t>
      </w:r>
      <w:r w:rsidRPr="005667F6">
        <w:t>)</w:t>
      </w:r>
      <w:bookmarkEnd w:id="0"/>
      <w:r w:rsidR="0084561A" w:rsidRPr="001D30AA">
        <w:t>0355</w:t>
      </w:r>
    </w:p>
    <w:p w14:paraId="0CF92E52" w14:textId="77777777" w:rsidR="0031421D" w:rsidRPr="005667F6" w:rsidRDefault="0031421D" w:rsidP="0031421D">
      <w:pPr>
        <w:pStyle w:val="ATHeading2"/>
      </w:pPr>
      <w:bookmarkStart w:id="1" w:name="title"/>
      <w:r w:rsidRPr="005667F6">
        <w:t>Regulamento Cibersolidariedade</w:t>
      </w:r>
      <w:bookmarkEnd w:id="1"/>
    </w:p>
    <w:p w14:paraId="4E72C2C6" w14:textId="77777777" w:rsidR="0031421D" w:rsidRPr="005667F6" w:rsidRDefault="0031421D" w:rsidP="0031421D">
      <w:pPr>
        <w:rPr>
          <w:i/>
          <w:vanish/>
        </w:rPr>
      </w:pPr>
      <w:r w:rsidRPr="005667F6">
        <w:rPr>
          <w:i/>
        </w:rPr>
        <w:fldChar w:fldCharType="begin"/>
      </w:r>
      <w:r w:rsidRPr="005667F6">
        <w:rPr>
          <w:i/>
        </w:rPr>
        <w:instrText xml:space="preserve"> TC"(</w:instrText>
      </w:r>
      <w:bookmarkStart w:id="2" w:name="DocNumber"/>
      <w:r w:rsidRPr="005667F6">
        <w:rPr>
          <w:i/>
        </w:rPr>
        <w:instrText>A</w:instrText>
      </w:r>
      <w:r w:rsidRPr="001D30AA">
        <w:rPr>
          <w:i/>
        </w:rPr>
        <w:instrText>9</w:instrText>
      </w:r>
      <w:r w:rsidRPr="005667F6">
        <w:rPr>
          <w:i/>
        </w:rPr>
        <w:instrText>-</w:instrText>
      </w:r>
      <w:r w:rsidRPr="001D30AA">
        <w:rPr>
          <w:i/>
        </w:rPr>
        <w:instrText>0426</w:instrText>
      </w:r>
      <w:r w:rsidRPr="005667F6">
        <w:rPr>
          <w:i/>
        </w:rPr>
        <w:instrText>/</w:instrText>
      </w:r>
      <w:r w:rsidRPr="001D30AA">
        <w:rPr>
          <w:i/>
        </w:rPr>
        <w:instrText>2023</w:instrText>
      </w:r>
      <w:bookmarkEnd w:id="2"/>
      <w:r w:rsidRPr="005667F6">
        <w:rPr>
          <w:i/>
        </w:rPr>
        <w:instrText xml:space="preserve"> - Relatora: Lina </w:instrText>
      </w:r>
      <w:proofErr w:type="spellStart"/>
      <w:r w:rsidRPr="005667F6">
        <w:rPr>
          <w:i/>
        </w:rPr>
        <w:instrText>Gálvez</w:instrText>
      </w:r>
      <w:proofErr w:type="spellEnd"/>
      <w:r w:rsidRPr="005667F6">
        <w:rPr>
          <w:i/>
        </w:rPr>
        <w:instrText xml:space="preserve"> </w:instrText>
      </w:r>
      <w:proofErr w:type="spellStart"/>
      <w:r w:rsidRPr="005667F6">
        <w:rPr>
          <w:i/>
        </w:rPr>
        <w:instrText>Muñoz</w:instrText>
      </w:r>
      <w:proofErr w:type="spellEnd"/>
      <w:r w:rsidRPr="005667F6">
        <w:rPr>
          <w:i/>
        </w:rPr>
        <w:instrText>)"\l</w:instrText>
      </w:r>
      <w:r w:rsidRPr="001D30AA">
        <w:rPr>
          <w:i/>
        </w:rPr>
        <w:instrText>3</w:instrText>
      </w:r>
      <w:r w:rsidRPr="005667F6">
        <w:rPr>
          <w:i/>
        </w:rPr>
        <w:instrText xml:space="preserve"> \n&gt; \* MERGEFORMAT </w:instrText>
      </w:r>
      <w:r w:rsidRPr="005667F6">
        <w:rPr>
          <w:i/>
        </w:rPr>
        <w:fldChar w:fldCharType="end"/>
      </w:r>
    </w:p>
    <w:p w14:paraId="23A70E9B" w14:textId="77777777" w:rsidR="0031421D" w:rsidRPr="005667F6" w:rsidRDefault="0031421D" w:rsidP="0031421D">
      <w:pPr>
        <w:rPr>
          <w:vanish/>
        </w:rPr>
      </w:pPr>
      <w:bookmarkStart w:id="3" w:name="Commission"/>
      <w:r w:rsidRPr="005667F6">
        <w:rPr>
          <w:vanish/>
        </w:rPr>
        <w:t>Comissão da Indústria, da Investigação e da Energia</w:t>
      </w:r>
      <w:bookmarkEnd w:id="3"/>
    </w:p>
    <w:p w14:paraId="5AE820A1" w14:textId="77777777" w:rsidR="0031421D" w:rsidRPr="005667F6" w:rsidRDefault="0031421D" w:rsidP="0031421D">
      <w:pPr>
        <w:rPr>
          <w:vanish/>
        </w:rPr>
      </w:pPr>
      <w:bookmarkStart w:id="4" w:name="PE"/>
      <w:r w:rsidRPr="005667F6">
        <w:rPr>
          <w:vanish/>
        </w:rPr>
        <w:t>PE</w:t>
      </w:r>
      <w:r w:rsidRPr="001D30AA">
        <w:rPr>
          <w:vanish/>
        </w:rPr>
        <w:t>752</w:t>
      </w:r>
      <w:r w:rsidRPr="005667F6">
        <w:rPr>
          <w:vanish/>
        </w:rPr>
        <w:t>.</w:t>
      </w:r>
      <w:r w:rsidRPr="001D30AA">
        <w:rPr>
          <w:vanish/>
        </w:rPr>
        <w:t>795</w:t>
      </w:r>
      <w:bookmarkEnd w:id="4"/>
    </w:p>
    <w:p w14:paraId="1638B5E7" w14:textId="38986FF4" w:rsidR="0031421D" w:rsidRPr="005667F6" w:rsidRDefault="0031421D" w:rsidP="0031421D">
      <w:pPr>
        <w:pStyle w:val="ATHeading3"/>
      </w:pPr>
      <w:bookmarkStart w:id="5" w:name="Sujet"/>
      <w:r w:rsidRPr="005667F6">
        <w:t xml:space="preserve">Resolução legislativa do Parlamento Europeu, de </w:t>
      </w:r>
      <w:r w:rsidR="009E0EF4" w:rsidRPr="001D30AA">
        <w:t>24</w:t>
      </w:r>
      <w:r w:rsidR="009E0EF4" w:rsidRPr="005667F6">
        <w:t xml:space="preserve"> </w:t>
      </w:r>
      <w:r w:rsidRPr="005667F6">
        <w:t xml:space="preserve">de </w:t>
      </w:r>
      <w:r w:rsidR="009E0EF4" w:rsidRPr="005667F6">
        <w:t xml:space="preserve">abril </w:t>
      </w:r>
      <w:r w:rsidRPr="005667F6">
        <w:t xml:space="preserve">de </w:t>
      </w:r>
      <w:r w:rsidRPr="001D30AA">
        <w:t>2024</w:t>
      </w:r>
      <w:r w:rsidRPr="005667F6">
        <w:t>, sobre a proposta de regulamento do Parlamento Europeu e do Conselho que estabelece medidas destinadas a reforçar a solidariedade e as capacidades da União para detetar, preparar e dar resposta a ameaças e incidentes de cibersegurança</w:t>
      </w:r>
      <w:bookmarkEnd w:id="5"/>
      <w:r w:rsidRPr="005667F6">
        <w:t xml:space="preserve"> </w:t>
      </w:r>
      <w:bookmarkStart w:id="6" w:name="References"/>
      <w:r w:rsidRPr="005667F6">
        <w:t>(</w:t>
      </w:r>
      <w:proofErr w:type="gramStart"/>
      <w:r w:rsidRPr="005667F6">
        <w:t>COM(</w:t>
      </w:r>
      <w:proofErr w:type="gramEnd"/>
      <w:r w:rsidRPr="001D30AA">
        <w:t>2023</w:t>
      </w:r>
      <w:r w:rsidRPr="005667F6">
        <w:t>)</w:t>
      </w:r>
      <w:r w:rsidRPr="001D30AA">
        <w:t>0209</w:t>
      </w:r>
      <w:r w:rsidRPr="005667F6">
        <w:t xml:space="preserve"> – C</w:t>
      </w:r>
      <w:r w:rsidRPr="001D30AA">
        <w:t>9</w:t>
      </w:r>
      <w:r w:rsidRPr="005667F6">
        <w:t>-</w:t>
      </w:r>
      <w:r w:rsidRPr="001D30AA">
        <w:t>0136</w:t>
      </w:r>
      <w:r w:rsidRPr="005667F6">
        <w:t>/</w:t>
      </w:r>
      <w:r w:rsidRPr="001D30AA">
        <w:t>2023</w:t>
      </w:r>
      <w:r w:rsidRPr="005667F6">
        <w:t xml:space="preserve"> – </w:t>
      </w:r>
      <w:r w:rsidRPr="001D30AA">
        <w:t>2023</w:t>
      </w:r>
      <w:r w:rsidRPr="005667F6">
        <w:t>/</w:t>
      </w:r>
      <w:r w:rsidRPr="001D30AA">
        <w:t>0109</w:t>
      </w:r>
      <w:r w:rsidRPr="005667F6">
        <w:t>(COD))</w:t>
      </w:r>
      <w:bookmarkEnd w:id="6"/>
    </w:p>
    <w:p w14:paraId="6019F497" w14:textId="77777777" w:rsidR="001C77B5" w:rsidRPr="005667F6" w:rsidRDefault="001C77B5" w:rsidP="001C77B5">
      <w:pPr>
        <w:pStyle w:val="NormalBold"/>
      </w:pPr>
      <w:bookmarkStart w:id="7" w:name="TextBodyBegin"/>
      <w:bookmarkEnd w:id="7"/>
      <w:r w:rsidRPr="005667F6">
        <w:t>(Processo legislativo ordinário: primeira leitura)</w:t>
      </w:r>
    </w:p>
    <w:p w14:paraId="5EC929DB" w14:textId="77777777" w:rsidR="001C77B5" w:rsidRPr="005667F6" w:rsidRDefault="001C77B5" w:rsidP="001C77B5">
      <w:pPr>
        <w:pStyle w:val="EPComma"/>
      </w:pPr>
      <w:r w:rsidRPr="005667F6">
        <w:rPr>
          <w:i/>
        </w:rPr>
        <w:t>O Parlamento Europeu,</w:t>
      </w:r>
    </w:p>
    <w:p w14:paraId="6657B110" w14:textId="06F33B91" w:rsidR="001C77B5" w:rsidRPr="005667F6" w:rsidRDefault="001C77B5" w:rsidP="001C77B5">
      <w:pPr>
        <w:pStyle w:val="NormalHanging12a"/>
      </w:pPr>
      <w:r w:rsidRPr="005667F6">
        <w:t>–</w:t>
      </w:r>
      <w:r w:rsidRPr="005667F6">
        <w:tab/>
        <w:t>Tendo em conta a proposta da Comissão ao Parlamento e ao Conselho (</w:t>
      </w:r>
      <w:proofErr w:type="gramStart"/>
      <w:r w:rsidRPr="005667F6">
        <w:t>COM(</w:t>
      </w:r>
      <w:proofErr w:type="gramEnd"/>
      <w:r w:rsidRPr="001D30AA">
        <w:t>2023</w:t>
      </w:r>
      <w:r w:rsidRPr="005667F6">
        <w:t>)</w:t>
      </w:r>
      <w:r w:rsidRPr="001D30AA">
        <w:t>0209</w:t>
      </w:r>
      <w:r w:rsidRPr="005667F6">
        <w:t>),</w:t>
      </w:r>
    </w:p>
    <w:p w14:paraId="4D30B257" w14:textId="77777777" w:rsidR="001C77B5" w:rsidRPr="005667F6" w:rsidRDefault="001C77B5" w:rsidP="001C77B5">
      <w:pPr>
        <w:pStyle w:val="NormalHanging12a"/>
      </w:pPr>
      <w:r w:rsidRPr="005667F6">
        <w:t>–</w:t>
      </w:r>
      <w:r w:rsidRPr="005667F6">
        <w:tab/>
        <w:t>Tendo em conta o artigo </w:t>
      </w:r>
      <w:r w:rsidRPr="001D30AA">
        <w:t>294</w:t>
      </w:r>
      <w:r w:rsidRPr="005667F6">
        <w:t>.º, n.º </w:t>
      </w:r>
      <w:r w:rsidRPr="001D30AA">
        <w:t>2</w:t>
      </w:r>
      <w:r w:rsidRPr="005667F6">
        <w:t>, o artigo </w:t>
      </w:r>
      <w:r w:rsidRPr="001D30AA">
        <w:t>173</w:t>
      </w:r>
      <w:r w:rsidRPr="005667F6">
        <w:t>.º, n.º </w:t>
      </w:r>
      <w:r w:rsidRPr="001D30AA">
        <w:t>3</w:t>
      </w:r>
      <w:r w:rsidRPr="005667F6">
        <w:t>, e o artigo </w:t>
      </w:r>
      <w:r w:rsidRPr="001D30AA">
        <w:t>322</w:t>
      </w:r>
      <w:r w:rsidRPr="005667F6">
        <w:t>.º, n.º </w:t>
      </w:r>
      <w:r w:rsidRPr="001D30AA">
        <w:t>1</w:t>
      </w:r>
      <w:r w:rsidRPr="005667F6">
        <w:t>, alínea a), do Tratado sobre o Funcionamento da União Europeia, nos termos dos quais a proposta lhe foi apresentada pela Comissão (C</w:t>
      </w:r>
      <w:r w:rsidRPr="001D30AA">
        <w:t>9</w:t>
      </w:r>
      <w:r w:rsidRPr="005667F6">
        <w:noBreakHyphen/>
      </w:r>
      <w:r w:rsidRPr="001D30AA">
        <w:t>0136</w:t>
      </w:r>
      <w:r w:rsidRPr="005667F6">
        <w:t>/</w:t>
      </w:r>
      <w:r w:rsidRPr="001D30AA">
        <w:t>2023</w:t>
      </w:r>
      <w:r w:rsidRPr="005667F6">
        <w:t>),</w:t>
      </w:r>
    </w:p>
    <w:p w14:paraId="6036934A" w14:textId="77777777" w:rsidR="001C77B5" w:rsidRPr="005667F6" w:rsidRDefault="001C77B5" w:rsidP="001C77B5">
      <w:pPr>
        <w:pStyle w:val="NormalHanging12a"/>
      </w:pPr>
      <w:r w:rsidRPr="005667F6">
        <w:t>–</w:t>
      </w:r>
      <w:r w:rsidRPr="005667F6">
        <w:tab/>
        <w:t>Tendo em conta o artigo </w:t>
      </w:r>
      <w:r w:rsidRPr="001D30AA">
        <w:t>294</w:t>
      </w:r>
      <w:r w:rsidRPr="005667F6">
        <w:t>.º, n.º </w:t>
      </w:r>
      <w:r w:rsidRPr="001D30AA">
        <w:t>3</w:t>
      </w:r>
      <w:r w:rsidRPr="005667F6">
        <w:t>, do Tratado sobre o Funcionamento da União Europeia,</w:t>
      </w:r>
    </w:p>
    <w:p w14:paraId="06657813" w14:textId="37855366" w:rsidR="00334E7A" w:rsidRPr="005667F6" w:rsidRDefault="00334E7A" w:rsidP="00334E7A">
      <w:pPr>
        <w:spacing w:after="240"/>
        <w:ind w:left="567" w:hanging="567"/>
      </w:pPr>
      <w:r w:rsidRPr="005667F6">
        <w:t>–</w:t>
      </w:r>
      <w:r w:rsidRPr="005667F6">
        <w:tab/>
        <w:t xml:space="preserve">Tendo em conta o parecer do Tribunal de Contas, de </w:t>
      </w:r>
      <w:r w:rsidRPr="001D30AA">
        <w:t>18</w:t>
      </w:r>
      <w:r w:rsidRPr="005667F6">
        <w:t xml:space="preserve"> de abril de </w:t>
      </w:r>
      <w:r w:rsidRPr="001D30AA">
        <w:t>2023</w:t>
      </w:r>
      <w:r w:rsidRPr="005667F6">
        <w:rPr>
          <w:vertAlign w:val="superscript"/>
        </w:rPr>
        <w:footnoteReference w:id="1"/>
      </w:r>
      <w:r w:rsidRPr="005667F6">
        <w:t>,</w:t>
      </w:r>
    </w:p>
    <w:p w14:paraId="28BD5600" w14:textId="3C40E5B2" w:rsidR="001C77B5" w:rsidRPr="005667F6" w:rsidRDefault="001C77B5" w:rsidP="001C77B5">
      <w:pPr>
        <w:pStyle w:val="NormalHanging12a"/>
      </w:pPr>
      <w:r w:rsidRPr="005667F6">
        <w:t>–</w:t>
      </w:r>
      <w:r w:rsidRPr="005667F6">
        <w:tab/>
        <w:t xml:space="preserve">Tendo em conta o parecer do Comité Económico e Social Europeu, de </w:t>
      </w:r>
      <w:r w:rsidRPr="001D30AA">
        <w:t>13</w:t>
      </w:r>
      <w:r w:rsidRPr="005667F6">
        <w:t xml:space="preserve"> de julho de</w:t>
      </w:r>
      <w:r w:rsidR="009E0EF4" w:rsidRPr="005667F6">
        <w:t> </w:t>
      </w:r>
      <w:r w:rsidRPr="001D30AA">
        <w:t>2023</w:t>
      </w:r>
      <w:r w:rsidRPr="005667F6">
        <w:rPr>
          <w:rStyle w:val="FootnoteReference"/>
        </w:rPr>
        <w:footnoteReference w:id="2"/>
      </w:r>
      <w:r w:rsidRPr="005667F6">
        <w:t>,</w:t>
      </w:r>
    </w:p>
    <w:p w14:paraId="029908DC" w14:textId="380CBAF8" w:rsidR="009E0EF4" w:rsidRPr="005667F6" w:rsidRDefault="009E0EF4" w:rsidP="001C77B5">
      <w:pPr>
        <w:pStyle w:val="NormalHanging12a"/>
      </w:pPr>
      <w:r w:rsidRPr="005667F6">
        <w:t>–</w:t>
      </w:r>
      <w:r w:rsidRPr="005667F6">
        <w:tab/>
        <w:t xml:space="preserve">Tendo em conta o parecer do Comité das Regiões, de </w:t>
      </w:r>
      <w:r w:rsidRPr="001D30AA">
        <w:t>30</w:t>
      </w:r>
      <w:r w:rsidRPr="005667F6">
        <w:t xml:space="preserve"> de novembro de </w:t>
      </w:r>
      <w:r w:rsidRPr="001D30AA">
        <w:t>202</w:t>
      </w:r>
      <w:r w:rsidR="00500C51">
        <w:t>3</w:t>
      </w:r>
      <w:r w:rsidRPr="005667F6">
        <w:rPr>
          <w:rStyle w:val="FootnoteReference"/>
        </w:rPr>
        <w:footnoteReference w:id="3"/>
      </w:r>
      <w:r w:rsidRPr="005667F6">
        <w:t>,</w:t>
      </w:r>
    </w:p>
    <w:p w14:paraId="43F57EA4" w14:textId="63F96533" w:rsidR="009E0EF4" w:rsidRPr="005667F6" w:rsidRDefault="009E0EF4" w:rsidP="001C77B5">
      <w:pPr>
        <w:pStyle w:val="NormalHanging12a"/>
      </w:pPr>
      <w:r w:rsidRPr="005667F6">
        <w:t>–</w:t>
      </w:r>
      <w:r w:rsidRPr="005667F6">
        <w:tab/>
        <w:t xml:space="preserve">Tendo em conta o acordo provisório aprovado pela comissão competente, nos termos do artigo </w:t>
      </w:r>
      <w:r w:rsidRPr="001D30AA">
        <w:t>74</w:t>
      </w:r>
      <w:r w:rsidRPr="005667F6">
        <w:t xml:space="preserve">.º, n.º </w:t>
      </w:r>
      <w:r w:rsidRPr="001D30AA">
        <w:t>4</w:t>
      </w:r>
      <w:r w:rsidRPr="005667F6">
        <w:t xml:space="preserve">, do seu Regimento, e o compromisso assumido pelo representante do Conselho, em carta de </w:t>
      </w:r>
      <w:r w:rsidRPr="001D30AA">
        <w:t>21</w:t>
      </w:r>
      <w:r w:rsidRPr="005667F6">
        <w:t xml:space="preserve"> de março de </w:t>
      </w:r>
      <w:r w:rsidRPr="001D30AA">
        <w:t>2024</w:t>
      </w:r>
      <w:r w:rsidRPr="005667F6">
        <w:t xml:space="preserve">, de </w:t>
      </w:r>
      <w:r w:rsidR="00C92188" w:rsidRPr="005667F6">
        <w:t>aprovar a posição do Parlamento</w:t>
      </w:r>
      <w:r w:rsidRPr="005667F6">
        <w:t xml:space="preserve">, nos termos do artigo </w:t>
      </w:r>
      <w:r w:rsidRPr="001D30AA">
        <w:t>294</w:t>
      </w:r>
      <w:r w:rsidRPr="005667F6">
        <w:t xml:space="preserve">.º, n.º </w:t>
      </w:r>
      <w:r w:rsidRPr="001D30AA">
        <w:t>4</w:t>
      </w:r>
      <w:r w:rsidRPr="005667F6">
        <w:t>, do Tratado sobre o Funcionamento da União Europeia,</w:t>
      </w:r>
    </w:p>
    <w:p w14:paraId="3C08458D" w14:textId="77777777" w:rsidR="001C77B5" w:rsidRPr="005667F6" w:rsidRDefault="001C77B5" w:rsidP="001C77B5">
      <w:pPr>
        <w:pStyle w:val="NormalHanging12a"/>
      </w:pPr>
      <w:r w:rsidRPr="005667F6">
        <w:lastRenderedPageBreak/>
        <w:t>–</w:t>
      </w:r>
      <w:r w:rsidRPr="005667F6">
        <w:tab/>
        <w:t xml:space="preserve">Tendo em conta o artigo </w:t>
      </w:r>
      <w:r w:rsidRPr="001D30AA">
        <w:t>59</w:t>
      </w:r>
      <w:r w:rsidRPr="005667F6">
        <w:t>.º do seu Regimento,</w:t>
      </w:r>
    </w:p>
    <w:p w14:paraId="24611940" w14:textId="77777777" w:rsidR="001C77B5" w:rsidRPr="005667F6" w:rsidRDefault="001C77B5" w:rsidP="001C77B5">
      <w:pPr>
        <w:pStyle w:val="NormalHanging12a"/>
      </w:pPr>
      <w:r w:rsidRPr="005667F6">
        <w:t>–</w:t>
      </w:r>
      <w:r w:rsidRPr="005667F6">
        <w:tab/>
        <w:t xml:space="preserve">Tendo em conta os pareceres da Comissão dos Assuntos Externos e da Comissão dos Transportes e do Turismo, </w:t>
      </w:r>
    </w:p>
    <w:p w14:paraId="3C127CB9" w14:textId="77777777" w:rsidR="001C77B5" w:rsidRPr="005667F6" w:rsidRDefault="001C77B5" w:rsidP="001C77B5">
      <w:pPr>
        <w:pStyle w:val="NormalHanging12a"/>
      </w:pPr>
      <w:r w:rsidRPr="005667F6">
        <w:t>–</w:t>
      </w:r>
      <w:r w:rsidRPr="005667F6">
        <w:tab/>
        <w:t>Tendo em conta o relatório da Comissão da Indústria, da Investigação e da Energia (A</w:t>
      </w:r>
      <w:r w:rsidRPr="001D30AA">
        <w:t>9</w:t>
      </w:r>
      <w:r w:rsidRPr="005667F6">
        <w:noBreakHyphen/>
      </w:r>
      <w:r w:rsidRPr="001D30AA">
        <w:t>0426</w:t>
      </w:r>
      <w:r w:rsidRPr="005667F6">
        <w:t>/</w:t>
      </w:r>
      <w:r w:rsidRPr="001D30AA">
        <w:t>2023</w:t>
      </w:r>
      <w:r w:rsidRPr="005667F6">
        <w:t>),</w:t>
      </w:r>
    </w:p>
    <w:p w14:paraId="2C47A232" w14:textId="77777777" w:rsidR="001C77B5" w:rsidRPr="005667F6" w:rsidRDefault="001C77B5" w:rsidP="001C77B5">
      <w:pPr>
        <w:pStyle w:val="NormalHanging12a"/>
      </w:pPr>
      <w:proofErr w:type="gramStart"/>
      <w:r w:rsidRPr="001D30AA">
        <w:t>1</w:t>
      </w:r>
      <w:r w:rsidRPr="005667F6">
        <w:t>.</w:t>
      </w:r>
      <w:r w:rsidRPr="005667F6">
        <w:tab/>
        <w:t>Aprova</w:t>
      </w:r>
      <w:proofErr w:type="gramEnd"/>
      <w:r w:rsidRPr="005667F6">
        <w:t xml:space="preserve"> a posição em primeira leitura que se segue;</w:t>
      </w:r>
    </w:p>
    <w:p w14:paraId="53261B99" w14:textId="6BBD2E4C" w:rsidR="001C77B5" w:rsidRPr="005667F6" w:rsidRDefault="001C77B5" w:rsidP="001C77B5">
      <w:pPr>
        <w:pStyle w:val="NormalHanging12a"/>
      </w:pPr>
      <w:proofErr w:type="gramStart"/>
      <w:r w:rsidRPr="001D30AA">
        <w:t>2</w:t>
      </w:r>
      <w:r w:rsidRPr="005667F6">
        <w:t>.</w:t>
      </w:r>
      <w:r w:rsidRPr="005667F6">
        <w:tab/>
      </w:r>
      <w:r w:rsidR="00A70A1B" w:rsidRPr="005667F6">
        <w:t>Regista</w:t>
      </w:r>
      <w:proofErr w:type="gramEnd"/>
      <w:r w:rsidR="00A70A1B" w:rsidRPr="005667F6">
        <w:t xml:space="preserve"> a declaração da Comissão anexa à presente resolução, que será publicada na série C do </w:t>
      </w:r>
      <w:r w:rsidR="00A70A1B" w:rsidRPr="005667F6">
        <w:rPr>
          <w:i/>
        </w:rPr>
        <w:t>Jornal Oficial da União Europeia</w:t>
      </w:r>
      <w:r w:rsidRPr="005667F6">
        <w:t>;</w:t>
      </w:r>
    </w:p>
    <w:p w14:paraId="77FDA8B3" w14:textId="77777777" w:rsidR="001C77B5" w:rsidRPr="005667F6" w:rsidRDefault="001C77B5" w:rsidP="001C77B5">
      <w:pPr>
        <w:pStyle w:val="NormalHanging12a"/>
      </w:pPr>
      <w:r w:rsidRPr="001D30AA">
        <w:t>3</w:t>
      </w:r>
      <w:r w:rsidRPr="005667F6">
        <w:t>.</w:t>
      </w:r>
      <w:r w:rsidRPr="005667F6">
        <w:tab/>
        <w:t>Requer à Comissão que lhe submeta de novo a sua proposta, se a substituir, se a alterar substancialmente ou se pretender alterá</w:t>
      </w:r>
      <w:r w:rsidRPr="005667F6">
        <w:noBreakHyphen/>
        <w:t>la substancialmente;</w:t>
      </w:r>
    </w:p>
    <w:p w14:paraId="35AE5125" w14:textId="23652CDC" w:rsidR="009E0EF4" w:rsidRDefault="001C77B5" w:rsidP="001C77B5">
      <w:pPr>
        <w:pStyle w:val="NormalHanging12a"/>
      </w:pPr>
      <w:proofErr w:type="gramStart"/>
      <w:r w:rsidRPr="001D30AA">
        <w:t>4</w:t>
      </w:r>
      <w:r w:rsidRPr="005667F6">
        <w:t>.</w:t>
      </w:r>
      <w:r w:rsidRPr="005667F6">
        <w:tab/>
        <w:t>Encarrega</w:t>
      </w:r>
      <w:proofErr w:type="gramEnd"/>
      <w:r w:rsidRPr="005667F6">
        <w:t xml:space="preserve"> a sua Presidente de transmitir a posição do Parlamento ao Conselho, à Comissão e aos parlamentos nacionais.</w:t>
      </w:r>
    </w:p>
    <w:p w14:paraId="7B76C118" w14:textId="77777777" w:rsidR="007C0A58" w:rsidRPr="005667F6" w:rsidRDefault="007C0A58" w:rsidP="001C77B5">
      <w:pPr>
        <w:pStyle w:val="NormalHanging12a"/>
      </w:pPr>
    </w:p>
    <w:p w14:paraId="7B6BBCEC" w14:textId="77777777" w:rsidR="009E0EF4" w:rsidRPr="005667F6" w:rsidRDefault="009E0EF4" w:rsidP="001C77B5">
      <w:pPr>
        <w:pStyle w:val="NormalHanging12a"/>
        <w:ind w:left="0" w:firstLine="0"/>
        <w:sectPr w:rsidR="009E0EF4" w:rsidRPr="005667F6" w:rsidSect="0033157D">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73F0DE59" w14:textId="2318B92F" w:rsidR="000116AE" w:rsidRPr="005667F6" w:rsidRDefault="000116AE" w:rsidP="000116AE">
      <w:pPr>
        <w:spacing w:after="240"/>
        <w:rPr>
          <w:b/>
        </w:rPr>
      </w:pPr>
      <w:r w:rsidRPr="005667F6">
        <w:rPr>
          <w:b/>
        </w:rPr>
        <w:lastRenderedPageBreak/>
        <w:t>P</w:t>
      </w:r>
      <w:r w:rsidRPr="001D30AA">
        <w:rPr>
          <w:b/>
        </w:rPr>
        <w:t>9</w:t>
      </w:r>
      <w:r w:rsidRPr="005667F6">
        <w:rPr>
          <w:b/>
        </w:rPr>
        <w:t>_TC</w:t>
      </w:r>
      <w:r w:rsidRPr="001D30AA">
        <w:rPr>
          <w:b/>
        </w:rPr>
        <w:t>1</w:t>
      </w:r>
      <w:r w:rsidRPr="005667F6">
        <w:rPr>
          <w:b/>
        </w:rPr>
        <w:t>-</w:t>
      </w:r>
      <w:proofErr w:type="gramStart"/>
      <w:r w:rsidRPr="005667F6">
        <w:rPr>
          <w:b/>
        </w:rPr>
        <w:t>COD(</w:t>
      </w:r>
      <w:proofErr w:type="gramEnd"/>
      <w:r w:rsidRPr="001D30AA">
        <w:rPr>
          <w:b/>
        </w:rPr>
        <w:t>2023</w:t>
      </w:r>
      <w:r w:rsidRPr="005667F6">
        <w:rPr>
          <w:b/>
        </w:rPr>
        <w:t>)</w:t>
      </w:r>
      <w:r w:rsidRPr="001D30AA">
        <w:rPr>
          <w:b/>
        </w:rPr>
        <w:t>0109</w:t>
      </w:r>
    </w:p>
    <w:p w14:paraId="1B09E650" w14:textId="20C22C96" w:rsidR="00AC74CF" w:rsidRPr="007C0A58" w:rsidRDefault="000116AE" w:rsidP="00ED5CAF">
      <w:pPr>
        <w:spacing w:after="240"/>
        <w:rPr>
          <w:b/>
          <w:color w:val="000000"/>
          <w:szCs w:val="24"/>
          <w:lang w:eastAsia="en-US"/>
        </w:rPr>
      </w:pPr>
      <w:r w:rsidRPr="007C0A58">
        <w:rPr>
          <w:b/>
        </w:rPr>
        <w:t xml:space="preserve">Posição do Parlamento Europeu aprovada em primeira leitura em 24 de abril de 2024 tendo em vista a adoção do Regulamento </w:t>
      </w:r>
      <w:r w:rsidR="00E357B1" w:rsidRPr="007C0A58">
        <w:rPr>
          <w:b/>
        </w:rPr>
        <w:t xml:space="preserve">(UE) </w:t>
      </w:r>
      <w:r w:rsidR="007C0A58" w:rsidRPr="007C0A58">
        <w:rPr>
          <w:b/>
        </w:rPr>
        <w:t>2025</w:t>
      </w:r>
      <w:r w:rsidRPr="007C0A58">
        <w:rPr>
          <w:b/>
        </w:rPr>
        <w:t xml:space="preserve">/... do Parlamento Europeu e do Conselho </w:t>
      </w:r>
      <w:r w:rsidR="00CA1AE2" w:rsidRPr="007C0A58">
        <w:rPr>
          <w:b/>
          <w:color w:val="000000"/>
          <w:szCs w:val="24"/>
          <w:lang w:eastAsia="en-US"/>
        </w:rPr>
        <w:t>que cria medidas destinadas a reforçar a solidariedade e as capacidades da União para detetar, preparar e dar resposta a ciberameaças e incidentes de cibersegurança e que altera o Regulamento (UE) 2021/694 (Regulamento de Cibersolidariedade)</w:t>
      </w:r>
    </w:p>
    <w:p w14:paraId="4CD7A9CA" w14:textId="2545C3EF" w:rsidR="007C0A58" w:rsidRPr="007C0A58" w:rsidRDefault="007C0A58" w:rsidP="00ED5CAF">
      <w:pPr>
        <w:spacing w:after="240"/>
        <w:rPr>
          <w:i/>
          <w:color w:val="000000"/>
          <w:szCs w:val="22"/>
          <w:lang w:eastAsia="en-US"/>
        </w:rPr>
      </w:pPr>
      <w:r w:rsidRPr="007C0A58">
        <w:rPr>
          <w:i/>
          <w:color w:val="000000"/>
          <w:szCs w:val="22"/>
          <w:lang w:eastAsia="en-US"/>
        </w:rPr>
        <w:t>(Uma vez que foi alcançado um acordo entre o Parlamento e o Conselho, a posição do Parlamento corresponde ao texto legislat</w:t>
      </w:r>
      <w:r>
        <w:rPr>
          <w:i/>
          <w:color w:val="000000"/>
          <w:szCs w:val="22"/>
          <w:lang w:eastAsia="en-US"/>
        </w:rPr>
        <w:t>ivo final, Regulamento (UE) 2025/38</w:t>
      </w:r>
      <w:r w:rsidRPr="007C0A58">
        <w:rPr>
          <w:i/>
          <w:color w:val="000000"/>
          <w:szCs w:val="22"/>
          <w:lang w:eastAsia="en-US"/>
        </w:rPr>
        <w:t>.)</w:t>
      </w:r>
    </w:p>
    <w:p w14:paraId="05DC8016" w14:textId="77777777" w:rsidR="007C0A58" w:rsidRDefault="007C0A58">
      <w:pPr>
        <w:widowControl/>
        <w:rPr>
          <w:color w:val="000000"/>
        </w:rPr>
      </w:pPr>
      <w:r>
        <w:rPr>
          <w:color w:val="000000"/>
        </w:rPr>
        <w:br w:type="page"/>
      </w:r>
    </w:p>
    <w:p w14:paraId="6FEF851C" w14:textId="08998DAB" w:rsidR="00CA1AE2" w:rsidRPr="005667F6" w:rsidRDefault="00CA1AE2" w:rsidP="00CA1AE2">
      <w:pPr>
        <w:spacing w:before="120" w:after="240" w:line="360" w:lineRule="auto"/>
        <w:jc w:val="right"/>
      </w:pPr>
      <w:r w:rsidRPr="005667F6">
        <w:lastRenderedPageBreak/>
        <w:t>ANEXO DA RESOLUÇÃO LEGISLATIVA</w:t>
      </w:r>
    </w:p>
    <w:p w14:paraId="70FB4C23" w14:textId="179F5E2A" w:rsidR="00CA1AE2" w:rsidRPr="005667F6" w:rsidRDefault="00CA1AE2" w:rsidP="009B62A5">
      <w:pPr>
        <w:kinsoku w:val="0"/>
        <w:overflowPunct w:val="0"/>
        <w:autoSpaceDE w:val="0"/>
        <w:autoSpaceDN w:val="0"/>
        <w:adjustRightInd w:val="0"/>
        <w:spacing w:before="79" w:after="240" w:line="360" w:lineRule="auto"/>
        <w:ind w:left="116" w:right="111"/>
        <w:jc w:val="center"/>
        <w:rPr>
          <w:b/>
          <w:i/>
          <w:iCs/>
          <w:szCs w:val="24"/>
        </w:rPr>
      </w:pPr>
      <w:r w:rsidRPr="005667F6">
        <w:rPr>
          <w:b/>
          <w:i/>
          <w:iCs/>
          <w:szCs w:val="24"/>
        </w:rPr>
        <w:t xml:space="preserve">Declaração da Comissão sobre o orçamento no que diz respeito ao Regulamento </w:t>
      </w:r>
      <w:r w:rsidR="009B62A5" w:rsidRPr="009B62A5">
        <w:rPr>
          <w:b/>
          <w:i/>
          <w:iCs/>
          <w:szCs w:val="24"/>
        </w:rPr>
        <w:t xml:space="preserve">(UE) 2025/38 </w:t>
      </w:r>
      <w:r w:rsidRPr="005667F6">
        <w:rPr>
          <w:b/>
          <w:i/>
          <w:iCs/>
          <w:szCs w:val="24"/>
        </w:rPr>
        <w:t>do Parlamento Europeu e do Conselho</w:t>
      </w:r>
      <w:r w:rsidR="009B62A5" w:rsidRPr="009B62A5">
        <w:rPr>
          <w:b/>
          <w:i/>
          <w:iCs/>
          <w:szCs w:val="24"/>
        </w:rPr>
        <w:t>, de 19 de dezembro de 2024,</w:t>
      </w:r>
      <w:r w:rsidRPr="005667F6">
        <w:rPr>
          <w:b/>
          <w:i/>
          <w:iCs/>
          <w:szCs w:val="24"/>
        </w:rPr>
        <w:t xml:space="preserve"> que estabelece medidas destinadas a reforçar a solidariedade e as capacidades da União para detetar, preparar e dar resposta a ameaças e incidentes de</w:t>
      </w:r>
      <w:r w:rsidR="00C10634">
        <w:rPr>
          <w:b/>
          <w:i/>
          <w:iCs/>
          <w:szCs w:val="24"/>
        </w:rPr>
        <w:t xml:space="preserve"> cibersegurança</w:t>
      </w:r>
      <w:r w:rsidR="009B62A5">
        <w:rPr>
          <w:b/>
          <w:i/>
          <w:iCs/>
          <w:szCs w:val="24"/>
        </w:rPr>
        <w:t xml:space="preserve"> </w:t>
      </w:r>
      <w:r w:rsidRPr="005667F6">
        <w:rPr>
          <w:b/>
          <w:i/>
          <w:iCs/>
          <w:szCs w:val="24"/>
        </w:rPr>
        <w:t>(Regulamento Cibersolidariedade)</w:t>
      </w:r>
      <w:r w:rsidR="009B62A5">
        <w:rPr>
          <w:rStyle w:val="FootnoteReference"/>
          <w:b/>
          <w:i/>
          <w:iCs/>
          <w:szCs w:val="24"/>
        </w:rPr>
        <w:footnoteReference w:id="4"/>
      </w:r>
    </w:p>
    <w:p w14:paraId="73A4CB8E" w14:textId="77777777" w:rsidR="00CA1AE2" w:rsidRPr="005667F6" w:rsidRDefault="00CA1AE2" w:rsidP="00C94227">
      <w:pPr>
        <w:kinsoku w:val="0"/>
        <w:overflowPunct w:val="0"/>
        <w:autoSpaceDE w:val="0"/>
        <w:autoSpaceDN w:val="0"/>
        <w:adjustRightInd w:val="0"/>
        <w:spacing w:line="360" w:lineRule="auto"/>
        <w:ind w:left="851" w:right="110" w:hanging="851"/>
        <w:rPr>
          <w:iCs/>
          <w:szCs w:val="24"/>
        </w:rPr>
      </w:pPr>
      <w:r w:rsidRPr="001D30AA">
        <w:rPr>
          <w:w w:val="99"/>
          <w:szCs w:val="24"/>
        </w:rPr>
        <w:t>1</w:t>
      </w:r>
      <w:r w:rsidRPr="005667F6">
        <w:rPr>
          <w:w w:val="99"/>
          <w:szCs w:val="24"/>
        </w:rPr>
        <w:t>.</w:t>
      </w:r>
      <w:r w:rsidRPr="005667F6">
        <w:rPr>
          <w:w w:val="99"/>
          <w:szCs w:val="24"/>
        </w:rPr>
        <w:tab/>
      </w:r>
      <w:r w:rsidRPr="005667F6">
        <w:rPr>
          <w:szCs w:val="24"/>
        </w:rPr>
        <w:t xml:space="preserve">A ficha financeira legislativa da Comissão que acompanha a proposta de regulamento relativo à cibersolidariedade foi publicada em abril de </w:t>
      </w:r>
      <w:r w:rsidRPr="001D30AA">
        <w:rPr>
          <w:szCs w:val="24"/>
        </w:rPr>
        <w:t>2023</w:t>
      </w:r>
      <w:r w:rsidRPr="005667F6">
        <w:rPr>
          <w:szCs w:val="24"/>
        </w:rPr>
        <w:t>. Desde então, os valores estimados pertinentes sofreram alterações devido à adoção ou à adoção prevista de outros atos legislativos.</w:t>
      </w:r>
    </w:p>
    <w:p w14:paraId="1421F5B5" w14:textId="77777777" w:rsidR="00CA1AE2" w:rsidRPr="005667F6" w:rsidRDefault="00CA1AE2" w:rsidP="00C94227">
      <w:pPr>
        <w:kinsoku w:val="0"/>
        <w:overflowPunct w:val="0"/>
        <w:autoSpaceDE w:val="0"/>
        <w:autoSpaceDN w:val="0"/>
        <w:adjustRightInd w:val="0"/>
        <w:spacing w:line="360" w:lineRule="auto"/>
        <w:ind w:left="851" w:right="111" w:hanging="851"/>
        <w:rPr>
          <w:iCs/>
          <w:szCs w:val="24"/>
        </w:rPr>
      </w:pPr>
      <w:r w:rsidRPr="001D30AA">
        <w:rPr>
          <w:w w:val="99"/>
          <w:szCs w:val="24"/>
        </w:rPr>
        <w:t>2</w:t>
      </w:r>
      <w:r w:rsidRPr="005667F6">
        <w:rPr>
          <w:w w:val="99"/>
          <w:szCs w:val="24"/>
        </w:rPr>
        <w:t>.</w:t>
      </w:r>
      <w:r w:rsidRPr="005667F6">
        <w:rPr>
          <w:w w:val="99"/>
          <w:szCs w:val="24"/>
        </w:rPr>
        <w:tab/>
      </w:r>
      <w:r w:rsidRPr="005667F6">
        <w:rPr>
          <w:szCs w:val="24"/>
        </w:rPr>
        <w:t xml:space="preserve">Em </w:t>
      </w:r>
      <w:r w:rsidRPr="001D30AA">
        <w:rPr>
          <w:szCs w:val="24"/>
        </w:rPr>
        <w:t>5</w:t>
      </w:r>
      <w:r w:rsidRPr="005667F6">
        <w:rPr>
          <w:szCs w:val="24"/>
        </w:rPr>
        <w:t xml:space="preserve"> de março de </w:t>
      </w:r>
      <w:r w:rsidRPr="001D30AA">
        <w:rPr>
          <w:szCs w:val="24"/>
        </w:rPr>
        <w:t>2024</w:t>
      </w:r>
      <w:r w:rsidRPr="005667F6">
        <w:rPr>
          <w:szCs w:val="24"/>
        </w:rPr>
        <w:t xml:space="preserve">, os colegisladores chegaram a um acordo político preliminar que prevê limitar a </w:t>
      </w:r>
      <w:r w:rsidRPr="001D30AA">
        <w:rPr>
          <w:szCs w:val="24"/>
        </w:rPr>
        <w:t>22</w:t>
      </w:r>
      <w:r w:rsidRPr="005667F6">
        <w:rPr>
          <w:szCs w:val="24"/>
        </w:rPr>
        <w:t> milhões de EUR o montante da reafetação do objetivo específico n.º </w:t>
      </w:r>
      <w:r w:rsidRPr="001D30AA">
        <w:rPr>
          <w:szCs w:val="24"/>
        </w:rPr>
        <w:t>4</w:t>
      </w:r>
      <w:r w:rsidRPr="005667F6">
        <w:rPr>
          <w:szCs w:val="24"/>
        </w:rPr>
        <w:t>, «Competências digitais avançadas», para o objetivo específico n.º </w:t>
      </w:r>
      <w:r w:rsidRPr="001D30AA">
        <w:rPr>
          <w:szCs w:val="24"/>
        </w:rPr>
        <w:t>3</w:t>
      </w:r>
      <w:r w:rsidRPr="005667F6">
        <w:rPr>
          <w:szCs w:val="24"/>
        </w:rPr>
        <w:t>, «Cibersegurança e confiança», do Programa Europa Digital, conforme prevê a ficha financeira legislativa.</w:t>
      </w:r>
    </w:p>
    <w:p w14:paraId="75DBE29D" w14:textId="77777777" w:rsidR="00CA1AE2" w:rsidRPr="005667F6" w:rsidRDefault="00CA1AE2" w:rsidP="00C94227">
      <w:pPr>
        <w:kinsoku w:val="0"/>
        <w:overflowPunct w:val="0"/>
        <w:autoSpaceDE w:val="0"/>
        <w:autoSpaceDN w:val="0"/>
        <w:adjustRightInd w:val="0"/>
        <w:spacing w:before="1" w:line="360" w:lineRule="auto"/>
        <w:ind w:left="851" w:right="102" w:hanging="851"/>
        <w:rPr>
          <w:iCs/>
          <w:szCs w:val="24"/>
        </w:rPr>
      </w:pPr>
      <w:r w:rsidRPr="001D30AA">
        <w:rPr>
          <w:w w:val="99"/>
          <w:szCs w:val="24"/>
        </w:rPr>
        <w:t>3</w:t>
      </w:r>
      <w:r w:rsidRPr="005667F6">
        <w:rPr>
          <w:w w:val="99"/>
          <w:szCs w:val="24"/>
        </w:rPr>
        <w:t>.</w:t>
      </w:r>
      <w:r w:rsidRPr="005667F6">
        <w:rPr>
          <w:w w:val="99"/>
          <w:szCs w:val="24"/>
        </w:rPr>
        <w:tab/>
      </w:r>
      <w:r w:rsidRPr="005667F6">
        <w:rPr>
          <w:szCs w:val="24"/>
        </w:rPr>
        <w:t xml:space="preserve">A fim de refletir os termos do acordo político preliminar, a Comissão atualizou a ficha financeira legislativa do Regulamento Cibersolidariedade no que diz respeito às dotações financeiras para os objetivos específicos n.º </w:t>
      </w:r>
      <w:r w:rsidRPr="001D30AA">
        <w:rPr>
          <w:szCs w:val="24"/>
        </w:rPr>
        <w:t>2</w:t>
      </w:r>
      <w:r w:rsidRPr="005667F6">
        <w:rPr>
          <w:szCs w:val="24"/>
        </w:rPr>
        <w:t xml:space="preserve">, «Inteligência artificial», n.º </w:t>
      </w:r>
      <w:r w:rsidRPr="001D30AA">
        <w:rPr>
          <w:szCs w:val="24"/>
        </w:rPr>
        <w:t>3</w:t>
      </w:r>
      <w:r w:rsidRPr="005667F6">
        <w:rPr>
          <w:szCs w:val="24"/>
        </w:rPr>
        <w:t xml:space="preserve">, «Cibersegurança e confiança», e n.º </w:t>
      </w:r>
      <w:r w:rsidRPr="001D30AA">
        <w:rPr>
          <w:szCs w:val="24"/>
        </w:rPr>
        <w:t>4</w:t>
      </w:r>
      <w:r w:rsidRPr="005667F6">
        <w:rPr>
          <w:szCs w:val="24"/>
        </w:rPr>
        <w:t>, «Competências digitais avançadas», tendo em conta as reafetações acordadas pelos colegisladores.</w:t>
      </w:r>
    </w:p>
    <w:p w14:paraId="0F919447" w14:textId="77777777" w:rsidR="00CA1AE2" w:rsidRPr="005667F6" w:rsidRDefault="00CA1AE2" w:rsidP="00C94227">
      <w:pPr>
        <w:kinsoku w:val="0"/>
        <w:overflowPunct w:val="0"/>
        <w:autoSpaceDE w:val="0"/>
        <w:autoSpaceDN w:val="0"/>
        <w:adjustRightInd w:val="0"/>
        <w:spacing w:line="360" w:lineRule="auto"/>
        <w:ind w:left="851" w:right="110" w:hanging="851"/>
        <w:rPr>
          <w:iCs/>
          <w:szCs w:val="24"/>
        </w:rPr>
      </w:pPr>
      <w:proofErr w:type="gramStart"/>
      <w:r w:rsidRPr="001D30AA">
        <w:rPr>
          <w:w w:val="99"/>
          <w:szCs w:val="24"/>
        </w:rPr>
        <w:t>4</w:t>
      </w:r>
      <w:r w:rsidRPr="005667F6">
        <w:rPr>
          <w:w w:val="99"/>
          <w:szCs w:val="24"/>
        </w:rPr>
        <w:t>.</w:t>
      </w:r>
      <w:r w:rsidRPr="005667F6">
        <w:rPr>
          <w:w w:val="99"/>
          <w:szCs w:val="24"/>
        </w:rPr>
        <w:tab/>
      </w:r>
      <w:r w:rsidRPr="005667F6">
        <w:rPr>
          <w:szCs w:val="24"/>
        </w:rPr>
        <w:t>Assim</w:t>
      </w:r>
      <w:proofErr w:type="gramEnd"/>
      <w:r w:rsidRPr="005667F6">
        <w:rPr>
          <w:szCs w:val="24"/>
        </w:rPr>
        <w:t xml:space="preserve">, sem prejuízo das competências da Comissão no âmbito do processo orçamental anual, as dotações financeiras para o período de </w:t>
      </w:r>
      <w:r w:rsidRPr="001D30AA">
        <w:rPr>
          <w:szCs w:val="24"/>
        </w:rPr>
        <w:t>2025</w:t>
      </w:r>
      <w:r w:rsidRPr="005667F6">
        <w:rPr>
          <w:szCs w:val="24"/>
        </w:rPr>
        <w:t>-</w:t>
      </w:r>
      <w:r w:rsidRPr="001D30AA">
        <w:rPr>
          <w:szCs w:val="24"/>
        </w:rPr>
        <w:t>2027</w:t>
      </w:r>
      <w:r w:rsidRPr="005667F6">
        <w:rPr>
          <w:szCs w:val="24"/>
        </w:rPr>
        <w:t xml:space="preserve"> apresentadas na ficha financeira legislativa atualizada são as seguintes:</w:t>
      </w:r>
    </w:p>
    <w:p w14:paraId="5EF2295B" w14:textId="77777777" w:rsidR="00CA1AE2" w:rsidRPr="005667F6" w:rsidRDefault="00CA1AE2" w:rsidP="00CA1AE2">
      <w:pPr>
        <w:kinsoku w:val="0"/>
        <w:overflowPunct w:val="0"/>
        <w:autoSpaceDE w:val="0"/>
        <w:autoSpaceDN w:val="0"/>
        <w:adjustRightInd w:val="0"/>
        <w:spacing w:line="360" w:lineRule="auto"/>
        <w:ind w:left="1418" w:right="111" w:hanging="567"/>
        <w:rPr>
          <w:iCs/>
          <w:szCs w:val="24"/>
        </w:rPr>
      </w:pPr>
      <w:r w:rsidRPr="005667F6">
        <w:rPr>
          <w:iCs/>
          <w:szCs w:val="24"/>
        </w:rPr>
        <w:t>–</w:t>
      </w:r>
      <w:r w:rsidRPr="005667F6">
        <w:rPr>
          <w:iCs/>
          <w:szCs w:val="24"/>
        </w:rPr>
        <w:tab/>
      </w:r>
      <w:r w:rsidRPr="005667F6">
        <w:rPr>
          <w:szCs w:val="24"/>
        </w:rPr>
        <w:t>[</w:t>
      </w:r>
      <w:r w:rsidRPr="001D30AA">
        <w:rPr>
          <w:szCs w:val="24"/>
        </w:rPr>
        <w:t>544</w:t>
      </w:r>
      <w:r w:rsidRPr="005667F6">
        <w:rPr>
          <w:szCs w:val="24"/>
        </w:rPr>
        <w:t> </w:t>
      </w:r>
      <w:r w:rsidRPr="001D30AA">
        <w:rPr>
          <w:szCs w:val="24"/>
        </w:rPr>
        <w:t>726</w:t>
      </w:r>
      <w:r w:rsidRPr="005667F6">
        <w:rPr>
          <w:szCs w:val="24"/>
        </w:rPr>
        <w:t> </w:t>
      </w:r>
      <w:r w:rsidRPr="001D30AA">
        <w:rPr>
          <w:szCs w:val="24"/>
        </w:rPr>
        <w:t>000</w:t>
      </w:r>
      <w:r w:rsidRPr="005667F6">
        <w:rPr>
          <w:szCs w:val="24"/>
        </w:rPr>
        <w:t> EUR] para o objetivo específico n.º </w:t>
      </w:r>
      <w:r w:rsidRPr="001D30AA">
        <w:rPr>
          <w:szCs w:val="24"/>
        </w:rPr>
        <w:t>2</w:t>
      </w:r>
      <w:r w:rsidRPr="005667F6">
        <w:rPr>
          <w:szCs w:val="24"/>
        </w:rPr>
        <w:t xml:space="preserve">, «Inteligência artificial», tendo em conta a reafetação de </w:t>
      </w:r>
      <w:r w:rsidRPr="001D30AA">
        <w:rPr>
          <w:szCs w:val="24"/>
        </w:rPr>
        <w:t>65</w:t>
      </w:r>
      <w:r w:rsidRPr="005667F6">
        <w:rPr>
          <w:szCs w:val="24"/>
        </w:rPr>
        <w:t> milhões de EUR ao objetivo específico n.º </w:t>
      </w:r>
      <w:r w:rsidRPr="001D30AA">
        <w:rPr>
          <w:szCs w:val="24"/>
        </w:rPr>
        <w:t>3</w:t>
      </w:r>
      <w:r w:rsidRPr="005667F6">
        <w:rPr>
          <w:szCs w:val="24"/>
        </w:rPr>
        <w:t>, «Cibersegurança e confiança»;</w:t>
      </w:r>
    </w:p>
    <w:p w14:paraId="0B295F6E" w14:textId="77777777" w:rsidR="00CA1AE2" w:rsidRPr="005667F6" w:rsidRDefault="00CA1AE2" w:rsidP="00CA1AE2">
      <w:pPr>
        <w:kinsoku w:val="0"/>
        <w:overflowPunct w:val="0"/>
        <w:autoSpaceDE w:val="0"/>
        <w:autoSpaceDN w:val="0"/>
        <w:adjustRightInd w:val="0"/>
        <w:spacing w:before="1" w:line="360" w:lineRule="auto"/>
        <w:ind w:left="1418" w:right="110" w:hanging="567"/>
        <w:rPr>
          <w:iCs/>
          <w:szCs w:val="24"/>
        </w:rPr>
      </w:pPr>
      <w:r w:rsidRPr="005667F6">
        <w:rPr>
          <w:iCs/>
          <w:szCs w:val="24"/>
        </w:rPr>
        <w:t>–</w:t>
      </w:r>
      <w:r w:rsidRPr="005667F6">
        <w:rPr>
          <w:iCs/>
          <w:szCs w:val="24"/>
        </w:rPr>
        <w:tab/>
      </w:r>
      <w:r w:rsidRPr="005667F6">
        <w:rPr>
          <w:szCs w:val="24"/>
        </w:rPr>
        <w:t>[</w:t>
      </w:r>
      <w:r w:rsidRPr="001D30AA">
        <w:rPr>
          <w:szCs w:val="24"/>
        </w:rPr>
        <w:t>44</w:t>
      </w:r>
      <w:r w:rsidRPr="005667F6">
        <w:rPr>
          <w:szCs w:val="24"/>
        </w:rPr>
        <w:t> </w:t>
      </w:r>
      <w:r w:rsidRPr="001D30AA">
        <w:rPr>
          <w:szCs w:val="24"/>
        </w:rPr>
        <w:t>451</w:t>
      </w:r>
      <w:r w:rsidRPr="005667F6">
        <w:rPr>
          <w:szCs w:val="24"/>
        </w:rPr>
        <w:t> </w:t>
      </w:r>
      <w:r w:rsidRPr="001D30AA">
        <w:rPr>
          <w:szCs w:val="24"/>
        </w:rPr>
        <w:t>000</w:t>
      </w:r>
      <w:r w:rsidRPr="005667F6">
        <w:rPr>
          <w:szCs w:val="24"/>
        </w:rPr>
        <w:t> EUR] para o objetivo específico n.º </w:t>
      </w:r>
      <w:r w:rsidRPr="001D30AA">
        <w:rPr>
          <w:szCs w:val="24"/>
        </w:rPr>
        <w:t>3</w:t>
      </w:r>
      <w:r w:rsidRPr="005667F6">
        <w:rPr>
          <w:szCs w:val="24"/>
        </w:rPr>
        <w:t xml:space="preserve">, «Cibersegurança e confiança» – parte em regime de gestão direta da Comissão, incluindo </w:t>
      </w:r>
      <w:r w:rsidRPr="001D30AA">
        <w:rPr>
          <w:szCs w:val="24"/>
        </w:rPr>
        <w:t>26</w:t>
      </w:r>
      <w:r w:rsidRPr="005667F6">
        <w:rPr>
          <w:szCs w:val="24"/>
        </w:rPr>
        <w:t xml:space="preserve"> milhões de EUR </w:t>
      </w:r>
      <w:proofErr w:type="spellStart"/>
      <w:r w:rsidRPr="005667F6">
        <w:rPr>
          <w:szCs w:val="24"/>
        </w:rPr>
        <w:t>reafetados</w:t>
      </w:r>
      <w:proofErr w:type="spellEnd"/>
      <w:r w:rsidRPr="005667F6">
        <w:rPr>
          <w:szCs w:val="24"/>
        </w:rPr>
        <w:t xml:space="preserve"> a partir dos objetivos específicos </w:t>
      </w:r>
      <w:proofErr w:type="spellStart"/>
      <w:proofErr w:type="gramStart"/>
      <w:r w:rsidRPr="005667F6">
        <w:rPr>
          <w:szCs w:val="24"/>
        </w:rPr>
        <w:t>n.</w:t>
      </w:r>
      <w:r w:rsidRPr="005667F6">
        <w:rPr>
          <w:szCs w:val="24"/>
          <w:vertAlign w:val="superscript"/>
        </w:rPr>
        <w:t>os</w:t>
      </w:r>
      <w:proofErr w:type="spellEnd"/>
      <w:proofErr w:type="gramEnd"/>
      <w:r w:rsidRPr="005667F6">
        <w:rPr>
          <w:szCs w:val="24"/>
        </w:rPr>
        <w:t xml:space="preserve"> </w:t>
      </w:r>
      <w:r w:rsidRPr="001D30AA">
        <w:rPr>
          <w:szCs w:val="24"/>
        </w:rPr>
        <w:t>2</w:t>
      </w:r>
      <w:r w:rsidRPr="005667F6">
        <w:rPr>
          <w:szCs w:val="24"/>
        </w:rPr>
        <w:t xml:space="preserve"> e </w:t>
      </w:r>
      <w:r w:rsidRPr="001D30AA">
        <w:rPr>
          <w:szCs w:val="24"/>
        </w:rPr>
        <w:t>4</w:t>
      </w:r>
      <w:r w:rsidRPr="005667F6">
        <w:rPr>
          <w:szCs w:val="24"/>
        </w:rPr>
        <w:t>.</w:t>
      </w:r>
    </w:p>
    <w:p w14:paraId="4D3EAA7E" w14:textId="77777777" w:rsidR="00CA1AE2" w:rsidRPr="005667F6" w:rsidRDefault="00CA1AE2" w:rsidP="00CA1AE2">
      <w:pPr>
        <w:kinsoku w:val="0"/>
        <w:overflowPunct w:val="0"/>
        <w:autoSpaceDE w:val="0"/>
        <w:autoSpaceDN w:val="0"/>
        <w:adjustRightInd w:val="0"/>
        <w:spacing w:line="360" w:lineRule="auto"/>
        <w:ind w:left="1418" w:right="110" w:hanging="567"/>
        <w:rPr>
          <w:iCs/>
          <w:szCs w:val="24"/>
        </w:rPr>
      </w:pPr>
      <w:r w:rsidRPr="005667F6">
        <w:rPr>
          <w:iCs/>
          <w:szCs w:val="24"/>
        </w:rPr>
        <w:t>–</w:t>
      </w:r>
      <w:r w:rsidRPr="005667F6">
        <w:rPr>
          <w:iCs/>
          <w:szCs w:val="24"/>
        </w:rPr>
        <w:tab/>
      </w:r>
      <w:r w:rsidRPr="005667F6">
        <w:rPr>
          <w:szCs w:val="24"/>
        </w:rPr>
        <w:t>[</w:t>
      </w:r>
      <w:r w:rsidRPr="001D30AA">
        <w:rPr>
          <w:szCs w:val="24"/>
        </w:rPr>
        <w:t>353</w:t>
      </w:r>
      <w:r w:rsidRPr="005667F6">
        <w:rPr>
          <w:szCs w:val="24"/>
        </w:rPr>
        <w:t> </w:t>
      </w:r>
      <w:r w:rsidRPr="001D30AA">
        <w:rPr>
          <w:szCs w:val="24"/>
        </w:rPr>
        <w:t>190</w:t>
      </w:r>
      <w:r w:rsidRPr="005667F6">
        <w:rPr>
          <w:szCs w:val="24"/>
        </w:rPr>
        <w:t> </w:t>
      </w:r>
      <w:r w:rsidRPr="001D30AA">
        <w:rPr>
          <w:szCs w:val="24"/>
        </w:rPr>
        <w:t>613</w:t>
      </w:r>
      <w:r w:rsidRPr="005667F6">
        <w:rPr>
          <w:szCs w:val="24"/>
        </w:rPr>
        <w:t> EUR] para o objetivo específico n.º </w:t>
      </w:r>
      <w:r w:rsidRPr="001D30AA">
        <w:rPr>
          <w:szCs w:val="24"/>
        </w:rPr>
        <w:t>3</w:t>
      </w:r>
      <w:r w:rsidRPr="005667F6">
        <w:rPr>
          <w:szCs w:val="24"/>
        </w:rPr>
        <w:t xml:space="preserve">, «Cibersegurança e confiança» – parte gerida pelo Centro Europeu de Competências em Cibersegurança, incluindo a reafetação de </w:t>
      </w:r>
      <w:r w:rsidRPr="001D30AA">
        <w:rPr>
          <w:szCs w:val="24"/>
        </w:rPr>
        <w:t>61</w:t>
      </w:r>
      <w:r w:rsidRPr="005667F6">
        <w:rPr>
          <w:szCs w:val="24"/>
        </w:rPr>
        <w:t xml:space="preserve"> milhões de EUR a partir dos objetivos específicos </w:t>
      </w:r>
      <w:proofErr w:type="spellStart"/>
      <w:proofErr w:type="gramStart"/>
      <w:r w:rsidRPr="005667F6">
        <w:rPr>
          <w:szCs w:val="24"/>
        </w:rPr>
        <w:t>n.</w:t>
      </w:r>
      <w:r w:rsidRPr="005667F6">
        <w:rPr>
          <w:szCs w:val="24"/>
          <w:vertAlign w:val="superscript"/>
        </w:rPr>
        <w:t>os</w:t>
      </w:r>
      <w:proofErr w:type="spellEnd"/>
      <w:proofErr w:type="gramEnd"/>
      <w:r w:rsidRPr="005667F6">
        <w:rPr>
          <w:szCs w:val="24"/>
        </w:rPr>
        <w:t xml:space="preserve"> </w:t>
      </w:r>
      <w:r w:rsidRPr="001D30AA">
        <w:rPr>
          <w:szCs w:val="24"/>
        </w:rPr>
        <w:t>2</w:t>
      </w:r>
      <w:r w:rsidRPr="005667F6">
        <w:rPr>
          <w:szCs w:val="24"/>
        </w:rPr>
        <w:t xml:space="preserve"> e </w:t>
      </w:r>
      <w:r w:rsidRPr="001D30AA">
        <w:rPr>
          <w:szCs w:val="24"/>
        </w:rPr>
        <w:t>4</w:t>
      </w:r>
      <w:r w:rsidRPr="005667F6">
        <w:rPr>
          <w:szCs w:val="24"/>
        </w:rPr>
        <w:t>.</w:t>
      </w:r>
    </w:p>
    <w:p w14:paraId="781F9211" w14:textId="77777777" w:rsidR="00CA1AE2" w:rsidRPr="005667F6" w:rsidRDefault="00CA1AE2" w:rsidP="00CA1AE2">
      <w:pPr>
        <w:kinsoku w:val="0"/>
        <w:overflowPunct w:val="0"/>
        <w:autoSpaceDE w:val="0"/>
        <w:autoSpaceDN w:val="0"/>
        <w:adjustRightInd w:val="0"/>
        <w:spacing w:line="360" w:lineRule="auto"/>
        <w:ind w:left="1418" w:right="118" w:hanging="567"/>
        <w:rPr>
          <w:iCs/>
          <w:szCs w:val="24"/>
        </w:rPr>
      </w:pPr>
      <w:r w:rsidRPr="005667F6">
        <w:rPr>
          <w:iCs/>
          <w:szCs w:val="24"/>
        </w:rPr>
        <w:t>–</w:t>
      </w:r>
      <w:r w:rsidRPr="005667F6">
        <w:rPr>
          <w:iCs/>
          <w:szCs w:val="24"/>
        </w:rPr>
        <w:tab/>
      </w:r>
      <w:r w:rsidRPr="005667F6">
        <w:rPr>
          <w:szCs w:val="24"/>
        </w:rPr>
        <w:t>[</w:t>
      </w:r>
      <w:r w:rsidRPr="001D30AA">
        <w:rPr>
          <w:szCs w:val="24"/>
        </w:rPr>
        <w:t>167</w:t>
      </w:r>
      <w:r w:rsidRPr="005667F6">
        <w:rPr>
          <w:szCs w:val="24"/>
        </w:rPr>
        <w:t> </w:t>
      </w:r>
      <w:r w:rsidRPr="001D30AA">
        <w:rPr>
          <w:szCs w:val="24"/>
        </w:rPr>
        <w:t>162</w:t>
      </w:r>
      <w:r w:rsidRPr="005667F6">
        <w:rPr>
          <w:szCs w:val="24"/>
        </w:rPr>
        <w:t> </w:t>
      </w:r>
      <w:r w:rsidRPr="001D30AA">
        <w:rPr>
          <w:szCs w:val="24"/>
        </w:rPr>
        <w:t>423</w:t>
      </w:r>
      <w:r w:rsidRPr="005667F6">
        <w:rPr>
          <w:szCs w:val="24"/>
        </w:rPr>
        <w:t> EUR] para o objetivo específico n.º </w:t>
      </w:r>
      <w:r w:rsidRPr="001D30AA">
        <w:rPr>
          <w:szCs w:val="24"/>
        </w:rPr>
        <w:t>4</w:t>
      </w:r>
      <w:r w:rsidRPr="005667F6">
        <w:rPr>
          <w:szCs w:val="24"/>
        </w:rPr>
        <w:t xml:space="preserve">, «Competências digitais avançadas», tendo em conta a reafetação de </w:t>
      </w:r>
      <w:r w:rsidRPr="001D30AA">
        <w:rPr>
          <w:szCs w:val="24"/>
        </w:rPr>
        <w:t>22</w:t>
      </w:r>
      <w:r w:rsidRPr="005667F6">
        <w:rPr>
          <w:szCs w:val="24"/>
        </w:rPr>
        <w:t xml:space="preserve"> milhões de EUR ao objetivo </w:t>
      </w:r>
      <w:r w:rsidRPr="005667F6">
        <w:rPr>
          <w:szCs w:val="24"/>
        </w:rPr>
        <w:lastRenderedPageBreak/>
        <w:t>específico n.º </w:t>
      </w:r>
      <w:r w:rsidRPr="001D30AA">
        <w:rPr>
          <w:szCs w:val="24"/>
        </w:rPr>
        <w:t>3</w:t>
      </w:r>
      <w:r w:rsidRPr="005667F6">
        <w:rPr>
          <w:szCs w:val="24"/>
        </w:rPr>
        <w:t>, «Cibersegurança e confiança».</w:t>
      </w:r>
    </w:p>
    <w:p w14:paraId="26010A6E" w14:textId="65C0DEE2" w:rsidR="00251A3F" w:rsidRPr="00C10634" w:rsidRDefault="00CA1AE2" w:rsidP="00C94227">
      <w:pPr>
        <w:kinsoku w:val="0"/>
        <w:overflowPunct w:val="0"/>
        <w:autoSpaceDE w:val="0"/>
        <w:autoSpaceDN w:val="0"/>
        <w:adjustRightInd w:val="0"/>
        <w:spacing w:before="233" w:line="360" w:lineRule="auto"/>
        <w:ind w:left="851" w:right="113" w:hanging="851"/>
        <w:rPr>
          <w:iCs/>
          <w:szCs w:val="24"/>
        </w:rPr>
      </w:pPr>
      <w:r w:rsidRPr="001D30AA">
        <w:rPr>
          <w:w w:val="99"/>
          <w:szCs w:val="24"/>
        </w:rPr>
        <w:t>5</w:t>
      </w:r>
      <w:r w:rsidRPr="005667F6">
        <w:rPr>
          <w:w w:val="99"/>
          <w:szCs w:val="24"/>
        </w:rPr>
        <w:t>.</w:t>
      </w:r>
      <w:r w:rsidRPr="005667F6">
        <w:rPr>
          <w:w w:val="99"/>
          <w:szCs w:val="24"/>
        </w:rPr>
        <w:tab/>
      </w:r>
      <w:r w:rsidRPr="005667F6">
        <w:rPr>
          <w:szCs w:val="24"/>
        </w:rPr>
        <w:t>A Reserva de Cibersegurança da UE será financiada a partir da dotação financeira do objetivo específico n.º </w:t>
      </w:r>
      <w:r w:rsidRPr="001D30AA">
        <w:rPr>
          <w:szCs w:val="24"/>
        </w:rPr>
        <w:t>3</w:t>
      </w:r>
      <w:r w:rsidRPr="005667F6">
        <w:rPr>
          <w:szCs w:val="24"/>
        </w:rPr>
        <w:t>, «Cibersegurança e confiança» – parte em regime de gestão direta da Comissão (que, de acordo com a ficha financeira legislativa atualizada, é estimada em [</w:t>
      </w:r>
      <w:r w:rsidRPr="001D30AA">
        <w:rPr>
          <w:szCs w:val="24"/>
        </w:rPr>
        <w:t>44</w:t>
      </w:r>
      <w:r w:rsidRPr="005667F6">
        <w:rPr>
          <w:szCs w:val="24"/>
        </w:rPr>
        <w:t> </w:t>
      </w:r>
      <w:r w:rsidRPr="001D30AA">
        <w:rPr>
          <w:szCs w:val="24"/>
        </w:rPr>
        <w:t>451</w:t>
      </w:r>
      <w:r w:rsidRPr="005667F6">
        <w:rPr>
          <w:szCs w:val="24"/>
        </w:rPr>
        <w:t> </w:t>
      </w:r>
      <w:r w:rsidRPr="001D30AA">
        <w:rPr>
          <w:szCs w:val="24"/>
        </w:rPr>
        <w:t>000</w:t>
      </w:r>
      <w:r w:rsidRPr="005667F6">
        <w:rPr>
          <w:szCs w:val="24"/>
        </w:rPr>
        <w:t>] EUR).</w:t>
      </w:r>
    </w:p>
    <w:sectPr w:rsidR="00251A3F" w:rsidRPr="00C10634" w:rsidSect="00251A3F">
      <w:footnotePr>
        <w:numRestart w:val="eachSect"/>
      </w:footnotePr>
      <w:endnotePr>
        <w:numFmt w:val="decimal"/>
      </w:endnotePr>
      <w:pgSz w:w="11909" w:h="16834"/>
      <w:pgMar w:top="1134" w:right="1134" w:bottom="1134" w:left="1134" w:header="1134"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BAF884" w14:textId="77777777" w:rsidR="00943A86" w:rsidRPr="0033157D" w:rsidRDefault="00943A86">
      <w:r w:rsidRPr="0033157D">
        <w:separator/>
      </w:r>
    </w:p>
  </w:endnote>
  <w:endnote w:type="continuationSeparator" w:id="0">
    <w:p w14:paraId="2E6BAB70" w14:textId="77777777" w:rsidR="00943A86" w:rsidRPr="0033157D" w:rsidRDefault="00943A86">
      <w:r w:rsidRPr="0033157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4D2CBF" w14:textId="77777777" w:rsidR="00943A86" w:rsidRPr="0033157D" w:rsidRDefault="00943A86">
      <w:r w:rsidRPr="0033157D">
        <w:separator/>
      </w:r>
    </w:p>
  </w:footnote>
  <w:footnote w:type="continuationSeparator" w:id="0">
    <w:p w14:paraId="69AF0094" w14:textId="77777777" w:rsidR="00943A86" w:rsidRPr="0033157D" w:rsidRDefault="00943A86">
      <w:r w:rsidRPr="0033157D">
        <w:continuationSeparator/>
      </w:r>
    </w:p>
  </w:footnote>
  <w:footnote w:id="1">
    <w:p w14:paraId="7DBC2DF7" w14:textId="46FAD41D" w:rsidR="00943A86" w:rsidRPr="005667F6" w:rsidRDefault="00943A86" w:rsidP="00334E7A">
      <w:pPr>
        <w:pStyle w:val="FootnoteText"/>
        <w:ind w:left="567" w:hanging="567"/>
        <w:rPr>
          <w:sz w:val="24"/>
          <w:szCs w:val="24"/>
          <w:lang w:val="pt-PT"/>
        </w:rPr>
      </w:pPr>
      <w:r w:rsidRPr="00CC091B">
        <w:rPr>
          <w:rStyle w:val="FootnoteReference"/>
          <w:sz w:val="24"/>
          <w:szCs w:val="24"/>
          <w:lang w:val="pt-PT"/>
        </w:rPr>
        <w:footnoteRef/>
      </w:r>
      <w:r w:rsidRPr="005667F6">
        <w:rPr>
          <w:sz w:val="24"/>
          <w:szCs w:val="24"/>
          <w:lang w:val="pt-PT"/>
        </w:rPr>
        <w:t xml:space="preserve"> </w:t>
      </w:r>
      <w:r w:rsidRPr="005667F6">
        <w:rPr>
          <w:sz w:val="24"/>
          <w:szCs w:val="24"/>
          <w:lang w:val="pt-PT"/>
        </w:rPr>
        <w:tab/>
        <w:t>Ainda não publicado</w:t>
      </w:r>
      <w:r w:rsidRPr="00C37811">
        <w:rPr>
          <w:sz w:val="24"/>
          <w:szCs w:val="24"/>
          <w:lang w:val="pt-PT"/>
        </w:rPr>
        <w:t xml:space="preserve"> em</w:t>
      </w:r>
      <w:r w:rsidRPr="005667F6">
        <w:rPr>
          <w:sz w:val="24"/>
          <w:szCs w:val="24"/>
          <w:lang w:val="pt-PT"/>
        </w:rPr>
        <w:t xml:space="preserve"> Jornal Oficial.</w:t>
      </w:r>
    </w:p>
  </w:footnote>
  <w:footnote w:id="2">
    <w:p w14:paraId="46123682" w14:textId="77777777" w:rsidR="00943A86" w:rsidRPr="00251A3F" w:rsidRDefault="00943A86" w:rsidP="0033157D">
      <w:pPr>
        <w:pStyle w:val="FootnoteText"/>
        <w:ind w:left="567" w:hanging="567"/>
        <w:rPr>
          <w:sz w:val="24"/>
          <w:szCs w:val="24"/>
          <w:lang w:val="fi-FI"/>
        </w:rPr>
      </w:pPr>
      <w:r w:rsidRPr="00CC091B">
        <w:rPr>
          <w:rStyle w:val="FootnoteReference"/>
          <w:sz w:val="24"/>
          <w:szCs w:val="24"/>
          <w:lang w:val="pt-PT"/>
        </w:rPr>
        <w:footnoteRef/>
      </w:r>
      <w:r w:rsidRPr="00251A3F">
        <w:rPr>
          <w:sz w:val="24"/>
          <w:szCs w:val="24"/>
          <w:lang w:val="fi-FI"/>
        </w:rPr>
        <w:t xml:space="preserve"> </w:t>
      </w:r>
      <w:r w:rsidRPr="00251A3F">
        <w:rPr>
          <w:sz w:val="24"/>
          <w:szCs w:val="24"/>
          <w:lang w:val="fi-FI"/>
        </w:rPr>
        <w:tab/>
        <w:t>JO C 349 de 29.9.2023, p. 167.</w:t>
      </w:r>
    </w:p>
  </w:footnote>
  <w:footnote w:id="3">
    <w:p w14:paraId="43C1F2FE" w14:textId="64DBA061" w:rsidR="00943A86" w:rsidRPr="00B8667B" w:rsidRDefault="00943A86" w:rsidP="009E0EF4">
      <w:pPr>
        <w:pStyle w:val="FootnoteText"/>
        <w:ind w:left="567" w:hanging="567"/>
        <w:rPr>
          <w:sz w:val="24"/>
          <w:szCs w:val="24"/>
          <w:lang w:val="fi-FI"/>
        </w:rPr>
      </w:pPr>
      <w:r w:rsidRPr="00CC091B">
        <w:rPr>
          <w:rStyle w:val="FootnoteReference"/>
          <w:sz w:val="24"/>
          <w:szCs w:val="24"/>
          <w:lang w:val="pt-PT"/>
        </w:rPr>
        <w:footnoteRef/>
      </w:r>
      <w:r w:rsidRPr="00B8667B">
        <w:rPr>
          <w:sz w:val="24"/>
          <w:szCs w:val="24"/>
          <w:lang w:val="fi-FI"/>
        </w:rPr>
        <w:t xml:space="preserve"> </w:t>
      </w:r>
      <w:r w:rsidRPr="00B8667B">
        <w:rPr>
          <w:sz w:val="24"/>
          <w:szCs w:val="24"/>
          <w:lang w:val="fi-FI"/>
        </w:rPr>
        <w:tab/>
        <w:t>JO </w:t>
      </w:r>
      <w:r w:rsidRPr="00CC091B">
        <w:rPr>
          <w:sz w:val="24"/>
          <w:szCs w:val="24"/>
          <w:lang w:val="fi-FI"/>
        </w:rPr>
        <w:t>C, C/</w:t>
      </w:r>
      <w:r w:rsidRPr="001D30AA">
        <w:rPr>
          <w:sz w:val="24"/>
          <w:szCs w:val="24"/>
          <w:lang w:val="fi-FI"/>
        </w:rPr>
        <w:t>2024</w:t>
      </w:r>
      <w:r w:rsidRPr="00CC091B">
        <w:rPr>
          <w:sz w:val="24"/>
          <w:szCs w:val="24"/>
          <w:lang w:val="fi-FI"/>
        </w:rPr>
        <w:t>/</w:t>
      </w:r>
      <w:r w:rsidRPr="001D30AA">
        <w:rPr>
          <w:sz w:val="24"/>
          <w:szCs w:val="24"/>
          <w:lang w:val="fi-FI"/>
        </w:rPr>
        <w:t>1049</w:t>
      </w:r>
      <w:r w:rsidRPr="00CC091B">
        <w:rPr>
          <w:sz w:val="24"/>
          <w:szCs w:val="24"/>
          <w:lang w:val="fi-FI"/>
        </w:rPr>
        <w:t xml:space="preserve">, </w:t>
      </w:r>
      <w:r w:rsidRPr="001D30AA">
        <w:rPr>
          <w:sz w:val="24"/>
          <w:szCs w:val="24"/>
          <w:lang w:val="fi-FI"/>
        </w:rPr>
        <w:t>9</w:t>
      </w:r>
      <w:r w:rsidRPr="00CC091B">
        <w:rPr>
          <w:sz w:val="24"/>
          <w:szCs w:val="24"/>
          <w:lang w:val="fi-FI"/>
        </w:rPr>
        <w:t>.</w:t>
      </w:r>
      <w:r w:rsidRPr="001D30AA">
        <w:rPr>
          <w:sz w:val="24"/>
          <w:szCs w:val="24"/>
          <w:lang w:val="fi-FI"/>
        </w:rPr>
        <w:t>2</w:t>
      </w:r>
      <w:r w:rsidRPr="00CC091B">
        <w:rPr>
          <w:sz w:val="24"/>
          <w:szCs w:val="24"/>
          <w:lang w:val="fi-FI"/>
        </w:rPr>
        <w:t>.</w:t>
      </w:r>
      <w:r w:rsidRPr="001D30AA">
        <w:rPr>
          <w:sz w:val="24"/>
          <w:szCs w:val="24"/>
          <w:lang w:val="fi-FI"/>
        </w:rPr>
        <w:t>2024</w:t>
      </w:r>
      <w:r w:rsidRPr="00CC091B">
        <w:rPr>
          <w:sz w:val="24"/>
          <w:szCs w:val="24"/>
          <w:lang w:val="fi-FI"/>
        </w:rPr>
        <w:t xml:space="preserve">, ELI: </w:t>
      </w:r>
      <w:hyperlink r:id="rId1" w:history="1">
        <w:r w:rsidRPr="00CA1AE2">
          <w:rPr>
            <w:rStyle w:val="Hyperlink"/>
            <w:sz w:val="24"/>
            <w:szCs w:val="24"/>
            <w:lang w:val="fi-FI"/>
          </w:rPr>
          <w:t>http://data.euro</w:t>
        </w:r>
        <w:bookmarkStart w:id="8" w:name="_GoBack"/>
        <w:bookmarkEnd w:id="8"/>
        <w:r w:rsidRPr="00CA1AE2">
          <w:rPr>
            <w:rStyle w:val="Hyperlink"/>
            <w:sz w:val="24"/>
            <w:szCs w:val="24"/>
            <w:lang w:val="fi-FI"/>
          </w:rPr>
          <w:t>p</w:t>
        </w:r>
        <w:r w:rsidRPr="00CA1AE2">
          <w:rPr>
            <w:rStyle w:val="Hyperlink"/>
            <w:sz w:val="24"/>
            <w:szCs w:val="24"/>
            <w:lang w:val="fi-FI"/>
          </w:rPr>
          <w:t>a.eu/eli/C/2024/1049/oj</w:t>
        </w:r>
      </w:hyperlink>
      <w:r w:rsidRPr="00B8667B">
        <w:rPr>
          <w:sz w:val="24"/>
          <w:szCs w:val="24"/>
          <w:lang w:val="fi-FI"/>
        </w:rPr>
        <w:t>.</w:t>
      </w:r>
    </w:p>
  </w:footnote>
  <w:footnote w:id="4">
    <w:p w14:paraId="57EC384A" w14:textId="370EF7E3" w:rsidR="009B62A5" w:rsidRPr="009B62A5" w:rsidRDefault="009B62A5" w:rsidP="009B62A5">
      <w:pPr>
        <w:pStyle w:val="FootnoteText"/>
        <w:keepLines w:val="0"/>
        <w:spacing w:line="240" w:lineRule="auto"/>
        <w:ind w:left="567" w:hanging="567"/>
        <w:rPr>
          <w:sz w:val="24"/>
          <w:szCs w:val="24"/>
          <w:lang w:val="fi-FI"/>
        </w:rPr>
      </w:pPr>
      <w:r w:rsidRPr="009B62A5">
        <w:rPr>
          <w:rStyle w:val="FootnoteReference"/>
          <w:sz w:val="24"/>
          <w:szCs w:val="24"/>
        </w:rPr>
        <w:footnoteRef/>
      </w:r>
      <w:r w:rsidRPr="009B62A5">
        <w:rPr>
          <w:sz w:val="24"/>
          <w:szCs w:val="24"/>
          <w:lang w:val="fi-FI"/>
        </w:rPr>
        <w:t xml:space="preserve"> </w:t>
      </w:r>
      <w:r w:rsidRPr="009B62A5">
        <w:rPr>
          <w:sz w:val="24"/>
          <w:szCs w:val="24"/>
          <w:lang w:val="fi-FI"/>
        </w:rPr>
        <w:tab/>
        <w:t xml:space="preserve">JO L, 2025/38, 15.1.2025, ELI: </w:t>
      </w:r>
      <w:hyperlink r:id="rId2" w:history="1">
        <w:r w:rsidRPr="009B62A5">
          <w:rPr>
            <w:rStyle w:val="Hyperlink"/>
            <w:sz w:val="24"/>
            <w:szCs w:val="24"/>
            <w:lang w:val="fi-FI"/>
          </w:rPr>
          <w:t>http://data.europa.eu/eli/reg/2025/38/oj</w:t>
        </w:r>
      </w:hyperlink>
      <w:r>
        <w:rPr>
          <w:sz w:val="24"/>
          <w:szCs w:val="24"/>
          <w:lang w:val="fi-FI"/>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076723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5489D9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E1A484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42BEEB9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14C851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62459F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8943E0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75CB7F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044EDC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76AEAF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402"/>
    <w:multiLevelType w:val="multilevel"/>
    <w:tmpl w:val="00000885"/>
    <w:lvl w:ilvl="0">
      <w:start w:val="1"/>
      <w:numFmt w:val="decimal"/>
      <w:lvlText w:val="(%1)"/>
      <w:lvlJc w:val="left"/>
      <w:pPr>
        <w:ind w:left="116" w:hanging="281"/>
      </w:pPr>
      <w:rPr>
        <w:rFonts w:ascii="Times New Roman" w:hAnsi="Times New Roman" w:cs="Times New Roman"/>
        <w:b w:val="0"/>
        <w:bCs w:val="0"/>
        <w:i w:val="0"/>
        <w:iCs w:val="0"/>
        <w:w w:val="99"/>
        <w:sz w:val="22"/>
        <w:szCs w:val="22"/>
      </w:rPr>
    </w:lvl>
    <w:lvl w:ilvl="1">
      <w:numFmt w:val="bullet"/>
      <w:lvlText w:val="•"/>
      <w:lvlJc w:val="left"/>
      <w:pPr>
        <w:ind w:left="1038" w:hanging="281"/>
      </w:pPr>
    </w:lvl>
    <w:lvl w:ilvl="2">
      <w:numFmt w:val="bullet"/>
      <w:lvlText w:val="•"/>
      <w:lvlJc w:val="left"/>
      <w:pPr>
        <w:ind w:left="1957" w:hanging="281"/>
      </w:pPr>
    </w:lvl>
    <w:lvl w:ilvl="3">
      <w:numFmt w:val="bullet"/>
      <w:lvlText w:val="•"/>
      <w:lvlJc w:val="left"/>
      <w:pPr>
        <w:ind w:left="2875" w:hanging="281"/>
      </w:pPr>
    </w:lvl>
    <w:lvl w:ilvl="4">
      <w:numFmt w:val="bullet"/>
      <w:lvlText w:val="•"/>
      <w:lvlJc w:val="left"/>
      <w:pPr>
        <w:ind w:left="3794" w:hanging="281"/>
      </w:pPr>
    </w:lvl>
    <w:lvl w:ilvl="5">
      <w:numFmt w:val="bullet"/>
      <w:lvlText w:val="•"/>
      <w:lvlJc w:val="left"/>
      <w:pPr>
        <w:ind w:left="4713" w:hanging="281"/>
      </w:pPr>
    </w:lvl>
    <w:lvl w:ilvl="6">
      <w:numFmt w:val="bullet"/>
      <w:lvlText w:val="•"/>
      <w:lvlJc w:val="left"/>
      <w:pPr>
        <w:ind w:left="5631" w:hanging="281"/>
      </w:pPr>
    </w:lvl>
    <w:lvl w:ilvl="7">
      <w:numFmt w:val="bullet"/>
      <w:lvlText w:val="•"/>
      <w:lvlJc w:val="left"/>
      <w:pPr>
        <w:ind w:left="6550" w:hanging="281"/>
      </w:pPr>
    </w:lvl>
    <w:lvl w:ilvl="8">
      <w:numFmt w:val="bullet"/>
      <w:lvlText w:val="•"/>
      <w:lvlJc w:val="left"/>
      <w:pPr>
        <w:ind w:left="7469" w:hanging="281"/>
      </w:pPr>
    </w:lvl>
  </w:abstractNum>
  <w:abstractNum w:abstractNumId="11" w15:restartNumberingAfterBreak="0">
    <w:nsid w:val="00000403"/>
    <w:multiLevelType w:val="multilevel"/>
    <w:tmpl w:val="00000886"/>
    <w:lvl w:ilvl="0">
      <w:start w:val="1"/>
      <w:numFmt w:val="decimal"/>
      <w:lvlText w:val="%1."/>
      <w:lvlJc w:val="left"/>
      <w:pPr>
        <w:ind w:left="116" w:hanging="271"/>
      </w:pPr>
      <w:rPr>
        <w:rFonts w:ascii="Times New Roman" w:hAnsi="Times New Roman" w:cs="Times New Roman"/>
        <w:b w:val="0"/>
        <w:bCs w:val="0"/>
        <w:i w:val="0"/>
        <w:iCs w:val="0"/>
        <w:w w:val="100"/>
        <w:sz w:val="24"/>
        <w:szCs w:val="24"/>
      </w:rPr>
    </w:lvl>
    <w:lvl w:ilvl="1">
      <w:numFmt w:val="bullet"/>
      <w:lvlText w:val="•"/>
      <w:lvlJc w:val="left"/>
      <w:pPr>
        <w:ind w:left="1038" w:hanging="271"/>
      </w:pPr>
    </w:lvl>
    <w:lvl w:ilvl="2">
      <w:numFmt w:val="bullet"/>
      <w:lvlText w:val="•"/>
      <w:lvlJc w:val="left"/>
      <w:pPr>
        <w:ind w:left="1957" w:hanging="271"/>
      </w:pPr>
    </w:lvl>
    <w:lvl w:ilvl="3">
      <w:numFmt w:val="bullet"/>
      <w:lvlText w:val="•"/>
      <w:lvlJc w:val="left"/>
      <w:pPr>
        <w:ind w:left="2875" w:hanging="271"/>
      </w:pPr>
    </w:lvl>
    <w:lvl w:ilvl="4">
      <w:numFmt w:val="bullet"/>
      <w:lvlText w:val="•"/>
      <w:lvlJc w:val="left"/>
      <w:pPr>
        <w:ind w:left="3794" w:hanging="271"/>
      </w:pPr>
    </w:lvl>
    <w:lvl w:ilvl="5">
      <w:numFmt w:val="bullet"/>
      <w:lvlText w:val="•"/>
      <w:lvlJc w:val="left"/>
      <w:pPr>
        <w:ind w:left="4713" w:hanging="271"/>
      </w:pPr>
    </w:lvl>
    <w:lvl w:ilvl="6">
      <w:numFmt w:val="bullet"/>
      <w:lvlText w:val="•"/>
      <w:lvlJc w:val="left"/>
      <w:pPr>
        <w:ind w:left="5631" w:hanging="271"/>
      </w:pPr>
    </w:lvl>
    <w:lvl w:ilvl="7">
      <w:numFmt w:val="bullet"/>
      <w:lvlText w:val="•"/>
      <w:lvlJc w:val="left"/>
      <w:pPr>
        <w:ind w:left="6550" w:hanging="271"/>
      </w:pPr>
    </w:lvl>
    <w:lvl w:ilvl="8">
      <w:numFmt w:val="bullet"/>
      <w:lvlText w:val="•"/>
      <w:lvlJc w:val="left"/>
      <w:pPr>
        <w:ind w:left="7469" w:hanging="271"/>
      </w:pPr>
    </w:lvl>
  </w:abstractNum>
  <w:abstractNum w:abstractNumId="12" w15:restartNumberingAfterBreak="0">
    <w:nsid w:val="00000404"/>
    <w:multiLevelType w:val="multilevel"/>
    <w:tmpl w:val="00000887"/>
    <w:lvl w:ilvl="0">
      <w:start w:val="3"/>
      <w:numFmt w:val="decimal"/>
      <w:lvlText w:val="%1"/>
      <w:lvlJc w:val="left"/>
      <w:pPr>
        <w:ind w:left="536" w:hanging="420"/>
      </w:pPr>
    </w:lvl>
    <w:lvl w:ilvl="1">
      <w:start w:val="1"/>
      <w:numFmt w:val="decimal"/>
      <w:lvlText w:val="%1.%2."/>
      <w:lvlJc w:val="left"/>
      <w:pPr>
        <w:ind w:left="536" w:hanging="420"/>
      </w:pPr>
      <w:rPr>
        <w:rFonts w:ascii="Times New Roman" w:hAnsi="Times New Roman" w:cs="Times New Roman"/>
        <w:b w:val="0"/>
        <w:bCs w:val="0"/>
        <w:i w:val="0"/>
        <w:iCs w:val="0"/>
        <w:w w:val="100"/>
        <w:sz w:val="24"/>
        <w:szCs w:val="24"/>
      </w:rPr>
    </w:lvl>
    <w:lvl w:ilvl="2">
      <w:numFmt w:val="bullet"/>
      <w:lvlText w:val="•"/>
      <w:lvlJc w:val="left"/>
      <w:pPr>
        <w:ind w:left="2293" w:hanging="420"/>
      </w:pPr>
    </w:lvl>
    <w:lvl w:ilvl="3">
      <w:numFmt w:val="bullet"/>
      <w:lvlText w:val="•"/>
      <w:lvlJc w:val="left"/>
      <w:pPr>
        <w:ind w:left="3169" w:hanging="420"/>
      </w:pPr>
    </w:lvl>
    <w:lvl w:ilvl="4">
      <w:numFmt w:val="bullet"/>
      <w:lvlText w:val="•"/>
      <w:lvlJc w:val="left"/>
      <w:pPr>
        <w:ind w:left="4046" w:hanging="420"/>
      </w:pPr>
    </w:lvl>
    <w:lvl w:ilvl="5">
      <w:numFmt w:val="bullet"/>
      <w:lvlText w:val="•"/>
      <w:lvlJc w:val="left"/>
      <w:pPr>
        <w:ind w:left="4923" w:hanging="420"/>
      </w:pPr>
    </w:lvl>
    <w:lvl w:ilvl="6">
      <w:numFmt w:val="bullet"/>
      <w:lvlText w:val="•"/>
      <w:lvlJc w:val="left"/>
      <w:pPr>
        <w:ind w:left="5799" w:hanging="420"/>
      </w:pPr>
    </w:lvl>
    <w:lvl w:ilvl="7">
      <w:numFmt w:val="bullet"/>
      <w:lvlText w:val="•"/>
      <w:lvlJc w:val="left"/>
      <w:pPr>
        <w:ind w:left="6676" w:hanging="420"/>
      </w:pPr>
    </w:lvl>
    <w:lvl w:ilvl="8">
      <w:numFmt w:val="bullet"/>
      <w:lvlText w:val="•"/>
      <w:lvlJc w:val="left"/>
      <w:pPr>
        <w:ind w:left="7553" w:hanging="420"/>
      </w:pPr>
    </w:lvl>
  </w:abstractNum>
  <w:abstractNum w:abstractNumId="13"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4"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5" w15:restartNumberingAfterBreak="0">
    <w:nsid w:val="54DE14F1"/>
    <w:multiLevelType w:val="hybridMultilevel"/>
    <w:tmpl w:val="F23A3C6A"/>
    <w:lvl w:ilvl="0" w:tplc="A3DA8D4A">
      <w:start w:val="1"/>
      <w:numFmt w:val="bullet"/>
      <w:lvlText w:val=""/>
      <w:lvlJc w:val="left"/>
      <w:pPr>
        <w:ind w:left="2342" w:hanging="360"/>
      </w:pPr>
      <w:rPr>
        <w:rFonts w:ascii="Symbol" w:eastAsia="Calibri" w:hAnsi="Symbol" w:cs="Times New Roman" w:hint="default"/>
      </w:rPr>
    </w:lvl>
    <w:lvl w:ilvl="1" w:tplc="080C0003" w:tentative="1">
      <w:start w:val="1"/>
      <w:numFmt w:val="bullet"/>
      <w:lvlText w:val="o"/>
      <w:lvlJc w:val="left"/>
      <w:pPr>
        <w:ind w:left="3062" w:hanging="360"/>
      </w:pPr>
      <w:rPr>
        <w:rFonts w:ascii="Courier New" w:hAnsi="Courier New" w:cs="Courier New" w:hint="default"/>
      </w:rPr>
    </w:lvl>
    <w:lvl w:ilvl="2" w:tplc="080C0005" w:tentative="1">
      <w:start w:val="1"/>
      <w:numFmt w:val="bullet"/>
      <w:lvlText w:val=""/>
      <w:lvlJc w:val="left"/>
      <w:pPr>
        <w:ind w:left="3782" w:hanging="360"/>
      </w:pPr>
      <w:rPr>
        <w:rFonts w:ascii="Wingdings" w:hAnsi="Wingdings" w:hint="default"/>
      </w:rPr>
    </w:lvl>
    <w:lvl w:ilvl="3" w:tplc="080C0001" w:tentative="1">
      <w:start w:val="1"/>
      <w:numFmt w:val="bullet"/>
      <w:lvlText w:val=""/>
      <w:lvlJc w:val="left"/>
      <w:pPr>
        <w:ind w:left="4502" w:hanging="360"/>
      </w:pPr>
      <w:rPr>
        <w:rFonts w:ascii="Symbol" w:hAnsi="Symbol" w:hint="default"/>
      </w:rPr>
    </w:lvl>
    <w:lvl w:ilvl="4" w:tplc="080C0003" w:tentative="1">
      <w:start w:val="1"/>
      <w:numFmt w:val="bullet"/>
      <w:lvlText w:val="o"/>
      <w:lvlJc w:val="left"/>
      <w:pPr>
        <w:ind w:left="5222" w:hanging="360"/>
      </w:pPr>
      <w:rPr>
        <w:rFonts w:ascii="Courier New" w:hAnsi="Courier New" w:cs="Courier New" w:hint="default"/>
      </w:rPr>
    </w:lvl>
    <w:lvl w:ilvl="5" w:tplc="080C0005" w:tentative="1">
      <w:start w:val="1"/>
      <w:numFmt w:val="bullet"/>
      <w:lvlText w:val=""/>
      <w:lvlJc w:val="left"/>
      <w:pPr>
        <w:ind w:left="5942" w:hanging="360"/>
      </w:pPr>
      <w:rPr>
        <w:rFonts w:ascii="Wingdings" w:hAnsi="Wingdings" w:hint="default"/>
      </w:rPr>
    </w:lvl>
    <w:lvl w:ilvl="6" w:tplc="080C0001" w:tentative="1">
      <w:start w:val="1"/>
      <w:numFmt w:val="bullet"/>
      <w:lvlText w:val=""/>
      <w:lvlJc w:val="left"/>
      <w:pPr>
        <w:ind w:left="6662" w:hanging="360"/>
      </w:pPr>
      <w:rPr>
        <w:rFonts w:ascii="Symbol" w:hAnsi="Symbol" w:hint="default"/>
      </w:rPr>
    </w:lvl>
    <w:lvl w:ilvl="7" w:tplc="080C0003" w:tentative="1">
      <w:start w:val="1"/>
      <w:numFmt w:val="bullet"/>
      <w:lvlText w:val="o"/>
      <w:lvlJc w:val="left"/>
      <w:pPr>
        <w:ind w:left="7382" w:hanging="360"/>
      </w:pPr>
      <w:rPr>
        <w:rFonts w:ascii="Courier New" w:hAnsi="Courier New" w:cs="Courier New" w:hint="default"/>
      </w:rPr>
    </w:lvl>
    <w:lvl w:ilvl="8" w:tplc="080C0005" w:tentative="1">
      <w:start w:val="1"/>
      <w:numFmt w:val="bullet"/>
      <w:lvlText w:val=""/>
      <w:lvlJc w:val="left"/>
      <w:pPr>
        <w:ind w:left="8102" w:hanging="360"/>
      </w:pPr>
      <w:rPr>
        <w:rFonts w:ascii="Wingdings" w:hAnsi="Wingdings" w:hint="default"/>
      </w:rPr>
    </w:lvl>
  </w:abstractNum>
  <w:num w:numId="1">
    <w:abstractNumId w:val="13"/>
  </w:num>
  <w:num w:numId="2">
    <w:abstractNumId w:val="14"/>
  </w:num>
  <w:num w:numId="3">
    <w:abstractNumId w:val="12"/>
  </w:num>
  <w:num w:numId="4">
    <w:abstractNumId w:val="11"/>
  </w:num>
  <w:num w:numId="5">
    <w:abstractNumId w:val="10"/>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426/2023"/>
    <w:docVar w:name="dvlangue" w:val="PT"/>
    <w:docVar w:name="dvnumam" w:val="0"/>
    <w:docVar w:name="dvpe" w:val="752.795"/>
    <w:docVar w:name="dvrapporteur" w:val="Relatora: "/>
    <w:docVar w:name="dvstar" w:val="***I"/>
    <w:docVar w:name="dvtitre" w:val="Resolução legislativa do Parlamento Europeu, de ... de ... de 2024, sobre a proposta de regulamento do Parlamento Europeu e do Conselho que estabelece medidas destinadas a reforçar a solidariedade e as capacidades da União para detetar, preparar e dar resposta a ameaças e incidentes de cibersegurança(COM(2023)0209 – C9-0136/2023 – 2023/0109(COD))"/>
  </w:docVars>
  <w:rsids>
    <w:rsidRoot w:val="0031421D"/>
    <w:rsid w:val="00002272"/>
    <w:rsid w:val="000116AE"/>
    <w:rsid w:val="00037930"/>
    <w:rsid w:val="00064002"/>
    <w:rsid w:val="000677B9"/>
    <w:rsid w:val="000831BA"/>
    <w:rsid w:val="000A42CC"/>
    <w:rsid w:val="000E7DD9"/>
    <w:rsid w:val="0010095E"/>
    <w:rsid w:val="00125B37"/>
    <w:rsid w:val="001762BC"/>
    <w:rsid w:val="00187494"/>
    <w:rsid w:val="001C77B5"/>
    <w:rsid w:val="001D30AA"/>
    <w:rsid w:val="001F32AE"/>
    <w:rsid w:val="00251A3F"/>
    <w:rsid w:val="002767FF"/>
    <w:rsid w:val="002B18FE"/>
    <w:rsid w:val="002B5493"/>
    <w:rsid w:val="0031421D"/>
    <w:rsid w:val="00323B6F"/>
    <w:rsid w:val="0033157D"/>
    <w:rsid w:val="00334E7A"/>
    <w:rsid w:val="00343214"/>
    <w:rsid w:val="003545D2"/>
    <w:rsid w:val="00361C00"/>
    <w:rsid w:val="00395FA1"/>
    <w:rsid w:val="003E15D4"/>
    <w:rsid w:val="00411CCE"/>
    <w:rsid w:val="0041666E"/>
    <w:rsid w:val="00421060"/>
    <w:rsid w:val="00471C19"/>
    <w:rsid w:val="004814A4"/>
    <w:rsid w:val="004867E3"/>
    <w:rsid w:val="00494A28"/>
    <w:rsid w:val="004C0004"/>
    <w:rsid w:val="004C5D52"/>
    <w:rsid w:val="004E2DBC"/>
    <w:rsid w:val="00500C51"/>
    <w:rsid w:val="0050519A"/>
    <w:rsid w:val="005072A1"/>
    <w:rsid w:val="00514517"/>
    <w:rsid w:val="00545827"/>
    <w:rsid w:val="00560270"/>
    <w:rsid w:val="0056532A"/>
    <w:rsid w:val="005667F6"/>
    <w:rsid w:val="005C2568"/>
    <w:rsid w:val="006037C0"/>
    <w:rsid w:val="006366D5"/>
    <w:rsid w:val="006631B6"/>
    <w:rsid w:val="00680577"/>
    <w:rsid w:val="006B2505"/>
    <w:rsid w:val="006F74FA"/>
    <w:rsid w:val="00731ADD"/>
    <w:rsid w:val="00734777"/>
    <w:rsid w:val="00747932"/>
    <w:rsid w:val="00751A4A"/>
    <w:rsid w:val="00754EFE"/>
    <w:rsid w:val="00756632"/>
    <w:rsid w:val="00762C74"/>
    <w:rsid w:val="00786EC0"/>
    <w:rsid w:val="007C0A58"/>
    <w:rsid w:val="007D1690"/>
    <w:rsid w:val="007E22AD"/>
    <w:rsid w:val="007F293D"/>
    <w:rsid w:val="00817416"/>
    <w:rsid w:val="00842779"/>
    <w:rsid w:val="0084561A"/>
    <w:rsid w:val="00865F67"/>
    <w:rsid w:val="00881A7B"/>
    <w:rsid w:val="008840E5"/>
    <w:rsid w:val="00887B3E"/>
    <w:rsid w:val="008C2AC6"/>
    <w:rsid w:val="009075C9"/>
    <w:rsid w:val="00930C23"/>
    <w:rsid w:val="0093193B"/>
    <w:rsid w:val="00943A86"/>
    <w:rsid w:val="009509D8"/>
    <w:rsid w:val="00950B64"/>
    <w:rsid w:val="00972237"/>
    <w:rsid w:val="00981893"/>
    <w:rsid w:val="009B62A5"/>
    <w:rsid w:val="009E0EF4"/>
    <w:rsid w:val="00A1687D"/>
    <w:rsid w:val="00A43E52"/>
    <w:rsid w:val="00A4678D"/>
    <w:rsid w:val="00A515D0"/>
    <w:rsid w:val="00A653AE"/>
    <w:rsid w:val="00A70A1B"/>
    <w:rsid w:val="00A778C7"/>
    <w:rsid w:val="00AB441E"/>
    <w:rsid w:val="00AB6293"/>
    <w:rsid w:val="00AC74CF"/>
    <w:rsid w:val="00AE0928"/>
    <w:rsid w:val="00AE2566"/>
    <w:rsid w:val="00AF3B82"/>
    <w:rsid w:val="00B12E95"/>
    <w:rsid w:val="00B22876"/>
    <w:rsid w:val="00B34B0D"/>
    <w:rsid w:val="00B558F0"/>
    <w:rsid w:val="00B77F00"/>
    <w:rsid w:val="00B8667B"/>
    <w:rsid w:val="00BD48FE"/>
    <w:rsid w:val="00BD7BD8"/>
    <w:rsid w:val="00BE6ADC"/>
    <w:rsid w:val="00BF390F"/>
    <w:rsid w:val="00C05BFE"/>
    <w:rsid w:val="00C10634"/>
    <w:rsid w:val="00C23CD4"/>
    <w:rsid w:val="00C37811"/>
    <w:rsid w:val="00C61C0C"/>
    <w:rsid w:val="00C92188"/>
    <w:rsid w:val="00C941CB"/>
    <w:rsid w:val="00C94227"/>
    <w:rsid w:val="00CA1AE2"/>
    <w:rsid w:val="00CB1221"/>
    <w:rsid w:val="00CC091B"/>
    <w:rsid w:val="00CC2357"/>
    <w:rsid w:val="00CF071A"/>
    <w:rsid w:val="00D058B8"/>
    <w:rsid w:val="00D56C11"/>
    <w:rsid w:val="00D834A0"/>
    <w:rsid w:val="00D872DF"/>
    <w:rsid w:val="00D91E21"/>
    <w:rsid w:val="00DA7FCD"/>
    <w:rsid w:val="00DD7DCE"/>
    <w:rsid w:val="00E357B1"/>
    <w:rsid w:val="00E365E1"/>
    <w:rsid w:val="00E820A4"/>
    <w:rsid w:val="00E9392C"/>
    <w:rsid w:val="00EB006A"/>
    <w:rsid w:val="00EB4772"/>
    <w:rsid w:val="00ED169E"/>
    <w:rsid w:val="00ED4235"/>
    <w:rsid w:val="00ED5CAF"/>
    <w:rsid w:val="00EE5D09"/>
    <w:rsid w:val="00F04346"/>
    <w:rsid w:val="00F075DC"/>
    <w:rsid w:val="00F149E9"/>
    <w:rsid w:val="00F5134D"/>
    <w:rsid w:val="00F557A1"/>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5B968D"/>
  <w15:chartTrackingRefBased/>
  <w15:docId w15:val="{5669E27A-B6F6-4FB8-9EE9-42279EEC3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qFormat="1"/>
    <w:lsdException w:name="footer" w:uiPriority="99"/>
    <w:lsdException w:name="caption" w:semiHidden="1" w:unhideWhenUsed="1" w:qFormat="1"/>
    <w:lsdException w:name="footnote reference" w:uiPriority="99" w:qFormat="1"/>
    <w:lsdException w:name="Title" w:qFormat="1"/>
    <w:lsdException w:name="Body Text" w:uiPriority="1" w:qFormat="1"/>
    <w:lsdException w:name="Subtitle" w:qFormat="1"/>
    <w:lsdException w:name="Hyperlink" w:uiPriority="99" w:qFormat="1"/>
    <w:lsdException w:name="Strong" w:uiPriority="22"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pt-PT"/>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Appel note de bas de p.1,fr"/>
    <w:link w:val="ftrefCharCharCharCharCharCharCharCharChar"/>
    <w:uiPriority w:val="99"/>
    <w:qFormat/>
    <w:rsid w:val="00395FA1"/>
    <w:rPr>
      <w:b w:val="0"/>
      <w:vertAlign w:val="superscript"/>
    </w:rPr>
  </w:style>
  <w:style w:type="paragraph" w:styleId="FootnoteText">
    <w:name w:val="footnote text"/>
    <w:basedOn w:val="Normal"/>
    <w:link w:val="FootnoteTextChar"/>
    <w:uiPriority w:val="99"/>
    <w:qFormat/>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qFormat/>
    <w:rsid w:val="00762C74"/>
    <w:rPr>
      <w:sz w:val="22"/>
      <w:lang w:val="fr-FR" w:eastAsia="fr-FR"/>
    </w:rPr>
  </w:style>
  <w:style w:type="character" w:styleId="PageNumber">
    <w:name w:val="page number"/>
    <w:rsid w:val="00395FA1"/>
  </w:style>
  <w:style w:type="paragraph" w:styleId="TOC2">
    <w:name w:val="toc 2"/>
    <w:basedOn w:val="Normal"/>
    <w:next w:val="Normal"/>
    <w:autoRedefine/>
    <w:rsid w:val="00395FA1"/>
    <w:pPr>
      <w:keepNext/>
      <w:keepLines/>
      <w:widowControl/>
    </w:pPr>
    <w:rPr>
      <w:b/>
      <w:noProof/>
      <w:lang w:val="fr-FR" w:eastAsia="fr-FR"/>
    </w:rPr>
  </w:style>
  <w:style w:type="paragraph" w:styleId="TOC3">
    <w:name w:val="toc 3"/>
    <w:basedOn w:val="Normal"/>
    <w:next w:val="Normal"/>
    <w:autoRedefine/>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1C77B5"/>
    <w:rPr>
      <w:b/>
      <w:kern w:val="28"/>
      <w:sz w:val="28"/>
      <w:lang w:val="fr-FR" w:eastAsia="fr-FR"/>
    </w:rPr>
  </w:style>
  <w:style w:type="character" w:customStyle="1" w:styleId="Heading2Char">
    <w:name w:val="Heading 2 Char"/>
    <w:basedOn w:val="DefaultParagraphFont"/>
    <w:link w:val="Heading2"/>
    <w:semiHidden/>
    <w:rsid w:val="001C77B5"/>
    <w:rPr>
      <w:sz w:val="24"/>
      <w:lang w:val="fr-FR" w:eastAsia="fr-FR"/>
    </w:rPr>
  </w:style>
  <w:style w:type="character" w:customStyle="1" w:styleId="Heading3Char">
    <w:name w:val="Heading 3 Char"/>
    <w:basedOn w:val="DefaultParagraphFont"/>
    <w:link w:val="Heading3"/>
    <w:semiHidden/>
    <w:rsid w:val="001C77B5"/>
    <w:rPr>
      <w:rFonts w:ascii="Arial" w:hAnsi="Arial"/>
      <w:sz w:val="24"/>
      <w:lang w:val="fr-FR" w:eastAsia="fr-FR"/>
    </w:rPr>
  </w:style>
  <w:style w:type="character" w:customStyle="1" w:styleId="Heading4Char">
    <w:name w:val="Heading 4 Char"/>
    <w:basedOn w:val="DefaultParagraphFont"/>
    <w:link w:val="Heading4"/>
    <w:semiHidden/>
    <w:rsid w:val="001C77B5"/>
    <w:rPr>
      <w:sz w:val="24"/>
      <w:lang w:val="en-US" w:eastAsia="fr-FR"/>
    </w:rPr>
  </w:style>
  <w:style w:type="character" w:customStyle="1" w:styleId="Heading5Char">
    <w:name w:val="Heading 5 Char"/>
    <w:basedOn w:val="DefaultParagraphFont"/>
    <w:link w:val="Heading5"/>
    <w:semiHidden/>
    <w:rsid w:val="001C77B5"/>
    <w:rPr>
      <w:sz w:val="24"/>
      <w:lang w:val="en-US" w:eastAsia="fr-FR"/>
    </w:rPr>
  </w:style>
  <w:style w:type="character" w:customStyle="1" w:styleId="Heading6Char">
    <w:name w:val="Heading 6 Char"/>
    <w:basedOn w:val="DefaultParagraphFont"/>
    <w:link w:val="Heading6"/>
    <w:semiHidden/>
    <w:rsid w:val="001C77B5"/>
    <w:rPr>
      <w:i/>
      <w:sz w:val="22"/>
      <w:lang w:val="pt-PT"/>
    </w:rPr>
  </w:style>
  <w:style w:type="character" w:customStyle="1" w:styleId="Heading7Char">
    <w:name w:val="Heading 7 Char"/>
    <w:basedOn w:val="DefaultParagraphFont"/>
    <w:link w:val="Heading7"/>
    <w:semiHidden/>
    <w:rsid w:val="001C77B5"/>
    <w:rPr>
      <w:rFonts w:ascii="Arial" w:hAnsi="Arial"/>
      <w:sz w:val="24"/>
      <w:lang w:val="pt-PT"/>
    </w:rPr>
  </w:style>
  <w:style w:type="character" w:customStyle="1" w:styleId="Heading8Char">
    <w:name w:val="Heading 8 Char"/>
    <w:basedOn w:val="DefaultParagraphFont"/>
    <w:link w:val="Heading8"/>
    <w:semiHidden/>
    <w:rsid w:val="001C77B5"/>
    <w:rPr>
      <w:rFonts w:ascii="Arial" w:hAnsi="Arial"/>
      <w:i/>
      <w:sz w:val="24"/>
      <w:lang w:val="pt-PT"/>
    </w:rPr>
  </w:style>
  <w:style w:type="character" w:customStyle="1" w:styleId="Heading9Char">
    <w:name w:val="Heading 9 Char"/>
    <w:basedOn w:val="DefaultParagraphFont"/>
    <w:link w:val="Heading9"/>
    <w:semiHidden/>
    <w:rsid w:val="001C77B5"/>
    <w:rPr>
      <w:rFonts w:ascii="Arial" w:hAnsi="Arial"/>
      <w:b/>
      <w:i/>
      <w:sz w:val="18"/>
      <w:lang w:val="pt-PT"/>
    </w:rPr>
  </w:style>
  <w:style w:type="paragraph" w:styleId="TOCHeading">
    <w:name w:val="TOC Heading"/>
    <w:basedOn w:val="Normal"/>
    <w:next w:val="Normal"/>
    <w:uiPriority w:val="39"/>
    <w:unhideWhenUsed/>
    <w:qFormat/>
    <w:rsid w:val="001C77B5"/>
    <w:pPr>
      <w:widowControl/>
      <w:spacing w:after="240"/>
    </w:pPr>
    <w:rPr>
      <w:lang w:val="en-GB"/>
    </w:rPr>
  </w:style>
  <w:style w:type="paragraph" w:customStyle="1" w:styleId="EPFooter2">
    <w:name w:val="EPFooter2"/>
    <w:basedOn w:val="Normal"/>
    <w:next w:val="Normal"/>
    <w:rsid w:val="001C77B5"/>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1C77B5"/>
    <w:pPr>
      <w:keepNext/>
      <w:spacing w:after="240"/>
      <w:jc w:val="right"/>
    </w:pPr>
    <w:rPr>
      <w:rFonts w:ascii="Arial" w:hAnsi="Arial"/>
      <w:b/>
    </w:rPr>
  </w:style>
  <w:style w:type="paragraph" w:customStyle="1" w:styleId="Normal6a">
    <w:name w:val="Normal6a"/>
    <w:basedOn w:val="Normal"/>
    <w:rsid w:val="001C77B5"/>
    <w:pPr>
      <w:spacing w:after="120"/>
    </w:pPr>
  </w:style>
  <w:style w:type="paragraph" w:customStyle="1" w:styleId="PageHeading">
    <w:name w:val="PageHeading"/>
    <w:basedOn w:val="Normal"/>
    <w:rsid w:val="001C77B5"/>
    <w:pPr>
      <w:keepNext/>
      <w:spacing w:after="480"/>
      <w:jc w:val="center"/>
    </w:pPr>
    <w:rPr>
      <w:rFonts w:ascii="Arial" w:hAnsi="Arial" w:cs="Arial"/>
      <w:b/>
    </w:rPr>
  </w:style>
  <w:style w:type="paragraph" w:customStyle="1" w:styleId="NormalBold">
    <w:name w:val="NormalBold"/>
    <w:basedOn w:val="Normal"/>
    <w:link w:val="NormalBoldChar"/>
    <w:rsid w:val="001C77B5"/>
    <w:rPr>
      <w:b/>
    </w:rPr>
  </w:style>
  <w:style w:type="character" w:customStyle="1" w:styleId="NormalBoldChar">
    <w:name w:val="NormalBold Char"/>
    <w:basedOn w:val="DefaultParagraphFont"/>
    <w:link w:val="NormalBold"/>
    <w:locked/>
    <w:rsid w:val="001C77B5"/>
    <w:rPr>
      <w:b/>
      <w:sz w:val="24"/>
      <w:lang w:val="pt-PT"/>
    </w:rPr>
  </w:style>
  <w:style w:type="paragraph" w:customStyle="1" w:styleId="NormalBold12a">
    <w:name w:val="NormalBold12a"/>
    <w:basedOn w:val="Normal"/>
    <w:rsid w:val="001C77B5"/>
    <w:pPr>
      <w:spacing w:after="240"/>
    </w:pPr>
    <w:rPr>
      <w:b/>
    </w:rPr>
  </w:style>
  <w:style w:type="paragraph" w:customStyle="1" w:styleId="AmJustText">
    <w:name w:val="AmJustText"/>
    <w:basedOn w:val="Normal"/>
    <w:rsid w:val="001C77B5"/>
    <w:pPr>
      <w:spacing w:after="240"/>
    </w:pPr>
    <w:rPr>
      <w:i/>
    </w:rPr>
  </w:style>
  <w:style w:type="paragraph" w:customStyle="1" w:styleId="NormalHanging12a">
    <w:name w:val="NormalHanging12a"/>
    <w:basedOn w:val="Normal"/>
    <w:rsid w:val="001C77B5"/>
    <w:pPr>
      <w:spacing w:after="240"/>
      <w:ind w:left="567" w:hanging="567"/>
    </w:pPr>
  </w:style>
  <w:style w:type="paragraph" w:customStyle="1" w:styleId="CoverNormal24a">
    <w:name w:val="CoverNormal24a"/>
    <w:basedOn w:val="Normal"/>
    <w:rsid w:val="001C77B5"/>
    <w:pPr>
      <w:spacing w:after="480"/>
      <w:ind w:left="1417"/>
    </w:pPr>
  </w:style>
  <w:style w:type="paragraph" w:customStyle="1" w:styleId="CoverNormal">
    <w:name w:val="CoverNormal"/>
    <w:basedOn w:val="Normal"/>
    <w:rsid w:val="001C77B5"/>
    <w:pPr>
      <w:ind w:left="1418"/>
    </w:pPr>
  </w:style>
  <w:style w:type="paragraph" w:customStyle="1" w:styleId="AmCrossRef">
    <w:name w:val="AmCrossRef"/>
    <w:basedOn w:val="Normal"/>
    <w:rsid w:val="001C77B5"/>
    <w:pPr>
      <w:spacing w:before="240" w:after="240"/>
      <w:jc w:val="center"/>
    </w:pPr>
    <w:rPr>
      <w:i/>
    </w:rPr>
  </w:style>
  <w:style w:type="paragraph" w:customStyle="1" w:styleId="AmJustTitle">
    <w:name w:val="AmJustTitle"/>
    <w:basedOn w:val="Normal"/>
    <w:next w:val="AmJustText"/>
    <w:rsid w:val="001C77B5"/>
    <w:pPr>
      <w:keepNext/>
      <w:spacing w:before="240" w:after="240"/>
      <w:jc w:val="center"/>
    </w:pPr>
    <w:rPr>
      <w:i/>
    </w:rPr>
  </w:style>
  <w:style w:type="paragraph" w:customStyle="1" w:styleId="CoverReference">
    <w:name w:val="CoverReference"/>
    <w:basedOn w:val="Normal"/>
    <w:rsid w:val="001C77B5"/>
    <w:pPr>
      <w:spacing w:before="1080"/>
      <w:jc w:val="right"/>
    </w:pPr>
    <w:rPr>
      <w:rFonts w:ascii="Arial" w:hAnsi="Arial" w:cs="Arial"/>
      <w:b/>
    </w:rPr>
  </w:style>
  <w:style w:type="paragraph" w:customStyle="1" w:styleId="CoverDocType">
    <w:name w:val="CoverDocType"/>
    <w:basedOn w:val="Normal"/>
    <w:rsid w:val="001C77B5"/>
    <w:pPr>
      <w:ind w:left="1418"/>
    </w:pPr>
    <w:rPr>
      <w:rFonts w:ascii="Arial" w:hAnsi="Arial"/>
      <w:b/>
      <w:sz w:val="48"/>
    </w:rPr>
  </w:style>
  <w:style w:type="paragraph" w:customStyle="1" w:styleId="CoverDocType24a">
    <w:name w:val="CoverDocType24a"/>
    <w:basedOn w:val="Normal"/>
    <w:rsid w:val="001C77B5"/>
    <w:pPr>
      <w:spacing w:after="480"/>
      <w:ind w:left="1418"/>
    </w:pPr>
    <w:rPr>
      <w:rFonts w:ascii="Arial" w:hAnsi="Arial"/>
      <w:b/>
      <w:sz w:val="48"/>
    </w:rPr>
  </w:style>
  <w:style w:type="paragraph" w:customStyle="1" w:styleId="CoverDate">
    <w:name w:val="CoverDate"/>
    <w:basedOn w:val="Normal"/>
    <w:rsid w:val="001C77B5"/>
    <w:pPr>
      <w:spacing w:before="240" w:after="1200"/>
    </w:pPr>
  </w:style>
  <w:style w:type="paragraph" w:styleId="Header">
    <w:name w:val="header"/>
    <w:basedOn w:val="Normal"/>
    <w:link w:val="HeaderChar"/>
    <w:rsid w:val="001C77B5"/>
    <w:pPr>
      <w:tabs>
        <w:tab w:val="center" w:pos="4513"/>
        <w:tab w:val="right" w:pos="9026"/>
      </w:tabs>
    </w:pPr>
  </w:style>
  <w:style w:type="character" w:customStyle="1" w:styleId="HeaderChar">
    <w:name w:val="Header Char"/>
    <w:basedOn w:val="DefaultParagraphFont"/>
    <w:link w:val="Header"/>
    <w:rsid w:val="001C77B5"/>
    <w:rPr>
      <w:sz w:val="24"/>
      <w:lang w:val="pt-PT"/>
    </w:rPr>
  </w:style>
  <w:style w:type="paragraph" w:customStyle="1" w:styleId="AmOrLang">
    <w:name w:val="AmOrLang"/>
    <w:basedOn w:val="Normal"/>
    <w:rsid w:val="001C77B5"/>
    <w:pPr>
      <w:spacing w:before="240" w:after="240"/>
      <w:jc w:val="right"/>
    </w:pPr>
  </w:style>
  <w:style w:type="paragraph" w:customStyle="1" w:styleId="AmColumnHeading">
    <w:name w:val="AmColumnHeading"/>
    <w:basedOn w:val="Normal"/>
    <w:rsid w:val="001C77B5"/>
    <w:pPr>
      <w:spacing w:after="240"/>
      <w:jc w:val="center"/>
    </w:pPr>
    <w:rPr>
      <w:i/>
    </w:rPr>
  </w:style>
  <w:style w:type="paragraph" w:customStyle="1" w:styleId="AmNumberTabs">
    <w:name w:val="AmNumberTabs"/>
    <w:basedOn w:val="Normal"/>
    <w:link w:val="AmNumberTabsChar"/>
    <w:rsid w:val="001C77B5"/>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character" w:customStyle="1" w:styleId="AmNumberTabsChar">
    <w:name w:val="AmNumberTabs Char"/>
    <w:basedOn w:val="DefaultParagraphFont"/>
    <w:link w:val="AmNumberTabs"/>
    <w:locked/>
    <w:rsid w:val="001C77B5"/>
    <w:rPr>
      <w:b/>
      <w:sz w:val="24"/>
      <w:lang w:val="pt-PT"/>
    </w:rPr>
  </w:style>
  <w:style w:type="paragraph" w:customStyle="1" w:styleId="NormalBold12b">
    <w:name w:val="NormalBold12b"/>
    <w:basedOn w:val="Normal"/>
    <w:link w:val="NormalBold12bChar"/>
    <w:rsid w:val="001C77B5"/>
    <w:pPr>
      <w:spacing w:before="240"/>
    </w:pPr>
    <w:rPr>
      <w:b/>
    </w:rPr>
  </w:style>
  <w:style w:type="character" w:customStyle="1" w:styleId="NormalBold12bChar">
    <w:name w:val="NormalBold12b Char"/>
    <w:basedOn w:val="AmNumberTabsChar"/>
    <w:link w:val="NormalBold12b"/>
    <w:locked/>
    <w:rsid w:val="001C77B5"/>
    <w:rPr>
      <w:b/>
      <w:sz w:val="24"/>
      <w:lang w:val="pt-PT"/>
    </w:rPr>
  </w:style>
  <w:style w:type="paragraph" w:customStyle="1" w:styleId="EPBody">
    <w:name w:val="EPBody"/>
    <w:basedOn w:val="Normal"/>
    <w:rsid w:val="001C77B5"/>
    <w:pPr>
      <w:jc w:val="center"/>
    </w:pPr>
    <w:rPr>
      <w:rFonts w:ascii="Arial" w:hAnsi="Arial" w:cs="Arial"/>
      <w:i/>
      <w:sz w:val="22"/>
      <w:szCs w:val="22"/>
    </w:rPr>
  </w:style>
  <w:style w:type="paragraph" w:customStyle="1" w:styleId="EPFooter">
    <w:name w:val="EPFooter"/>
    <w:basedOn w:val="Normal"/>
    <w:rsid w:val="001C77B5"/>
    <w:pPr>
      <w:tabs>
        <w:tab w:val="center" w:pos="4535"/>
        <w:tab w:val="right" w:pos="9071"/>
      </w:tabs>
      <w:spacing w:before="240" w:after="240"/>
    </w:pPr>
    <w:rPr>
      <w:color w:val="010000"/>
      <w:sz w:val="22"/>
    </w:rPr>
  </w:style>
  <w:style w:type="paragraph" w:customStyle="1" w:styleId="EPComma">
    <w:name w:val="EPComma"/>
    <w:basedOn w:val="Normal"/>
    <w:rsid w:val="001C77B5"/>
    <w:pPr>
      <w:spacing w:before="480" w:after="240"/>
    </w:pPr>
  </w:style>
  <w:style w:type="paragraph" w:customStyle="1" w:styleId="Lgendesigne">
    <w:name w:val="Légende signe"/>
    <w:basedOn w:val="Normal"/>
    <w:rsid w:val="001C77B5"/>
    <w:pPr>
      <w:tabs>
        <w:tab w:val="right" w:pos="454"/>
        <w:tab w:val="left" w:pos="737"/>
      </w:tabs>
      <w:ind w:left="737" w:hanging="737"/>
    </w:pPr>
    <w:rPr>
      <w:snapToGrid w:val="0"/>
      <w:sz w:val="18"/>
      <w:lang w:eastAsia="en-US"/>
    </w:rPr>
  </w:style>
  <w:style w:type="paragraph" w:customStyle="1" w:styleId="Lgendetitre">
    <w:name w:val="Légende titre"/>
    <w:basedOn w:val="Normal"/>
    <w:rsid w:val="001C77B5"/>
    <w:pPr>
      <w:spacing w:before="240" w:after="240"/>
    </w:pPr>
    <w:rPr>
      <w:b/>
      <w:i/>
      <w:snapToGrid w:val="0"/>
      <w:lang w:eastAsia="en-US"/>
    </w:rPr>
  </w:style>
  <w:style w:type="paragraph" w:customStyle="1" w:styleId="Lgendestandard">
    <w:name w:val="Légende standard"/>
    <w:basedOn w:val="Normal"/>
    <w:rsid w:val="001C77B5"/>
    <w:rPr>
      <w:sz w:val="18"/>
    </w:rPr>
  </w:style>
  <w:style w:type="character" w:customStyle="1" w:styleId="BalloonTextChar">
    <w:name w:val="Balloon Text Char"/>
    <w:basedOn w:val="DefaultParagraphFont"/>
    <w:link w:val="BalloonText"/>
    <w:rsid w:val="001C77B5"/>
    <w:rPr>
      <w:rFonts w:ascii="Segoe UI" w:hAnsi="Segoe UI" w:cs="Segoe UI"/>
      <w:sz w:val="18"/>
      <w:szCs w:val="18"/>
    </w:rPr>
  </w:style>
  <w:style w:type="paragraph" w:styleId="BalloonText">
    <w:name w:val="Balloon Text"/>
    <w:basedOn w:val="Normal"/>
    <w:link w:val="BalloonTextChar"/>
    <w:unhideWhenUsed/>
    <w:rsid w:val="001C77B5"/>
    <w:pPr>
      <w:widowControl/>
    </w:pPr>
    <w:rPr>
      <w:rFonts w:ascii="Segoe UI" w:hAnsi="Segoe UI" w:cs="Segoe UI"/>
      <w:sz w:val="18"/>
      <w:szCs w:val="18"/>
      <w:lang w:val="en-GB"/>
    </w:rPr>
  </w:style>
  <w:style w:type="character" w:customStyle="1" w:styleId="BalloonTextChar1">
    <w:name w:val="Balloon Text Char1"/>
    <w:basedOn w:val="DefaultParagraphFont"/>
    <w:rsid w:val="001C77B5"/>
    <w:rPr>
      <w:rFonts w:ascii="Segoe UI" w:hAnsi="Segoe UI" w:cs="Segoe UI"/>
      <w:sz w:val="18"/>
      <w:szCs w:val="18"/>
      <w:lang w:val="pt-PT"/>
    </w:rPr>
  </w:style>
  <w:style w:type="character" w:customStyle="1" w:styleId="Normal12Char">
    <w:name w:val="Normal12 Char"/>
    <w:basedOn w:val="DefaultParagraphFont"/>
    <w:link w:val="Normal12"/>
    <w:locked/>
    <w:rsid w:val="001C77B5"/>
    <w:rPr>
      <w:noProof/>
      <w:sz w:val="24"/>
    </w:rPr>
  </w:style>
  <w:style w:type="paragraph" w:customStyle="1" w:styleId="Normal12">
    <w:name w:val="Normal12"/>
    <w:basedOn w:val="Normal"/>
    <w:link w:val="Normal12Char"/>
    <w:rsid w:val="001C77B5"/>
    <w:pPr>
      <w:spacing w:after="240"/>
    </w:pPr>
    <w:rPr>
      <w:noProof/>
      <w:lang w:val="en-GB"/>
    </w:rPr>
  </w:style>
  <w:style w:type="character" w:customStyle="1" w:styleId="Normal6Char">
    <w:name w:val="Normal6 Char"/>
    <w:basedOn w:val="DefaultParagraphFont"/>
    <w:link w:val="Normal6"/>
    <w:locked/>
    <w:rsid w:val="001C77B5"/>
    <w:rPr>
      <w:sz w:val="24"/>
      <w:lang w:val="pt-PT"/>
    </w:rPr>
  </w:style>
  <w:style w:type="paragraph" w:customStyle="1" w:styleId="Normal6">
    <w:name w:val="Normal6"/>
    <w:basedOn w:val="Normal"/>
    <w:link w:val="Normal6Char"/>
    <w:rsid w:val="001C77B5"/>
    <w:pPr>
      <w:spacing w:after="120"/>
    </w:pPr>
  </w:style>
  <w:style w:type="paragraph" w:customStyle="1" w:styleId="Normal12Italic">
    <w:name w:val="Normal12Italic"/>
    <w:basedOn w:val="Normal12"/>
    <w:rsid w:val="001C77B5"/>
    <w:rPr>
      <w:i/>
    </w:rPr>
  </w:style>
  <w:style w:type="paragraph" w:customStyle="1" w:styleId="EntPE">
    <w:name w:val="EntPE"/>
    <w:basedOn w:val="Normal12"/>
    <w:rsid w:val="001C77B5"/>
    <w:pPr>
      <w:jc w:val="center"/>
    </w:pPr>
    <w:rPr>
      <w:noProof w:val="0"/>
      <w:sz w:val="56"/>
    </w:rPr>
  </w:style>
  <w:style w:type="paragraph" w:customStyle="1" w:styleId="AMNumberTabs0">
    <w:name w:val="AMNumberTabs"/>
    <w:basedOn w:val="Normal"/>
    <w:rsid w:val="001C77B5"/>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1C77B5"/>
    <w:pPr>
      <w:spacing w:after="240"/>
      <w:jc w:val="center"/>
    </w:pPr>
    <w:rPr>
      <w:i/>
    </w:rPr>
  </w:style>
  <w:style w:type="paragraph" w:customStyle="1" w:styleId="Olang">
    <w:name w:val="Olang"/>
    <w:basedOn w:val="Normal"/>
    <w:rsid w:val="001C77B5"/>
    <w:pPr>
      <w:spacing w:before="240" w:after="240"/>
      <w:jc w:val="right"/>
    </w:pPr>
    <w:rPr>
      <w:noProof/>
      <w:szCs w:val="24"/>
    </w:rPr>
  </w:style>
  <w:style w:type="paragraph" w:customStyle="1" w:styleId="JustificationTitle">
    <w:name w:val="JustificationTitle"/>
    <w:basedOn w:val="Normal"/>
    <w:next w:val="Normal12"/>
    <w:rsid w:val="001C77B5"/>
    <w:pPr>
      <w:keepNext/>
      <w:spacing w:before="240" w:after="240"/>
      <w:jc w:val="center"/>
    </w:pPr>
    <w:rPr>
      <w:i/>
      <w:noProof/>
    </w:rPr>
  </w:style>
  <w:style w:type="character" w:styleId="CommentReference">
    <w:name w:val="annotation reference"/>
    <w:basedOn w:val="DefaultParagraphFont"/>
    <w:rsid w:val="001C77B5"/>
    <w:rPr>
      <w:sz w:val="16"/>
      <w:szCs w:val="16"/>
    </w:rPr>
  </w:style>
  <w:style w:type="paragraph" w:styleId="CommentText">
    <w:name w:val="annotation text"/>
    <w:basedOn w:val="Normal"/>
    <w:link w:val="CommentTextChar"/>
    <w:rsid w:val="001C77B5"/>
    <w:rPr>
      <w:sz w:val="20"/>
    </w:rPr>
  </w:style>
  <w:style w:type="character" w:customStyle="1" w:styleId="CommentTextChar">
    <w:name w:val="Comment Text Char"/>
    <w:basedOn w:val="DefaultParagraphFont"/>
    <w:link w:val="CommentText"/>
    <w:rsid w:val="001C77B5"/>
    <w:rPr>
      <w:lang w:val="pt-PT"/>
    </w:rPr>
  </w:style>
  <w:style w:type="paragraph" w:styleId="CommentSubject">
    <w:name w:val="annotation subject"/>
    <w:basedOn w:val="CommentText"/>
    <w:next w:val="CommentText"/>
    <w:link w:val="CommentSubjectChar"/>
    <w:unhideWhenUsed/>
    <w:rsid w:val="001C77B5"/>
    <w:rPr>
      <w:b/>
      <w:bCs/>
    </w:rPr>
  </w:style>
  <w:style w:type="character" w:customStyle="1" w:styleId="CommentSubjectChar">
    <w:name w:val="Comment Subject Char"/>
    <w:basedOn w:val="CommentTextChar"/>
    <w:link w:val="CommentSubject"/>
    <w:rsid w:val="001C77B5"/>
    <w:rPr>
      <w:b/>
      <w:bCs/>
      <w:lang w:val="pt-PT"/>
    </w:rPr>
  </w:style>
  <w:style w:type="character" w:styleId="Hyperlink">
    <w:name w:val="Hyperlink"/>
    <w:basedOn w:val="DefaultParagraphFont"/>
    <w:uiPriority w:val="99"/>
    <w:qFormat/>
    <w:rsid w:val="001C77B5"/>
    <w:rPr>
      <w:color w:val="0563C1" w:themeColor="hyperlink"/>
      <w:u w:val="single"/>
    </w:rPr>
  </w:style>
  <w:style w:type="character" w:styleId="Strong">
    <w:name w:val="Strong"/>
    <w:basedOn w:val="DefaultParagraphFont"/>
    <w:uiPriority w:val="22"/>
    <w:qFormat/>
    <w:rsid w:val="001C77B5"/>
    <w:rPr>
      <w:b/>
      <w:bCs/>
    </w:rPr>
  </w:style>
  <w:style w:type="paragraph" w:customStyle="1" w:styleId="Default">
    <w:name w:val="Default"/>
    <w:rsid w:val="001C77B5"/>
    <w:pPr>
      <w:autoSpaceDE w:val="0"/>
      <w:autoSpaceDN w:val="0"/>
      <w:adjustRightInd w:val="0"/>
    </w:pPr>
    <w:rPr>
      <w:rFonts w:ascii="Calibri" w:eastAsiaTheme="minorHAnsi" w:hAnsi="Calibri" w:cs="Calibri"/>
      <w:color w:val="000000"/>
      <w:sz w:val="24"/>
      <w:szCs w:val="24"/>
      <w:lang w:val="pt-PT" w:eastAsia="en-US"/>
    </w:rPr>
  </w:style>
  <w:style w:type="paragraph" w:customStyle="1" w:styleId="Normal12a">
    <w:name w:val="Normal12a"/>
    <w:basedOn w:val="Normal"/>
    <w:rsid w:val="001C77B5"/>
    <w:pPr>
      <w:spacing w:after="240"/>
    </w:pPr>
  </w:style>
  <w:style w:type="paragraph" w:customStyle="1" w:styleId="RollCallVotes">
    <w:name w:val="RollCallVotes"/>
    <w:basedOn w:val="Normal"/>
    <w:rsid w:val="001C77B5"/>
    <w:pPr>
      <w:spacing w:before="120" w:after="120"/>
      <w:jc w:val="center"/>
    </w:pPr>
    <w:rPr>
      <w:b/>
      <w:bCs/>
      <w:snapToGrid w:val="0"/>
      <w:sz w:val="16"/>
      <w:lang w:eastAsia="en-US"/>
    </w:rPr>
  </w:style>
  <w:style w:type="paragraph" w:customStyle="1" w:styleId="RollCallTabs">
    <w:name w:val="RollCallTabs"/>
    <w:basedOn w:val="Normal"/>
    <w:qFormat/>
    <w:rsid w:val="001C77B5"/>
    <w:pPr>
      <w:tabs>
        <w:tab w:val="center" w:pos="284"/>
        <w:tab w:val="left" w:pos="426"/>
      </w:tabs>
    </w:pPr>
    <w:rPr>
      <w:snapToGrid w:val="0"/>
      <w:lang w:eastAsia="en-US"/>
    </w:rPr>
  </w:style>
  <w:style w:type="paragraph" w:customStyle="1" w:styleId="RollCallSymbols14pt">
    <w:name w:val="RollCallSymbols14pt"/>
    <w:basedOn w:val="Normal"/>
    <w:rsid w:val="001C77B5"/>
    <w:pPr>
      <w:spacing w:before="120" w:after="120"/>
      <w:jc w:val="center"/>
    </w:pPr>
    <w:rPr>
      <w:rFonts w:ascii="Arial" w:hAnsi="Arial"/>
      <w:b/>
      <w:bCs/>
      <w:snapToGrid w:val="0"/>
      <w:sz w:val="28"/>
      <w:lang w:eastAsia="en-US"/>
    </w:rPr>
  </w:style>
  <w:style w:type="paragraph" w:customStyle="1" w:styleId="RollCallTable">
    <w:name w:val="RollCallTable"/>
    <w:basedOn w:val="Normal"/>
    <w:rsid w:val="001C77B5"/>
    <w:pPr>
      <w:spacing w:before="120" w:after="120"/>
    </w:pPr>
    <w:rPr>
      <w:snapToGrid w:val="0"/>
      <w:sz w:val="16"/>
      <w:lang w:eastAsia="en-US"/>
    </w:rPr>
  </w:style>
  <w:style w:type="paragraph" w:customStyle="1" w:styleId="NormalCenter12a">
    <w:name w:val="NormalCenter12a"/>
    <w:basedOn w:val="Normal"/>
    <w:rsid w:val="001C77B5"/>
    <w:pPr>
      <w:spacing w:after="240"/>
      <w:jc w:val="center"/>
    </w:pPr>
  </w:style>
  <w:style w:type="paragraph" w:customStyle="1" w:styleId="AmHeadingConsam">
    <w:name w:val="AmHeadingConsam"/>
    <w:basedOn w:val="Normal"/>
    <w:next w:val="NormalCenter12a"/>
    <w:rsid w:val="001C77B5"/>
    <w:pPr>
      <w:spacing w:before="720" w:after="240"/>
      <w:jc w:val="center"/>
    </w:pPr>
  </w:style>
  <w:style w:type="character" w:styleId="Emphasis">
    <w:name w:val="Emphasis"/>
    <w:basedOn w:val="DefaultParagraphFont"/>
    <w:uiPriority w:val="20"/>
    <w:qFormat/>
    <w:rsid w:val="001C77B5"/>
    <w:rPr>
      <w:i/>
      <w:iCs/>
    </w:rPr>
  </w:style>
  <w:style w:type="paragraph" w:customStyle="1" w:styleId="ManualConsidrant">
    <w:name w:val="Manual Considérant"/>
    <w:basedOn w:val="Normal"/>
    <w:rsid w:val="001C77B5"/>
    <w:pPr>
      <w:widowControl/>
      <w:spacing w:before="120" w:after="120"/>
      <w:ind w:left="709" w:hanging="709"/>
      <w:jc w:val="both"/>
    </w:pPr>
    <w:rPr>
      <w:rFonts w:eastAsiaTheme="minorHAnsi"/>
      <w:szCs w:val="22"/>
      <w:lang w:eastAsia="en-US"/>
    </w:rPr>
  </w:style>
  <w:style w:type="character" w:customStyle="1" w:styleId="eop">
    <w:name w:val="eop"/>
    <w:basedOn w:val="DefaultParagraphFont"/>
    <w:rsid w:val="001C77B5"/>
  </w:style>
  <w:style w:type="paragraph" w:customStyle="1" w:styleId="Point0">
    <w:name w:val="Point 0"/>
    <w:basedOn w:val="Normal"/>
    <w:rsid w:val="001C77B5"/>
    <w:pPr>
      <w:widowControl/>
      <w:spacing w:before="120" w:after="120"/>
      <w:ind w:left="850" w:hanging="850"/>
      <w:jc w:val="both"/>
    </w:pPr>
    <w:rPr>
      <w:rFonts w:eastAsiaTheme="minorHAnsi"/>
      <w:szCs w:val="22"/>
      <w:lang w:eastAsia="en-US"/>
    </w:rPr>
  </w:style>
  <w:style w:type="paragraph" w:customStyle="1" w:styleId="paragraph">
    <w:name w:val="paragraph"/>
    <w:basedOn w:val="Normal"/>
    <w:rsid w:val="001C77B5"/>
    <w:pPr>
      <w:widowControl/>
      <w:spacing w:beforeAutospacing="1" w:after="200" w:afterAutospacing="1" w:line="276" w:lineRule="auto"/>
    </w:pPr>
    <w:rPr>
      <w:szCs w:val="24"/>
      <w:lang w:eastAsia="en-IE"/>
    </w:rPr>
  </w:style>
  <w:style w:type="paragraph" w:styleId="ListParagraph">
    <w:name w:val="List Paragraph"/>
    <w:aliases w:val="Bullets,Colorful List - Accent 11,Colorful List - Accent 111,Dot pt,F5 List Paragraph,List Paragraph Char Char Char,List Paragraph à moi,List Paragraph1,Listaszeru bekezdés1,Listaszerű bekezdés1,Medium Grid 1 - Accent 21,No Spacing1"/>
    <w:basedOn w:val="Normal"/>
    <w:link w:val="ListParagraphChar"/>
    <w:uiPriority w:val="34"/>
    <w:qFormat/>
    <w:rsid w:val="001C77B5"/>
    <w:pPr>
      <w:ind w:left="720"/>
      <w:contextualSpacing/>
    </w:pPr>
  </w:style>
  <w:style w:type="character" w:customStyle="1" w:styleId="ListParagraphChar">
    <w:name w:val="List Paragraph Char"/>
    <w:aliases w:val="Bullets Char,Colorful List - Accent 11 Char,Colorful List - Accent 111 Char,Dot pt Char,F5 List Paragraph Char,List Paragraph Char Char Char Char,List Paragraph à moi Char,List Paragraph1 Char,Listaszeru bekezdés1 Char"/>
    <w:link w:val="ListParagraph"/>
    <w:uiPriority w:val="34"/>
    <w:qFormat/>
    <w:rsid w:val="001C77B5"/>
    <w:rPr>
      <w:sz w:val="24"/>
      <w:lang w:val="pt-PT"/>
    </w:rPr>
  </w:style>
  <w:style w:type="character" w:customStyle="1" w:styleId="normaltextrun">
    <w:name w:val="normaltextrun"/>
    <w:basedOn w:val="DefaultParagraphFont"/>
    <w:rsid w:val="001C77B5"/>
  </w:style>
  <w:style w:type="paragraph" w:customStyle="1" w:styleId="oj-normal">
    <w:name w:val="oj-normal"/>
    <w:basedOn w:val="Normal"/>
    <w:rsid w:val="001C77B5"/>
    <w:pPr>
      <w:widowControl/>
      <w:spacing w:before="100" w:beforeAutospacing="1" w:after="100" w:afterAutospacing="1"/>
    </w:pPr>
    <w:rPr>
      <w:szCs w:val="24"/>
      <w:lang w:eastAsia="en-US"/>
    </w:rPr>
  </w:style>
  <w:style w:type="paragraph" w:customStyle="1" w:styleId="Normal24a">
    <w:name w:val="Normal24a"/>
    <w:basedOn w:val="Normal"/>
    <w:rsid w:val="001C77B5"/>
    <w:pPr>
      <w:spacing w:after="480"/>
    </w:pPr>
  </w:style>
  <w:style w:type="paragraph" w:customStyle="1" w:styleId="NormalBoldCenter">
    <w:name w:val="NormalBoldCenter"/>
    <w:basedOn w:val="Normal"/>
    <w:rsid w:val="001C77B5"/>
    <w:pPr>
      <w:jc w:val="center"/>
    </w:pPr>
    <w:rPr>
      <w:b/>
    </w:rPr>
  </w:style>
  <w:style w:type="paragraph" w:customStyle="1" w:styleId="PageHeadingNotTOC">
    <w:name w:val="PageHeadingNotTOC"/>
    <w:basedOn w:val="Normal"/>
    <w:rsid w:val="001C77B5"/>
    <w:pPr>
      <w:keepNext/>
      <w:spacing w:after="480"/>
      <w:jc w:val="center"/>
    </w:pPr>
    <w:rPr>
      <w:rFonts w:ascii="Arial" w:hAnsi="Arial" w:cs="Arial"/>
      <w:b/>
    </w:rPr>
  </w:style>
  <w:style w:type="paragraph" w:customStyle="1" w:styleId="AmHeadingPA">
    <w:name w:val="AmHeadingPA"/>
    <w:basedOn w:val="Normal"/>
    <w:next w:val="Normal"/>
    <w:rsid w:val="001C77B5"/>
    <w:pPr>
      <w:spacing w:before="480" w:after="240"/>
      <w:jc w:val="center"/>
    </w:pPr>
    <w:rPr>
      <w:rFonts w:ascii="Arial" w:hAnsi="Arial"/>
      <w:b/>
      <w:caps/>
      <w:snapToGrid w:val="0"/>
      <w:szCs w:val="24"/>
      <w:lang w:eastAsia="en-US"/>
    </w:rPr>
  </w:style>
  <w:style w:type="paragraph" w:customStyle="1" w:styleId="msonormal0">
    <w:name w:val="msonormal"/>
    <w:basedOn w:val="Normal"/>
    <w:rsid w:val="001C77B5"/>
    <w:pPr>
      <w:widowControl/>
      <w:spacing w:before="100" w:beforeAutospacing="1" w:after="100" w:afterAutospacing="1"/>
    </w:pPr>
    <w:rPr>
      <w:szCs w:val="24"/>
    </w:rPr>
  </w:style>
  <w:style w:type="paragraph" w:customStyle="1" w:styleId="Text1">
    <w:name w:val="Text 1"/>
    <w:basedOn w:val="Normal"/>
    <w:rsid w:val="001C77B5"/>
    <w:pPr>
      <w:widowControl/>
      <w:spacing w:before="120" w:after="120"/>
      <w:ind w:left="850"/>
      <w:jc w:val="both"/>
    </w:pPr>
    <w:rPr>
      <w:rFonts w:eastAsiaTheme="minorHAnsi"/>
      <w:szCs w:val="22"/>
      <w:lang w:eastAsia="en-US"/>
    </w:rPr>
  </w:style>
  <w:style w:type="paragraph" w:customStyle="1" w:styleId="CommitteeAM">
    <w:name w:val="CommitteeAM"/>
    <w:basedOn w:val="Normal"/>
    <w:rsid w:val="001C77B5"/>
    <w:pPr>
      <w:spacing w:before="240" w:after="600"/>
      <w:jc w:val="center"/>
    </w:pPr>
    <w:rPr>
      <w:i/>
    </w:rPr>
  </w:style>
  <w:style w:type="paragraph" w:customStyle="1" w:styleId="ZDateAM">
    <w:name w:val="ZDateAM"/>
    <w:basedOn w:val="Normal"/>
    <w:rsid w:val="001C77B5"/>
    <w:pPr>
      <w:tabs>
        <w:tab w:val="right" w:pos="9356"/>
      </w:tabs>
      <w:spacing w:after="480"/>
    </w:pPr>
    <w:rPr>
      <w:noProof/>
    </w:rPr>
  </w:style>
  <w:style w:type="paragraph" w:customStyle="1" w:styleId="ProjRap">
    <w:name w:val="ProjRap"/>
    <w:basedOn w:val="Normal"/>
    <w:rsid w:val="001C77B5"/>
    <w:pPr>
      <w:tabs>
        <w:tab w:val="right" w:pos="9356"/>
      </w:tabs>
    </w:pPr>
    <w:rPr>
      <w:b/>
      <w:noProof/>
    </w:rPr>
  </w:style>
  <w:style w:type="paragraph" w:customStyle="1" w:styleId="PELeft">
    <w:name w:val="PELeft"/>
    <w:basedOn w:val="Normal"/>
    <w:rsid w:val="001C77B5"/>
    <w:pPr>
      <w:spacing w:before="40" w:after="40"/>
    </w:pPr>
    <w:rPr>
      <w:rFonts w:ascii="Arial" w:hAnsi="Arial" w:cs="Arial"/>
      <w:sz w:val="22"/>
      <w:szCs w:val="22"/>
    </w:rPr>
  </w:style>
  <w:style w:type="paragraph" w:customStyle="1" w:styleId="PERight">
    <w:name w:val="PERight"/>
    <w:basedOn w:val="Normal"/>
    <w:next w:val="Normal"/>
    <w:rsid w:val="001C77B5"/>
    <w:pPr>
      <w:jc w:val="right"/>
    </w:pPr>
    <w:rPr>
      <w:rFonts w:ascii="Arial" w:hAnsi="Arial" w:cs="Arial"/>
      <w:sz w:val="22"/>
      <w:szCs w:val="22"/>
    </w:rPr>
  </w:style>
  <w:style w:type="paragraph" w:customStyle="1" w:styleId="CrossRef">
    <w:name w:val="CrossRef"/>
    <w:basedOn w:val="Normal"/>
    <w:rsid w:val="001C77B5"/>
    <w:pPr>
      <w:spacing w:before="240"/>
      <w:jc w:val="center"/>
    </w:pPr>
    <w:rPr>
      <w:i/>
    </w:rPr>
  </w:style>
  <w:style w:type="paragraph" w:customStyle="1" w:styleId="Normal0">
    <w:name w:val="_Normal"/>
    <w:basedOn w:val="Normal"/>
    <w:link w:val="NormalCar"/>
    <w:qFormat/>
    <w:rsid w:val="001C77B5"/>
    <w:pPr>
      <w:widowControl/>
      <w:spacing w:before="120" w:after="120" w:line="240" w:lineRule="atLeast"/>
      <w:jc w:val="both"/>
    </w:pPr>
    <w:rPr>
      <w:rFonts w:ascii="Arial" w:hAnsi="Arial"/>
      <w:sz w:val="20"/>
      <w:szCs w:val="24"/>
      <w:lang w:eastAsia="en-US"/>
    </w:rPr>
  </w:style>
  <w:style w:type="character" w:customStyle="1" w:styleId="NormalCar">
    <w:name w:val="_Normal Car"/>
    <w:link w:val="Normal0"/>
    <w:rsid w:val="001C77B5"/>
    <w:rPr>
      <w:rFonts w:ascii="Arial" w:hAnsi="Arial"/>
      <w:szCs w:val="24"/>
      <w:lang w:val="pt-PT" w:eastAsia="en-US"/>
    </w:rPr>
  </w:style>
  <w:style w:type="paragraph" w:styleId="BodyText">
    <w:name w:val="Body Text"/>
    <w:basedOn w:val="Normal"/>
    <w:link w:val="BodyTextChar"/>
    <w:uiPriority w:val="1"/>
    <w:qFormat/>
    <w:rsid w:val="001C77B5"/>
    <w:pPr>
      <w:autoSpaceDE w:val="0"/>
      <w:autoSpaceDN w:val="0"/>
      <w:adjustRightInd w:val="0"/>
    </w:pPr>
    <w:rPr>
      <w:rFonts w:eastAsiaTheme="minorEastAsia"/>
      <w:szCs w:val="24"/>
    </w:rPr>
  </w:style>
  <w:style w:type="character" w:customStyle="1" w:styleId="BodyTextChar">
    <w:name w:val="Body Text Char"/>
    <w:basedOn w:val="DefaultParagraphFont"/>
    <w:link w:val="BodyText"/>
    <w:uiPriority w:val="1"/>
    <w:rsid w:val="001C77B5"/>
    <w:rPr>
      <w:rFonts w:eastAsiaTheme="minorEastAsia"/>
      <w:sz w:val="24"/>
      <w:szCs w:val="24"/>
      <w:lang w:val="pt-PT"/>
    </w:rPr>
  </w:style>
  <w:style w:type="paragraph" w:styleId="Footer">
    <w:name w:val="footer"/>
    <w:basedOn w:val="Normal"/>
    <w:link w:val="FooterChar"/>
    <w:uiPriority w:val="99"/>
    <w:rsid w:val="001C77B5"/>
    <w:pPr>
      <w:tabs>
        <w:tab w:val="center" w:pos="4513"/>
        <w:tab w:val="right" w:pos="9026"/>
      </w:tabs>
    </w:pPr>
  </w:style>
  <w:style w:type="character" w:customStyle="1" w:styleId="FooterChar">
    <w:name w:val="Footer Char"/>
    <w:basedOn w:val="DefaultParagraphFont"/>
    <w:link w:val="Footer"/>
    <w:uiPriority w:val="99"/>
    <w:rsid w:val="001C77B5"/>
    <w:rPr>
      <w:sz w:val="24"/>
      <w:lang w:val="pt-PT"/>
    </w:rPr>
  </w:style>
  <w:style w:type="character" w:styleId="FollowedHyperlink">
    <w:name w:val="FollowedHyperlink"/>
    <w:basedOn w:val="DefaultParagraphFont"/>
    <w:rsid w:val="00AC74CF"/>
    <w:rPr>
      <w:color w:val="954F72" w:themeColor="followedHyperlink"/>
      <w:u w:val="single"/>
    </w:rPr>
  </w:style>
  <w:style w:type="paragraph" w:customStyle="1" w:styleId="AmDocTypeTab">
    <w:name w:val="AmDocTypeTab"/>
    <w:basedOn w:val="Normal"/>
    <w:rsid w:val="00AC74CF"/>
    <w:pPr>
      <w:tabs>
        <w:tab w:val="right" w:pos="9072"/>
      </w:tabs>
    </w:pPr>
    <w:rPr>
      <w:b/>
    </w:rPr>
  </w:style>
  <w:style w:type="paragraph" w:customStyle="1" w:styleId="AmDateTab">
    <w:name w:val="AmDateTab"/>
    <w:basedOn w:val="Normal"/>
    <w:rsid w:val="00AC74CF"/>
    <w:pPr>
      <w:tabs>
        <w:tab w:val="right" w:pos="9072"/>
      </w:tabs>
    </w:pPr>
  </w:style>
  <w:style w:type="paragraph" w:customStyle="1" w:styleId="SignaturePersonne">
    <w:name w:val="Signature Personne"/>
    <w:basedOn w:val="Normal"/>
    <w:rsid w:val="00AC74CF"/>
    <w:pPr>
      <w:widowControl/>
      <w:tabs>
        <w:tab w:val="left" w:pos="4252"/>
      </w:tabs>
      <w:spacing w:line="360" w:lineRule="auto"/>
    </w:pPr>
    <w:rPr>
      <w:i/>
      <w:szCs w:val="24"/>
      <w:lang w:eastAsia="en-US"/>
    </w:rPr>
  </w:style>
  <w:style w:type="paragraph" w:customStyle="1" w:styleId="Considrant">
    <w:name w:val="Considérant"/>
    <w:basedOn w:val="Normal"/>
    <w:rsid w:val="00AC74CF"/>
    <w:pPr>
      <w:spacing w:before="120" w:after="120" w:line="360" w:lineRule="auto"/>
      <w:ind w:left="850" w:hanging="850"/>
    </w:pPr>
    <w:rPr>
      <w:szCs w:val="24"/>
      <w:lang w:eastAsia="en-US"/>
    </w:rPr>
  </w:style>
  <w:style w:type="paragraph" w:customStyle="1" w:styleId="Institutionquiagit">
    <w:name w:val="Institution qui agit"/>
    <w:basedOn w:val="Normal"/>
    <w:next w:val="Normal"/>
    <w:rsid w:val="00AC74CF"/>
    <w:pPr>
      <w:keepNext/>
      <w:spacing w:before="600" w:after="120" w:line="360" w:lineRule="auto"/>
    </w:pPr>
    <w:rPr>
      <w:szCs w:val="24"/>
      <w:lang w:eastAsia="en-US"/>
    </w:rPr>
  </w:style>
  <w:style w:type="paragraph" w:customStyle="1" w:styleId="Institutionquisigne">
    <w:name w:val="Institution qui signe"/>
    <w:basedOn w:val="Normal"/>
    <w:next w:val="Normal"/>
    <w:rsid w:val="00AC74CF"/>
    <w:pPr>
      <w:keepNext/>
      <w:tabs>
        <w:tab w:val="left" w:pos="4252"/>
      </w:tabs>
      <w:spacing w:before="720" w:line="360" w:lineRule="auto"/>
    </w:pPr>
    <w:rPr>
      <w:i/>
      <w:szCs w:val="24"/>
      <w:lang w:eastAsia="en-US"/>
    </w:rPr>
  </w:style>
  <w:style w:type="paragraph" w:customStyle="1" w:styleId="Fait">
    <w:name w:val="Fait à"/>
    <w:basedOn w:val="Normal"/>
    <w:rsid w:val="00AC74CF"/>
    <w:pPr>
      <w:keepNext/>
      <w:widowControl/>
      <w:spacing w:before="120" w:line="360" w:lineRule="auto"/>
    </w:pPr>
    <w:rPr>
      <w:szCs w:val="24"/>
      <w:lang w:eastAsia="en-US"/>
    </w:rPr>
  </w:style>
  <w:style w:type="paragraph" w:customStyle="1" w:styleId="FootnoteTextForceStyle">
    <w:name w:val="Footnote Text ForceStyle"/>
    <w:rsid w:val="00AC74CF"/>
    <w:pPr>
      <w:keepLines/>
      <w:widowControl w:val="0"/>
      <w:ind w:left="850" w:hanging="850"/>
    </w:pPr>
    <w:rPr>
      <w:sz w:val="24"/>
      <w:lang w:val="pt-PT" w:eastAsia="en-US"/>
    </w:rPr>
  </w:style>
  <w:style w:type="character" w:customStyle="1" w:styleId="Footer2">
    <w:name w:val="Footer2"/>
    <w:rsid w:val="00AC74CF"/>
    <w:rPr>
      <w:rFonts w:ascii="Arial" w:hAnsi="Arial"/>
      <w:b/>
      <w:sz w:val="48"/>
    </w:rPr>
  </w:style>
  <w:style w:type="paragraph" w:customStyle="1" w:styleId="Applicationdirecte">
    <w:name w:val="Application directe"/>
    <w:basedOn w:val="Normal"/>
    <w:next w:val="Normal"/>
    <w:rsid w:val="00AC74CF"/>
    <w:pPr>
      <w:spacing w:before="120" w:after="120" w:line="360" w:lineRule="auto"/>
    </w:pPr>
    <w:rPr>
      <w:szCs w:val="24"/>
      <w:lang w:eastAsia="en-US"/>
    </w:rPr>
  </w:style>
  <w:style w:type="paragraph" w:customStyle="1" w:styleId="Normale">
    <w:name w:val="Normale"/>
    <w:rsid w:val="00AC74CF"/>
    <w:pPr>
      <w:widowControl w:val="0"/>
      <w:spacing w:before="120" w:after="120" w:line="360" w:lineRule="auto"/>
    </w:pPr>
    <w:rPr>
      <w:sz w:val="24"/>
      <w:lang w:val="pt-PT" w:eastAsia="en-US"/>
    </w:rPr>
  </w:style>
  <w:style w:type="paragraph" w:customStyle="1" w:styleId="Formuledadoption">
    <w:name w:val="Formule d'adoption"/>
    <w:basedOn w:val="Normal"/>
    <w:next w:val="Normal"/>
    <w:rsid w:val="00AC74CF"/>
    <w:pPr>
      <w:keepNext/>
      <w:widowControl/>
      <w:spacing w:before="120" w:after="120" w:line="360" w:lineRule="auto"/>
    </w:pPr>
    <w:rPr>
      <w:szCs w:val="24"/>
      <w:lang w:eastAsia="en-US"/>
    </w:rPr>
  </w:style>
  <w:style w:type="paragraph" w:customStyle="1" w:styleId="Rfrenceinstitutionnelle">
    <w:name w:val="Référence institutionnelle"/>
    <w:basedOn w:val="Normal"/>
    <w:next w:val="Normal"/>
    <w:rsid w:val="00AC74CF"/>
    <w:pPr>
      <w:widowControl/>
      <w:spacing w:after="240" w:line="360" w:lineRule="auto"/>
      <w:ind w:left="5102"/>
    </w:pPr>
    <w:rPr>
      <w:szCs w:val="24"/>
      <w:lang w:eastAsia="en-US"/>
    </w:rPr>
  </w:style>
  <w:style w:type="paragraph" w:customStyle="1" w:styleId="Footer1">
    <w:name w:val="Footer1"/>
    <w:basedOn w:val="Normal"/>
    <w:rsid w:val="00AC74CF"/>
    <w:pPr>
      <w:widowControl/>
      <w:tabs>
        <w:tab w:val="center" w:pos="4150"/>
        <w:tab w:val="right" w:pos="8306"/>
        <w:tab w:val="right" w:pos="9638"/>
      </w:tabs>
      <w:spacing w:line="360" w:lineRule="auto"/>
    </w:pPr>
    <w:rPr>
      <w:szCs w:val="24"/>
      <w:lang w:eastAsia="en-US"/>
    </w:rPr>
  </w:style>
  <w:style w:type="paragraph" w:customStyle="1" w:styleId="SignatureInstitution">
    <w:name w:val="Signature Institution"/>
    <w:basedOn w:val="Normal"/>
    <w:rsid w:val="00AC74CF"/>
    <w:pPr>
      <w:keepNext/>
      <w:widowControl/>
      <w:tabs>
        <w:tab w:val="left" w:pos="4252"/>
      </w:tabs>
      <w:spacing w:before="720" w:after="100" w:line="360" w:lineRule="auto"/>
      <w:jc w:val="both"/>
    </w:pPr>
    <w:rPr>
      <w:i/>
      <w:szCs w:val="24"/>
      <w:lang w:eastAsia="en-US"/>
    </w:rPr>
  </w:style>
  <w:style w:type="paragraph" w:customStyle="1" w:styleId="Statut">
    <w:name w:val="Statut"/>
    <w:basedOn w:val="Normal"/>
    <w:next w:val="Normal"/>
    <w:rsid w:val="00AC74CF"/>
    <w:pPr>
      <w:widowControl/>
      <w:spacing w:before="840" w:line="360" w:lineRule="auto"/>
      <w:jc w:val="center"/>
    </w:pPr>
    <w:rPr>
      <w:szCs w:val="24"/>
      <w:lang w:eastAsia="en-US"/>
    </w:rPr>
  </w:style>
  <w:style w:type="paragraph" w:customStyle="1" w:styleId="Typedudocument">
    <w:name w:val="Type du document"/>
    <w:basedOn w:val="Normal"/>
    <w:next w:val="Normal"/>
    <w:rsid w:val="00AC74CF"/>
    <w:pPr>
      <w:widowControl/>
      <w:spacing w:before="360" w:line="360" w:lineRule="auto"/>
      <w:jc w:val="center"/>
    </w:pPr>
    <w:rPr>
      <w:b/>
      <w:szCs w:val="24"/>
      <w:lang w:eastAsia="en-US"/>
    </w:rPr>
  </w:style>
  <w:style w:type="paragraph" w:customStyle="1" w:styleId="Titreobjet">
    <w:name w:val="Titre objet"/>
    <w:basedOn w:val="Normal"/>
    <w:next w:val="Normal"/>
    <w:rsid w:val="00AC74CF"/>
    <w:pPr>
      <w:widowControl/>
      <w:spacing w:before="360" w:after="360" w:line="360" w:lineRule="auto"/>
      <w:jc w:val="center"/>
    </w:pPr>
    <w:rPr>
      <w:b/>
      <w:szCs w:val="24"/>
      <w:lang w:eastAsia="en-US"/>
    </w:rPr>
  </w:style>
  <w:style w:type="paragraph" w:customStyle="1" w:styleId="IntrtEEE">
    <w:name w:val="Intérêt EEE"/>
    <w:basedOn w:val="Normal"/>
    <w:next w:val="Normal"/>
    <w:rsid w:val="00AC74CF"/>
    <w:pPr>
      <w:widowControl/>
      <w:spacing w:before="360" w:after="240" w:line="360" w:lineRule="auto"/>
      <w:jc w:val="center"/>
    </w:pPr>
    <w:rPr>
      <w:szCs w:val="24"/>
      <w:lang w:eastAsia="en-US"/>
    </w:rPr>
  </w:style>
  <w:style w:type="paragraph" w:styleId="Revision">
    <w:name w:val="Revision"/>
    <w:hidden/>
    <w:uiPriority w:val="99"/>
    <w:semiHidden/>
    <w:rsid w:val="00AC74CF"/>
    <w:rPr>
      <w:sz w:val="24"/>
      <w:szCs w:val="24"/>
      <w:lang w:val="pt-PT" w:eastAsia="en-US"/>
    </w:rPr>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ormal"/>
    <w:next w:val="Normal"/>
    <w:link w:val="FootnoteReference"/>
    <w:uiPriority w:val="99"/>
    <w:rsid w:val="004814A4"/>
    <w:pPr>
      <w:widowControl/>
      <w:spacing w:after="160" w:line="240" w:lineRule="exact"/>
    </w:pPr>
    <w:rPr>
      <w:sz w:val="20"/>
      <w:vertAlign w:val="superscript"/>
      <w:lang w:val="en-GB"/>
    </w:rPr>
  </w:style>
  <w:style w:type="paragraph" w:customStyle="1" w:styleId="HeadingDocType24a">
    <w:name w:val="HeadingDocType24a"/>
    <w:basedOn w:val="Normal"/>
    <w:rsid w:val="00CA1AE2"/>
    <w:pPr>
      <w:spacing w:after="480"/>
      <w:jc w:val="center"/>
    </w:pPr>
    <w:rPr>
      <w:rFonts w:ascii="Arial" w:hAnsi="Arial"/>
      <w:b/>
      <w:sz w:val="48"/>
    </w:rPr>
  </w:style>
  <w:style w:type="paragraph" w:customStyle="1" w:styleId="HeadingReferenceERCO">
    <w:name w:val="HeadingReferenceERCO"/>
    <w:basedOn w:val="Normal"/>
    <w:rsid w:val="00CA1AE2"/>
    <w:pPr>
      <w:spacing w:before="360" w:after="240"/>
      <w:jc w:val="right"/>
    </w:pPr>
    <w:rPr>
      <w:rFonts w:ascii="Arial" w:hAnsi="Arial"/>
      <w:b/>
    </w:rPr>
  </w:style>
  <w:style w:type="paragraph" w:customStyle="1" w:styleId="NormalCenter">
    <w:name w:val="NormalCenter"/>
    <w:basedOn w:val="Normal"/>
    <w:rsid w:val="00CA1AE2"/>
    <w:pPr>
      <w:jc w:val="center"/>
    </w:pPr>
  </w:style>
  <w:style w:type="paragraph" w:customStyle="1" w:styleId="LineSingle">
    <w:name w:val="LineSingle"/>
    <w:basedOn w:val="Normal"/>
    <w:next w:val="Normal"/>
    <w:rsid w:val="00CA1AE2"/>
    <w:pPr>
      <w:pBdr>
        <w:bottom w:val="single" w:sz="4" w:space="1" w:color="auto"/>
      </w:pBdr>
      <w:spacing w:after="240"/>
    </w:pPr>
  </w:style>
  <w:style w:type="paragraph" w:customStyle="1" w:styleId="HeadingDate">
    <w:name w:val="HeadingDate"/>
    <w:basedOn w:val="Normal"/>
    <w:rsid w:val="00CA1AE2"/>
    <w:pPr>
      <w:spacing w:before="240" w:after="240"/>
    </w:pPr>
  </w:style>
  <w:style w:type="paragraph" w:styleId="BodyTextIndent">
    <w:name w:val="Body Text Indent"/>
    <w:basedOn w:val="Normal"/>
    <w:link w:val="BodyTextIndentChar"/>
    <w:rsid w:val="00CA1AE2"/>
    <w:pPr>
      <w:spacing w:after="120"/>
      <w:ind w:left="283"/>
    </w:pPr>
  </w:style>
  <w:style w:type="character" w:customStyle="1" w:styleId="BodyTextIndentChar">
    <w:name w:val="Body Text Indent Char"/>
    <w:basedOn w:val="DefaultParagraphFont"/>
    <w:link w:val="BodyTextIndent"/>
    <w:rsid w:val="00CA1AE2"/>
    <w:rPr>
      <w:sz w:val="24"/>
      <w:lang w:val="pt-PT"/>
    </w:rPr>
  </w:style>
  <w:style w:type="paragraph" w:styleId="BodyTextFirstIndent2">
    <w:name w:val="Body Text First Indent 2"/>
    <w:basedOn w:val="BodyTextIndent"/>
    <w:link w:val="BodyTextFirstIndent2Char"/>
    <w:rsid w:val="00CA1AE2"/>
    <w:pPr>
      <w:spacing w:after="0"/>
      <w:ind w:left="360" w:firstLine="360"/>
    </w:pPr>
  </w:style>
  <w:style w:type="character" w:customStyle="1" w:styleId="BodyTextFirstIndent2Char">
    <w:name w:val="Body Text First Indent 2 Char"/>
    <w:basedOn w:val="BodyTextIndentChar"/>
    <w:link w:val="BodyTextFirstIndent2"/>
    <w:rsid w:val="00CA1AE2"/>
    <w:rPr>
      <w:sz w:val="24"/>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data.europa.eu/eli/reg/2025/38/oj" TargetMode="External"/><Relationship Id="rId1" Type="http://schemas.openxmlformats.org/officeDocument/2006/relationships/hyperlink" Target="http://data.europa.eu/eli/C/2024/1049/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47E577-7F19-488E-A61B-1434615A0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870</Words>
  <Characters>4861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5720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MARTINSIsabelAlex</dc:creator>
  <cp:keywords/>
  <cp:lastModifiedBy>MARTINSIsabelAlex</cp:lastModifiedBy>
  <cp:revision>2</cp:revision>
  <cp:lastPrinted>2004-11-19T15:42:00Z</cp:lastPrinted>
  <dcterms:created xsi:type="dcterms:W3CDTF">2025-03-17T14:26:00Z</dcterms:created>
  <dcterms:modified xsi:type="dcterms:W3CDTF">2025-03-17T14:26:00Z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PT</vt:lpwstr>
  </property>
  <property fmtid="{D5CDD505-2E9C-101B-9397-08002B2CF9AE}" pid="3" name="&lt;FdR&gt;">
    <vt:lpwstr>P9_TA(2024)0355_</vt:lpwstr>
  </property>
  <property fmtid="{D5CDD505-2E9C-101B-9397-08002B2CF9AE}" pid="4" name="&lt;Type&gt;">
    <vt:lpwstr>RR</vt:lpwstr>
  </property>
</Properties>
</file>