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DD105F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DD105F" w:rsidRDefault="008F0BDA">
            <w:pPr>
              <w:pStyle w:val="EPName"/>
            </w:pPr>
            <w:r>
              <w:t>Európsky parlament</w:t>
            </w:r>
          </w:p>
          <w:p w:rsidR="00DD105F" w:rsidRDefault="008F0BDA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>
              <w:t>2019-2024</w:t>
            </w:r>
          </w:p>
        </w:tc>
        <w:tc>
          <w:tcPr>
            <w:tcW w:w="2268" w:type="dxa"/>
            <w:shd w:val="clear" w:color="auto" w:fill="auto"/>
          </w:tcPr>
          <w:p w:rsidR="00DD105F" w:rsidRDefault="008F0BDA">
            <w:pPr>
              <w:pStyle w:val="EPLogo"/>
            </w:pPr>
            <w:r>
              <w:rPr>
                <w:noProof/>
                <w:lang w:val="pl-PL" w:eastAsia="pl-PL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105F" w:rsidRDefault="00DD105F">
      <w:pPr>
        <w:pStyle w:val="LineTop"/>
      </w:pPr>
    </w:p>
    <w:p w:rsidR="00DD105F" w:rsidRDefault="008F0BDA">
      <w:pPr>
        <w:pStyle w:val="EPBodyTA1"/>
      </w:pPr>
      <w:r>
        <w:t>PRIJATÉ TEXTY</w:t>
      </w:r>
    </w:p>
    <w:p w:rsidR="00DD105F" w:rsidRDefault="00DD105F">
      <w:pPr>
        <w:pStyle w:val="LineBottom"/>
      </w:pPr>
    </w:p>
    <w:p w:rsidR="00DD105F" w:rsidRDefault="008F0BDA">
      <w:pPr>
        <w:pStyle w:val="ATHeading1"/>
      </w:pPr>
      <w:bookmarkStart w:id="0" w:name="TANumber"/>
      <w:r>
        <w:t>P9_TA(2024)0355</w:t>
      </w:r>
      <w:bookmarkEnd w:id="0"/>
    </w:p>
    <w:p w:rsidR="00DD105F" w:rsidRDefault="008F0BDA">
      <w:pPr>
        <w:pStyle w:val="ATHeading2"/>
      </w:pPr>
      <w:bookmarkStart w:id="1" w:name="title"/>
      <w:r>
        <w:t>Akt o kybernetickej solidarite</w:t>
      </w:r>
      <w:bookmarkEnd w:id="1"/>
    </w:p>
    <w:p w:rsidR="00DD105F" w:rsidRDefault="008F0BDA">
      <w:pPr>
        <w:rPr>
          <w:i/>
          <w:vanish/>
        </w:rPr>
      </w:pPr>
      <w:r>
        <w:rPr>
          <w:i/>
        </w:rPr>
        <w:fldChar w:fldCharType="begin"/>
      </w:r>
      <w:r>
        <w:rPr>
          <w:i/>
        </w:rPr>
        <w:instrText xml:space="preserve"> TC"(</w:instrText>
      </w:r>
      <w:bookmarkStart w:id="2" w:name="DocNumber"/>
      <w:r>
        <w:rPr>
          <w:i/>
        </w:rPr>
        <w:instrText>A9-0426/2023</w:instrText>
      </w:r>
      <w:bookmarkEnd w:id="2"/>
      <w:r>
        <w:rPr>
          <w:i/>
        </w:rPr>
        <w:instrText xml:space="preserve"> - Spravodajkyňa: </w:instrText>
      </w:r>
      <w:proofErr w:type="spellStart"/>
      <w:r>
        <w:rPr>
          <w:i/>
        </w:rPr>
        <w:instrText>Lina</w:instrText>
      </w:r>
      <w:proofErr w:type="spellEnd"/>
      <w:r>
        <w:rPr>
          <w:i/>
        </w:rPr>
        <w:instrText xml:space="preserve"> </w:instrText>
      </w:r>
      <w:proofErr w:type="spellStart"/>
      <w:r>
        <w:rPr>
          <w:i/>
        </w:rPr>
        <w:instrText>Gálvez</w:instrText>
      </w:r>
      <w:proofErr w:type="spellEnd"/>
      <w:r>
        <w:rPr>
          <w:i/>
        </w:rPr>
        <w:instrText xml:space="preserve"> </w:instrText>
      </w:r>
      <w:proofErr w:type="spellStart"/>
      <w:r>
        <w:rPr>
          <w:i/>
        </w:rPr>
        <w:instrText>Muñoz</w:instrText>
      </w:r>
      <w:proofErr w:type="spellEnd"/>
      <w:r>
        <w:rPr>
          <w:i/>
        </w:rPr>
        <w:instrText xml:space="preserve">)"\l3 \n&gt; \* MERGEFORMAT </w:instrText>
      </w:r>
      <w:r>
        <w:rPr>
          <w:i/>
        </w:rPr>
        <w:fldChar w:fldCharType="end"/>
      </w:r>
    </w:p>
    <w:p w:rsidR="00DD105F" w:rsidRDefault="008F0BDA">
      <w:pPr>
        <w:rPr>
          <w:vanish/>
        </w:rPr>
      </w:pPr>
      <w:bookmarkStart w:id="3" w:name="Commission"/>
      <w:r>
        <w:rPr>
          <w:vanish/>
        </w:rPr>
        <w:t>Výbor pre priemysel, výskum a energetiku</w:t>
      </w:r>
      <w:bookmarkEnd w:id="3"/>
    </w:p>
    <w:p w:rsidR="00DD105F" w:rsidRDefault="008F0BDA">
      <w:pPr>
        <w:rPr>
          <w:vanish/>
        </w:rPr>
      </w:pPr>
      <w:bookmarkStart w:id="4" w:name="PE"/>
      <w:r>
        <w:rPr>
          <w:vanish/>
        </w:rPr>
        <w:t>PE752.795</w:t>
      </w:r>
      <w:bookmarkEnd w:id="4"/>
    </w:p>
    <w:p w:rsidR="00DD105F" w:rsidRDefault="008F0BDA">
      <w:pPr>
        <w:pStyle w:val="ATHeading3"/>
      </w:pPr>
      <w:bookmarkStart w:id="5" w:name="Sujet"/>
      <w:r>
        <w:t xml:space="preserve">Legislatívne uznesenie Európskeho parlamentu z 24. apríla 2024 o návrhu nariadenia Európskeho parlamentu a Rady, ktorým sa stanovujú opatrenia na posilnenie solidarity a kapacít v Únii na odhaľovanie kybernetických hrozieb a incidentov, prípravu a reakciu na </w:t>
      </w:r>
      <w:proofErr w:type="spellStart"/>
      <w:r>
        <w:t>ne</w:t>
      </w:r>
      <w:bookmarkEnd w:id="5"/>
      <w:proofErr w:type="spellEnd"/>
      <w:r>
        <w:t xml:space="preserve"> </w:t>
      </w:r>
      <w:bookmarkStart w:id="6" w:name="References"/>
      <w:r>
        <w:t>(COM(2023)0209 – C9-0136/2023 – 2023/0109(COD))</w:t>
      </w:r>
      <w:bookmarkEnd w:id="6"/>
    </w:p>
    <w:p w:rsidR="00DD105F" w:rsidRDefault="008F0BDA">
      <w:pPr>
        <w:pStyle w:val="NormalBold"/>
      </w:pPr>
      <w:bookmarkStart w:id="7" w:name="TextBodyBegin"/>
      <w:bookmarkEnd w:id="7"/>
      <w:r>
        <w:t>(Riadny legislatívny postup: prvé čítanie)</w:t>
      </w:r>
    </w:p>
    <w:p w:rsidR="00DD105F" w:rsidRDefault="008F0BDA">
      <w:pPr>
        <w:pStyle w:val="EPComma"/>
      </w:pPr>
      <w:r>
        <w:rPr>
          <w:i/>
          <w:iCs/>
        </w:rPr>
        <w:t>Európsky parlament</w:t>
      </w:r>
      <w:r>
        <w:t>,</w:t>
      </w:r>
    </w:p>
    <w:p w:rsidR="00DD105F" w:rsidRDefault="008F0BDA">
      <w:pPr>
        <w:pStyle w:val="NormalHanging12a"/>
      </w:pPr>
      <w:r>
        <w:t>–</w:t>
      </w:r>
      <w:r>
        <w:tab/>
        <w:t>so zreteľom na návrh Komisie pre Európsky parlament a Radu (COM(2023)0209),</w:t>
      </w:r>
    </w:p>
    <w:p w:rsidR="00DD105F" w:rsidRDefault="008F0BDA">
      <w:pPr>
        <w:pStyle w:val="NormalHanging12a"/>
      </w:pPr>
      <w:r>
        <w:t>–</w:t>
      </w:r>
      <w:r>
        <w:tab/>
        <w:t>so zreteľom na článok 294 ods. 2, článok 173 ods. 3 a článok 322 ods. 1 písm. a) Zmluvy o fungovaní Európskej únie, v súlade s ktorými Komisia predložila návrh Európskemu parlamentu (C9</w:t>
      </w:r>
      <w:r>
        <w:noBreakHyphen/>
        <w:t>0136/2023),</w:t>
      </w:r>
    </w:p>
    <w:p w:rsidR="00DD105F" w:rsidRDefault="008F0BDA">
      <w:pPr>
        <w:pStyle w:val="NormalHanging12a"/>
      </w:pPr>
      <w:r>
        <w:t>–</w:t>
      </w:r>
      <w:r>
        <w:tab/>
        <w:t>so zreteľom na článok 294 ods. 3 Zmluvy o fungovaní Európskej únie,</w:t>
      </w:r>
    </w:p>
    <w:p w:rsidR="00DD105F" w:rsidRDefault="008F0BDA">
      <w:pPr>
        <w:pStyle w:val="NormalHanging12a"/>
      </w:pPr>
      <w:r>
        <w:t>–</w:t>
      </w:r>
      <w:r>
        <w:tab/>
        <w:t>so zreteľom na stanovisko Dvora audítorov z 18. apríla 2023</w:t>
      </w:r>
      <w:r>
        <w:rPr>
          <w:rStyle w:val="FootnoteReference"/>
        </w:rPr>
        <w:footnoteReference w:id="1"/>
      </w:r>
      <w:r>
        <w:t>,</w:t>
      </w:r>
    </w:p>
    <w:p w:rsidR="00DD105F" w:rsidRDefault="008F0BDA">
      <w:pPr>
        <w:pStyle w:val="NormalHanging12a"/>
      </w:pPr>
      <w:r>
        <w:t>–</w:t>
      </w:r>
      <w:r>
        <w:tab/>
        <w:t>so zreteľom na stanovisko Európskeho hospodárskeho a sociálneho výboru z 13. júla 2023</w:t>
      </w:r>
      <w:r>
        <w:rPr>
          <w:rStyle w:val="FootnoteReference"/>
        </w:rPr>
        <w:footnoteReference w:id="2"/>
      </w:r>
      <w:r>
        <w:t>,</w:t>
      </w:r>
    </w:p>
    <w:p w:rsidR="00DD105F" w:rsidRDefault="008F0BDA">
      <w:pPr>
        <w:pStyle w:val="NormalHanging12a"/>
      </w:pPr>
      <w:r>
        <w:t>–</w:t>
      </w:r>
      <w:r>
        <w:tab/>
        <w:t>so zreteľom na stanovisko Výboru regiónov z 30. novembra 2023</w:t>
      </w:r>
      <w:r>
        <w:rPr>
          <w:rStyle w:val="FootnoteReference"/>
        </w:rPr>
        <w:footnoteReference w:id="3"/>
      </w:r>
      <w:r>
        <w:t>,</w:t>
      </w:r>
    </w:p>
    <w:p w:rsidR="00DD105F" w:rsidRDefault="008F0BDA">
      <w:pPr>
        <w:pStyle w:val="NormalHanging12a"/>
      </w:pPr>
      <w:r>
        <w:t>–</w:t>
      </w:r>
      <w:r>
        <w:tab/>
        <w:t>so zreteľom na predbežnú dohodu schválenú gestorským výborom podľa článku 74 ods. 4 rokovacieho poriadku, a na záväzok zástupcu Rady, vyjadrený v liste z 21. marca 2024, schváliť pozíciu Európskeho parlamentu v súlade s článkom 294 ods. 4 Zmluvy o fungovaní Európskej únie,</w:t>
      </w:r>
    </w:p>
    <w:p w:rsidR="00DD105F" w:rsidRDefault="008F0BDA">
      <w:pPr>
        <w:pStyle w:val="NormalHanging12a"/>
      </w:pPr>
      <w:r>
        <w:t>–</w:t>
      </w:r>
      <w:r>
        <w:tab/>
        <w:t>so zreteľom na článok 59 rokovacieho poriadku,</w:t>
      </w:r>
    </w:p>
    <w:p w:rsidR="00DD105F" w:rsidRDefault="008F0BDA">
      <w:pPr>
        <w:pStyle w:val="NormalHanging12a"/>
      </w:pPr>
      <w:r>
        <w:t>–</w:t>
      </w:r>
      <w:r>
        <w:tab/>
        <w:t xml:space="preserve">so zreteľom na stanoviská Výboru pre zahraničné veci a Výboru pre dopravu a cestovný </w:t>
      </w:r>
      <w:r>
        <w:lastRenderedPageBreak/>
        <w:t xml:space="preserve">ruch, </w:t>
      </w:r>
    </w:p>
    <w:p w:rsidR="00DD105F" w:rsidRDefault="008F0BDA">
      <w:pPr>
        <w:pStyle w:val="NormalHanging12a"/>
      </w:pPr>
      <w:r>
        <w:t>–</w:t>
      </w:r>
      <w:r>
        <w:tab/>
        <w:t>so zreteľom na správu Výboru pre priemysel, výskum a energetiku (A9-0426/2023),</w:t>
      </w:r>
    </w:p>
    <w:p w:rsidR="00DD105F" w:rsidRDefault="008F0BDA">
      <w:pPr>
        <w:pStyle w:val="NormalHanging12a"/>
      </w:pPr>
      <w:r>
        <w:t>1.</w:t>
      </w:r>
      <w:r>
        <w:tab/>
        <w:t>prijíma nasledujúcu pozíciu v prvom čítaní;</w:t>
      </w:r>
    </w:p>
    <w:p w:rsidR="00DD105F" w:rsidRDefault="008F0BDA">
      <w:pPr>
        <w:pStyle w:val="NormalHanging12a"/>
      </w:pPr>
      <w:r>
        <w:t>2.</w:t>
      </w:r>
      <w:r>
        <w:tab/>
        <w:t xml:space="preserve">berie na vedomie vyhlásenie Komisie, ktoré je uvedené v prílohe k tomuto uzneseniu a ktoré bude uverejnené v sérii C </w:t>
      </w:r>
      <w:r>
        <w:rPr>
          <w:i/>
        </w:rPr>
        <w:t>Úradného vestníka Európskej únie</w:t>
      </w:r>
      <w:r>
        <w:t>;</w:t>
      </w:r>
    </w:p>
    <w:p w:rsidR="00DD105F" w:rsidRDefault="008F0BDA">
      <w:pPr>
        <w:pStyle w:val="NormalHanging12a"/>
      </w:pPr>
      <w:r>
        <w:t>3.</w:t>
      </w:r>
      <w:r>
        <w:tab/>
        <w:t>žiada Komisiu, aby mu vec znovu predložila, ak nahrádza, podstatne mení alebo má v úmysle podstatne zmeniť svoj návrh;</w:t>
      </w:r>
    </w:p>
    <w:p w:rsidR="00DD105F" w:rsidRDefault="008F0BDA">
      <w:pPr>
        <w:pStyle w:val="NormalHanging12a"/>
      </w:pPr>
      <w:r>
        <w:t>4.</w:t>
      </w:r>
      <w:r>
        <w:tab/>
        <w:t>poveruje svoju predsedníčku, aby postúpila túto pozíciu Rade, Komisii a národným parlamentom.</w:t>
      </w:r>
    </w:p>
    <w:p w:rsidR="00DD105F" w:rsidRDefault="00DD105F">
      <w:pPr>
        <w:sectPr w:rsidR="00DD105F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DD105F" w:rsidRDefault="008F0BDA">
      <w:pPr>
        <w:pStyle w:val="Institutionquiagit"/>
        <w:keepNext w:val="0"/>
        <w:spacing w:before="0" w:after="240"/>
        <w:jc w:val="left"/>
        <w:outlineLvl w:val="0"/>
        <w:rPr>
          <w:b/>
        </w:rPr>
      </w:pPr>
      <w:r>
        <w:rPr>
          <w:b/>
        </w:rPr>
        <w:lastRenderedPageBreak/>
        <w:t>P9_TC1-COD(2023)0109</w:t>
      </w:r>
    </w:p>
    <w:p w:rsidR="00DD105F" w:rsidRPr="00B84084" w:rsidRDefault="008F0BDA">
      <w:pPr>
        <w:rPr>
          <w:b/>
          <w:szCs w:val="24"/>
          <w:lang w:eastAsia="en-US"/>
        </w:rPr>
      </w:pPr>
      <w:r>
        <w:rPr>
          <w:b/>
        </w:rPr>
        <w:t>Pozícia Európskeho parlamentu prijatá v prvom čítaní 24. apríla 2024 na účely prijatia nariadenia Európskeho parlamentu a Rady (EÚ) 202</w:t>
      </w:r>
      <w:r w:rsidR="00B84084">
        <w:rPr>
          <w:b/>
        </w:rPr>
        <w:t>5</w:t>
      </w:r>
      <w:r>
        <w:rPr>
          <w:b/>
        </w:rPr>
        <w:t xml:space="preserve">/..., </w:t>
      </w:r>
      <w:r w:rsidRPr="00B84084">
        <w:rPr>
          <w:b/>
          <w:szCs w:val="24"/>
          <w:lang w:eastAsia="en-US"/>
        </w:rPr>
        <w:t xml:space="preserve">ktorým sa stanovujú opatrenia na posilnenie solidarity a kapacít v Únii na odhaľovanie kybernetických hrozieb a incidentov, prípravu a reakciu na </w:t>
      </w:r>
      <w:proofErr w:type="spellStart"/>
      <w:r w:rsidRPr="00B84084">
        <w:rPr>
          <w:b/>
          <w:szCs w:val="24"/>
          <w:lang w:eastAsia="en-US"/>
        </w:rPr>
        <w:t>ne</w:t>
      </w:r>
      <w:proofErr w:type="spellEnd"/>
      <w:r w:rsidRPr="00B84084">
        <w:rPr>
          <w:b/>
          <w:szCs w:val="24"/>
          <w:lang w:eastAsia="en-US"/>
        </w:rPr>
        <w:t xml:space="preserve"> a ktorým sa mení nariadenie (EÚ) 2021/694 (akt o kybernetickej solidarite)</w:t>
      </w:r>
    </w:p>
    <w:p w:rsidR="00B84084" w:rsidRDefault="00B84084">
      <w:pPr>
        <w:rPr>
          <w:b/>
          <w:i/>
          <w:szCs w:val="24"/>
          <w:lang w:eastAsia="en-US"/>
        </w:rPr>
      </w:pPr>
    </w:p>
    <w:p w:rsidR="00B84084" w:rsidRPr="00B84084" w:rsidRDefault="00B84084">
      <w:pPr>
        <w:rPr>
          <w:b/>
          <w:i/>
          <w:szCs w:val="24"/>
          <w:lang w:val="lt-LT" w:eastAsia="en-US"/>
        </w:rPr>
      </w:pPr>
    </w:p>
    <w:p w:rsidR="00B84084" w:rsidRDefault="00B84084">
      <w:pPr>
        <w:widowControl/>
        <w:rPr>
          <w:i/>
          <w:iCs/>
        </w:rPr>
      </w:pPr>
      <w:r w:rsidRPr="00731EF8">
        <w:rPr>
          <w:i/>
          <w:iCs/>
        </w:rPr>
        <w:t xml:space="preserve">(Keďže bola dosiahnutá dohoda medzi Európskym parlamentom a Radou, pozícia Európskeho parlamentu zodpovedá záverečnému legislatívnemu aktu, </w:t>
      </w:r>
      <w:r w:rsidRPr="00B84084">
        <w:rPr>
          <w:i/>
          <w:iCs/>
        </w:rPr>
        <w:t>nariadeniu (EÚ) 202</w:t>
      </w:r>
      <w:r>
        <w:rPr>
          <w:i/>
          <w:iCs/>
        </w:rPr>
        <w:t>5</w:t>
      </w:r>
      <w:r w:rsidRPr="00B84084">
        <w:rPr>
          <w:i/>
          <w:iCs/>
        </w:rPr>
        <w:t>/</w:t>
      </w:r>
      <w:r>
        <w:rPr>
          <w:i/>
          <w:iCs/>
        </w:rPr>
        <w:t>38</w:t>
      </w:r>
      <w:r w:rsidRPr="00B84084">
        <w:rPr>
          <w:i/>
          <w:iCs/>
        </w:rPr>
        <w:t>.)</w:t>
      </w:r>
    </w:p>
    <w:p w:rsidR="00DD105F" w:rsidRDefault="008F0BDA">
      <w:pPr>
        <w:widowControl/>
      </w:pPr>
      <w:r>
        <w:br w:type="page"/>
      </w:r>
    </w:p>
    <w:p w:rsidR="00DD105F" w:rsidRDefault="008F0BDA">
      <w:pPr>
        <w:jc w:val="right"/>
        <w:rPr>
          <w:bCs/>
          <w:iCs/>
          <w:szCs w:val="24"/>
        </w:rPr>
      </w:pPr>
      <w:r>
        <w:rPr>
          <w:bCs/>
          <w:iCs/>
          <w:szCs w:val="24"/>
        </w:rPr>
        <w:lastRenderedPageBreak/>
        <w:t>PRÍLOHA K LEGISLATÍVNEMU UZNESENIU</w:t>
      </w:r>
    </w:p>
    <w:p w:rsidR="00DD105F" w:rsidRDefault="00DD105F">
      <w:pPr>
        <w:jc w:val="right"/>
        <w:rPr>
          <w:bCs/>
          <w:iCs/>
          <w:szCs w:val="24"/>
        </w:rPr>
      </w:pPr>
    </w:p>
    <w:p w:rsidR="00DD105F" w:rsidRDefault="008F0BDA">
      <w:pPr>
        <w:kinsoku w:val="0"/>
        <w:overflowPunct w:val="0"/>
        <w:autoSpaceDE w:val="0"/>
        <w:autoSpaceDN w:val="0"/>
        <w:adjustRightInd w:val="0"/>
        <w:spacing w:before="79" w:line="360" w:lineRule="auto"/>
        <w:ind w:left="116" w:right="111"/>
        <w:jc w:val="center"/>
        <w:rPr>
          <w:b/>
          <w:i/>
          <w:iCs/>
          <w:szCs w:val="24"/>
        </w:rPr>
      </w:pPr>
      <w:r>
        <w:rPr>
          <w:b/>
          <w:i/>
          <w:iCs/>
          <w:szCs w:val="24"/>
        </w:rPr>
        <w:t>Vyhlásenie Komisie o rozpočte k návrhu nariadenia Európskeho parlamentu a</w:t>
      </w:r>
      <w:r w:rsidR="00062B06">
        <w:rPr>
          <w:b/>
          <w:i/>
          <w:iCs/>
          <w:szCs w:val="24"/>
        </w:rPr>
        <w:t> </w:t>
      </w:r>
      <w:r>
        <w:rPr>
          <w:b/>
          <w:i/>
          <w:iCs/>
          <w:szCs w:val="24"/>
        </w:rPr>
        <w:t>Rady</w:t>
      </w:r>
      <w:r w:rsidR="00062B06">
        <w:rPr>
          <w:b/>
          <w:i/>
          <w:iCs/>
          <w:szCs w:val="24"/>
        </w:rPr>
        <w:t xml:space="preserve"> (EÚ) 2025/38 z 19. decembra 2024</w:t>
      </w:r>
      <w:r>
        <w:rPr>
          <w:b/>
          <w:i/>
          <w:iCs/>
          <w:szCs w:val="24"/>
        </w:rPr>
        <w:t xml:space="preserve">, ktorým sa stanovujú opatrenia na posilnenie solidarity a kapacít v Únii na odhaľovanie kybernetických hrozieb a incidentov, prípravu a reakciu na </w:t>
      </w:r>
      <w:proofErr w:type="spellStart"/>
      <w:r>
        <w:rPr>
          <w:b/>
          <w:i/>
          <w:iCs/>
          <w:szCs w:val="24"/>
        </w:rPr>
        <w:t>ne</w:t>
      </w:r>
      <w:proofErr w:type="spellEnd"/>
      <w:r>
        <w:rPr>
          <w:b/>
          <w:i/>
          <w:iCs/>
          <w:szCs w:val="24"/>
        </w:rPr>
        <w:t xml:space="preserve"> </w:t>
      </w:r>
      <w:bookmarkStart w:id="8" w:name="_GoBack"/>
      <w:bookmarkEnd w:id="8"/>
      <w:r>
        <w:rPr>
          <w:b/>
          <w:i/>
          <w:iCs/>
          <w:szCs w:val="24"/>
        </w:rPr>
        <w:t>(akt o kybernetickej solidarite)</w:t>
      </w:r>
      <w:r w:rsidR="00062B06">
        <w:rPr>
          <w:rStyle w:val="FootnoteReference"/>
          <w:b/>
          <w:i/>
          <w:iCs/>
          <w:szCs w:val="24"/>
        </w:rPr>
        <w:footnoteReference w:id="4"/>
      </w:r>
    </w:p>
    <w:p w:rsidR="00DD105F" w:rsidRDefault="008F0BDA">
      <w:p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851" w:right="110" w:hanging="851"/>
        <w:rPr>
          <w:iCs/>
          <w:szCs w:val="24"/>
        </w:rPr>
      </w:pPr>
      <w:r>
        <w:rPr>
          <w:w w:val="99"/>
          <w:sz w:val="22"/>
          <w:szCs w:val="22"/>
        </w:rPr>
        <w:t>1.</w:t>
      </w:r>
      <w:r>
        <w:rPr>
          <w:w w:val="99"/>
          <w:sz w:val="22"/>
          <w:szCs w:val="22"/>
        </w:rPr>
        <w:tab/>
      </w:r>
      <w:r>
        <w:rPr>
          <w:szCs w:val="24"/>
        </w:rPr>
        <w:t>Legislatívny finančný výkaz Komisie pripojený k návrhu aktu o kybernetickej solidarite bol uverejnený v apríli 2023. Odvtedy sa príslušné odhadované údaje zmenili v dôsledku prijatia alebo očakávaného prijatia iných legislatívnych aktov.</w:t>
      </w:r>
    </w:p>
    <w:p w:rsidR="00DD105F" w:rsidRDefault="008F0BDA">
      <w:p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851" w:right="111" w:hanging="851"/>
        <w:rPr>
          <w:iCs/>
          <w:szCs w:val="24"/>
        </w:rPr>
      </w:pPr>
      <w:r>
        <w:rPr>
          <w:w w:val="99"/>
          <w:szCs w:val="24"/>
        </w:rPr>
        <w:t>2.</w:t>
      </w:r>
      <w:r>
        <w:rPr>
          <w:w w:val="99"/>
          <w:szCs w:val="24"/>
        </w:rPr>
        <w:tab/>
      </w:r>
      <w:proofErr w:type="spellStart"/>
      <w:r>
        <w:rPr>
          <w:szCs w:val="24"/>
        </w:rPr>
        <w:t>Spoluzákonodarcovia</w:t>
      </w:r>
      <w:proofErr w:type="spellEnd"/>
      <w:r>
        <w:rPr>
          <w:szCs w:val="24"/>
        </w:rPr>
        <w:t xml:space="preserve"> dosiahli 5. marca 2024 predbežnú politickú dohodu o obmedzení prerozdelenia prostriedkov zo špecifického cieľa 4 Pokročilé digitálne zručnosti na 22 miliónov EUR na špecifický cieľ 3 Kybernetická bezpečnosť a dôvera programu Digitálna Európa, ktorý sa predpokladá v legislatívnom finančnom výkaze.</w:t>
      </w:r>
    </w:p>
    <w:p w:rsidR="00DD105F" w:rsidRDefault="008F0BDA">
      <w:p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851" w:right="102" w:hanging="851"/>
        <w:rPr>
          <w:iCs/>
          <w:szCs w:val="24"/>
        </w:rPr>
      </w:pPr>
      <w:r>
        <w:rPr>
          <w:w w:val="99"/>
          <w:szCs w:val="24"/>
        </w:rPr>
        <w:t>3.</w:t>
      </w:r>
      <w:r>
        <w:rPr>
          <w:w w:val="99"/>
          <w:szCs w:val="24"/>
        </w:rPr>
        <w:tab/>
      </w:r>
      <w:r>
        <w:rPr>
          <w:szCs w:val="24"/>
        </w:rPr>
        <w:t xml:space="preserve">S cieľom zohľadniť podmienky predbežnej politickej dohody Komisia aktualizovala legislatívny finančný výkaz aktu o kybernetickej solidarite, pokiaľ ide o finančné krytie pre špecifické ciele 2 Umelá inteligencia, 3 Kybernetická bezpečnosť a dôvera a 4 Pokročilé digitálne zručnosti, pričom zohľadnila prerozdelenie, na ktorom sa dohodli </w:t>
      </w:r>
      <w:proofErr w:type="spellStart"/>
      <w:r>
        <w:rPr>
          <w:szCs w:val="24"/>
        </w:rPr>
        <w:t>spoluzákonodarcovia</w:t>
      </w:r>
      <w:proofErr w:type="spellEnd"/>
      <w:r>
        <w:rPr>
          <w:szCs w:val="24"/>
        </w:rPr>
        <w:t>.</w:t>
      </w:r>
    </w:p>
    <w:p w:rsidR="00DD105F" w:rsidRDefault="008F0BDA">
      <w:p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851" w:right="110" w:hanging="851"/>
        <w:rPr>
          <w:iCs/>
          <w:szCs w:val="24"/>
        </w:rPr>
      </w:pPr>
      <w:r>
        <w:rPr>
          <w:w w:val="99"/>
          <w:szCs w:val="24"/>
        </w:rPr>
        <w:t>4.</w:t>
      </w:r>
      <w:r>
        <w:rPr>
          <w:w w:val="99"/>
          <w:szCs w:val="24"/>
        </w:rPr>
        <w:tab/>
      </w:r>
      <w:r>
        <w:rPr>
          <w:szCs w:val="24"/>
        </w:rPr>
        <w:t>Finančné krytie na obdobie 2025 – 2027 uvedené v aktualizovanom legislatívnom finančnom výkaze je preto, bez toho, aby boli dotknuté právomoci Komisie v rámci ročného rozpočtového postupu, takéto:</w:t>
      </w:r>
    </w:p>
    <w:p w:rsidR="00DD105F" w:rsidRDefault="008F0BDA">
      <w:pPr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1418" w:right="111" w:hanging="567"/>
        <w:rPr>
          <w:iCs/>
          <w:szCs w:val="24"/>
        </w:rPr>
      </w:pPr>
      <w:r>
        <w:rPr>
          <w:iCs/>
          <w:szCs w:val="24"/>
        </w:rPr>
        <w:t>–</w:t>
      </w:r>
      <w:r>
        <w:rPr>
          <w:iCs/>
          <w:szCs w:val="24"/>
        </w:rPr>
        <w:tab/>
      </w:r>
      <w:r>
        <w:rPr>
          <w:szCs w:val="24"/>
        </w:rPr>
        <w:t>[544 726 000 EUR] na špecifický cieľ 2 Umelá inteligencia s prihliadnutím na 65 miliónov EUR prerozdelených na špecifický cieľ 3 Kybernetická bezpečnosť a dôvera.</w:t>
      </w:r>
    </w:p>
    <w:p w:rsidR="00DD105F" w:rsidRDefault="008F0BDA">
      <w:pPr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1418" w:right="111" w:hanging="567"/>
        <w:rPr>
          <w:iCs/>
          <w:szCs w:val="24"/>
        </w:rPr>
      </w:pPr>
      <w:r>
        <w:rPr>
          <w:iCs/>
          <w:szCs w:val="24"/>
        </w:rPr>
        <w:t>–</w:t>
      </w:r>
      <w:r>
        <w:rPr>
          <w:iCs/>
          <w:szCs w:val="24"/>
        </w:rPr>
        <w:tab/>
      </w:r>
      <w:r>
        <w:rPr>
          <w:szCs w:val="24"/>
        </w:rPr>
        <w:t>[44 451 000 EUR] na špecifický cieľ 3 Kybernetická bezpečnosť a dôvera – časť pod priamou správou Komisie vrátane 26 miliónov EUR prerozdelených z špecifických cieľov 2 a 4.</w:t>
      </w:r>
    </w:p>
    <w:p w:rsidR="00DD105F" w:rsidRDefault="008F0BDA">
      <w:pPr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1418" w:right="111" w:hanging="567"/>
        <w:rPr>
          <w:iCs/>
          <w:szCs w:val="24"/>
        </w:rPr>
      </w:pPr>
      <w:r>
        <w:rPr>
          <w:iCs/>
          <w:szCs w:val="24"/>
        </w:rPr>
        <w:t>–</w:t>
      </w:r>
      <w:r>
        <w:rPr>
          <w:iCs/>
          <w:szCs w:val="24"/>
        </w:rPr>
        <w:tab/>
      </w:r>
      <w:r>
        <w:rPr>
          <w:szCs w:val="24"/>
        </w:rPr>
        <w:t>[353 190 613] EUR na špecifický cieľ 3 Kybernetická bezpečnosť a dôvera – časť spravovaná Európskym centrom kompetencií v oblasti kybernetickej bezpečnosti vrátane prerozdelenia 61 miliónov EUR zo špecifických cieľov 2 a 4.</w:t>
      </w:r>
    </w:p>
    <w:p w:rsidR="00DD105F" w:rsidRDefault="008F0BDA">
      <w:pPr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1418" w:right="111" w:hanging="567"/>
        <w:rPr>
          <w:iCs/>
          <w:szCs w:val="24"/>
        </w:rPr>
      </w:pPr>
      <w:r>
        <w:rPr>
          <w:iCs/>
          <w:szCs w:val="24"/>
        </w:rPr>
        <w:t>–</w:t>
      </w:r>
      <w:r>
        <w:rPr>
          <w:iCs/>
          <w:szCs w:val="24"/>
        </w:rPr>
        <w:tab/>
      </w:r>
      <w:r>
        <w:rPr>
          <w:szCs w:val="24"/>
        </w:rPr>
        <w:t xml:space="preserve">[167 162 423 EUR] na špecifický cieľ 4 Pokročilé digitálne zručnosti s </w:t>
      </w:r>
      <w:r>
        <w:rPr>
          <w:szCs w:val="24"/>
        </w:rPr>
        <w:lastRenderedPageBreak/>
        <w:t>prihliadnutím na prerozdelenie 22 miliónov EUR na špecifický cieľ 3 Kybernetická bezpečnosť a dôvera.</w:t>
      </w:r>
    </w:p>
    <w:p w:rsidR="00DD105F" w:rsidRDefault="008F0BDA">
      <w:pPr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851" w:right="113" w:hanging="851"/>
        <w:rPr>
          <w:iCs/>
          <w:szCs w:val="24"/>
        </w:rPr>
      </w:pPr>
      <w:r>
        <w:rPr>
          <w:w w:val="99"/>
          <w:szCs w:val="24"/>
        </w:rPr>
        <w:t>5.</w:t>
      </w:r>
      <w:r>
        <w:rPr>
          <w:w w:val="99"/>
          <w:szCs w:val="24"/>
        </w:rPr>
        <w:tab/>
      </w:r>
      <w:r>
        <w:rPr>
          <w:szCs w:val="24"/>
        </w:rPr>
        <w:t>Rezerva EÚ na účely kybernetickej bezpečnosti sa bude financovať z finančného krytia špecifického cieľa 3 Kybernetická bezpečnosť a dôvera – časť pod priamou správou Komisie (ktorá sa podľa aktualizovaného LFV odhaduje na [44 451 000] EUR).</w:t>
      </w:r>
    </w:p>
    <w:sectPr w:rsidR="00DD105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9" w:h="16834"/>
      <w:pgMar w:top="1134" w:right="1134" w:bottom="1134" w:left="1134" w:header="1134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05F" w:rsidRDefault="008F0BDA">
      <w:r>
        <w:separator/>
      </w:r>
    </w:p>
  </w:endnote>
  <w:endnote w:type="continuationSeparator" w:id="0">
    <w:p w:rsidR="00DD105F" w:rsidRDefault="008F0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05F" w:rsidRDefault="008F0BDA">
    <w:pPr>
      <w:pStyle w:val="Footer1"/>
    </w:pPr>
    <w:r>
      <w:rPr>
        <w:rStyle w:val="Footer2"/>
      </w:rPr>
      <w:t>SK</w:t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140</w:t>
    </w:r>
    <w:r>
      <w:fldChar w:fldCharType="end"/>
    </w:r>
    <w:r>
      <w:tab/>
    </w:r>
    <w:r>
      <w:rPr>
        <w:rStyle w:val="Footer2"/>
      </w:rPr>
      <w:t>SK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05F" w:rsidRDefault="00DD10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05F" w:rsidRDefault="008F0BDA">
    <w:pPr>
      <w:pStyle w:val="Footer1"/>
    </w:pPr>
    <w:r>
      <w:rPr>
        <w:rStyle w:val="Footer2"/>
      </w:rPr>
      <w:t>SK</w:t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140</w:t>
    </w:r>
    <w:r>
      <w:fldChar w:fldCharType="end"/>
    </w:r>
    <w:r>
      <w:tab/>
    </w:r>
    <w:r>
      <w:rPr>
        <w:rStyle w:val="Footer2"/>
      </w:rPr>
      <w:t>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05F" w:rsidRDefault="008F0BDA">
      <w:r>
        <w:separator/>
      </w:r>
    </w:p>
  </w:footnote>
  <w:footnote w:type="continuationSeparator" w:id="0">
    <w:p w:rsidR="00DD105F" w:rsidRDefault="008F0BDA">
      <w:r>
        <w:continuationSeparator/>
      </w:r>
    </w:p>
  </w:footnote>
  <w:footnote w:id="1">
    <w:p w:rsidR="00DD105F" w:rsidRDefault="008F0BDA">
      <w:pPr>
        <w:pStyle w:val="FootnoteText"/>
        <w:ind w:left="567" w:hanging="567"/>
        <w:rPr>
          <w:sz w:val="24"/>
          <w:szCs w:val="24"/>
          <w:lang w:val="sk-SK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k-SK"/>
        </w:rPr>
        <w:tab/>
      </w:r>
      <w:r>
        <w:rPr>
          <w:sz w:val="24"/>
          <w:szCs w:val="24"/>
          <w:lang w:val="sk-SK"/>
        </w:rPr>
        <w:t>Zatiaľ neuverejnené v úradnom vestníku.</w:t>
      </w:r>
    </w:p>
  </w:footnote>
  <w:footnote w:id="2">
    <w:p w:rsidR="00DD105F" w:rsidRDefault="008F0BDA">
      <w:pPr>
        <w:pStyle w:val="FootnoteText"/>
        <w:ind w:left="567" w:hanging="567"/>
        <w:rPr>
          <w:sz w:val="24"/>
          <w:szCs w:val="24"/>
          <w:lang w:val="sk-SK"/>
        </w:rPr>
      </w:pPr>
      <w:r>
        <w:rPr>
          <w:rStyle w:val="FootnoteReference"/>
          <w:sz w:val="24"/>
          <w:szCs w:val="24"/>
          <w:lang w:val="sk-SK"/>
        </w:rPr>
        <w:footnoteRef/>
      </w:r>
      <w:r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ab/>
        <w:t>Ú. v. EÚ C 349, 29.9.2023, s. 167.</w:t>
      </w:r>
    </w:p>
  </w:footnote>
  <w:footnote w:id="3">
    <w:p w:rsidR="00DD105F" w:rsidRDefault="008F0BDA">
      <w:pPr>
        <w:pStyle w:val="FootnoteText"/>
        <w:ind w:left="567" w:hanging="567"/>
        <w:rPr>
          <w:sz w:val="24"/>
          <w:szCs w:val="24"/>
          <w:lang w:val="sk-SK"/>
        </w:rPr>
      </w:pPr>
      <w:r>
        <w:rPr>
          <w:rStyle w:val="FootnoteReference"/>
          <w:sz w:val="24"/>
          <w:szCs w:val="24"/>
          <w:lang w:val="sk-SK"/>
        </w:rPr>
        <w:footnoteRef/>
      </w:r>
      <w:r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ab/>
        <w:t xml:space="preserve">Ú. v. EÚ C, </w:t>
      </w:r>
      <w:r>
        <w:rPr>
          <w:sz w:val="24"/>
          <w:szCs w:val="24"/>
          <w:lang w:val="fi-FI"/>
        </w:rPr>
        <w:t xml:space="preserve">C/2024/1049, 9.2.2024, ELI: </w:t>
      </w:r>
      <w:hyperlink r:id="rId1" w:tooltip="Gives access to this document through its ELI URI." w:history="1">
        <w:r>
          <w:rPr>
            <w:sz w:val="24"/>
            <w:szCs w:val="24"/>
            <w:lang w:val="fi-FI"/>
          </w:rPr>
          <w:t>http://data.europa.eu/eli/C/2024/1049/oj</w:t>
        </w:r>
      </w:hyperlink>
      <w:r>
        <w:rPr>
          <w:sz w:val="24"/>
          <w:szCs w:val="24"/>
          <w:lang w:val="sk-SK"/>
        </w:rPr>
        <w:t>.</w:t>
      </w:r>
    </w:p>
  </w:footnote>
  <w:footnote w:id="4">
    <w:p w:rsidR="00062B06" w:rsidRPr="00062B06" w:rsidRDefault="00062B06" w:rsidP="00062B06">
      <w:pPr>
        <w:pStyle w:val="FootnoteText"/>
        <w:ind w:left="567" w:hanging="567"/>
        <w:rPr>
          <w:sz w:val="24"/>
          <w:szCs w:val="24"/>
          <w:lang w:val="lt-LT"/>
        </w:rPr>
      </w:pPr>
      <w:r>
        <w:rPr>
          <w:rStyle w:val="FootnoteReference"/>
        </w:rPr>
        <w:footnoteRef/>
      </w:r>
      <w:r w:rsidRPr="00062B06">
        <w:rPr>
          <w:lang w:val="sk-SK"/>
        </w:rPr>
        <w:t xml:space="preserve"> </w:t>
      </w:r>
      <w:r>
        <w:rPr>
          <w:lang w:val="sk-SK"/>
        </w:rPr>
        <w:tab/>
      </w:r>
      <w:r w:rsidRPr="00062B06">
        <w:rPr>
          <w:iCs/>
          <w:color w:val="333333"/>
          <w:sz w:val="24"/>
          <w:szCs w:val="24"/>
          <w:shd w:val="clear" w:color="auto" w:fill="FFFFFF"/>
          <w:lang w:val="sk-SK" w:eastAsia="en-GB"/>
        </w:rPr>
        <w:t>Ú.</w:t>
      </w:r>
      <w:r>
        <w:rPr>
          <w:iCs/>
          <w:color w:val="333333"/>
          <w:sz w:val="24"/>
          <w:szCs w:val="24"/>
          <w:shd w:val="clear" w:color="auto" w:fill="FFFFFF"/>
          <w:lang w:val="sk-SK" w:eastAsia="en-GB"/>
        </w:rPr>
        <w:t xml:space="preserve"> v. EÚ</w:t>
      </w:r>
      <w:r w:rsidRPr="00062B06">
        <w:rPr>
          <w:iCs/>
          <w:color w:val="333333"/>
          <w:sz w:val="24"/>
          <w:szCs w:val="24"/>
          <w:shd w:val="clear" w:color="auto" w:fill="FFFFFF"/>
          <w:lang w:val="sk-SK" w:eastAsia="en-GB"/>
        </w:rPr>
        <w:t xml:space="preserve"> L, 2025/38, 15.1.2025, ELI: </w:t>
      </w:r>
      <w:hyperlink r:id="rId2" w:tgtFrame="_blank" w:tooltip="Gives access to this document through its ELI URI." w:history="1">
        <w:r w:rsidRPr="00062B06">
          <w:rPr>
            <w:iCs/>
            <w:color w:val="337AB7"/>
            <w:sz w:val="24"/>
            <w:szCs w:val="24"/>
            <w:u w:val="single"/>
            <w:lang w:val="sk-SK" w:eastAsia="en-GB"/>
          </w:rPr>
          <w:t>http://data.europa.eu/eli/reg/2025/38/oj</w:t>
        </w:r>
      </w:hyperlink>
      <w:r w:rsidRPr="00062B06">
        <w:rPr>
          <w:iCs/>
          <w:color w:val="333333"/>
          <w:sz w:val="24"/>
          <w:szCs w:val="24"/>
          <w:shd w:val="clear" w:color="auto" w:fill="FFFFFF"/>
          <w:lang w:val="sk-SK" w:eastAsia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05F" w:rsidRDefault="00DD10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05F" w:rsidRDefault="00DD10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05F" w:rsidRDefault="00DD10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402"/>
    <w:multiLevelType w:val="multilevel"/>
    <w:tmpl w:val="00000885"/>
    <w:lvl w:ilvl="0">
      <w:start w:val="1"/>
      <w:numFmt w:val="decimal"/>
      <w:lvlText w:val="(%1)"/>
      <w:lvlJc w:val="left"/>
      <w:pPr>
        <w:ind w:left="116" w:hanging="281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2"/>
        <w:szCs w:val="22"/>
      </w:rPr>
    </w:lvl>
    <w:lvl w:ilvl="1">
      <w:numFmt w:val="bullet"/>
      <w:lvlText w:val="•"/>
      <w:lvlJc w:val="left"/>
      <w:pPr>
        <w:ind w:left="2408" w:hanging="281"/>
      </w:pPr>
    </w:lvl>
    <w:lvl w:ilvl="2">
      <w:numFmt w:val="bullet"/>
      <w:lvlText w:val="•"/>
      <w:lvlJc w:val="left"/>
      <w:pPr>
        <w:ind w:left="1957" w:hanging="281"/>
      </w:pPr>
    </w:lvl>
    <w:lvl w:ilvl="3">
      <w:numFmt w:val="bullet"/>
      <w:lvlText w:val="•"/>
      <w:lvlJc w:val="left"/>
      <w:pPr>
        <w:ind w:left="2875" w:hanging="281"/>
      </w:pPr>
    </w:lvl>
    <w:lvl w:ilvl="4">
      <w:numFmt w:val="bullet"/>
      <w:lvlText w:val="•"/>
      <w:lvlJc w:val="left"/>
      <w:pPr>
        <w:ind w:left="3794" w:hanging="281"/>
      </w:pPr>
    </w:lvl>
    <w:lvl w:ilvl="5">
      <w:numFmt w:val="bullet"/>
      <w:lvlText w:val="•"/>
      <w:lvlJc w:val="left"/>
      <w:pPr>
        <w:ind w:left="4713" w:hanging="281"/>
      </w:pPr>
    </w:lvl>
    <w:lvl w:ilvl="6">
      <w:numFmt w:val="bullet"/>
      <w:lvlText w:val="•"/>
      <w:lvlJc w:val="left"/>
      <w:pPr>
        <w:ind w:left="5631" w:hanging="281"/>
      </w:pPr>
    </w:lvl>
    <w:lvl w:ilvl="7">
      <w:numFmt w:val="bullet"/>
      <w:lvlText w:val="•"/>
      <w:lvlJc w:val="left"/>
      <w:pPr>
        <w:ind w:left="6550" w:hanging="281"/>
      </w:pPr>
    </w:lvl>
    <w:lvl w:ilvl="8">
      <w:numFmt w:val="bullet"/>
      <w:lvlText w:val="•"/>
      <w:lvlJc w:val="left"/>
      <w:pPr>
        <w:ind w:left="7469" w:hanging="281"/>
      </w:pPr>
    </w:lvl>
  </w:abstractNum>
  <w:abstractNum w:abstractNumId="1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16" w:hanging="27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038" w:hanging="271"/>
      </w:pPr>
    </w:lvl>
    <w:lvl w:ilvl="2">
      <w:numFmt w:val="bullet"/>
      <w:lvlText w:val="•"/>
      <w:lvlJc w:val="left"/>
      <w:pPr>
        <w:ind w:left="1957" w:hanging="271"/>
      </w:pPr>
    </w:lvl>
    <w:lvl w:ilvl="3">
      <w:numFmt w:val="bullet"/>
      <w:lvlText w:val="•"/>
      <w:lvlJc w:val="left"/>
      <w:pPr>
        <w:ind w:left="2875" w:hanging="271"/>
      </w:pPr>
    </w:lvl>
    <w:lvl w:ilvl="4">
      <w:numFmt w:val="bullet"/>
      <w:lvlText w:val="•"/>
      <w:lvlJc w:val="left"/>
      <w:pPr>
        <w:ind w:left="3794" w:hanging="271"/>
      </w:pPr>
    </w:lvl>
    <w:lvl w:ilvl="5">
      <w:numFmt w:val="bullet"/>
      <w:lvlText w:val="•"/>
      <w:lvlJc w:val="left"/>
      <w:pPr>
        <w:ind w:left="4713" w:hanging="271"/>
      </w:pPr>
    </w:lvl>
    <w:lvl w:ilvl="6">
      <w:numFmt w:val="bullet"/>
      <w:lvlText w:val="•"/>
      <w:lvlJc w:val="left"/>
      <w:pPr>
        <w:ind w:left="5631" w:hanging="271"/>
      </w:pPr>
    </w:lvl>
    <w:lvl w:ilvl="7">
      <w:numFmt w:val="bullet"/>
      <w:lvlText w:val="•"/>
      <w:lvlJc w:val="left"/>
      <w:pPr>
        <w:ind w:left="6550" w:hanging="271"/>
      </w:pPr>
    </w:lvl>
    <w:lvl w:ilvl="8">
      <w:numFmt w:val="bullet"/>
      <w:lvlText w:val="•"/>
      <w:lvlJc w:val="left"/>
      <w:pPr>
        <w:ind w:left="7469" w:hanging="271"/>
      </w:pPr>
    </w:lvl>
  </w:abstractNum>
  <w:abstractNum w:abstractNumId="12" w15:restartNumberingAfterBreak="0">
    <w:nsid w:val="00000404"/>
    <w:multiLevelType w:val="multilevel"/>
    <w:tmpl w:val="00000887"/>
    <w:lvl w:ilvl="0">
      <w:start w:val="3"/>
      <w:numFmt w:val="decimal"/>
      <w:lvlText w:val="%1"/>
      <w:lvlJc w:val="left"/>
      <w:pPr>
        <w:ind w:left="536" w:hanging="420"/>
      </w:pPr>
    </w:lvl>
    <w:lvl w:ilvl="1">
      <w:start w:val="1"/>
      <w:numFmt w:val="decimal"/>
      <w:lvlText w:val="%1.%2."/>
      <w:lvlJc w:val="left"/>
      <w:pPr>
        <w:ind w:left="536" w:hanging="42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293" w:hanging="420"/>
      </w:pPr>
    </w:lvl>
    <w:lvl w:ilvl="3">
      <w:numFmt w:val="bullet"/>
      <w:lvlText w:val="•"/>
      <w:lvlJc w:val="left"/>
      <w:pPr>
        <w:ind w:left="3169" w:hanging="420"/>
      </w:pPr>
    </w:lvl>
    <w:lvl w:ilvl="4">
      <w:numFmt w:val="bullet"/>
      <w:lvlText w:val="•"/>
      <w:lvlJc w:val="left"/>
      <w:pPr>
        <w:ind w:left="4046" w:hanging="420"/>
      </w:pPr>
    </w:lvl>
    <w:lvl w:ilvl="5">
      <w:numFmt w:val="bullet"/>
      <w:lvlText w:val="•"/>
      <w:lvlJc w:val="left"/>
      <w:pPr>
        <w:ind w:left="4923" w:hanging="420"/>
      </w:pPr>
    </w:lvl>
    <w:lvl w:ilvl="6">
      <w:numFmt w:val="bullet"/>
      <w:lvlText w:val="•"/>
      <w:lvlJc w:val="left"/>
      <w:pPr>
        <w:ind w:left="5799" w:hanging="420"/>
      </w:pPr>
    </w:lvl>
    <w:lvl w:ilvl="7">
      <w:numFmt w:val="bullet"/>
      <w:lvlText w:val="•"/>
      <w:lvlJc w:val="left"/>
      <w:pPr>
        <w:ind w:left="6676" w:hanging="420"/>
      </w:pPr>
    </w:lvl>
    <w:lvl w:ilvl="8">
      <w:numFmt w:val="bullet"/>
      <w:lvlText w:val="•"/>
      <w:lvlJc w:val="left"/>
      <w:pPr>
        <w:ind w:left="7553" w:hanging="420"/>
      </w:pPr>
    </w:lvl>
  </w:abstractNum>
  <w:abstractNum w:abstractNumId="1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4" w15:restartNumberingAfterBreak="0">
    <w:nsid w:val="0AE76E5A"/>
    <w:multiLevelType w:val="hybridMultilevel"/>
    <w:tmpl w:val="C7B29148"/>
    <w:lvl w:ilvl="0" w:tplc="B34E391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6" w15:restartNumberingAfterBreak="0">
    <w:nsid w:val="6AD70413"/>
    <w:multiLevelType w:val="hybridMultilevel"/>
    <w:tmpl w:val="82C08AD8"/>
    <w:lvl w:ilvl="0" w:tplc="DE3EAFB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3"/>
  </w:num>
  <w:num w:numId="42">
    <w:abstractNumId w:val="13"/>
  </w:num>
  <w:num w:numId="43">
    <w:abstractNumId w:val="13"/>
  </w:num>
  <w:num w:numId="44">
    <w:abstractNumId w:val="15"/>
  </w:num>
  <w:num w:numId="45">
    <w:abstractNumId w:val="12"/>
  </w:num>
  <w:num w:numId="46">
    <w:abstractNumId w:val="11"/>
  </w:num>
  <w:num w:numId="47">
    <w:abstractNumId w:val="10"/>
  </w:num>
  <w:num w:numId="48">
    <w:abstractNumId w:val="16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26/2023"/>
    <w:docVar w:name="dvlangue" w:val="SK"/>
    <w:docVar w:name="dvnumam" w:val="92"/>
    <w:docVar w:name="dvpe" w:val="752.795"/>
    <w:docVar w:name="dvrapporteur" w:val="Spravodajkyňa: "/>
    <w:docVar w:name="dvstar" w:val="***I"/>
    <w:docVar w:name="dvtitre" w:val="Legislatívne uznesenie Európskeho parlamentu z xx. apríla 2024 o návrhu nariadenia Európskeho parlamentu a Rady, ktorým sa stanovujú opatrenia na posilnenie solidarity a kapacít v Únii na odhaľovanie kybernetických hrozieb a incidentov, prípravu a reakciu na ne(COM(2023)0209 – C9-0136/2023 – 2023/0109(COD))"/>
  </w:docVars>
  <w:rsids>
    <w:rsidRoot w:val="00DD105F"/>
    <w:rsid w:val="00062B06"/>
    <w:rsid w:val="00420608"/>
    <w:rsid w:val="008F0BDA"/>
    <w:rsid w:val="00B84084"/>
    <w:rsid w:val="00DD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4505B-0CA7-4FD4-8DC6-0E0DCA973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  <w:lang w:val="sk-SK"/>
    </w:rPr>
  </w:style>
  <w:style w:type="paragraph" w:styleId="Heading1">
    <w:name w:val="heading 1"/>
    <w:basedOn w:val="Normal"/>
    <w:next w:val="Normal"/>
    <w:semiHidden/>
    <w:qFormat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Pr>
      <w:b w:val="0"/>
      <w:vertAlign w:val="superscript"/>
    </w:rPr>
  </w:style>
  <w:style w:type="paragraph" w:styleId="FootnoteText">
    <w:name w:val="footnote text"/>
    <w:basedOn w:val="Normal"/>
    <w:link w:val="FootnoteTextChar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Pr>
      <w:sz w:val="22"/>
      <w:lang w:val="fr-FR" w:eastAsia="fr-FR"/>
    </w:rPr>
  </w:style>
  <w:style w:type="character" w:styleId="PageNumber">
    <w:name w:val="page number"/>
  </w:style>
  <w:style w:type="paragraph" w:styleId="TOC2">
    <w:name w:val="toc 2"/>
    <w:basedOn w:val="Normal"/>
    <w:next w:val="Normal"/>
    <w:autoRedefine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pPr>
      <w:jc w:val="right"/>
    </w:pPr>
  </w:style>
  <w:style w:type="paragraph" w:customStyle="1" w:styleId="EPComma">
    <w:name w:val="EPComma"/>
    <w:basedOn w:val="Normal"/>
    <w:pPr>
      <w:spacing w:before="480" w:after="240"/>
    </w:pPr>
  </w:style>
  <w:style w:type="paragraph" w:customStyle="1" w:styleId="NormalBold">
    <w:name w:val="NormalBold"/>
    <w:basedOn w:val="Normal"/>
    <w:link w:val="NormalBoldChar"/>
    <w:rPr>
      <w:b/>
    </w:rPr>
  </w:style>
  <w:style w:type="character" w:customStyle="1" w:styleId="NormalBoldChar">
    <w:name w:val="NormalBold Char"/>
    <w:basedOn w:val="DefaultParagraphFont"/>
    <w:link w:val="NormalBold"/>
    <w:locked/>
    <w:rPr>
      <w:b/>
      <w:sz w:val="24"/>
      <w:lang w:val="sk-SK"/>
    </w:rPr>
  </w:style>
  <w:style w:type="paragraph" w:customStyle="1" w:styleId="NormalHanging12a">
    <w:name w:val="NormalHanging12a"/>
    <w:basedOn w:val="Normal"/>
    <w:pPr>
      <w:spacing w:after="240"/>
      <w:ind w:left="567" w:hanging="567"/>
    </w:pPr>
  </w:style>
  <w:style w:type="paragraph" w:customStyle="1" w:styleId="NormalCenter12a">
    <w:name w:val="NormalCenter12a"/>
    <w:basedOn w:val="Normal"/>
    <w:pPr>
      <w:spacing w:after="240"/>
      <w:jc w:val="center"/>
    </w:pPr>
  </w:style>
  <w:style w:type="paragraph" w:customStyle="1" w:styleId="AmNumberTabs">
    <w:name w:val="AmNumberTabs"/>
    <w:basedOn w:val="Normal"/>
    <w:link w:val="AmNumberTabsChar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locked/>
    <w:rPr>
      <w:b/>
      <w:sz w:val="24"/>
      <w:lang w:val="sk-SK"/>
    </w:rPr>
  </w:style>
  <w:style w:type="paragraph" w:customStyle="1" w:styleId="AmHeadingConsam">
    <w:name w:val="AmHeadingConsam"/>
    <w:basedOn w:val="Normal"/>
    <w:next w:val="NormalCenter12a"/>
    <w:pPr>
      <w:spacing w:before="720" w:after="240"/>
      <w:jc w:val="center"/>
    </w:p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customStyle="1" w:styleId="ManualConsidrant">
    <w:name w:val="Manual Considérant"/>
    <w:basedOn w:val="Normal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character" w:customStyle="1" w:styleId="eop">
    <w:name w:val="eop"/>
    <w:basedOn w:val="DefaultParagraphFont"/>
  </w:style>
  <w:style w:type="paragraph" w:customStyle="1" w:styleId="Point0">
    <w:name w:val="Point 0"/>
    <w:basedOn w:val="Normal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aragraph">
    <w:name w:val="paragraph"/>
    <w:basedOn w:val="Normal"/>
    <w:pPr>
      <w:widowControl/>
      <w:spacing w:beforeAutospacing="1" w:after="200" w:afterAutospacing="1" w:line="276" w:lineRule="auto"/>
    </w:pPr>
    <w:rPr>
      <w:szCs w:val="24"/>
      <w:lang w:eastAsia="en-IE"/>
    </w:rPr>
  </w:style>
  <w:style w:type="paragraph" w:customStyle="1" w:styleId="Normal6a">
    <w:name w:val="Normal6a"/>
    <w:basedOn w:val="Normal"/>
    <w:pPr>
      <w:spacing w:after="120"/>
    </w:pPr>
    <w:rPr>
      <w:szCs w:val="24"/>
      <w:lang w:eastAsia="en-US"/>
    </w:rPr>
  </w:style>
  <w:style w:type="paragraph" w:styleId="ListParagraph">
    <w:name w:val="List Paragraph"/>
    <w:aliases w:val="Bullets,Colorful List - Accent 11,Colorful List - Accent 111,Dot pt,F5 List Paragraph,List Paragraph Char Char Char,List Paragraph à moi,List Paragraph1,Listaszeru bekezdés1,Listaszerű bekezdés1,Medium Grid 1 - Accent 21,No Spacing1"/>
    <w:basedOn w:val="Normal"/>
    <w:link w:val="ListParagraphChar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DefaultParagraphFont"/>
  </w:style>
  <w:style w:type="character" w:customStyle="1" w:styleId="ListParagraphChar">
    <w:name w:val="List Paragraph Char"/>
    <w:aliases w:val="Bullets Char,Colorful List - Accent 11 Char,Colorful List - Accent 111 Char,Dot pt Char,F5 List Paragraph Char,List Paragraph Char Char Char Char,List Paragraph à moi Char,List Paragraph1 Char,Listaszeru bekezdés1 Char"/>
    <w:link w:val="ListParagraph"/>
    <w:uiPriority w:val="34"/>
    <w:qFormat/>
    <w:rPr>
      <w:sz w:val="24"/>
      <w:lang w:val="sk-SK"/>
    </w:rPr>
  </w:style>
  <w:style w:type="paragraph" w:customStyle="1" w:styleId="Normal0">
    <w:name w:val="_Normal"/>
    <w:basedOn w:val="Normal"/>
    <w:link w:val="NormalCar"/>
    <w:qFormat/>
    <w:pPr>
      <w:widowControl/>
      <w:spacing w:before="120" w:after="120" w:line="240" w:lineRule="atLeast"/>
      <w:jc w:val="both"/>
    </w:pPr>
    <w:rPr>
      <w:rFonts w:ascii="Arial" w:hAnsi="Arial"/>
      <w:sz w:val="20"/>
      <w:szCs w:val="24"/>
      <w:lang w:eastAsia="en-US"/>
    </w:rPr>
  </w:style>
  <w:style w:type="character" w:customStyle="1" w:styleId="NormalCar">
    <w:name w:val="_Normal Car"/>
    <w:link w:val="Normal0"/>
    <w:rPr>
      <w:rFonts w:ascii="Arial" w:hAnsi="Arial"/>
      <w:szCs w:val="24"/>
      <w:lang w:val="sk-SK" w:eastAsia="en-US"/>
    </w:rPr>
  </w:style>
  <w:style w:type="paragraph" w:styleId="BodyText">
    <w:name w:val="Body Text"/>
    <w:basedOn w:val="Normal"/>
    <w:link w:val="BodyTextChar"/>
    <w:uiPriority w:val="1"/>
    <w:qFormat/>
    <w:pPr>
      <w:autoSpaceDE w:val="0"/>
      <w:autoSpaceDN w:val="0"/>
      <w:adjustRightInd w:val="0"/>
    </w:pPr>
    <w:rPr>
      <w:rFonts w:eastAsiaTheme="minorEastAsia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Pr>
      <w:rFonts w:eastAsiaTheme="minorEastAsia"/>
      <w:sz w:val="24"/>
      <w:szCs w:val="24"/>
      <w:lang w:val="sk-SK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</w:rPr>
  </w:style>
  <w:style w:type="character" w:customStyle="1" w:styleId="CommentTextChar">
    <w:name w:val="Comment Text Char"/>
    <w:basedOn w:val="DefaultParagraphFont"/>
    <w:link w:val="CommentText"/>
    <w:rPr>
      <w:lang w:val="sk-SK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SubjectChar">
    <w:name w:val="Comment Subject Char"/>
    <w:basedOn w:val="CommentTextChar"/>
    <w:link w:val="CommentSubject"/>
    <w:rPr>
      <w:b/>
      <w:bCs/>
      <w:lang w:val="sk-SK"/>
    </w:rPr>
  </w:style>
  <w:style w:type="paragraph" w:styleId="Revision">
    <w:name w:val="Revision"/>
    <w:hidden/>
    <w:uiPriority w:val="99"/>
    <w:semiHidden/>
    <w:rPr>
      <w:sz w:val="24"/>
      <w:lang w:val="sk-SK"/>
    </w:rPr>
  </w:style>
  <w:style w:type="paragraph" w:styleId="BalloonText">
    <w:name w:val="Balloon Text"/>
    <w:basedOn w:val="Normal"/>
    <w:link w:val="BalloonTextChar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Pr>
      <w:rFonts w:ascii="Segoe UI" w:hAnsi="Segoe UI" w:cs="Segoe UI"/>
      <w:sz w:val="18"/>
      <w:szCs w:val="18"/>
      <w:lang w:val="sk-SK"/>
    </w:rPr>
  </w:style>
  <w:style w:type="paragraph" w:customStyle="1" w:styleId="Institutionquiagit">
    <w:name w:val="Institution qui agit"/>
    <w:basedOn w:val="Normal"/>
    <w:next w:val="Normal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styleId="Header">
    <w:name w:val="header"/>
    <w:basedOn w:val="Normal"/>
    <w:link w:val="HeaderChar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Pr>
      <w:sz w:val="24"/>
      <w:lang w:val="sk-SK"/>
    </w:rPr>
  </w:style>
  <w:style w:type="paragraph" w:customStyle="1" w:styleId="AmDocTypeTab">
    <w:name w:val="AmDocTypeTab"/>
    <w:basedOn w:val="Normal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pPr>
      <w:spacing w:after="240"/>
    </w:pPr>
  </w:style>
  <w:style w:type="paragraph" w:customStyle="1" w:styleId="EPFooter2">
    <w:name w:val="EPFooter2"/>
    <w:basedOn w:val="Normal"/>
    <w:next w:val="Normal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pPr>
      <w:spacing w:before="240" w:after="240"/>
      <w:jc w:val="right"/>
    </w:pPr>
  </w:style>
  <w:style w:type="paragraph" w:customStyle="1" w:styleId="AmDateTab">
    <w:name w:val="AmDateTab"/>
    <w:basedOn w:val="Normal"/>
    <w:pPr>
      <w:tabs>
        <w:tab w:val="right" w:pos="9072"/>
      </w:tabs>
    </w:pPr>
  </w:style>
  <w:style w:type="paragraph" w:customStyle="1" w:styleId="EPFooter">
    <w:name w:val="EPFooter"/>
    <w:basedOn w:val="Normal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styleId="TOCHeading">
    <w:name w:val="TOC Heading"/>
    <w:basedOn w:val="Normal"/>
    <w:next w:val="Normal"/>
    <w:uiPriority w:val="39"/>
    <w:unhideWhenUsed/>
    <w:qFormat/>
    <w:pPr>
      <w:keepLines/>
      <w:spacing w:after="24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 w:val="24"/>
      <w:lang w:val="sk-SK"/>
    </w:rPr>
  </w:style>
  <w:style w:type="numbering" w:customStyle="1" w:styleId="NoList1">
    <w:name w:val="No List1"/>
    <w:next w:val="NoList"/>
    <w:uiPriority w:val="99"/>
    <w:semiHidden/>
    <w:unhideWhenUsed/>
  </w:style>
  <w:style w:type="paragraph" w:customStyle="1" w:styleId="SignaturePersonne">
    <w:name w:val="Signature Personne"/>
    <w:basedOn w:val="Normal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pPr>
      <w:keepNext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FootnoteTextForceStyle">
    <w:name w:val="Footnote Text ForceStyle"/>
    <w:pPr>
      <w:keepLines/>
      <w:widowControl w:val="0"/>
      <w:ind w:left="850" w:hanging="850"/>
    </w:pPr>
    <w:rPr>
      <w:sz w:val="24"/>
      <w:lang w:val="sk-SK" w:eastAsia="en-US"/>
    </w:rPr>
  </w:style>
  <w:style w:type="character" w:customStyle="1" w:styleId="Footer2">
    <w:name w:val="Footer2"/>
    <w:rPr>
      <w:rFonts w:ascii="Arial" w:hAnsi="Arial"/>
      <w:b/>
      <w:sz w:val="48"/>
    </w:rPr>
  </w:style>
  <w:style w:type="paragraph" w:customStyle="1" w:styleId="Applicationdirecte">
    <w:name w:val="Application directe"/>
    <w:basedOn w:val="Normal"/>
    <w:next w:val="Normal"/>
    <w:pPr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pPr>
      <w:widowControl w:val="0"/>
      <w:spacing w:before="120" w:after="120" w:line="360" w:lineRule="auto"/>
    </w:pPr>
    <w:rPr>
      <w:sz w:val="24"/>
      <w:lang w:val="sk-SK" w:eastAsia="en-US"/>
    </w:rPr>
  </w:style>
  <w:style w:type="paragraph" w:customStyle="1" w:styleId="Formuledadoption">
    <w:name w:val="Formule d'adoption"/>
    <w:basedOn w:val="Normal"/>
    <w:next w:val="Normal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Statut">
    <w:name w:val="Statut"/>
    <w:basedOn w:val="Normal"/>
    <w:next w:val="Normal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IntrtEEE">
    <w:name w:val="Intérêt EEE"/>
    <w:basedOn w:val="Normal"/>
    <w:next w:val="Normal"/>
    <w:pPr>
      <w:widowControl/>
      <w:spacing w:before="360" w:after="240" w:line="360" w:lineRule="auto"/>
      <w:jc w:val="center"/>
    </w:pPr>
    <w:rPr>
      <w:szCs w:val="24"/>
      <w:lang w:eastAsia="en-US"/>
    </w:rPr>
  </w:style>
  <w:style w:type="paragraph" w:customStyle="1" w:styleId="HeadingDocType24a">
    <w:name w:val="HeadingDocType24a"/>
    <w:basedOn w:val="Normal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pPr>
      <w:jc w:val="center"/>
    </w:pPr>
  </w:style>
  <w:style w:type="paragraph" w:customStyle="1" w:styleId="Normal24a">
    <w:name w:val="Normal24a"/>
    <w:basedOn w:val="Normal"/>
    <w:pPr>
      <w:spacing w:after="480"/>
    </w:pPr>
  </w:style>
  <w:style w:type="paragraph" w:customStyle="1" w:styleId="EPBody">
    <w:name w:val="EPBody"/>
    <w:basedOn w:val="Normal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LineSingle">
    <w:name w:val="LineSingle"/>
    <w:basedOn w:val="Normal"/>
    <w:next w:val="Normal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pPr>
      <w:spacing w:before="240" w:after="240"/>
    </w:pPr>
  </w:style>
  <w:style w:type="paragraph" w:customStyle="1" w:styleId="title-bold">
    <w:name w:val="title-bold"/>
    <w:basedOn w:val="Normal"/>
    <w:pPr>
      <w:widowControl/>
      <w:spacing w:before="100" w:beforeAutospacing="1" w:after="100" w:afterAutospacing="1"/>
    </w:pPr>
    <w:rPr>
      <w:szCs w:val="24"/>
      <w:lang w:val="en-GB"/>
    </w:rPr>
  </w:style>
  <w:style w:type="paragraph" w:styleId="NormalWeb">
    <w:name w:val="Normal (Web)"/>
    <w:basedOn w:val="Normal"/>
    <w:uiPriority w:val="99"/>
    <w:unhideWhenUsed/>
    <w:pPr>
      <w:widowControl/>
      <w:spacing w:before="100" w:beforeAutospacing="1" w:after="100" w:afterAutospacing="1"/>
    </w:pPr>
    <w:rPr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reg/2025/38/oj" TargetMode="External"/><Relationship Id="rId1" Type="http://schemas.openxmlformats.org/officeDocument/2006/relationships/hyperlink" Target="http://data.europa.eu/eli/C/2024/1049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CCCE2-EEC4-46FC-BC85-A15DB9377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705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SUCHANOVA Monika</dc:creator>
  <cp:keywords/>
  <cp:lastModifiedBy>BINKEVICIUTE Aurelija</cp:lastModifiedBy>
  <cp:revision>3</cp:revision>
  <cp:lastPrinted>2004-11-19T15:42:00Z</cp:lastPrinted>
  <dcterms:created xsi:type="dcterms:W3CDTF">2025-03-12T16:26:00Z</dcterms:created>
  <dcterms:modified xsi:type="dcterms:W3CDTF">2025-06-18T14:46:00Z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SK</vt:lpwstr>
  </property>
  <property fmtid="{D5CDD505-2E9C-101B-9397-08002B2CF9AE}" pid="3" name="&lt;FdR&gt;">
    <vt:lpwstr>P9_TA(2024)0355_</vt:lpwstr>
  </property>
  <property fmtid="{D5CDD505-2E9C-101B-9397-08002B2CF9AE}" pid="4" name="&lt;Type&gt;">
    <vt:lpwstr>RR</vt:lpwstr>
  </property>
</Properties>
</file>