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177EA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F177EA" w:rsidRDefault="00944201">
            <w:pPr>
              <w:pStyle w:val="EPName"/>
            </w:pPr>
            <w:r>
              <w:t>Európsky parlament</w:t>
            </w:r>
          </w:p>
          <w:p w:rsidR="00F177EA" w:rsidRDefault="0094420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F177EA" w:rsidRDefault="00944201">
            <w:pPr>
              <w:pStyle w:val="EPLogo"/>
            </w:pPr>
            <w:r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77EA" w:rsidRDefault="00F177EA">
      <w:pPr>
        <w:pStyle w:val="LineTop"/>
      </w:pPr>
    </w:p>
    <w:p w:rsidR="00F177EA" w:rsidRDefault="00944201">
      <w:pPr>
        <w:pStyle w:val="EPBodyTA1"/>
      </w:pPr>
      <w:r>
        <w:t>PRIJATÉ TEXTY</w:t>
      </w:r>
    </w:p>
    <w:p w:rsidR="00F177EA" w:rsidRDefault="00F177EA">
      <w:pPr>
        <w:pStyle w:val="LineBottom"/>
      </w:pPr>
    </w:p>
    <w:p w:rsidR="00F177EA" w:rsidRDefault="00944201">
      <w:pPr>
        <w:pStyle w:val="ATHeading1"/>
      </w:pPr>
      <w:bookmarkStart w:id="0" w:name="TANumber"/>
      <w:r>
        <w:t>P9_TA(2024)0356</w:t>
      </w:r>
      <w:bookmarkEnd w:id="0"/>
    </w:p>
    <w:p w:rsidR="00F177EA" w:rsidRDefault="00944201">
      <w:pPr>
        <w:pStyle w:val="ATHeading2"/>
      </w:pPr>
      <w:bookmarkStart w:id="1" w:name="title"/>
      <w:r>
        <w:t>Podniková štatistika trhu práce Európskej únie</w:t>
      </w:r>
      <w:bookmarkEnd w:id="1"/>
    </w:p>
    <w:p w:rsidR="00F177EA" w:rsidRDefault="00944201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A9-0054/2024</w:instrText>
      </w:r>
      <w:bookmarkEnd w:id="2"/>
      <w:r>
        <w:rPr>
          <w:i/>
        </w:rPr>
        <w:instrText xml:space="preserve"> - Spravodajkyňa: Irene Tinagli)"\l3 \n&gt; \* MERGEFORMAT </w:instrText>
      </w:r>
      <w:r>
        <w:rPr>
          <w:i/>
        </w:rPr>
        <w:fldChar w:fldCharType="end"/>
      </w:r>
    </w:p>
    <w:p w:rsidR="00F177EA" w:rsidRDefault="00944201">
      <w:pPr>
        <w:rPr>
          <w:vanish/>
        </w:rPr>
      </w:pPr>
      <w:bookmarkStart w:id="3" w:name="Commission"/>
      <w:r>
        <w:rPr>
          <w:vanish/>
        </w:rPr>
        <w:t>Výbor pre hospodárske a menové veci</w:t>
      </w:r>
      <w:bookmarkEnd w:id="3"/>
    </w:p>
    <w:p w:rsidR="00F177EA" w:rsidRDefault="00944201">
      <w:pPr>
        <w:rPr>
          <w:vanish/>
        </w:rPr>
      </w:pPr>
      <w:bookmarkStart w:id="4" w:name="PE"/>
      <w:r>
        <w:rPr>
          <w:vanish/>
        </w:rPr>
        <w:t>PE757.907</w:t>
      </w:r>
      <w:bookmarkEnd w:id="4"/>
    </w:p>
    <w:p w:rsidR="00F177EA" w:rsidRDefault="00944201">
      <w:pPr>
        <w:pStyle w:val="ATHeading3"/>
      </w:pPr>
      <w:bookmarkStart w:id="5" w:name="Sujet"/>
      <w:r>
        <w:t>Legislatívne uznesenie Európskeho parlamentu z 24. apríla 2024 o návrhu nariadenia Európskeho parlamentu a Rady o podnikovej štatistike trhu práce Európskej únie, ktorým sa zrušuje nariadenie Rady (ES) č. 530/1999 a nariadenia Európskeho parlamentu a Rady (ES) č. 450/2003 a (ES) č. 453/2008</w:t>
      </w:r>
      <w:bookmarkEnd w:id="5"/>
      <w:r>
        <w:t xml:space="preserve"> </w:t>
      </w:r>
      <w:bookmarkStart w:id="6" w:name="References"/>
      <w:r>
        <w:t>(COM(2023)0459 – C9-0316/2023 – 2023/0288(COD))</w:t>
      </w:r>
      <w:bookmarkEnd w:id="6"/>
    </w:p>
    <w:p w:rsidR="00F177EA" w:rsidRDefault="00944201">
      <w:pPr>
        <w:pStyle w:val="NormalBold"/>
      </w:pPr>
      <w:bookmarkStart w:id="7" w:name="TextBodyBegin"/>
      <w:bookmarkEnd w:id="7"/>
      <w:r>
        <w:t>(Riadny legislatívny postup: prvé čítanie)</w:t>
      </w:r>
    </w:p>
    <w:p w:rsidR="00F177EA" w:rsidRDefault="00944201">
      <w:pPr>
        <w:pStyle w:val="EPComma"/>
      </w:pPr>
      <w:r>
        <w:rPr>
          <w:i/>
        </w:rPr>
        <w:t>Európsky parlament</w:t>
      </w:r>
      <w:r>
        <w:t>,</w:t>
      </w:r>
    </w:p>
    <w:p w:rsidR="00F177EA" w:rsidRDefault="00944201">
      <w:pPr>
        <w:pStyle w:val="NormalHanging12a"/>
      </w:pPr>
      <w:r>
        <w:t>–</w:t>
      </w:r>
      <w:r>
        <w:tab/>
        <w:t>so zreteľom na návrh Komisie pre Európsky parlament a Radu (COM(2023)0459),</w:t>
      </w:r>
    </w:p>
    <w:p w:rsidR="00F177EA" w:rsidRDefault="00944201">
      <w:pPr>
        <w:pStyle w:val="NormalHanging12a"/>
      </w:pPr>
      <w:r>
        <w:t>–</w:t>
      </w:r>
      <w:r>
        <w:tab/>
        <w:t>so zreteľom na článok 294 ods. 2 a článok 338 ods. 1 Zmluvy o fungovaní Európskej únie, v súlade s ktorými Komisia predložila návrh Európskemu parlamentu (C9</w:t>
      </w:r>
      <w:r>
        <w:noBreakHyphen/>
        <w:t>0316/2023),</w:t>
      </w:r>
    </w:p>
    <w:p w:rsidR="00F177EA" w:rsidRDefault="00944201">
      <w:pPr>
        <w:pStyle w:val="NormalHanging12a"/>
      </w:pPr>
      <w:r>
        <w:t>–</w:t>
      </w:r>
      <w:r>
        <w:tab/>
        <w:t>so zreteľom na článok 294 ods. 3 Zmluvy o fungovaní Európskej únie,</w:t>
      </w:r>
    </w:p>
    <w:p w:rsidR="00F177EA" w:rsidRDefault="00944201">
      <w:pPr>
        <w:pStyle w:val="NormalHanging12a"/>
      </w:pPr>
      <w:r>
        <w:t>–</w:t>
      </w:r>
      <w:r>
        <w:tab/>
        <w:t>so zreteľom na stanovisko Európskej centrálnej banky z 24. novembra 2023</w:t>
      </w:r>
      <w:r>
        <w:rPr>
          <w:rStyle w:val="FootnoteReference"/>
        </w:rPr>
        <w:footnoteReference w:id="1"/>
      </w:r>
      <w:r>
        <w:t>,</w:t>
      </w:r>
    </w:p>
    <w:p w:rsidR="00F177EA" w:rsidRDefault="00944201">
      <w:pPr>
        <w:pStyle w:val="NormalHanging12a"/>
      </w:pPr>
      <w:r>
        <w:t>–</w:t>
      </w:r>
      <w:r>
        <w:tab/>
        <w:t>so zreteľom na článok 59 rokovacieho poriadku,</w:t>
      </w:r>
    </w:p>
    <w:p w:rsidR="00F177EA" w:rsidRDefault="00944201">
      <w:pPr>
        <w:pStyle w:val="NormalHanging12a"/>
      </w:pPr>
      <w:r>
        <w:t>–</w:t>
      </w:r>
      <w:r>
        <w:tab/>
        <w:t>so zreteľom na stanovisko Výboru pre zamestnanosť a sociálne veci,</w:t>
      </w:r>
    </w:p>
    <w:p w:rsidR="00F177EA" w:rsidRDefault="00944201">
      <w:pPr>
        <w:pStyle w:val="NormalHanging12a"/>
      </w:pPr>
      <w:r>
        <w:t>–</w:t>
      </w:r>
      <w:r>
        <w:tab/>
        <w:t>so zreteľom na správu Výboru pre hospodárske a menové veci (A9-0054/2024),</w:t>
      </w:r>
    </w:p>
    <w:p w:rsidR="00F177EA" w:rsidRDefault="00944201">
      <w:pPr>
        <w:pStyle w:val="NormalHanging12a"/>
      </w:pPr>
      <w:r>
        <w:t>1.</w:t>
      </w:r>
      <w:r>
        <w:tab/>
        <w:t>prijíma nasledujúcu pozíciu v prvom čítaní;</w:t>
      </w:r>
    </w:p>
    <w:p w:rsidR="00F177EA" w:rsidRDefault="00944201">
      <w:pPr>
        <w:pStyle w:val="NormalHanging12a"/>
      </w:pPr>
      <w:r>
        <w:t>2.</w:t>
      </w:r>
      <w:r>
        <w:tab/>
        <w:t>žiada Komisiu, aby mu vec znovu predložila, ak nahrádza, podstatne mení alebo má v úmysle podstatne zmeniť svoj návrh;</w:t>
      </w:r>
    </w:p>
    <w:p w:rsidR="00F177EA" w:rsidRDefault="00944201">
      <w:pPr>
        <w:pStyle w:val="NormalHanging12a"/>
      </w:pPr>
      <w:r>
        <w:t>3.</w:t>
      </w:r>
      <w:r>
        <w:tab/>
        <w:t xml:space="preserve">poveruje svoju predsedníčku, aby postúpila túto pozíciu Rade, Komisii a národným </w:t>
      </w:r>
      <w:r>
        <w:lastRenderedPageBreak/>
        <w:t>parlamentom.</w:t>
      </w:r>
    </w:p>
    <w:p w:rsidR="00F177EA" w:rsidRDefault="00F177EA">
      <w:pPr>
        <w:sectPr w:rsidR="00F177EA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10" w:h="16840"/>
          <w:pgMar w:top="1440" w:right="1440" w:bottom="1440" w:left="1440" w:header="0" w:footer="1043" w:gutter="0"/>
          <w:pgNumType w:start="1"/>
          <w:cols w:space="720"/>
          <w:docGrid w:linePitch="326"/>
        </w:sectPr>
      </w:pPr>
    </w:p>
    <w:p w:rsidR="00F177EA" w:rsidRDefault="00944201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>
        <w:rPr>
          <w:b/>
        </w:rPr>
        <w:lastRenderedPageBreak/>
        <w:t>P9_TC1-COD(2023)0288</w:t>
      </w:r>
    </w:p>
    <w:p w:rsidR="00F177EA" w:rsidRDefault="00944201">
      <w:pPr>
        <w:rPr>
          <w:b/>
        </w:rPr>
      </w:pPr>
      <w:r>
        <w:rPr>
          <w:b/>
        </w:rPr>
        <w:t>Pozícia Európskeho parlamentu prijatá v prvom čítaní 24. apríla 2024 na účely prijatia nariadenia Európskeho parlamentu a Rady (EÚ) 2024/... o podnikovej štatistike trhu práce Európskej únie, ktorým sa zrušuje nariadenie Rady (ES) č. 530/1999 a nariadenia Európskeho parlamentu a Rady (ES) č. 450/2003 a (ES) č. 453/2008</w:t>
      </w:r>
      <w:r>
        <w:rPr>
          <w:rStyle w:val="FootnoteReference"/>
          <w:b/>
        </w:rPr>
        <w:footnoteReference w:customMarkFollows="1" w:id="2"/>
        <w:t>*</w:t>
      </w:r>
    </w:p>
    <w:p w:rsidR="00F177EA" w:rsidRDefault="00944201">
      <w:pPr>
        <w:pStyle w:val="IntrtEEE"/>
        <w:rPr>
          <w:noProof/>
        </w:rPr>
      </w:pPr>
      <w:r>
        <w:t>(Text s významom pre EHP)</w:t>
      </w:r>
    </w:p>
    <w:p w:rsidR="00F177EA" w:rsidRDefault="00944201">
      <w:pPr>
        <w:pStyle w:val="Institutionquiagit"/>
        <w:rPr>
          <w:noProof/>
        </w:rPr>
      </w:pPr>
      <w:r>
        <w:t>EURÓPSKY PARLAMENT A RADA EURÓPSKEJ ÚNIE,</w:t>
      </w:r>
    </w:p>
    <w:p w:rsidR="00F177EA" w:rsidRDefault="00944201">
      <w:pPr>
        <w:spacing w:before="120" w:after="120"/>
        <w:rPr>
          <w:noProof/>
        </w:rPr>
      </w:pPr>
      <w:r>
        <w:t>so zreteľom na Zmluvu o fungovaní Európskej únie, a najmä na jej článok 338 ods. 1,</w:t>
      </w:r>
    </w:p>
    <w:p w:rsidR="00F177EA" w:rsidRDefault="00944201">
      <w:pPr>
        <w:spacing w:before="120" w:after="120"/>
        <w:rPr>
          <w:noProof/>
        </w:rPr>
      </w:pPr>
      <w:r>
        <w:t>so zreteľom na návrh Európskej komisie,</w:t>
      </w:r>
    </w:p>
    <w:p w:rsidR="00F177EA" w:rsidRDefault="00944201">
      <w:pPr>
        <w:spacing w:before="120" w:after="120"/>
        <w:rPr>
          <w:noProof/>
        </w:rPr>
      </w:pPr>
      <w:r>
        <w:t>po postúpení návrhu legislatívneho aktu národným parlamentom,</w:t>
      </w:r>
    </w:p>
    <w:p w:rsidR="00F177EA" w:rsidRDefault="00944201">
      <w:pPr>
        <w:rPr>
          <w:b/>
          <w:i/>
          <w:noProof/>
        </w:rPr>
      </w:pPr>
      <w:r>
        <w:rPr>
          <w:b/>
          <w:i/>
        </w:rPr>
        <w:t>so zreteľom na stanovisko Európskej centrálnej banky</w:t>
      </w:r>
      <w:r>
        <w:rPr>
          <w:rStyle w:val="FootnoteReference"/>
          <w:i/>
          <w:noProof/>
        </w:rPr>
        <w:footnoteReference w:id="3"/>
      </w:r>
      <w:r>
        <w:rPr>
          <w:b/>
          <w:i/>
        </w:rPr>
        <w:t xml:space="preserve">, </w:t>
      </w:r>
    </w:p>
    <w:p w:rsidR="00F177EA" w:rsidRDefault="00944201">
      <w:pPr>
        <w:spacing w:before="120" w:after="120"/>
        <w:rPr>
          <w:noProof/>
        </w:rPr>
      </w:pPr>
      <w:r>
        <w:t>▐</w:t>
      </w:r>
    </w:p>
    <w:p w:rsidR="00F177EA" w:rsidRDefault="00944201">
      <w:pPr>
        <w:spacing w:before="120" w:after="120"/>
        <w:rPr>
          <w:noProof/>
        </w:rPr>
      </w:pPr>
      <w:r>
        <w:t>konajúc v súlade s riadnym legislatívnym postupom,</w:t>
      </w:r>
    </w:p>
    <w:p w:rsidR="00F177EA" w:rsidRDefault="00944201">
      <w:pPr>
        <w:spacing w:before="120" w:after="120"/>
        <w:rPr>
          <w:noProof/>
        </w:rPr>
      </w:pPr>
      <w:r>
        <w:t>keďže:</w:t>
      </w:r>
    </w:p>
    <w:p w:rsidR="00F177EA" w:rsidRDefault="00944201">
      <w:pPr>
        <w:pStyle w:val="ManualConsidrant"/>
        <w:rPr>
          <w:b/>
          <w:noProof/>
        </w:rPr>
      </w:pPr>
      <w:r>
        <w:t>(1)</w:t>
      </w:r>
      <w:r>
        <w:tab/>
      </w:r>
      <w:r>
        <w:rPr>
          <w:b/>
          <w:i/>
        </w:rPr>
        <w:t>Presná, včasná, spoľahlivá a porovnateľná</w:t>
      </w:r>
      <w:r>
        <w:t xml:space="preserve"> podniková štatistika trhu práce Európskej únie je potrebná na navrhovanie, vykonávanie a hodnotenie politík Únie, najmä tých, ktoré sa zaoberajú hospodárskou, sociálnou a územnou súdržnosťou, európskou stratégiou zamestnanosti, Európskym pilierom sociálnych práv a európskym semestrom</w:t>
      </w:r>
      <w:r>
        <w:rPr>
          <w:b/>
          <w:i/>
        </w:rPr>
        <w:t>, ako aj tých, ktoré súvisia s vykonávaním akčného plánu Európskeho piliera sociálnych práv a akčného plánu pre sociálne hospodárstvo.</w:t>
      </w:r>
      <w:r>
        <w:t xml:space="preserve"> </w:t>
      </w:r>
      <w:r>
        <w:rPr>
          <w:b/>
          <w:i/>
        </w:rPr>
        <w:t>Rovnako sú dôležité na to, aby Únia mohla plniť úlohy, ktoré jej vyplývajú z článkov 2, 3 a 4 Zmluvy o fungovaní Európskej únie (ďalej len „ZFEÚ“)</w:t>
      </w:r>
      <w:r>
        <w:t>.</w:t>
      </w:r>
      <w:r>
        <w:rPr>
          <w:b/>
        </w:rPr>
        <w:t xml:space="preserve"> [PN 2]</w:t>
      </w:r>
    </w:p>
    <w:p w:rsidR="00F177EA" w:rsidRDefault="00944201">
      <w:pPr>
        <w:pStyle w:val="ManualConsidrant"/>
        <w:rPr>
          <w:noProof/>
        </w:rPr>
      </w:pPr>
      <w:r>
        <w:t>(2)</w:t>
      </w:r>
      <w:r>
        <w:tab/>
        <w:t>Prevencia a náprava makroekonomických nerovnováh podľa nariadenia (EÚ) č. 1176/2011</w:t>
      </w:r>
      <w:r>
        <w:rPr>
          <w:rStyle w:val="FootnoteReference"/>
          <w:noProof/>
        </w:rPr>
        <w:footnoteReference w:id="4"/>
      </w:r>
      <w:r>
        <w:t xml:space="preserve"> a monitorovanie primeraných minimálnych miezd podľa smernice Európskeho parlamentu a Rady (EÚ) 2022/2041</w:t>
      </w:r>
      <w:r>
        <w:rPr>
          <w:rStyle w:val="FootnoteReference"/>
          <w:noProof/>
        </w:rPr>
        <w:footnoteReference w:id="5"/>
      </w:r>
      <w:r>
        <w:t xml:space="preserve"> si vyžadujú presné informácie o vývoji hodinových nákladov práce a úrovní miezd</w:t>
      </w:r>
      <w:r>
        <w:rPr>
          <w:b/>
          <w:i/>
        </w:rPr>
        <w:t>, miere pokrytia kolektívnym vyjednávaním, výške zákonnej minimálnej mzdy a podiele pracovníkov, na ktorých sa vzťahuje,</w:t>
      </w:r>
      <w:r>
        <w:t xml:space="preserve"> vo všetkých členských štátoch.</w:t>
      </w:r>
    </w:p>
    <w:p w:rsidR="00F177EA" w:rsidRDefault="00944201">
      <w:pPr>
        <w:pStyle w:val="ManualConsidrant"/>
        <w:rPr>
          <w:noProof/>
        </w:rPr>
      </w:pPr>
      <w:r>
        <w:t>(3)</w:t>
      </w:r>
      <w:r>
        <w:tab/>
        <w:t>Európska centrálna banka využíva európsku podnikovú štatistiku trhu práce v kontexte jednotnej menovej politiky</w:t>
      </w:r>
      <w:r>
        <w:rPr>
          <w:b/>
          <w:i/>
        </w:rPr>
        <w:t>, najmä tie, ktoré sa týkajú vývoja nákladov práce a rastu miezd,</w:t>
      </w:r>
      <w:r>
        <w:t xml:space="preserve"> na monitorovanie rizík inflácie a deflácie spojených s nákladmi práce. Preto je potrebná presná, včasná a porovnateľná štatistika Únie o vývoji nákladov práce. </w:t>
      </w:r>
      <w:r>
        <w:rPr>
          <w:b/>
          <w:i/>
        </w:rPr>
        <w:t xml:space="preserve">Je </w:t>
      </w:r>
      <w:r>
        <w:rPr>
          <w:b/>
          <w:i/>
        </w:rPr>
        <w:lastRenderedPageBreak/>
        <w:t>dôležité, aby túto analýzu dopĺňalo monitorovanie inflačných a deflačných rizík vyplývajúcich zo zisku.</w:t>
      </w:r>
    </w:p>
    <w:p w:rsidR="00F177EA" w:rsidRDefault="00944201">
      <w:pPr>
        <w:pStyle w:val="ManualConsidrant"/>
        <w:rPr>
          <w:noProof/>
        </w:rPr>
      </w:pPr>
      <w:r>
        <w:t>(4)</w:t>
      </w:r>
      <w:r>
        <w:tab/>
        <w:t>Treba rozšíriť pokrytie štatistiky voľných pracovných miest a včasnosť indexu nákladov práce, keďže oba ukazovatele sú uvedené medzi hlavnými európskymi hospodárskymi ukazovateľmi (PEEI)</w:t>
      </w:r>
      <w:r>
        <w:rPr>
          <w:rStyle w:val="FootnoteReference"/>
          <w:noProof/>
        </w:rPr>
        <w:footnoteReference w:id="6"/>
      </w:r>
      <w:r>
        <w:t xml:space="preserve"> potrebnými na monitorovanie menovej a hospodárskej politiky.</w:t>
      </w:r>
    </w:p>
    <w:p w:rsidR="00F177EA" w:rsidRDefault="00944201">
      <w:pPr>
        <w:pStyle w:val="ManualConsidrant"/>
        <w:rPr>
          <w:b/>
          <w:i/>
          <w:noProof/>
        </w:rPr>
      </w:pPr>
      <w:r>
        <w:rPr>
          <w:b/>
          <w:i/>
        </w:rPr>
        <w:t>(4a)</w:t>
      </w:r>
      <w:r>
        <w:rPr>
          <w:b/>
          <w:i/>
        </w:rPr>
        <w:tab/>
        <w:t>Na analytické účely je dôležité, aby bolo k dispozícii primerané množstvo spätných údajov, aby bolo možné posúdiť indexy nákladov práce v priebehu času. S cieľom znížiť zaťaženie členských štátov by sa však prenos mal obmedziť na spätné údaje, ktoré sa vzťahujú aspoň na kalendárne roky 2024 a 2025.</w:t>
      </w:r>
    </w:p>
    <w:p w:rsidR="00F177EA" w:rsidRDefault="00944201">
      <w:pPr>
        <w:pStyle w:val="ManualConsidrant"/>
        <w:rPr>
          <w:b/>
          <w:noProof/>
        </w:rPr>
      </w:pPr>
      <w:r>
        <w:t>(5)</w:t>
      </w:r>
      <w:r>
        <w:tab/>
        <w:t xml:space="preserve">Na reguláciu prenosu ročných údajov o rodovom rozdiele v odmeňovaní na účely monitorovania cieľov udržateľného rozvoja v rámci Agendy 2030 Organizácie Spojených národov (OSN), najmä cieľa 5 týkajúceho sa rodovej rovnosti </w:t>
      </w:r>
      <w:r>
        <w:rPr>
          <w:b/>
          <w:i/>
        </w:rPr>
        <w:t>a cieľa 8 týkajúceho sa dôstojnej práce a ekonomického rastu, ako aj na účely monitorovania vplyvu smernice Európskeho parlamentu a Rady (EÚ) 2023/970</w:t>
      </w:r>
      <w:r>
        <w:rPr>
          <w:rStyle w:val="FootnoteReference"/>
          <w:i/>
          <w:noProof/>
          <w:szCs w:val="24"/>
        </w:rPr>
        <w:footnoteReference w:id="7"/>
      </w:r>
      <w:r>
        <w:rPr>
          <w:b/>
          <w:i/>
        </w:rPr>
        <w:t xml:space="preserve"> (smernica o transparentnosti odmeňovania)</w:t>
      </w:r>
      <w:r>
        <w:t>, je potrebný právny základ.</w:t>
      </w:r>
      <w:r>
        <w:rPr>
          <w:b/>
        </w:rPr>
        <w:t xml:space="preserve"> [PN 3]</w:t>
      </w:r>
    </w:p>
    <w:p w:rsidR="00F177EA" w:rsidRDefault="00944201">
      <w:pPr>
        <w:pStyle w:val="ManualConsidrant"/>
        <w:rPr>
          <w:noProof/>
          <w:szCs w:val="24"/>
        </w:rPr>
      </w:pPr>
      <w:r>
        <w:t>(6)</w:t>
      </w:r>
      <w:r>
        <w:tab/>
        <w:t>Uplatňovanie</w:t>
      </w:r>
      <w:r>
        <w:rPr>
          <w:b/>
          <w:i/>
        </w:rPr>
        <w:t>, monitorovanie a hodnotenie</w:t>
      </w:r>
      <w:r>
        <w:t xml:space="preserve"> zásady rovnosti príležitostí a rovnakého zaobchádzania s mužmi a so ženami vo veciach zamestnanosti a povolania</w:t>
      </w:r>
      <w:r>
        <w:rPr>
          <w:rStyle w:val="FootnoteReference"/>
          <w:noProof/>
        </w:rPr>
        <w:footnoteReference w:id="8"/>
      </w:r>
      <w:r>
        <w:t xml:space="preserve"> si vyžaduje porovnateľné údaje o mzdách mužov a žien. V smernici Európskeho parlamentu a Rady (EÚ) 2023/970, ktorou sa posilňuje uplatňovanie zásady rovnakej odmeny pre mužov a ženy za rovnakú prácu alebo prácu rovnakej hodnoty</w:t>
      </w:r>
      <w:r>
        <w:rPr>
          <w:rStyle w:val="FootnoteReference"/>
          <w:noProof/>
        </w:rPr>
        <w:footnoteReference w:id="9"/>
      </w:r>
      <w:r>
        <w:t xml:space="preserve">, sa vyžaduje, aby členské štáty každý rok a včas poskytovali Komisii aktuálne údaje o rodovom rozdiele v odmeňovaní </w:t>
      </w:r>
      <w:r>
        <w:rPr>
          <w:b/>
          <w:i/>
        </w:rPr>
        <w:t>v súlade so smernicou (EÚ) 2023/970</w:t>
      </w:r>
      <w:r>
        <w:t>. Táto povinnosť by sa mala doplniť o vhodný potrebný štatistický rámec na zostavovanie a prenos údajov o rodovom rozdiele v odmeňovaní.</w:t>
      </w:r>
    </w:p>
    <w:p w:rsidR="00F177EA" w:rsidRDefault="00944201">
      <w:pPr>
        <w:pStyle w:val="ManualConsidrant"/>
        <w:rPr>
          <w:b/>
          <w:i/>
        </w:rPr>
      </w:pPr>
      <w:r>
        <w:rPr>
          <w:b/>
          <w:i/>
        </w:rPr>
        <w:t>(6a)</w:t>
      </w:r>
      <w:r>
        <w:rPr>
          <w:b/>
          <w:i/>
        </w:rPr>
        <w:tab/>
        <w:t>V nadväznosti na akčný plán pre sociálne hospodárstvo</w:t>
      </w:r>
      <w:r>
        <w:rPr>
          <w:rStyle w:val="FootnoteReference"/>
          <w:i/>
        </w:rPr>
        <w:footnoteReference w:id="10"/>
      </w:r>
      <w:r>
        <w:rPr>
          <w:b/>
          <w:i/>
        </w:rPr>
        <w:t>, ako aj ciele stanovené v stratégii v oblasti práv osôb so zdravotným postihnutím na roky 2021 – 2030, najmä v nadväznosti na cieľ vytvoriť rovnaké príležitosti a zabezpečiť im rovnaký prístup k účasti na živote spoločnosti a hospodárskej činnosti, sú potrebné včasné, porovnateľné a presné údaje o účasti osôb so zdravotným postihnutím na trhu práce. Takéto údaje poskytnú veľmi potrebné posúdenie pokroku v spoločnom úsilí pri znižovaní rozdielov v miere zamestnanosti a pri zvyšovaní miery zamestnanosti osôb so zdravotným postihnutím.</w:t>
      </w:r>
    </w:p>
    <w:p w:rsidR="00F177EA" w:rsidRDefault="00944201">
      <w:pPr>
        <w:pStyle w:val="ManualConsidrant"/>
        <w:rPr>
          <w:b/>
          <w:i/>
        </w:rPr>
      </w:pPr>
      <w:r>
        <w:rPr>
          <w:b/>
          <w:i/>
        </w:rPr>
        <w:lastRenderedPageBreak/>
        <w:t>(6b)</w:t>
      </w:r>
      <w:r>
        <w:rPr>
          <w:b/>
          <w:i/>
        </w:rPr>
        <w:tab/>
        <w:t>Vykonávanie zásady rovnakého zaobchádzania bez ohľadu na rasový alebo etnický pôvod si vyžaduje včasné, porovnateľné a presné údaje o mzdách a charakteristikách zamestnania osôb rôzneho rasového alebo etnického pôvodu. Takéto údaje poskytnú veľmi potrebné posúdenie pokroku pri znižovaní diskriminácie v súvislosti so zamestnaním a pracovnými podmienkami vrátane prepúšťania a odmeňovania.</w:t>
      </w:r>
    </w:p>
    <w:p w:rsidR="00F177EA" w:rsidRDefault="00944201">
      <w:pPr>
        <w:pStyle w:val="ManualConsidrant"/>
        <w:rPr>
          <w:b/>
          <w:i/>
          <w:noProof/>
        </w:rPr>
      </w:pPr>
      <w:r>
        <w:rPr>
          <w:b/>
          <w:i/>
        </w:rPr>
        <w:t>(6c)</w:t>
      </w:r>
      <w:r>
        <w:rPr>
          <w:b/>
          <w:i/>
        </w:rPr>
        <w:tab/>
        <w:t>Rodový rozdiel v dôchodkoch je relatívny rozdiel medzi priemernými hrubými dôchodkami žien a mužov. Tento rozdiel má svoje korene v rôznych profesionálnych kariérach; kariéra žien sa vyznačuje nižšou mzdou, kratšou a prerušovanou kariérou a nižším objemom odpracovaných hodín. V dôsledku toho sú ženy v neskoršom veku vystavené väčšiemu riziku chudoby ako muži. K lepšiemu pochopeniu rozdielov v dôchodkoch žien a mužov v členských štátoch môžu prispieť aj údaje zozbierané v súvislosti s podnikovou štatistikou trhu práce, pokiaľ ide o štruktúru zárobkov, rozdiely v odmeňovaní žien a mužov a štruktúru nákladov práce.</w:t>
      </w:r>
    </w:p>
    <w:p w:rsidR="00F177EA" w:rsidRDefault="00944201">
      <w:pPr>
        <w:pStyle w:val="ManualConsidrant"/>
        <w:rPr>
          <w:noProof/>
        </w:rPr>
      </w:pPr>
      <w:r>
        <w:t>(7)</w:t>
      </w:r>
      <w:r>
        <w:tab/>
        <w:t>S cieľom zjednodušiť existujúce právne predpisy a podporiť harmonizáciu rozsahu pôsobnosti, koncepcií, definícií a podávania správ o kvalite by sa toto nariadenie malo vzťahovať na všetky európske podnikové štatistiky trhu práce.</w:t>
      </w:r>
    </w:p>
    <w:p w:rsidR="00F177EA" w:rsidRDefault="00944201">
      <w:pPr>
        <w:pStyle w:val="ManualConsidrant"/>
        <w:rPr>
          <w:b/>
          <w:i/>
          <w:noProof/>
        </w:rPr>
      </w:pPr>
      <w:r>
        <w:rPr>
          <w:b/>
          <w:i/>
        </w:rPr>
        <w:t>(7a)</w:t>
      </w:r>
      <w:r>
        <w:rPr>
          <w:b/>
          <w:i/>
        </w:rPr>
        <w:tab/>
        <w:t>S cieľom zlepšiť podnikovú štatistiku trhu práce je nevyhnutné, aby údaje spĺňali požiadavky na kvalitu. Komisia (</w:t>
      </w:r>
      <w:proofErr w:type="spellStart"/>
      <w:r>
        <w:rPr>
          <w:b/>
          <w:i/>
        </w:rPr>
        <w:t>Eurostat</w:t>
      </w:r>
      <w:proofErr w:type="spellEnd"/>
      <w:r>
        <w:rPr>
          <w:b/>
          <w:i/>
        </w:rPr>
        <w:t>) by preto mala poskytnúť ďalšie usmernenia týkajúce sa správy údajov zozbieraných zo zdrojov s nízkou kvalitou.</w:t>
      </w:r>
    </w:p>
    <w:p w:rsidR="00F177EA" w:rsidRDefault="00944201">
      <w:pPr>
        <w:pStyle w:val="ManualConsidrant"/>
        <w:rPr>
          <w:noProof/>
          <w:szCs w:val="24"/>
        </w:rPr>
      </w:pPr>
      <w:r>
        <w:t>(8)</w:t>
      </w:r>
      <w:r>
        <w:tab/>
        <w:t>V tomto nariadení by sa mali zohľadniť nové potreby, ktoré vznikli v súvislosti s rozvojom a prehlbovaním Únie a eurozóny, a to pod podmienkou, že jeho ustanovenia nespôsobia neprimerané zaťaženie respondentov alebo vnútroštátnych štatistických orgánov.</w:t>
      </w:r>
    </w:p>
    <w:p w:rsidR="00F177EA" w:rsidRDefault="00944201">
      <w:pPr>
        <w:pStyle w:val="ManualConsidrant"/>
        <w:rPr>
          <w:b/>
          <w:i/>
          <w:noProof/>
          <w:szCs w:val="24"/>
        </w:rPr>
      </w:pPr>
      <w:r>
        <w:t>(9)</w:t>
      </w:r>
      <w:r>
        <w:tab/>
        <w:t xml:space="preserve">S cieľom obmedziť </w:t>
      </w:r>
      <w:r>
        <w:rPr>
          <w:b/>
          <w:i/>
        </w:rPr>
        <w:t>administratívne a finančné</w:t>
      </w:r>
      <w:r>
        <w:t xml:space="preserve"> zaťaženie podnikov, najmä </w:t>
      </w:r>
      <w:r>
        <w:rPr>
          <w:b/>
          <w:i/>
        </w:rPr>
        <w:t>sociálnych podnikov,</w:t>
      </w:r>
      <w:r>
        <w:t xml:space="preserve"> MSP a </w:t>
      </w:r>
      <w:proofErr w:type="spellStart"/>
      <w:r>
        <w:rPr>
          <w:b/>
          <w:i/>
        </w:rPr>
        <w:t>mikropodnikov</w:t>
      </w:r>
      <w:proofErr w:type="spellEnd"/>
      <w:r>
        <w:t xml:space="preserve">, by vnútroštátne štatistické orgány mali zvážiť využívanie administratívnych a inovačných zdrojov, </w:t>
      </w:r>
      <w:r>
        <w:rPr>
          <w:b/>
          <w:i/>
        </w:rPr>
        <w:t>ktoré sú už majú vnútroštátne, regionálne alebo miestne orgány k dispozícii a </w:t>
      </w:r>
      <w:r>
        <w:t xml:space="preserve">ktorých hlavným cieľom nie je poskytovanie štatistiky, ako o náhrade alebo doplnku štatistických zisťovaní, ak spĺňajú požiadavky na kvalitu oficiálnej štatistiky. K tomuto cieľu môže prispieť najnovší technologický a digitálny vývoj. </w:t>
      </w:r>
      <w:r>
        <w:rPr>
          <w:b/>
          <w:i/>
        </w:rPr>
        <w:t>Je však potrebné obmedziť počet zdrojov, z ktorých sa údaje môžu zbierať a prenášať, na zdroje nevyhnutné a primerané na dosiahnutie cieľa tohto nariadenia. Komisia by preto mala byť splnomocnená prijať delegované akty s cieľom určiť, z akých zdrojov, okrem údajov z prieskumov a administratívnych záznamov, sa údaje môžu zbierať a prenášať podľa tohto nariadenia. V každom prípade spracúvaním údajov pochádzajúcich z týchto iných zdrojov by nemala byť dotknutá smernica Európskeho parlamentu a Rady 2002/58/ES</w:t>
      </w:r>
      <w:r>
        <w:rPr>
          <w:rStyle w:val="FootnoteReference"/>
          <w:i/>
          <w:noProof/>
          <w:szCs w:val="24"/>
        </w:rPr>
        <w:footnoteReference w:id="11"/>
      </w:r>
      <w:r>
        <w:rPr>
          <w:b/>
          <w:i/>
        </w:rPr>
        <w:t>.</w:t>
      </w:r>
    </w:p>
    <w:p w:rsidR="00F177EA" w:rsidRDefault="00944201">
      <w:pPr>
        <w:pStyle w:val="ManualConsidrant"/>
        <w:rPr>
          <w:b/>
          <w:i/>
        </w:rPr>
      </w:pPr>
      <w:r>
        <w:rPr>
          <w:b/>
          <w:i/>
        </w:rPr>
        <w:t>(9a)</w:t>
      </w:r>
      <w:r>
        <w:rPr>
          <w:b/>
          <w:i/>
        </w:rPr>
        <w:tab/>
        <w:t>Národné štatistické orgány by mali pri jednaniach s podnikmi zohľadniť štandard nákladovej efektívnosti a nemali by ukladať nadmernú záťaž hospodárskym subjektom, ako je zakotvené v článku 338 ods. 2 Zmluvy o fungovaní Európskej únie. Členské štáty by mali vyvíjať úsilie na zabezpečenie primeranej výmeny relevantných údajov medzi orgánmi s cieľom zabezpečiť, aby zaťaženie podnikov spojené s vykazovaním bolo čo najmenšie.</w:t>
      </w:r>
    </w:p>
    <w:p w:rsidR="00F177EA" w:rsidRDefault="00944201">
      <w:pPr>
        <w:pStyle w:val="ManualConsidrant"/>
        <w:rPr>
          <w:b/>
          <w:i/>
          <w:noProof/>
          <w:szCs w:val="24"/>
        </w:rPr>
      </w:pPr>
      <w:r>
        <w:rPr>
          <w:b/>
          <w:i/>
        </w:rPr>
        <w:lastRenderedPageBreak/>
        <w:t>(9b)</w:t>
      </w:r>
      <w:r>
        <w:rPr>
          <w:b/>
          <w:i/>
        </w:rPr>
        <w:tab/>
        <w:t>Rámec upravujúci podnikovú štatistiku trhu práce by sa mal neustále zlepšovať. To zahŕňa aspekty kvality údajov, ako aj zníženie neprimeranej ekonomickej záťaže. Nové metódy a postupy by sa však mali pred ich začlenením do každodennej činnosti národných štatistických úradov riadne otestovať. Na tento účel by Komisia (</w:t>
      </w:r>
      <w:proofErr w:type="spellStart"/>
      <w:r>
        <w:rPr>
          <w:b/>
          <w:i/>
        </w:rPr>
        <w:t>Eurostat</w:t>
      </w:r>
      <w:proofErr w:type="spellEnd"/>
      <w:r>
        <w:rPr>
          <w:b/>
          <w:i/>
        </w:rPr>
        <w:t>) a národné štatistické úrady mali vykonať štúdie uskutočniteľnosti a pilotné štúdie. Takéto štúdie by mala iniciovať Komisia a mali by byť otvorené účasti národných štatistických úradov na dobrovoľnom základe. S cieľom vyvodiť správne závery by Komisia a národné štatistické úrady mali dôkladne analyzovať výsledky týchto štúdií. Táto analýza by sa mala sprístupniť štatistickej komunite a širšej verejnosti.</w:t>
      </w:r>
    </w:p>
    <w:p w:rsidR="00F177EA" w:rsidRDefault="00944201">
      <w:pPr>
        <w:pStyle w:val="ManualConsidrant"/>
        <w:rPr>
          <w:noProof/>
          <w:szCs w:val="24"/>
        </w:rPr>
      </w:pPr>
      <w:r>
        <w:t>(10)</w:t>
      </w:r>
      <w:r>
        <w:tab/>
        <w:t>Na zvýšenie efektívnosti štatistických procesov tvorby štatistiky trhu práce a na zníženie štatistického zaťaženia respondentov by mali mať vnútroštátne štatistické orgány v súlade s ustanovením článku 17a nariadenia Európskeho parlamentu a Rady (ES) č. 223/2009</w:t>
      </w:r>
      <w:r>
        <w:rPr>
          <w:rStyle w:val="FootnoteReference"/>
          <w:noProof/>
        </w:rPr>
        <w:footnoteReference w:id="12"/>
      </w:r>
      <w:r>
        <w:t xml:space="preserve"> právo na prístup ku všetkým vnútroštátnym administratívnym záznamom a na ich používanie, a to bezodkladne a bezplatne, ako aj na integráciu uvedených administratívnych záznamov do štatistík v miere potrebnej na rozvoj, tvorbu a šírenie podnikovej štatistiky trhu práce Európskej únie.</w:t>
      </w:r>
    </w:p>
    <w:p w:rsidR="00F177EA" w:rsidRDefault="00944201">
      <w:pPr>
        <w:pStyle w:val="ManualConsidrant"/>
        <w:rPr>
          <w:noProof/>
        </w:rPr>
      </w:pPr>
      <w:r>
        <w:t>(11)</w:t>
      </w:r>
      <w:r>
        <w:tab/>
        <w:t xml:space="preserve">Nariadenie (ES) č. 223/2009 je pre toto nariadenie referenčným rámcom, a to aj pokiaľ ide o ochranu dôverných údajov </w:t>
      </w:r>
      <w:r>
        <w:rPr>
          <w:b/>
          <w:i/>
        </w:rPr>
        <w:t>a spracúvanie a výmenu osobných údajov vrátane údajov v súkromnej držbe</w:t>
      </w:r>
      <w:r>
        <w:t>.</w:t>
      </w:r>
    </w:p>
    <w:p w:rsidR="00F177EA" w:rsidRDefault="00944201">
      <w:pPr>
        <w:pStyle w:val="ManualConsidrant"/>
        <w:rPr>
          <w:noProof/>
          <w:szCs w:val="24"/>
        </w:rPr>
      </w:pPr>
      <w:r>
        <w:rPr>
          <w:b/>
          <w:i/>
        </w:rPr>
        <w:t>(11a)</w:t>
      </w:r>
      <w:r>
        <w:rPr>
          <w:b/>
          <w:i/>
        </w:rPr>
        <w:tab/>
        <w:t>Používanie techník extrakcie dát z webu na zber údajov z webových stránok, ktoré zvyčajne spočívajú v neštruktúrovanom vyhľadávaní toho, čo je verejne dostupné na internete, nemusí byť v súlade so zásadou presnosti ochrany údajov, pokiaľ neexistuje posúdenie spoľahlivosti zdrojov. Mohli by tým byť dotknuté rovnaké požiadavky na kvalitu oficiálnej štatistiky (napr. zásada štatistickej presnosti a spoľahlivosti zdrojových údajov).</w:t>
      </w:r>
    </w:p>
    <w:p w:rsidR="00F177EA" w:rsidRDefault="00944201">
      <w:pPr>
        <w:pStyle w:val="ManualConsidrant"/>
        <w:rPr>
          <w:noProof/>
        </w:rPr>
      </w:pPr>
      <w:r>
        <w:t>(12)</w:t>
      </w:r>
      <w:r>
        <w:tab/>
        <w:t xml:space="preserve">Keďže cieľ tohto nariadenia, a to stanovenie spoločného rámca pre systematickú tvorbu kvalitnej podnikovej štatistiky trhu práce Európskej únie, nie je možné uspokojivo dosiahnuť na úrovni členských štátov, ale z dôvodov konzistentnosti alebo porovnateľnosti ho možno lepšie dosiahnuť na úrovni Únie, môže Únia prijať opatrenia v súlade so zásadou subsidiarity podľa článku 5 Zmluvy o Európskej únii. V súlade so zásadou proporcionality podľa uvedeného článku toto nariadenie neprekračuje rámec nevyhnutný na dosiahnutie uvedeného cieľa. </w:t>
      </w:r>
    </w:p>
    <w:p w:rsidR="00F177EA" w:rsidRDefault="00944201">
      <w:pPr>
        <w:pStyle w:val="ManualConsidrant"/>
        <w:rPr>
          <w:noProof/>
        </w:rPr>
      </w:pPr>
      <w:r>
        <w:t>(13)</w:t>
      </w:r>
      <w:r>
        <w:tab/>
        <w:t>V súlade s článkom 42 ods. 1 nariadenia Európskeho parlamentu a Rady (EÚ) 2018/1725</w:t>
      </w:r>
      <w:r>
        <w:rPr>
          <w:rStyle w:val="FootnoteReference"/>
          <w:noProof/>
        </w:rPr>
        <w:footnoteReference w:id="13"/>
      </w:r>
      <w:r>
        <w:t xml:space="preserve"> sa uskutočnili konzultácie s európskym dozorným úradníkom pre ochranu údajov, ktorý vydal svoje stanovisko </w:t>
      </w:r>
      <w:r>
        <w:rPr>
          <w:b/>
          <w:i/>
        </w:rPr>
        <w:t>25. septembra 2023</w:t>
      </w:r>
      <w:r>
        <w:t>.</w:t>
      </w:r>
    </w:p>
    <w:p w:rsidR="00F177EA" w:rsidRDefault="00944201">
      <w:pPr>
        <w:pStyle w:val="ManualConsidrant"/>
        <w:rPr>
          <w:b/>
          <w:i/>
          <w:noProof/>
        </w:rPr>
      </w:pPr>
      <w:r>
        <w:lastRenderedPageBreak/>
        <w:t>(14)</w:t>
      </w:r>
      <w:r>
        <w:tab/>
        <w:t xml:space="preserve">Na správne vykonávanie tohto nariadenia v členských štátoch je potrebných najmenej 12 mesiacov odo dňa nadobudnutia účinnosti pred prvým zberom údajov. </w:t>
      </w:r>
      <w:r>
        <w:rPr>
          <w:b/>
          <w:i/>
        </w:rPr>
        <w:t>Preto by sa malo uplatňovať najskôr od 1. januára 2026.</w:t>
      </w:r>
    </w:p>
    <w:p w:rsidR="00F177EA" w:rsidRDefault="00944201">
      <w:pPr>
        <w:pStyle w:val="ManualConsidrant"/>
        <w:rPr>
          <w:noProof/>
        </w:rPr>
      </w:pPr>
      <w:r>
        <w:t>(15)</w:t>
      </w:r>
      <w:r>
        <w:tab/>
        <w:t>Uskutočnili sa konzultácie s Výborom pre európsky štatistický systém,</w:t>
      </w:r>
    </w:p>
    <w:p w:rsidR="00F177EA" w:rsidRDefault="00944201">
      <w:pPr>
        <w:pStyle w:val="Formuledadoption"/>
        <w:rPr>
          <w:noProof/>
        </w:rPr>
      </w:pPr>
      <w:r>
        <w:t>PRIJALI TOTO NARIADENIE:</w:t>
      </w:r>
    </w:p>
    <w:p w:rsidR="00F177EA" w:rsidRDefault="00944201">
      <w:pPr>
        <w:pStyle w:val="Titrearticle"/>
        <w:rPr>
          <w:noProof/>
        </w:rPr>
      </w:pPr>
      <w:r>
        <w:t>Článok 1</w:t>
      </w:r>
    </w:p>
    <w:p w:rsidR="00F177EA" w:rsidRDefault="00944201">
      <w:pPr>
        <w:jc w:val="center"/>
        <w:rPr>
          <w:b/>
          <w:noProof/>
        </w:rPr>
      </w:pPr>
      <w:r>
        <w:rPr>
          <w:b/>
        </w:rPr>
        <w:t>Predmet úpravy</w:t>
      </w:r>
    </w:p>
    <w:p w:rsidR="00F177EA" w:rsidRDefault="00F177EA">
      <w:pPr>
        <w:jc w:val="center"/>
        <w:rPr>
          <w:b/>
          <w:noProof/>
        </w:rPr>
      </w:pPr>
    </w:p>
    <w:p w:rsidR="00F177EA" w:rsidRDefault="00944201">
      <w:pPr>
        <w:rPr>
          <w:noProof/>
        </w:rPr>
      </w:pPr>
      <w:r>
        <w:t>Týmto nariadením sa stanovuje spoločný právny rámec pre rozvoj, tvorbu a šírenie podnikovej štatistiky trhu práce v Únii.</w:t>
      </w:r>
    </w:p>
    <w:p w:rsidR="00F177EA" w:rsidRDefault="00944201">
      <w:pPr>
        <w:pStyle w:val="Titrearticle"/>
        <w:rPr>
          <w:noProof/>
        </w:rPr>
      </w:pPr>
      <w:r>
        <w:t>Článok 2</w:t>
      </w:r>
    </w:p>
    <w:p w:rsidR="00F177EA" w:rsidRDefault="00944201">
      <w:pPr>
        <w:jc w:val="center"/>
        <w:rPr>
          <w:b/>
          <w:noProof/>
        </w:rPr>
      </w:pPr>
      <w:r>
        <w:rPr>
          <w:b/>
        </w:rPr>
        <w:t>Vymedzenie pojmov</w:t>
      </w:r>
    </w:p>
    <w:p w:rsidR="00F177EA" w:rsidRDefault="00944201">
      <w:pPr>
        <w:spacing w:before="240" w:after="240"/>
        <w:rPr>
          <w:noProof/>
        </w:rPr>
      </w:pPr>
      <w:r>
        <w:t>Na účely tohto nariadenia sa uplatňuje toto vymedzenie pojmov:</w:t>
      </w:r>
    </w:p>
    <w:p w:rsidR="00F177EA" w:rsidRDefault="00944201">
      <w:pPr>
        <w:pStyle w:val="Point0"/>
        <w:rPr>
          <w:noProof/>
        </w:rPr>
      </w:pPr>
      <w:r>
        <w:t>1.</w:t>
      </w:r>
      <w:r>
        <w:tab/>
        <w:t xml:space="preserve">„štatistická jednotka“ je </w:t>
      </w:r>
      <w:r>
        <w:rPr>
          <w:b/>
          <w:i/>
        </w:rPr>
        <w:t>fyzická alebo právnická osoba</w:t>
      </w:r>
      <w:r>
        <w:t>, o ktorej sa zbierajú alebo zostavujú údaje;</w:t>
      </w:r>
    </w:p>
    <w:p w:rsidR="00F177EA" w:rsidRDefault="00944201">
      <w:pPr>
        <w:pStyle w:val="Point0"/>
        <w:rPr>
          <w:rStyle w:val="CommentReference"/>
          <w:rFonts w:eastAsia="Times New Roman"/>
          <w:noProof/>
        </w:rPr>
      </w:pPr>
      <w:r>
        <w:t>2.</w:t>
      </w:r>
      <w:r>
        <w:tab/>
        <w:t>„podnik“ je súbor právnych jednotiek, ako je vymedzené v nariadení Rady (EHS) č. 696/93</w:t>
      </w:r>
      <w:r>
        <w:rPr>
          <w:rStyle w:val="FootnoteReference"/>
          <w:noProof/>
        </w:rPr>
        <w:footnoteReference w:id="14"/>
      </w:r>
      <w:r>
        <w:t>; zahrnutí sú netrhoví výrobcovia a iné inštitucionálne jednotky, ktoré patria do sektora verejnej správy;</w:t>
      </w:r>
    </w:p>
    <w:p w:rsidR="00F177EA" w:rsidRDefault="00944201">
      <w:pPr>
        <w:pStyle w:val="Point0"/>
        <w:rPr>
          <w:b/>
          <w:i/>
          <w:noProof/>
        </w:rPr>
      </w:pPr>
      <w:r>
        <w:rPr>
          <w:b/>
          <w:i/>
        </w:rPr>
        <w:t>2a</w:t>
      </w:r>
      <w:r>
        <w:t>.</w:t>
      </w:r>
      <w:r>
        <w:rPr>
          <w:b/>
          <w:i/>
        </w:rPr>
        <w:tab/>
        <w:t>„sociálny podnik“ je súkromnoprávny subjekt, ktorý môže mať rôzne právne formy a ktorý poskytuje tovar a služby na trhu podnikateľským spôsobom a v súlade so zásadami a charakteristickými črtami sociálneho hospodárstva, pričom dôvodom jeho obchodnej činnosti sú sociálne alebo environmentálne ciele</w:t>
      </w:r>
      <w:r>
        <w:rPr>
          <w:rStyle w:val="FootnoteReference"/>
          <w:i/>
        </w:rPr>
        <w:footnoteReference w:id="15"/>
      </w:r>
      <w:r>
        <w:rPr>
          <w:b/>
          <w:i/>
        </w:rPr>
        <w:t>;</w:t>
      </w:r>
    </w:p>
    <w:p w:rsidR="00F177EA" w:rsidRDefault="00944201">
      <w:pPr>
        <w:pStyle w:val="Point0"/>
        <w:rPr>
          <w:rStyle w:val="CommentReference"/>
          <w:noProof/>
        </w:rPr>
      </w:pPr>
      <w:r>
        <w:t>3.</w:t>
      </w:r>
      <w:r>
        <w:tab/>
        <w:t xml:space="preserve">„miestna jednotka“ je podnik alebo jeho časť na geograficky stanovenom mieste; </w:t>
      </w:r>
    </w:p>
    <w:p w:rsidR="00F177EA" w:rsidRDefault="00944201">
      <w:pPr>
        <w:pStyle w:val="Point0"/>
        <w:rPr>
          <w:noProof/>
        </w:rPr>
      </w:pPr>
      <w:r>
        <w:t>4.</w:t>
      </w:r>
      <w:r>
        <w:tab/>
        <w:t xml:space="preserve">„rezidentský podnik“, resp. „rezidentská miestna jednotka“ je podnik, resp. miestna jednotka, ktoré vykonávajú ekonomické činnosti </w:t>
      </w:r>
      <w:proofErr w:type="spellStart"/>
      <w:r>
        <w:t>prispievajúce</w:t>
      </w:r>
      <w:proofErr w:type="spellEnd"/>
      <w:r>
        <w:t xml:space="preserve"> do hrubého domáceho produktu (HDP);</w:t>
      </w:r>
    </w:p>
    <w:p w:rsidR="00F177EA" w:rsidRDefault="00944201">
      <w:pPr>
        <w:pStyle w:val="Point0"/>
        <w:rPr>
          <w:b/>
          <w:noProof/>
        </w:rPr>
      </w:pPr>
      <w:r>
        <w:t>5.</w:t>
      </w:r>
      <w:r>
        <w:tab/>
        <w:t xml:space="preserve">„zamestnanec“ je akákoľvek osoba bez ohľadu na jej štátnu príslušnosť, príslušnosť k ekonomickému územiu alebo dĺžku jej zamestnania v členskom štáte, ktorá má </w:t>
      </w:r>
      <w:r>
        <w:rPr>
          <w:b/>
          <w:i/>
        </w:rPr>
        <w:t>pracovnoprávny vzťah</w:t>
      </w:r>
      <w:r>
        <w:t xml:space="preserve"> priamo s podnikom </w:t>
      </w:r>
      <w:r>
        <w:rPr>
          <w:b/>
          <w:i/>
        </w:rPr>
        <w:t xml:space="preserve">uzatvorený na základe formálnej zmluvy alebo neformálnej dohody </w:t>
      </w:r>
      <w:r>
        <w:t>a ktorá dostáva odmenu, a to bez ohľadu na druh vykonávanej práce, počet odpracovaných hodín (plný pracovný čas alebo kratší pracovný čas) a dobu pracovnej zmluvy (určitú alebo neurčitú vrátane zmluvy na sezónnu prácu); odmeňovanie zamestnancov môže mať formu miezd a platov vrátane prémií, miezd za úkolovú prácu a prácu na zmeny, príplatkov, poplatkov, provízií a odmeny v naturáliách;</w:t>
      </w:r>
      <w:r>
        <w:rPr>
          <w:b/>
        </w:rPr>
        <w:t xml:space="preserve"> [PN 4]</w:t>
      </w:r>
    </w:p>
    <w:p w:rsidR="00F177EA" w:rsidRDefault="00944201">
      <w:pPr>
        <w:pStyle w:val="Point0"/>
        <w:rPr>
          <w:b/>
          <w:noProof/>
        </w:rPr>
      </w:pPr>
      <w:r>
        <w:lastRenderedPageBreak/>
        <w:t>6.</w:t>
      </w:r>
      <w:r>
        <w:tab/>
        <w:t xml:space="preserve">„zamestnávateľ“ je podnik alebo miestna jednotka, ktorá má </w:t>
      </w:r>
      <w:r>
        <w:rPr>
          <w:b/>
          <w:i/>
        </w:rPr>
        <w:t>pracovnoprávny vzťah</w:t>
      </w:r>
      <w:r>
        <w:t xml:space="preserve"> priamo so zamestnancom </w:t>
      </w:r>
      <w:r>
        <w:rPr>
          <w:b/>
          <w:i/>
        </w:rPr>
        <w:t>uzatvorený na základe formálnej zmluvy</w:t>
      </w:r>
      <w:r>
        <w:t xml:space="preserve"> alebo </w:t>
      </w:r>
      <w:r>
        <w:rPr>
          <w:b/>
          <w:i/>
        </w:rPr>
        <w:t>neformálnej dohody</w:t>
      </w:r>
      <w:r>
        <w:t>;</w:t>
      </w:r>
      <w:r>
        <w:rPr>
          <w:b/>
        </w:rPr>
        <w:t xml:space="preserve"> [PN 5]</w:t>
      </w:r>
    </w:p>
    <w:p w:rsidR="00F177EA" w:rsidRDefault="00944201">
      <w:pPr>
        <w:pStyle w:val="Point0"/>
        <w:rPr>
          <w:noProof/>
        </w:rPr>
      </w:pPr>
      <w:r>
        <w:t>7.</w:t>
      </w:r>
      <w:r>
        <w:tab/>
        <w:t>„doména“ je jeden súbor alebo viacero súborov údajov, ktoré pokrývajú jednu alebo viaceré témy;</w:t>
      </w:r>
    </w:p>
    <w:p w:rsidR="00F177EA" w:rsidRDefault="00944201">
      <w:pPr>
        <w:pStyle w:val="Point0"/>
        <w:rPr>
          <w:noProof/>
        </w:rPr>
      </w:pPr>
      <w:r>
        <w:t>8.</w:t>
      </w:r>
      <w:r>
        <w:tab/>
        <w:t>„téma“ je obsah informácií, ktoré sa majú zbierať o štatistických jednotkách v rámci zberu údajov, pričom každá téma zahŕňa niekoľko čiastkových tém;</w:t>
      </w:r>
    </w:p>
    <w:p w:rsidR="00F177EA" w:rsidRDefault="00944201">
      <w:pPr>
        <w:pStyle w:val="Point0"/>
        <w:rPr>
          <w:noProof/>
        </w:rPr>
      </w:pPr>
      <w:r>
        <w:t>9.</w:t>
      </w:r>
      <w:r>
        <w:tab/>
        <w:t>„čiastková téma“ je podrobný obsah informácií o štatistických jednotkách v súvislosti s určitou témou, ktoré sa majú zbierať, pričom každá čiastková téma pokrýva jednu alebo niekoľko premenných;</w:t>
      </w:r>
    </w:p>
    <w:p w:rsidR="00F177EA" w:rsidRDefault="00944201">
      <w:pPr>
        <w:pStyle w:val="Point0"/>
        <w:rPr>
          <w:noProof/>
        </w:rPr>
      </w:pPr>
      <w:r>
        <w:t>10.</w:t>
      </w:r>
      <w:r>
        <w:tab/>
        <w:t>„premenná“ je charakteristika jednotky, ktorá môže mať viac ako jednu hodnotu zo súboru hodnôt, pričom môže ísť o absolútnu hodnotu, podiel alebo odkaz na pozíciu v klasifikácii;</w:t>
      </w:r>
    </w:p>
    <w:p w:rsidR="00F177EA" w:rsidRDefault="00944201">
      <w:pPr>
        <w:pStyle w:val="Point0"/>
        <w:rPr>
          <w:noProof/>
        </w:rPr>
      </w:pPr>
      <w:r>
        <w:t>11.</w:t>
      </w:r>
      <w:r>
        <w:tab/>
        <w:t>„členenie“ je vopred definovaný diskrétny, vyčerpávajúci a vzájomne sa vylučujúci súbor hodnôt, ktoré možno priradiť premennej charakterizujúcej štatistické jednotky;</w:t>
      </w:r>
    </w:p>
    <w:p w:rsidR="00F177EA" w:rsidRDefault="00944201">
      <w:pPr>
        <w:pStyle w:val="Point0"/>
        <w:rPr>
          <w:noProof/>
        </w:rPr>
      </w:pPr>
      <w:r>
        <w:t>12.</w:t>
      </w:r>
      <w:r>
        <w:tab/>
        <w:t>„</w:t>
      </w:r>
      <w:proofErr w:type="spellStart"/>
      <w:r>
        <w:t>mikroúdaje</w:t>
      </w:r>
      <w:proofErr w:type="spellEnd"/>
      <w:r>
        <w:t>“ sú údaje týkajúce sa len jednej štatistickej jednotky bez priameho identifikátora;</w:t>
      </w:r>
    </w:p>
    <w:p w:rsidR="00F177EA" w:rsidRDefault="00944201">
      <w:pPr>
        <w:pStyle w:val="Point0"/>
        <w:rPr>
          <w:noProof/>
        </w:rPr>
      </w:pPr>
      <w:r>
        <w:t>13.</w:t>
      </w:r>
      <w:r>
        <w:tab/>
        <w:t>„agregované údaje“ sú údaje týkajúce sa súboru viacerých štatistických jednotiek;</w:t>
      </w:r>
    </w:p>
    <w:p w:rsidR="00F177EA" w:rsidRDefault="00944201">
      <w:pPr>
        <w:pStyle w:val="Point0"/>
        <w:rPr>
          <w:noProof/>
        </w:rPr>
      </w:pPr>
      <w:r>
        <w:t>14.</w:t>
      </w:r>
      <w:r>
        <w:tab/>
        <w:t>„štatistická populácia“ je súbor štatistických jednotiek, o ktorých sa zisťujú informácie a vyžadujú odhady;</w:t>
      </w:r>
    </w:p>
    <w:p w:rsidR="00F177EA" w:rsidRDefault="00944201">
      <w:pPr>
        <w:pStyle w:val="Point0"/>
        <w:rPr>
          <w:noProof/>
        </w:rPr>
      </w:pPr>
      <w:r>
        <w:t>15.</w:t>
      </w:r>
      <w:r>
        <w:tab/>
        <w:t xml:space="preserve">„opora výberu“ je zoznam, mapa alebo iná špecifikácia jednotiek, ktorá určuje štatistickú populáciu, ktorá sa má kompletne sčítať alebo z ktorej sa má vybrať vzorka; </w:t>
      </w:r>
    </w:p>
    <w:p w:rsidR="00F177EA" w:rsidRDefault="00944201">
      <w:pPr>
        <w:pStyle w:val="Point0"/>
        <w:rPr>
          <w:noProof/>
        </w:rPr>
      </w:pPr>
      <w:r>
        <w:t>16.</w:t>
      </w:r>
      <w:r>
        <w:tab/>
        <w:t xml:space="preserve">„vzorka“ je </w:t>
      </w:r>
      <w:proofErr w:type="spellStart"/>
      <w:r>
        <w:t>podsúbor</w:t>
      </w:r>
      <w:proofErr w:type="spellEnd"/>
      <w:r>
        <w:t xml:space="preserve"> opory výberu, ktorého prvky sa vyberajú na základe procesu so známou pravdepodobnosťou výberu a ktorý je navrhnutý tak, aby umožnil odvodiť platné odhady za štatistickú populáciu;</w:t>
      </w:r>
    </w:p>
    <w:p w:rsidR="00F177EA" w:rsidRDefault="00944201">
      <w:pPr>
        <w:pStyle w:val="Point0"/>
        <w:rPr>
          <w:noProof/>
        </w:rPr>
      </w:pPr>
      <w:r>
        <w:t>17.</w:t>
      </w:r>
      <w:r>
        <w:tab/>
        <w:t>„respondent“ je spravodajská jednotka, ktorá poskytuje informácie orgánu vykonávajúcemu zisťovanie;</w:t>
      </w:r>
    </w:p>
    <w:p w:rsidR="00F177EA" w:rsidRDefault="00944201">
      <w:pPr>
        <w:pStyle w:val="Point0"/>
        <w:rPr>
          <w:noProof/>
        </w:rPr>
      </w:pPr>
      <w:r>
        <w:t>18.</w:t>
      </w:r>
      <w:r>
        <w:tab/>
        <w:t>„údaje zo zisťovania“ sú údaje zozbierané na vzorke respondentov a </w:t>
      </w:r>
      <w:proofErr w:type="spellStart"/>
      <w:r>
        <w:t>extrapolované</w:t>
      </w:r>
      <w:proofErr w:type="spellEnd"/>
      <w:r>
        <w:t xml:space="preserve"> na štatistickú populáciu s použitím vhodných matematických metód;</w:t>
      </w:r>
    </w:p>
    <w:p w:rsidR="00F177EA" w:rsidRDefault="00944201">
      <w:pPr>
        <w:pStyle w:val="Point0"/>
        <w:rPr>
          <w:noProof/>
        </w:rPr>
      </w:pPr>
      <w:r>
        <w:t>19.</w:t>
      </w:r>
      <w:r>
        <w:tab/>
        <w:t>„administratívne záznamy“ sú údaje, ktoré generuje administratívny subjekt, zvyčajne verejný orgán, ktorého hlavným cieľom nie je poskytovať štatistiku;</w:t>
      </w:r>
    </w:p>
    <w:p w:rsidR="00F177EA" w:rsidRDefault="00944201">
      <w:pPr>
        <w:pStyle w:val="Point0"/>
        <w:rPr>
          <w:noProof/>
        </w:rPr>
      </w:pPr>
      <w:r>
        <w:t>20.</w:t>
      </w:r>
      <w:r>
        <w:tab/>
        <w:t xml:space="preserve">„ostatné zdroje“ sú </w:t>
      </w:r>
      <w:r>
        <w:rPr>
          <w:b/>
          <w:i/>
        </w:rPr>
        <w:t>kvalitné a spoľahlivé</w:t>
      </w:r>
      <w:r>
        <w:rPr>
          <w:b/>
        </w:rPr>
        <w:t xml:space="preserve"> </w:t>
      </w:r>
      <w:r>
        <w:t>údaje, ktoré generuje iný ako administratívny subjekt, ktorého hlavným cieľom nie je poskytovať štatistiku; medzi ostatné zdroje patria aj súkromné záznamy, webové sídla a databázy;</w:t>
      </w:r>
    </w:p>
    <w:p w:rsidR="00F177EA" w:rsidRDefault="00944201">
      <w:pPr>
        <w:pStyle w:val="Point0"/>
        <w:rPr>
          <w:noProof/>
        </w:rPr>
      </w:pPr>
      <w:r>
        <w:t>21.</w:t>
      </w:r>
      <w:r>
        <w:tab/>
        <w:t xml:space="preserve">„štatistická klasifikácia“ je zoradený zoznam súvisiacich, aj keď vzájomne sa vylučujúcich kategórií, ktorý sa používa na </w:t>
      </w:r>
      <w:proofErr w:type="spellStart"/>
      <w:r>
        <w:t>štruktúrovanie</w:t>
      </w:r>
      <w:proofErr w:type="spellEnd"/>
      <w:r>
        <w:t xml:space="preserve"> informácií v danej štatistickej doméne na základe ich podobnosti, pričom zoznam môže mať jednu alebo viaceré úrovne podrobnosti;</w:t>
      </w:r>
    </w:p>
    <w:p w:rsidR="00F177EA" w:rsidRDefault="00944201">
      <w:pPr>
        <w:pStyle w:val="Point0"/>
        <w:rPr>
          <w:noProof/>
        </w:rPr>
      </w:pPr>
      <w:r>
        <w:t>22.</w:t>
      </w:r>
      <w:r>
        <w:tab/>
        <w:t>„referenčné obdobie“ je obdobie, na ktoré sa údaje vzťahujú;</w:t>
      </w:r>
    </w:p>
    <w:p w:rsidR="00F177EA" w:rsidRDefault="00944201">
      <w:pPr>
        <w:pStyle w:val="Point0"/>
        <w:rPr>
          <w:noProof/>
        </w:rPr>
      </w:pPr>
      <w:r>
        <w:t>23.</w:t>
      </w:r>
      <w:r>
        <w:tab/>
        <w:t>„obdobie zberu údajov“ je časové obdobie, v ktorom sa údaje zbierajú;</w:t>
      </w:r>
    </w:p>
    <w:p w:rsidR="00F177EA" w:rsidRDefault="00944201">
      <w:pPr>
        <w:pStyle w:val="Point0"/>
        <w:rPr>
          <w:noProof/>
        </w:rPr>
      </w:pPr>
      <w:r>
        <w:t>24.</w:t>
      </w:r>
      <w:r>
        <w:tab/>
        <w:t>„</w:t>
      </w:r>
      <w:proofErr w:type="spellStart"/>
      <w:r>
        <w:t>metaúdaje</w:t>
      </w:r>
      <w:proofErr w:type="spellEnd"/>
      <w:r>
        <w:t>“ sú informácie, ktoré sú potrebné na využitie a interpretovanie štatistiky a ktoré štruktúrovaným spôsobom opisujú údaje;</w:t>
      </w:r>
    </w:p>
    <w:p w:rsidR="00F177EA" w:rsidRDefault="00944201">
      <w:pPr>
        <w:pStyle w:val="Point0"/>
        <w:rPr>
          <w:noProof/>
        </w:rPr>
      </w:pPr>
      <w:r>
        <w:lastRenderedPageBreak/>
        <w:t>25.</w:t>
      </w:r>
      <w:r>
        <w:tab/>
        <w:t>„vopred skontrolované údaje“ sú údaje overené členskými štátmi na základe dohodnutých spoločných pravidiel overovania;</w:t>
      </w:r>
    </w:p>
    <w:p w:rsidR="00F177EA" w:rsidRDefault="00944201">
      <w:pPr>
        <w:pStyle w:val="Point0"/>
        <w:rPr>
          <w:noProof/>
        </w:rPr>
      </w:pPr>
      <w:r>
        <w:t>26.</w:t>
      </w:r>
      <w:r>
        <w:tab/>
        <w:t>„správa o kvalite“ je správa obsahujúca informácie o kvalite štatistického produktu alebo procesu</w:t>
      </w:r>
      <w:r>
        <w:rPr>
          <w:b/>
          <w:i/>
        </w:rPr>
        <w:t>;</w:t>
      </w:r>
    </w:p>
    <w:p w:rsidR="00F177EA" w:rsidRDefault="00944201">
      <w:pPr>
        <w:pStyle w:val="Point0"/>
        <w:rPr>
          <w:b/>
          <w:i/>
          <w:noProof/>
        </w:rPr>
      </w:pPr>
      <w:r>
        <w:rPr>
          <w:b/>
          <w:i/>
        </w:rPr>
        <w:t>26a.</w:t>
      </w:r>
      <w:r>
        <w:rPr>
          <w:b/>
          <w:i/>
        </w:rPr>
        <w:tab/>
        <w:t xml:space="preserve">„spätné údaje“ sú údaje za obdobie najmenej dvoch rokov pred dňom začatia uplatňovania tohto nariadenia. </w:t>
      </w:r>
    </w:p>
    <w:p w:rsidR="00F177EA" w:rsidRDefault="00944201">
      <w:pPr>
        <w:pStyle w:val="Titrearticle"/>
        <w:rPr>
          <w:noProof/>
        </w:rPr>
      </w:pPr>
      <w:r>
        <w:t>Článok 3</w:t>
      </w:r>
    </w:p>
    <w:p w:rsidR="00F177EA" w:rsidRDefault="00944201">
      <w:pPr>
        <w:jc w:val="center"/>
        <w:rPr>
          <w:b/>
          <w:noProof/>
        </w:rPr>
      </w:pPr>
      <w:r>
        <w:rPr>
          <w:b/>
        </w:rPr>
        <w:t>Zdroje a metódy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1. </w:t>
      </w:r>
      <w:r>
        <w:tab/>
        <w:t>Na účely zostavovania štatistiky podľa tohto nariadenia členské štáty použijú alebo opätovne použijú jeden z nasledujúcich zdrojov alebo ich kombináciu za predpokladu, že spĺňajú štandardy kvality uvedené v článku 8:</w:t>
      </w:r>
    </w:p>
    <w:p w:rsidR="00F177EA" w:rsidRDefault="00944201">
      <w:pPr>
        <w:pStyle w:val="Point0"/>
        <w:ind w:left="1418" w:hanging="567"/>
        <w:rPr>
          <w:noProof/>
        </w:rPr>
      </w:pPr>
      <w:r>
        <w:t>a)</w:t>
      </w:r>
      <w:r>
        <w:tab/>
        <w:t>údaje zo zisťovaní;</w:t>
      </w:r>
    </w:p>
    <w:p w:rsidR="00F177EA" w:rsidRDefault="00944201">
      <w:pPr>
        <w:pStyle w:val="Point0"/>
        <w:ind w:left="1418" w:hanging="567"/>
        <w:rPr>
          <w:noProof/>
        </w:rPr>
      </w:pPr>
      <w:r>
        <w:t>b)</w:t>
      </w:r>
      <w:r>
        <w:tab/>
        <w:t>administratívne záznamy;</w:t>
      </w:r>
    </w:p>
    <w:p w:rsidR="00F177EA" w:rsidRDefault="00944201">
      <w:pPr>
        <w:pStyle w:val="Point0"/>
        <w:ind w:left="1418" w:hanging="567"/>
        <w:rPr>
          <w:noProof/>
        </w:rPr>
      </w:pPr>
      <w:r>
        <w:t>c)</w:t>
      </w:r>
      <w:r>
        <w:tab/>
        <w:t>iné zdroje.</w:t>
      </w:r>
    </w:p>
    <w:p w:rsidR="00F177EA" w:rsidRDefault="00944201">
      <w:pPr>
        <w:spacing w:before="240" w:after="240"/>
        <w:ind w:left="851" w:hanging="851"/>
        <w:jc w:val="both"/>
        <w:rPr>
          <w:b/>
          <w:i/>
        </w:rPr>
      </w:pPr>
      <w:r>
        <w:rPr>
          <w:b/>
          <w:i/>
        </w:rPr>
        <w:t xml:space="preserve">1a. </w:t>
      </w:r>
      <w:r>
        <w:rPr>
          <w:b/>
          <w:i/>
        </w:rPr>
        <w:tab/>
        <w:t xml:space="preserve">Komisia je splnomocnená prijímať delegované akty v súlade s článkom 13 s cieľom doplniť toto nariadenie, ktorým sa spresňuje, z ktorých iných zdrojov uvedených v odseku 1 písm. c) tohto článku sa môžu údaje zbierať a prenášať. Pri výkone právomoci prijímať takéto delegované akty Komisia zabezpečí, aby bolo použitie týchto iných zdrojov nevyhnutné a primerané na dosiahnutie cieľa podľa tohto nariadenia, pričom náležite zohľadní citlivosť predmetných údajov a bez toho, aby bola dotknutá smernica 2002/58/ES. 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2. </w:t>
      </w:r>
      <w:r>
        <w:tab/>
        <w:t>Zisťovania používané na účely podnikovej štatistiky trhu práce sú založené na vzorkách, ktoré sú reprezentatívne za štatistickú populáciu. Vzorky podnikov alebo miestnych jednotiek sa vyberajú z vnútroštátnych štatistických registrov ekonomických subjektov vymedzených v článku 8 ods. 4 nariadenia (EÚ) 2019/2152.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3. </w:t>
      </w:r>
      <w:r>
        <w:tab/>
        <w:t>Členské štáty poskytujú Komisii (</w:t>
      </w:r>
      <w:proofErr w:type="spellStart"/>
      <w:r>
        <w:t>Eurostatu</w:t>
      </w:r>
      <w:proofErr w:type="spellEnd"/>
      <w:r>
        <w:t>) podrobné informácie o použitých zdrojoch a metódach prostredníctvom správ o kvalite uvedených v článku 8 ods. 4.</w:t>
      </w:r>
    </w:p>
    <w:p w:rsidR="00F177EA" w:rsidRDefault="00944201">
      <w:pPr>
        <w:pStyle w:val="Titrearticle"/>
        <w:rPr>
          <w:b/>
          <w:noProof/>
        </w:rPr>
      </w:pPr>
      <w:r>
        <w:rPr>
          <w:b/>
        </w:rPr>
        <w:t>Článok 3a</w:t>
      </w:r>
    </w:p>
    <w:p w:rsidR="00F177EA" w:rsidRDefault="00944201">
      <w:pPr>
        <w:jc w:val="center"/>
        <w:rPr>
          <w:b/>
          <w:i/>
        </w:rPr>
      </w:pPr>
      <w:r>
        <w:rPr>
          <w:b/>
          <w:i/>
        </w:rPr>
        <w:t>Požiadavky na spracovanie osobných údajov</w:t>
      </w:r>
    </w:p>
    <w:p w:rsidR="00F177EA" w:rsidRDefault="00944201">
      <w:pPr>
        <w:spacing w:before="240" w:after="240"/>
        <w:ind w:left="851" w:hanging="851"/>
        <w:jc w:val="both"/>
        <w:rPr>
          <w:b/>
          <w:i/>
        </w:rPr>
      </w:pPr>
      <w:r>
        <w:rPr>
          <w:b/>
          <w:i/>
        </w:rPr>
        <w:t xml:space="preserve">1. </w:t>
      </w:r>
      <w:r>
        <w:rPr>
          <w:b/>
          <w:i/>
        </w:rPr>
        <w:tab/>
        <w:t>Ak činnosti, ktoré sa majú vykonať podľa tohto nariadenia, zahŕňajú spracúvanie osobných údajov, takéto spracúvanie musí byť primerané a v súlade s nariadením Európskeho parlamentu a Rady (EÚ) 2018/1725</w:t>
      </w:r>
      <w:r>
        <w:rPr>
          <w:rStyle w:val="FootnoteReference"/>
          <w:i/>
        </w:rPr>
        <w:footnoteReference w:id="16"/>
      </w:r>
      <w:r>
        <w:rPr>
          <w:b/>
          <w:i/>
        </w:rPr>
        <w:t xml:space="preserve"> a nariadením Európskeho </w:t>
      </w:r>
      <w:r>
        <w:rPr>
          <w:b/>
          <w:i/>
        </w:rPr>
        <w:lastRenderedPageBreak/>
        <w:t>parlamentu a Rady (EÚ) 2016/679</w:t>
      </w:r>
      <w:r>
        <w:rPr>
          <w:b/>
          <w:i/>
          <w:vertAlign w:val="superscript"/>
        </w:rPr>
        <w:footnoteReference w:id="17"/>
      </w:r>
      <w:r>
        <w:rPr>
          <w:b/>
          <w:i/>
        </w:rPr>
        <w:t>. V súlade so zásadou minimalizácie údajov stanovenou v uvedených nariadeniach sa údaje poskytované podľa tohto nariadenia musia agregovať do takej miery, aby nebolo možné identifikovať jednotlivcov.</w:t>
      </w:r>
    </w:p>
    <w:p w:rsidR="00F177EA" w:rsidRDefault="00944201">
      <w:pPr>
        <w:spacing w:before="240" w:after="240"/>
        <w:ind w:left="851" w:hanging="851"/>
        <w:jc w:val="both"/>
        <w:rPr>
          <w:b/>
          <w:i/>
        </w:rPr>
      </w:pPr>
      <w:r>
        <w:rPr>
          <w:b/>
          <w:i/>
        </w:rPr>
        <w:t xml:space="preserve">2. </w:t>
      </w:r>
      <w:r>
        <w:rPr>
          <w:b/>
          <w:i/>
        </w:rPr>
        <w:tab/>
        <w:t xml:space="preserve">Spracúvanie osobných údajov na štatistické účely, ktoré sa považuje za verejný záujem, musí podliehať primeraným zárukám v súlade s článkom 89 nariadenia (EÚ) 2016/679 a článkom 13 nariadenia (EÚ) 2018/1725. Zabezpečí sa najmä súlad so zásadou </w:t>
      </w:r>
      <w:proofErr w:type="spellStart"/>
      <w:r>
        <w:rPr>
          <w:b/>
          <w:i/>
        </w:rPr>
        <w:t>anonymizácie</w:t>
      </w:r>
      <w:proofErr w:type="spellEnd"/>
      <w:r>
        <w:rPr>
          <w:b/>
          <w:i/>
        </w:rPr>
        <w:t xml:space="preserve"> osobných údajov.</w:t>
      </w:r>
    </w:p>
    <w:p w:rsidR="00F177EA" w:rsidRDefault="00F177EA">
      <w:pPr>
        <w:spacing w:before="240" w:after="240"/>
        <w:rPr>
          <w:noProof/>
        </w:rPr>
      </w:pPr>
    </w:p>
    <w:p w:rsidR="00F177EA" w:rsidRDefault="00944201">
      <w:pPr>
        <w:pStyle w:val="Titrearticle"/>
        <w:rPr>
          <w:noProof/>
        </w:rPr>
      </w:pPr>
      <w:r>
        <w:t>Článok 4</w:t>
      </w:r>
    </w:p>
    <w:p w:rsidR="00F177EA" w:rsidRDefault="00944201">
      <w:pPr>
        <w:jc w:val="center"/>
        <w:rPr>
          <w:b/>
          <w:noProof/>
        </w:rPr>
      </w:pPr>
      <w:r>
        <w:rPr>
          <w:b/>
        </w:rPr>
        <w:t>Požiadavky na údaje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1. </w:t>
      </w:r>
      <w:r>
        <w:tab/>
        <w:t>Podniková štatistika trhu práce pokrýva tieto domény a témy:</w:t>
      </w:r>
    </w:p>
    <w:p w:rsidR="00F177EA" w:rsidRDefault="00944201">
      <w:pPr>
        <w:pStyle w:val="Point0"/>
        <w:ind w:firstLine="1"/>
        <w:rPr>
          <w:noProof/>
        </w:rPr>
      </w:pPr>
      <w:r>
        <w:t>a)</w:t>
      </w:r>
      <w:r>
        <w:tab/>
        <w:t>mzdy:</w:t>
      </w:r>
    </w:p>
    <w:p w:rsidR="00F177EA" w:rsidRDefault="00944201">
      <w:pPr>
        <w:pStyle w:val="Tiret0"/>
        <w:numPr>
          <w:ilvl w:val="0"/>
          <w:numId w:val="0"/>
        </w:numPr>
        <w:ind w:left="1418"/>
        <w:rPr>
          <w:b/>
          <w:noProof/>
        </w:rPr>
      </w:pPr>
      <w:r>
        <w:t xml:space="preserve">i) </w:t>
      </w:r>
      <w:r>
        <w:tab/>
        <w:t>štruktúra miezd;</w:t>
      </w:r>
    </w:p>
    <w:p w:rsidR="00F177EA" w:rsidRDefault="00944201">
      <w:pPr>
        <w:pStyle w:val="Tiret0"/>
        <w:numPr>
          <w:ilvl w:val="0"/>
          <w:numId w:val="0"/>
        </w:numPr>
        <w:ind w:left="1418"/>
        <w:rPr>
          <w:noProof/>
        </w:rPr>
      </w:pPr>
      <w:r>
        <w:t xml:space="preserve">ii) </w:t>
      </w:r>
      <w:r>
        <w:tab/>
        <w:t>rodový rozdiel v odmeňovaní;</w:t>
      </w:r>
    </w:p>
    <w:p w:rsidR="00F177EA" w:rsidRDefault="00944201">
      <w:pPr>
        <w:pStyle w:val="Tiret0"/>
        <w:numPr>
          <w:ilvl w:val="0"/>
          <w:numId w:val="0"/>
        </w:numPr>
        <w:ind w:left="1418"/>
        <w:rPr>
          <w:b/>
          <w:i/>
          <w:noProof/>
        </w:rPr>
      </w:pPr>
      <w:r>
        <w:rPr>
          <w:b/>
          <w:i/>
        </w:rPr>
        <w:t xml:space="preserve">iii) </w:t>
      </w:r>
      <w:r>
        <w:rPr>
          <w:b/>
          <w:i/>
        </w:rPr>
        <w:tab/>
        <w:t>pokrytie kolektívnym vyjednávaním;</w:t>
      </w:r>
    </w:p>
    <w:p w:rsidR="00F177EA" w:rsidRDefault="00944201">
      <w:pPr>
        <w:pStyle w:val="Tiret0"/>
        <w:numPr>
          <w:ilvl w:val="0"/>
          <w:numId w:val="0"/>
        </w:numPr>
        <w:ind w:left="1418"/>
        <w:rPr>
          <w:b/>
          <w:i/>
          <w:noProof/>
        </w:rPr>
      </w:pPr>
      <w:r>
        <w:rPr>
          <w:b/>
          <w:i/>
        </w:rPr>
        <w:t xml:space="preserve">iv) </w:t>
      </w:r>
      <w:r>
        <w:rPr>
          <w:b/>
          <w:i/>
        </w:rPr>
        <w:tab/>
        <w:t>výška zákonnej minimálnej mzdy, ak sa uplatňuje;</w:t>
      </w:r>
    </w:p>
    <w:p w:rsidR="00F177EA" w:rsidRDefault="00944201">
      <w:pPr>
        <w:pStyle w:val="Tiret0"/>
        <w:numPr>
          <w:ilvl w:val="0"/>
          <w:numId w:val="0"/>
        </w:numPr>
        <w:ind w:left="1418"/>
        <w:rPr>
          <w:b/>
          <w:i/>
          <w:noProof/>
        </w:rPr>
      </w:pPr>
      <w:r>
        <w:rPr>
          <w:b/>
          <w:i/>
        </w:rPr>
        <w:t xml:space="preserve">v) </w:t>
      </w:r>
      <w:r>
        <w:rPr>
          <w:b/>
          <w:i/>
        </w:rPr>
        <w:tab/>
        <w:t>prípadné zákonné krytie minimálnej mzdy;</w:t>
      </w:r>
    </w:p>
    <w:p w:rsidR="00F177EA" w:rsidRDefault="00944201">
      <w:pPr>
        <w:pStyle w:val="Point0"/>
        <w:ind w:firstLine="1"/>
        <w:rPr>
          <w:noProof/>
        </w:rPr>
      </w:pPr>
      <w:r>
        <w:t>b)</w:t>
      </w:r>
      <w:r>
        <w:tab/>
        <w:t>náklady práce:</w:t>
      </w:r>
    </w:p>
    <w:p w:rsidR="00F177EA" w:rsidRDefault="00944201">
      <w:pPr>
        <w:pStyle w:val="Tiret0"/>
        <w:numPr>
          <w:ilvl w:val="0"/>
          <w:numId w:val="0"/>
        </w:numPr>
        <w:ind w:left="1418"/>
        <w:rPr>
          <w:noProof/>
        </w:rPr>
      </w:pPr>
      <w:r>
        <w:t xml:space="preserve">i) </w:t>
      </w:r>
      <w:r>
        <w:tab/>
        <w:t>štruktúra nákladov práce;</w:t>
      </w:r>
    </w:p>
    <w:p w:rsidR="00F177EA" w:rsidRDefault="00944201">
      <w:pPr>
        <w:pStyle w:val="Tiret0"/>
        <w:numPr>
          <w:ilvl w:val="0"/>
          <w:numId w:val="0"/>
        </w:numPr>
        <w:ind w:left="1418"/>
        <w:rPr>
          <w:noProof/>
        </w:rPr>
      </w:pPr>
      <w:r>
        <w:t xml:space="preserve">ii) </w:t>
      </w:r>
      <w:r>
        <w:tab/>
        <w:t>index nákladov práce;</w:t>
      </w:r>
    </w:p>
    <w:p w:rsidR="00F177EA" w:rsidRDefault="00944201">
      <w:pPr>
        <w:pStyle w:val="Point0"/>
        <w:ind w:firstLine="1"/>
        <w:rPr>
          <w:noProof/>
        </w:rPr>
      </w:pPr>
      <w:r>
        <w:t>c)</w:t>
      </w:r>
      <w:r>
        <w:tab/>
        <w:t>dopyt po práci:</w:t>
      </w:r>
    </w:p>
    <w:p w:rsidR="00F177EA" w:rsidRDefault="00944201">
      <w:pPr>
        <w:pStyle w:val="Tiret0"/>
        <w:numPr>
          <w:ilvl w:val="0"/>
          <w:numId w:val="0"/>
        </w:numPr>
        <w:ind w:left="1418"/>
        <w:rPr>
          <w:noProof/>
        </w:rPr>
      </w:pPr>
      <w:r>
        <w:t xml:space="preserve">i) </w:t>
      </w:r>
      <w:r>
        <w:tab/>
        <w:t>voľné pracovné miesta.</w:t>
      </w:r>
    </w:p>
    <w:p w:rsidR="00F177EA" w:rsidRDefault="00944201">
      <w:pPr>
        <w:spacing w:before="240" w:after="240"/>
        <w:ind w:left="851"/>
        <w:jc w:val="both"/>
        <w:rPr>
          <w:noProof/>
        </w:rPr>
      </w:pPr>
      <w:r>
        <w:t>Téma index nákladov práce uvedená v písmene b) bode ii) a téma voľné pracovné miesta uvedená v písmene c) bode i) zahŕňajú ich príslušné predbežné odhady uvedené v článku 5.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2. </w:t>
      </w:r>
      <w:r>
        <w:tab/>
        <w:t>V prípade každej témy uvedenej v odseku 1 sa čiastkové témy, ich zodpovedajúca periodicita, referenčné obdobia a lehoty na prenos stanovujú v prílohe.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3. </w:t>
      </w:r>
      <w:r>
        <w:tab/>
        <w:t>Komisia je splnomocnená prijímať delegované akty v súlade s článkom 13 s cieľom zmeniť zoznam čiastkových tém, periodicitu, referenčné obdobia a lehoty na prenos stanovené v prílohe.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4. </w:t>
      </w:r>
      <w:r>
        <w:tab/>
        <w:t xml:space="preserve">Pri výkone právomoci prijímať delegované akty podľa odseku 3 Komisia zabezpečí, aby zmeny nepredstavovali pre členské štáty a respondentov výrazné a neprimerané </w:t>
      </w:r>
      <w:r>
        <w:lastRenderedPageBreak/>
        <w:t xml:space="preserve">zaťaženie. Na tento účel sa začnú štúdie uskutočniteľnosti stanovené v článku 9 a ich výsledky sa </w:t>
      </w:r>
      <w:r>
        <w:rPr>
          <w:b/>
          <w:i/>
        </w:rPr>
        <w:t>pred prijatím delegovaných aktov</w:t>
      </w:r>
      <w:r>
        <w:t xml:space="preserve"> náležite </w:t>
      </w:r>
      <w:r>
        <w:rPr>
          <w:b/>
          <w:i/>
        </w:rPr>
        <w:t>posúdia</w:t>
      </w:r>
      <w:r>
        <w:t xml:space="preserve"> a zohľadnia.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5. </w:t>
      </w:r>
      <w:r>
        <w:tab/>
        <w:t>Údaje sa zasielajú Komisii (</w:t>
      </w:r>
      <w:proofErr w:type="spellStart"/>
      <w:r>
        <w:t>Eurostatu</w:t>
      </w:r>
      <w:proofErr w:type="spellEnd"/>
      <w:r>
        <w:t xml:space="preserve">) vo forme agregovaných údajov s výnimkou témy štruktúra miezd uvedenej v odseku 1 písm. a) bode i), v prípade ktorej sa zasielajú </w:t>
      </w:r>
      <w:proofErr w:type="spellStart"/>
      <w:r>
        <w:t>mikroúdaje</w:t>
      </w:r>
      <w:proofErr w:type="spellEnd"/>
      <w:r>
        <w:t xml:space="preserve"> za jednotlivých zamestnancov a miestne jednotky.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6. </w:t>
      </w:r>
      <w:r>
        <w:tab/>
        <w:t xml:space="preserve">Členské štáty poskytujú vopred skontrolované údaje a súvisiace </w:t>
      </w:r>
      <w:proofErr w:type="spellStart"/>
      <w:r>
        <w:t>metaúdaje</w:t>
      </w:r>
      <w:proofErr w:type="spellEnd"/>
      <w:r>
        <w:t xml:space="preserve"> ku každému súboru údajov s použitím technického formátu stanoveného Komisiou (</w:t>
      </w:r>
      <w:proofErr w:type="spellStart"/>
      <w:r>
        <w:t>Eurostatom</w:t>
      </w:r>
      <w:proofErr w:type="spellEnd"/>
      <w:r>
        <w:t>). Údaje sa Komisii (</w:t>
      </w:r>
      <w:proofErr w:type="spellStart"/>
      <w:r>
        <w:t>Eurostatu</w:t>
      </w:r>
      <w:proofErr w:type="spellEnd"/>
      <w:r>
        <w:t>) zasielajú prostredníctvom jediného vstupného bodu.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7. </w:t>
      </w:r>
      <w:r>
        <w:tab/>
        <w:t>Komisia prijme vykonávacie akty, v ktorých pre každú tému špecifikuje tieto prvky:</w:t>
      </w:r>
    </w:p>
    <w:p w:rsidR="00F177EA" w:rsidRDefault="00944201">
      <w:pPr>
        <w:pStyle w:val="Point0"/>
        <w:ind w:left="1418" w:hanging="567"/>
        <w:rPr>
          <w:noProof/>
        </w:rPr>
      </w:pPr>
      <w:r>
        <w:t>a)</w:t>
      </w:r>
      <w:r>
        <w:tab/>
        <w:t>zoznam a opis premenných;</w:t>
      </w:r>
    </w:p>
    <w:p w:rsidR="00F177EA" w:rsidRDefault="00944201">
      <w:pPr>
        <w:pStyle w:val="Point0"/>
        <w:ind w:left="1418" w:hanging="567"/>
        <w:rPr>
          <w:noProof/>
        </w:rPr>
      </w:pPr>
      <w:r>
        <w:t>b)</w:t>
      </w:r>
      <w:r>
        <w:tab/>
        <w:t>štatistické klasifikácie a členenia údajov;</w:t>
      </w:r>
    </w:p>
    <w:p w:rsidR="00F177EA" w:rsidRDefault="00944201">
      <w:pPr>
        <w:pStyle w:val="Point0"/>
        <w:ind w:left="1418" w:hanging="567"/>
        <w:rPr>
          <w:noProof/>
        </w:rPr>
      </w:pPr>
      <w:r>
        <w:t>c)</w:t>
      </w:r>
      <w:r>
        <w:tab/>
        <w:t>ciele týkajúce sa presnosti;</w:t>
      </w:r>
    </w:p>
    <w:p w:rsidR="00F177EA" w:rsidRDefault="00944201">
      <w:pPr>
        <w:pStyle w:val="Point0"/>
        <w:ind w:left="1418" w:hanging="567"/>
        <w:rPr>
          <w:noProof/>
        </w:rPr>
      </w:pPr>
      <w:r>
        <w:t>d)</w:t>
      </w:r>
      <w:r>
        <w:tab/>
      </w:r>
      <w:proofErr w:type="spellStart"/>
      <w:r>
        <w:t>metaúdaje</w:t>
      </w:r>
      <w:proofErr w:type="spellEnd"/>
      <w:r>
        <w:t>, ktoré sa majú zasielať s rovnakou periodicitou, referenčným obdobím a lehotami ako údaje, ktorých sa týkajú;</w:t>
      </w:r>
    </w:p>
    <w:p w:rsidR="00F177EA" w:rsidRDefault="00944201">
      <w:pPr>
        <w:pStyle w:val="Point0"/>
        <w:ind w:left="1418" w:hanging="567"/>
        <w:rPr>
          <w:noProof/>
        </w:rPr>
      </w:pPr>
      <w:r>
        <w:t>e)</w:t>
      </w:r>
      <w:r>
        <w:tab/>
        <w:t>obdobia zberu údajov.</w:t>
      </w:r>
    </w:p>
    <w:p w:rsidR="00F177EA" w:rsidRDefault="00944201">
      <w:pPr>
        <w:spacing w:before="240" w:after="240" w:line="259" w:lineRule="auto"/>
        <w:ind w:left="851"/>
        <w:jc w:val="both"/>
        <w:rPr>
          <w:noProof/>
        </w:rPr>
      </w:pPr>
      <w:r>
        <w:t>Uvedené vykonávacie akty sa prijmú v súlade s postupom preskúmania uvedeným v článku 14 ods. 2 najmenej 12 mesiacov pred začiatkom príslušného referenčného obdobia.</w:t>
      </w:r>
    </w:p>
    <w:p w:rsidR="00F177EA" w:rsidRDefault="00944201">
      <w:pPr>
        <w:pStyle w:val="Titrearticle"/>
        <w:rPr>
          <w:noProof/>
        </w:rPr>
      </w:pPr>
      <w:r>
        <w:t>Článok 5</w:t>
      </w:r>
    </w:p>
    <w:p w:rsidR="00F177EA" w:rsidRDefault="00944201">
      <w:pPr>
        <w:jc w:val="center"/>
        <w:rPr>
          <w:b/>
          <w:noProof/>
        </w:rPr>
      </w:pPr>
      <w:r>
        <w:rPr>
          <w:b/>
        </w:rPr>
        <w:t>Predbežné odhady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1. </w:t>
      </w:r>
      <w:r>
        <w:tab/>
        <w:t>Predbežné odhady indexu nákladov práce uvedeného v článku 4 ods. 1 písm. b) bode ii) a voľných pracovných miest uvedených v článku 4 ods. 1 písm. c) bode i) zasielajú:</w:t>
      </w:r>
    </w:p>
    <w:p w:rsidR="00F177EA" w:rsidRDefault="00944201">
      <w:pPr>
        <w:pStyle w:val="Point0"/>
        <w:ind w:left="1418" w:hanging="567"/>
        <w:rPr>
          <w:noProof/>
        </w:rPr>
      </w:pPr>
      <w:r>
        <w:t>a)</w:t>
      </w:r>
      <w:r>
        <w:tab/>
        <w:t>členské štáty, ktorých ročný počet zamestnancov predstavuje viac ako 3 % úhrnu za EÚ, za každý z troch posledných po sebe nasledujúcich rokov a</w:t>
      </w:r>
    </w:p>
    <w:p w:rsidR="00F177EA" w:rsidRDefault="00944201">
      <w:pPr>
        <w:pStyle w:val="Point0"/>
        <w:ind w:left="1418" w:hanging="567"/>
        <w:rPr>
          <w:noProof/>
        </w:rPr>
      </w:pPr>
      <w:r>
        <w:t>b)</w:t>
      </w:r>
      <w:r>
        <w:tab/>
        <w:t>členské štáty eurozóny, ktorých ročný počet zamestnancov predstavuje viac ako 3 % úhrnu za eurozónu, za každý z troch posledných po sebe nasledujúcich rokov.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2. </w:t>
      </w:r>
      <w:r>
        <w:tab/>
        <w:t>Podiely zamestnancov na úhrne za EÚ a úhrne za eurozónu podľa odseku 1 posúdi Komisia (</w:t>
      </w:r>
      <w:proofErr w:type="spellStart"/>
      <w:r>
        <w:t>Eurostat</w:t>
      </w:r>
      <w:proofErr w:type="spellEnd"/>
      <w:r>
        <w:t>) na základe dostupných ročných údajov zo zisťovania pracovných síl v EÚ.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3. </w:t>
      </w:r>
      <w:r>
        <w:tab/>
        <w:t>Ak dôjde k akejkoľvek zmene v zozname členských štátov, ktorých ročný počet zamestnancov je vyšší ako prahové hodnoty uvedené v odseku 1 písm. a) a b), Komisia (</w:t>
      </w:r>
      <w:proofErr w:type="spellStart"/>
      <w:r>
        <w:t>Eurostat</w:t>
      </w:r>
      <w:proofErr w:type="spellEnd"/>
      <w:r>
        <w:t xml:space="preserve">) to oznámi príslušným členským štátom do šiestich mesiacov od konca obdobia použitého na posúdenie prahovej hodnoty 3 %. Ak aktualizované podiely zamestnancov klesnú pod príslušné prahové hodnoty uvedené v odseku 1 písm. a) a b), príslušné členské štáty môžu prestať zasielať predbežné odhady od referenčného štvrťroka prvého kalendárneho roka nasledujúceho po dátume oznámenia. Ak </w:t>
      </w:r>
      <w:r>
        <w:lastRenderedPageBreak/>
        <w:t>aktualizované podiely budú nad uvedenými prahovými hodnotami, príslušné členské štáty zašlú predbežné odhady od prvého referenčného štvrťroka tretieho kalendárneho roka nasledujúceho po dátume oznámenia.</w:t>
      </w:r>
    </w:p>
    <w:p w:rsidR="00F177EA" w:rsidRDefault="00944201">
      <w:pPr>
        <w:pStyle w:val="Titrearticle"/>
        <w:rPr>
          <w:noProof/>
        </w:rPr>
      </w:pPr>
      <w:r>
        <w:t>Článok 6</w:t>
      </w:r>
    </w:p>
    <w:p w:rsidR="00F177EA" w:rsidRDefault="00944201">
      <w:pPr>
        <w:jc w:val="center"/>
        <w:rPr>
          <w:b/>
          <w:noProof/>
        </w:rPr>
      </w:pPr>
      <w:r>
        <w:rPr>
          <w:b/>
        </w:rPr>
        <w:t>Štatistické jednotky a štatistická populácia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1. </w:t>
      </w:r>
      <w:r>
        <w:tab/>
        <w:t>Štatistika podľa tohto nariadenia sa zostavuje za jednu štatistickú jednotku alebo viaceré nasledujúce štatistické jednotky:</w:t>
      </w:r>
    </w:p>
    <w:p w:rsidR="00F177EA" w:rsidRDefault="00944201">
      <w:pPr>
        <w:pStyle w:val="Point0"/>
        <w:ind w:left="1418" w:hanging="567"/>
        <w:rPr>
          <w:noProof/>
        </w:rPr>
      </w:pPr>
      <w:r>
        <w:t>a)</w:t>
      </w:r>
      <w:r>
        <w:tab/>
        <w:t>podniky;</w:t>
      </w:r>
    </w:p>
    <w:p w:rsidR="00F177EA" w:rsidRDefault="00944201">
      <w:pPr>
        <w:pStyle w:val="Point0"/>
        <w:ind w:left="1418" w:hanging="567"/>
        <w:rPr>
          <w:noProof/>
        </w:rPr>
      </w:pPr>
      <w:r>
        <w:t>b)</w:t>
      </w:r>
      <w:r>
        <w:tab/>
        <w:t>miestne jednotky;</w:t>
      </w:r>
    </w:p>
    <w:p w:rsidR="00F177EA" w:rsidRDefault="00944201">
      <w:pPr>
        <w:pStyle w:val="Point0"/>
        <w:ind w:left="1418" w:hanging="567"/>
        <w:rPr>
          <w:noProof/>
        </w:rPr>
      </w:pPr>
      <w:r>
        <w:t>c)</w:t>
      </w:r>
      <w:r>
        <w:tab/>
        <w:t>zamestnanci.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2. </w:t>
      </w:r>
      <w:r>
        <w:tab/>
        <w:t>V prípade témy index nákladov práce uvedenej v článku 4 ods. 1 písm. b) bode ii) a témy voľné pracovné miesta uvedenej v článku 4 ods. 1 písm. c) bode i) štatistická populácia pozostáva zo všetkých podnikov alebo všetkých miestnych jednotiek, ktoré sú rezidentmi</w:t>
      </w:r>
      <w:r>
        <w:rPr>
          <w:i/>
        </w:rPr>
        <w:t xml:space="preserve"> </w:t>
      </w:r>
      <w:r>
        <w:t>členského štátu a ktoré spĺňajú tieto podmienky:</w:t>
      </w:r>
    </w:p>
    <w:p w:rsidR="00F177EA" w:rsidRDefault="00944201">
      <w:pPr>
        <w:pStyle w:val="Point0"/>
        <w:ind w:left="1418" w:hanging="567"/>
        <w:rPr>
          <w:noProof/>
        </w:rPr>
      </w:pPr>
      <w:r>
        <w:t>a)</w:t>
      </w:r>
      <w:r>
        <w:tab/>
        <w:t>ich hlavná ekonomická činnosť je zahrnutá v ktorejkoľvek sekcii klasifikácie NACE</w:t>
      </w:r>
      <w:r>
        <w:rPr>
          <w:rStyle w:val="FootnoteReference"/>
          <w:noProof/>
        </w:rPr>
        <w:footnoteReference w:id="18"/>
      </w:r>
      <w:r>
        <w:t xml:space="preserve"> s výnimkou „Poľnohospodárstvo, lesníctvo a rybolov“, „Činnosti domácností ako zamestnávateľov; nediferencované činnosti v domácnostiach produkujúce tovar na vlastné použitie“ a „Činnosti </w:t>
      </w:r>
      <w:proofErr w:type="spellStart"/>
      <w:r>
        <w:t>extrateritoriálnych</w:t>
      </w:r>
      <w:proofErr w:type="spellEnd"/>
      <w:r>
        <w:t xml:space="preserve"> organizácií a združení“ a</w:t>
      </w:r>
    </w:p>
    <w:p w:rsidR="00F177EA" w:rsidRDefault="00944201">
      <w:pPr>
        <w:pStyle w:val="Point0"/>
        <w:ind w:left="1418" w:hanging="567"/>
        <w:rPr>
          <w:noProof/>
        </w:rPr>
      </w:pPr>
      <w:r>
        <w:t>b)</w:t>
      </w:r>
      <w:r>
        <w:tab/>
        <w:t>majú jedného alebo viac zamestnancov.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3. </w:t>
      </w:r>
      <w:r>
        <w:tab/>
        <w:t>V prípade témy štruktúra miezd uvedenej v článku 4 ods. 1 písm. a) bode i) a témy rodový rozdiel v odmeňovaní uvedenej v článku 4 ods. 1 písm. a) bode ii), pokiaľ ide o údaje o zamestnávateľovi, štatistická populácia pozostáva zo všetkých miestnych jednotiek, ktoré sú rezidentmi členského štátu a ktoré spĺňajú tieto podmienky:</w:t>
      </w:r>
    </w:p>
    <w:p w:rsidR="00F177EA" w:rsidRDefault="00944201">
      <w:pPr>
        <w:pStyle w:val="Point0"/>
        <w:ind w:left="1418" w:hanging="567"/>
        <w:rPr>
          <w:noProof/>
        </w:rPr>
      </w:pPr>
      <w:r>
        <w:t>a)</w:t>
      </w:r>
      <w:r>
        <w:tab/>
        <w:t xml:space="preserve">ich ekonomická činnosť je zahrnutá v ktorejkoľvek sekcii klasifikácie NACE s výnimkou „Poľnohospodárstvo, lesníctvo a rybolov“, „Činnosti domácností ako zamestnávateľov; nediferencované činnosti v domácnostiach produkujúce tovar na vlastné použitie“ a „Činnosti </w:t>
      </w:r>
      <w:proofErr w:type="spellStart"/>
      <w:r>
        <w:t>extrateritoriálnych</w:t>
      </w:r>
      <w:proofErr w:type="spellEnd"/>
      <w:r>
        <w:t xml:space="preserve"> organizácií a združení“ a</w:t>
      </w:r>
    </w:p>
    <w:p w:rsidR="00F177EA" w:rsidRDefault="00944201">
      <w:pPr>
        <w:pStyle w:val="Point0"/>
        <w:ind w:left="1418" w:hanging="567"/>
        <w:rPr>
          <w:noProof/>
        </w:rPr>
      </w:pPr>
      <w:r>
        <w:t>b)</w:t>
      </w:r>
      <w:r>
        <w:tab/>
        <w:t>majú jedného alebo viac zamestnancov.</w:t>
      </w:r>
    </w:p>
    <w:p w:rsidR="00F177EA" w:rsidRDefault="00944201">
      <w:pPr>
        <w:spacing w:before="240" w:after="240"/>
        <w:ind w:left="851"/>
        <w:jc w:val="both"/>
        <w:rPr>
          <w:noProof/>
        </w:rPr>
      </w:pPr>
      <w:r>
        <w:t xml:space="preserve">V prípade témy štruktúra miezd a rodový rozdiel v odmeňovaní, pokiaľ ide o údaje o zamestnancovi, štatistická populácia pozostáva zo všetkých zamestnancov, ktorých miestna jednotka patrí do štatistickej populácie vymedzenej v prvom </w:t>
      </w:r>
      <w:proofErr w:type="spellStart"/>
      <w:r>
        <w:t>pododseku</w:t>
      </w:r>
      <w:proofErr w:type="spellEnd"/>
      <w:r>
        <w:t xml:space="preserve"> písm. a) a b).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4. </w:t>
      </w:r>
      <w:r>
        <w:tab/>
        <w:t xml:space="preserve">Odchylne od odseku 3 písm. a) a b), pokiaľ ide o údaje o rozdiele v odmeňovaní žien </w:t>
      </w:r>
      <w:r>
        <w:lastRenderedPageBreak/>
        <w:t>a mužov za referenčné obdobie 2026, zasielané údaje pokrývajú všetky miestne jednotky, ktoré sú súčasťou podnikov s 10 alebo viac zamestnancami a ktoré okrem činností vylúčených v odseku 3 písm. a) nepatria do sekcie „Verejná správa a obrana“; povinné sociálne zabezpečenie“ klasifikácie NACE.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5. </w:t>
      </w:r>
      <w:r>
        <w:tab/>
        <w:t>V prípade témy štruktúra nákladov práce uvedenej v článku 4 ods. 1 písm. b) bode i) štatistická populácia pozostáva zo všetkých miestnych jednotiek, ktoré sú rezidentmi členského štátu a ktoré spĺňajú tieto podmienky:</w:t>
      </w:r>
    </w:p>
    <w:p w:rsidR="00F177EA" w:rsidRDefault="00944201">
      <w:pPr>
        <w:pStyle w:val="Point0"/>
        <w:ind w:left="1418" w:hanging="567"/>
        <w:rPr>
          <w:noProof/>
        </w:rPr>
      </w:pPr>
      <w:r>
        <w:t>a)</w:t>
      </w:r>
      <w:r>
        <w:tab/>
        <w:t xml:space="preserve">ich ekonomická činnosť je zahrnutá v ktorejkoľvek sekcii klasifikácie NACE s výnimkou „Poľnohospodárstvo, lesníctvo a rybolov“, „Činnosti domácností ako zamestnávateľov; nediferencované činnosti v domácnostiach produkujúce tovar na vlastné použitie“ a „Činnosti </w:t>
      </w:r>
      <w:proofErr w:type="spellStart"/>
      <w:r>
        <w:t>extrateritoriálnych</w:t>
      </w:r>
      <w:proofErr w:type="spellEnd"/>
      <w:r>
        <w:t xml:space="preserve"> organizácií a združení“ a</w:t>
      </w:r>
    </w:p>
    <w:p w:rsidR="00F177EA" w:rsidRDefault="00944201">
      <w:pPr>
        <w:pStyle w:val="Point0"/>
        <w:ind w:left="1418" w:hanging="567"/>
        <w:rPr>
          <w:noProof/>
        </w:rPr>
      </w:pPr>
      <w:r>
        <w:t>b)</w:t>
      </w:r>
      <w:r>
        <w:tab/>
        <w:t>sú súčasťou podnikov s 10 alebo viac zamestnancami.</w:t>
      </w:r>
    </w:p>
    <w:p w:rsidR="00F177EA" w:rsidRDefault="00944201">
      <w:pPr>
        <w:spacing w:before="240" w:after="240"/>
        <w:ind w:left="851" w:hanging="851"/>
        <w:jc w:val="both"/>
        <w:rPr>
          <w:b/>
          <w:i/>
          <w:noProof/>
        </w:rPr>
      </w:pPr>
      <w:r>
        <w:rPr>
          <w:b/>
          <w:i/>
        </w:rPr>
        <w:t xml:space="preserve">5a. </w:t>
      </w:r>
      <w:r>
        <w:rPr>
          <w:b/>
          <w:i/>
        </w:rPr>
        <w:tab/>
        <w:t>Členské štáty zbierajú a poskytujú samostatné údaje v súvislosti so sociálnymi podnikmi pre všetky témy uvedené v prílohe.</w:t>
      </w:r>
    </w:p>
    <w:p w:rsidR="00F177EA" w:rsidRDefault="00944201">
      <w:pPr>
        <w:pStyle w:val="Titrearticle"/>
        <w:rPr>
          <w:noProof/>
        </w:rPr>
      </w:pPr>
      <w:r>
        <w:t>Článok 7</w:t>
      </w:r>
    </w:p>
    <w:p w:rsidR="00F177EA" w:rsidRDefault="00944201">
      <w:pPr>
        <w:jc w:val="center"/>
        <w:rPr>
          <w:b/>
          <w:noProof/>
        </w:rPr>
      </w:pPr>
      <w:r>
        <w:rPr>
          <w:b/>
        </w:rPr>
        <w:t>Požiadavky na ad hoc údaje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1. </w:t>
      </w:r>
      <w:r>
        <w:tab/>
        <w:t>Komisia je splnomocnená prijímať delegované akty, ktorými sa dopĺňa toto nariadenie, v súlade s článkom 13 špecifikovaním informácií, ktoré majú členské štáty poskytnúť na ad hoc báze, ak sa v rámci rozsahu pôsobnosti tohto nariadenia zber dodatočných údajov považuje za potrebný na účely riešenia dodatočných potrieb týkajúcich sa štatistických údajov</w:t>
      </w:r>
      <w:r>
        <w:rPr>
          <w:b/>
          <w:i/>
        </w:rPr>
        <w:t>, ktoré nemožno splniť iným spôsobom</w:t>
      </w:r>
      <w:r>
        <w:t>. V uvedených delegovaných aktoch sa špecifikujú:</w:t>
      </w:r>
    </w:p>
    <w:p w:rsidR="00F177EA" w:rsidRDefault="00944201">
      <w:pPr>
        <w:pStyle w:val="Point0"/>
        <w:ind w:left="1418" w:hanging="567"/>
        <w:rPr>
          <w:noProof/>
        </w:rPr>
      </w:pPr>
      <w:r>
        <w:t>a)</w:t>
      </w:r>
      <w:r>
        <w:tab/>
        <w:t>čiastkové témy, ktoré sa majú poskytnúť v rámci ad hoc zberu údajov týkajúcich sa domén a tém uvedených v článku 4, a dôvody takýchto dodatočných potrieb;</w:t>
      </w:r>
    </w:p>
    <w:p w:rsidR="00F177EA" w:rsidRDefault="00944201">
      <w:pPr>
        <w:pStyle w:val="Point0"/>
        <w:ind w:left="1418" w:hanging="567"/>
        <w:rPr>
          <w:noProof/>
        </w:rPr>
      </w:pPr>
      <w:r>
        <w:t>b)</w:t>
      </w:r>
      <w:r>
        <w:tab/>
        <w:t>referenčné obdobia a lehoty na zasielanie údajov.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2. </w:t>
      </w:r>
      <w:r>
        <w:tab/>
        <w:t>Komisia je splnomocnená prijímať delegované akty uvedené v odseku 1 od referenčného roku 2028 a s minimálnym odstupom dva roky medzi jednotlivými ad hoc zbermi.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3. </w:t>
      </w:r>
      <w:r>
        <w:tab/>
        <w:t>Komisia prijme vykonávacie akty s cieľom špecifikovať ad hoc informácie uvedené v odseku 1 a </w:t>
      </w:r>
      <w:proofErr w:type="spellStart"/>
      <w:r>
        <w:t>metaúdaje</w:t>
      </w:r>
      <w:proofErr w:type="spellEnd"/>
      <w:r>
        <w:t>. V uvedených vykonávacích aktoch sa v relevantných prípadoch špecifikujú tieto technické prvky:</w:t>
      </w:r>
    </w:p>
    <w:p w:rsidR="00F177EA" w:rsidRDefault="00944201">
      <w:pPr>
        <w:pStyle w:val="Point0"/>
        <w:ind w:left="1418" w:hanging="567"/>
        <w:rPr>
          <w:noProof/>
        </w:rPr>
      </w:pPr>
      <w:r>
        <w:t>a)</w:t>
      </w:r>
      <w:r>
        <w:tab/>
        <w:t>zoznam a opis premenných;</w:t>
      </w:r>
    </w:p>
    <w:p w:rsidR="00F177EA" w:rsidRDefault="00944201">
      <w:pPr>
        <w:pStyle w:val="Point0"/>
        <w:ind w:left="1418" w:hanging="567"/>
        <w:rPr>
          <w:noProof/>
        </w:rPr>
      </w:pPr>
      <w:r>
        <w:t>b)</w:t>
      </w:r>
      <w:r>
        <w:tab/>
        <w:t>štatistické klasifikácie a členenia údajov;</w:t>
      </w:r>
    </w:p>
    <w:p w:rsidR="00F177EA" w:rsidRDefault="00944201">
      <w:pPr>
        <w:pStyle w:val="Point0"/>
        <w:ind w:left="1418" w:hanging="567"/>
        <w:rPr>
          <w:noProof/>
        </w:rPr>
      </w:pPr>
      <w:r>
        <w:t>c)</w:t>
      </w:r>
      <w:r>
        <w:tab/>
        <w:t>podrobné špecifikácie pokrytých štatistických jednotiek;</w:t>
      </w:r>
    </w:p>
    <w:p w:rsidR="00F177EA" w:rsidRDefault="00944201">
      <w:pPr>
        <w:pStyle w:val="Point0"/>
        <w:ind w:left="1418" w:hanging="567"/>
        <w:rPr>
          <w:noProof/>
        </w:rPr>
      </w:pPr>
      <w:r>
        <w:t>d)</w:t>
      </w:r>
      <w:r>
        <w:tab/>
      </w:r>
      <w:proofErr w:type="spellStart"/>
      <w:r>
        <w:t>metaúdaje</w:t>
      </w:r>
      <w:proofErr w:type="spellEnd"/>
      <w:r>
        <w:t>, ktoré sa majú zasielať;</w:t>
      </w:r>
    </w:p>
    <w:p w:rsidR="00F177EA" w:rsidRDefault="00944201">
      <w:pPr>
        <w:pStyle w:val="Point0"/>
        <w:ind w:left="1418" w:hanging="567"/>
        <w:rPr>
          <w:noProof/>
        </w:rPr>
      </w:pPr>
      <w:r>
        <w:t>e)</w:t>
      </w:r>
      <w:r>
        <w:tab/>
        <w:t>obdobia zberu údajov.</w:t>
      </w:r>
    </w:p>
    <w:p w:rsidR="00F177EA" w:rsidRDefault="00944201">
      <w:pPr>
        <w:spacing w:before="240" w:after="240"/>
        <w:ind w:left="851"/>
        <w:jc w:val="both"/>
        <w:rPr>
          <w:noProof/>
        </w:rPr>
      </w:pPr>
      <w:r>
        <w:t xml:space="preserve">Uvedené vykonávacie akty sa prijmú v súlade s postupom preskúmania uvedeným </w:t>
      </w:r>
      <w:r>
        <w:lastRenderedPageBreak/>
        <w:t>v článku 14 ods. 2 najneskôr 24 mesiacov pred začiatkom príslušného referenčného obdobia.</w:t>
      </w:r>
    </w:p>
    <w:p w:rsidR="00F177EA" w:rsidRDefault="00944201">
      <w:pPr>
        <w:pStyle w:val="Titrearticle"/>
        <w:rPr>
          <w:noProof/>
        </w:rPr>
      </w:pPr>
      <w:r>
        <w:t>Článok 8</w:t>
      </w:r>
    </w:p>
    <w:p w:rsidR="00F177EA" w:rsidRDefault="00944201">
      <w:pPr>
        <w:jc w:val="center"/>
        <w:rPr>
          <w:b/>
          <w:noProof/>
        </w:rPr>
      </w:pPr>
      <w:r>
        <w:rPr>
          <w:b/>
        </w:rPr>
        <w:t>Požiadavky na kvalitu a podávanie správ o kvalite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1. </w:t>
      </w:r>
      <w:r>
        <w:tab/>
        <w:t>Členské štáty prijmú opatrenia potrebné na to, aby sa zabezpečila kvalita zasielaných údajov a </w:t>
      </w:r>
      <w:proofErr w:type="spellStart"/>
      <w:r>
        <w:t>metaúdajov</w:t>
      </w:r>
      <w:proofErr w:type="spellEnd"/>
      <w:r>
        <w:t>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2. </w:t>
      </w:r>
      <w:r>
        <w:tab/>
        <w:t>Členské štáty zabezpečia, aby údaje</w:t>
      </w:r>
      <w:r>
        <w:rPr>
          <w:b/>
          <w:i/>
        </w:rPr>
        <w:t xml:space="preserve"> vrátane spätných údajov</w:t>
      </w:r>
      <w:r>
        <w:t xml:space="preserve"> získané s použitím zdrojov stanovených v článku 3 zabezpečovali úplné pokrytie a poskytovali presné odhady týkajúce sa štatistických jednotiek a populácie definovaných v článku 6.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3. </w:t>
      </w:r>
      <w:r>
        <w:tab/>
        <w:t>Na účely tohto nariadenia sa uplatňujú kritériá kvality vymedzené v článku 12 ods. 1 nariadenia (ES) č. 223/2009.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rPr>
          <w:color w:val="000000" w:themeColor="text1"/>
        </w:rPr>
        <w:t>4</w:t>
      </w:r>
      <w:r>
        <w:t xml:space="preserve">. </w:t>
      </w:r>
      <w:r>
        <w:tab/>
        <w:t>Členské štáty zasielajú správy o kvalite zdrojov a metód za každú z tém uvedených v článku 4.</w:t>
      </w:r>
    </w:p>
    <w:p w:rsidR="00F177EA" w:rsidRDefault="00944201">
      <w:pPr>
        <w:spacing w:before="240" w:after="240"/>
        <w:ind w:left="851" w:hanging="851"/>
        <w:jc w:val="both"/>
        <w:rPr>
          <w:i/>
          <w:noProof/>
        </w:rPr>
      </w:pPr>
      <w:r>
        <w:t xml:space="preserve">5. </w:t>
      </w:r>
      <w:r>
        <w:tab/>
        <w:t>Komisia prijme vykonávacie akty, ktorými sa stanovujú praktické podrobnosti týkajúce sa správ o kvalite a ich obsahu. Uvedené vykonávacie akty sa prijmú v súlade s postupom preskúmania uvedeným v článku 14 ods. 2.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6. </w:t>
      </w:r>
      <w:r>
        <w:tab/>
        <w:t>Členské štáty oznámia Komisii (</w:t>
      </w:r>
      <w:proofErr w:type="spellStart"/>
      <w:r>
        <w:t>Eurostatu</w:t>
      </w:r>
      <w:proofErr w:type="spellEnd"/>
      <w:r>
        <w:t>) všetky relevantné informácie alebo zmeny v súvislosti s vykonávaním tohto nariadenia, ktoré by mohli ovplyvniť kvalitu zasielaných údajov. Informácie sa poskytujú čo najskôr a najneskôr tri mesiace po nadobudnutí účinnosti takýchto zmien.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7. </w:t>
      </w:r>
      <w:r>
        <w:tab/>
        <w:t>Na základe ▐žiadosti Komisie (</w:t>
      </w:r>
      <w:proofErr w:type="spellStart"/>
      <w:r>
        <w:t>Eurostatu</w:t>
      </w:r>
      <w:proofErr w:type="spellEnd"/>
      <w:r>
        <w:t>) členské štáty poskytnú doplňujúce informácie potrebné na vyhodnotenie kvality štatistických informácií.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8. </w:t>
      </w:r>
      <w:r>
        <w:tab/>
        <w:t>Komisia (</w:t>
      </w:r>
      <w:proofErr w:type="spellStart"/>
      <w:r>
        <w:t>Eurostat</w:t>
      </w:r>
      <w:proofErr w:type="spellEnd"/>
      <w:r>
        <w:t xml:space="preserve">) posúdi kvalitu zasielaných údajov, použité zdroje a metódy a opory výberu. </w:t>
      </w:r>
      <w:r>
        <w:rPr>
          <w:b/>
          <w:i/>
        </w:rPr>
        <w:t>Komisia (</w:t>
      </w:r>
      <w:proofErr w:type="spellStart"/>
      <w:r>
        <w:rPr>
          <w:b/>
          <w:i/>
        </w:rPr>
        <w:t>Eurostat</w:t>
      </w:r>
      <w:proofErr w:type="spellEnd"/>
      <w:r>
        <w:rPr>
          <w:b/>
          <w:i/>
        </w:rPr>
        <w:t>) pripravuje a uverejňuje správy o kvalite zasielaných údajov, zdrojoch a použitých metódach. V týchto správach Komisia (</w:t>
      </w:r>
      <w:proofErr w:type="spellStart"/>
      <w:r>
        <w:rPr>
          <w:b/>
          <w:i/>
        </w:rPr>
        <w:t>Eurostat</w:t>
      </w:r>
      <w:proofErr w:type="spellEnd"/>
      <w:r>
        <w:rPr>
          <w:b/>
          <w:i/>
        </w:rPr>
        <w:t>) odporučí, ako riadiť zdroje považované za zdroje nízkej kvality a údaje zozbierané z týchto zdrojov.</w:t>
      </w:r>
    </w:p>
    <w:p w:rsidR="00F177EA" w:rsidRDefault="00944201">
      <w:pPr>
        <w:pStyle w:val="Titrearticle"/>
        <w:rPr>
          <w:noProof/>
        </w:rPr>
      </w:pPr>
      <w:r>
        <w:t>Článok 9</w:t>
      </w:r>
    </w:p>
    <w:p w:rsidR="00F177EA" w:rsidRDefault="00944201">
      <w:pPr>
        <w:jc w:val="center"/>
        <w:rPr>
          <w:b/>
          <w:noProof/>
        </w:rPr>
      </w:pPr>
      <w:r>
        <w:rPr>
          <w:b/>
        </w:rPr>
        <w:t>Štúdie uskutočniteľnosti a pilotné štúdie</w:t>
      </w:r>
    </w:p>
    <w:p w:rsidR="00F177EA" w:rsidRDefault="00944201">
      <w:pPr>
        <w:spacing w:before="240" w:after="240"/>
        <w:ind w:left="851" w:hanging="851"/>
        <w:jc w:val="both"/>
        <w:rPr>
          <w:b/>
          <w:i/>
          <w:noProof/>
        </w:rPr>
      </w:pPr>
      <w:r>
        <w:t xml:space="preserve">1. </w:t>
      </w:r>
      <w:r>
        <w:tab/>
        <w:t xml:space="preserve">S cieľom zlepšiť podnikovú štatistiku trhu práce alebo obmedziť </w:t>
      </w:r>
      <w:r>
        <w:rPr>
          <w:b/>
          <w:i/>
        </w:rPr>
        <w:t>administratívne a finančné</w:t>
      </w:r>
      <w:r>
        <w:t xml:space="preserve"> zaťaženie podnikov, </w:t>
      </w:r>
      <w:r>
        <w:rPr>
          <w:b/>
          <w:i/>
        </w:rPr>
        <w:t>najmä MSP a </w:t>
      </w:r>
      <w:proofErr w:type="spellStart"/>
      <w:r>
        <w:rPr>
          <w:b/>
          <w:i/>
        </w:rPr>
        <w:t>mikropodnikov</w:t>
      </w:r>
      <w:proofErr w:type="spellEnd"/>
      <w:r>
        <w:rPr>
          <w:b/>
          <w:i/>
        </w:rPr>
        <w:t>,</w:t>
      </w:r>
      <w:r>
        <w:t xml:space="preserve"> môže Komisia (</w:t>
      </w:r>
      <w:proofErr w:type="spellStart"/>
      <w:r>
        <w:t>Eurostat</w:t>
      </w:r>
      <w:proofErr w:type="spellEnd"/>
      <w:r>
        <w:t xml:space="preserve">) iniciovať štúdie uskutočniteľnosti a pilotné štúdie. Účel takýchto štúdií zahŕňa </w:t>
      </w:r>
      <w:r>
        <w:rPr>
          <w:b/>
          <w:i/>
        </w:rPr>
        <w:t>aspoň jeden z týchto prvkov:</w:t>
      </w:r>
    </w:p>
    <w:p w:rsidR="00F177EA" w:rsidRDefault="00944201">
      <w:pPr>
        <w:spacing w:before="240" w:after="240"/>
        <w:ind w:left="1418" w:hanging="567"/>
        <w:jc w:val="both"/>
        <w:rPr>
          <w:b/>
          <w:i/>
          <w:noProof/>
        </w:rPr>
      </w:pPr>
      <w:r>
        <w:rPr>
          <w:b/>
          <w:i/>
        </w:rPr>
        <w:t>a)</w:t>
      </w:r>
      <w:r>
        <w:rPr>
          <w:b/>
          <w:i/>
        </w:rPr>
        <w:tab/>
      </w:r>
      <w:r>
        <w:t xml:space="preserve">zlepšiť kvalitu a porovnateľnosť súborov </w:t>
      </w:r>
      <w:r>
        <w:rPr>
          <w:b/>
          <w:i/>
        </w:rPr>
        <w:t>údajov;</w:t>
      </w:r>
    </w:p>
    <w:p w:rsidR="00F177EA" w:rsidRDefault="00944201">
      <w:pPr>
        <w:spacing w:before="240" w:after="240"/>
        <w:ind w:left="1418" w:hanging="567"/>
        <w:jc w:val="both"/>
        <w:rPr>
          <w:noProof/>
        </w:rPr>
      </w:pPr>
      <w:r>
        <w:rPr>
          <w:b/>
          <w:i/>
        </w:rPr>
        <w:t>b)</w:t>
      </w:r>
      <w:r>
        <w:rPr>
          <w:b/>
          <w:i/>
        </w:rPr>
        <w:tab/>
      </w:r>
      <w:r>
        <w:t>preskúmanie nových možností a zavedenie nových prvkov s cieľom reagovať na potreby používateľov;</w:t>
      </w:r>
    </w:p>
    <w:p w:rsidR="00F177EA" w:rsidRDefault="00944201">
      <w:pPr>
        <w:spacing w:before="240" w:after="240"/>
        <w:ind w:left="1418" w:hanging="567"/>
        <w:jc w:val="both"/>
        <w:rPr>
          <w:noProof/>
        </w:rPr>
      </w:pPr>
      <w:r>
        <w:rPr>
          <w:b/>
          <w:i/>
        </w:rPr>
        <w:lastRenderedPageBreak/>
        <w:t>c)</w:t>
      </w:r>
      <w:r>
        <w:rPr>
          <w:b/>
          <w:i/>
        </w:rPr>
        <w:tab/>
      </w:r>
      <w:r>
        <w:t>zlepšenie integrácie medzi zisťovaniami a inými zdrojmi údajov;</w:t>
      </w:r>
    </w:p>
    <w:p w:rsidR="00F177EA" w:rsidRDefault="00944201">
      <w:pPr>
        <w:spacing w:before="240" w:after="240"/>
        <w:ind w:left="1418" w:hanging="567"/>
        <w:jc w:val="both"/>
        <w:rPr>
          <w:b/>
          <w:i/>
          <w:noProof/>
        </w:rPr>
      </w:pPr>
      <w:r>
        <w:rPr>
          <w:b/>
          <w:i/>
        </w:rPr>
        <w:t>d)</w:t>
      </w:r>
      <w:r>
        <w:rPr>
          <w:b/>
          <w:i/>
        </w:rPr>
        <w:tab/>
      </w:r>
      <w:r>
        <w:t>zníženie zaťaženia respondentov</w:t>
      </w:r>
      <w:r>
        <w:rPr>
          <w:b/>
          <w:i/>
        </w:rPr>
        <w:t>;</w:t>
      </w:r>
    </w:p>
    <w:p w:rsidR="00F177EA" w:rsidRDefault="00944201">
      <w:pPr>
        <w:spacing w:before="240" w:after="240"/>
        <w:ind w:left="1418" w:hanging="567"/>
        <w:jc w:val="both"/>
        <w:rPr>
          <w:noProof/>
        </w:rPr>
      </w:pPr>
      <w:r>
        <w:rPr>
          <w:b/>
          <w:i/>
        </w:rPr>
        <w:t>e)</w:t>
      </w:r>
      <w:r>
        <w:rPr>
          <w:b/>
          <w:i/>
        </w:rPr>
        <w:tab/>
        <w:t>zlepšenie nákladovej efektívnosti zberu údajov</w:t>
      </w:r>
      <w:r>
        <w:t xml:space="preserve">. </w:t>
      </w:r>
    </w:p>
    <w:p w:rsidR="00F177EA" w:rsidRDefault="00944201">
      <w:pPr>
        <w:spacing w:before="240" w:after="240"/>
        <w:ind w:left="851"/>
        <w:jc w:val="both"/>
        <w:rPr>
          <w:noProof/>
        </w:rPr>
      </w:pPr>
      <w:r>
        <w:t>V štúdiách sa zohľadní technologický a digitálny vývoj.</w:t>
      </w:r>
    </w:p>
    <w:p w:rsidR="00F177EA" w:rsidRDefault="00944201">
      <w:pPr>
        <w:spacing w:before="240" w:after="240"/>
        <w:ind w:left="851" w:hanging="851"/>
        <w:jc w:val="both"/>
        <w:rPr>
          <w:b/>
          <w:i/>
        </w:rPr>
      </w:pPr>
      <w:r>
        <w:rPr>
          <w:b/>
          <w:i/>
        </w:rPr>
        <w:t xml:space="preserve">1a. </w:t>
      </w:r>
      <w:r>
        <w:rPr>
          <w:b/>
          <w:i/>
        </w:rPr>
        <w:tab/>
        <w:t xml:space="preserve">Údaje zozbierané v rámci pilotných štúdií uvedených v odseku 1 tohto článku sa obmedzujú na oblasti a témy uvedené v článku 4 ods. 1 a čiastkové témy uvedené v prílohe. 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2. </w:t>
      </w:r>
      <w:r>
        <w:tab/>
        <w:t>Členské štáty sa môžu na týchto štúdiách zúčastňovať na dobrovoľnom základe. V spolupráci s Komisiou (</w:t>
      </w:r>
      <w:proofErr w:type="spellStart"/>
      <w:r>
        <w:t>Eurostatom</w:t>
      </w:r>
      <w:proofErr w:type="spellEnd"/>
      <w:r>
        <w:t>) zabezpečia, aby boli štúdie reprezentatívne na úrovni Únie.</w:t>
      </w:r>
    </w:p>
    <w:p w:rsidR="00F177EA" w:rsidRDefault="00944201">
      <w:pPr>
        <w:spacing w:before="240" w:after="240"/>
        <w:ind w:left="851" w:hanging="851"/>
        <w:jc w:val="both"/>
        <w:rPr>
          <w:b/>
          <w:i/>
          <w:noProof/>
        </w:rPr>
      </w:pPr>
      <w:r>
        <w:t xml:space="preserve">3. </w:t>
      </w:r>
      <w:r>
        <w:tab/>
        <w:t>Výsledky uvedených štúdií vyhodnocuje Komisia (</w:t>
      </w:r>
      <w:proofErr w:type="spellStart"/>
      <w:r>
        <w:t>Eurostat</w:t>
      </w:r>
      <w:proofErr w:type="spellEnd"/>
      <w:r>
        <w:t>) v spolupráci s členskými štátmi a hlavnými zainteresovanými stranami</w:t>
      </w:r>
      <w:r>
        <w:rPr>
          <w:b/>
          <w:i/>
        </w:rPr>
        <w:t xml:space="preserve"> vrátane sociálnych partnerov</w:t>
      </w:r>
      <w:r>
        <w:t>. Komisia (</w:t>
      </w:r>
      <w:proofErr w:type="spellStart"/>
      <w:r>
        <w:t>Eurostat</w:t>
      </w:r>
      <w:proofErr w:type="spellEnd"/>
      <w:r>
        <w:t xml:space="preserve">) vypracuje v spolupráci s členskými štátmi správy o zisteniach štúdií. </w:t>
      </w:r>
      <w:r>
        <w:rPr>
          <w:b/>
          <w:i/>
        </w:rPr>
        <w:t>Tieto správy sa zverejňujú.</w:t>
      </w:r>
    </w:p>
    <w:p w:rsidR="00F177EA" w:rsidRDefault="00944201">
      <w:pPr>
        <w:spacing w:before="240" w:after="240"/>
        <w:ind w:left="851"/>
        <w:jc w:val="both"/>
        <w:rPr>
          <w:b/>
          <w:i/>
          <w:noProof/>
        </w:rPr>
      </w:pPr>
      <w:r>
        <w:rPr>
          <w:b/>
          <w:i/>
        </w:rPr>
        <w:t xml:space="preserve">V správach uvedených v prvom </w:t>
      </w:r>
      <w:proofErr w:type="spellStart"/>
      <w:r>
        <w:rPr>
          <w:b/>
          <w:i/>
        </w:rPr>
        <w:t>pododseku</w:t>
      </w:r>
      <w:proofErr w:type="spellEnd"/>
      <w:r>
        <w:rPr>
          <w:b/>
          <w:i/>
        </w:rPr>
        <w:t xml:space="preserve"> môže Komisia (</w:t>
      </w:r>
      <w:proofErr w:type="spellStart"/>
      <w:r>
        <w:rPr>
          <w:b/>
          <w:i/>
        </w:rPr>
        <w:t>Eurostat</w:t>
      </w:r>
      <w:proofErr w:type="spellEnd"/>
      <w:r>
        <w:rPr>
          <w:b/>
          <w:i/>
        </w:rPr>
        <w:t>) odporučiť, ako by sa pilotné štúdie mali začleniť ako trvalé riešenia.</w:t>
      </w:r>
    </w:p>
    <w:p w:rsidR="00F177EA" w:rsidRDefault="00944201">
      <w:pPr>
        <w:spacing w:before="240" w:after="240"/>
        <w:ind w:left="851" w:hanging="851"/>
        <w:jc w:val="both"/>
        <w:rPr>
          <w:b/>
          <w:i/>
        </w:rPr>
      </w:pPr>
      <w:r>
        <w:rPr>
          <w:b/>
          <w:i/>
        </w:rPr>
        <w:t xml:space="preserve">3a. </w:t>
      </w:r>
      <w:r>
        <w:rPr>
          <w:b/>
          <w:i/>
        </w:rPr>
        <w:tab/>
        <w:t>Komisia je splnomocnená prijímať delegované akty v súlade s článkom 13 s cieľom doplniť toto nariadenie, ktorým sa spresňujú úlohy a povinnosti subjektov vykonávajúcich štúdie uvedené v odseku 1 tohto článku, pokiaľ sa spracúvanie osobných údajov uskutočňuje na účely týchto štúdií.</w:t>
      </w:r>
    </w:p>
    <w:p w:rsidR="00F177EA" w:rsidRDefault="00944201">
      <w:pPr>
        <w:pStyle w:val="Titrearticle"/>
        <w:rPr>
          <w:noProof/>
        </w:rPr>
      </w:pPr>
      <w:r>
        <w:t>Článok 10</w:t>
      </w:r>
    </w:p>
    <w:p w:rsidR="00F177EA" w:rsidRDefault="00944201">
      <w:pPr>
        <w:jc w:val="center"/>
        <w:rPr>
          <w:b/>
          <w:noProof/>
        </w:rPr>
      </w:pPr>
      <w:r>
        <w:rPr>
          <w:b/>
        </w:rPr>
        <w:t>Financovanie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1. </w:t>
      </w:r>
      <w:r>
        <w:tab/>
        <w:t>Národným štatistickým úradom a iným vnútroštátnym orgánom uvedeným v článku 5 ods. 2 nariadenia (ES) č. 223/2009 možno poskytnúť finančný príspevok zo všeobecného rozpočtu Únie na:</w:t>
      </w:r>
    </w:p>
    <w:p w:rsidR="00F177EA" w:rsidRDefault="00944201">
      <w:pPr>
        <w:pStyle w:val="Point0"/>
        <w:ind w:left="1418" w:hanging="567"/>
        <w:rPr>
          <w:noProof/>
        </w:rPr>
      </w:pPr>
      <w:r>
        <w:t>a)</w:t>
      </w:r>
      <w:r>
        <w:tab/>
        <w:t>zlepšenie zdrojov, vrátane opôr výberu pre podnikovú štatistiku trhu práce, od dátumu nadobudnutia účinnosti tohto nariadenia a najneskôr do 31. decembra 2029;</w:t>
      </w:r>
    </w:p>
    <w:p w:rsidR="00F177EA" w:rsidRDefault="00944201">
      <w:pPr>
        <w:pStyle w:val="Point0"/>
        <w:ind w:left="1418" w:hanging="567"/>
        <w:rPr>
          <w:noProof/>
        </w:rPr>
      </w:pPr>
      <w:r>
        <w:t>b)</w:t>
      </w:r>
      <w:r>
        <w:tab/>
        <w:t>zlepšenie metód podnikovej štatistiky trhu práce vrátane štúdií uskutočniteľnosti a pilotných štúdií uvedených v článku 9.</w:t>
      </w:r>
    </w:p>
    <w:p w:rsidR="00F177EA" w:rsidRDefault="00944201">
      <w:pPr>
        <w:spacing w:before="240" w:after="240"/>
        <w:ind w:left="851"/>
        <w:jc w:val="both"/>
        <w:rPr>
          <w:noProof/>
        </w:rPr>
      </w:pPr>
      <w:r>
        <w:t>Únia nefinancuje náklady na pravidelné zostavovanie štatistiky, ktorá sa má zasielať podľa tohto nariadenia.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2. </w:t>
      </w:r>
      <w:r>
        <w:tab/>
        <w:t xml:space="preserve">Finančný príspevok Únie nesmie presiahnuť </w:t>
      </w:r>
      <w:r>
        <w:rPr>
          <w:b/>
          <w:i/>
        </w:rPr>
        <w:t>80</w:t>
      </w:r>
      <w:r>
        <w:t> % oprávnených nákladov.</w:t>
      </w:r>
    </w:p>
    <w:p w:rsidR="00F177EA" w:rsidRDefault="00944201">
      <w:pPr>
        <w:pStyle w:val="Titrearticle"/>
        <w:rPr>
          <w:noProof/>
        </w:rPr>
      </w:pPr>
      <w:r>
        <w:t>Článok 11</w:t>
      </w:r>
    </w:p>
    <w:p w:rsidR="00F177EA" w:rsidRDefault="00944201">
      <w:pPr>
        <w:jc w:val="center"/>
        <w:rPr>
          <w:b/>
          <w:noProof/>
        </w:rPr>
      </w:pPr>
      <w:r>
        <w:rPr>
          <w:b/>
        </w:rPr>
        <w:t>Ochrana finančných záujmov Únie</w:t>
      </w:r>
    </w:p>
    <w:p w:rsidR="00F177EA" w:rsidRDefault="00F177EA">
      <w:pPr>
        <w:jc w:val="center"/>
        <w:rPr>
          <w:b/>
          <w:noProof/>
        </w:rPr>
      </w:pP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lastRenderedPageBreak/>
        <w:t xml:space="preserve">1. </w:t>
      </w:r>
      <w:r>
        <w:tab/>
        <w:t>Komisia prijme príslušné opatrenia na zabezpečenie toho, aby sa pri vykonávaní opatrení financovaných na základe tohto nariadenia chránili finančné záujmy Únie prostredníctvom uplatňovania preventívnych opatrení na zamedzenie podvodom, korupcii a iným nezákonným činnostiam, prostredníctvom účinných kontrol a v prípade, že sa zistia nezrovnalosti, prostredníctvom vymáhania neoprávnene vyplatených súm a prípadne prostredníctvom účinných, primeraných a odrádzajúcich správnych a finančných sankcií.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2. </w:t>
      </w:r>
      <w:r>
        <w:tab/>
        <w:t>Komisia alebo jej zástupcovia a Dvor audítorov majú právomoc na základe kontrol dokumentov a kontrol na mieste vykonať audit u všetkých príjemcov grantov, dodávateľov a subdodávateľov, ktorým boli v rámci tohto nariadenia poskytnuté finančné prostriedky Únie.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3. </w:t>
      </w:r>
      <w:r>
        <w:tab/>
        <w:t xml:space="preserve">Európsky úrad pre boj proti podvodom (OLAF) môže vykonávať vyšetrovania vrátane kontrol a inšpekcií na mieste v súlade s ustanoveniami a postupmi stanovenými v nariadení Európskeho parlamentu a Rady (EÚ, </w:t>
      </w:r>
      <w:proofErr w:type="spellStart"/>
      <w:r>
        <w:t>Euratom</w:t>
      </w:r>
      <w:proofErr w:type="spellEnd"/>
      <w:r>
        <w:t>) č. 883/2013</w:t>
      </w:r>
      <w:r>
        <w:rPr>
          <w:rStyle w:val="FootnoteReference"/>
          <w:noProof/>
        </w:rPr>
        <w:footnoteReference w:id="19"/>
      </w:r>
      <w:r>
        <w:t xml:space="preserve"> a v nariadení Rady (</w:t>
      </w:r>
      <w:proofErr w:type="spellStart"/>
      <w:r>
        <w:t>Euratom</w:t>
      </w:r>
      <w:proofErr w:type="spellEnd"/>
      <w:r>
        <w:t>, ES) č. 2185/96</w:t>
      </w:r>
      <w:r>
        <w:rPr>
          <w:rStyle w:val="FootnoteReference"/>
          <w:noProof/>
        </w:rPr>
        <w:footnoteReference w:id="20"/>
      </w:r>
      <w:r>
        <w:t xml:space="preserve"> s cieľom zistiť, či v súvislosti s dohodou alebo rozhodnutím o grante alebo zmluvou súvisiacou s fondmi Únie na základe tohto nariadenia nedošlo k podvodu, korupcii alebo akémukoľvek inému protiprávnemu konaniu poškodzujúcemu finančné záujmy Únie.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4. </w:t>
      </w:r>
      <w:r>
        <w:tab/>
        <w:t>Bez toho, aby boli dotknuté odseky 1, 2 a 3, dohody o spolupráci s tretími krajinami a s medzinárodnými organizáciami, zmluvy, dohody a rozhodnutia o grante vyplývajúce z vykonávania tohto nariadenia musia obsahovať ustanovenia, ktoré výslovne udeľujú Komisii, Európskemu dvoru audítorov, Európskemu prokurátorovi a úradu OLAF právomoc na vykonávanie takýchto auditov a vyšetrovaní v súlade s ich príslušnými právomocami.</w:t>
      </w:r>
    </w:p>
    <w:p w:rsidR="00F177EA" w:rsidRDefault="00944201">
      <w:pPr>
        <w:pStyle w:val="Titrearticle"/>
        <w:rPr>
          <w:noProof/>
        </w:rPr>
      </w:pPr>
      <w:r>
        <w:t>Článok 12</w:t>
      </w:r>
    </w:p>
    <w:p w:rsidR="00F177EA" w:rsidRDefault="00944201">
      <w:pPr>
        <w:jc w:val="center"/>
        <w:rPr>
          <w:b/>
          <w:noProof/>
        </w:rPr>
      </w:pPr>
      <w:r>
        <w:rPr>
          <w:b/>
        </w:rPr>
        <w:t>Výnimky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1. </w:t>
      </w:r>
      <w:r>
        <w:tab/>
        <w:t xml:space="preserve">Ak si uplatňovanie tohto nariadenia alebo delegovaných alebo vykonávacích aktov prijatých podľa neho vyžaduje vykonanie zásadných zmien v národnom štatistickom systéme členského štátu, Komisia môže prostredníctvom vykonávacích aktov udeliť členskému štátu </w:t>
      </w:r>
      <w:r>
        <w:rPr>
          <w:b/>
          <w:i/>
        </w:rPr>
        <w:t>riadne odôvodnené</w:t>
      </w:r>
      <w:r>
        <w:t xml:space="preserve"> výnimky na obdobie najviac </w:t>
      </w:r>
      <w:r>
        <w:rPr>
          <w:b/>
          <w:i/>
        </w:rPr>
        <w:t>jedného roka</w:t>
      </w:r>
      <w:r>
        <w:t>. Uvedené vykonávacie akty sa prijmú v súlade s postupom preskúmania uvedeným v článku 14 ods. 2.</w:t>
      </w:r>
    </w:p>
    <w:p w:rsidR="00F177EA" w:rsidRDefault="00944201">
      <w:pPr>
        <w:spacing w:before="240" w:after="240"/>
        <w:ind w:left="851"/>
        <w:jc w:val="both"/>
        <w:rPr>
          <w:noProof/>
        </w:rPr>
      </w:pPr>
      <w:r>
        <w:t xml:space="preserve">Pri udeľovaní výnimiek Komisia zohľadní porovnateľnosť štatistiky členských štátov a včasný výpočet požadovaných reprezentatívnych a spoľahlivých európskych agregátov. Komisia takisto zabezpečí, aby sa požiadavky týkajúce sa štatistiky, </w:t>
      </w:r>
      <w:proofErr w:type="spellStart"/>
      <w:r>
        <w:lastRenderedPageBreak/>
        <w:t>metaúdajov</w:t>
      </w:r>
      <w:proofErr w:type="spellEnd"/>
      <w:r>
        <w:t xml:space="preserve"> a kvality, na ktoré sa vzťahuje toto nariadenie a na ktoré sa predtým vzťahovali zrušené nariadenia, naďalej plnili bez prerušenia.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2. </w:t>
      </w:r>
      <w:r>
        <w:tab/>
        <w:t>Príslušný členský štát predloží Komisii riadne odôvodnenú žiadosť do troch mesiacov od dátumu nadobudnutia účinnosti tohto nariadenia alebo delegovaných či vykonávacích aktov prijatých na jeho základe.</w:t>
      </w:r>
    </w:p>
    <w:p w:rsidR="00F177EA" w:rsidRDefault="00944201">
      <w:pPr>
        <w:pStyle w:val="Titrearticle"/>
        <w:rPr>
          <w:noProof/>
        </w:rPr>
      </w:pPr>
      <w:r>
        <w:t>Článok 13</w:t>
      </w:r>
    </w:p>
    <w:p w:rsidR="00F177EA" w:rsidRDefault="00944201">
      <w:pPr>
        <w:jc w:val="center"/>
        <w:rPr>
          <w:b/>
          <w:noProof/>
        </w:rPr>
      </w:pPr>
      <w:r>
        <w:rPr>
          <w:b/>
        </w:rPr>
        <w:t>Vykonávanie delegovania právomoci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1. </w:t>
      </w:r>
      <w:r>
        <w:tab/>
        <w:t>Komisii sa udeľuje právomoc prijímať delegované akty za podmienok stanovených v tomto článku.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2. </w:t>
      </w:r>
      <w:r>
        <w:tab/>
        <w:t>Právomoc prijímať delegované akty uvedené v článku </w:t>
      </w:r>
      <w:r>
        <w:rPr>
          <w:b/>
          <w:i/>
        </w:rPr>
        <w:t>3 ods. 1a,</w:t>
      </w:r>
      <w:r>
        <w:t xml:space="preserve"> článku 4 ods. 3</w:t>
      </w:r>
      <w:r>
        <w:rPr>
          <w:b/>
          <w:i/>
        </w:rPr>
        <w:t>,</w:t>
      </w:r>
      <w:r>
        <w:t xml:space="preserve"> článku 7 ods. 1 </w:t>
      </w:r>
      <w:r>
        <w:rPr>
          <w:b/>
          <w:i/>
        </w:rPr>
        <w:t>a</w:t>
      </w:r>
      <w:r>
        <w:t> </w:t>
      </w:r>
      <w:r>
        <w:rPr>
          <w:b/>
          <w:i/>
        </w:rPr>
        <w:t>článku 9 ods. 3a</w:t>
      </w:r>
      <w:r>
        <w:t xml:space="preserve"> sa Komisii udeľuje na obdobie </w:t>
      </w:r>
      <w:r>
        <w:rPr>
          <w:b/>
          <w:i/>
        </w:rPr>
        <w:t>piatich rokov</w:t>
      </w:r>
      <w:r>
        <w:t xml:space="preserve"> od ... [Úrad pre publikácie: vložte, prosím, presný dátum nadobudnutia účinnosti nariadenia]. </w:t>
      </w:r>
      <w:r>
        <w:rPr>
          <w:b/>
          <w:i/>
        </w:rPr>
        <w:t>Komisia vypracuje správu týkajúcu sa delegovania právomoci najneskôr deväť mesiacov pred uplynutím tohto 5-ročného obdobia. Delegovanie právomoci sa automaticky predlžuje o rovnako dlhé obdobia, pokiaľ Európsky parlament alebo Rada nevznesú voči takémuto predĺženiu námietku najneskôr tri mesiace pred koncom každého obdobia.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3. </w:t>
      </w:r>
      <w:r>
        <w:tab/>
        <w:t xml:space="preserve">Európsky parlament alebo Rada môžu delegovanie právomoci uvedené v článku </w:t>
      </w:r>
      <w:r>
        <w:rPr>
          <w:b/>
          <w:i/>
        </w:rPr>
        <w:t>3 ods. 1a, článku</w:t>
      </w:r>
      <w:r>
        <w:t xml:space="preserve"> 4 ods. 3</w:t>
      </w:r>
      <w:r>
        <w:rPr>
          <w:b/>
          <w:i/>
        </w:rPr>
        <w:t>,</w:t>
      </w:r>
      <w:r>
        <w:t xml:space="preserve"> článku 7 ods. 1 </w:t>
      </w:r>
      <w:r>
        <w:rPr>
          <w:b/>
          <w:i/>
        </w:rPr>
        <w:t>a</w:t>
      </w:r>
      <w:r>
        <w:t> </w:t>
      </w:r>
      <w:r>
        <w:rPr>
          <w:b/>
          <w:i/>
        </w:rPr>
        <w:t>článku 9 ods. 3a</w:t>
      </w:r>
      <w:r>
        <w:t xml:space="preserve"> kedykoľvek odvolať. Rozhodnutím o odvolaní sa ukončuje delegovanie právomoci, ktoré sa v ňom uvádza. Rozhodnutie nadobúda účinnosť dňom nasledujúcim po jeho uverejnení v </w:t>
      </w:r>
      <w:r>
        <w:rPr>
          <w:i/>
        </w:rPr>
        <w:t>Úradnom vestníku Európskej únie</w:t>
      </w:r>
      <w:r>
        <w:t xml:space="preserve"> alebo k neskoršiemu dátumu, ktorý je v ňom určený. Nie je ním dotknutá platnosť delegovaných aktov, ktoré už nadobudli účinnosť.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4. </w:t>
      </w:r>
      <w:r>
        <w:tab/>
        <w:t>Komisia pred prijatím delegovaného aktu konzultuje s expertmi určenými jednotlivými členskými štátmi v súlade so zásadami stanovenými v </w:t>
      </w:r>
      <w:proofErr w:type="spellStart"/>
      <w:r>
        <w:t>Medziinštitucionálnej</w:t>
      </w:r>
      <w:proofErr w:type="spellEnd"/>
      <w:r>
        <w:t xml:space="preserve"> dohode z 13. apríla 2016 o lepšej tvorbe práva.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5. </w:t>
      </w:r>
      <w:r>
        <w:tab/>
        <w:t>Komisia oznamuje delegovaný akt hneď po jeho prijatí súčasne Európskemu parlamentu a Rade.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>6.</w:t>
      </w:r>
      <w:r>
        <w:tab/>
        <w:t xml:space="preserve">Delegovaný akt prijatý podľa článku </w:t>
      </w:r>
      <w:r>
        <w:rPr>
          <w:b/>
          <w:i/>
        </w:rPr>
        <w:t>3 ods. 1a,</w:t>
      </w:r>
      <w:r>
        <w:t xml:space="preserve"> článku 4 ods. 3</w:t>
      </w:r>
      <w:r>
        <w:rPr>
          <w:b/>
          <w:i/>
        </w:rPr>
        <w:t>,</w:t>
      </w:r>
      <w:r>
        <w:t xml:space="preserve"> článku 7 ods. 1 </w:t>
      </w:r>
      <w:r>
        <w:rPr>
          <w:b/>
          <w:i/>
        </w:rPr>
        <w:t>a</w:t>
      </w:r>
      <w:r>
        <w:t> </w:t>
      </w:r>
      <w:r>
        <w:rPr>
          <w:b/>
          <w:i/>
        </w:rPr>
        <w:t>článku 9 ods. 3a</w:t>
      </w:r>
      <w:r>
        <w:t xml:space="preserve"> nadobudne účinnosť, len ak Európsky parlament alebo Rada voči nemu nevzniesli námietku v lehote </w:t>
      </w:r>
      <w:r>
        <w:rPr>
          <w:b/>
          <w:i/>
        </w:rPr>
        <w:t>troch</w:t>
      </w:r>
      <w:r>
        <w:t xml:space="preserve"> mesiacov od oznámenia uvedeného aktu Európskemu parlamentu a Rade alebo ak pred uplynutím uvedenej lehoty Európsky parlament a Rada informovali Komisiu o svojom rozhodnutí nevzniesť námietku. Na podnet Európskeho parlamentu alebo Rady sa táto lehota predĺži o </w:t>
      </w:r>
      <w:r>
        <w:rPr>
          <w:b/>
          <w:i/>
        </w:rPr>
        <w:t>tri</w:t>
      </w:r>
      <w:r>
        <w:t xml:space="preserve"> mesiace.</w:t>
      </w:r>
    </w:p>
    <w:p w:rsidR="00F177EA" w:rsidRDefault="00944201">
      <w:pPr>
        <w:pStyle w:val="Titrearticle"/>
        <w:rPr>
          <w:noProof/>
        </w:rPr>
      </w:pPr>
      <w:r>
        <w:t>Článok 14</w:t>
      </w:r>
    </w:p>
    <w:p w:rsidR="00F177EA" w:rsidRDefault="00944201">
      <w:pPr>
        <w:jc w:val="center"/>
        <w:rPr>
          <w:b/>
          <w:noProof/>
        </w:rPr>
      </w:pPr>
      <w:r>
        <w:rPr>
          <w:b/>
        </w:rPr>
        <w:t>Postup výboru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1. </w:t>
      </w:r>
      <w:r>
        <w:tab/>
        <w:t>Komisii pomáha Výbor pre Európsky štatistický systém zriadený nariadením (ES) č. 223/2009. Uvedený výbor je výborom v zmysle nariadenia (EÚ) č. 182/2011.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2. </w:t>
      </w:r>
      <w:r>
        <w:tab/>
        <w:t>Ak sa odkazuje na tento odsek, uplatňuje sa článok 5 nariadenia (EÚ) č. 182/2011.</w:t>
      </w:r>
    </w:p>
    <w:p w:rsidR="00F177EA" w:rsidRDefault="00944201">
      <w:pPr>
        <w:pStyle w:val="Titrearticle"/>
        <w:rPr>
          <w:noProof/>
        </w:rPr>
      </w:pPr>
      <w:r>
        <w:lastRenderedPageBreak/>
        <w:t>Článok 15</w:t>
      </w:r>
    </w:p>
    <w:p w:rsidR="00F177EA" w:rsidRDefault="00944201">
      <w:pPr>
        <w:jc w:val="center"/>
        <w:rPr>
          <w:b/>
          <w:noProof/>
        </w:rPr>
      </w:pPr>
      <w:r>
        <w:rPr>
          <w:b/>
        </w:rPr>
        <w:t>Zrušenie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1. </w:t>
      </w:r>
      <w:r>
        <w:tab/>
        <w:t>Nariadenia (ES) č. 530/1999, (ES) č. 450/2003 a (ES) č. 453/2008 sa zrušujú s účinnosťou od 1. januára 2026.</w:t>
      </w:r>
    </w:p>
    <w:p w:rsidR="00F177EA" w:rsidRDefault="00944201">
      <w:pPr>
        <w:spacing w:before="240" w:after="240"/>
        <w:ind w:left="851" w:hanging="851"/>
        <w:jc w:val="both"/>
        <w:rPr>
          <w:noProof/>
        </w:rPr>
      </w:pPr>
      <w:r>
        <w:t xml:space="preserve">2. </w:t>
      </w:r>
      <w:r>
        <w:tab/>
        <w:t>Odkazy na zrušené nariadenia sa považujú za odkazy na toto nariadenie.</w:t>
      </w:r>
    </w:p>
    <w:p w:rsidR="00F177EA" w:rsidRDefault="00944201">
      <w:pPr>
        <w:pStyle w:val="Titrearticle"/>
        <w:rPr>
          <w:noProof/>
        </w:rPr>
      </w:pPr>
      <w:r>
        <w:t>Článok 16</w:t>
      </w:r>
    </w:p>
    <w:p w:rsidR="00F177EA" w:rsidRDefault="00944201">
      <w:pPr>
        <w:jc w:val="center"/>
        <w:rPr>
          <w:b/>
          <w:noProof/>
        </w:rPr>
      </w:pPr>
      <w:r>
        <w:rPr>
          <w:b/>
        </w:rPr>
        <w:t>Nadobudnutie účinnosti a uplatňovanie</w:t>
      </w:r>
    </w:p>
    <w:p w:rsidR="00F177EA" w:rsidRDefault="00F177EA">
      <w:pPr>
        <w:rPr>
          <w:noProof/>
        </w:rPr>
      </w:pPr>
    </w:p>
    <w:p w:rsidR="00F177EA" w:rsidRDefault="00944201">
      <w:pPr>
        <w:rPr>
          <w:noProof/>
        </w:rPr>
      </w:pPr>
      <w:r>
        <w:t>Toto nariadenie nadobúda účinnosť dvadsiatym dňom nasledujúcim po jeho uverejnení v </w:t>
      </w:r>
      <w:r>
        <w:rPr>
          <w:i/>
        </w:rPr>
        <w:t>Úradnom vestníku Európskej únie</w:t>
      </w:r>
      <w:r>
        <w:t>.</w:t>
      </w:r>
    </w:p>
    <w:p w:rsidR="00F177EA" w:rsidRDefault="00F177EA">
      <w:pPr>
        <w:rPr>
          <w:noProof/>
        </w:rPr>
      </w:pPr>
    </w:p>
    <w:p w:rsidR="00F177EA" w:rsidRDefault="00944201">
      <w:pPr>
        <w:rPr>
          <w:noProof/>
        </w:rPr>
      </w:pPr>
      <w:r>
        <w:t>Uplatňuje sa od 1. januára 2026.</w:t>
      </w:r>
    </w:p>
    <w:p w:rsidR="00F177EA" w:rsidRDefault="00944201">
      <w:pPr>
        <w:pStyle w:val="Applicationdirecte"/>
        <w:rPr>
          <w:noProof/>
        </w:rPr>
      </w:pPr>
      <w:r>
        <w:t>Toto nariadenie je záväzné v celom rozsahu a priamo uplatniteľné vo všetkých členských štátoch.</w:t>
      </w:r>
    </w:p>
    <w:p w:rsidR="00F177EA" w:rsidRDefault="00944201">
      <w:pPr>
        <w:pStyle w:val="Fait"/>
        <w:rPr>
          <w:noProof/>
        </w:rPr>
      </w:pPr>
      <w:r>
        <w:t>V …dňa …</w:t>
      </w:r>
    </w:p>
    <w:p w:rsidR="00F177EA" w:rsidRDefault="00944201">
      <w:pPr>
        <w:pStyle w:val="Institutionquisigne"/>
        <w:rPr>
          <w:noProof/>
        </w:rPr>
      </w:pPr>
      <w:r>
        <w:t>Za Európsky parlament</w:t>
      </w:r>
      <w:r>
        <w:tab/>
        <w:t>Za Radu</w:t>
      </w:r>
    </w:p>
    <w:p w:rsidR="00F177EA" w:rsidRDefault="00944201">
      <w:pPr>
        <w:pStyle w:val="Institutionquisigne"/>
        <w:rPr>
          <w:noProof/>
        </w:rPr>
      </w:pPr>
      <w:r>
        <w:t>predsedníčka</w:t>
      </w:r>
      <w:r>
        <w:tab/>
        <w:t>predseda</w:t>
      </w:r>
    </w:p>
    <w:p w:rsidR="00F177EA" w:rsidRDefault="00F177EA"/>
    <w:p w:rsidR="00F177EA" w:rsidRDefault="00944201">
      <w:pPr>
        <w:widowControl/>
      </w:pPr>
      <w:r>
        <w:br w:type="page"/>
      </w:r>
    </w:p>
    <w:p w:rsidR="00F177EA" w:rsidRDefault="00944201">
      <w:pPr>
        <w:widowControl/>
        <w:spacing w:before="120" w:after="120"/>
        <w:jc w:val="center"/>
        <w:rPr>
          <w:rFonts w:eastAsia="Calibri"/>
          <w:b/>
          <w:noProof/>
          <w:szCs w:val="22"/>
          <w:u w:val="single"/>
        </w:rPr>
      </w:pPr>
      <w:r>
        <w:rPr>
          <w:b/>
          <w:u w:val="single"/>
        </w:rPr>
        <w:lastRenderedPageBreak/>
        <w:t xml:space="preserve">PRÍLOHA </w:t>
      </w:r>
    </w:p>
    <w:p w:rsidR="00F177EA" w:rsidRDefault="00944201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1"/>
        <w:rPr>
          <w:rFonts w:eastAsia="Calibri"/>
          <w:b/>
          <w:noProof/>
          <w:szCs w:val="22"/>
        </w:rPr>
      </w:pPr>
      <w:r>
        <w:rPr>
          <w:b/>
        </w:rPr>
        <w:t>Domény, témy a čiastkové témy; periodicita poskytovania údajov, referenčné obdobia a lehota na prenos údajov k jednotlivým témam</w:t>
      </w:r>
    </w:p>
    <w:tbl>
      <w:tblPr>
        <w:tblStyle w:val="TableGrid1"/>
        <w:tblW w:w="5656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1046"/>
        <w:gridCol w:w="1419"/>
        <w:gridCol w:w="2436"/>
        <w:gridCol w:w="1236"/>
        <w:gridCol w:w="1351"/>
        <w:gridCol w:w="1519"/>
        <w:gridCol w:w="1242"/>
      </w:tblGrid>
      <w:tr w:rsidR="00F177EA">
        <w:tc>
          <w:tcPr>
            <w:tcW w:w="510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Doména</w:t>
            </w:r>
          </w:p>
        </w:tc>
        <w:tc>
          <w:tcPr>
            <w:tcW w:w="692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Téma</w:t>
            </w: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Čiastková téma</w:t>
            </w:r>
          </w:p>
        </w:tc>
        <w:tc>
          <w:tcPr>
            <w:tcW w:w="603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Periodicita</w:t>
            </w:r>
          </w:p>
        </w:tc>
        <w:tc>
          <w:tcPr>
            <w:tcW w:w="659" w:type="pct"/>
          </w:tcPr>
          <w:p w:rsidR="00F177EA" w:rsidRDefault="00944201">
            <w:pPr>
              <w:widowControl/>
              <w:rPr>
                <w:noProof/>
                <w:szCs w:val="24"/>
                <w:vertAlign w:val="superscript"/>
              </w:rPr>
            </w:pPr>
            <w:r>
              <w:t xml:space="preserve">Referenčné obdobie </w:t>
            </w:r>
          </w:p>
        </w:tc>
        <w:tc>
          <w:tcPr>
            <w:tcW w:w="741" w:type="pct"/>
          </w:tcPr>
          <w:p w:rsidR="00F177EA" w:rsidRDefault="00944201">
            <w:pPr>
              <w:widowControl/>
              <w:rPr>
                <w:noProof/>
                <w:szCs w:val="24"/>
                <w:vertAlign w:val="superscript"/>
              </w:rPr>
            </w:pPr>
            <w:r>
              <w:t xml:space="preserve">Lehota na prenos údajov </w:t>
            </w:r>
            <w:r>
              <w:rPr>
                <w:vertAlign w:val="superscript"/>
              </w:rPr>
              <w:t>(1) (2)</w:t>
            </w:r>
          </w:p>
        </w:tc>
        <w:tc>
          <w:tcPr>
            <w:tcW w:w="606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Prvé referenčné obdobie</w:t>
            </w:r>
          </w:p>
        </w:tc>
      </w:tr>
      <w:tr w:rsidR="00F177EA">
        <w:tc>
          <w:tcPr>
            <w:tcW w:w="510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Mzdy</w:t>
            </w:r>
          </w:p>
        </w:tc>
        <w:tc>
          <w:tcPr>
            <w:tcW w:w="692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Štruktúra miezd</w:t>
            </w: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Mzdy</w:t>
            </w:r>
          </w:p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rPr>
                <w:i/>
              </w:rPr>
              <w:t>Celkové ročné a mesačné mzdy a všetky ich zložky, ako aj hodinové mzdy platené každému zamestnancovi vybranému do vzorky</w:t>
            </w:r>
            <w:r>
              <w:t>.</w:t>
            </w:r>
          </w:p>
        </w:tc>
        <w:tc>
          <w:tcPr>
            <w:tcW w:w="603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každé štyri roky</w:t>
            </w:r>
          </w:p>
        </w:tc>
        <w:tc>
          <w:tcPr>
            <w:tcW w:w="659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 xml:space="preserve">kalendárny rok </w:t>
            </w:r>
          </w:p>
        </w:tc>
        <w:tc>
          <w:tcPr>
            <w:tcW w:w="741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T+16 mesiacov</w:t>
            </w:r>
          </w:p>
        </w:tc>
        <w:tc>
          <w:tcPr>
            <w:tcW w:w="606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 xml:space="preserve">2026 </w:t>
            </w:r>
          </w:p>
        </w:tc>
      </w:tr>
      <w:tr w:rsidR="00F177EA">
        <w:tc>
          <w:tcPr>
            <w:tcW w:w="510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Charakteristiky zamestnávateľa</w:t>
            </w:r>
          </w:p>
          <w:p w:rsidR="00F177EA" w:rsidRDefault="00944201">
            <w:pPr>
              <w:widowControl/>
              <w:rPr>
                <w:i/>
                <w:noProof/>
                <w:szCs w:val="24"/>
              </w:rPr>
            </w:pPr>
            <w:r>
              <w:rPr>
                <w:i/>
              </w:rPr>
              <w:t xml:space="preserve">Ekonomické, právne, geografické informácie a informácie týkajúce sa zamestnanosti o miestnej jednotke, ku ktorej každý zamestnanec vybraný do vzorky patrí, a o jej podniku. </w:t>
            </w:r>
          </w:p>
        </w:tc>
        <w:tc>
          <w:tcPr>
            <w:tcW w:w="603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</w:tr>
      <w:tr w:rsidR="00F177EA">
        <w:tc>
          <w:tcPr>
            <w:tcW w:w="510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Charakteristiky zamestnanca</w:t>
            </w:r>
          </w:p>
          <w:p w:rsidR="00F177EA" w:rsidRDefault="00944201">
            <w:pPr>
              <w:widowControl/>
              <w:spacing w:before="0" w:after="0"/>
              <w:jc w:val="left"/>
              <w:rPr>
                <w:b/>
                <w:i/>
                <w:szCs w:val="24"/>
              </w:rPr>
            </w:pPr>
            <w:r>
              <w:rPr>
                <w:i/>
              </w:rPr>
              <w:t xml:space="preserve">Individuálne informácie týkajúce sa demografie, </w:t>
            </w:r>
            <w:r>
              <w:rPr>
                <w:b/>
                <w:i/>
              </w:rPr>
              <w:t xml:space="preserve">geografických údajov vrátane toho, či je zamestnanec migrujúci alebo cezhraničný pracovník, </w:t>
            </w:r>
          </w:p>
          <w:p w:rsidR="00F177EA" w:rsidRDefault="00944201">
            <w:pPr>
              <w:widowControl/>
              <w:rPr>
                <w:i/>
                <w:noProof/>
                <w:szCs w:val="24"/>
              </w:rPr>
            </w:pPr>
            <w:r>
              <w:rPr>
                <w:i/>
              </w:rPr>
              <w:t>vzdelania, zmluvy a zamestnania o každom zamestnancovi vybranom do vzorky.</w:t>
            </w:r>
          </w:p>
        </w:tc>
        <w:tc>
          <w:tcPr>
            <w:tcW w:w="603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</w:tr>
      <w:tr w:rsidR="00F177EA">
        <w:tc>
          <w:tcPr>
            <w:tcW w:w="510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Obdobia práce</w:t>
            </w:r>
          </w:p>
          <w:p w:rsidR="00F177EA" w:rsidRDefault="00944201">
            <w:pPr>
              <w:widowControl/>
              <w:rPr>
                <w:i/>
                <w:noProof/>
                <w:szCs w:val="24"/>
              </w:rPr>
            </w:pPr>
            <w:r>
              <w:rPr>
                <w:i/>
              </w:rPr>
              <w:lastRenderedPageBreak/>
              <w:t>Informácie o platených obdobiach práce, za každého zamestnanca vybraného do vzorky.</w:t>
            </w:r>
          </w:p>
        </w:tc>
        <w:tc>
          <w:tcPr>
            <w:tcW w:w="603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</w:tr>
      <w:tr w:rsidR="00F177EA">
        <w:tc>
          <w:tcPr>
            <w:tcW w:w="510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Technické prvky zisťovania</w:t>
            </w:r>
          </w:p>
          <w:p w:rsidR="00F177EA" w:rsidRDefault="00944201">
            <w:pPr>
              <w:widowControl/>
              <w:rPr>
                <w:i/>
                <w:noProof/>
                <w:szCs w:val="24"/>
              </w:rPr>
            </w:pPr>
            <w:r>
              <w:rPr>
                <w:i/>
              </w:rPr>
              <w:t xml:space="preserve">Informácie o výbere vzorky a zbere údajov za každého zamestnanca vybraného do vzorky a jeho zamestnávateľa (napr. váhy). </w:t>
            </w:r>
          </w:p>
        </w:tc>
        <w:tc>
          <w:tcPr>
            <w:tcW w:w="603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</w:tr>
      <w:tr w:rsidR="00F177EA">
        <w:tc>
          <w:tcPr>
            <w:tcW w:w="510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Rodový rozdiel v odmeňovaní</w:t>
            </w: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Hodinové mzdy</w:t>
            </w:r>
          </w:p>
          <w:p w:rsidR="00F177EA" w:rsidRDefault="00944201">
            <w:pPr>
              <w:widowControl/>
              <w:rPr>
                <w:i/>
                <w:noProof/>
                <w:szCs w:val="24"/>
              </w:rPr>
            </w:pPr>
            <w:r>
              <w:rPr>
                <w:i/>
              </w:rPr>
              <w:t>Hodinové mzdy zamestnancov a zamestnankýň podľa hlavných charakteristík zamestnávateľa a zamestnanca a zodpovedajúce relatívne rozdiely medzi hodinovými mzdami zamestnancov a zamestnankýň.</w:t>
            </w:r>
          </w:p>
        </w:tc>
        <w:tc>
          <w:tcPr>
            <w:tcW w:w="603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každý rok</w:t>
            </w:r>
          </w:p>
        </w:tc>
        <w:tc>
          <w:tcPr>
            <w:tcW w:w="659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 xml:space="preserve">kalendárny rok </w:t>
            </w:r>
          </w:p>
        </w:tc>
        <w:tc>
          <w:tcPr>
            <w:tcW w:w="741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T+13 mesiacov</w:t>
            </w:r>
          </w:p>
        </w:tc>
        <w:tc>
          <w:tcPr>
            <w:tcW w:w="606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 xml:space="preserve">2026 </w:t>
            </w:r>
          </w:p>
        </w:tc>
      </w:tr>
      <w:tr w:rsidR="00F177EA">
        <w:tc>
          <w:tcPr>
            <w:tcW w:w="510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Zamestnanci</w:t>
            </w:r>
          </w:p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rPr>
                <w:i/>
              </w:rPr>
              <w:t>Počet zamestnancov a zamestnankýň podľa charakteristík zamestnávateľa a zamestnanca.</w:t>
            </w:r>
          </w:p>
        </w:tc>
        <w:tc>
          <w:tcPr>
            <w:tcW w:w="603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</w:tr>
      <w:tr w:rsidR="00F177EA">
        <w:tc>
          <w:tcPr>
            <w:tcW w:w="510" w:type="pct"/>
            <w:vMerge w:val="restart"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rPr>
                <w:b/>
                <w:i/>
              </w:rPr>
              <w:t>Minimálna mzda</w:t>
            </w: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rPr>
                <w:b/>
                <w:i/>
              </w:rPr>
              <w:t>Výška zákonnej minimálnej mzdy</w:t>
            </w:r>
          </w:p>
        </w:tc>
        <w:tc>
          <w:tcPr>
            <w:tcW w:w="603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rPr>
                <w:b/>
                <w:i/>
              </w:rPr>
              <w:t>každé dva roky</w:t>
            </w:r>
          </w:p>
        </w:tc>
        <w:tc>
          <w:tcPr>
            <w:tcW w:w="659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rPr>
                <w:b/>
                <w:i/>
              </w:rPr>
              <w:t>kalendárny rok</w:t>
            </w:r>
          </w:p>
        </w:tc>
        <w:tc>
          <w:tcPr>
            <w:tcW w:w="741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rPr>
                <w:b/>
                <w:i/>
              </w:rPr>
              <w:t>T+13 mesiacov</w:t>
            </w:r>
          </w:p>
        </w:tc>
        <w:tc>
          <w:tcPr>
            <w:tcW w:w="606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rPr>
                <w:b/>
                <w:i/>
              </w:rPr>
              <w:t>2026</w:t>
            </w:r>
          </w:p>
        </w:tc>
      </w:tr>
      <w:tr w:rsidR="00F177EA">
        <w:tc>
          <w:tcPr>
            <w:tcW w:w="510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rPr>
                <w:b/>
                <w:i/>
              </w:rPr>
              <w:t>Počet a podiele pracovníkov, na ktorých sa vzťahuje zákonná minimálna mzda</w:t>
            </w:r>
          </w:p>
        </w:tc>
        <w:tc>
          <w:tcPr>
            <w:tcW w:w="603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rPr>
                <w:b/>
                <w:i/>
              </w:rPr>
              <w:t>každé dva roky</w:t>
            </w:r>
          </w:p>
        </w:tc>
        <w:tc>
          <w:tcPr>
            <w:tcW w:w="659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rPr>
                <w:b/>
                <w:i/>
              </w:rPr>
              <w:t>kalendárny rok</w:t>
            </w:r>
          </w:p>
        </w:tc>
        <w:tc>
          <w:tcPr>
            <w:tcW w:w="741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rPr>
                <w:b/>
                <w:i/>
              </w:rPr>
              <w:t>T+13 mesiacov</w:t>
            </w:r>
          </w:p>
        </w:tc>
        <w:tc>
          <w:tcPr>
            <w:tcW w:w="606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rPr>
                <w:b/>
                <w:i/>
              </w:rPr>
              <w:t>2026</w:t>
            </w:r>
          </w:p>
        </w:tc>
      </w:tr>
      <w:tr w:rsidR="00F177EA">
        <w:tc>
          <w:tcPr>
            <w:tcW w:w="510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</w:tcPr>
          <w:p w:rsidR="00F177EA" w:rsidRDefault="00944201">
            <w:pPr>
              <w:widowControl/>
              <w:rPr>
                <w:b/>
                <w:i/>
                <w:noProof/>
              </w:rPr>
            </w:pPr>
            <w:r>
              <w:rPr>
                <w:b/>
                <w:i/>
              </w:rPr>
              <w:t>Pokrytie kolektívnym vyjednávaním</w:t>
            </w: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b/>
                <w:i/>
                <w:noProof/>
              </w:rPr>
            </w:pPr>
            <w:r>
              <w:rPr>
                <w:b/>
                <w:i/>
              </w:rPr>
              <w:t>Počet zamestnancov, na ktorých sa vzťahujú kolektívne zmluvy</w:t>
            </w:r>
          </w:p>
        </w:tc>
        <w:tc>
          <w:tcPr>
            <w:tcW w:w="603" w:type="pct"/>
          </w:tcPr>
          <w:p w:rsidR="00F177EA" w:rsidRDefault="00944201">
            <w:pPr>
              <w:pStyle w:val="TableParagraph"/>
              <w:spacing w:line="270" w:lineRule="exact"/>
              <w:ind w:left="0"/>
              <w:rPr>
                <w:b/>
                <w:i/>
                <w:sz w:val="2"/>
                <w:szCs w:val="2"/>
              </w:rPr>
            </w:pPr>
            <w:r>
              <w:rPr>
                <w:b/>
                <w:i/>
                <w:sz w:val="24"/>
              </w:rPr>
              <w:t>každé dva roky</w:t>
            </w:r>
          </w:p>
          <w:p w:rsidR="00F177EA" w:rsidRDefault="00F177EA">
            <w:pPr>
              <w:widowControl/>
              <w:rPr>
                <w:b/>
                <w:i/>
                <w:noProof/>
                <w:szCs w:val="24"/>
              </w:rPr>
            </w:pPr>
          </w:p>
        </w:tc>
        <w:tc>
          <w:tcPr>
            <w:tcW w:w="659" w:type="pct"/>
          </w:tcPr>
          <w:p w:rsidR="00F177EA" w:rsidRDefault="00944201">
            <w:pPr>
              <w:widowControl/>
              <w:rPr>
                <w:b/>
                <w:i/>
                <w:noProof/>
              </w:rPr>
            </w:pPr>
            <w:r>
              <w:rPr>
                <w:b/>
                <w:i/>
              </w:rPr>
              <w:t>kalendárny rok</w:t>
            </w:r>
          </w:p>
        </w:tc>
        <w:tc>
          <w:tcPr>
            <w:tcW w:w="741" w:type="pct"/>
          </w:tcPr>
          <w:p w:rsidR="00F177EA" w:rsidRDefault="00944201">
            <w:pPr>
              <w:widowControl/>
              <w:rPr>
                <w:b/>
                <w:i/>
              </w:rPr>
            </w:pPr>
            <w:r>
              <w:rPr>
                <w:b/>
                <w:i/>
              </w:rPr>
              <w:t>T+13 mesiacov</w:t>
            </w:r>
          </w:p>
        </w:tc>
        <w:tc>
          <w:tcPr>
            <w:tcW w:w="606" w:type="pct"/>
          </w:tcPr>
          <w:p w:rsidR="00F177EA" w:rsidRDefault="00944201">
            <w:pPr>
              <w:widowControl/>
              <w:rPr>
                <w:b/>
                <w:i/>
                <w:noProof/>
              </w:rPr>
            </w:pPr>
            <w:r>
              <w:rPr>
                <w:b/>
                <w:i/>
              </w:rPr>
              <w:t>2026</w:t>
            </w:r>
          </w:p>
        </w:tc>
      </w:tr>
      <w:tr w:rsidR="00F177EA">
        <w:tc>
          <w:tcPr>
            <w:tcW w:w="510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lastRenderedPageBreak/>
              <w:t>Náklady práce</w:t>
            </w:r>
          </w:p>
        </w:tc>
        <w:tc>
          <w:tcPr>
            <w:tcW w:w="692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Štruktúra nákladov práce</w:t>
            </w: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Náklady práce</w:t>
            </w:r>
          </w:p>
          <w:p w:rsidR="00F177EA" w:rsidRDefault="00944201">
            <w:pPr>
              <w:widowControl/>
              <w:rPr>
                <w:i/>
                <w:noProof/>
                <w:szCs w:val="24"/>
              </w:rPr>
            </w:pPr>
            <w:r>
              <w:rPr>
                <w:i/>
              </w:rPr>
              <w:t>Celkové náklady zamestnávateľa na zamestnávanie pracovnej sily a zložky týchto nákladov.</w:t>
            </w:r>
          </w:p>
        </w:tc>
        <w:tc>
          <w:tcPr>
            <w:tcW w:w="603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každé štyri roky</w:t>
            </w:r>
          </w:p>
        </w:tc>
        <w:tc>
          <w:tcPr>
            <w:tcW w:w="659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kalendárny rok</w:t>
            </w:r>
          </w:p>
        </w:tc>
        <w:tc>
          <w:tcPr>
            <w:tcW w:w="741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T+18 mesiacov</w:t>
            </w:r>
          </w:p>
        </w:tc>
        <w:tc>
          <w:tcPr>
            <w:tcW w:w="606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2028</w:t>
            </w:r>
          </w:p>
        </w:tc>
      </w:tr>
      <w:tr w:rsidR="00F177EA">
        <w:tc>
          <w:tcPr>
            <w:tcW w:w="510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Odpracované hodiny</w:t>
            </w:r>
            <w:r>
              <w:rPr>
                <w:rFonts w:ascii="Calibri" w:hAnsi="Calibri"/>
                <w:sz w:val="22"/>
              </w:rPr>
              <w:t xml:space="preserve"> </w:t>
            </w:r>
          </w:p>
          <w:p w:rsidR="00F177EA" w:rsidRDefault="00944201">
            <w:pPr>
              <w:widowControl/>
              <w:rPr>
                <w:i/>
                <w:noProof/>
                <w:szCs w:val="24"/>
              </w:rPr>
            </w:pPr>
            <w:r>
              <w:rPr>
                <w:i/>
              </w:rPr>
              <w:t xml:space="preserve">Skutočne odpracované hodiny podľa hlavných typov zamestnancov. </w:t>
            </w:r>
          </w:p>
        </w:tc>
        <w:tc>
          <w:tcPr>
            <w:tcW w:w="603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</w:tr>
      <w:tr w:rsidR="00F177EA">
        <w:tc>
          <w:tcPr>
            <w:tcW w:w="510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Platené hodiny</w:t>
            </w:r>
          </w:p>
          <w:p w:rsidR="00F177EA" w:rsidRDefault="00944201">
            <w:pPr>
              <w:widowControl/>
              <w:rPr>
                <w:i/>
                <w:noProof/>
                <w:szCs w:val="24"/>
              </w:rPr>
            </w:pPr>
            <w:r>
              <w:rPr>
                <w:i/>
              </w:rPr>
              <w:t>Platené hodiny podľa hlavných typov zamestnancov.</w:t>
            </w:r>
          </w:p>
        </w:tc>
        <w:tc>
          <w:tcPr>
            <w:tcW w:w="603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</w:tr>
      <w:tr w:rsidR="00F177EA">
        <w:tc>
          <w:tcPr>
            <w:tcW w:w="510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  <w:tcBorders>
              <w:bottom w:val="nil"/>
            </w:tcBorders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Zamestnanci</w:t>
            </w:r>
          </w:p>
          <w:p w:rsidR="00F177EA" w:rsidRDefault="00944201">
            <w:pPr>
              <w:widowControl/>
              <w:rPr>
                <w:i/>
                <w:noProof/>
                <w:szCs w:val="24"/>
              </w:rPr>
            </w:pPr>
            <w:r>
              <w:rPr>
                <w:i/>
              </w:rPr>
              <w:t>Počet zamestnancov podľa hlavných typov.</w:t>
            </w:r>
          </w:p>
        </w:tc>
        <w:tc>
          <w:tcPr>
            <w:tcW w:w="603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</w:tr>
      <w:tr w:rsidR="00F177EA">
        <w:tc>
          <w:tcPr>
            <w:tcW w:w="510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tcBorders>
              <w:top w:val="nil"/>
            </w:tcBorders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Miestne jednotky</w:t>
            </w:r>
          </w:p>
          <w:p w:rsidR="00F177EA" w:rsidRDefault="00944201">
            <w:pPr>
              <w:widowControl/>
              <w:rPr>
                <w:i/>
                <w:noProof/>
                <w:szCs w:val="24"/>
              </w:rPr>
            </w:pPr>
            <w:r>
              <w:rPr>
                <w:i/>
              </w:rPr>
              <w:t>Informácie o miestnych jednotkách vo vzorke.</w:t>
            </w:r>
          </w:p>
        </w:tc>
        <w:tc>
          <w:tcPr>
            <w:tcW w:w="603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</w:tr>
      <w:tr w:rsidR="00F177EA">
        <w:tc>
          <w:tcPr>
            <w:tcW w:w="510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Index nákladov práce</w:t>
            </w: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 xml:space="preserve">Štvrťročný index nákladov práce na odpracovanú hodinu </w:t>
            </w:r>
          </w:p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rPr>
                <w:i/>
              </w:rPr>
              <w:t>Štvrťročný index nákladov práce na odpracovanú hodinu, podľa typu nákladov; neočistené a očistené časové rady.</w:t>
            </w:r>
          </w:p>
        </w:tc>
        <w:tc>
          <w:tcPr>
            <w:tcW w:w="603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každý štvrťrok</w:t>
            </w:r>
          </w:p>
        </w:tc>
        <w:tc>
          <w:tcPr>
            <w:tcW w:w="659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kalendárny štvrťrok</w:t>
            </w:r>
          </w:p>
        </w:tc>
        <w:tc>
          <w:tcPr>
            <w:tcW w:w="741" w:type="pct"/>
            <w:vMerge w:val="restart"/>
          </w:tcPr>
          <w:p w:rsidR="00F177EA" w:rsidRDefault="007B3203">
            <w:pPr>
              <w:widowControl/>
              <w:rPr>
                <w:noProof/>
                <w:szCs w:val="24"/>
              </w:rPr>
            </w:pPr>
            <w:r>
              <w:t xml:space="preserve">– </w:t>
            </w:r>
            <w:r w:rsidR="00944201">
              <w:t>predbežné odhady: T+45 dní</w:t>
            </w:r>
          </w:p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– Definitívne údaje: T+65 dní</w:t>
            </w:r>
          </w:p>
        </w:tc>
        <w:tc>
          <w:tcPr>
            <w:tcW w:w="606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prvý štvrťrok 2026</w:t>
            </w:r>
          </w:p>
        </w:tc>
      </w:tr>
      <w:tr w:rsidR="00F177EA">
        <w:tc>
          <w:tcPr>
            <w:tcW w:w="510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Štvrťročný index celkových nákladov práce</w:t>
            </w:r>
          </w:p>
          <w:p w:rsidR="00F177EA" w:rsidRDefault="00944201">
            <w:pPr>
              <w:widowControl/>
              <w:rPr>
                <w:i/>
                <w:noProof/>
                <w:szCs w:val="24"/>
              </w:rPr>
            </w:pPr>
            <w:r>
              <w:rPr>
                <w:i/>
              </w:rPr>
              <w:t>Neočistené a očistené časové rady.</w:t>
            </w:r>
          </w:p>
        </w:tc>
        <w:tc>
          <w:tcPr>
            <w:tcW w:w="603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</w:tr>
      <w:tr w:rsidR="00F177EA">
        <w:tc>
          <w:tcPr>
            <w:tcW w:w="510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Štvrťročný index odpracovaných hodín</w:t>
            </w:r>
          </w:p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rPr>
                <w:i/>
              </w:rPr>
              <w:t>Neočistené a očistené časové rady.</w:t>
            </w:r>
          </w:p>
        </w:tc>
        <w:tc>
          <w:tcPr>
            <w:tcW w:w="603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</w:tr>
      <w:tr w:rsidR="00F177EA">
        <w:tc>
          <w:tcPr>
            <w:tcW w:w="510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Ročné náklady práce</w:t>
            </w:r>
          </w:p>
          <w:p w:rsidR="00F177EA" w:rsidRDefault="00944201">
            <w:pPr>
              <w:widowControl/>
              <w:rPr>
                <w:i/>
                <w:noProof/>
                <w:szCs w:val="24"/>
              </w:rPr>
            </w:pPr>
            <w:r>
              <w:rPr>
                <w:i/>
              </w:rPr>
              <w:t>Úrovne (váhy) ročných nákladov práce podľa typu nákladov.</w:t>
            </w:r>
          </w:p>
        </w:tc>
        <w:tc>
          <w:tcPr>
            <w:tcW w:w="603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každý rok</w:t>
            </w:r>
          </w:p>
        </w:tc>
        <w:tc>
          <w:tcPr>
            <w:tcW w:w="659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kalendárny rok</w:t>
            </w:r>
          </w:p>
        </w:tc>
        <w:tc>
          <w:tcPr>
            <w:tcW w:w="741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koniec prvého štvrťrok roku T+1 + 65 dní</w:t>
            </w:r>
          </w:p>
        </w:tc>
        <w:tc>
          <w:tcPr>
            <w:tcW w:w="606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</w:tr>
      <w:tr w:rsidR="00F177EA">
        <w:trPr>
          <w:trHeight w:val="278"/>
        </w:trPr>
        <w:tc>
          <w:tcPr>
            <w:tcW w:w="510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Dopyt po pracovnej sile</w:t>
            </w:r>
          </w:p>
        </w:tc>
        <w:tc>
          <w:tcPr>
            <w:tcW w:w="692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Voľné pracovné miesta</w:t>
            </w: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Neobsadené pracovné miesta</w:t>
            </w:r>
          </w:p>
          <w:p w:rsidR="00F177EA" w:rsidRDefault="00944201">
            <w:pPr>
              <w:widowControl/>
              <w:rPr>
                <w:i/>
                <w:noProof/>
                <w:szCs w:val="24"/>
              </w:rPr>
            </w:pPr>
            <w:r>
              <w:rPr>
                <w:i/>
              </w:rPr>
              <w:t>Informácie o zaznamenaných neobsadených pracovných miestach neočistené a očistené časové rady.</w:t>
            </w:r>
          </w:p>
        </w:tc>
        <w:tc>
          <w:tcPr>
            <w:tcW w:w="603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každý štvrťrok</w:t>
            </w:r>
          </w:p>
        </w:tc>
        <w:tc>
          <w:tcPr>
            <w:tcW w:w="659" w:type="pct"/>
            <w:vMerge w:val="restar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kalendárny štvrťrok</w:t>
            </w:r>
          </w:p>
        </w:tc>
        <w:tc>
          <w:tcPr>
            <w:tcW w:w="741" w:type="pct"/>
            <w:vMerge w:val="restart"/>
          </w:tcPr>
          <w:p w:rsidR="00F177EA" w:rsidRDefault="007B3203">
            <w:pPr>
              <w:widowControl/>
              <w:ind w:left="-10"/>
              <w:rPr>
                <w:noProof/>
                <w:szCs w:val="24"/>
              </w:rPr>
            </w:pPr>
            <w:r>
              <w:t xml:space="preserve">– </w:t>
            </w:r>
            <w:bookmarkStart w:id="8" w:name="_GoBack"/>
            <w:bookmarkEnd w:id="8"/>
            <w:r w:rsidR="00944201">
              <w:t>predbežné odhady: T+45 dní</w:t>
            </w:r>
          </w:p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>– Definitívne údaje: T+70 dní</w:t>
            </w:r>
          </w:p>
        </w:tc>
        <w:tc>
          <w:tcPr>
            <w:tcW w:w="606" w:type="pct"/>
            <w:vMerge w:val="restart"/>
          </w:tcPr>
          <w:p w:rsidR="00F177EA" w:rsidRDefault="00944201">
            <w:pPr>
              <w:widowControl/>
              <w:ind w:left="-10"/>
              <w:rPr>
                <w:noProof/>
                <w:szCs w:val="24"/>
              </w:rPr>
            </w:pPr>
            <w:r>
              <w:t>prvý štvrťrok 2026</w:t>
            </w:r>
          </w:p>
        </w:tc>
      </w:tr>
      <w:tr w:rsidR="00F177EA">
        <w:trPr>
          <w:trHeight w:val="277"/>
        </w:trPr>
        <w:tc>
          <w:tcPr>
            <w:tcW w:w="510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692" w:type="pct"/>
            <w:vMerge/>
          </w:tcPr>
          <w:p w:rsidR="00F177EA" w:rsidRDefault="00F177EA">
            <w:pPr>
              <w:widowControl/>
              <w:rPr>
                <w:noProof/>
                <w:szCs w:val="24"/>
              </w:rPr>
            </w:pPr>
          </w:p>
        </w:tc>
        <w:tc>
          <w:tcPr>
            <w:tcW w:w="1188" w:type="pct"/>
          </w:tcPr>
          <w:p w:rsidR="00F177EA" w:rsidRDefault="00944201">
            <w:pPr>
              <w:widowControl/>
              <w:rPr>
                <w:noProof/>
                <w:szCs w:val="24"/>
              </w:rPr>
            </w:pPr>
            <w:r>
              <w:t xml:space="preserve">Obsadené pracovné miesta </w:t>
            </w:r>
          </w:p>
          <w:p w:rsidR="00F177EA" w:rsidRDefault="00944201">
            <w:pPr>
              <w:widowControl/>
              <w:rPr>
                <w:rFonts w:ascii="Calibri" w:hAnsi="Calibri" w:cs="Calibri"/>
                <w:i/>
                <w:noProof/>
                <w:szCs w:val="24"/>
              </w:rPr>
            </w:pPr>
            <w:r>
              <w:rPr>
                <w:i/>
              </w:rPr>
              <w:t>Informácie o zaznamenaných obsadených pracovných miestach neočistené a očistené časové rady.</w:t>
            </w:r>
          </w:p>
        </w:tc>
        <w:tc>
          <w:tcPr>
            <w:tcW w:w="603" w:type="pct"/>
            <w:vMerge/>
          </w:tcPr>
          <w:p w:rsidR="00F177EA" w:rsidRDefault="00F177EA">
            <w:pPr>
              <w:widowControl/>
              <w:ind w:left="720"/>
              <w:rPr>
                <w:rFonts w:ascii="Calibri" w:hAnsi="Calibri" w:cs="Calibri"/>
                <w:noProof/>
                <w:szCs w:val="24"/>
              </w:rPr>
            </w:pPr>
          </w:p>
        </w:tc>
        <w:tc>
          <w:tcPr>
            <w:tcW w:w="659" w:type="pct"/>
            <w:vMerge/>
          </w:tcPr>
          <w:p w:rsidR="00F177EA" w:rsidRDefault="00F177EA">
            <w:pPr>
              <w:widowControl/>
              <w:ind w:left="720"/>
              <w:rPr>
                <w:rFonts w:ascii="Calibri" w:hAnsi="Calibri" w:cs="Calibri"/>
                <w:noProof/>
                <w:szCs w:val="24"/>
              </w:rPr>
            </w:pPr>
          </w:p>
        </w:tc>
        <w:tc>
          <w:tcPr>
            <w:tcW w:w="741" w:type="pct"/>
            <w:vMerge/>
          </w:tcPr>
          <w:p w:rsidR="00F177EA" w:rsidRDefault="00F177EA">
            <w:pPr>
              <w:widowControl/>
              <w:ind w:left="720"/>
              <w:rPr>
                <w:rFonts w:ascii="Calibri" w:hAnsi="Calibri" w:cs="Calibri"/>
                <w:noProof/>
                <w:szCs w:val="24"/>
              </w:rPr>
            </w:pPr>
          </w:p>
        </w:tc>
        <w:tc>
          <w:tcPr>
            <w:tcW w:w="606" w:type="pct"/>
            <w:vMerge/>
          </w:tcPr>
          <w:p w:rsidR="00F177EA" w:rsidRDefault="00F177EA">
            <w:pPr>
              <w:widowControl/>
              <w:ind w:left="720"/>
              <w:rPr>
                <w:rFonts w:ascii="Calibri" w:hAnsi="Calibri" w:cs="Calibri"/>
                <w:noProof/>
                <w:szCs w:val="24"/>
              </w:rPr>
            </w:pPr>
          </w:p>
        </w:tc>
      </w:tr>
    </w:tbl>
    <w:p w:rsidR="00F177EA" w:rsidRDefault="00F177EA">
      <w:pPr>
        <w:widowControl/>
        <w:spacing w:before="120" w:after="120"/>
        <w:jc w:val="both"/>
        <w:rPr>
          <w:rFonts w:eastAsia="Calibri"/>
          <w:noProof/>
          <w:szCs w:val="24"/>
          <w:lang w:eastAsia="en-US"/>
        </w:rPr>
      </w:pPr>
    </w:p>
    <w:p w:rsidR="00F177EA" w:rsidRDefault="00944201">
      <w:pPr>
        <w:widowControl/>
        <w:tabs>
          <w:tab w:val="left" w:pos="850"/>
        </w:tabs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>
        <w:t>1.</w:t>
      </w:r>
      <w:r>
        <w:tab/>
        <w:t>Po konci referenčného obdobia „T“.</w:t>
      </w:r>
    </w:p>
    <w:p w:rsidR="00F177EA" w:rsidRDefault="00944201">
      <w:pPr>
        <w:widowControl/>
        <w:tabs>
          <w:tab w:val="left" w:pos="850"/>
        </w:tabs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>
        <w:t>2.</w:t>
      </w:r>
      <w:r>
        <w:tab/>
        <w:t>Ak uvedené lehoty uplynú v sobotu alebo nedeľu, za skutočný koniec lehoty sa považuje nasledujúci pondelok o 12.00 hod. (SEČ).</w:t>
      </w:r>
    </w:p>
    <w:p w:rsidR="00F177EA" w:rsidRDefault="00F177EA">
      <w:pPr>
        <w:widowControl/>
        <w:rPr>
          <w:rFonts w:eastAsia="Calibri"/>
          <w:noProof/>
          <w:szCs w:val="22"/>
          <w:lang w:eastAsia="en-US"/>
        </w:rPr>
      </w:pPr>
    </w:p>
    <w:sectPr w:rsidR="00F177E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7EA" w:rsidRDefault="00944201">
      <w:r>
        <w:separator/>
      </w:r>
    </w:p>
  </w:endnote>
  <w:endnote w:type="continuationSeparator" w:id="0">
    <w:p w:rsidR="00F177EA" w:rsidRDefault="00944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EA" w:rsidRDefault="00944201">
    <w:pPr>
      <w:pStyle w:val="EPFooter"/>
    </w:pPr>
    <w:r>
      <w:t>PE</w:t>
    </w:r>
    <w:r>
      <w:rPr>
        <w:rStyle w:val="HideTWBExt"/>
      </w:rPr>
      <w:t>&lt;NoPE&gt;</w:t>
    </w:r>
    <w:r>
      <w:t>757.907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22</w:t>
    </w:r>
    <w:r>
      <w:fldChar w:fldCharType="end"/>
    </w:r>
    <w:r>
      <w:t>/</w:t>
    </w:r>
    <w:fldSimple w:instr=" NUMPAGES  \* MERGEFORMAT ">
      <w:r>
        <w:rPr>
          <w:noProof/>
        </w:rPr>
        <w:t>22</w:t>
      </w:r>
    </w:fldSimple>
    <w:r>
      <w:tab/>
    </w:r>
    <w:r>
      <w:rPr>
        <w:rStyle w:val="HideTWBExt"/>
      </w:rPr>
      <w:t>&lt;PathFdR&gt;</w:t>
    </w:r>
    <w:r>
      <w:t>RR\1297573SK.docx</w:t>
    </w:r>
    <w:r>
      <w:rPr>
        <w:rStyle w:val="HideTWBExt"/>
      </w:rPr>
      <w:t>&lt;/PathFdR&gt;</w:t>
    </w:r>
  </w:p>
  <w:p w:rsidR="00F177EA" w:rsidRDefault="00944201"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EA" w:rsidRDefault="00944201">
    <w:pPr>
      <w:pStyle w:val="EPFooter"/>
    </w:pPr>
    <w:r>
      <w:rPr>
        <w:rStyle w:val="HideTWBExt"/>
      </w:rPr>
      <w:t>&lt;PathFdR&gt;</w:t>
    </w:r>
    <w:r>
      <w:t>RR\1297573SK.docx</w:t>
    </w:r>
    <w:r>
      <w:rPr>
        <w:rStyle w:val="HideTWBExt"/>
      </w:rPr>
      <w:t>&lt;/PathFdR&gt;</w:t>
    </w:r>
    <w:r>
      <w:tab/>
    </w:r>
    <w:r>
      <w:tab/>
      <w:t>PE</w:t>
    </w:r>
    <w:r>
      <w:rPr>
        <w:rStyle w:val="HideTWBExt"/>
      </w:rPr>
      <w:t>&lt;NoPE&gt;</w:t>
    </w:r>
    <w:r>
      <w:t>757.907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</w:p>
  <w:p w:rsidR="00F177EA" w:rsidRDefault="00944201"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EA" w:rsidRDefault="00F177E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EA" w:rsidRDefault="00F177EA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EA" w:rsidRDefault="00F177E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7EA" w:rsidRDefault="00944201">
      <w:r>
        <w:separator/>
      </w:r>
    </w:p>
  </w:footnote>
  <w:footnote w:type="continuationSeparator" w:id="0">
    <w:p w:rsidR="00F177EA" w:rsidRDefault="00944201">
      <w:r>
        <w:continuationSeparator/>
      </w:r>
    </w:p>
  </w:footnote>
  <w:footnote w:id="1">
    <w:p w:rsidR="00F177EA" w:rsidRDefault="009442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C, C/2024/668, 12.1.2024, ELI: </w:t>
      </w:r>
      <w:hyperlink r:id="rId1" w:history="1">
        <w:r>
          <w:rPr>
            <w:rStyle w:val="Hyperlink"/>
            <w:sz w:val="24"/>
            <w:lang w:val="sk-SK"/>
          </w:rPr>
          <w:t>http://data.europa.eu/eli/C/2024/668/oj</w:t>
        </w:r>
      </w:hyperlink>
      <w:r>
        <w:rPr>
          <w:sz w:val="24"/>
          <w:lang w:val="sk-SK"/>
        </w:rPr>
        <w:t>.</w:t>
      </w:r>
    </w:p>
  </w:footnote>
  <w:footnote w:id="2">
    <w:p w:rsidR="00F177EA" w:rsidRDefault="00944201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Reference"/>
          <w:lang w:val="sk-SK"/>
        </w:rPr>
        <w:t>*</w:t>
      </w:r>
      <w:r>
        <w:rPr>
          <w:lang w:val="sk-SK"/>
        </w:rPr>
        <w:t xml:space="preserve"> </w:t>
      </w:r>
      <w:r>
        <w:rPr>
          <w:lang w:val="sk-SK"/>
        </w:rPr>
        <w:tab/>
      </w:r>
      <w:r>
        <w:rPr>
          <w:sz w:val="24"/>
          <w:szCs w:val="24"/>
          <w:lang w:val="sk-SK"/>
        </w:rPr>
        <w:t xml:space="preserve">Zmeny v celom texte vyplývajú z prijatia pozmeňujúceho návrhu 1. Nový alebo zmenený text je vyznačený hrubou kurzívou; vypustenia sa označujú symbolom </w:t>
      </w:r>
      <w:r>
        <w:rPr>
          <w:rFonts w:ascii="Arial" w:hAnsi="Arial" w:cs="Arial"/>
          <w:sz w:val="24"/>
          <w:szCs w:val="24"/>
          <w:lang w:val="sk-SK"/>
        </w:rPr>
        <w:t>▌</w:t>
      </w:r>
      <w:r>
        <w:rPr>
          <w:sz w:val="24"/>
          <w:szCs w:val="24"/>
          <w:lang w:val="sk-SK"/>
        </w:rPr>
        <w:t>.</w:t>
      </w:r>
    </w:p>
  </w:footnote>
  <w:footnote w:id="3">
    <w:p w:rsidR="00F177EA" w:rsidRDefault="00944201">
      <w:pPr>
        <w:pStyle w:val="FootnoteText"/>
        <w:ind w:left="851" w:hanging="851"/>
        <w:rPr>
          <w:b/>
          <w:i/>
          <w:sz w:val="24"/>
          <w:lang w:val="sk-SK"/>
        </w:rPr>
      </w:pPr>
      <w:r>
        <w:rPr>
          <w:rStyle w:val="FootnoteReference"/>
          <w:i/>
          <w:sz w:val="24"/>
          <w:lang w:val="sk-SK"/>
        </w:rPr>
        <w:footnoteRef/>
      </w:r>
      <w:r>
        <w:rPr>
          <w:b/>
          <w:i/>
          <w:sz w:val="24"/>
          <w:lang w:val="sk-SK"/>
        </w:rPr>
        <w:t xml:space="preserve"> </w:t>
      </w:r>
      <w:r>
        <w:rPr>
          <w:b/>
          <w:i/>
          <w:sz w:val="24"/>
          <w:lang w:val="sk-SK"/>
        </w:rPr>
        <w:tab/>
        <w:t xml:space="preserve">Ú. v. EÚ C, C/2024/668, 12.1.2024, ELI: </w:t>
      </w:r>
      <w:hyperlink r:id="rId2" w:history="1">
        <w:r>
          <w:rPr>
            <w:rStyle w:val="Hyperlink"/>
            <w:b/>
            <w:i/>
            <w:sz w:val="24"/>
            <w:lang w:val="sk-SK"/>
          </w:rPr>
          <w:t>http://data.europa.eu/eli/C/2024/668/oj</w:t>
        </w:r>
      </w:hyperlink>
      <w:r>
        <w:rPr>
          <w:b/>
          <w:i/>
          <w:sz w:val="24"/>
          <w:lang w:val="sk-SK"/>
        </w:rPr>
        <w:t>.</w:t>
      </w:r>
    </w:p>
  </w:footnote>
  <w:footnote w:id="4">
    <w:p w:rsidR="00F177EA" w:rsidRDefault="00944201">
      <w:pPr>
        <w:pStyle w:val="FootnoteText"/>
        <w:ind w:left="851" w:hanging="851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(EÚ) č. 1176/2011 zo 16. novembra 2011 o prevencii a náprave makroekonomických nerovnováh (Ú. v. EÚ L 306, 23.11.2011, s. 25).</w:t>
      </w:r>
    </w:p>
  </w:footnote>
  <w:footnote w:id="5">
    <w:p w:rsidR="00F177EA" w:rsidRDefault="00944201">
      <w:pPr>
        <w:pStyle w:val="FootnoteText"/>
        <w:ind w:left="851" w:hanging="851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Smernica Európskeho parlamentu a Rady (EÚ) 2022/2041 z 19. októbra 2022 o primeraných minimálnych mzdách v Európskej únii (Ú. v. EÚ L 275, 25.10.2022, s. 33).</w:t>
      </w:r>
    </w:p>
  </w:footnote>
  <w:footnote w:id="6">
    <w:p w:rsidR="00F177EA" w:rsidRDefault="00944201">
      <w:pPr>
        <w:pStyle w:val="FootnoteText"/>
        <w:ind w:left="851" w:hanging="851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Oznámenie Komisie Európskemu parlamentu a Rade o štatistike eurozóny „Smerom k zlepšeným metodikám pre štatistiku a ukazovatele eurozóny“, COM(2002)0661 v konečnom znení z 27. novembra 2002.</w:t>
      </w:r>
    </w:p>
  </w:footnote>
  <w:footnote w:id="7">
    <w:p w:rsidR="00F177EA" w:rsidRDefault="00944201">
      <w:pPr>
        <w:pStyle w:val="FootnoteText"/>
        <w:ind w:left="851" w:hanging="851"/>
        <w:rPr>
          <w:b/>
          <w:i/>
          <w:sz w:val="24"/>
          <w:lang w:val="sk-SK"/>
        </w:rPr>
      </w:pPr>
      <w:r>
        <w:rPr>
          <w:rStyle w:val="FootnoteReference"/>
          <w:i/>
          <w:sz w:val="24"/>
          <w:lang w:val="sk-SK"/>
        </w:rPr>
        <w:footnoteRef/>
      </w:r>
      <w:r>
        <w:rPr>
          <w:b/>
          <w:i/>
          <w:sz w:val="24"/>
          <w:lang w:val="sk-SK"/>
        </w:rPr>
        <w:t xml:space="preserve"> </w:t>
      </w:r>
      <w:r>
        <w:rPr>
          <w:b/>
          <w:i/>
          <w:sz w:val="24"/>
          <w:lang w:val="sk-SK"/>
        </w:rPr>
        <w:tab/>
        <w:t xml:space="preserve">Smernica Európskeho parlamentu a Rady (EÚ) 2023/970 z 10. mája 2023, ktorou sa posilňuje uplatňovanie zásady rovnakej odmeny pre mužov a ženy za rovnakú prácu alebo prácu rovnakej hodnoty prostredníctvom transparentnosti odmeňovania a mechanizmov presadzovania (Ú. v. EÚ L 132, 17.5.2023, s. 21, </w:t>
      </w:r>
      <w:hyperlink r:id="rId3" w:tooltip="Umožňuje prístup k tomuto dokumentu prostredníctvom identifikátorov ELI a URI." w:history="1">
        <w:r>
          <w:rPr>
            <w:b/>
            <w:i/>
            <w:color w:val="23527C"/>
            <w:sz w:val="24"/>
            <w:u w:val="single"/>
            <w:shd w:val="clear" w:color="auto" w:fill="FFFFFF"/>
            <w:lang w:val="sk-SK"/>
          </w:rPr>
          <w:t>http://data.europa.eu/eli/dir/2023/970/oj</w:t>
        </w:r>
      </w:hyperlink>
      <w:r>
        <w:rPr>
          <w:b/>
          <w:i/>
          <w:sz w:val="24"/>
          <w:lang w:val="sk-SK"/>
        </w:rPr>
        <w:t>).</w:t>
      </w:r>
    </w:p>
  </w:footnote>
  <w:footnote w:id="8">
    <w:p w:rsidR="00F177EA" w:rsidRDefault="00944201">
      <w:pPr>
        <w:pStyle w:val="FootnoteText"/>
        <w:ind w:left="851" w:hanging="851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Smernica Európskeho parlamentu a Rady 2006/54/ES z 5. júla 2006 o vykonávaní zásady rovnosti príležitostí a rovnakého zaobchádzania s mužmi a ženami vo veciach zamestnanosti a povolania</w:t>
      </w:r>
      <w:r>
        <w:rPr>
          <w:b/>
          <w:color w:val="333333"/>
          <w:sz w:val="24"/>
          <w:shd w:val="clear" w:color="auto" w:fill="FFFFFF"/>
          <w:lang w:val="sk-SK"/>
        </w:rPr>
        <w:t xml:space="preserve"> </w:t>
      </w:r>
      <w:r>
        <w:rPr>
          <w:sz w:val="24"/>
          <w:lang w:val="sk-SK"/>
        </w:rPr>
        <w:t>(Ú. v. EÚ L 204, 26.7.2006, s. 23).</w:t>
      </w:r>
    </w:p>
  </w:footnote>
  <w:footnote w:id="9">
    <w:p w:rsidR="00F177EA" w:rsidRDefault="00944201">
      <w:pPr>
        <w:pStyle w:val="FootnoteText"/>
        <w:ind w:left="851" w:hanging="851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Smernica Európskeho parlamentu a Rady (EÚ) 2023/970 z 10. mája 2023, ktorou sa posilňuje uplatňovanie zásady rovnakej odmeny pre mužov a ženy za rovnakú prácu alebo prácu rovnakej hodnoty prostredníctvom transparentnosti odmeňovania a mechanizmov presadzovania (Ú. v. EÚ L 132, 17.5.2023, s. 21).</w:t>
      </w:r>
    </w:p>
  </w:footnote>
  <w:footnote w:id="10">
    <w:p w:rsidR="00F177EA" w:rsidRDefault="00944201">
      <w:pPr>
        <w:pStyle w:val="FootnoteText"/>
        <w:ind w:left="851" w:hanging="851"/>
        <w:rPr>
          <w:b/>
          <w:i/>
          <w:sz w:val="24"/>
          <w:lang w:val="sk-SK"/>
        </w:rPr>
      </w:pPr>
      <w:r>
        <w:rPr>
          <w:rStyle w:val="FootnoteReference"/>
          <w:i/>
          <w:sz w:val="24"/>
          <w:lang w:val="sk-SK"/>
        </w:rPr>
        <w:footnoteRef/>
      </w:r>
      <w:r>
        <w:rPr>
          <w:b/>
          <w:i/>
          <w:sz w:val="24"/>
          <w:lang w:val="sk-SK"/>
        </w:rPr>
        <w:t xml:space="preserve"> </w:t>
      </w:r>
      <w:r>
        <w:rPr>
          <w:b/>
          <w:i/>
          <w:sz w:val="24"/>
          <w:lang w:val="sk-SK"/>
        </w:rPr>
        <w:tab/>
        <w:t>COM(2021)0778.</w:t>
      </w:r>
    </w:p>
  </w:footnote>
  <w:footnote w:id="11">
    <w:p w:rsidR="00F177EA" w:rsidRDefault="00944201">
      <w:pPr>
        <w:pStyle w:val="FootnoteText"/>
        <w:ind w:left="851" w:hanging="851"/>
        <w:rPr>
          <w:b/>
          <w:i/>
          <w:sz w:val="24"/>
          <w:lang w:val="sk-SK"/>
        </w:rPr>
      </w:pPr>
      <w:r>
        <w:rPr>
          <w:rStyle w:val="FootnoteReference"/>
          <w:i/>
          <w:sz w:val="24"/>
          <w:lang w:val="sk-SK"/>
        </w:rPr>
        <w:footnoteRef/>
      </w:r>
      <w:r>
        <w:rPr>
          <w:b/>
          <w:i/>
          <w:sz w:val="24"/>
          <w:lang w:val="sk-SK"/>
        </w:rPr>
        <w:t xml:space="preserve"> </w:t>
      </w:r>
      <w:r>
        <w:rPr>
          <w:b/>
          <w:i/>
          <w:sz w:val="24"/>
          <w:lang w:val="sk-SK"/>
        </w:rPr>
        <w:tab/>
        <w:t xml:space="preserve">Smernica Európskeho parlamentu a Rady 2002/58/ES z 12. júla 2002 týkajúca sa spracovávania osobných údajov a ochrany súkromia v sektore elektronických komunikácií (smernica o súkromí a elektronických komunikáciách) (Ú. v. ES L 201, 31.7.2002, s. 37, </w:t>
      </w:r>
      <w:hyperlink r:id="rId4" w:tooltip="Umožňuje prístup k tomuto dokumentu prostredníctvom identifikátorov ELI a URI." w:history="1">
        <w:r>
          <w:rPr>
            <w:b/>
            <w:i/>
            <w:color w:val="23527C"/>
            <w:sz w:val="24"/>
            <w:u w:val="single"/>
            <w:shd w:val="clear" w:color="auto" w:fill="FFFFFF"/>
            <w:lang w:val="sk-SK"/>
          </w:rPr>
          <w:t>http://data.europa.eu/eli/dir/2002/58/oj</w:t>
        </w:r>
      </w:hyperlink>
      <w:r>
        <w:rPr>
          <w:b/>
          <w:i/>
          <w:sz w:val="24"/>
          <w:lang w:val="sk-SK"/>
        </w:rPr>
        <w:t>).</w:t>
      </w:r>
    </w:p>
  </w:footnote>
  <w:footnote w:id="12">
    <w:p w:rsidR="00F177EA" w:rsidRDefault="00944201">
      <w:pPr>
        <w:pStyle w:val="FootnoteText"/>
        <w:ind w:left="851" w:hanging="851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Nariadenie Európskeho parlamentu a Rady (ES) č. 223/2009 z 11. marca 2009 o európskej štatistike a o zrušení nariadenia Európskeho parlamentu a Rady (ES, </w:t>
      </w:r>
      <w:proofErr w:type="spellStart"/>
      <w:r>
        <w:rPr>
          <w:sz w:val="24"/>
          <w:lang w:val="sk-SK"/>
        </w:rPr>
        <w:t>Euratom</w:t>
      </w:r>
      <w:proofErr w:type="spellEnd"/>
      <w:r>
        <w:rPr>
          <w:sz w:val="24"/>
          <w:lang w:val="sk-SK"/>
        </w:rPr>
        <w:t xml:space="preserve">) č. 1101/2008 o prenose dôverných štatistických údajov Štatistickému úradu Európskych spoločenstiev, nariadenia Rady (ES) č. 322/97 o štatistike Spoločenstva a rozhodnutia Rady 89/382/EHS, </w:t>
      </w:r>
      <w:proofErr w:type="spellStart"/>
      <w:r>
        <w:rPr>
          <w:sz w:val="24"/>
          <w:lang w:val="sk-SK"/>
        </w:rPr>
        <w:t>Euratom</w:t>
      </w:r>
      <w:proofErr w:type="spellEnd"/>
      <w:r>
        <w:rPr>
          <w:sz w:val="24"/>
          <w:lang w:val="sk-SK"/>
        </w:rPr>
        <w:t xml:space="preserve"> o založení Výboru pre štatistické programy Európskych spoločenstiev (Ú. v. EÚ L 87, 31.3.2009, s. 164).</w:t>
      </w:r>
    </w:p>
  </w:footnote>
  <w:footnote w:id="13">
    <w:p w:rsidR="00F177EA" w:rsidRDefault="00944201">
      <w:pPr>
        <w:pStyle w:val="FootnoteText"/>
        <w:ind w:left="851" w:hanging="851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(EÚ) 2018/1725 z 23. októbra 2018 o ochrane fyzických osôb pri spracúvaní osobných údajov inštitúciami, orgánmi, úradmi a agentúrami Únie a o voľnom pohybe takýchto údajov, ktorým sa zrušuje nariadenie (ES) č. 45/2001 a rozhodnutie č. 1247/2002/ES (Ú. v. EÚ L 295, 21.11.2018, s. 39).</w:t>
      </w:r>
    </w:p>
  </w:footnote>
  <w:footnote w:id="14">
    <w:p w:rsidR="00F177EA" w:rsidRDefault="00944201">
      <w:pPr>
        <w:pStyle w:val="FootnoteText"/>
        <w:ind w:left="851" w:hanging="851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Rady (EHS) č. 696/93 z 15. marca 1993 o štatistických jednotkách na účely pozorovania a analýzy výrobného systému v Spoločenstve (Ú. v. ES L 76, 30.3.1993, s. 1), PRÍLOHA-Oddiel III-A.</w:t>
      </w:r>
    </w:p>
  </w:footnote>
  <w:footnote w:id="15">
    <w:p w:rsidR="00F177EA" w:rsidRDefault="00944201">
      <w:pPr>
        <w:pStyle w:val="FootnoteText"/>
        <w:ind w:left="851" w:hanging="851"/>
        <w:rPr>
          <w:sz w:val="24"/>
          <w:lang w:val="sk-SK"/>
        </w:rPr>
      </w:pPr>
      <w:r>
        <w:rPr>
          <w:rStyle w:val="FootnoteReference"/>
          <w:i/>
          <w:sz w:val="24"/>
          <w:lang w:val="sk-SK"/>
        </w:rPr>
        <w:footnoteRef/>
      </w:r>
      <w:r>
        <w:rPr>
          <w:b/>
          <w:i/>
          <w:sz w:val="24"/>
          <w:lang w:val="sk-SK"/>
        </w:rPr>
        <w:t xml:space="preserve"> </w:t>
      </w:r>
      <w:r>
        <w:rPr>
          <w:b/>
          <w:i/>
          <w:sz w:val="24"/>
          <w:lang w:val="sk-SK"/>
        </w:rPr>
        <w:tab/>
        <w:t xml:space="preserve">Odporúčanie Rady z 27. novembra 2023, týkajúce sa vypracovania rámcových podmienok sociálneho hospodárstva (C/2023/1344) </w:t>
      </w:r>
      <w:r>
        <w:rPr>
          <w:b/>
          <w:sz w:val="24"/>
          <w:lang w:val="sk-SK"/>
        </w:rPr>
        <w:t>(</w:t>
      </w:r>
      <w:r>
        <w:rPr>
          <w:rStyle w:val="Emphasis"/>
          <w:b/>
          <w:color w:val="333333"/>
          <w:sz w:val="24"/>
          <w:shd w:val="clear" w:color="auto" w:fill="FFFFFF"/>
          <w:lang w:val="sk-SK"/>
        </w:rPr>
        <w:t xml:space="preserve">Ú. v. EÚ C, C/2023/1344, 29.11.2023, ELI: </w:t>
      </w:r>
      <w:hyperlink r:id="rId5" w:history="1">
        <w:r>
          <w:rPr>
            <w:rStyle w:val="Hyperlink"/>
            <w:b/>
            <w:i/>
            <w:sz w:val="24"/>
            <w:shd w:val="clear" w:color="auto" w:fill="FFFFFF"/>
            <w:lang w:val="sk-SK"/>
          </w:rPr>
          <w:t>http://data.europa.eu/eli/C/2023/1344/oj</w:t>
        </w:r>
      </w:hyperlink>
      <w:r>
        <w:rPr>
          <w:rStyle w:val="Emphasis"/>
          <w:b/>
          <w:color w:val="333333"/>
          <w:sz w:val="24"/>
          <w:shd w:val="clear" w:color="auto" w:fill="FFFFFF"/>
          <w:lang w:val="sk-SK"/>
        </w:rPr>
        <w:t>)</w:t>
      </w:r>
      <w:r>
        <w:rPr>
          <w:b/>
          <w:sz w:val="24"/>
          <w:lang w:val="sk-SK"/>
        </w:rPr>
        <w:t>.</w:t>
      </w:r>
    </w:p>
  </w:footnote>
  <w:footnote w:id="16">
    <w:p w:rsidR="00F177EA" w:rsidRDefault="00944201">
      <w:pPr>
        <w:ind w:left="851" w:hanging="851"/>
        <w:rPr>
          <w:b/>
          <w:i/>
        </w:rPr>
      </w:pPr>
      <w:r>
        <w:rPr>
          <w:rStyle w:val="FootnoteReference"/>
          <w:i/>
        </w:rPr>
        <w:footnoteRef/>
      </w:r>
      <w:r>
        <w:rPr>
          <w:b/>
          <w:i/>
        </w:rPr>
        <w:t xml:space="preserve"> </w:t>
      </w:r>
      <w:r>
        <w:rPr>
          <w:b/>
          <w:i/>
        </w:rPr>
        <w:tab/>
        <w:t xml:space="preserve">Nariadenie Európskeho parlamentu a Rady (EÚ) 2018/1725 z 23. októbra 2018 o ochrane fyzických osôb pri spracúvaní osobných údajov inštitúciami, orgánmi, úradmi a agentúrami Únie a o voľnom pohybe takýchto údajov, ktorým sa zrušuje nariadenie (ES) č. 45/2001 a rozhodnutie č. 1247/2002/ES (Ú. v. EÚ L 295, 21.11.2018, s. 39, </w:t>
      </w:r>
      <w:hyperlink r:id="rId6" w:history="1">
        <w:r>
          <w:rPr>
            <w:rStyle w:val="Hyperlink"/>
            <w:b/>
            <w:i/>
            <w:shd w:val="clear" w:color="auto" w:fill="FFFFFF"/>
          </w:rPr>
          <w:t>http://data.europa.eu/eli/reg/2018/1725/oj</w:t>
        </w:r>
      </w:hyperlink>
      <w:r>
        <w:rPr>
          <w:b/>
          <w:i/>
        </w:rPr>
        <w:t>)</w:t>
      </w:r>
      <w:r>
        <w:t>.</w:t>
      </w:r>
    </w:p>
  </w:footnote>
  <w:footnote w:id="17">
    <w:p w:rsidR="00F177EA" w:rsidRDefault="00944201">
      <w:pPr>
        <w:pStyle w:val="FootnoteText"/>
        <w:ind w:left="851" w:hanging="851"/>
        <w:rPr>
          <w:sz w:val="24"/>
          <w:lang w:val="sk-SK"/>
        </w:rPr>
      </w:pPr>
      <w:r>
        <w:rPr>
          <w:rStyle w:val="FootnoteReference"/>
          <w:i/>
          <w:sz w:val="24"/>
          <w:lang w:val="sk-SK"/>
        </w:rPr>
        <w:footnoteRef/>
      </w:r>
      <w:r>
        <w:rPr>
          <w:b/>
          <w:i/>
          <w:color w:val="333333"/>
          <w:sz w:val="24"/>
          <w:shd w:val="clear" w:color="auto" w:fill="FFFFFF"/>
          <w:lang w:val="sk-SK"/>
        </w:rPr>
        <w:t xml:space="preserve"> </w:t>
      </w:r>
      <w:r>
        <w:rPr>
          <w:b/>
          <w:i/>
          <w:color w:val="333333"/>
          <w:sz w:val="24"/>
          <w:shd w:val="clear" w:color="auto" w:fill="FFFFFF"/>
          <w:lang w:val="sk-SK"/>
        </w:rPr>
        <w:tab/>
        <w:t xml:space="preserve">Nariadenie Európskeho parlamentu a Rady (EÚ) 2016/679 z 27. apríla 2016 o ochrane fyzických osôb pri spracúvaní osobných údajov a o voľnom pohybe takýchto údajov, ktorým sa zrušuje smernica 95/46/ES (všeobecné nariadenie o ochrane údajov) (Ú. v. EÚ L 119, 4.5.2016, s. 1, </w:t>
      </w:r>
      <w:hyperlink r:id="rId7" w:tooltip="Umožňuje prístup k tomuto dokumentu prostredníctvom identifikátorov ELI a URI." w:history="1">
        <w:r>
          <w:rPr>
            <w:b/>
            <w:i/>
            <w:color w:val="23527C"/>
            <w:sz w:val="24"/>
            <w:u w:val="single"/>
            <w:shd w:val="clear" w:color="auto" w:fill="FFFFFF"/>
            <w:lang w:val="sk-SK"/>
          </w:rPr>
          <w:t>http://data.europa.eu/eli/reg/2016/679/oj</w:t>
        </w:r>
      </w:hyperlink>
      <w:r>
        <w:rPr>
          <w:b/>
          <w:i/>
          <w:color w:val="333333"/>
          <w:sz w:val="24"/>
          <w:shd w:val="clear" w:color="auto" w:fill="FFFFFF"/>
          <w:lang w:val="sk-SK"/>
        </w:rPr>
        <w:t>).</w:t>
      </w:r>
    </w:p>
  </w:footnote>
  <w:footnote w:id="18">
    <w:p w:rsidR="00F177EA" w:rsidRDefault="00944201">
      <w:pPr>
        <w:pStyle w:val="FootnoteText"/>
        <w:ind w:left="851" w:hanging="851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Nariadenie Európskeho parlamentu a Rady (ES) č. 1893/2006 z 20. decembra 2006, ktorým sa zavádza štatistická klasifikácia ekonomických činností NACE </w:t>
      </w:r>
      <w:proofErr w:type="spellStart"/>
      <w:r>
        <w:rPr>
          <w:sz w:val="24"/>
          <w:lang w:val="sk-SK"/>
        </w:rPr>
        <w:t>Revision</w:t>
      </w:r>
      <w:proofErr w:type="spellEnd"/>
      <w:r>
        <w:rPr>
          <w:sz w:val="24"/>
          <w:lang w:val="sk-SK"/>
        </w:rPr>
        <w:t xml:space="preserve"> 2 a ktorým sa mení a dopĺňa nariadenie Rady (EHS) č. 3037/90 a niektoré nariadenia ES o osobitných oblastiach štatistiky (Ú. v. EÚ L 393, 30.12.2006, s. 1).</w:t>
      </w:r>
    </w:p>
  </w:footnote>
  <w:footnote w:id="19">
    <w:p w:rsidR="00F177EA" w:rsidRDefault="00944201">
      <w:pPr>
        <w:pStyle w:val="FootnoteText"/>
        <w:ind w:left="851" w:hanging="851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Nariadenie Európskeho parlamentu a Rady (EÚ, </w:t>
      </w:r>
      <w:proofErr w:type="spellStart"/>
      <w:r>
        <w:rPr>
          <w:sz w:val="24"/>
          <w:lang w:val="sk-SK"/>
        </w:rPr>
        <w:t>Euratom</w:t>
      </w:r>
      <w:proofErr w:type="spellEnd"/>
      <w:r>
        <w:rPr>
          <w:sz w:val="24"/>
          <w:lang w:val="sk-SK"/>
        </w:rPr>
        <w:t>) č. 883/2013 z 11. septembra 2013 o vyšetrovaniach vykonávaných Európskym úradom pre boj proti podvodom (OLAF), ktorým sa zrušuje nariadenie Európskeho parlamentu a Rady (ES) č. 1073/1999 a nariadenie Rady (</w:t>
      </w:r>
      <w:proofErr w:type="spellStart"/>
      <w:r>
        <w:rPr>
          <w:sz w:val="24"/>
          <w:lang w:val="sk-SK"/>
        </w:rPr>
        <w:t>Euratom</w:t>
      </w:r>
      <w:proofErr w:type="spellEnd"/>
      <w:r>
        <w:rPr>
          <w:sz w:val="24"/>
          <w:lang w:val="sk-SK"/>
        </w:rPr>
        <w:t>) č. 1074/1999 (Ú. v. EÚ L 248, 18.9.2013, s. 1).</w:t>
      </w:r>
    </w:p>
  </w:footnote>
  <w:footnote w:id="20">
    <w:p w:rsidR="00F177EA" w:rsidRDefault="00944201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Rady (</w:t>
      </w:r>
      <w:proofErr w:type="spellStart"/>
      <w:r>
        <w:rPr>
          <w:sz w:val="24"/>
          <w:lang w:val="sk-SK"/>
        </w:rPr>
        <w:t>Euratom</w:t>
      </w:r>
      <w:proofErr w:type="spellEnd"/>
      <w:r>
        <w:rPr>
          <w:sz w:val="24"/>
          <w:lang w:val="sk-SK"/>
        </w:rPr>
        <w:t>, ES) č. 2185/96 z 11. novembra 1996 o kontrolách a inšpekciách na mieste, vykonávaných Komisiou s cieľom ochrany finančných záujmov Európskych spoločenstiev pred spreneverou a inými podvodmi (Ú. v. ES L 292, 15.11.1996, s. 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EA" w:rsidRDefault="00F177E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EA" w:rsidRDefault="00F177E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EA" w:rsidRDefault="00F177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  <w:lvlOverride w:ilvl="0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3"/>
    <w:lvlOverride w:ilvl="0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4/2024"/>
    <w:docVar w:name="dvlangue" w:val="SK"/>
    <w:docVar w:name="dvnumam" w:val="19"/>
    <w:docVar w:name="dvpe" w:val="757.907"/>
    <w:docVar w:name="dvrapporteur" w:val="Spravodajkyňa: "/>
    <w:docVar w:name="dvstar" w:val="***I"/>
    <w:docVar w:name="dvtitre" w:val="Legislatívne uznesenie Európskeho parlamentu z xx. apríla 2024 Návrh nariadenia Európskeho parlamentu a Rady o podnikovej štatistike trhu práce Európskej únie, ktorým sa zrušuje nariadenie Rady (ES) č. 530/1999 a nariadenia Európskeho parlamentu a Rady (ES) č. 450/2003 a (ES) č. 453/2008(COM(2023)0459 – C9-0316/2023 – 2023/0288(COD))"/>
  </w:docVars>
  <w:rsids>
    <w:rsidRoot w:val="00F177EA"/>
    <w:rsid w:val="007B3203"/>
    <w:rsid w:val="00944201"/>
    <w:rsid w:val="00F1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0CBECB-1A9B-4C93-815D-9355AB1DC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pPr>
      <w:jc w:val="right"/>
    </w:pPr>
    <w:rPr>
      <w:lang w:val="sk-SK"/>
    </w:rPr>
  </w:style>
  <w:style w:type="paragraph" w:styleId="ListParagraph">
    <w:name w:val="List Paragraph"/>
    <w:basedOn w:val="Normal"/>
    <w:uiPriority w:val="34"/>
    <w:qFormat/>
    <w:pPr>
      <w:autoSpaceDE w:val="0"/>
      <w:autoSpaceDN w:val="0"/>
      <w:ind w:left="1385" w:hanging="850"/>
    </w:pPr>
    <w:rPr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autoSpaceDE w:val="0"/>
      <w:autoSpaceDN w:val="0"/>
      <w:ind w:left="108"/>
    </w:pPr>
    <w:rPr>
      <w:sz w:val="22"/>
      <w:szCs w:val="22"/>
      <w:lang w:eastAsia="en-US"/>
    </w:rPr>
  </w:style>
  <w:style w:type="paragraph" w:styleId="ListBullet3">
    <w:name w:val="List Bullet 3"/>
    <w:basedOn w:val="Normal"/>
    <w:pPr>
      <w:widowControl/>
      <w:numPr>
        <w:numId w:val="3"/>
      </w:numPr>
      <w:spacing w:before="120" w:after="120"/>
      <w:jc w:val="both"/>
    </w:pPr>
    <w:rPr>
      <w:szCs w:val="22"/>
    </w:rPr>
  </w:style>
  <w:style w:type="character" w:styleId="CommentReference">
    <w:name w:val="annotation reference"/>
    <w:uiPriority w:val="99"/>
    <w:rPr>
      <w:rFonts w:cs="Times New Roman"/>
      <w:sz w:val="16"/>
      <w:szCs w:val="16"/>
    </w:rPr>
  </w:style>
  <w:style w:type="paragraph" w:customStyle="1" w:styleId="Normal24a">
    <w:name w:val="Normal24a"/>
    <w:basedOn w:val="Normal"/>
    <w:pPr>
      <w:spacing w:after="480"/>
    </w:pPr>
  </w:style>
  <w:style w:type="paragraph" w:customStyle="1" w:styleId="NormalBoldCenter">
    <w:name w:val="NormalBoldCenter"/>
    <w:basedOn w:val="Normal"/>
    <w:pPr>
      <w:jc w:val="center"/>
    </w:pPr>
    <w:rPr>
      <w:b/>
    </w:rPr>
  </w:style>
  <w:style w:type="paragraph" w:styleId="BalloonText">
    <w:name w:val="Balloon Text"/>
    <w:basedOn w:val="Normal"/>
    <w:link w:val="BalloonTextChar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character" w:styleId="Emphasis">
    <w:name w:val="Emphasis"/>
    <w:basedOn w:val="DefaultParagraphFont"/>
    <w:qFormat/>
    <w:rPr>
      <w:i/>
      <w:iCs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customStyle="1" w:styleId="Point0">
    <w:name w:val="Point 0"/>
    <w:basedOn w:val="Normal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pPr>
      <w:numPr>
        <w:numId w:val="4"/>
      </w:numPr>
    </w:pPr>
  </w:style>
  <w:style w:type="paragraph" w:customStyle="1" w:styleId="Applicationdirecte">
    <w:name w:val="Application directe"/>
    <w:basedOn w:val="Normal"/>
    <w:next w:val="Fait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qFormat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ManualHeading2">
    <w:name w:val="Manual Heading 2"/>
    <w:basedOn w:val="Normal"/>
    <w:next w:val="Normal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numPr>
        <w:ilvl w:val="7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numPr>
        <w:ilvl w:val="8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table" w:customStyle="1" w:styleId="TableGrid1">
    <w:name w:val="Table Grid1"/>
    <w:basedOn w:val="TableNormal"/>
    <w:next w:val="TableGrid"/>
    <w:uiPriority w:val="39"/>
    <w:pPr>
      <w:spacing w:before="120" w:after="120"/>
      <w:jc w:val="both"/>
    </w:pPr>
    <w:rPr>
      <w:lang w:val="sk-SK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sk-SK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  <w:style w:type="paragraph" w:styleId="CommentSubject">
    <w:name w:val="annotation subject"/>
    <w:basedOn w:val="CommentText"/>
    <w:next w:val="CommentText"/>
    <w:link w:val="CommentSubjectChar"/>
    <w:pPr>
      <w:widowControl w:val="0"/>
      <w:spacing w:before="0" w:after="0"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3/970/oj" TargetMode="External"/><Relationship Id="rId7" Type="http://schemas.openxmlformats.org/officeDocument/2006/relationships/hyperlink" Target="http://data.europa.eu/eli/reg/2016/679/oj" TargetMode="External"/><Relationship Id="rId2" Type="http://schemas.openxmlformats.org/officeDocument/2006/relationships/hyperlink" Target="http://data.europa.eu/eli/C/2024/668/oj" TargetMode="External"/><Relationship Id="rId1" Type="http://schemas.openxmlformats.org/officeDocument/2006/relationships/hyperlink" Target="http://data.europa.eu/eli/C/2024/668/oj" TargetMode="External"/><Relationship Id="rId6" Type="http://schemas.openxmlformats.org/officeDocument/2006/relationships/hyperlink" Target="http://data.europa.eu/eli/reg/2018/1725/oj" TargetMode="External"/><Relationship Id="rId5" Type="http://schemas.openxmlformats.org/officeDocument/2006/relationships/hyperlink" Target="http://data.europa.eu/eli/C/2023/1344/oj" TargetMode="External"/><Relationship Id="rId4" Type="http://schemas.openxmlformats.org/officeDocument/2006/relationships/hyperlink" Target="http://data.europa.eu/eli/dir/2002/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07D37-7818-4A0C-941D-543AA7745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5726</Words>
  <Characters>34855</Characters>
  <Application>Microsoft Office Word</Application>
  <DocSecurity>0</DocSecurity>
  <Lines>290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BINKEVICIUTE Aurelija</cp:lastModifiedBy>
  <cp:revision>3</cp:revision>
  <cp:lastPrinted>2004-11-19T15:42:00Z</cp:lastPrinted>
  <dcterms:created xsi:type="dcterms:W3CDTF">2024-10-18T16:17:00Z</dcterms:created>
  <dcterms:modified xsi:type="dcterms:W3CDTF">2024-11-27T12:05:00Z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P9_TA(2024)0356_</vt:lpwstr>
  </property>
  <property fmtid="{D5CDD505-2E9C-101B-9397-08002B2CF9AE}" pid="4" name="&lt;Type&gt;">
    <vt:lpwstr>RR</vt:lpwstr>
  </property>
</Properties>
</file>