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D95" w:rsidTr="0010095E">
        <w:trPr>
          <w:trHeight w:hRule="exact" w:val="1418"/>
        </w:trPr>
        <w:tc>
          <w:tcPr>
            <w:tcW w:w="6804" w:type="dxa"/>
            <w:shd w:val="clear" w:color="auto" w:fill="auto"/>
            <w:vAlign w:val="center"/>
          </w:tcPr>
          <w:p w:rsidR="00751A4A" w:rsidRPr="00623D95" w:rsidRDefault="00003AF7" w:rsidP="0010095E">
            <w:pPr>
              <w:pStyle w:val="EPName"/>
            </w:pPr>
            <w:r w:rsidRPr="00623D95">
              <w:t>Европейски</w:t>
            </w:r>
            <w:r w:rsidR="00387C85" w:rsidRPr="00623D95">
              <w:t xml:space="preserve"> парламент</w:t>
            </w:r>
          </w:p>
          <w:p w:rsidR="00751A4A" w:rsidRPr="00623D95" w:rsidRDefault="00817416" w:rsidP="00756632">
            <w:pPr>
              <w:pStyle w:val="EPTerm"/>
              <w:rPr>
                <w:rStyle w:val="HideTWBExt"/>
                <w:noProof w:val="0"/>
                <w:vanish w:val="0"/>
                <w:color w:val="auto"/>
              </w:rPr>
            </w:pPr>
            <w:r w:rsidRPr="00623D95">
              <w:t>2019</w:t>
            </w:r>
            <w:r w:rsidR="00003AF7">
              <w:t> – </w:t>
            </w:r>
            <w:r w:rsidRPr="00623D95">
              <w:t>2024</w:t>
            </w:r>
          </w:p>
        </w:tc>
        <w:tc>
          <w:tcPr>
            <w:tcW w:w="2268" w:type="dxa"/>
            <w:shd w:val="clear" w:color="auto" w:fill="auto"/>
          </w:tcPr>
          <w:p w:rsidR="00751A4A" w:rsidRPr="00623D95" w:rsidRDefault="00187494" w:rsidP="0010095E">
            <w:pPr>
              <w:pStyle w:val="EPLogo"/>
            </w:pPr>
            <w:r w:rsidRPr="00623D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3D95" w:rsidRDefault="00D058B8" w:rsidP="004C5D52">
      <w:pPr>
        <w:pStyle w:val="LineTop"/>
      </w:pPr>
    </w:p>
    <w:p w:rsidR="00680577" w:rsidRPr="00623D95" w:rsidRDefault="00387C85" w:rsidP="00680577">
      <w:pPr>
        <w:pStyle w:val="EPBodyTA1"/>
      </w:pPr>
      <w:r w:rsidRPr="00623D95">
        <w:t>ПРИЕТИ ТЕКСТОВЕ</w:t>
      </w:r>
    </w:p>
    <w:p w:rsidR="00D058B8" w:rsidRPr="00623D95" w:rsidRDefault="00D058B8" w:rsidP="00D058B8">
      <w:pPr>
        <w:pStyle w:val="LineBottom"/>
      </w:pPr>
    </w:p>
    <w:p w:rsidR="00387C85" w:rsidRPr="00623D95" w:rsidRDefault="00387C85" w:rsidP="00387C85">
      <w:pPr>
        <w:pStyle w:val="ATHeading1"/>
      </w:pPr>
      <w:bookmarkStart w:id="0" w:name="TANumber"/>
      <w:r w:rsidRPr="00623D95">
        <w:t>P9_TA(2024)0</w:t>
      </w:r>
      <w:r w:rsidR="00C62127">
        <w:t>357</w:t>
      </w:r>
      <w:bookmarkEnd w:id="0"/>
    </w:p>
    <w:p w:rsidR="00387C85" w:rsidRPr="00623D95" w:rsidRDefault="00387C85" w:rsidP="00387C85">
      <w:pPr>
        <w:pStyle w:val="ATHeading2"/>
      </w:pPr>
      <w:bookmarkStart w:id="1" w:name="title"/>
      <w:r w:rsidRPr="00623D95">
        <w:t>Изменение на Регламент (ЕС) 2016/1011 по отношение на обхвата на правилата за бенчмарковете, използването в Съюза на бенчмаркове, изготвяни от администратор, намиращ се в трета държава, и някои изисквания за докладване</w:t>
      </w:r>
      <w:bookmarkEnd w:id="1"/>
    </w:p>
    <w:p w:rsidR="00387C85" w:rsidRPr="00623D95" w:rsidRDefault="00387C85" w:rsidP="00387C85">
      <w:pPr>
        <w:rPr>
          <w:i/>
          <w:vanish/>
        </w:rPr>
      </w:pPr>
      <w:r w:rsidRPr="00623D95">
        <w:rPr>
          <w:i/>
        </w:rPr>
        <w:fldChar w:fldCharType="begin"/>
      </w:r>
      <w:r w:rsidRPr="00623D95">
        <w:rPr>
          <w:i/>
        </w:rPr>
        <w:instrText xml:space="preserve"> TC"(</w:instrText>
      </w:r>
      <w:bookmarkStart w:id="2" w:name="DocNumber"/>
      <w:r w:rsidRPr="00623D95">
        <w:rPr>
          <w:i/>
        </w:rPr>
        <w:instrText>A9-0076/2024</w:instrText>
      </w:r>
      <w:bookmarkEnd w:id="2"/>
      <w:r w:rsidRPr="00623D95">
        <w:rPr>
          <w:i/>
        </w:rPr>
        <w:instrText xml:space="preserve"> - Докладчик: Хонас Фернандес)"\l3 \n&gt; \* MERGEFORMAT </w:instrText>
      </w:r>
      <w:r w:rsidRPr="00623D95">
        <w:rPr>
          <w:i/>
        </w:rPr>
        <w:fldChar w:fldCharType="end"/>
      </w:r>
    </w:p>
    <w:p w:rsidR="00387C85" w:rsidRPr="00623D95" w:rsidRDefault="00387C85" w:rsidP="00387C85">
      <w:pPr>
        <w:rPr>
          <w:vanish/>
        </w:rPr>
      </w:pPr>
      <w:bookmarkStart w:id="3" w:name="Commission"/>
      <w:r w:rsidRPr="00623D95">
        <w:rPr>
          <w:vanish/>
        </w:rPr>
        <w:t>Комисия по икономически и парични въпроси</w:t>
      </w:r>
      <w:bookmarkEnd w:id="3"/>
    </w:p>
    <w:p w:rsidR="00387C85" w:rsidRPr="00623D95" w:rsidRDefault="00387C85" w:rsidP="00387C85">
      <w:pPr>
        <w:rPr>
          <w:vanish/>
        </w:rPr>
      </w:pPr>
      <w:bookmarkStart w:id="4" w:name="PE"/>
      <w:r w:rsidRPr="00623D95">
        <w:rPr>
          <w:vanish/>
        </w:rPr>
        <w:t>PE757.977</w:t>
      </w:r>
      <w:bookmarkEnd w:id="4"/>
    </w:p>
    <w:p w:rsidR="00387C85" w:rsidRPr="00623D95" w:rsidRDefault="00387C85" w:rsidP="00387C85">
      <w:pPr>
        <w:pStyle w:val="ATHeading3"/>
      </w:pPr>
      <w:bookmarkStart w:id="5" w:name="Sujet"/>
      <w:r w:rsidRPr="00623D95">
        <w:t xml:space="preserve">Законодателна резолюция на Европейския парламент от </w:t>
      </w:r>
      <w:r w:rsidR="000E7382">
        <w:t>24</w:t>
      </w:r>
      <w:r w:rsidRPr="00623D95">
        <w:t xml:space="preserve"> </w:t>
      </w:r>
      <w:r w:rsidR="00003AF7">
        <w:t xml:space="preserve">април </w:t>
      </w:r>
      <w:r w:rsidRPr="00623D95">
        <w:t>2024 г. относно предложението за регламент на Европейския парламент и на Съвета за изменение на Регламент (ЕС) 2016/1011 по отношение на обхвата на правилата за бенчмарковете, използването в Съюза на бенчмаркове, изготвяни от администратор, намиращ се в трета държава, и някои изисквания за докладване</w:t>
      </w:r>
      <w:bookmarkEnd w:id="5"/>
      <w:r w:rsidRPr="00623D95">
        <w:t xml:space="preserve"> </w:t>
      </w:r>
      <w:bookmarkStart w:id="6" w:name="References"/>
      <w:r w:rsidRPr="00623D95">
        <w:t>(COM(2023)0660 – C9-0389/2023 – 2023/0379(COD))</w:t>
      </w:r>
      <w:bookmarkEnd w:id="6"/>
    </w:p>
    <w:p w:rsidR="00260CA3" w:rsidRPr="00623D95" w:rsidRDefault="00260CA3" w:rsidP="00260CA3">
      <w:pPr>
        <w:pStyle w:val="NormalBold"/>
      </w:pPr>
      <w:bookmarkStart w:id="7" w:name="TextBodyBegin"/>
      <w:bookmarkEnd w:id="7"/>
      <w:r w:rsidRPr="00623D95">
        <w:t>(Обикновена законодателна процедура: първо четене)</w:t>
      </w:r>
    </w:p>
    <w:p w:rsidR="00260CA3" w:rsidRPr="00623D95" w:rsidRDefault="00260CA3" w:rsidP="00260CA3">
      <w:pPr>
        <w:pStyle w:val="EPComma"/>
      </w:pPr>
      <w:r w:rsidRPr="00623D95">
        <w:rPr>
          <w:i/>
        </w:rPr>
        <w:t>Европейският парламент</w:t>
      </w:r>
      <w:r w:rsidRPr="00623D95">
        <w:t>,</w:t>
      </w:r>
    </w:p>
    <w:p w:rsidR="00260CA3" w:rsidRPr="00623D95" w:rsidRDefault="00260CA3" w:rsidP="00003AF7">
      <w:pPr>
        <w:pStyle w:val="NormalHanging12a"/>
      </w:pPr>
      <w:r w:rsidRPr="00623D95">
        <w:t>–</w:t>
      </w:r>
      <w:r w:rsidRPr="00623D95">
        <w:tab/>
        <w:t xml:space="preserve">като взе предвид предложението на Комисията до </w:t>
      </w:r>
      <w:r w:rsidR="00003AF7">
        <w:t>П</w:t>
      </w:r>
      <w:r w:rsidRPr="00623D95">
        <w:t>арламент</w:t>
      </w:r>
      <w:r w:rsidR="00003AF7">
        <w:t>а</w:t>
      </w:r>
      <w:r w:rsidRPr="00623D95">
        <w:t xml:space="preserve"> и до Съвета (COM(2023)0660),</w:t>
      </w:r>
    </w:p>
    <w:p w:rsidR="00260CA3" w:rsidRPr="00623D95" w:rsidRDefault="00260CA3" w:rsidP="00260CA3">
      <w:pPr>
        <w:pStyle w:val="NormalHanging12a"/>
      </w:pPr>
      <w:r w:rsidRPr="00623D95">
        <w:t>–</w:t>
      </w:r>
      <w:r w:rsidRPr="00623D95">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w:t>
      </w:r>
      <w:r w:rsidRPr="00623D95">
        <w:noBreakHyphen/>
        <w:t>0389/2023),</w:t>
      </w:r>
    </w:p>
    <w:p w:rsidR="00260CA3" w:rsidRPr="00623D95" w:rsidRDefault="00260CA3" w:rsidP="00260CA3">
      <w:pPr>
        <w:pStyle w:val="NormalHanging12a"/>
      </w:pPr>
      <w:r w:rsidRPr="00623D95">
        <w:t>–</w:t>
      </w:r>
      <w:r w:rsidRPr="00623D95">
        <w:tab/>
        <w:t>като взе предвид член 294, параграф 3 от Договора за функционирането на Европейския съюз,</w:t>
      </w:r>
    </w:p>
    <w:p w:rsidR="00260CA3" w:rsidRPr="00623D95" w:rsidRDefault="00260CA3" w:rsidP="00260CA3">
      <w:pPr>
        <w:pStyle w:val="NormalHanging12a"/>
      </w:pPr>
      <w:r w:rsidRPr="00623D95">
        <w:t>–</w:t>
      </w:r>
      <w:r w:rsidRPr="00623D95">
        <w:tab/>
        <w:t>като взе предвид член 59 от своя Правилник за дейността,</w:t>
      </w:r>
    </w:p>
    <w:p w:rsidR="00260CA3" w:rsidRPr="00623D95" w:rsidRDefault="00260CA3" w:rsidP="00260CA3">
      <w:pPr>
        <w:pStyle w:val="NormalHanging12a"/>
      </w:pPr>
      <w:r w:rsidRPr="00623D95">
        <w:t>–</w:t>
      </w:r>
      <w:r w:rsidRPr="00623D95">
        <w:tab/>
        <w:t>като взе предвид доклада на комисията по икономически и парични въпроси (A9-0076/2024),</w:t>
      </w:r>
    </w:p>
    <w:p w:rsidR="00260CA3" w:rsidRPr="00623D95" w:rsidRDefault="00260CA3" w:rsidP="00260CA3">
      <w:pPr>
        <w:pStyle w:val="NormalHanging12a"/>
      </w:pPr>
      <w:r w:rsidRPr="00623D95">
        <w:t>1.</w:t>
      </w:r>
      <w:r w:rsidRPr="00623D95">
        <w:tab/>
        <w:t>приема изложената по-долу позиция на първо четене;</w:t>
      </w:r>
    </w:p>
    <w:p w:rsidR="00260CA3" w:rsidRPr="00623D95" w:rsidRDefault="00260CA3" w:rsidP="00260CA3">
      <w:pPr>
        <w:pStyle w:val="NormalHanging12a"/>
      </w:pPr>
      <w:r w:rsidRPr="00623D95">
        <w:t>2.</w:t>
      </w:r>
      <w:r w:rsidRPr="00623D95">
        <w:tab/>
        <w:t>приканва Комисията да се отнесе до него отново, в случай че замени своето предложение с друг текст</w:t>
      </w:r>
      <w:r w:rsidR="00003AF7">
        <w:t>,</w:t>
      </w:r>
      <w:r w:rsidRPr="00623D95">
        <w:t xml:space="preserve"> внесе или възнамерява да внесе съществени промени в това предложение;</w:t>
      </w:r>
    </w:p>
    <w:p w:rsidR="00260CA3" w:rsidRPr="00623D95" w:rsidRDefault="00260CA3" w:rsidP="00260CA3">
      <w:pPr>
        <w:pStyle w:val="NormalHanging12a"/>
      </w:pPr>
      <w:r w:rsidRPr="00623D95">
        <w:lastRenderedPageBreak/>
        <w:t>3.</w:t>
      </w:r>
      <w:r w:rsidRPr="00623D95">
        <w:tab/>
        <w:t>възлага на своя председател да предаде позицията на Парламента съответно на Съвета и на Комисията, както и на националните парламенти.</w:t>
      </w:r>
    </w:p>
    <w:p w:rsidR="00432061" w:rsidRDefault="00432061" w:rsidP="00260CA3">
      <w:pPr>
        <w:sectPr w:rsidR="00432061" w:rsidSect="00623D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32061" w:rsidRPr="006860D8" w:rsidRDefault="00432061" w:rsidP="00432061">
      <w:pPr>
        <w:spacing w:after="360"/>
        <w:rPr>
          <w:b/>
        </w:rPr>
      </w:pPr>
      <w:r w:rsidRPr="00432061">
        <w:rPr>
          <w:b/>
          <w:lang w:val="en-GB"/>
        </w:rPr>
        <w:lastRenderedPageBreak/>
        <w:t>P</w:t>
      </w:r>
      <w:r w:rsidRPr="006860D8">
        <w:rPr>
          <w:b/>
        </w:rPr>
        <w:t>9_</w:t>
      </w:r>
      <w:r w:rsidRPr="00432061">
        <w:rPr>
          <w:b/>
          <w:lang w:val="en-GB"/>
        </w:rPr>
        <w:t>TC</w:t>
      </w:r>
      <w:r w:rsidRPr="006860D8">
        <w:rPr>
          <w:b/>
        </w:rPr>
        <w:t>1-</w:t>
      </w:r>
      <w:r w:rsidRPr="00432061">
        <w:rPr>
          <w:b/>
          <w:lang w:val="en-GB"/>
        </w:rPr>
        <w:t>COD</w:t>
      </w:r>
      <w:r w:rsidRPr="006860D8">
        <w:rPr>
          <w:b/>
        </w:rPr>
        <w:t>(2023)0379</w:t>
      </w:r>
    </w:p>
    <w:p w:rsidR="00260CA3" w:rsidRPr="00623D95" w:rsidRDefault="00432061" w:rsidP="00432061">
      <w:r w:rsidRPr="00432061">
        <w:rPr>
          <w:b/>
        </w:rPr>
        <w:t xml:space="preserve">Позиция на Европейския парламент, приета на първо четене на </w:t>
      </w:r>
      <w:r w:rsidRPr="006860D8">
        <w:rPr>
          <w:b/>
        </w:rPr>
        <w:t xml:space="preserve">24 </w:t>
      </w:r>
      <w:r w:rsidRPr="00432061">
        <w:rPr>
          <w:b/>
        </w:rPr>
        <w:t>април 2024 г. с оглед на приемането на Регламент (ЕС) 2024/... на Европейския парламент и на Съвета за изменение на Регламент (ЕС) 2016/1011 по отношение на обхвата на правилата за бенчмарковете, използването в Съюза на бенчмаркове, изготвяни от администратор, намиращ се в трета държава, и някои изисквания за докладване</w:t>
      </w:r>
      <w:r w:rsidRPr="00432061">
        <w:rPr>
          <w:b/>
          <w:vertAlign w:val="superscript"/>
        </w:rPr>
        <w:footnoteReference w:customMarkFollows="1" w:id="1"/>
        <w:t>*</w:t>
      </w:r>
    </w:p>
    <w:p w:rsidR="00260CA3" w:rsidRPr="00623D95" w:rsidRDefault="00260CA3" w:rsidP="00260CA3">
      <w:pPr>
        <w:pStyle w:val="IntrtEEE"/>
        <w:rPr>
          <w:noProof/>
        </w:rPr>
      </w:pPr>
      <w:r w:rsidRPr="00623D95">
        <w:t>(текст от значение за ЕИП)</w:t>
      </w:r>
    </w:p>
    <w:p w:rsidR="00260CA3" w:rsidRPr="00623D95" w:rsidRDefault="00260CA3" w:rsidP="00432061">
      <w:pPr>
        <w:pStyle w:val="Institutionquiagit"/>
        <w:spacing w:line="360" w:lineRule="auto"/>
        <w:jc w:val="left"/>
        <w:rPr>
          <w:noProof/>
        </w:rPr>
      </w:pPr>
      <w:r w:rsidRPr="00623D95">
        <w:t>ЕВРОПЕЙСКИЯТ ПАРЛАМЕНТ И СЪВЕТЪТ НА ЕВРОПEЙСКИЯ СЪЮЗ,</w:t>
      </w:r>
    </w:p>
    <w:p w:rsidR="00260CA3" w:rsidRPr="00623D95" w:rsidRDefault="00260CA3" w:rsidP="00432061">
      <w:pPr>
        <w:spacing w:line="360" w:lineRule="auto"/>
        <w:rPr>
          <w:noProof/>
        </w:rPr>
      </w:pPr>
      <w:r w:rsidRPr="00623D95">
        <w:t>като взеха предвид Договора за функционирането на Европейския съюз, и по-специално член 114 от него,</w:t>
      </w:r>
    </w:p>
    <w:p w:rsidR="00260CA3" w:rsidRPr="00623D95" w:rsidRDefault="00260CA3" w:rsidP="00432061">
      <w:pPr>
        <w:spacing w:line="360" w:lineRule="auto"/>
        <w:rPr>
          <w:noProof/>
        </w:rPr>
      </w:pPr>
      <w:r w:rsidRPr="00623D95">
        <w:t>като взеха предвид предложението на Европейската комисия,</w:t>
      </w:r>
    </w:p>
    <w:p w:rsidR="00260CA3" w:rsidRPr="00623D95" w:rsidRDefault="00260CA3" w:rsidP="00432061">
      <w:pPr>
        <w:spacing w:line="360" w:lineRule="auto"/>
        <w:rPr>
          <w:noProof/>
        </w:rPr>
      </w:pPr>
      <w:r w:rsidRPr="00623D95">
        <w:t>след предаване на проекта на законодателния акт на националните парламенти,</w:t>
      </w:r>
    </w:p>
    <w:p w:rsidR="00260CA3" w:rsidRPr="00623D95" w:rsidRDefault="00260CA3" w:rsidP="00432061">
      <w:pPr>
        <w:spacing w:line="360" w:lineRule="auto"/>
        <w:rPr>
          <w:noProof/>
        </w:rPr>
      </w:pPr>
      <w:r w:rsidRPr="00623D95">
        <w:t>като взеха предвид становището на Европейската централна банка</w:t>
      </w:r>
      <w:r w:rsidRPr="00623D95">
        <w:rPr>
          <w:rStyle w:val="FootnoteReference"/>
          <w:noProof/>
        </w:rPr>
        <w:footnoteReference w:id="2"/>
      </w:r>
      <w:r w:rsidRPr="00623D95">
        <w:t>,</w:t>
      </w:r>
    </w:p>
    <w:p w:rsidR="00260CA3" w:rsidRPr="00623D95" w:rsidRDefault="00260CA3" w:rsidP="00432061">
      <w:pPr>
        <w:spacing w:line="360" w:lineRule="auto"/>
        <w:rPr>
          <w:noProof/>
        </w:rPr>
      </w:pPr>
      <w:r w:rsidRPr="00623D95">
        <w:t>като взеха предвид становището на Европейския икономически и социален комитет</w:t>
      </w:r>
      <w:r w:rsidRPr="00623D95">
        <w:rPr>
          <w:rStyle w:val="FootnoteReference"/>
          <w:noProof/>
        </w:rPr>
        <w:footnoteReference w:id="3"/>
      </w:r>
      <w:r w:rsidRPr="00623D95">
        <w:t xml:space="preserve">, </w:t>
      </w:r>
    </w:p>
    <w:p w:rsidR="00260CA3" w:rsidRPr="00623D95" w:rsidRDefault="00260CA3" w:rsidP="00432061">
      <w:pPr>
        <w:spacing w:line="360" w:lineRule="auto"/>
        <w:rPr>
          <w:noProof/>
        </w:rPr>
      </w:pPr>
      <w:r w:rsidRPr="00623D95">
        <w:t>в съответствие с обикновената законодателна процедура</w:t>
      </w:r>
      <w:r w:rsidRPr="00623D95">
        <w:rPr>
          <w:rStyle w:val="FootnoteReference"/>
          <w:noProof/>
        </w:rPr>
        <w:footnoteReference w:id="4"/>
      </w:r>
      <w:r w:rsidRPr="00623D95">
        <w:t>,</w:t>
      </w:r>
    </w:p>
    <w:p w:rsidR="00260CA3" w:rsidRPr="00623D95" w:rsidRDefault="00260CA3" w:rsidP="00432061">
      <w:pPr>
        <w:spacing w:line="360" w:lineRule="auto"/>
        <w:rPr>
          <w:noProof/>
        </w:rPr>
      </w:pPr>
      <w:r w:rsidRPr="00623D95">
        <w:t>като имат предвид, че:</w:t>
      </w:r>
    </w:p>
    <w:p w:rsidR="00260CA3" w:rsidRPr="00623D95" w:rsidRDefault="00260CA3" w:rsidP="00432061">
      <w:pPr>
        <w:pStyle w:val="ManualConsidrant"/>
        <w:spacing w:line="360" w:lineRule="auto"/>
        <w:jc w:val="left"/>
        <w:rPr>
          <w:noProof/>
        </w:rPr>
      </w:pPr>
      <w:r w:rsidRPr="00623D95">
        <w:t>(1)</w:t>
      </w:r>
      <w:r w:rsidRPr="00623D95">
        <w:tab/>
        <w:t>Изискванията за докладване играят ключова роля за гарантиране на доброто наблюдение на изпълнението на законодателството и правилното му прилагане. Важно е обаче тези изисквания да се оптимизират, за да се гарантира, че те изпълняват предназначението си, и да се ограничи административната тежест.</w:t>
      </w:r>
    </w:p>
    <w:p w:rsidR="00260CA3" w:rsidRPr="00623D95" w:rsidRDefault="00260CA3" w:rsidP="00432061">
      <w:pPr>
        <w:pStyle w:val="ManualConsidrant"/>
        <w:spacing w:line="360" w:lineRule="auto"/>
        <w:jc w:val="left"/>
        <w:rPr>
          <w:noProof/>
        </w:rPr>
      </w:pPr>
      <w:r w:rsidRPr="00623D95">
        <w:t>(2)</w:t>
      </w:r>
      <w:r w:rsidRPr="00623D95">
        <w:tab/>
        <w:t>Съгласно Регламент (ЕС) 2016/1011 на Европейския парламент и на Съвета</w:t>
      </w:r>
      <w:r w:rsidRPr="00623D95">
        <w:rPr>
          <w:rStyle w:val="FootnoteReference"/>
          <w:noProof/>
        </w:rPr>
        <w:footnoteReference w:id="5"/>
      </w:r>
      <w:r w:rsidRPr="00623D95">
        <w:t xml:space="preserve"> всички администратори на бенчмаркове, независимо от системното значение на тези бенчмаркове или от размера на финансовите инструменти или договори, които използват тези бенчмаркове като референтни или сравнителни показатели, </w:t>
      </w:r>
      <w:r w:rsidRPr="00623D95">
        <w:lastRenderedPageBreak/>
        <w:t>трябва да спазват няколко много подробни изисквания, включително изисквания относно тяхната организация, управлението и конфликтите на интереси, функциите на наблюдение, входящите данни, кодексите за поведение, докладването на нарушения и оповестяването на методологична информация и декларации за бенчмарковете. Предвид целите на Регламент (ЕС) 2016/1011, а именно да се запази финансовата стабилност и да се избегнат отрицателните икономически последици, произтичащи от ненадеждността на бенчмарковете, тези много подробни изисквания създадоха непропорционална регулаторна тежест за администраторите на по-малки бенчмаркове в Съюза. Поради това е необходимо тази регулаторна тежест да се намали, като се постави акцент върху бенчмарковете с най-голямо икономическо значение за пазара на Съюза, т.е. значимите и критичните бенчмаркове, както и върху бенчмарковете, които допринасят за насърчаването на ключови политики на Съюза, т.е. бенчмарковете на ЕС за климатичен преход и бенчмарковете на ЕС, съответстващи на Парижкото споразумение. Следователно приложното поле на дялове II, III, IV и VI от Регламент (ЕС) 2016/1011 следва да бъде ограничено до тези конкретни бенчмаркове.</w:t>
      </w:r>
    </w:p>
    <w:p w:rsidR="00260CA3" w:rsidRPr="00623D95" w:rsidRDefault="00260CA3" w:rsidP="00432061">
      <w:pPr>
        <w:pStyle w:val="ManualConsidrant"/>
        <w:spacing w:line="360" w:lineRule="auto"/>
        <w:jc w:val="left"/>
        <w:rPr>
          <w:b/>
          <w:i/>
          <w:noProof/>
        </w:rPr>
      </w:pPr>
      <w:r w:rsidRPr="00623D95">
        <w:rPr>
          <w:b/>
          <w:i/>
        </w:rPr>
        <w:t xml:space="preserve">(2a) </w:t>
      </w:r>
      <w:r w:rsidRPr="00623D95">
        <w:rPr>
          <w:b/>
          <w:i/>
        </w:rPr>
        <w:tab/>
        <w:t>Администраторите на бенчмаркове, които желаят да останат в обхвата на Регламент (ЕС) 2016/1011, следва да имат възможност да изискват доброволен надзор, дори ако техните бенчмаркове не отговарят на прага за значим бенчмарк или не са определени като значими. По същия начин на администраторите на бенчмаркове, чиито бенчмаркове не отговарят на прага за значим бенчмарк и които желаят да получат регулаторен лиценз съгласно Регламент (ЕС) 2016/1011, не следва да се забранява да правят това.</w:t>
      </w:r>
    </w:p>
    <w:p w:rsidR="00260CA3" w:rsidRPr="00623D95" w:rsidRDefault="00260CA3" w:rsidP="00432061">
      <w:pPr>
        <w:pStyle w:val="ManualConsidrant"/>
        <w:spacing w:line="360" w:lineRule="auto"/>
        <w:jc w:val="left"/>
        <w:rPr>
          <w:noProof/>
        </w:rPr>
      </w:pPr>
      <w:r w:rsidRPr="00623D95">
        <w:t>(3)</w:t>
      </w:r>
      <w:r w:rsidRPr="00623D95">
        <w:tab/>
        <w:t>Съгласно член 18а от Регламент (ЕС) 2016/1011 Комисията може да изключи някои спот валутни бенчмаркове от обхвата на посочения регламент, за да се гарантира, че те продължават да бъдат налични за използване в Съюза. С оглед на необходимостта от преразглеждане на Регламент (ЕС) 2016/1011 и стесняване на неговия обхват върху критичните бенчмаркове, значимите бенчмаркове, бенчмарковете на ЕС за климатичен преход и бенчмарковете на ЕС, съответстващи на Парижкото споразумение, вече не е необходим специален режим на освобождаване за спот валутните бенчмаркове.</w:t>
      </w:r>
    </w:p>
    <w:p w:rsidR="00260CA3" w:rsidRPr="00623D95" w:rsidRDefault="00260CA3" w:rsidP="00432061">
      <w:pPr>
        <w:pStyle w:val="ManualConsidrant"/>
        <w:spacing w:line="360" w:lineRule="auto"/>
        <w:jc w:val="left"/>
        <w:rPr>
          <w:noProof/>
        </w:rPr>
      </w:pPr>
      <w:r w:rsidRPr="00623D95">
        <w:lastRenderedPageBreak/>
        <w:t>(4)</w:t>
      </w:r>
      <w:r w:rsidRPr="00623D95">
        <w:tab/>
        <w:t>Съгласно член 19г от Регламент (ЕС) 2016/1011 от администраторите на значими бенчмаркове се изисква да се стремят да изготвят бенчмарк на ЕС за климатичен преход или бенчмарк на ЕС, съответстващ на Парижкото споразумение</w:t>
      </w:r>
      <w:r w:rsidRPr="00623D95">
        <w:rPr>
          <w:b/>
          <w:i/>
        </w:rPr>
        <w:t>, да установяват минимални стандарти за бенчмаркове за климата и да осигуряват всеобхватни доставки на индекси, свързани с климата, в Съюза</w:t>
      </w:r>
      <w:r w:rsidRPr="00623D95">
        <w:t>.</w:t>
      </w:r>
    </w:p>
    <w:p w:rsidR="00260CA3" w:rsidRPr="00623D95" w:rsidRDefault="00260CA3" w:rsidP="00432061">
      <w:pPr>
        <w:pStyle w:val="ManualConsidrant"/>
        <w:spacing w:line="360" w:lineRule="auto"/>
        <w:jc w:val="left"/>
        <w:rPr>
          <w:noProof/>
        </w:rPr>
      </w:pPr>
      <w:r w:rsidRPr="00623D95">
        <w:t>(5)</w:t>
      </w:r>
      <w:r w:rsidRPr="00623D95">
        <w:tab/>
        <w:t>Критериите за оценка дали даден бенчмарк е значим са понастоящем установени в член 24 от Регламент (ЕС) 2016/1011. Бенчмарковете ще се считат за значими, наред с другото, когато съответстват на прага, установен в член 24, параграф 1, буква а) от посочения регламент.</w:t>
      </w:r>
      <w:bookmarkStart w:id="8" w:name="_Hlk147412513"/>
    </w:p>
    <w:p w:rsidR="00260CA3" w:rsidRPr="00623D95" w:rsidRDefault="00260CA3" w:rsidP="00432061">
      <w:pPr>
        <w:pStyle w:val="ManualConsidrant"/>
        <w:spacing w:line="360" w:lineRule="auto"/>
        <w:jc w:val="left"/>
        <w:rPr>
          <w:noProof/>
        </w:rPr>
      </w:pPr>
      <w:r w:rsidRPr="00623D95">
        <w:t>(6)</w:t>
      </w:r>
      <w:r w:rsidRPr="00623D95">
        <w:tab/>
        <w:t xml:space="preserve">Администраторите на бенчмаркове </w:t>
      </w:r>
      <w:r w:rsidRPr="00623D95">
        <w:rPr>
          <w:b/>
          <w:i/>
        </w:rPr>
        <w:t>следва</w:t>
      </w:r>
      <w:r w:rsidRPr="00623D95">
        <w:t xml:space="preserve"> да следят използването в Съюза на изготвяните от тях бенчмаркове </w:t>
      </w:r>
      <w:r w:rsidRPr="00623D95">
        <w:rPr>
          <w:b/>
          <w:i/>
        </w:rPr>
        <w:t>и</w:t>
      </w:r>
      <w:r w:rsidRPr="00623D95">
        <w:t xml:space="preserve"> те следва да </w:t>
      </w:r>
      <w:r w:rsidRPr="00623D95">
        <w:rPr>
          <w:b/>
          <w:i/>
        </w:rPr>
        <w:t>уведомяват</w:t>
      </w:r>
      <w:r w:rsidRPr="00623D95">
        <w:t xml:space="preserve"> съответния компетентен орган или Европейския орган за ценни книжа и пазари (ЕОЦКП), в зависимост от това къде се намира конкретният администратор, когато съвкупното използване на един от техните бенчмаркове е превишило прага, установен в член 24, параграф 1, буква а) от Регламент (ЕС) 2016/1011. </w:t>
      </w:r>
      <w:r w:rsidRPr="00623D95">
        <w:rPr>
          <w:b/>
          <w:i/>
        </w:rPr>
        <w:t>Въпреки това е трудно да бъде изчисляван подобен праг, особено на равнището на Съюза на Съюза. За да се гарантира последователното прилагане на този праг, ЕОЦКП следва да разработва проекти на регулаторни технически стандарти за доуточняване на метода на изчисление. Освен това администраторите на бенчмаркове, използвани в Съюза, следва да се стремят да получат глобално договорен идентификационен код за идентифициране на своите бенчмаркове.</w:t>
      </w:r>
    </w:p>
    <w:p w:rsidR="00260CA3" w:rsidRPr="00623D95" w:rsidRDefault="00260CA3" w:rsidP="00432061">
      <w:pPr>
        <w:pStyle w:val="ManualConsidrant"/>
        <w:spacing w:line="360" w:lineRule="auto"/>
        <w:jc w:val="left"/>
        <w:rPr>
          <w:noProof/>
        </w:rPr>
      </w:pPr>
      <w:r w:rsidRPr="00623D95">
        <w:rPr>
          <w:b/>
          <w:i/>
        </w:rPr>
        <w:t>(6a)</w:t>
      </w:r>
      <w:r w:rsidRPr="00623D95">
        <w:rPr>
          <w:b/>
          <w:i/>
        </w:rPr>
        <w:tab/>
        <w:t>Приложимите за значимите бенчмаркове изисквания следва да се прилагат за администраторите на бенчмаркове едва 60 работни дни след подаването на такова уведомление, за да се гарантира, че администраторите разполагат с достатъчно време, за да се адаптират към тези изисквания. Освен това администраторите на бенчмаркове следва при поискване да предоставят на съответните компетентни органи или на ЕОЦКП цялата информация, необходима за оценка на съвкупното използване на този бенчмарк в Съюза.</w:t>
      </w:r>
      <w:r w:rsidRPr="00623D95">
        <w:t xml:space="preserve"> </w:t>
      </w:r>
    </w:p>
    <w:p w:rsidR="00260CA3" w:rsidRPr="00623D95" w:rsidRDefault="00260CA3" w:rsidP="00432061">
      <w:pPr>
        <w:pStyle w:val="ManualConsidrant"/>
        <w:spacing w:line="360" w:lineRule="auto"/>
        <w:jc w:val="left"/>
        <w:rPr>
          <w:b/>
          <w:i/>
          <w:noProof/>
        </w:rPr>
      </w:pPr>
      <w:r w:rsidRPr="00623D95">
        <w:rPr>
          <w:b/>
          <w:i/>
        </w:rPr>
        <w:t>(6б)</w:t>
      </w:r>
      <w:r w:rsidRPr="00623D95">
        <w:rPr>
          <w:b/>
          <w:i/>
        </w:rPr>
        <w:tab/>
        <w:t>Ако администратор на бенчмарк</w:t>
      </w:r>
      <w:r w:rsidRPr="00623D95">
        <w:t xml:space="preserve"> пропусне или откаже </w:t>
      </w:r>
      <w:r w:rsidRPr="00623D95">
        <w:rPr>
          <w:b/>
          <w:i/>
        </w:rPr>
        <w:t xml:space="preserve">да уведоми компетентните органи, че използването на един от неговите бенчмаркове е превишило прага, установен в член 24, параграф 1, буква а) от Регламент </w:t>
      </w:r>
      <w:r w:rsidRPr="00623D95">
        <w:rPr>
          <w:b/>
          <w:i/>
        </w:rPr>
        <w:lastRenderedPageBreak/>
        <w:t>(ЕС) 2016/1011, и когато компетентните органи имат ясни и доказуеми основания да считат, че прагът е бил превишен, съответните компетентни органи или ЕОЦКП, според случая, следва да могат да декларират, че прагът е превишен, след като предварително са дали възможност на администратора да бъде изслушан. Задълженията, които тази декларация поражда за администратора на бенчмарк, следва да бъдат същите както при уведомлението от администратора на бенчмарк. Това не следва да засяга възможността компетентните органи или ЕОЦКП да налагат административни санкции на администраторите, които не са уведомили, че някой от техните бенчмаркове е превишил приложимия праг.</w:t>
      </w:r>
    </w:p>
    <w:bookmarkEnd w:id="8"/>
    <w:p w:rsidR="00260CA3" w:rsidRPr="00623D95" w:rsidRDefault="00260CA3" w:rsidP="00432061">
      <w:pPr>
        <w:pStyle w:val="ManualConsidrant"/>
        <w:spacing w:line="360" w:lineRule="auto"/>
        <w:jc w:val="left"/>
        <w:rPr>
          <w:noProof/>
        </w:rPr>
      </w:pPr>
      <w:r w:rsidRPr="00623D95">
        <w:t>(7)</w:t>
      </w:r>
      <w:r w:rsidRPr="00623D95">
        <w:tab/>
        <w:t>Пазарите, цените и регулаторната среда се променят с течение на времето. С оглед на тези промени Комисията следва да бъде оправомощена да конкретизира методиката, която се използва от администраторите и компетентните органи за изчисляване на общата стойност на финансовите инструменти, финансовите договори или инвестиционните фондове, чиято стойност се определя въз основа на бенчмарк.</w:t>
      </w:r>
    </w:p>
    <w:p w:rsidR="00260CA3" w:rsidRPr="00623D95" w:rsidRDefault="00260CA3" w:rsidP="00432061">
      <w:pPr>
        <w:pStyle w:val="ManualConsidrant"/>
        <w:spacing w:line="360" w:lineRule="auto"/>
        <w:jc w:val="left"/>
        <w:rPr>
          <w:noProof/>
        </w:rPr>
      </w:pPr>
      <w:r w:rsidRPr="00623D95">
        <w:t>(8)</w:t>
      </w:r>
      <w:r w:rsidRPr="00623D95">
        <w:tab/>
        <w:t>В изключителни случаи обаче може някои бенчмаркове, чието съвкупно използване е под прага, установен в член 24, параграф 1, буква а) от Регламент (ЕС) 2016/1011, да са все пак от такова значение за държава членка поради специфичната ситуация на нейния пазар, че последствията при липса на надеждност биха били сравними с тези на бенчмарк, чието използване надвишава този праг. Поради тази причина, когато този бенчмарк се изготвя от администратор от ЕС, компетентният орган на тази държава членка следва да може да го определи като значим въз основа на набор от качествени критерии. Бенчмарковете, изготвяни от администратор извън ЕС, се определят като значими от ЕОЦКП по искане на един или повече компетентни органи.</w:t>
      </w:r>
    </w:p>
    <w:p w:rsidR="00260CA3" w:rsidRPr="00623D95" w:rsidRDefault="00260CA3" w:rsidP="00432061">
      <w:pPr>
        <w:pStyle w:val="ManualConsidrant"/>
        <w:spacing w:line="360" w:lineRule="auto"/>
        <w:jc w:val="left"/>
        <w:rPr>
          <w:noProof/>
        </w:rPr>
      </w:pPr>
      <w:bookmarkStart w:id="9" w:name="_Hlk147415000"/>
      <w:r w:rsidRPr="00623D95">
        <w:t>(9)</w:t>
      </w:r>
      <w:r w:rsidRPr="00623D95">
        <w:tab/>
        <w:t xml:space="preserve">За да се осигури съгласуваност и координация на националните решения за определяне на бенчмаркове като значими, компетентните органи, които възнамеряват да определят даден бенчмарк като значим, следва да се консултират с ЕОЦКП. По същата причина компетентен орган на държава членка, който възнамерява да определи като значим бенчмарк, изготвян от намиращ се в друга държава членка администратор, следва да се консултира и с компетентния орган на тази друга държава членка. Когато компетентните органи </w:t>
      </w:r>
      <w:r w:rsidRPr="00623D95">
        <w:lastRenderedPageBreak/>
        <w:t>имат разногласия кой от тях да вземе решение за определяне на бенчмарка и да упражнява надзор над него, ЕОЦКП следва да уреди това разногласие в съответствие с член 19 от Регламент (ЕС) № 1095/2010 на Европейския парламент и на Съвета</w:t>
      </w:r>
      <w:r w:rsidRPr="00623D95">
        <w:rPr>
          <w:rStyle w:val="FootnoteReference"/>
          <w:noProof/>
        </w:rPr>
        <w:footnoteReference w:id="6"/>
      </w:r>
      <w:r w:rsidRPr="00623D95">
        <w:t>.</w:t>
      </w:r>
    </w:p>
    <w:bookmarkEnd w:id="9"/>
    <w:p w:rsidR="00260CA3" w:rsidRPr="00623D95" w:rsidRDefault="00260CA3" w:rsidP="00432061">
      <w:pPr>
        <w:pStyle w:val="ManualConsidrant"/>
        <w:spacing w:line="360" w:lineRule="auto"/>
        <w:jc w:val="left"/>
        <w:rPr>
          <w:noProof/>
        </w:rPr>
      </w:pPr>
      <w:r w:rsidRPr="00623D95">
        <w:t>(10)</w:t>
      </w:r>
      <w:r w:rsidRPr="00623D95">
        <w:tab/>
        <w:t>С оглед зачитане на правото на изслушване, преди да определи даден бенчмарк като значим, компетентният орган или ЕОЦКП следва да позволи на администратора на този бенчмарк да предостави всяка полезна информация, свързана с определянето му.</w:t>
      </w:r>
    </w:p>
    <w:p w:rsidR="00260CA3" w:rsidRPr="00623D95" w:rsidRDefault="00260CA3" w:rsidP="00432061">
      <w:pPr>
        <w:pStyle w:val="ManualConsidrant"/>
        <w:spacing w:line="360" w:lineRule="auto"/>
        <w:jc w:val="left"/>
        <w:rPr>
          <w:noProof/>
        </w:rPr>
      </w:pPr>
      <w:r w:rsidRPr="00623D95">
        <w:t>(11)</w:t>
      </w:r>
      <w:r w:rsidRPr="00623D95">
        <w:tab/>
        <w:t>За да може определянето на бенчмарк като значим да бъде възможно най-прозрачно, компетентните органи или ЕОЦКП следва да издадат решението за определяне, в което са посочени причините, поради които този бенчмарк се счита за значим. Компетентните органи следва да публикуват решението за определяне на своя уебсайт и следва да уведомят ЕОЦКП за това решение. По същите причини, когато определя бенчмарк като значим по искане на компетентен орган, ЕОЦКП следва да публикува решението за определяне на своя уебсайт и да уведоми за това запитващия компетентен орган.</w:t>
      </w:r>
    </w:p>
    <w:p w:rsidR="00260CA3" w:rsidRPr="00623D95" w:rsidRDefault="00260CA3" w:rsidP="00432061">
      <w:pPr>
        <w:pStyle w:val="ManualConsidrant"/>
        <w:spacing w:line="360" w:lineRule="auto"/>
        <w:jc w:val="left"/>
        <w:rPr>
          <w:noProof/>
        </w:rPr>
      </w:pPr>
      <w:r w:rsidRPr="00623D95">
        <w:t>(12)</w:t>
      </w:r>
      <w:r w:rsidR="00432061">
        <w:tab/>
      </w:r>
      <w:r w:rsidRPr="00623D95">
        <w:t xml:space="preserve">Бенчмарковете на ЕС за климатичен преход </w:t>
      </w:r>
      <w:r w:rsidRPr="00623D95">
        <w:rPr>
          <w:b/>
          <w:i/>
        </w:rPr>
        <w:t>(EU-CTB)</w:t>
      </w:r>
      <w:r w:rsidRPr="00623D95">
        <w:t xml:space="preserve"> и бенчмарковете на ЕС, съответстващи на Парижкото споразумение </w:t>
      </w:r>
      <w:r w:rsidRPr="00623D95">
        <w:rPr>
          <w:b/>
          <w:i/>
        </w:rPr>
        <w:t>(EU-PAB)</w:t>
      </w:r>
      <w:r w:rsidRPr="00623D95">
        <w:t xml:space="preserve">, са специфични категории бенчмаркове, които се характеризират със спазването от тяхна страна на правилата, уреждащи тяхната методология, и </w:t>
      </w:r>
      <w:r w:rsidRPr="00623D95">
        <w:rPr>
          <w:b/>
          <w:i/>
        </w:rPr>
        <w:t>изискванията за оповестяване на информация</w:t>
      </w:r>
      <w:r w:rsidRPr="00623D95">
        <w:t xml:space="preserve"> от страна на техните администратори ▌. Поради тази причина и за да се избегнат твърдения, които биха могли да накарат ползвателите да мислят, че дадени бенчмаркове отговарят на стандартите, приложени към тези обозначения, е необходимо тези бенчмаркове да подлежат на задължителна регистрация, </w:t>
      </w:r>
      <w:r w:rsidRPr="00432061">
        <w:rPr>
          <w:b/>
          <w:bCs/>
          <w:i/>
          <w:iCs/>
        </w:rPr>
        <w:t>лицензиране,</w:t>
      </w:r>
      <w:r w:rsidRPr="00623D95">
        <w:t xml:space="preserve"> </w:t>
      </w:r>
      <w:r w:rsidRPr="00623D95">
        <w:rPr>
          <w:b/>
          <w:i/>
        </w:rPr>
        <w:t>признаване или одобрение</w:t>
      </w:r>
      <w:r w:rsidRPr="00623D95">
        <w:t xml:space="preserve">, според случая, както и на надзор. </w:t>
      </w:r>
    </w:p>
    <w:p w:rsidR="00260CA3" w:rsidRPr="00623D95" w:rsidRDefault="00260CA3" w:rsidP="00432061">
      <w:pPr>
        <w:pStyle w:val="ManualConsidrant"/>
        <w:spacing w:line="360" w:lineRule="auto"/>
        <w:jc w:val="left"/>
        <w:rPr>
          <w:b/>
          <w:i/>
          <w:noProof/>
        </w:rPr>
      </w:pPr>
      <w:r w:rsidRPr="00623D95">
        <w:rPr>
          <w:b/>
          <w:i/>
        </w:rPr>
        <w:t>(12a)</w:t>
      </w:r>
      <w:r w:rsidRPr="00623D95">
        <w:rPr>
          <w:b/>
          <w:i/>
        </w:rPr>
        <w:tab/>
        <w:t xml:space="preserve">Регулаторното третиране на стоковите бенчмаркове следва да бъде съобразено със специфичните им характеристики. Стоковите бенчмаркове, за които се прилагат общите правила за финансовите бенчмаркове, следва </w:t>
      </w:r>
      <w:r w:rsidRPr="00623D95">
        <w:rPr>
          <w:b/>
          <w:i/>
        </w:rPr>
        <w:lastRenderedPageBreak/>
        <w:t>да бъдат третирани по същия начин като другите финансови бенчмаркове и следва да бъдат обхванати от Регламент (ЕС) 2016/1011 само ако са значими или критични бенчмаркове и не са освободени от обхвата на настоящия регламент. Стоковите бенчмаркове, за които се прилага специалният режим в приложение II към Регламент (ЕС) 2016/1011, следва винаги да бъдат обхванати от посочения регламент, за да се гарантира стабилността и надеждността на техните оценки.</w:t>
      </w:r>
    </w:p>
    <w:p w:rsidR="00260CA3" w:rsidRPr="00623D95" w:rsidRDefault="00260CA3" w:rsidP="00432061">
      <w:pPr>
        <w:pStyle w:val="ManualConsidrant"/>
        <w:spacing w:line="360" w:lineRule="auto"/>
        <w:jc w:val="left"/>
        <w:rPr>
          <w:noProof/>
        </w:rPr>
      </w:pPr>
      <w:r w:rsidRPr="00623D95">
        <w:t>(13)</w:t>
      </w:r>
      <w:r w:rsidRPr="00623D95">
        <w:tab/>
        <w:t>За да се гарантира навременното започване на надзора върху значимите бенчмаркове, от администраторите на бенчмаркове, които са станали значими вследствие достигане на приложимия количествен праг или определяне, следва да се изисква в срок от 60 работни дни да поискат лицензиране или регистрация или по отношение на бенчмаркове, изготвяни от намиращ се в трета държава администратор — одобряване или признаване.</w:t>
      </w:r>
    </w:p>
    <w:p w:rsidR="00260CA3" w:rsidRPr="00623D95" w:rsidRDefault="00260CA3" w:rsidP="00432061">
      <w:pPr>
        <w:pStyle w:val="ManualConsidrant"/>
        <w:spacing w:line="360" w:lineRule="auto"/>
        <w:jc w:val="left"/>
        <w:rPr>
          <w:noProof/>
        </w:rPr>
      </w:pPr>
      <w:r w:rsidRPr="00623D95">
        <w:t>(14)</w:t>
      </w:r>
      <w:r w:rsidRPr="00623D95">
        <w:tab/>
        <w:t xml:space="preserve">За да се намалят рисковете, свързани с използването на бенчмаркове, които потенциално не са безопасни за използване в Съюза, и за да се предупредят потенциалните ползватели, компетентните органи и ЕОЦКП следва да могат да издадат предупреждение под формата на публично известие, че администраторът на значим бенчмарк не спазва приложимите изисквания, по-специално по отношение на задължението администраторът на бенчмарк да бъде лицензиран, регистриран, одобрен или признат, според случая. След издаването на такова предупреждение поднадзорните субекти следва да не могат да добавят нови позовавания на такива бенчмаркове или комбинация от бенчмаркове. Аналогично, за да се предотвратят рисковете, свързани с използването на бенчмаркове, за които се твърди, че са спазени изискванията на обозначаването като бенчмарковете на ЕС за климатичен преход и бенчмаркове на ЕС, съответстващи на Парижкото споразумение, без да подлежат на подходящ надзор, поднадзорните субекти следва да не могат да добавят нови позовавания на бенчмаркове на ЕС за климатичен преход или бенчмаркове на ЕС, съответстващи на Парижкото споразумение, или комбинация от такива бенчмаркове в Съюза, ако администраторът на тези бенчмаркове не е включен във водения от ЕОЦКП регистър на администраторите и бенчмарковете. </w:t>
      </w:r>
    </w:p>
    <w:p w:rsidR="00260CA3" w:rsidRPr="00623D95" w:rsidRDefault="00260CA3" w:rsidP="00432061">
      <w:pPr>
        <w:pStyle w:val="ManualConsidrant"/>
        <w:spacing w:line="360" w:lineRule="auto"/>
        <w:jc w:val="left"/>
        <w:rPr>
          <w:noProof/>
        </w:rPr>
      </w:pPr>
      <w:r w:rsidRPr="00623D95">
        <w:t>(15)</w:t>
      </w:r>
      <w:r w:rsidRPr="00623D95">
        <w:tab/>
        <w:t xml:space="preserve">За да се избегнат потенциално прекомерни смущения на пазара вследствие на забраната за използване на даден бенчмарк, компетентните органи или ЕОЦКП </w:t>
      </w:r>
      <w:r w:rsidRPr="00623D95">
        <w:lastRenderedPageBreak/>
        <w:t>следва да могат да разрешат временно удължаване на неговото използване. За да се осигури достатъчно равнище на прозрачност и защита по отношение на крайните инвеститори, предупредените чрез публично известие ползватели на тези бенчмаркове следва в срок от 6 месеца след публикуването на публичното известие да посочат подходяща алтернатива за замяна на тези бенчмаркове или да гарантират по друг начин, че клиентите са надлежно информирани за липсата на алтернативен бенчмарк.</w:t>
      </w:r>
    </w:p>
    <w:p w:rsidR="00260CA3" w:rsidRPr="00623D95" w:rsidRDefault="00260CA3" w:rsidP="00432061">
      <w:pPr>
        <w:pStyle w:val="ManualConsidrant"/>
        <w:spacing w:line="360" w:lineRule="auto"/>
        <w:jc w:val="left"/>
        <w:rPr>
          <w:noProof/>
        </w:rPr>
      </w:pPr>
      <w:r w:rsidRPr="00623D95">
        <w:t>(16)</w:t>
      </w:r>
      <w:r w:rsidRPr="00623D95">
        <w:tab/>
        <w:t>Съгласно член 32 от Регламент (ЕС) 2016/1011 признаването на администратори на бенчмаркове, намиращи се в трета държава, служи като временно средство за достъп до пазара на Съюза, докато Комисията приеме решение за еквивалентност. Като се има предвид обаче много ограниченият брой бенчмаркове от трети държави, обхванати от решения за еквивалентност, това признаване следва да стане постоянно средство за достъп до пазара на Съюза за тези администратори на бенчмаркове.</w:t>
      </w:r>
    </w:p>
    <w:p w:rsidR="00260CA3" w:rsidRPr="00623D95" w:rsidRDefault="00260CA3" w:rsidP="00432061">
      <w:pPr>
        <w:pStyle w:val="ManualConsidrant"/>
        <w:spacing w:line="360" w:lineRule="auto"/>
        <w:jc w:val="left"/>
        <w:rPr>
          <w:noProof/>
        </w:rPr>
      </w:pPr>
      <w:r w:rsidRPr="00623D95">
        <w:t>(17)</w:t>
      </w:r>
      <w:r w:rsidRPr="00623D95">
        <w:tab/>
        <w:t>Счита се, че бенчмарковете, обхванати от решение за еквивалентност, подлежат на еквивалентно регулиране и надзор като бенчмарковете от Съюза. Поради това задължението за искане на одобряване или признаване не следва да се прилага за намиращи се в трета държава администратори на значими бенчмаркове, които се ползват от решение за еквивалентност.</w:t>
      </w:r>
    </w:p>
    <w:p w:rsidR="00260CA3" w:rsidRPr="00623D95" w:rsidRDefault="00260CA3" w:rsidP="00432061">
      <w:pPr>
        <w:pStyle w:val="ManualConsidrant"/>
        <w:spacing w:line="360" w:lineRule="auto"/>
        <w:jc w:val="left"/>
        <w:rPr>
          <w:noProof/>
        </w:rPr>
      </w:pPr>
      <w:r w:rsidRPr="00623D95">
        <w:t>(18)</w:t>
      </w:r>
      <w:r w:rsidRPr="00623D95">
        <w:tab/>
        <w:t xml:space="preserve">В интерес на прозрачността и за да се гарантира правната сигурност, компетентните органи, които определят даден бенчмарк като значим, следва да уточнят потенциалните ограничения за използването, които възникват, когато администраторът на такъв бенчмарк не е лицензиран или регистриран или не спазва изискванията за одобряване или признаване, според случая. </w:t>
      </w:r>
    </w:p>
    <w:p w:rsidR="00260CA3" w:rsidRPr="00623D95" w:rsidRDefault="00260CA3" w:rsidP="00432061">
      <w:pPr>
        <w:pStyle w:val="ManualConsidrant"/>
        <w:spacing w:line="360" w:lineRule="auto"/>
        <w:jc w:val="left"/>
        <w:rPr>
          <w:noProof/>
        </w:rPr>
      </w:pPr>
      <w:r w:rsidRPr="00623D95">
        <w:t>(19)</w:t>
      </w:r>
      <w:r w:rsidRPr="00623D95">
        <w:tab/>
        <w:t xml:space="preserve">За да се намалят рисковете, свързани с използването на значими бенчмаркове, върху които не се упражнява подходящ надзор, когато администраторът на бенчмарк, който става значим, не поиска лиценз, регистрация, признаване или одобряване в рамките на определения срок, при неуспешно лицензиране, регистрация, признаване или одобряване на такъв администратор на бенчмарк или когато администраторът е оттеглил своя лиценз, регистрация, одобряване или признаване, компетентният орган или ЕОЦКП, според случая, следва да издаде публично известие, в което се посочва, че изготвените от този администратор значими бенчмаркове не са подходящи за употреба в Съюза. </w:t>
      </w:r>
    </w:p>
    <w:p w:rsidR="00260CA3" w:rsidRPr="00623D95" w:rsidRDefault="00260CA3" w:rsidP="00432061">
      <w:pPr>
        <w:pStyle w:val="ManualConsidrant"/>
        <w:spacing w:line="360" w:lineRule="auto"/>
        <w:jc w:val="left"/>
        <w:rPr>
          <w:noProof/>
        </w:rPr>
      </w:pPr>
      <w:r w:rsidRPr="00623D95">
        <w:lastRenderedPageBreak/>
        <w:t>(20)</w:t>
      </w:r>
      <w:r w:rsidRPr="00623D95">
        <w:tab/>
        <w:t>Когато използват или възнамеряват да използват бенчмаркове, техните ползватели разчитат на прозрачността по отношение на регулаторния статут на бенчмарковете. Поради тази причина ЕОЦКП следва да изброи в регистъра на администраторите и бенчмарковете онези бенчмаркове, за които се прилагат най-подробните изисквания по Регламент (ЕС) 2016/1011, било защото използването им в Съюза е над определения праг за значими бенчмаркове, защото са определени като значими от национален надзорен орган или от ЕОЦКП или защото са критични бенчмаркове. По същата причина ЕОЦКП следва също така да посочи в този регистър бенчмарковете на ЕС за климатичен преход и бенчмарковете на ЕС, съответстващи на Парижкото споразумение, изготвяни от лицензирани или регистрирани администратори. И накрая, ЕОЦКП следва също така да включи в регистъра бенчмарковете, за които има издадено публично известие от компетентен орган или ЕОЦКП, с което се забранява по-нататъшното използване на този бенчмарк. За да се намали допълнително тежестта за потребителите, всяка подобна информация следва да бъде лесно достъпна и чрез европейската единна точка за достъп (ЕЕТД).</w:t>
      </w:r>
    </w:p>
    <w:p w:rsidR="00260CA3" w:rsidRPr="00623D95" w:rsidRDefault="00260CA3" w:rsidP="00432061">
      <w:pPr>
        <w:pStyle w:val="ManualConsidrant"/>
        <w:spacing w:line="360" w:lineRule="auto"/>
        <w:jc w:val="left"/>
        <w:rPr>
          <w:b/>
          <w:i/>
          <w:noProof/>
        </w:rPr>
      </w:pPr>
      <w:r w:rsidRPr="00623D95">
        <w:rPr>
          <w:b/>
          <w:i/>
        </w:rPr>
        <w:t>(20a)</w:t>
      </w:r>
      <w:r w:rsidRPr="00623D95">
        <w:rPr>
          <w:b/>
          <w:i/>
        </w:rPr>
        <w:tab/>
        <w:t xml:space="preserve">Две категории ЕСУ бенчмаркове подлежат на спазване на минималните стандарти, определени в правото на Съюза, а именно бенчмарковете на ЕС за климатичен преход (EU-CTB) и бенчмарковете на ЕС, съответстващи на Парижкото споразумение (EU-PAB). С Регламент (ЕС) 2019/2089 бяха въведени правила по отношение на прозрачността на бенчмарковете, за които се твърди, в тяхната правна или свързана с предлагането на пазара документация, че при тяхното проектиране се вземат предвид екологичните, социалните или управленските (ЕСУ) фактори. За да се поддържа високо равнище на прозрачност по отношение на твърденията от екологичен, социален и управленски характер и адекватно равнище на защита на ползвателите, е целесъобразно да се изисква от ползвателите да не използват бенчмаркове, за които се твърди, че са свързани с ЕСУ, когато тези бенчмаркове, не предоставят на ползвателите информацията, посочена в член 13, параграф 1, буква г) и в член 27, параграф 2а от Регламент (ЕС) 2016/1011. Това следва да се прилага за използването на всеки бенчмарк, за който се твърди, че при изготвянето му се вземат </w:t>
      </w:r>
      <w:r w:rsidRPr="00623D95">
        <w:rPr>
          <w:b/>
          <w:i/>
        </w:rPr>
        <w:lastRenderedPageBreak/>
        <w:t>предвид ЕСУ фактори, независимо дали тези бенчмаркове се управляват в Съюза или в трета държава.</w:t>
      </w:r>
    </w:p>
    <w:p w:rsidR="00260CA3" w:rsidRPr="00623D95" w:rsidRDefault="00260CA3" w:rsidP="00432061">
      <w:pPr>
        <w:pStyle w:val="ManualConsidrant"/>
        <w:spacing w:line="360" w:lineRule="auto"/>
        <w:jc w:val="left"/>
        <w:rPr>
          <w:b/>
          <w:i/>
          <w:noProof/>
        </w:rPr>
      </w:pPr>
      <w:r w:rsidRPr="00623D95">
        <w:tab/>
      </w:r>
      <w:r w:rsidRPr="00623D95">
        <w:rPr>
          <w:b/>
          <w:i/>
        </w:rPr>
        <w:t>Въпреки това други категории бенчмаркове, в които се правят твърдения от екологичен, социален и управленски характер, които не се считат за бенчмаркове на ЕС за климатичен преход и бенчмаркове на ЕС, съответстващи на Парижкото споразумение, биха могли да допринасят или да създават рискове за насърчаването на ключови политики на Съюза в областта на финансирането за устойчиво развитие и за постигането на свързаните с тях цели или за изпълнението на Европейския зелен пакт.</w:t>
      </w:r>
    </w:p>
    <w:p w:rsidR="00260CA3" w:rsidRPr="00623D95" w:rsidRDefault="00260CA3" w:rsidP="00432061">
      <w:pPr>
        <w:pStyle w:val="ManualConsidrant"/>
        <w:spacing w:line="360" w:lineRule="auto"/>
        <w:ind w:firstLine="0"/>
        <w:jc w:val="left"/>
        <w:rPr>
          <w:b/>
          <w:i/>
          <w:noProof/>
        </w:rPr>
      </w:pPr>
      <w:r w:rsidRPr="00623D95">
        <w:rPr>
          <w:b/>
          <w:i/>
        </w:rPr>
        <w:t>Поради това е целесъобразно до 31 декември 2028 г. Комисията да представи доклад, въз основа на информация от ЕОЦКП, в който да се оцени наличието на ЕСУ бенчмаркове на европейските и световните пазари и тяхното навлизане на пазара, като се анализира дали те ще се считат за значими бенчмаркове и като се проучват разходите и въздействието върху наличността на пазара и променящия се характер на показателите за устойчивост и методите, използвани за тяхното измерване. Освен това в този доклад следва да бъде оценена необходимостта от регулиране на бенчмарковете, при които се правят твърдения, свързани с ЕСУ, с цел да се поддържа адекватно равнище на защита на ползвателите на тези бенчмаркове, както и високо равнище на прозрачност, да се намали рискът от заблуждаващи твърдения за екологосъобразност („зелено измиване“) и да се гарантира съгласуваност с други законодателни актове на ЕС относно изискванията за оповестяване във връзка с устойчивостта. Този докладът следва да се придружава от оценка на въздействието и ако е целесъобразно, от законодателно предложение.</w:t>
      </w:r>
    </w:p>
    <w:p w:rsidR="00260CA3" w:rsidRPr="00623D95" w:rsidRDefault="00260CA3" w:rsidP="00432061">
      <w:pPr>
        <w:pStyle w:val="ManualConsidrant"/>
        <w:spacing w:line="360" w:lineRule="auto"/>
        <w:jc w:val="left"/>
        <w:rPr>
          <w:noProof/>
        </w:rPr>
      </w:pPr>
      <w:r w:rsidRPr="00623D95">
        <w:t>(21)</w:t>
      </w:r>
      <w:r w:rsidRPr="00623D95">
        <w:tab/>
        <w:t xml:space="preserve">За да се гарантира плавен преход към </w:t>
      </w:r>
      <w:r w:rsidRPr="00432061">
        <w:rPr>
          <w:b/>
          <w:bCs/>
          <w:i/>
          <w:iCs/>
        </w:rPr>
        <w:t>прилагането на</w:t>
      </w:r>
      <w:r w:rsidRPr="00623D95">
        <w:t xml:space="preserve"> правилата, въведени с настоящия регла</w:t>
      </w:r>
      <w:r w:rsidR="00432061">
        <w:t>мент</w:t>
      </w:r>
      <w:r w:rsidRPr="00623D95">
        <w:t xml:space="preserve">, </w:t>
      </w:r>
      <w:r w:rsidRPr="00432061">
        <w:rPr>
          <w:b/>
          <w:bCs/>
          <w:i/>
          <w:iCs/>
        </w:rPr>
        <w:t>администраторите</w:t>
      </w:r>
      <w:r w:rsidRPr="00623D95">
        <w:rPr>
          <w:b/>
          <w:i/>
        </w:rPr>
        <w:t>, които преди това са били обект на надзор съгласно Регламент (ЕС) 2019/2089, следва да запазят съществуващите регистрации, разрешения, признавания или потвърждения в продължение на девет месеца след влизането в сила на настоящия регламент за изменение. Този срок има за цел да даде на</w:t>
      </w:r>
      <w:r w:rsidRPr="00623D95">
        <w:t xml:space="preserve"> компетентните органи и на ЕОЦКП </w:t>
      </w:r>
      <w:r w:rsidRPr="00623D95">
        <w:rPr>
          <w:b/>
          <w:i/>
        </w:rPr>
        <w:t xml:space="preserve">достатъчно време да решат дали някой от контролираните преди това администратори следва да бъде определен в </w:t>
      </w:r>
      <w:r w:rsidRPr="00623D95">
        <w:rPr>
          <w:b/>
          <w:i/>
        </w:rPr>
        <w:lastRenderedPageBreak/>
        <w:t>съответствие с настоящия регламент за изменение</w:t>
      </w:r>
      <w:r w:rsidRPr="00623D95">
        <w:t xml:space="preserve">. </w:t>
      </w:r>
      <w:r w:rsidRPr="00623D95">
        <w:rPr>
          <w:b/>
          <w:i/>
        </w:rPr>
        <w:t>Ако са определени,</w:t>
      </w:r>
      <w:r w:rsidRPr="00623D95">
        <w:t xml:space="preserve"> на администраторите, които </w:t>
      </w:r>
      <w:r w:rsidRPr="00623D95">
        <w:rPr>
          <w:b/>
          <w:i/>
        </w:rPr>
        <w:t>преди това</w:t>
      </w:r>
      <w:r w:rsidRPr="00623D95">
        <w:t xml:space="preserve"> са били лицензирани, регистрирани, утвърдени или признати</w:t>
      </w:r>
      <w:r w:rsidRPr="00623D95">
        <w:rPr>
          <w:b/>
          <w:i/>
        </w:rPr>
        <w:t>, или на администраторите, които се присъединяват към настоящия регламент на доброволна основа, следва да бъде разрешено да запазят предишния си статут и да не трябва да кандидатстват отново. На администраторите на значими бенчмаркове следва във всички случаи да бъде разрешено да запазят статута си на лицензирани, регистрирани, одобрени или признати администратори на бенчмаркове</w:t>
      </w:r>
      <w:r w:rsidRPr="00623D95">
        <w:t>.</w:t>
      </w:r>
    </w:p>
    <w:p w:rsidR="00260CA3" w:rsidRPr="00623D95" w:rsidRDefault="00260CA3" w:rsidP="00432061">
      <w:pPr>
        <w:pStyle w:val="ManualConsidrant"/>
        <w:spacing w:line="360" w:lineRule="auto"/>
        <w:jc w:val="left"/>
        <w:rPr>
          <w:noProof/>
        </w:rPr>
      </w:pPr>
      <w:r w:rsidRPr="00623D95">
        <w:t>(22)</w:t>
      </w:r>
      <w:r w:rsidRPr="00623D95">
        <w:tab/>
        <w:t>За да се осигури на компетентните органи и ЕОЦКП необходимото време за събиране на информация за потенциалните значими бенчмаркове и за адаптиране на съществуващата инфраструктура към новата рамка, предложена с настоящия регламент за изменение, датата на прилагане на настоящия регламент следва да бъде отложена.</w:t>
      </w:r>
    </w:p>
    <w:p w:rsidR="00260CA3" w:rsidRPr="00623D95" w:rsidRDefault="00260CA3" w:rsidP="00432061">
      <w:pPr>
        <w:pStyle w:val="ManualConsidrant"/>
        <w:spacing w:line="360" w:lineRule="auto"/>
        <w:jc w:val="left"/>
        <w:rPr>
          <w:noProof/>
        </w:rPr>
      </w:pPr>
      <w:r w:rsidRPr="00623D95">
        <w:t>(23)</w:t>
      </w:r>
      <w:r w:rsidRPr="00623D95">
        <w:tab/>
        <w:t>Поради това Регламент (ЕС) 2016/1011 следва да бъде съответно изменен,</w:t>
      </w:r>
    </w:p>
    <w:p w:rsidR="00260CA3" w:rsidRPr="00623D95" w:rsidRDefault="00260CA3" w:rsidP="00432061">
      <w:pPr>
        <w:pStyle w:val="Formuledadoption"/>
        <w:spacing w:line="360" w:lineRule="auto"/>
        <w:jc w:val="left"/>
        <w:rPr>
          <w:noProof/>
        </w:rPr>
      </w:pPr>
      <w:r w:rsidRPr="00623D95">
        <w:t>ПРИЕХА НАСТОЯЩИЯ РЕГЛАМЕНТ:</w:t>
      </w:r>
    </w:p>
    <w:p w:rsidR="00260CA3" w:rsidRPr="00623D95" w:rsidRDefault="00260CA3" w:rsidP="00432061">
      <w:pPr>
        <w:pStyle w:val="Titrearticle"/>
        <w:spacing w:line="360" w:lineRule="auto"/>
        <w:rPr>
          <w:noProof/>
        </w:rPr>
      </w:pPr>
      <w:r w:rsidRPr="00623D95">
        <w:t>Член 1</w:t>
      </w:r>
    </w:p>
    <w:p w:rsidR="00260CA3" w:rsidRPr="00623D95" w:rsidRDefault="00260CA3" w:rsidP="00432061">
      <w:pPr>
        <w:spacing w:line="360" w:lineRule="auto"/>
        <w:jc w:val="center"/>
        <w:rPr>
          <w:b/>
          <w:bCs/>
          <w:noProof/>
        </w:rPr>
      </w:pPr>
      <w:r w:rsidRPr="00623D95">
        <w:rPr>
          <w:b/>
        </w:rPr>
        <w:t>Изменения на Регламент (ЕС) 2016/1011</w:t>
      </w:r>
    </w:p>
    <w:p w:rsidR="00260CA3" w:rsidRPr="00623D95" w:rsidRDefault="00260CA3" w:rsidP="00432061">
      <w:pPr>
        <w:spacing w:line="360" w:lineRule="auto"/>
        <w:rPr>
          <w:noProof/>
        </w:rPr>
      </w:pPr>
      <w:r w:rsidRPr="00623D95">
        <w:t>Регламент (ЕС) 2016/1011 се изменя, както следва:</w:t>
      </w:r>
    </w:p>
    <w:p w:rsidR="00260CA3" w:rsidRPr="00623D95" w:rsidRDefault="00432061" w:rsidP="00432061">
      <w:pPr>
        <w:pStyle w:val="Point0"/>
        <w:spacing w:line="360" w:lineRule="auto"/>
        <w:jc w:val="left"/>
        <w:rPr>
          <w:noProof/>
        </w:rPr>
      </w:pPr>
      <w:r>
        <w:t>1)</w:t>
      </w:r>
      <w:r>
        <w:tab/>
        <w:t>Ч</w:t>
      </w:r>
      <w:r w:rsidR="00260CA3" w:rsidRPr="00623D95">
        <w:t>лен 2 се изменя, както следва:</w:t>
      </w:r>
    </w:p>
    <w:p w:rsidR="00260CA3" w:rsidRPr="00623D95" w:rsidRDefault="00260CA3" w:rsidP="00432061">
      <w:pPr>
        <w:pStyle w:val="Point1"/>
        <w:spacing w:line="360" w:lineRule="auto"/>
        <w:jc w:val="left"/>
        <w:rPr>
          <w:noProof/>
        </w:rPr>
      </w:pPr>
      <w:r w:rsidRPr="00623D95">
        <w:t>а)</w:t>
      </w:r>
      <w:r w:rsidRPr="00623D95">
        <w:tab/>
        <w:t xml:space="preserve">вмъква се следният параграф: </w:t>
      </w:r>
    </w:p>
    <w:p w:rsidR="00260CA3" w:rsidRPr="00623D95" w:rsidRDefault="00260CA3" w:rsidP="00432061">
      <w:pPr>
        <w:pStyle w:val="Text2"/>
        <w:tabs>
          <w:tab w:val="left" w:pos="1701"/>
        </w:tabs>
        <w:spacing w:line="360" w:lineRule="auto"/>
        <w:ind w:left="1134"/>
        <w:jc w:val="left"/>
        <w:rPr>
          <w:noProof/>
        </w:rPr>
      </w:pPr>
      <w:r w:rsidRPr="00623D95">
        <w:t>„1а.</w:t>
      </w:r>
      <w:r w:rsidRPr="00623D95">
        <w:tab/>
        <w:t>Дялове II, III</w:t>
      </w:r>
      <w:r w:rsidRPr="00623D95">
        <w:rPr>
          <w:b/>
          <w:i/>
        </w:rPr>
        <w:t>, с изключение на членове 23а–23в,</w:t>
      </w:r>
      <w:r w:rsidRPr="00623D95">
        <w:t xml:space="preserve"> IV и VI се прилагат само по отношение на критични бенчмаркове, значими бенчмаркове, бенчмаркове на ЕС за климатичен преход, ЕСУ бенчмаркове и бенчмаркове на ЕС, съответстващи на Парижкото споразумение. </w:t>
      </w:r>
      <w:r w:rsidRPr="00623D95">
        <w:rPr>
          <w:b/>
          <w:i/>
        </w:rPr>
        <w:t>Член 10 от дял II и дялове III, IV и VI се прилагат за стоковите бенчмаркове, които са предмет на приложение II</w:t>
      </w:r>
      <w:r w:rsidRPr="00623D95">
        <w:t>“;</w:t>
      </w:r>
    </w:p>
    <w:p w:rsidR="00260CA3" w:rsidRPr="00623D95" w:rsidRDefault="00432061" w:rsidP="00432061">
      <w:pPr>
        <w:pStyle w:val="Point1"/>
        <w:spacing w:line="360" w:lineRule="auto"/>
        <w:jc w:val="left"/>
        <w:rPr>
          <w:noProof/>
        </w:rPr>
      </w:pPr>
      <w:r>
        <w:t>б)</w:t>
      </w:r>
      <w:r>
        <w:tab/>
        <w:t xml:space="preserve">в параграф 2 </w:t>
      </w:r>
      <w:r w:rsidRPr="00432061">
        <w:rPr>
          <w:b/>
          <w:bCs/>
          <w:i/>
          <w:iCs/>
        </w:rPr>
        <w:t>буква</w:t>
      </w:r>
      <w:r w:rsidR="00260CA3" w:rsidRPr="00432061">
        <w:rPr>
          <w:b/>
          <w:bCs/>
          <w:i/>
          <w:iCs/>
        </w:rPr>
        <w:t xml:space="preserve"> ж)</w:t>
      </w:r>
      <w:r w:rsidRPr="00432061">
        <w:rPr>
          <w:b/>
          <w:bCs/>
          <w:i/>
          <w:iCs/>
        </w:rPr>
        <w:t>, точка</w:t>
      </w:r>
      <w:r>
        <w:t xml:space="preserve"> </w:t>
      </w:r>
      <w:r w:rsidRPr="00432061">
        <w:rPr>
          <w:b/>
          <w:i/>
          <w:lang w:val="en-GB"/>
        </w:rPr>
        <w:t>i</w:t>
      </w:r>
      <w:r w:rsidRPr="006860D8">
        <w:rPr>
          <w:b/>
          <w:i/>
        </w:rPr>
        <w:t>)</w:t>
      </w:r>
      <w:r>
        <w:t xml:space="preserve"> се заличава</w:t>
      </w:r>
      <w:r w:rsidR="00260CA3" w:rsidRPr="00623D95">
        <w:t>;</w:t>
      </w:r>
    </w:p>
    <w:p w:rsidR="00260CA3" w:rsidRPr="00623D95" w:rsidRDefault="00432061" w:rsidP="00432061">
      <w:pPr>
        <w:pStyle w:val="Point0"/>
        <w:spacing w:line="360" w:lineRule="auto"/>
        <w:jc w:val="left"/>
        <w:rPr>
          <w:noProof/>
        </w:rPr>
      </w:pPr>
      <w:r>
        <w:t>2)</w:t>
      </w:r>
      <w:r>
        <w:tab/>
        <w:t>В</w:t>
      </w:r>
      <w:r w:rsidR="00260CA3" w:rsidRPr="00623D95">
        <w:t xml:space="preserve"> член 3 параграф 1 се изменя, както следва:</w:t>
      </w:r>
    </w:p>
    <w:p w:rsidR="00260CA3" w:rsidRPr="00623D95" w:rsidRDefault="00260CA3" w:rsidP="00432061">
      <w:pPr>
        <w:pStyle w:val="Point1"/>
        <w:spacing w:line="360" w:lineRule="auto"/>
        <w:jc w:val="left"/>
        <w:rPr>
          <w:b/>
          <w:i/>
          <w:noProof/>
        </w:rPr>
      </w:pPr>
      <w:r w:rsidRPr="00432061">
        <w:rPr>
          <w:b/>
          <w:bCs/>
          <w:i/>
          <w:iCs/>
        </w:rPr>
        <w:t>-a)</w:t>
      </w:r>
      <w:r w:rsidRPr="00623D95">
        <w:rPr>
          <w:b/>
          <w:i/>
        </w:rPr>
        <w:tab/>
        <w:t>в точка 17) буква м) се заменя със следното:</w:t>
      </w:r>
    </w:p>
    <w:p w:rsidR="00260CA3" w:rsidRPr="00623D95" w:rsidRDefault="00260CA3" w:rsidP="00432061">
      <w:pPr>
        <w:pStyle w:val="Point1"/>
        <w:spacing w:line="360" w:lineRule="auto"/>
        <w:ind w:firstLine="0"/>
        <w:jc w:val="left"/>
        <w:rPr>
          <w:b/>
          <w:i/>
          <w:noProof/>
        </w:rPr>
      </w:pPr>
      <w:r w:rsidRPr="00623D95">
        <w:rPr>
          <w:b/>
          <w:i/>
        </w:rPr>
        <w:lastRenderedPageBreak/>
        <w:t>„м)</w:t>
      </w:r>
      <w:r w:rsidRPr="00623D95">
        <w:rPr>
          <w:b/>
          <w:i/>
        </w:rPr>
        <w:tab/>
        <w:t>администратор, лицензиран или регистриран съгласно член 34“</w:t>
      </w:r>
      <w:r w:rsidRPr="00623D95">
        <w:t>;</w:t>
      </w:r>
    </w:p>
    <w:p w:rsidR="00260CA3" w:rsidRPr="00623D95" w:rsidRDefault="00260CA3" w:rsidP="00432061">
      <w:pPr>
        <w:pStyle w:val="Point1"/>
        <w:spacing w:line="360" w:lineRule="auto"/>
        <w:jc w:val="left"/>
        <w:rPr>
          <w:noProof/>
        </w:rPr>
      </w:pPr>
      <w:r w:rsidRPr="00623D95">
        <w:t>а)</w:t>
      </w:r>
      <w:r w:rsidRPr="00623D95">
        <w:tab/>
        <w:t>точка 22а се заличава;</w:t>
      </w:r>
    </w:p>
    <w:p w:rsidR="00260CA3" w:rsidRPr="00623D95" w:rsidRDefault="00260CA3" w:rsidP="00432061">
      <w:pPr>
        <w:pStyle w:val="Point1"/>
        <w:spacing w:line="360" w:lineRule="auto"/>
        <w:jc w:val="left"/>
        <w:rPr>
          <w:noProof/>
        </w:rPr>
      </w:pPr>
      <w:r w:rsidRPr="00623D95">
        <w:t>б)</w:t>
      </w:r>
      <w:r w:rsidRPr="00623D95">
        <w:tab/>
        <w:t>точка 27 се заличава;</w:t>
      </w:r>
    </w:p>
    <w:p w:rsidR="00260CA3" w:rsidRPr="00623D95" w:rsidRDefault="00260CA3" w:rsidP="00432061">
      <w:pPr>
        <w:pStyle w:val="Point0"/>
        <w:spacing w:line="360" w:lineRule="auto"/>
        <w:jc w:val="left"/>
        <w:rPr>
          <w:noProof/>
        </w:rPr>
      </w:pPr>
      <w:r w:rsidRPr="00623D95">
        <w:t>3)</w:t>
      </w:r>
      <w:r w:rsidRPr="00623D95">
        <w:tab/>
        <w:t>Член 5 се изменя, както следва:</w:t>
      </w:r>
    </w:p>
    <w:p w:rsidR="00260CA3" w:rsidRPr="00623D95" w:rsidRDefault="00260CA3" w:rsidP="00432061">
      <w:pPr>
        <w:pStyle w:val="Point1"/>
        <w:spacing w:line="360" w:lineRule="auto"/>
        <w:jc w:val="left"/>
        <w:rPr>
          <w:noProof/>
        </w:rPr>
      </w:pPr>
      <w:r w:rsidRPr="00623D95">
        <w:t>а)</w:t>
      </w:r>
      <w:r w:rsidRPr="00623D95">
        <w:tab/>
        <w:t>в параграф 5, втора алинея последното изречение се заличава;</w:t>
      </w:r>
    </w:p>
    <w:p w:rsidR="00260CA3" w:rsidRPr="00623D95" w:rsidRDefault="00260CA3" w:rsidP="00432061">
      <w:pPr>
        <w:pStyle w:val="Point1"/>
        <w:spacing w:line="360" w:lineRule="auto"/>
        <w:jc w:val="left"/>
        <w:rPr>
          <w:noProof/>
        </w:rPr>
      </w:pPr>
      <w:r w:rsidRPr="00623D95">
        <w:t>б)</w:t>
      </w:r>
      <w:r w:rsidRPr="00623D95">
        <w:tab/>
        <w:t>параграф 6 се заличава.</w:t>
      </w:r>
    </w:p>
    <w:p w:rsidR="00260CA3" w:rsidRPr="00623D95" w:rsidRDefault="00260CA3" w:rsidP="00432061">
      <w:pPr>
        <w:pStyle w:val="Point0"/>
        <w:spacing w:line="360" w:lineRule="auto"/>
        <w:jc w:val="left"/>
        <w:rPr>
          <w:noProof/>
        </w:rPr>
      </w:pPr>
      <w:r w:rsidRPr="00623D95">
        <w:t>4)</w:t>
      </w:r>
      <w:r w:rsidRPr="00623D95">
        <w:tab/>
        <w:t>Член 11 се изменя, както следва:</w:t>
      </w:r>
    </w:p>
    <w:p w:rsidR="00260CA3" w:rsidRPr="00623D95" w:rsidRDefault="00260CA3" w:rsidP="00432061">
      <w:pPr>
        <w:pStyle w:val="Point1"/>
        <w:spacing w:line="360" w:lineRule="auto"/>
        <w:jc w:val="left"/>
        <w:rPr>
          <w:noProof/>
        </w:rPr>
      </w:pPr>
      <w:r w:rsidRPr="00623D95">
        <w:t>а)</w:t>
      </w:r>
      <w:r w:rsidRPr="00623D95">
        <w:tab/>
        <w:t>в параграф 5, първа алинея последното изречение се заличава;</w:t>
      </w:r>
    </w:p>
    <w:p w:rsidR="00260CA3" w:rsidRPr="00623D95" w:rsidRDefault="00260CA3" w:rsidP="00432061">
      <w:pPr>
        <w:pStyle w:val="Point1"/>
        <w:spacing w:line="360" w:lineRule="auto"/>
        <w:jc w:val="left"/>
        <w:rPr>
          <w:noProof/>
        </w:rPr>
      </w:pPr>
      <w:r w:rsidRPr="00623D95">
        <w:t>б)</w:t>
      </w:r>
      <w:r w:rsidRPr="00623D95">
        <w:tab/>
        <w:t>параграф 6 се заличава.</w:t>
      </w:r>
    </w:p>
    <w:p w:rsidR="00260CA3" w:rsidRPr="00623D95" w:rsidRDefault="00260CA3" w:rsidP="00432061">
      <w:pPr>
        <w:pStyle w:val="Point0"/>
        <w:spacing w:line="360" w:lineRule="auto"/>
        <w:jc w:val="left"/>
        <w:rPr>
          <w:noProof/>
        </w:rPr>
      </w:pPr>
      <w:r w:rsidRPr="00623D95">
        <w:t>5)</w:t>
      </w:r>
      <w:r w:rsidRPr="00623D95">
        <w:tab/>
        <w:t>Член 13 се изменя, както следва:</w:t>
      </w:r>
    </w:p>
    <w:p w:rsidR="00260CA3" w:rsidRPr="00623D95" w:rsidRDefault="00260CA3" w:rsidP="00432061">
      <w:pPr>
        <w:pStyle w:val="Point1"/>
        <w:spacing w:line="360" w:lineRule="auto"/>
        <w:jc w:val="left"/>
        <w:rPr>
          <w:noProof/>
        </w:rPr>
      </w:pPr>
      <w:r w:rsidRPr="00623D95">
        <w:t>а)</w:t>
      </w:r>
      <w:r w:rsidRPr="00623D95">
        <w:tab/>
        <w:t>в параграф 3, първа алинея последното изречение се заличава;</w:t>
      </w:r>
    </w:p>
    <w:p w:rsidR="00260CA3" w:rsidRPr="00623D95" w:rsidRDefault="00260CA3" w:rsidP="00432061">
      <w:pPr>
        <w:pStyle w:val="Point1"/>
        <w:spacing w:line="360" w:lineRule="auto"/>
        <w:jc w:val="left"/>
        <w:rPr>
          <w:noProof/>
        </w:rPr>
      </w:pPr>
      <w:r w:rsidRPr="00623D95">
        <w:t>б)</w:t>
      </w:r>
      <w:r w:rsidRPr="00623D95">
        <w:tab/>
        <w:t>параграф 4 се заличава;</w:t>
      </w:r>
    </w:p>
    <w:p w:rsidR="00260CA3" w:rsidRPr="00623D95" w:rsidRDefault="00260CA3" w:rsidP="00432061">
      <w:pPr>
        <w:pStyle w:val="Point0"/>
        <w:spacing w:line="360" w:lineRule="auto"/>
        <w:jc w:val="left"/>
        <w:rPr>
          <w:noProof/>
        </w:rPr>
      </w:pPr>
      <w:r w:rsidRPr="00623D95">
        <w:t>6)</w:t>
      </w:r>
      <w:r w:rsidRPr="00623D95">
        <w:tab/>
        <w:t>Член 16 се изменя, както следва:</w:t>
      </w:r>
    </w:p>
    <w:p w:rsidR="00260CA3" w:rsidRPr="00623D95" w:rsidRDefault="00260CA3" w:rsidP="00432061">
      <w:pPr>
        <w:pStyle w:val="Point1"/>
        <w:spacing w:line="360" w:lineRule="auto"/>
        <w:jc w:val="left"/>
        <w:rPr>
          <w:noProof/>
        </w:rPr>
      </w:pPr>
      <w:r w:rsidRPr="00623D95">
        <w:t>а)</w:t>
      </w:r>
      <w:r w:rsidRPr="00623D95">
        <w:tab/>
        <w:t>в параграф 5, втора алинея последното изречение се заличава;</w:t>
      </w:r>
    </w:p>
    <w:p w:rsidR="00260CA3" w:rsidRPr="00623D95" w:rsidRDefault="00260CA3" w:rsidP="00432061">
      <w:pPr>
        <w:pStyle w:val="Point1"/>
        <w:spacing w:line="360" w:lineRule="auto"/>
        <w:jc w:val="left"/>
        <w:rPr>
          <w:noProof/>
        </w:rPr>
      </w:pPr>
      <w:r w:rsidRPr="00623D95">
        <w:t>б)</w:t>
      </w:r>
      <w:r w:rsidRPr="00623D95">
        <w:tab/>
        <w:t>параграф 6 се заличава.</w:t>
      </w:r>
    </w:p>
    <w:p w:rsidR="00260CA3" w:rsidRPr="00623D95" w:rsidRDefault="00432061" w:rsidP="00432061">
      <w:pPr>
        <w:pStyle w:val="Point0"/>
        <w:spacing w:line="360" w:lineRule="auto"/>
        <w:jc w:val="left"/>
        <w:rPr>
          <w:noProof/>
        </w:rPr>
      </w:pPr>
      <w:r>
        <w:t>7)</w:t>
      </w:r>
      <w:r>
        <w:tab/>
        <w:t>В</w:t>
      </w:r>
      <w:r w:rsidR="00260CA3" w:rsidRPr="00623D95">
        <w:t xml:space="preserve"> дял III заглавието на глава 2 се заменя със следното:</w:t>
      </w:r>
    </w:p>
    <w:p w:rsidR="00260CA3" w:rsidRPr="00623D95" w:rsidRDefault="00260CA3" w:rsidP="00432061">
      <w:pPr>
        <w:pStyle w:val="Text1"/>
        <w:tabs>
          <w:tab w:val="left" w:pos="1134"/>
        </w:tabs>
        <w:spacing w:line="360" w:lineRule="auto"/>
        <w:ind w:left="851"/>
        <w:jc w:val="left"/>
        <w:rPr>
          <w:noProof/>
        </w:rPr>
      </w:pPr>
      <w:r w:rsidRPr="00432061">
        <w:rPr>
          <w:b/>
          <w:bCs/>
          <w:i/>
          <w:iCs/>
        </w:rPr>
        <w:t>„Бенчмаркове за лихвени проценти</w:t>
      </w:r>
      <w:r w:rsidRPr="00623D95">
        <w:t>“;</w:t>
      </w:r>
    </w:p>
    <w:p w:rsidR="00260CA3" w:rsidRPr="00623D95" w:rsidRDefault="00432061" w:rsidP="00432061">
      <w:pPr>
        <w:pStyle w:val="Text1"/>
        <w:tabs>
          <w:tab w:val="left" w:pos="1134"/>
        </w:tabs>
        <w:spacing w:line="360" w:lineRule="auto"/>
        <w:ind w:left="851" w:hanging="851"/>
        <w:jc w:val="left"/>
        <w:rPr>
          <w:b/>
          <w:i/>
          <w:noProof/>
        </w:rPr>
      </w:pPr>
      <w:r>
        <w:rPr>
          <w:b/>
          <w:i/>
        </w:rPr>
        <w:t>7a)</w:t>
      </w:r>
      <w:r>
        <w:rPr>
          <w:b/>
          <w:i/>
        </w:rPr>
        <w:tab/>
        <w:t>В</w:t>
      </w:r>
      <w:r w:rsidR="00260CA3" w:rsidRPr="00623D95">
        <w:rPr>
          <w:b/>
          <w:i/>
        </w:rPr>
        <w:t xml:space="preserve"> член 18, параграф 1, втора алинея се заменя със следното:</w:t>
      </w:r>
    </w:p>
    <w:p w:rsidR="00260CA3" w:rsidRPr="00623D95" w:rsidRDefault="00260CA3" w:rsidP="00432061">
      <w:pPr>
        <w:pStyle w:val="Text1"/>
        <w:tabs>
          <w:tab w:val="left" w:pos="1134"/>
        </w:tabs>
        <w:spacing w:line="360" w:lineRule="auto"/>
        <w:ind w:left="720"/>
        <w:jc w:val="left"/>
        <w:rPr>
          <w:b/>
          <w:i/>
          <w:noProof/>
        </w:rPr>
      </w:pPr>
      <w:r w:rsidRPr="00623D95">
        <w:rPr>
          <w:b/>
          <w:i/>
        </w:rPr>
        <w:t>“Член 25 не се прилага за изготвянето на бенчмарковете за лихвени проценти и предоставянето на входящи данни за такива бенчмаркове.“</w:t>
      </w:r>
      <w:r w:rsidRPr="00623D95">
        <w:t>;</w:t>
      </w:r>
    </w:p>
    <w:p w:rsidR="00260CA3" w:rsidRPr="00623D95" w:rsidRDefault="00432061" w:rsidP="00432061">
      <w:pPr>
        <w:pStyle w:val="Point0"/>
        <w:spacing w:line="360" w:lineRule="auto"/>
        <w:jc w:val="left"/>
        <w:rPr>
          <w:noProof/>
        </w:rPr>
      </w:pPr>
      <w:r>
        <w:t>8)</w:t>
      </w:r>
      <w:r>
        <w:tab/>
        <w:t>Ч</w:t>
      </w:r>
      <w:r w:rsidR="00260CA3" w:rsidRPr="00623D95">
        <w:t>лен 18а се заличава;</w:t>
      </w:r>
    </w:p>
    <w:p w:rsidR="00260CA3" w:rsidRPr="00623D95" w:rsidRDefault="00260CA3" w:rsidP="00432061">
      <w:pPr>
        <w:pStyle w:val="Point0"/>
        <w:spacing w:line="360" w:lineRule="auto"/>
        <w:jc w:val="left"/>
        <w:rPr>
          <w:b/>
          <w:i/>
          <w:noProof/>
        </w:rPr>
      </w:pPr>
      <w:r w:rsidRPr="00623D95">
        <w:rPr>
          <w:b/>
          <w:i/>
        </w:rPr>
        <w:t>8a)</w:t>
      </w:r>
      <w:r w:rsidRPr="00623D95">
        <w:rPr>
          <w:b/>
          <w:i/>
        </w:rPr>
        <w:tab/>
        <w:t>В член 19, параграф 1 втора алинея се заменя със следното:</w:t>
      </w:r>
    </w:p>
    <w:p w:rsidR="00260CA3" w:rsidRPr="00623D95" w:rsidRDefault="00260CA3" w:rsidP="00432061">
      <w:pPr>
        <w:pStyle w:val="Text1"/>
        <w:tabs>
          <w:tab w:val="left" w:pos="1134"/>
        </w:tabs>
        <w:spacing w:line="360" w:lineRule="auto"/>
        <w:ind w:left="720"/>
        <w:jc w:val="left"/>
        <w:rPr>
          <w:b/>
          <w:i/>
          <w:noProof/>
        </w:rPr>
      </w:pPr>
      <w:r w:rsidRPr="00623D95">
        <w:rPr>
          <w:b/>
          <w:i/>
        </w:rPr>
        <w:t>„Член 25 не се прилага за изготвянето на стоковите бенчмаркове и предоставянето на входящи данни за такива бенчмаркове.“</w:t>
      </w:r>
      <w:r w:rsidRPr="00623D95">
        <w:t>;</w:t>
      </w:r>
    </w:p>
    <w:p w:rsidR="00260CA3" w:rsidRPr="00623D95" w:rsidRDefault="00432061" w:rsidP="00432061">
      <w:pPr>
        <w:pStyle w:val="Point0"/>
        <w:spacing w:line="360" w:lineRule="auto"/>
        <w:jc w:val="left"/>
        <w:rPr>
          <w:noProof/>
        </w:rPr>
      </w:pPr>
      <w:r>
        <w:t>9)</w:t>
      </w:r>
      <w:r>
        <w:tab/>
        <w:t>В</w:t>
      </w:r>
      <w:r w:rsidR="00260CA3" w:rsidRPr="00623D95">
        <w:t xml:space="preserve"> член 19а </w:t>
      </w:r>
      <w:r w:rsidR="00260CA3" w:rsidRPr="00623D95">
        <w:rPr>
          <w:b/>
          <w:i/>
        </w:rPr>
        <w:t>се добавят следните параграфи</w:t>
      </w:r>
      <w:r w:rsidR="00260CA3" w:rsidRPr="00623D95">
        <w:t xml:space="preserve">: </w:t>
      </w:r>
    </w:p>
    <w:p w:rsidR="00260CA3" w:rsidRPr="00623D95" w:rsidRDefault="00432061" w:rsidP="00432061">
      <w:pPr>
        <w:pStyle w:val="Text1"/>
        <w:tabs>
          <w:tab w:val="left" w:pos="1134"/>
        </w:tabs>
        <w:spacing w:line="360" w:lineRule="auto"/>
        <w:ind w:left="1418" w:hanging="567"/>
        <w:jc w:val="left"/>
        <w:rPr>
          <w:noProof/>
        </w:rPr>
      </w:pPr>
      <w:r>
        <w:lastRenderedPageBreak/>
        <w:t>„</w:t>
      </w:r>
      <w:r w:rsidR="00260CA3" w:rsidRPr="00623D95">
        <w:t>4.</w:t>
      </w:r>
      <w:r w:rsidR="00260CA3" w:rsidRPr="00623D95">
        <w:tab/>
        <w:t xml:space="preserve">Администраторите, които не са </w:t>
      </w:r>
      <w:r w:rsidR="00260CA3" w:rsidRPr="00623D95">
        <w:rPr>
          <w:b/>
          <w:i/>
        </w:rPr>
        <w:t>включени в регистъра на ЕОЦКП, посочен в</w:t>
      </w:r>
      <w:r w:rsidR="00260CA3" w:rsidRPr="00623D95">
        <w:t xml:space="preserve"> член </w:t>
      </w:r>
      <w:r w:rsidR="00260CA3" w:rsidRPr="00623D95">
        <w:rPr>
          <w:b/>
          <w:i/>
        </w:rPr>
        <w:t>36</w:t>
      </w:r>
      <w:r w:rsidR="00260CA3" w:rsidRPr="00623D95">
        <w:t>, не може да:</w:t>
      </w:r>
    </w:p>
    <w:p w:rsidR="00260CA3" w:rsidRPr="00623D95" w:rsidRDefault="00260CA3" w:rsidP="00432061">
      <w:pPr>
        <w:pStyle w:val="Text1"/>
        <w:spacing w:line="360" w:lineRule="auto"/>
        <w:ind w:left="1985" w:hanging="567"/>
        <w:jc w:val="left"/>
        <w:rPr>
          <w:noProof/>
        </w:rPr>
      </w:pPr>
      <w:r w:rsidRPr="00623D95">
        <w:t>а)</w:t>
      </w:r>
      <w:r w:rsidR="00432061">
        <w:tab/>
      </w:r>
      <w:r w:rsidRPr="00623D95">
        <w:t xml:space="preserve"> изготвят </w:t>
      </w:r>
      <w:r w:rsidRPr="00623D95">
        <w:rPr>
          <w:b/>
          <w:i/>
        </w:rPr>
        <w:t>или одобряват</w:t>
      </w:r>
      <w:r w:rsidRPr="00623D95">
        <w:t xml:space="preserve"> бенчмаркове на ЕС за климатичен преход или бенчмаркове </w:t>
      </w:r>
      <w:r w:rsidRPr="00623D95">
        <w:rPr>
          <w:b/>
          <w:i/>
        </w:rPr>
        <w:t>на ЕС</w:t>
      </w:r>
      <w:r w:rsidRPr="00623D95">
        <w:t xml:space="preserve">, съответстващи на Парижкото споразумение; </w:t>
      </w:r>
    </w:p>
    <w:p w:rsidR="00260CA3" w:rsidRPr="00623D95" w:rsidRDefault="00260CA3" w:rsidP="00432061">
      <w:pPr>
        <w:pStyle w:val="Text1"/>
        <w:spacing w:line="360" w:lineRule="auto"/>
        <w:ind w:left="1985" w:hanging="567"/>
        <w:jc w:val="left"/>
        <w:rPr>
          <w:noProof/>
        </w:rPr>
      </w:pPr>
      <w:r w:rsidRPr="00623D95">
        <w:t xml:space="preserve">б) </w:t>
      </w:r>
      <w:r w:rsidR="00432061">
        <w:tab/>
      </w:r>
      <w:r w:rsidRPr="00623D95">
        <w:t>посочват или внушават в наименованието на бенчмарковете, които предоставят за използване в Съюза, или в правната или пазарната документация за тези бенчмаркове, че предлаганите от тях бенчмаркове отговарят на изискванията, приложими за изготвянето на бенчмаркове на ЕС за климатичен преход или бенчмаркове на ЕС, съответстващи на Парижкото споразумение.“</w:t>
      </w:r>
    </w:p>
    <w:p w:rsidR="00260CA3" w:rsidRPr="00623D95" w:rsidRDefault="00260CA3" w:rsidP="00432061">
      <w:pPr>
        <w:pStyle w:val="Text1"/>
        <w:tabs>
          <w:tab w:val="left" w:pos="1134"/>
        </w:tabs>
        <w:spacing w:line="360" w:lineRule="auto"/>
        <w:ind w:left="1418" w:hanging="567"/>
        <w:jc w:val="left"/>
        <w:rPr>
          <w:b/>
          <w:i/>
          <w:noProof/>
        </w:rPr>
      </w:pPr>
      <w:r w:rsidRPr="00623D95">
        <w:rPr>
          <w:b/>
          <w:i/>
        </w:rPr>
        <w:t>4a.</w:t>
      </w:r>
      <w:r w:rsidRPr="00623D95">
        <w:rPr>
          <w:b/>
          <w:i/>
        </w:rPr>
        <w:tab/>
        <w:t>Администраторите включват термина „EU CTB“ в наименованието на бенчмарковете на ЕС за климатичен преход и термина „EU PAB“ в наименованието на бенчмарковете на ЕС, съответстващи на Парижкото споразумение.</w:t>
      </w:r>
      <w:r w:rsidRPr="00623D95">
        <w:t>;</w:t>
      </w:r>
    </w:p>
    <w:p w:rsidR="00260CA3" w:rsidRPr="00623D95" w:rsidRDefault="00432061" w:rsidP="00432061">
      <w:pPr>
        <w:pStyle w:val="Point0"/>
        <w:spacing w:line="360" w:lineRule="auto"/>
        <w:jc w:val="left"/>
        <w:rPr>
          <w:b/>
          <w:i/>
          <w:noProof/>
        </w:rPr>
      </w:pPr>
      <w:r>
        <w:t>10)</w:t>
      </w:r>
      <w:r>
        <w:tab/>
        <w:t>Ч</w:t>
      </w:r>
      <w:r w:rsidR="00260CA3" w:rsidRPr="00623D95">
        <w:t xml:space="preserve">лен 19г се </w:t>
      </w:r>
      <w:r w:rsidR="00260CA3" w:rsidRPr="00623D95">
        <w:rPr>
          <w:b/>
          <w:i/>
        </w:rPr>
        <w:t>заменя със следното:</w:t>
      </w:r>
    </w:p>
    <w:p w:rsidR="00260CA3" w:rsidRPr="00623D95" w:rsidRDefault="00260CA3" w:rsidP="00432061">
      <w:pPr>
        <w:pStyle w:val="Point0"/>
        <w:spacing w:line="360" w:lineRule="auto"/>
        <w:ind w:left="709" w:firstLine="1"/>
        <w:jc w:val="left"/>
        <w:rPr>
          <w:b/>
          <w:i/>
          <w:noProof/>
        </w:rPr>
      </w:pPr>
      <w:r w:rsidRPr="00623D95">
        <w:rPr>
          <w:b/>
        </w:rPr>
        <w:t>,,</w:t>
      </w:r>
      <w:r w:rsidRPr="00623D95">
        <w:rPr>
          <w:b/>
          <w:i/>
        </w:rPr>
        <w:t>Член 19г</w:t>
      </w:r>
    </w:p>
    <w:p w:rsidR="00260CA3" w:rsidRPr="00623D95" w:rsidRDefault="00260CA3" w:rsidP="00432061">
      <w:pPr>
        <w:pStyle w:val="Point0"/>
        <w:spacing w:line="360" w:lineRule="auto"/>
        <w:ind w:left="709" w:firstLine="1"/>
        <w:jc w:val="left"/>
        <w:rPr>
          <w:b/>
          <w:i/>
          <w:noProof/>
        </w:rPr>
      </w:pPr>
      <w:r w:rsidRPr="00623D95">
        <w:rPr>
          <w:b/>
          <w:i/>
        </w:rPr>
        <w:t>Стремеж за изготвяне на бенчмаркове на ЕС за климатичен преход и бенчмаркове на ЕС, съответстващи на Парижкото споразумение</w:t>
      </w:r>
    </w:p>
    <w:p w:rsidR="00260CA3" w:rsidRPr="00623D95" w:rsidRDefault="00260CA3" w:rsidP="00432061">
      <w:pPr>
        <w:pStyle w:val="Point0"/>
        <w:spacing w:line="360" w:lineRule="auto"/>
        <w:ind w:left="709" w:firstLine="1"/>
        <w:jc w:val="left"/>
        <w:rPr>
          <w:noProof/>
        </w:rPr>
      </w:pPr>
      <w:r w:rsidRPr="00623D95">
        <w:rPr>
          <w:b/>
          <w:i/>
        </w:rPr>
        <w:t>Администраторите, които се намират в Съюза и които изготвят значими бенчмаркове, определени въз основа на стойността на един или повече базови активи или цени, се стремят да изготвят един или повече бенчмаркове на ЕС за климатичен преход и бенчмаркове на ЕС, съответстващи на Парижкото споразумение</w:t>
      </w:r>
      <w:r w:rsidRPr="00623D95">
        <w:t>.“;</w:t>
      </w:r>
    </w:p>
    <w:p w:rsidR="00260CA3" w:rsidRPr="00623D95" w:rsidRDefault="00432061" w:rsidP="00432061">
      <w:pPr>
        <w:pStyle w:val="Point0"/>
        <w:spacing w:line="360" w:lineRule="auto"/>
        <w:jc w:val="left"/>
        <w:rPr>
          <w:noProof/>
        </w:rPr>
      </w:pPr>
      <w:r>
        <w:t>(11)</w:t>
      </w:r>
      <w:r>
        <w:tab/>
        <w:t>Ч</w:t>
      </w:r>
      <w:r w:rsidR="00260CA3" w:rsidRPr="00623D95">
        <w:t xml:space="preserve">лен 24 се заменя със следното: </w:t>
      </w:r>
    </w:p>
    <w:p w:rsidR="00260CA3" w:rsidRPr="00432061" w:rsidRDefault="00260CA3" w:rsidP="00432061">
      <w:pPr>
        <w:pStyle w:val="Text1"/>
        <w:spacing w:line="360" w:lineRule="auto"/>
        <w:ind w:left="851"/>
        <w:jc w:val="left"/>
        <w:rPr>
          <w:noProof/>
        </w:rPr>
      </w:pPr>
      <w:r w:rsidRPr="00623D95">
        <w:t>„</w:t>
      </w:r>
      <w:r w:rsidRPr="00623D95">
        <w:rPr>
          <w:i/>
          <w:iCs/>
        </w:rPr>
        <w:t>Член 24</w:t>
      </w:r>
      <w:r w:rsidR="00432061">
        <w:rPr>
          <w:noProof/>
        </w:rPr>
        <w:br/>
      </w:r>
      <w:r w:rsidRPr="00432061">
        <w:rPr>
          <w:bCs/>
        </w:rPr>
        <w:t>Значими бенчмаркове</w:t>
      </w:r>
    </w:p>
    <w:p w:rsidR="00260CA3" w:rsidRPr="00623D95" w:rsidRDefault="00260CA3" w:rsidP="00432061">
      <w:pPr>
        <w:pStyle w:val="Text1"/>
        <w:tabs>
          <w:tab w:val="left" w:pos="1134"/>
        </w:tabs>
        <w:spacing w:line="360" w:lineRule="auto"/>
        <w:ind w:left="1127" w:hanging="560"/>
        <w:jc w:val="left"/>
        <w:rPr>
          <w:noProof/>
        </w:rPr>
      </w:pPr>
      <w:r w:rsidRPr="00623D95">
        <w:t>1.</w:t>
      </w:r>
      <w:r w:rsidRPr="00623D95">
        <w:tab/>
        <w:t>Бенчмарк, който не е критичен бенчмарк, е значим, когато е изпълнено някое от следните условия:</w:t>
      </w:r>
    </w:p>
    <w:p w:rsidR="00260CA3" w:rsidRPr="00623D95" w:rsidRDefault="00260CA3" w:rsidP="00432061">
      <w:pPr>
        <w:pStyle w:val="Text1"/>
        <w:spacing w:line="360" w:lineRule="auto"/>
        <w:ind w:left="1440"/>
        <w:jc w:val="left"/>
        <w:rPr>
          <w:b/>
          <w:i/>
          <w:noProof/>
        </w:rPr>
      </w:pPr>
      <w:r w:rsidRPr="00623D95">
        <w:lastRenderedPageBreak/>
        <w:t xml:space="preserve">а) бенчмаркът се използва, пряко или непряко в комбинация от бенчмаркове, в рамките на Съюза за определяне на стойността на финансови инструменти или финансови договори или за измерването на резултатите на инвестиционни фондове с обща стойност от най-малко 50 милиарда евро, определена въз основа на </w:t>
      </w:r>
      <w:r w:rsidRPr="00623D95">
        <w:rPr>
          <w:b/>
          <w:i/>
        </w:rPr>
        <w:t>характеристиките на бенчмарка, включително:</w:t>
      </w:r>
    </w:p>
    <w:p w:rsidR="00260CA3" w:rsidRPr="00623D95" w:rsidRDefault="00260CA3" w:rsidP="00432061">
      <w:pPr>
        <w:pStyle w:val="Text1"/>
        <w:spacing w:line="360" w:lineRule="auto"/>
        <w:ind w:left="1440"/>
        <w:jc w:val="left"/>
        <w:rPr>
          <w:noProof/>
        </w:rPr>
      </w:pPr>
      <w:r w:rsidRPr="00623D95">
        <w:rPr>
          <w:b/>
          <w:i/>
        </w:rPr>
        <w:t xml:space="preserve">i) </w:t>
      </w:r>
      <w:r w:rsidRPr="00623D95">
        <w:t>видовете матуритети или други срокове на падеж на бенчмарка, когато е приложимо, за срок от шест месеца;</w:t>
      </w:r>
    </w:p>
    <w:p w:rsidR="00260CA3" w:rsidRPr="00623D95" w:rsidRDefault="00260CA3" w:rsidP="00432061">
      <w:pPr>
        <w:pStyle w:val="Text1"/>
        <w:spacing w:line="360" w:lineRule="auto"/>
        <w:ind w:left="1440"/>
        <w:jc w:val="left"/>
        <w:rPr>
          <w:b/>
          <w:i/>
          <w:noProof/>
        </w:rPr>
      </w:pPr>
      <w:r w:rsidRPr="00623D95">
        <w:rPr>
          <w:b/>
          <w:i/>
        </w:rPr>
        <w:t>ii) всички валути или други мерни единици на бенчмарка, когато е приложимо, за период от шест месеца; както и</w:t>
      </w:r>
    </w:p>
    <w:p w:rsidR="00260CA3" w:rsidRPr="00623D95" w:rsidRDefault="00260CA3" w:rsidP="00432061">
      <w:pPr>
        <w:pStyle w:val="Text1"/>
        <w:spacing w:line="360" w:lineRule="auto"/>
        <w:ind w:left="1440"/>
        <w:jc w:val="left"/>
        <w:rPr>
          <w:b/>
          <w:i/>
          <w:noProof/>
        </w:rPr>
      </w:pPr>
      <w:r w:rsidRPr="00623D95">
        <w:rPr>
          <w:b/>
          <w:i/>
        </w:rPr>
        <w:t>iii) всички методики за изчисляване на възвръщаемостта, когато е приложимо, за период от шест месеца;</w:t>
      </w:r>
    </w:p>
    <w:p w:rsidR="00260CA3" w:rsidRPr="00623D95" w:rsidRDefault="00260CA3" w:rsidP="00432061">
      <w:pPr>
        <w:pStyle w:val="Text1"/>
        <w:spacing w:line="360" w:lineRule="auto"/>
        <w:ind w:left="1440"/>
        <w:jc w:val="left"/>
        <w:rPr>
          <w:noProof/>
        </w:rPr>
      </w:pPr>
      <w:r w:rsidRPr="00623D95">
        <w:t>б) бенчмаркът е определен като значим в съответствие с процедурата, предвидена в параграфи 3, 4 и 5, или процедурата, предвидена в параграф 6.</w:t>
      </w:r>
    </w:p>
    <w:p w:rsidR="00260CA3" w:rsidRPr="00623D95" w:rsidRDefault="00260CA3" w:rsidP="00432061">
      <w:pPr>
        <w:pStyle w:val="Text1"/>
        <w:tabs>
          <w:tab w:val="left" w:pos="1134"/>
        </w:tabs>
        <w:spacing w:line="360" w:lineRule="auto"/>
        <w:ind w:left="1127" w:hanging="560"/>
        <w:jc w:val="left"/>
        <w:rPr>
          <w:noProof/>
        </w:rPr>
      </w:pPr>
      <w:r w:rsidRPr="00623D95">
        <w:t>2.</w:t>
      </w:r>
      <w:r w:rsidRPr="00623D95">
        <w:tab/>
        <w:t xml:space="preserve">Администраторът незабавно уведомява </w:t>
      </w:r>
      <w:r w:rsidRPr="00623D95">
        <w:rPr>
          <w:b/>
          <w:i/>
        </w:rPr>
        <w:t>ЕОЦКП и ако се намира в държава членка,</w:t>
      </w:r>
      <w:r w:rsidRPr="00623D95">
        <w:t xml:space="preserve"> компетентния орган на </w:t>
      </w:r>
      <w:r w:rsidRPr="00623D95">
        <w:rPr>
          <w:b/>
          <w:i/>
        </w:rPr>
        <w:t>тази държава</w:t>
      </w:r>
      <w:r w:rsidRPr="00623D95">
        <w:t xml:space="preserve"> членка ▌, когато един или няколко от неговите бенчмаркове надвишават прага, посочен в параграф 1, буква а). След получаване на уведомлението ▌ЕОЦКП▌ публикува на своя уебсайт декларация, в която се посочва, че бенчмаркът е значим </w:t>
      </w:r>
      <w:r w:rsidRPr="00623D95">
        <w:rPr>
          <w:b/>
          <w:i/>
        </w:rPr>
        <w:t>в една държава членка или в рамките на Съюза</w:t>
      </w:r>
      <w:r w:rsidRPr="00623D95">
        <w:t>.</w:t>
      </w:r>
    </w:p>
    <w:p w:rsidR="00260CA3" w:rsidRPr="00623D95" w:rsidRDefault="00260CA3" w:rsidP="00432061">
      <w:pPr>
        <w:pStyle w:val="Text1"/>
        <w:tabs>
          <w:tab w:val="left" w:pos="1134"/>
        </w:tabs>
        <w:spacing w:line="360" w:lineRule="auto"/>
        <w:ind w:left="1127"/>
        <w:jc w:val="left"/>
        <w:rPr>
          <w:noProof/>
        </w:rPr>
      </w:pPr>
      <w:r w:rsidRPr="00623D95">
        <w:t xml:space="preserve">При поискване администраторът предоставя </w:t>
      </w:r>
      <w:r w:rsidRPr="00623D95">
        <w:rPr>
          <w:b/>
          <w:i/>
        </w:rPr>
        <w:t>на ЕОЦКП и</w:t>
      </w:r>
      <w:r w:rsidRPr="00623D95">
        <w:t xml:space="preserve"> на компетентния орган на държавата членка, в която се намира,▌ информация за това дали посоченият в параграф 1, буква а) праг е бил действително превишен.</w:t>
      </w:r>
    </w:p>
    <w:p w:rsidR="00260CA3" w:rsidRPr="00623D95" w:rsidRDefault="00260CA3" w:rsidP="00432061">
      <w:pPr>
        <w:pStyle w:val="Text1"/>
        <w:tabs>
          <w:tab w:val="left" w:pos="1134"/>
        </w:tabs>
        <w:spacing w:line="360" w:lineRule="auto"/>
        <w:ind w:left="1127"/>
        <w:jc w:val="left"/>
        <w:rPr>
          <w:noProof/>
        </w:rPr>
      </w:pPr>
      <w:r w:rsidRPr="00623D95">
        <w:t xml:space="preserve">Когато компетентен орган или▌ ЕОЦКП има ясни и доказуеми основания да счита, че даден бенчмарк надвишава прага, посочен в параграф 1, буква а), компетентният орган или ЕОЦКП може да издаде известие, в което посочва този факт. Задълженията, които това известие поражда за администратора на бенчмарк, са същите </w:t>
      </w:r>
      <w:bookmarkStart w:id="10" w:name="_Hlk147499634"/>
      <w:r w:rsidRPr="00623D95">
        <w:t>както при посоченото в параграф 2 уведомление.</w:t>
      </w:r>
      <w:bookmarkEnd w:id="10"/>
      <w:r w:rsidRPr="00623D95">
        <w:t xml:space="preserve"> Най-малко 10 работни дни преди издаването на такова известие компетентният орган или ЕОЦКП информира администратора на съответния бенчмарк за своите констатации и го приканва да представи евентуални становища.</w:t>
      </w:r>
    </w:p>
    <w:p w:rsidR="00260CA3" w:rsidRPr="00623D95" w:rsidRDefault="00260CA3" w:rsidP="00432061">
      <w:pPr>
        <w:pStyle w:val="Text1"/>
        <w:tabs>
          <w:tab w:val="left" w:pos="1134"/>
        </w:tabs>
        <w:spacing w:line="360" w:lineRule="auto"/>
        <w:ind w:left="1127" w:hanging="560"/>
        <w:jc w:val="left"/>
        <w:rPr>
          <w:noProof/>
        </w:rPr>
      </w:pPr>
      <w:r w:rsidRPr="00623D95">
        <w:lastRenderedPageBreak/>
        <w:t>3.</w:t>
      </w:r>
      <w:r w:rsidRPr="00623D95">
        <w:tab/>
        <w:t>След като се консултира с ЕОЦКП в съответствие с параграф 4 и като вземе предвид неговото становище, компетентният орган може да определи бенчмарк, който е изготвен от намиращ се в Съюза администратор и не отговаря на условието по параграф 1, буква а), като значим, когато този бенчмарк отговаря на всяко едно от следните условия:</w:t>
      </w:r>
    </w:p>
    <w:p w:rsidR="00260CA3" w:rsidRPr="00623D95" w:rsidRDefault="00260CA3" w:rsidP="00432061">
      <w:pPr>
        <w:pStyle w:val="Text1"/>
        <w:spacing w:line="360" w:lineRule="auto"/>
        <w:ind w:left="1701" w:hanging="567"/>
        <w:jc w:val="left"/>
        <w:rPr>
          <w:noProof/>
        </w:rPr>
      </w:pPr>
      <w:r w:rsidRPr="00623D95">
        <w:t xml:space="preserve">а) </w:t>
      </w:r>
      <w:r w:rsidR="00432061">
        <w:tab/>
      </w:r>
      <w:r w:rsidRPr="00623D95">
        <w:t xml:space="preserve">бенчмаркът няма или има малко на брой подходящи пазарно базирани заместители; </w:t>
      </w:r>
    </w:p>
    <w:p w:rsidR="00260CA3" w:rsidRPr="00623D95" w:rsidRDefault="00260CA3" w:rsidP="00432061">
      <w:pPr>
        <w:pStyle w:val="Text1"/>
        <w:spacing w:line="360" w:lineRule="auto"/>
        <w:ind w:left="1701" w:hanging="567"/>
        <w:jc w:val="left"/>
        <w:rPr>
          <w:noProof/>
        </w:rPr>
      </w:pPr>
      <w:r w:rsidRPr="00623D95">
        <w:t xml:space="preserve">б) </w:t>
      </w:r>
      <w:r w:rsidR="00432061">
        <w:tab/>
      </w:r>
      <w:r w:rsidRPr="00623D95">
        <w:t xml:space="preserve">в случай че изготвянето на бенчмарка бъде прекратено или той се изготвя въз основа на входящи данни, които вече не са напълно представителни за базовия пазар или икономическата действителност, или въз основа на входящи данни, които не са надеждни, това би довело до значително и неблагоприятно въздействие върху ▌ финансовата стабилност, потребителите, реалната икономика или финансирането на домакинствата и предприятията в държавата членка на компетентния орган </w:t>
      </w:r>
      <w:r w:rsidRPr="00623D95">
        <w:rPr>
          <w:b/>
          <w:i/>
        </w:rPr>
        <w:t>или в Съюза</w:t>
      </w:r>
      <w:r w:rsidRPr="00623D95">
        <w:t>;</w:t>
      </w:r>
    </w:p>
    <w:p w:rsidR="00260CA3" w:rsidRPr="00623D95" w:rsidRDefault="00260CA3" w:rsidP="00432061">
      <w:pPr>
        <w:pStyle w:val="Text1"/>
        <w:spacing w:line="360" w:lineRule="auto"/>
        <w:ind w:left="1701" w:hanging="567"/>
        <w:jc w:val="left"/>
        <w:rPr>
          <w:noProof/>
        </w:rPr>
      </w:pPr>
      <w:r w:rsidRPr="00623D95">
        <w:t xml:space="preserve">в) </w:t>
      </w:r>
      <w:r w:rsidR="00432061">
        <w:tab/>
      </w:r>
      <w:r w:rsidRPr="00623D95">
        <w:t xml:space="preserve">бенчмаркът не е бил определен от компетентен орган на друга държава членка </w:t>
      </w:r>
      <w:r w:rsidRPr="00623D95">
        <w:rPr>
          <w:b/>
          <w:i/>
        </w:rPr>
        <w:t>или от ЕОЦКП</w:t>
      </w:r>
      <w:r w:rsidRPr="00623D95">
        <w:t>.</w:t>
      </w:r>
    </w:p>
    <w:p w:rsidR="00260CA3" w:rsidRPr="00623D95" w:rsidRDefault="00260CA3" w:rsidP="00432061">
      <w:pPr>
        <w:pStyle w:val="Text1"/>
        <w:spacing w:line="360" w:lineRule="auto"/>
        <w:ind w:left="1127"/>
        <w:jc w:val="left"/>
        <w:rPr>
          <w:noProof/>
        </w:rPr>
      </w:pPr>
      <w:r w:rsidRPr="00623D95">
        <w:t>Когато стигне до заключението, че даден бенчмарк отговаря на предвидените в първа алинея критерии, компетентният орган изготвя проекторешение за определяне на бенчмарка като значим и уведомява съответния администратор и компетентния орган на държавата членка по произход на администратора, когато е приложимо. Съответният компетентен орган се консултира и с ЕОЦКП относно проекторешението.</w:t>
      </w:r>
    </w:p>
    <w:p w:rsidR="00260CA3" w:rsidRPr="00623D95" w:rsidRDefault="00260CA3" w:rsidP="00432061">
      <w:pPr>
        <w:pStyle w:val="Text1"/>
        <w:spacing w:line="360" w:lineRule="auto"/>
        <w:ind w:left="1127"/>
        <w:jc w:val="left"/>
        <w:rPr>
          <w:noProof/>
        </w:rPr>
      </w:pPr>
      <w:r w:rsidRPr="00623D95">
        <w:t xml:space="preserve">Съответните администратори и компетентният орган на държавата членка по произход на администратора разполагат с 15 работни дни от датата на уведомяване за проекторешението на определящия компетентен орган, за да представят писмени становища и коментари. Съответният определящ компетентен орган информира ЕОЦКП за получените становища и коментари и надлежно ги разглежда, преди да приеме окончателно решение. </w:t>
      </w:r>
    </w:p>
    <w:p w:rsidR="00260CA3" w:rsidRPr="00623D95" w:rsidRDefault="00260CA3" w:rsidP="00432061">
      <w:pPr>
        <w:pStyle w:val="Text1"/>
        <w:spacing w:line="360" w:lineRule="auto"/>
        <w:ind w:left="1127"/>
        <w:jc w:val="left"/>
        <w:rPr>
          <w:noProof/>
        </w:rPr>
      </w:pPr>
      <w:r w:rsidRPr="00623D95">
        <w:t>Определящият компетентен орган уведомява без ненужно забавяне ЕОЦКП за решението си и го публикува на своя уебсайт, включително причините за него и последиците от определянето.</w:t>
      </w:r>
    </w:p>
    <w:p w:rsidR="00260CA3" w:rsidRPr="00623D95" w:rsidRDefault="00260CA3" w:rsidP="00432061">
      <w:pPr>
        <w:pStyle w:val="Text1"/>
        <w:tabs>
          <w:tab w:val="left" w:pos="1134"/>
        </w:tabs>
        <w:spacing w:line="360" w:lineRule="auto"/>
        <w:ind w:left="1127" w:hanging="560"/>
        <w:jc w:val="left"/>
        <w:rPr>
          <w:noProof/>
        </w:rPr>
      </w:pPr>
      <w:r w:rsidRPr="00623D95">
        <w:lastRenderedPageBreak/>
        <w:t xml:space="preserve">4. </w:t>
      </w:r>
      <w:r w:rsidRPr="00623D95">
        <w:tab/>
        <w:t>Когато консултира компетентен орган относно планираното определяне на бенчмарк като значим в съответствие с параграф 3, първа алинея, ЕОЦКП издава в срок от 3 месеца становище, в което са взети предвид следните фактори с оглед на специфичните характеристики на съответния бенчмарк:</w:t>
      </w:r>
    </w:p>
    <w:p w:rsidR="00260CA3" w:rsidRPr="00623D95" w:rsidRDefault="00260CA3" w:rsidP="00432061">
      <w:pPr>
        <w:pStyle w:val="Text1"/>
        <w:spacing w:line="360" w:lineRule="auto"/>
        <w:ind w:left="1440"/>
        <w:jc w:val="left"/>
        <w:rPr>
          <w:noProof/>
        </w:rPr>
      </w:pPr>
      <w:r w:rsidRPr="00623D95">
        <w:t>а) дали консултираният компетентен орган е обосновал в достатъчна степен изпълнението на условията, посочени в параграф 3, първа алинея, в своята оценка;</w:t>
      </w:r>
    </w:p>
    <w:p w:rsidR="00260CA3" w:rsidRPr="00623D95" w:rsidRDefault="00260CA3" w:rsidP="00432061">
      <w:pPr>
        <w:pStyle w:val="Text1"/>
        <w:spacing w:line="360" w:lineRule="auto"/>
        <w:ind w:left="1440"/>
        <w:jc w:val="left"/>
        <w:rPr>
          <w:noProof/>
        </w:rPr>
      </w:pPr>
      <w:r w:rsidRPr="00623D95">
        <w:t xml:space="preserve">б) дали в случай че изготвянето на бенчмарка бъде прекратено или той се изготвя въз основа на входящи данни, които вече не са напълно представителни за базовия пазар или икономическата действителност или които не са надеждни, това би довело до значително и неблагоприятно въздействие върху▌ финансовата стабилност, потребителите, реалната икономика или финансирането на домакинствата и предприятията </w:t>
      </w:r>
      <w:r w:rsidRPr="00623D95">
        <w:rPr>
          <w:b/>
          <w:i/>
        </w:rPr>
        <w:t>в Съюза или</w:t>
      </w:r>
      <w:r w:rsidRPr="00623D95">
        <w:t xml:space="preserve"> в държави членки, различни от държавата членка на консултирания компетентен орган. </w:t>
      </w:r>
    </w:p>
    <w:p w:rsidR="00260CA3" w:rsidRPr="00623D95" w:rsidRDefault="00260CA3" w:rsidP="00432061">
      <w:pPr>
        <w:pStyle w:val="Text1"/>
        <w:tabs>
          <w:tab w:val="left" w:pos="1134"/>
        </w:tabs>
        <w:spacing w:line="360" w:lineRule="auto"/>
        <w:ind w:left="1127"/>
        <w:jc w:val="left"/>
        <w:rPr>
          <w:noProof/>
        </w:rPr>
      </w:pPr>
      <w:r w:rsidRPr="00623D95">
        <w:t>За целите на буква б) ЕОЦКП надлежно взема предвид, когато е приложимо, информацията, предоставена от консултирания орган съгласно параграф 3, трета алинея.</w:t>
      </w:r>
    </w:p>
    <w:p w:rsidR="00260CA3" w:rsidRPr="00623D95" w:rsidRDefault="00260CA3" w:rsidP="00432061">
      <w:pPr>
        <w:pStyle w:val="Text1"/>
        <w:tabs>
          <w:tab w:val="left" w:pos="1134"/>
        </w:tabs>
        <w:spacing w:line="360" w:lineRule="auto"/>
        <w:ind w:left="1127" w:hanging="560"/>
        <w:jc w:val="left"/>
        <w:rPr>
          <w:noProof/>
        </w:rPr>
      </w:pPr>
      <w:r w:rsidRPr="00623D95">
        <w:t xml:space="preserve">5. </w:t>
      </w:r>
      <w:r w:rsidRPr="00623D95">
        <w:tab/>
        <w:t xml:space="preserve">Когато ЕОЦКП установи, че даден бенчмарк отговаря на условията по параграф 3, </w:t>
      </w:r>
      <w:r w:rsidRPr="00623D95">
        <w:rPr>
          <w:b/>
          <w:i/>
        </w:rPr>
        <w:t>първа алинея,</w:t>
      </w:r>
      <w:r w:rsidRPr="00623D95">
        <w:t xml:space="preserve"> букви а) </w:t>
      </w:r>
      <w:r w:rsidRPr="00623D95">
        <w:rPr>
          <w:b/>
          <w:i/>
        </w:rPr>
        <w:t>и б)</w:t>
      </w:r>
      <w:r w:rsidRPr="00623D95">
        <w:t xml:space="preserve"> в </w:t>
      </w:r>
      <w:r w:rsidRPr="00623D95">
        <w:rPr>
          <w:b/>
          <w:i/>
        </w:rPr>
        <w:t>Съюза или в</w:t>
      </w:r>
      <w:r w:rsidRPr="00623D95">
        <w:t xml:space="preserve"> повече от една държава членка, той информира за това компетентните органи на съответните държави членки. ▌</w:t>
      </w:r>
    </w:p>
    <w:p w:rsidR="00260CA3" w:rsidRPr="00623D95" w:rsidRDefault="00260CA3" w:rsidP="00432061">
      <w:pPr>
        <w:pStyle w:val="Text1"/>
        <w:tabs>
          <w:tab w:val="left" w:pos="1134"/>
        </w:tabs>
        <w:spacing w:line="360" w:lineRule="auto"/>
        <w:ind w:left="1127"/>
        <w:jc w:val="left"/>
        <w:rPr>
          <w:noProof/>
        </w:rPr>
      </w:pPr>
      <w:r w:rsidRPr="00623D95">
        <w:rPr>
          <w:b/>
          <w:i/>
        </w:rPr>
        <w:t>ЕОЦКП изготвя проект на решение за определяне на бенчмарка като значим в рамките на Съюза и уведомява съответния администратор и съответните компетентни органи, когато се прилага буква б). Съответните администратори и съответните компетентни органи разполагат с 15 работни дни от датата на уведомлението относно проекта на решение на ЕОЦКП, за да представят писмени забележки и коментари.</w:t>
      </w:r>
      <w:r w:rsidRPr="00623D95">
        <w:t xml:space="preserve"> ЕОЦКП </w:t>
      </w:r>
      <w:r w:rsidRPr="00623D95">
        <w:rPr>
          <w:b/>
          <w:i/>
        </w:rPr>
        <w:t>взема под внимание тези забележки и коментари, преди да приеме и публикува окончателно решение</w:t>
      </w:r>
      <w:r w:rsidRPr="00623D95">
        <w:t xml:space="preserve">. </w:t>
      </w:r>
    </w:p>
    <w:p w:rsidR="00260CA3" w:rsidRPr="00623D95" w:rsidRDefault="00260CA3" w:rsidP="00432061">
      <w:pPr>
        <w:pStyle w:val="Text1"/>
        <w:tabs>
          <w:tab w:val="left" w:pos="1134"/>
        </w:tabs>
        <w:spacing w:line="360" w:lineRule="auto"/>
        <w:ind w:left="1127" w:hanging="560"/>
        <w:jc w:val="left"/>
        <w:rPr>
          <w:noProof/>
        </w:rPr>
      </w:pPr>
      <w:r w:rsidRPr="00623D95">
        <w:t xml:space="preserve">6. </w:t>
      </w:r>
      <w:r w:rsidRPr="00623D95">
        <w:tab/>
        <w:t xml:space="preserve">По искане на компетентен орган </w:t>
      </w:r>
      <w:r w:rsidRPr="00623D95">
        <w:rPr>
          <w:b/>
          <w:i/>
        </w:rPr>
        <w:t>или по собствена инициатива</w:t>
      </w:r>
      <w:r w:rsidRPr="00623D95">
        <w:t xml:space="preserve"> ЕОЦКП може да определи бенчмарк, който е изготвен от намиращ се в трета </w:t>
      </w:r>
      <w:r w:rsidRPr="00623D95">
        <w:lastRenderedPageBreak/>
        <w:t>държава администратор и не съответства на прага по параграф 1, буква а), като значим, когато този бенчмарк отговаря на всяко едно от следните условия:</w:t>
      </w:r>
    </w:p>
    <w:p w:rsidR="00260CA3" w:rsidRPr="00623D95" w:rsidRDefault="00260CA3" w:rsidP="00432061">
      <w:pPr>
        <w:pStyle w:val="Text1"/>
        <w:spacing w:line="360" w:lineRule="auto"/>
        <w:ind w:left="1440"/>
        <w:jc w:val="left"/>
        <w:rPr>
          <w:noProof/>
        </w:rPr>
      </w:pPr>
      <w:r w:rsidRPr="00623D95">
        <w:t xml:space="preserve">а) бенчмаркът няма или има малко на брой подходящи пазарно базирани заместители; </w:t>
      </w:r>
    </w:p>
    <w:p w:rsidR="00260CA3" w:rsidRPr="00623D95" w:rsidRDefault="00260CA3" w:rsidP="00432061">
      <w:pPr>
        <w:pStyle w:val="Text1"/>
        <w:spacing w:line="360" w:lineRule="auto"/>
        <w:ind w:left="1440"/>
        <w:jc w:val="left"/>
        <w:rPr>
          <w:noProof/>
        </w:rPr>
      </w:pPr>
      <w:r w:rsidRPr="00623D95">
        <w:t xml:space="preserve">б) в случай че изготвянето на бенчмарка бъде прекратено или той се изготвя въз основа на входящи данни, които вече не са напълно представителни за базовия пазар или икономическата действителност или които не са надеждни, това би довело до значително и неблагоприятно въздействие върху ▌, финансовата стабилност, потребителите, реалната икономика или финансирането на домакинствата и предприятията </w:t>
      </w:r>
      <w:r w:rsidRPr="00623D95">
        <w:rPr>
          <w:b/>
          <w:i/>
        </w:rPr>
        <w:t>в Съюза</w:t>
      </w:r>
      <w:r w:rsidRPr="00623D95">
        <w:t xml:space="preserve"> или в една или повече държави членки.</w:t>
      </w:r>
    </w:p>
    <w:p w:rsidR="00260CA3" w:rsidRPr="00623D95" w:rsidRDefault="00260CA3" w:rsidP="00432061">
      <w:pPr>
        <w:pStyle w:val="Text1"/>
        <w:spacing w:line="360" w:lineRule="auto"/>
        <w:ind w:left="1127"/>
        <w:jc w:val="left"/>
        <w:rPr>
          <w:noProof/>
        </w:rPr>
      </w:pPr>
      <w:r w:rsidRPr="00623D95">
        <w:t xml:space="preserve">Преди решението за определяне и във възможно най-кратък срок ЕОЦКП информира администратора на бенчмарка за намерението си и го приканва да представи на ЕОЦКП в срок от 15 работни дни мотивирана декларация, съдържаща всякаква информация от значение за целите на оценката, свързана с определянето на бенчмарка като значим. </w:t>
      </w:r>
    </w:p>
    <w:p w:rsidR="00260CA3" w:rsidRPr="00623D95" w:rsidRDefault="00260CA3" w:rsidP="00432061">
      <w:pPr>
        <w:pStyle w:val="Text1"/>
        <w:spacing w:line="360" w:lineRule="auto"/>
        <w:ind w:left="1127"/>
        <w:jc w:val="left"/>
        <w:rPr>
          <w:noProof/>
        </w:rPr>
      </w:pPr>
      <w:r w:rsidRPr="00623D95">
        <w:t>Когато е приложимо, ЕОЦКП приканва възможно най-бързо компетентния орган на юрисдикцията, в която се намира администраторът, да предостави всякаква информация от значение за целите на оценката, свързана с определянето на бенчмарка.</w:t>
      </w:r>
    </w:p>
    <w:p w:rsidR="00260CA3" w:rsidRPr="00623D95" w:rsidRDefault="00260CA3" w:rsidP="00432061">
      <w:pPr>
        <w:pStyle w:val="Text1"/>
        <w:tabs>
          <w:tab w:val="left" w:pos="1134"/>
        </w:tabs>
        <w:spacing w:line="360" w:lineRule="auto"/>
        <w:ind w:left="1127"/>
        <w:jc w:val="left"/>
        <w:rPr>
          <w:noProof/>
        </w:rPr>
      </w:pPr>
      <w:r w:rsidRPr="00623D95">
        <w:t>ЕОЦКП мотивира всяко решение за определяне, като взема предвид дали са налице достатъчно доказателства, че са изпълнени условията, посочени в първа алинея от настоящия параграф, с оглед на специфичните характеристики на съответния бенчмарк.</w:t>
      </w:r>
    </w:p>
    <w:p w:rsidR="00260CA3" w:rsidRPr="00623D95" w:rsidRDefault="00260CA3" w:rsidP="00432061">
      <w:pPr>
        <w:pStyle w:val="Text1"/>
        <w:tabs>
          <w:tab w:val="left" w:pos="1134"/>
        </w:tabs>
        <w:spacing w:line="360" w:lineRule="auto"/>
        <w:ind w:left="1127"/>
        <w:jc w:val="left"/>
        <w:rPr>
          <w:noProof/>
        </w:rPr>
      </w:pPr>
      <w:r w:rsidRPr="00623D95">
        <w:t>ЕОЦКП публикува мотивираното си решение на своя уебсайт и уведомява без ненужно забавяне запитващия компетентен орган или органи.</w:t>
      </w:r>
    </w:p>
    <w:p w:rsidR="00260CA3" w:rsidRPr="00623D95" w:rsidRDefault="00260CA3" w:rsidP="00432061">
      <w:pPr>
        <w:pStyle w:val="Text1"/>
        <w:tabs>
          <w:tab w:val="left" w:pos="567"/>
        </w:tabs>
        <w:spacing w:line="360" w:lineRule="auto"/>
        <w:ind w:left="1134" w:hanging="567"/>
        <w:jc w:val="left"/>
        <w:rPr>
          <w:b/>
          <w:i/>
          <w:noProof/>
        </w:rPr>
      </w:pPr>
      <w:r w:rsidRPr="00623D95">
        <w:rPr>
          <w:b/>
          <w:i/>
        </w:rPr>
        <w:t>6a.</w:t>
      </w:r>
      <w:r w:rsidRPr="00623D95">
        <w:rPr>
          <w:b/>
          <w:i/>
        </w:rPr>
        <w:tab/>
        <w:t xml:space="preserve">Администраторите на бенчмаркове, които не отговарят на изискванията, за да се считат за критични, значими стокови бенчмаркове, за които се прилага приложение II, бенчмаркове на ЕС за климатичен преход, бенчмаркове на ЕС, съответстващи на Парижкото споразумение, могат доброволно да кандидатстват за достъп до </w:t>
      </w:r>
      <w:r w:rsidRPr="00623D95">
        <w:rPr>
          <w:b/>
          <w:i/>
        </w:rPr>
        <w:lastRenderedPageBreak/>
        <w:t>регистъра, предвиден в член 36, чрез лицензиране, признаване на регистрация или одобрение.</w:t>
      </w:r>
    </w:p>
    <w:p w:rsidR="00260CA3" w:rsidRPr="00623D95" w:rsidRDefault="00260CA3" w:rsidP="00432061">
      <w:pPr>
        <w:pStyle w:val="Text1"/>
        <w:tabs>
          <w:tab w:val="left" w:pos="567"/>
        </w:tabs>
        <w:spacing w:line="360" w:lineRule="auto"/>
        <w:ind w:left="1134" w:hanging="1134"/>
        <w:jc w:val="left"/>
        <w:rPr>
          <w:b/>
          <w:i/>
          <w:noProof/>
        </w:rPr>
      </w:pPr>
      <w:r w:rsidRPr="00623D95">
        <w:rPr>
          <w:b/>
          <w:i/>
        </w:rPr>
        <w:tab/>
      </w:r>
      <w:r w:rsidRPr="00623D95">
        <w:rPr>
          <w:b/>
          <w:i/>
        </w:rPr>
        <w:tab/>
        <w:t xml:space="preserve">Администраторите, които доброволно изберат да се присъединят към настоящия регламент, правят това в писмена форма заедно със своя настоящ надзорен орган за всеки бенчмарк, като всеки от тези бенчмаркове се счита за значим бенчмарк съгласно настоящия регламент. </w:t>
      </w:r>
    </w:p>
    <w:p w:rsidR="00260CA3" w:rsidRPr="00623D95" w:rsidRDefault="00260CA3" w:rsidP="00432061">
      <w:pPr>
        <w:pStyle w:val="Text1"/>
        <w:tabs>
          <w:tab w:val="left" w:pos="1134"/>
        </w:tabs>
        <w:spacing w:line="360" w:lineRule="auto"/>
        <w:ind w:left="1127"/>
        <w:jc w:val="left"/>
        <w:rPr>
          <w:i/>
          <w:noProof/>
        </w:rPr>
      </w:pPr>
      <w:r w:rsidRPr="00623D95">
        <w:rPr>
          <w:b/>
          <w:i/>
        </w:rPr>
        <w:tab/>
        <w:t>Доброволното освобождаване от този режим не възпрепятства налагането на съответните административни отговорности в случай на неспазване или нарушение на Регламент (ЕС) 2016/1011 по време на тяхното доброволно пребиваване в регистъра, предвиден в член 36.</w:t>
      </w:r>
      <w:r w:rsidRPr="00623D95">
        <w:t xml:space="preserve"> </w:t>
      </w:r>
      <w:r w:rsidRPr="00623D95">
        <w:rPr>
          <w:i/>
        </w:rPr>
        <w:t xml:space="preserve"> </w:t>
      </w:r>
    </w:p>
    <w:p w:rsidR="00260CA3" w:rsidRPr="00623D95" w:rsidRDefault="00260CA3" w:rsidP="00432061">
      <w:pPr>
        <w:pStyle w:val="Text1"/>
        <w:tabs>
          <w:tab w:val="left" w:pos="1134"/>
        </w:tabs>
        <w:spacing w:line="360" w:lineRule="auto"/>
        <w:ind w:left="1127"/>
        <w:jc w:val="left"/>
        <w:rPr>
          <w:noProof/>
          <w:lang w:eastAsia="en-GB"/>
        </w:rPr>
      </w:pPr>
    </w:p>
    <w:p w:rsidR="00260CA3" w:rsidRPr="00623D95" w:rsidRDefault="00260CA3" w:rsidP="00432061">
      <w:pPr>
        <w:pStyle w:val="Text1"/>
        <w:tabs>
          <w:tab w:val="left" w:pos="1134"/>
        </w:tabs>
        <w:spacing w:line="360" w:lineRule="auto"/>
        <w:ind w:left="1127" w:hanging="560"/>
        <w:jc w:val="left"/>
        <w:rPr>
          <w:noProof/>
        </w:rPr>
      </w:pPr>
      <w:r w:rsidRPr="00623D95">
        <w:t xml:space="preserve">7. </w:t>
      </w:r>
      <w:r w:rsidRPr="00623D95">
        <w:tab/>
      </w:r>
      <w:r w:rsidRPr="00623D95">
        <w:rPr>
          <w:b/>
          <w:i/>
        </w:rPr>
        <w:t>ЕОЦКП разработва проекти на регулаторни технически стандарти</w:t>
      </w:r>
      <w:r w:rsidRPr="00623D95">
        <w:t xml:space="preserve"> за конкретизиране на:</w:t>
      </w:r>
    </w:p>
    <w:p w:rsidR="00260CA3" w:rsidRPr="00623D95" w:rsidRDefault="00260CA3" w:rsidP="00432061">
      <w:pPr>
        <w:pStyle w:val="Text1"/>
        <w:tabs>
          <w:tab w:val="left" w:pos="1134"/>
        </w:tabs>
        <w:spacing w:line="360" w:lineRule="auto"/>
        <w:ind w:left="1127" w:hanging="560"/>
        <w:jc w:val="left"/>
        <w:rPr>
          <w:noProof/>
        </w:rPr>
      </w:pPr>
      <w:r w:rsidRPr="00623D95">
        <w:tab/>
      </w:r>
      <w:r w:rsidRPr="00623D95">
        <w:rPr>
          <w:b/>
          <w:i/>
        </w:rPr>
        <w:t>i)</w:t>
      </w:r>
      <w:r w:rsidRPr="00623D95">
        <w:t xml:space="preserve"> изчислителния метод</w:t>
      </w:r>
      <w:r w:rsidRPr="00623D95">
        <w:rPr>
          <w:b/>
          <w:i/>
        </w:rPr>
        <w:t>, включително потенциалните източници на данни</w:t>
      </w:r>
      <w:r w:rsidRPr="00623D95">
        <w:t>, които да се използват за определяне на прага, посочен в параграф 1, буква а) от настоящия член</w:t>
      </w:r>
      <w:r w:rsidRPr="00623D95">
        <w:rPr>
          <w:b/>
          <w:i/>
        </w:rPr>
        <w:t>;</w:t>
      </w:r>
      <w:r w:rsidRPr="00623D95">
        <w:t xml:space="preserve"> </w:t>
      </w:r>
    </w:p>
    <w:p w:rsidR="00260CA3" w:rsidRPr="00623D95" w:rsidRDefault="00260CA3" w:rsidP="00432061">
      <w:pPr>
        <w:pStyle w:val="Text1"/>
        <w:tabs>
          <w:tab w:val="left" w:pos="1134"/>
        </w:tabs>
        <w:spacing w:line="360" w:lineRule="auto"/>
        <w:ind w:left="1127" w:hanging="560"/>
        <w:jc w:val="left"/>
        <w:rPr>
          <w:b/>
          <w:i/>
          <w:noProof/>
        </w:rPr>
      </w:pPr>
      <w:r w:rsidRPr="00623D95">
        <w:tab/>
      </w:r>
      <w:r w:rsidRPr="00623D95">
        <w:rPr>
          <w:b/>
          <w:i/>
        </w:rPr>
        <w:t>ii) критериите за оценка, когато даден бенчмарк надвишава прага, посочен в член 24, параграф 1, буква а), в една държава членка или в целия Съюз;</w:t>
      </w:r>
    </w:p>
    <w:p w:rsidR="00260CA3" w:rsidRPr="00623D95" w:rsidRDefault="00260CA3" w:rsidP="00432061">
      <w:pPr>
        <w:pStyle w:val="Text1"/>
        <w:tabs>
          <w:tab w:val="left" w:pos="1134"/>
        </w:tabs>
        <w:spacing w:line="360" w:lineRule="auto"/>
        <w:ind w:left="1127" w:hanging="560"/>
        <w:jc w:val="left"/>
        <w:rPr>
          <w:b/>
          <w:i/>
          <w:noProof/>
        </w:rPr>
      </w:pPr>
      <w:r w:rsidRPr="00623D95">
        <w:rPr>
          <w:b/>
          <w:i/>
        </w:rPr>
        <w:tab/>
        <w:t>iii) информацията, която компетентните органи предоставят, когато се консултират с ЕОЦКП, както се изисква съгласно член 24, параграф 3;</w:t>
      </w:r>
    </w:p>
    <w:p w:rsidR="00260CA3" w:rsidRPr="00623D95" w:rsidRDefault="00260CA3" w:rsidP="00432061">
      <w:pPr>
        <w:pStyle w:val="Text1"/>
        <w:tabs>
          <w:tab w:val="left" w:pos="1134"/>
        </w:tabs>
        <w:spacing w:line="360" w:lineRule="auto"/>
        <w:ind w:left="1127" w:hanging="560"/>
        <w:jc w:val="left"/>
        <w:rPr>
          <w:b/>
          <w:i/>
          <w:noProof/>
        </w:rPr>
      </w:pPr>
      <w:r w:rsidRPr="00623D95">
        <w:rPr>
          <w:b/>
          <w:i/>
        </w:rPr>
        <w:tab/>
        <w:t>iv) критериите, посочени в член 24, параграф 4, буква б), като се вземат предвид всички данни, които спомагат за оценката на значителното и неблагоприятно въздействие на прекратяването на изготвянето или ненадеждността на бенчмарка върху целостта на пазара, финансовата стабилност, потребителите, реалната икономика или финансирането на домакинствата и предприятията в една или повече държави членки;</w:t>
      </w:r>
    </w:p>
    <w:p w:rsidR="00260CA3" w:rsidRPr="00623D95" w:rsidRDefault="00260CA3" w:rsidP="00432061">
      <w:pPr>
        <w:pStyle w:val="Text1"/>
        <w:tabs>
          <w:tab w:val="left" w:pos="1134"/>
        </w:tabs>
        <w:spacing w:line="360" w:lineRule="auto"/>
        <w:ind w:left="1127" w:hanging="560"/>
        <w:jc w:val="left"/>
        <w:rPr>
          <w:b/>
          <w:i/>
          <w:noProof/>
        </w:rPr>
      </w:pPr>
      <w:r w:rsidRPr="00623D95">
        <w:rPr>
          <w:b/>
          <w:i/>
        </w:rPr>
        <w:lastRenderedPageBreak/>
        <w:tab/>
        <w:t>ЕОЦКП представя на Комисията тези проекти на регулаторни технически стандарти до ... [12 месеца след влизането в сила на настоящия регламент].</w:t>
      </w:r>
    </w:p>
    <w:p w:rsidR="00260CA3" w:rsidRPr="00623D95" w:rsidRDefault="00260CA3" w:rsidP="00432061">
      <w:pPr>
        <w:pStyle w:val="Text1"/>
        <w:tabs>
          <w:tab w:val="left" w:pos="1134"/>
        </w:tabs>
        <w:spacing w:line="360" w:lineRule="auto"/>
        <w:ind w:left="1127" w:hanging="560"/>
        <w:jc w:val="left"/>
        <w:rPr>
          <w:b/>
          <w:i/>
          <w:noProof/>
        </w:rPr>
      </w:pPr>
      <w:r w:rsidRPr="00623D95">
        <w:tab/>
      </w:r>
      <w:r w:rsidRPr="00623D95">
        <w:rPr>
          <w:b/>
          <w:i/>
        </w:rPr>
        <w:t xml:space="preserve">На Комисията се делегира правомощието да допълва настоящия регламент, като приема посочените в първа алинея регулаторни технически стандарти в съответствие с членове 10 – 14 от Регламент (ЕС) № 1095/2010. </w:t>
      </w:r>
    </w:p>
    <w:p w:rsidR="00260CA3" w:rsidRPr="00623D95" w:rsidRDefault="00260CA3" w:rsidP="00432061">
      <w:pPr>
        <w:pStyle w:val="Text1"/>
        <w:tabs>
          <w:tab w:val="left" w:pos="1134"/>
        </w:tabs>
        <w:spacing w:line="360" w:lineRule="auto"/>
        <w:ind w:left="1127" w:hanging="560"/>
        <w:jc w:val="left"/>
        <w:rPr>
          <w:b/>
          <w:i/>
          <w:noProof/>
        </w:rPr>
      </w:pPr>
      <w:r w:rsidRPr="00623D95">
        <w:rPr>
          <w:b/>
          <w:i/>
        </w:rPr>
        <w:t xml:space="preserve">7a. </w:t>
      </w:r>
      <w:r w:rsidRPr="00623D95">
        <w:rPr>
          <w:b/>
          <w:i/>
        </w:rPr>
        <w:tab/>
        <w:t xml:space="preserve">Най-късно до ... [2 години след датата на влизане в сила на настоящия регламент за изменение] Комисията, в тясно сътрудничество с ЕОЦКП, представя доклад на Европейския парламент и на Съвета относно адекватността на прага, посочен в параграф 1, буква а) от настоящия член, с оглед на пазарните, ценовите и регулаторните промени. Когато е целесъобразно, докладът се придружава от законодателно предложение. Този преглед се извършва най-малко веднъж на всеки три години. </w:t>
      </w:r>
    </w:p>
    <w:p w:rsidR="00260CA3" w:rsidRPr="00623D95" w:rsidRDefault="00260CA3" w:rsidP="00432061">
      <w:pPr>
        <w:pStyle w:val="Text1"/>
        <w:tabs>
          <w:tab w:val="left" w:pos="1134"/>
        </w:tabs>
        <w:spacing w:line="360" w:lineRule="auto"/>
        <w:ind w:left="1127" w:hanging="560"/>
        <w:jc w:val="left"/>
        <w:rPr>
          <w:noProof/>
        </w:rPr>
      </w:pPr>
      <w:r w:rsidRPr="00623D95">
        <w:rPr>
          <w:b/>
          <w:i/>
        </w:rPr>
        <w:t xml:space="preserve">7б. </w:t>
      </w:r>
      <w:r w:rsidRPr="00623D95">
        <w:rPr>
          <w:b/>
          <w:i/>
        </w:rPr>
        <w:tab/>
        <w:t>Когато ЕОЦКП прецени, че е уместно прагът, посочен в параграф 1, буква а), да бъде преразгледан по-рано с оглед на пазарните, ценовите и регулаторните промени, той подава искане до Комисията за преразглеждане на прага. При получаване на това искане Комисията преразглежда необходимостта от повторна оценка на прага и предприема действия в съответствие с параграф 7а</w:t>
      </w:r>
      <w:r w:rsidRPr="00623D95">
        <w:t>.;</w:t>
      </w:r>
      <w:r w:rsidRPr="00623D95">
        <w:rPr>
          <w:b/>
          <w:i/>
        </w:rPr>
        <w:tab/>
      </w:r>
    </w:p>
    <w:p w:rsidR="00260CA3" w:rsidRPr="00623D95" w:rsidRDefault="00432061" w:rsidP="00432061">
      <w:pPr>
        <w:pStyle w:val="Point0"/>
        <w:spacing w:line="360" w:lineRule="auto"/>
        <w:jc w:val="left"/>
        <w:rPr>
          <w:noProof/>
        </w:rPr>
      </w:pPr>
      <w:r>
        <w:t>12)</w:t>
      </w:r>
      <w:r>
        <w:tab/>
        <w:t>В</w:t>
      </w:r>
      <w:r w:rsidR="00260CA3" w:rsidRPr="00623D95">
        <w:t xml:space="preserve">мъква се следният член: </w:t>
      </w:r>
    </w:p>
    <w:p w:rsidR="00260CA3" w:rsidRPr="00432061" w:rsidRDefault="00260CA3" w:rsidP="00432061">
      <w:pPr>
        <w:pStyle w:val="Text1"/>
        <w:tabs>
          <w:tab w:val="left" w:pos="1134"/>
        </w:tabs>
        <w:spacing w:line="360" w:lineRule="auto"/>
        <w:ind w:left="851"/>
        <w:jc w:val="left"/>
        <w:rPr>
          <w:noProof/>
        </w:rPr>
      </w:pPr>
      <w:r w:rsidRPr="00623D95">
        <w:t>„</w:t>
      </w:r>
      <w:r w:rsidRPr="00623D95">
        <w:rPr>
          <w:i/>
        </w:rPr>
        <w:t>Член 24a</w:t>
      </w:r>
      <w:r w:rsidR="00432061">
        <w:rPr>
          <w:noProof/>
        </w:rPr>
        <w:br/>
      </w:r>
      <w:r w:rsidRPr="00432061">
        <w:rPr>
          <w:bCs/>
        </w:rPr>
        <w:t>Изисквания за администраторите на значими бенчмаркове</w:t>
      </w:r>
    </w:p>
    <w:p w:rsidR="00260CA3" w:rsidRPr="00623D95" w:rsidRDefault="00260CA3" w:rsidP="00432061">
      <w:pPr>
        <w:pStyle w:val="Point1"/>
        <w:spacing w:line="360" w:lineRule="auto"/>
        <w:jc w:val="left"/>
        <w:rPr>
          <w:noProof/>
        </w:rPr>
      </w:pPr>
      <w:r w:rsidRPr="00623D95">
        <w:t>(1)</w:t>
      </w:r>
      <w:r w:rsidRPr="00623D95">
        <w:tab/>
        <w:t>В срок от 60 работни дни след уведомлението, посочено в член 24, параграф 2, администраторът на бенчмарк, който отговаря на посочения в параграф 1, буква а) от същия член критерий, подава заявление за лиценз или регистрация пред компетентния орган на държавата членка</w:t>
      </w:r>
      <w:r w:rsidRPr="00623D95">
        <w:rPr>
          <w:b/>
          <w:i/>
        </w:rPr>
        <w:t>, в която той е значим, или пред ЕОЦКП, когато бенчмаркът е значим в рамките на Съюза</w:t>
      </w:r>
      <w:r w:rsidRPr="00623D95">
        <w:t xml:space="preserve">. Когато администраторът се намира в трета държава и съответният бенчмарк не е обхванат от решение за еквивалентност, прието съгласно член 30, този администратор подава в срок от 60 работни </w:t>
      </w:r>
      <w:r w:rsidRPr="00623D95">
        <w:lastRenderedPageBreak/>
        <w:t xml:space="preserve">дни след уведомлението, посочено в член 24, параграф 2, заявление </w:t>
      </w:r>
      <w:r w:rsidRPr="00623D95">
        <w:rPr>
          <w:b/>
          <w:i/>
        </w:rPr>
        <w:t>пред ЕОЦКП</w:t>
      </w:r>
      <w:r w:rsidRPr="00623D95">
        <w:t xml:space="preserve"> за едно от следните: </w:t>
      </w:r>
    </w:p>
    <w:p w:rsidR="00260CA3" w:rsidRPr="00623D95" w:rsidRDefault="00260CA3" w:rsidP="00432061">
      <w:pPr>
        <w:pStyle w:val="Point2"/>
        <w:spacing w:line="360" w:lineRule="auto"/>
        <w:jc w:val="left"/>
        <w:rPr>
          <w:noProof/>
        </w:rPr>
      </w:pPr>
      <w:r w:rsidRPr="00623D95">
        <w:t>а)</w:t>
      </w:r>
      <w:r w:rsidRPr="00623D95">
        <w:tab/>
        <w:t>признаване ▌съгласно предвидената в член 32 процедура;</w:t>
      </w:r>
    </w:p>
    <w:p w:rsidR="00260CA3" w:rsidRPr="00623D95" w:rsidRDefault="00260CA3" w:rsidP="00432061">
      <w:pPr>
        <w:pStyle w:val="Point2"/>
        <w:spacing w:line="360" w:lineRule="auto"/>
        <w:jc w:val="left"/>
        <w:rPr>
          <w:noProof/>
        </w:rPr>
      </w:pPr>
      <w:r w:rsidRPr="00623D95">
        <w:t>б)</w:t>
      </w:r>
      <w:r w:rsidRPr="00623D95">
        <w:tab/>
        <w:t>одобряване съгласно предвидената в член 33 процедура.</w:t>
      </w:r>
    </w:p>
    <w:p w:rsidR="00260CA3" w:rsidRPr="00623D95" w:rsidRDefault="00260CA3" w:rsidP="00432061">
      <w:pPr>
        <w:pStyle w:val="Point1"/>
        <w:spacing w:line="360" w:lineRule="auto"/>
        <w:jc w:val="left"/>
        <w:rPr>
          <w:noProof/>
        </w:rPr>
      </w:pPr>
      <w:r w:rsidRPr="00623D95">
        <w:t>(2)</w:t>
      </w:r>
      <w:r w:rsidRPr="00623D95">
        <w:tab/>
        <w:t xml:space="preserve">В срок от 60 работни дни след определянето, посочено в член 24, параграф 3, администраторът на съответния бенчмарк — ако този администратор все още не е лицензиран или регистриран </w:t>
      </w:r>
      <w:r w:rsidRPr="00623D95">
        <w:rPr>
          <w:b/>
          <w:i/>
        </w:rPr>
        <w:t>от национален компетентен орган</w:t>
      </w:r>
      <w:r w:rsidRPr="00623D95">
        <w:t>, подава заявление за лиценз или регистрация пред определящия компетентен орган в съответствие с член 34.</w:t>
      </w:r>
    </w:p>
    <w:p w:rsidR="00260CA3" w:rsidRPr="00623D95" w:rsidRDefault="00260CA3" w:rsidP="00432061">
      <w:pPr>
        <w:pStyle w:val="Point1"/>
        <w:spacing w:line="360" w:lineRule="auto"/>
        <w:jc w:val="left"/>
        <w:rPr>
          <w:b/>
          <w:i/>
          <w:noProof/>
        </w:rPr>
      </w:pPr>
      <w:r w:rsidRPr="00623D95">
        <w:rPr>
          <w:b/>
          <w:i/>
        </w:rPr>
        <w:t>(2a)</w:t>
      </w:r>
      <w:r w:rsidRPr="00623D95">
        <w:rPr>
          <w:b/>
          <w:i/>
        </w:rPr>
        <w:tab/>
        <w:t>В срок от 60 работни дни след определянето, посочено в член 24, параграф 5, администраторът на съответния бенчмарк, подава заявление за лиценз или регистрация пред ЕОЦКП в съответствие с член 34, ако този администратор все още не е лицензиран или регистриран. Ако този администратор вече е лицензиран или регистриран в държава членка, този лиценз или регистрация се прехвърля на ЕОЦКП.</w:t>
      </w:r>
    </w:p>
    <w:p w:rsidR="00260CA3" w:rsidRPr="00623D95" w:rsidRDefault="00260CA3" w:rsidP="00606586">
      <w:pPr>
        <w:pStyle w:val="Point1"/>
        <w:spacing w:line="360" w:lineRule="auto"/>
        <w:jc w:val="left"/>
        <w:rPr>
          <w:noProof/>
        </w:rPr>
      </w:pPr>
      <w:r w:rsidRPr="00623D95">
        <w:t xml:space="preserve"> (3)</w:t>
      </w:r>
      <w:r w:rsidRPr="00623D95">
        <w:tab/>
        <w:t xml:space="preserve">В срок от 60 работни дни след определянето, посочено в член 24, параграф 6, администраторът на съответния бенчмарк ▌подава заявление </w:t>
      </w:r>
      <w:r w:rsidRPr="00623D95">
        <w:rPr>
          <w:b/>
          <w:i/>
        </w:rPr>
        <w:t>пред ЕОЦКП</w:t>
      </w:r>
      <w:r w:rsidRPr="00623D95">
        <w:t xml:space="preserve"> за едно от следните:</w:t>
      </w:r>
    </w:p>
    <w:p w:rsidR="00260CA3" w:rsidRPr="00623D95" w:rsidRDefault="00260CA3" w:rsidP="00432061">
      <w:pPr>
        <w:pStyle w:val="Point2"/>
        <w:spacing w:line="360" w:lineRule="auto"/>
        <w:jc w:val="left"/>
        <w:rPr>
          <w:noProof/>
        </w:rPr>
      </w:pPr>
      <w:r w:rsidRPr="00623D95">
        <w:t>а)</w:t>
      </w:r>
      <w:r w:rsidRPr="00623D95">
        <w:tab/>
        <w:t xml:space="preserve"> признаване▌ съгласно предвидената в член 32 процедура;</w:t>
      </w:r>
    </w:p>
    <w:p w:rsidR="00260CA3" w:rsidRPr="00623D95" w:rsidRDefault="00260CA3" w:rsidP="00432061">
      <w:pPr>
        <w:pStyle w:val="Point2"/>
        <w:spacing w:line="360" w:lineRule="auto"/>
        <w:jc w:val="left"/>
        <w:rPr>
          <w:noProof/>
        </w:rPr>
      </w:pPr>
      <w:r w:rsidRPr="00623D95">
        <w:t>б)</w:t>
      </w:r>
      <w:r w:rsidRPr="00623D95">
        <w:tab/>
        <w:t>одобряване съгласно предвидената в член 33 процедура.</w:t>
      </w:r>
    </w:p>
    <w:p w:rsidR="00260CA3" w:rsidRPr="00623D95" w:rsidRDefault="00260CA3" w:rsidP="00432061">
      <w:pPr>
        <w:pStyle w:val="Point2"/>
        <w:spacing w:line="360" w:lineRule="auto"/>
        <w:ind w:left="1418" w:firstLine="0"/>
        <w:jc w:val="left"/>
        <w:rPr>
          <w:b/>
          <w:i/>
          <w:noProof/>
        </w:rPr>
      </w:pPr>
      <w:r w:rsidRPr="00623D95">
        <w:rPr>
          <w:b/>
          <w:i/>
        </w:rPr>
        <w:t>Администраторите на бенчмаркове от трети държави избират одобряващ администратор в Съюза.</w:t>
      </w:r>
    </w:p>
    <w:p w:rsidR="00260CA3" w:rsidRPr="00623D95" w:rsidRDefault="00260CA3" w:rsidP="00432061">
      <w:pPr>
        <w:pStyle w:val="Point1"/>
        <w:spacing w:line="360" w:lineRule="auto"/>
        <w:jc w:val="left"/>
        <w:rPr>
          <w:noProof/>
        </w:rPr>
      </w:pPr>
      <w:r w:rsidRPr="00623D95">
        <w:t>(4)</w:t>
      </w:r>
      <w:r w:rsidRPr="00623D95">
        <w:tab/>
        <w:t>ЕОЦКП или компетентните органи използват предоставените им с настоящия регламент надзорни правомощия и правомощия за налагане на санкции, за да гарантират, че съответните администратори спазват задълженията си.</w:t>
      </w:r>
    </w:p>
    <w:p w:rsidR="00260CA3" w:rsidRPr="00623D95" w:rsidRDefault="00260CA3" w:rsidP="00432061">
      <w:pPr>
        <w:pStyle w:val="Point1"/>
        <w:spacing w:line="360" w:lineRule="auto"/>
        <w:jc w:val="left"/>
        <w:rPr>
          <w:noProof/>
        </w:rPr>
      </w:pPr>
      <w:r w:rsidRPr="00623D95">
        <w:t>(5)</w:t>
      </w:r>
      <w:r w:rsidRPr="00623D95">
        <w:tab/>
        <w:t xml:space="preserve">Компетентният орган или ЕОЦКП издава публично известие, в което се посочва, че изготвен от администратор значим бенчмарк не е в съответствие с настоящия регламент и че ползвателите трябва да се </w:t>
      </w:r>
      <w:r w:rsidRPr="00623D95">
        <w:lastRenderedPageBreak/>
        <w:t xml:space="preserve">въздържат от използването на този бенчмарк, когато е изпълнено някое от следните условия: </w:t>
      </w:r>
    </w:p>
    <w:p w:rsidR="00260CA3" w:rsidRPr="00623D95" w:rsidRDefault="00260CA3" w:rsidP="00432061">
      <w:pPr>
        <w:pStyle w:val="Point2"/>
        <w:spacing w:line="360" w:lineRule="auto"/>
        <w:jc w:val="left"/>
        <w:rPr>
          <w:noProof/>
        </w:rPr>
      </w:pPr>
      <w:r w:rsidRPr="00623D95">
        <w:t>а)</w:t>
      </w:r>
      <w:r w:rsidRPr="00623D95">
        <w:tab/>
        <w:t>в срок от 60 работни дни след уведомлението, посочено в член 24, параграф 2, определянето, посочено в член 24, параграф 3, или определянето, посочено в член 24, параграф 6, съответният администратор не е започнал процедури за спазване на параграф 2 от настоящия член;</w:t>
      </w:r>
    </w:p>
    <w:p w:rsidR="00260CA3" w:rsidRPr="00623D95" w:rsidRDefault="00260CA3" w:rsidP="00432061">
      <w:pPr>
        <w:pStyle w:val="Point2"/>
        <w:spacing w:line="360" w:lineRule="auto"/>
        <w:jc w:val="left"/>
        <w:rPr>
          <w:noProof/>
        </w:rPr>
      </w:pPr>
      <w:r w:rsidRPr="00623D95">
        <w:t>б)</w:t>
      </w:r>
      <w:r w:rsidRPr="00623D95">
        <w:tab/>
        <w:t>процедурите за лицензиране, регистрация, признаване или одобряване са неуспешни;</w:t>
      </w:r>
    </w:p>
    <w:p w:rsidR="00260CA3" w:rsidRPr="00623D95" w:rsidRDefault="00260CA3" w:rsidP="00432061">
      <w:pPr>
        <w:pStyle w:val="Point2"/>
        <w:spacing w:line="360" w:lineRule="auto"/>
        <w:jc w:val="left"/>
        <w:rPr>
          <w:noProof/>
        </w:rPr>
      </w:pPr>
      <w:r w:rsidRPr="00623D95">
        <w:t>в)</w:t>
      </w:r>
      <w:r w:rsidRPr="00623D95">
        <w:tab/>
        <w:t>ЕОЦКП е заличил регистрацията на администратора в съответствие с член 31;</w:t>
      </w:r>
    </w:p>
    <w:p w:rsidR="00260CA3" w:rsidRPr="00623D95" w:rsidRDefault="00260CA3" w:rsidP="00432061">
      <w:pPr>
        <w:pStyle w:val="Point2"/>
        <w:spacing w:line="360" w:lineRule="auto"/>
        <w:jc w:val="left"/>
        <w:rPr>
          <w:noProof/>
        </w:rPr>
      </w:pPr>
      <w:r w:rsidRPr="00623D95">
        <w:t>г)</w:t>
      </w:r>
      <w:r w:rsidRPr="00623D95">
        <w:tab/>
        <w:t>ЕОЦКП е оттеглил или спрял действието на признаването на съответния администратор в съответствие с член </w:t>
      </w:r>
      <w:r w:rsidRPr="00623D95">
        <w:rPr>
          <w:b/>
          <w:i/>
        </w:rPr>
        <w:t>32</w:t>
      </w:r>
      <w:r w:rsidRPr="00623D95">
        <w:t>, параграф </w:t>
      </w:r>
      <w:r w:rsidRPr="00623D95">
        <w:rPr>
          <w:b/>
          <w:i/>
        </w:rPr>
        <w:t>8</w:t>
      </w:r>
      <w:r w:rsidRPr="00623D95">
        <w:t>;</w:t>
      </w:r>
    </w:p>
    <w:p w:rsidR="00260CA3" w:rsidRPr="00623D95" w:rsidRDefault="00260CA3" w:rsidP="00432061">
      <w:pPr>
        <w:pStyle w:val="Point2"/>
        <w:spacing w:line="360" w:lineRule="auto"/>
        <w:jc w:val="left"/>
        <w:rPr>
          <w:noProof/>
        </w:rPr>
      </w:pPr>
      <w:r w:rsidRPr="00623D95">
        <w:t>д)</w:t>
      </w:r>
      <w:r w:rsidRPr="00623D95">
        <w:tab/>
        <w:t xml:space="preserve">одобряването на съответния администратор е прекратено; </w:t>
      </w:r>
    </w:p>
    <w:p w:rsidR="00260CA3" w:rsidRPr="00623D95" w:rsidRDefault="00260CA3" w:rsidP="00432061">
      <w:pPr>
        <w:pStyle w:val="Point2"/>
        <w:spacing w:line="360" w:lineRule="auto"/>
        <w:jc w:val="left"/>
        <w:rPr>
          <w:noProof/>
        </w:rPr>
      </w:pPr>
      <w:r w:rsidRPr="00623D95">
        <w:t>е)</w:t>
      </w:r>
      <w:r w:rsidRPr="00623D95">
        <w:tab/>
        <w:t>компетентният орган е отнел или спрял действието на лиценза или е заличил или спрял действието на регистрацията на съответния администратор.</w:t>
      </w:r>
    </w:p>
    <w:p w:rsidR="00260CA3" w:rsidRPr="00623D95" w:rsidRDefault="00260CA3" w:rsidP="00432061">
      <w:pPr>
        <w:pStyle w:val="Text1"/>
        <w:tabs>
          <w:tab w:val="left" w:pos="1134"/>
        </w:tabs>
        <w:spacing w:line="360" w:lineRule="auto"/>
        <w:ind w:left="1134"/>
        <w:jc w:val="left"/>
        <w:rPr>
          <w:noProof/>
        </w:rPr>
      </w:pPr>
      <w:r w:rsidRPr="00623D95">
        <w:t>Компетентните органи уведомяват без ненужно забавяне ЕОЦКП за всички издадени публични известия. ЕОЦКП публикува на своя уебсайт всички издадени публични известия. ЕОЦКП или компетентният орган заличава без ненужно забавяне публичното известие веднага щом причината, поради която то е било издадено, престане да е валидна.“;</w:t>
      </w:r>
    </w:p>
    <w:p w:rsidR="00260CA3" w:rsidRPr="00623D95" w:rsidRDefault="00432061" w:rsidP="00432061">
      <w:pPr>
        <w:pStyle w:val="Point0"/>
        <w:spacing w:line="360" w:lineRule="auto"/>
        <w:jc w:val="left"/>
        <w:rPr>
          <w:noProof/>
        </w:rPr>
      </w:pPr>
      <w:r>
        <w:t>13)</w:t>
      </w:r>
      <w:r>
        <w:tab/>
        <w:t>В</w:t>
      </w:r>
      <w:r w:rsidR="00260CA3" w:rsidRPr="00623D95">
        <w:t xml:space="preserve"> дял III се заличава глава 6;</w:t>
      </w:r>
    </w:p>
    <w:p w:rsidR="00260CA3" w:rsidRPr="00623D95" w:rsidRDefault="00260CA3" w:rsidP="00432061">
      <w:pPr>
        <w:pStyle w:val="Point0"/>
        <w:spacing w:line="360" w:lineRule="auto"/>
        <w:jc w:val="left"/>
        <w:rPr>
          <w:b/>
          <w:i/>
        </w:rPr>
      </w:pPr>
      <w:r w:rsidRPr="00623D95">
        <w:rPr>
          <w:b/>
          <w:i/>
        </w:rPr>
        <w:t>13a)</w:t>
      </w:r>
      <w:r w:rsidRPr="00623D95">
        <w:rPr>
          <w:b/>
          <w:i/>
        </w:rPr>
        <w:tab/>
        <w:t>Член 28, параграф 2 се изменя, както следва:</w:t>
      </w:r>
    </w:p>
    <w:p w:rsidR="00260CA3" w:rsidRPr="00623D95" w:rsidRDefault="00432061" w:rsidP="00432061">
      <w:pPr>
        <w:pStyle w:val="Text1"/>
        <w:tabs>
          <w:tab w:val="left" w:pos="851"/>
        </w:tabs>
        <w:spacing w:line="360" w:lineRule="auto"/>
        <w:ind w:left="851"/>
        <w:jc w:val="left"/>
        <w:rPr>
          <w:noProof/>
        </w:rPr>
      </w:pPr>
      <w:r>
        <w:t>„</w:t>
      </w:r>
      <w:r w:rsidR="00260CA3" w:rsidRPr="00623D95">
        <w:rPr>
          <w:b/>
          <w:i/>
        </w:rPr>
        <w:t>2.</w:t>
      </w:r>
      <w:r w:rsidR="00260CA3" w:rsidRPr="00623D95">
        <w:rPr>
          <w:b/>
          <w:i/>
        </w:rPr>
        <w:tab/>
        <w:t xml:space="preserve">Поднадзорните субекти, различни от администратори по параграф 1, които използват бенчмарк, изготвят и поддържат строги планове в писмена форма, в които определят действията, които ще предприемат, в случай че този бенчмарк се промени съществено или вече не се изготвя. Когато е осъществимо и целесъобразно, с тези планове се установяват един или няколко алтернативни бенчмаркове, които могат да бъдат използвани като заместители на бенчмарковете, които вече не се </w:t>
      </w:r>
      <w:r w:rsidR="00260CA3" w:rsidRPr="00623D95">
        <w:rPr>
          <w:b/>
          <w:i/>
        </w:rPr>
        <w:lastRenderedPageBreak/>
        <w:t>изготвят, като се посочва защо тези бенчмаркове биха били подходящи алтернативи. При поискване поднадзорните субекти своевременно предоставят тези планове и техните актуализации на съответния компетентен орган и ги отразяват в договорните алтернативни разпоредби, приложими за финансови договори, финансови инструменти и инвестиционни фондове</w:t>
      </w:r>
      <w:r w:rsidR="00260CA3" w:rsidRPr="00623D95">
        <w:t>.;</w:t>
      </w:r>
    </w:p>
    <w:p w:rsidR="00260CA3" w:rsidRPr="00623D95" w:rsidRDefault="00260CA3" w:rsidP="00432061">
      <w:pPr>
        <w:pStyle w:val="Point0"/>
        <w:spacing w:line="360" w:lineRule="auto"/>
        <w:jc w:val="left"/>
        <w:rPr>
          <w:noProof/>
        </w:rPr>
      </w:pPr>
      <w:r w:rsidRPr="00623D95">
        <w:t>14)</w:t>
      </w:r>
      <w:r w:rsidRPr="00623D95">
        <w:tab/>
        <w:t>Член 29 се изменя, както следва:</w:t>
      </w:r>
    </w:p>
    <w:p w:rsidR="00260CA3" w:rsidRPr="00623D95" w:rsidRDefault="00260CA3" w:rsidP="00432061">
      <w:pPr>
        <w:pStyle w:val="Point1"/>
        <w:spacing w:line="360" w:lineRule="auto"/>
        <w:jc w:val="left"/>
        <w:rPr>
          <w:noProof/>
        </w:rPr>
      </w:pPr>
      <w:r w:rsidRPr="00623D95">
        <w:t>а)</w:t>
      </w:r>
      <w:r w:rsidRPr="00623D95">
        <w:tab/>
        <w:t xml:space="preserve">заглавието се заменя със следното: </w:t>
      </w:r>
    </w:p>
    <w:p w:rsidR="00260CA3" w:rsidRPr="00623D95" w:rsidRDefault="00260CA3" w:rsidP="00432061">
      <w:pPr>
        <w:pStyle w:val="Text1"/>
        <w:spacing w:line="360" w:lineRule="auto"/>
        <w:ind w:left="1134"/>
        <w:jc w:val="left"/>
        <w:rPr>
          <w:noProof/>
        </w:rPr>
      </w:pPr>
      <w:r w:rsidRPr="00623D95">
        <w:rPr>
          <w:b/>
        </w:rPr>
        <w:t>Използване на</w:t>
      </w:r>
      <w:r w:rsidRPr="00623D95">
        <w:t xml:space="preserve"> </w:t>
      </w:r>
      <w:r w:rsidRPr="00623D95">
        <w:rPr>
          <w:b/>
          <w:bCs/>
          <w:i/>
        </w:rPr>
        <w:t>критични бенчмаркове,</w:t>
      </w:r>
      <w:r w:rsidRPr="00623D95">
        <w:t xml:space="preserve"> </w:t>
      </w:r>
      <w:r w:rsidRPr="00623D95">
        <w:rPr>
          <w:b/>
          <w:bCs/>
        </w:rPr>
        <w:t>значими бенчмаркове</w:t>
      </w:r>
      <w:r w:rsidRPr="00623D95">
        <w:t xml:space="preserve">, </w:t>
      </w:r>
      <w:r w:rsidRPr="00623D95">
        <w:rPr>
          <w:b/>
          <w:bCs/>
          <w:i/>
          <w:iCs/>
        </w:rPr>
        <w:t>стокови бенчмаркове, предмет на приложение II,</w:t>
      </w:r>
      <w:r w:rsidRPr="00623D95">
        <w:t xml:space="preserve"> </w:t>
      </w:r>
      <w:r w:rsidRPr="00623D95">
        <w:rPr>
          <w:b/>
        </w:rPr>
        <w:t>бенчмаркове на ЕС за климатичен преход и бенчмаркове на ЕС, съответстващи на Парижкото споразумение</w:t>
      </w:r>
      <w:r w:rsidRPr="00623D95">
        <w:t>“;</w:t>
      </w:r>
    </w:p>
    <w:p w:rsidR="00260CA3" w:rsidRPr="00623D95" w:rsidRDefault="00260CA3" w:rsidP="00432061">
      <w:pPr>
        <w:pStyle w:val="Point1"/>
        <w:spacing w:line="360" w:lineRule="auto"/>
        <w:jc w:val="left"/>
        <w:rPr>
          <w:noProof/>
        </w:rPr>
      </w:pPr>
      <w:r w:rsidRPr="00623D95">
        <w:t>б)</w:t>
      </w:r>
      <w:r w:rsidRPr="00623D95">
        <w:tab/>
        <w:t xml:space="preserve">параграф 1 се заменя със следното: </w:t>
      </w:r>
    </w:p>
    <w:p w:rsidR="00260CA3" w:rsidRPr="00623D95" w:rsidRDefault="00260CA3" w:rsidP="00432061">
      <w:pPr>
        <w:pStyle w:val="Text1"/>
        <w:tabs>
          <w:tab w:val="left" w:pos="1134"/>
        </w:tabs>
        <w:spacing w:line="360" w:lineRule="auto"/>
        <w:ind w:left="1134" w:hanging="567"/>
        <w:jc w:val="left"/>
        <w:rPr>
          <w:noProof/>
        </w:rPr>
      </w:pPr>
      <w:r w:rsidRPr="00623D95">
        <w:tab/>
        <w:t>„1.</w:t>
      </w:r>
      <w:r w:rsidRPr="00623D95">
        <w:tab/>
        <w:t xml:space="preserve">Поднадзорните субекти не може да добавят нови позовавания на </w:t>
      </w:r>
      <w:r w:rsidRPr="00623D95">
        <w:rPr>
          <w:b/>
          <w:i/>
        </w:rPr>
        <w:t>критичен бенчмарк,</w:t>
      </w:r>
      <w:r w:rsidRPr="00623D95">
        <w:t xml:space="preserve"> значим бенчмарк или комбинация от такива бенчмаркове в Съюза, когато за този бенчмарк или комбинация от бенчмаркове има публично известие, издадено от ЕОЦКП или от компетентен орган в съответствие с член 24а, параграф 5. Поднадзорните субекти не може да добавят нови позовавания на </w:t>
      </w:r>
      <w:r w:rsidRPr="00623D95">
        <w:rPr>
          <w:b/>
          <w:i/>
        </w:rPr>
        <w:t>критичен бенчмарк, стоков бенчмарк, предмет на приложение II,</w:t>
      </w:r>
      <w:r w:rsidRPr="00623D95">
        <w:t xml:space="preserve"> бенчмарк на ЕС за климатичен преход, бенчмарк на ЕС, съответстващ на Парижкото споразумение, или комбинация от такива бенчмаркове в Съюза, когато администраторът на тези бенчмаркове не е включен в посочения в член 36 регистър.</w:t>
      </w:r>
    </w:p>
    <w:p w:rsidR="00260CA3" w:rsidRPr="00623D95" w:rsidRDefault="00260CA3" w:rsidP="00432061">
      <w:pPr>
        <w:pStyle w:val="Text1"/>
        <w:spacing w:line="360" w:lineRule="auto"/>
        <w:ind w:left="1134"/>
        <w:jc w:val="left"/>
        <w:rPr>
          <w:noProof/>
        </w:rPr>
      </w:pPr>
      <w:r w:rsidRPr="00623D95">
        <w:t xml:space="preserve">За да проверят регулаторния статут на администраторите на </w:t>
      </w:r>
      <w:r w:rsidRPr="00623D95">
        <w:rPr>
          <w:b/>
          <w:i/>
        </w:rPr>
        <w:t>критични бенчмаркове,</w:t>
      </w:r>
      <w:r w:rsidRPr="00623D95">
        <w:t xml:space="preserve"> значими бенчмаркове, </w:t>
      </w:r>
      <w:r w:rsidRPr="00623D95">
        <w:rPr>
          <w:b/>
          <w:i/>
        </w:rPr>
        <w:t>стокови бенчмаркове, предмет на приложение II,</w:t>
      </w:r>
      <w:r w:rsidRPr="00623D95">
        <w:t xml:space="preserve"> бенчмарковете на ЕС за климатичен преход или бенчмарковете на ЕС, съответстващи на Парижкото споразумение, които възнамеряват да използват, поднадзорните субекти се консултират редовно с европейската единна точка за достъп (ЕЕТД), посочена в член 28а, или с регистъра на ЕОЦКП, посочен в член 36. </w:t>
      </w:r>
    </w:p>
    <w:p w:rsidR="00260CA3" w:rsidRPr="00623D95" w:rsidRDefault="00260CA3" w:rsidP="00432061">
      <w:pPr>
        <w:spacing w:line="360" w:lineRule="auto"/>
        <w:ind w:left="1134"/>
        <w:rPr>
          <w:b/>
          <w:i/>
          <w:noProof/>
        </w:rPr>
      </w:pPr>
      <w:r w:rsidRPr="00623D95">
        <w:t xml:space="preserve">Чрез дерогация от първа алинея ЕОЦКП или компетентният орган, според </w:t>
      </w:r>
      <w:r w:rsidRPr="00623D95">
        <w:lastRenderedPageBreak/>
        <w:t>случая, може да разреши използването на бенчмарк, за който е издадено публично известие в съответствие с член 24а, параграф 5, за срок от 6 месеца след публикуването на публичното известие, който може да бъде подновен еднократно, когато това е необходимо, за да се избегнат сериозни смущения на пазара</w:t>
      </w:r>
      <w:r w:rsidRPr="00623D95">
        <w:rPr>
          <w:b/>
          <w:bCs/>
          <w:i/>
          <w:iCs/>
        </w:rPr>
        <w:t>, или за период от 24 месеца, който не може да бъде подновяван, за следното:</w:t>
      </w:r>
    </w:p>
    <w:p w:rsidR="00260CA3" w:rsidRPr="00623D95" w:rsidRDefault="00260CA3" w:rsidP="00432061">
      <w:pPr>
        <w:pStyle w:val="Point2"/>
        <w:spacing w:line="360" w:lineRule="auto"/>
        <w:jc w:val="left"/>
        <w:rPr>
          <w:b/>
          <w:i/>
          <w:noProof/>
        </w:rPr>
      </w:pPr>
      <w:r w:rsidRPr="00623D95">
        <w:rPr>
          <w:b/>
          <w:i/>
        </w:rPr>
        <w:t>а)</w:t>
      </w:r>
      <w:r w:rsidRPr="00623D95">
        <w:rPr>
          <w:b/>
          <w:i/>
        </w:rPr>
        <w:tab/>
        <w:t>поддържане на пазара в подкрепа на дейности на клиенти, свързани със сделки, изпълнени преди датата на влизане в сила на забраната;</w:t>
      </w:r>
    </w:p>
    <w:p w:rsidR="00260CA3" w:rsidRPr="00623D95" w:rsidRDefault="00260CA3" w:rsidP="00432061">
      <w:pPr>
        <w:pStyle w:val="Point2"/>
        <w:spacing w:line="360" w:lineRule="auto"/>
        <w:jc w:val="left"/>
        <w:rPr>
          <w:b/>
          <w:i/>
          <w:noProof/>
        </w:rPr>
      </w:pPr>
      <w:r w:rsidRPr="00623D95">
        <w:rPr>
          <w:b/>
          <w:i/>
        </w:rPr>
        <w:t>б)</w:t>
      </w:r>
      <w:r w:rsidRPr="00623D95">
        <w:rPr>
          <w:b/>
          <w:i/>
        </w:rPr>
        <w:tab/>
        <w:t>сделки или други дейности, с които се намалява или хеджира експозицията на поднадзорния субект или клиент на поднадзорния субект към забранения бенчмарк;</w:t>
      </w:r>
    </w:p>
    <w:p w:rsidR="00260CA3" w:rsidRPr="00623D95" w:rsidRDefault="00260CA3" w:rsidP="00432061">
      <w:pPr>
        <w:pStyle w:val="Point2"/>
        <w:spacing w:line="360" w:lineRule="auto"/>
        <w:jc w:val="left"/>
        <w:rPr>
          <w:b/>
          <w:i/>
          <w:noProof/>
        </w:rPr>
      </w:pPr>
      <w:r w:rsidRPr="00623D95">
        <w:rPr>
          <w:b/>
          <w:i/>
        </w:rPr>
        <w:t>в)</w:t>
      </w:r>
      <w:r w:rsidRPr="00623D95">
        <w:rPr>
          <w:b/>
          <w:i/>
        </w:rPr>
        <w:tab/>
        <w:t>новации на сделките;</w:t>
      </w:r>
    </w:p>
    <w:p w:rsidR="00260CA3" w:rsidRPr="00623D95" w:rsidRDefault="00260CA3" w:rsidP="00432061">
      <w:pPr>
        <w:pStyle w:val="Point2"/>
        <w:spacing w:line="360" w:lineRule="auto"/>
        <w:jc w:val="left"/>
        <w:rPr>
          <w:b/>
          <w:i/>
          <w:noProof/>
        </w:rPr>
      </w:pPr>
      <w:r w:rsidRPr="00623D95">
        <w:rPr>
          <w:b/>
          <w:i/>
        </w:rPr>
        <w:t>г)</w:t>
      </w:r>
      <w:r w:rsidRPr="00623D95">
        <w:rPr>
          <w:b/>
          <w:i/>
        </w:rPr>
        <w:tab/>
        <w:t>сделки, извършени с цел участие в тръжна процедура на централен контрагент в случай на неизпълнение от страна на член, включително сделки за хеджиране на произтичащата експозиция;</w:t>
      </w:r>
    </w:p>
    <w:p w:rsidR="00260CA3" w:rsidRPr="00623D95" w:rsidRDefault="00260CA3" w:rsidP="00432061">
      <w:pPr>
        <w:pStyle w:val="Point2"/>
        <w:spacing w:line="360" w:lineRule="auto"/>
        <w:jc w:val="left"/>
        <w:rPr>
          <w:noProof/>
        </w:rPr>
      </w:pPr>
      <w:r w:rsidRPr="00623D95">
        <w:rPr>
          <w:b/>
          <w:i/>
        </w:rPr>
        <w:t>д)</w:t>
      </w:r>
      <w:r w:rsidRPr="00623D95">
        <w:rPr>
          <w:b/>
          <w:i/>
        </w:rPr>
        <w:tab/>
        <w:t>интерполация или друго използване, предвидено в договорни резервни споразумения, във връзка със забранения бенчмарк.</w:t>
      </w:r>
      <w:r w:rsidRPr="00623D95">
        <w:t>“;</w:t>
      </w:r>
    </w:p>
    <w:p w:rsidR="00260CA3" w:rsidRPr="00623D95" w:rsidRDefault="00260CA3" w:rsidP="00432061">
      <w:pPr>
        <w:pStyle w:val="Point1"/>
        <w:spacing w:line="360" w:lineRule="auto"/>
        <w:jc w:val="left"/>
        <w:rPr>
          <w:noProof/>
        </w:rPr>
      </w:pPr>
      <w:r w:rsidRPr="00623D95">
        <w:t>в)</w:t>
      </w:r>
      <w:r w:rsidRPr="00623D95">
        <w:tab/>
        <w:t>▌</w:t>
      </w:r>
      <w:r w:rsidRPr="00623D95">
        <w:rPr>
          <w:b/>
          <w:i/>
        </w:rPr>
        <w:t xml:space="preserve">вмъкват се нови параграфи </w:t>
      </w:r>
      <w:r w:rsidRPr="00623D95">
        <w:t>1</w:t>
      </w:r>
      <w:r w:rsidRPr="00623D95">
        <w:rPr>
          <w:b/>
          <w:i/>
        </w:rPr>
        <w:t>б, 1ба, 1бб и 1бв</w:t>
      </w:r>
      <w:r w:rsidRPr="00623D95">
        <w:t>:</w:t>
      </w:r>
    </w:p>
    <w:p w:rsidR="00260CA3" w:rsidRPr="00623D95" w:rsidRDefault="00260CA3" w:rsidP="00432061">
      <w:pPr>
        <w:pStyle w:val="Text1"/>
        <w:tabs>
          <w:tab w:val="left" w:pos="1701"/>
        </w:tabs>
        <w:spacing w:line="360" w:lineRule="auto"/>
        <w:ind w:left="1701" w:hanging="567"/>
        <w:jc w:val="left"/>
        <w:rPr>
          <w:noProof/>
        </w:rPr>
      </w:pPr>
      <w:r w:rsidRPr="00623D95">
        <w:t>„1</w:t>
      </w:r>
      <w:r w:rsidRPr="00623D95">
        <w:rPr>
          <w:b/>
          <w:bCs/>
          <w:i/>
          <w:iCs/>
        </w:rPr>
        <w:t>б</w:t>
      </w:r>
      <w:r w:rsidRPr="00623D95">
        <w:t>.</w:t>
      </w:r>
      <w:r w:rsidRPr="00623D95">
        <w:tab/>
        <w:t xml:space="preserve">Поднадзорните субекти, които използват по съществуващи финансови договори </w:t>
      </w:r>
      <w:r w:rsidRPr="00623D95">
        <w:rPr>
          <w:b/>
          <w:i/>
        </w:rPr>
        <w:t>или за измерване на резултатите на инвестиционни фондове</w:t>
      </w:r>
      <w:r w:rsidRPr="00623D95">
        <w:t>, или финансови инструменти, бенчмарк, за който е издадено публично известие в съответствие с член 24а, параграф 5, заменят този бенчмарк с подходяща алтернатива в срок от 6 месеца след публикуването на това известие или издават и публикуват на своя уебсайт декларация</w:t>
      </w:r>
      <w:r w:rsidRPr="00623D95">
        <w:rPr>
          <w:b/>
          <w:i/>
        </w:rPr>
        <w:t>, с която предоставят на клиентите мотивирано обяснение за тяхната неспособност да намерят подходяща алтернатива</w:t>
      </w:r>
      <w:r w:rsidRPr="00623D95">
        <w:t xml:space="preserve">.; </w:t>
      </w:r>
    </w:p>
    <w:p w:rsidR="00260CA3" w:rsidRPr="00623D95" w:rsidRDefault="00260CA3" w:rsidP="00432061">
      <w:pPr>
        <w:pStyle w:val="Text1"/>
        <w:tabs>
          <w:tab w:val="left" w:pos="1701"/>
        </w:tabs>
        <w:spacing w:line="360" w:lineRule="auto"/>
        <w:ind w:left="1701" w:hanging="567"/>
        <w:jc w:val="left"/>
        <w:rPr>
          <w:b/>
          <w:i/>
          <w:noProof/>
        </w:rPr>
      </w:pPr>
      <w:r w:rsidRPr="00623D95">
        <w:rPr>
          <w:b/>
          <w:i/>
        </w:rPr>
        <w:t>1ба.</w:t>
      </w:r>
      <w:r w:rsidRPr="00623D95">
        <w:rPr>
          <w:b/>
          <w:i/>
        </w:rPr>
        <w:tab/>
        <w:t xml:space="preserve">Поднадзорен субект може да използва бенчмарк, в своята правна или маркетингова документация или наименование, за да вземе </w:t>
      </w:r>
      <w:r w:rsidRPr="00623D95">
        <w:rPr>
          <w:b/>
          <w:i/>
        </w:rPr>
        <w:lastRenderedPageBreak/>
        <w:t>предвид ЕСУ фактори в своята методика, само когато неговият администратор оповестява информацията, посочена в член 13, параграф 1, буква г) и член 27, параграф 2а. Всички изисквания за оповестяване на методиката се стремят към съгласуваност с член 10 от Регламент (ЕС) 2019/2088.</w:t>
      </w:r>
    </w:p>
    <w:p w:rsidR="00260CA3" w:rsidRPr="00623D95" w:rsidRDefault="00260CA3" w:rsidP="00432061">
      <w:pPr>
        <w:pStyle w:val="Text1"/>
        <w:spacing w:line="360" w:lineRule="auto"/>
        <w:ind w:left="1395" w:firstLine="306"/>
        <w:jc w:val="left"/>
        <w:rPr>
          <w:b/>
          <w:i/>
          <w:noProof/>
        </w:rPr>
      </w:pPr>
      <w:r w:rsidRPr="00623D95">
        <w:rPr>
          <w:b/>
          <w:i/>
        </w:rPr>
        <w:t>Настоящият параграф се прилага както за бенчмаркове от ЕС, така и за бенчмаркове извън ЕС.</w:t>
      </w:r>
    </w:p>
    <w:p w:rsidR="00260CA3" w:rsidRPr="00623D95" w:rsidRDefault="00260CA3" w:rsidP="00432061">
      <w:pPr>
        <w:pStyle w:val="Text1"/>
        <w:spacing w:line="360" w:lineRule="auto"/>
        <w:jc w:val="left"/>
        <w:rPr>
          <w:b/>
          <w:i/>
          <w:noProof/>
        </w:rPr>
      </w:pPr>
      <w:r w:rsidRPr="00623D95">
        <w:rPr>
          <w:b/>
          <w:i/>
        </w:rPr>
        <w:t>ва)</w:t>
      </w:r>
      <w:r w:rsidRPr="00623D95">
        <w:rPr>
          <w:b/>
          <w:i/>
        </w:rPr>
        <w:tab/>
        <w:t>Параграф 2 се изменя, както следва:</w:t>
      </w:r>
    </w:p>
    <w:p w:rsidR="00260CA3" w:rsidRPr="00623D95" w:rsidRDefault="00260CA3" w:rsidP="00432061">
      <w:pPr>
        <w:pStyle w:val="Text1"/>
        <w:tabs>
          <w:tab w:val="left" w:pos="1701"/>
        </w:tabs>
        <w:spacing w:line="360" w:lineRule="auto"/>
        <w:ind w:left="1701" w:hanging="567"/>
        <w:jc w:val="left"/>
        <w:rPr>
          <w:b/>
          <w:i/>
          <w:noProof/>
        </w:rPr>
      </w:pPr>
      <w:r w:rsidRPr="00623D95">
        <w:rPr>
          <w:b/>
          <w:i/>
        </w:rPr>
        <w:t>2.</w:t>
      </w:r>
      <w:r w:rsidRPr="00623D95">
        <w:rPr>
          <w:b/>
          <w:i/>
        </w:rPr>
        <w:tab/>
        <w:t>Когато предмет на проспект, който се публикува съгласно Директива 2003/71/ЕО или Директива 2009/65/ЕО, са прехвърлими ценни книжа или други инвестиционни продукти, чиято стойност се определя въз основа на критичен бенчмарк, стоков бенчмарк, предмет на приложение II, бенчмарк на ЕС за климатичен преход или бенчмарк на ЕС, съответстващ на Парижкото споразумение, емитентът, лицето, което отправя оферта, или лицето, кандидатстващо за допускане до търговия на регулиран пазар, гарантират, че когато публично известие за използвания бенчмарк е включено в регистъра по член 36 от настоящия регламент в рамките на 9 месеца след публикуването на публичното известие, проспектът също съдържа тази информация, представена по ясен начин и на видно място.</w:t>
      </w:r>
    </w:p>
    <w:p w:rsidR="00260CA3" w:rsidRPr="00623D95" w:rsidRDefault="00260CA3" w:rsidP="00432061">
      <w:pPr>
        <w:pStyle w:val="Text1"/>
        <w:spacing w:line="360" w:lineRule="auto"/>
        <w:jc w:val="left"/>
        <w:rPr>
          <w:b/>
          <w:i/>
          <w:noProof/>
        </w:rPr>
      </w:pPr>
      <w:r w:rsidRPr="00623D95">
        <w:rPr>
          <w:b/>
          <w:i/>
        </w:rPr>
        <w:t>вб)</w:t>
      </w:r>
      <w:r w:rsidRPr="00623D95">
        <w:rPr>
          <w:b/>
          <w:i/>
        </w:rPr>
        <w:tab/>
        <w:t>вмъква се нов параграф 2а:</w:t>
      </w:r>
    </w:p>
    <w:p w:rsidR="00260CA3" w:rsidRPr="00623D95" w:rsidRDefault="00260CA3" w:rsidP="00432061">
      <w:pPr>
        <w:pStyle w:val="Text1"/>
        <w:tabs>
          <w:tab w:val="left" w:pos="1701"/>
        </w:tabs>
        <w:spacing w:line="360" w:lineRule="auto"/>
        <w:ind w:left="1701" w:hanging="567"/>
        <w:jc w:val="left"/>
        <w:rPr>
          <w:b/>
          <w:i/>
          <w:noProof/>
        </w:rPr>
      </w:pPr>
      <w:r w:rsidRPr="00623D95">
        <w:rPr>
          <w:b/>
          <w:i/>
        </w:rPr>
        <w:t>2а.</w:t>
      </w:r>
      <w:r w:rsidRPr="00623D95">
        <w:rPr>
          <w:b/>
          <w:i/>
        </w:rPr>
        <w:tab/>
        <w:t>Администраторите на бенчмаркове, използвани в Съюза, се стремят да изискват глобално съгласуван идентификационен код за всеки от бенчмарковете, които те предоставят за използване в Съюза.“</w:t>
      </w:r>
      <w:r w:rsidRPr="00623D95">
        <w:t>;</w:t>
      </w:r>
    </w:p>
    <w:p w:rsidR="00260CA3" w:rsidRPr="00623D95" w:rsidRDefault="00260CA3" w:rsidP="00432061">
      <w:pPr>
        <w:pStyle w:val="Point0"/>
        <w:spacing w:line="360" w:lineRule="auto"/>
        <w:jc w:val="left"/>
        <w:rPr>
          <w:noProof/>
        </w:rPr>
      </w:pPr>
      <w:r w:rsidRPr="00623D95">
        <w:t>15)</w:t>
      </w:r>
      <w:r w:rsidRPr="00623D95">
        <w:tab/>
        <w:t xml:space="preserve">Член 32 се изменя, както следва: </w:t>
      </w:r>
    </w:p>
    <w:p w:rsidR="00260CA3" w:rsidRPr="00623D95" w:rsidRDefault="00260CA3" w:rsidP="00432061">
      <w:pPr>
        <w:pStyle w:val="Point1"/>
        <w:spacing w:line="360" w:lineRule="auto"/>
        <w:jc w:val="left"/>
        <w:rPr>
          <w:noProof/>
        </w:rPr>
      </w:pPr>
      <w:r w:rsidRPr="00623D95">
        <w:t>а)</w:t>
      </w:r>
      <w:r w:rsidRPr="00623D95">
        <w:tab/>
        <w:t>параграф 1 се заличава;</w:t>
      </w:r>
    </w:p>
    <w:p w:rsidR="00260CA3" w:rsidRPr="00623D95" w:rsidRDefault="00260CA3" w:rsidP="00432061">
      <w:pPr>
        <w:pStyle w:val="Point1"/>
        <w:spacing w:line="360" w:lineRule="auto"/>
        <w:jc w:val="left"/>
        <w:rPr>
          <w:noProof/>
        </w:rPr>
      </w:pPr>
      <w:r w:rsidRPr="00623D95">
        <w:t>б)</w:t>
      </w:r>
      <w:r w:rsidRPr="00623D95">
        <w:tab/>
        <w:t>параграфи 2 и 3 се заменят със следното:</w:t>
      </w:r>
    </w:p>
    <w:p w:rsidR="00260CA3" w:rsidRPr="00623D95" w:rsidRDefault="00260CA3" w:rsidP="00432061">
      <w:pPr>
        <w:pStyle w:val="Text1"/>
        <w:tabs>
          <w:tab w:val="left" w:pos="1701"/>
        </w:tabs>
        <w:spacing w:line="360" w:lineRule="auto"/>
        <w:ind w:left="1701" w:hanging="567"/>
        <w:jc w:val="left"/>
        <w:rPr>
          <w:noProof/>
        </w:rPr>
      </w:pPr>
      <w:r w:rsidRPr="00623D95">
        <w:t>‘2.</w:t>
      </w:r>
      <w:r w:rsidRPr="00623D95">
        <w:tab/>
        <w:t xml:space="preserve">Намиращ се в трета държава администратор, който възнамерява да получи признаване съгласно посоченото в член 24а, параграфи 1 и 3, </w:t>
      </w:r>
      <w:r w:rsidRPr="00623D95">
        <w:lastRenderedPageBreak/>
        <w:t xml:space="preserve">спазва изискванията, установени с настоящия регламент, с изключение на посочените в член 11, параграф 4 и членове 16, 20, 21 и 23. Намиращият се в трета държава администратор може да изпълни това условие чрез прилагане на принципите на IOSCO за финансовите бенчмаркове или принципите на IOSCO за агенциите за докладване на цените на петрола — според случая, при условие че това прилагане е еквивалентно на спазване на изискванията, установени в настоящия регламент, с изключение на посочените в член 11, параграф 4 и членове 16, 20, 21 и 23. </w:t>
      </w:r>
    </w:p>
    <w:p w:rsidR="00260CA3" w:rsidRPr="00623D95" w:rsidRDefault="00260CA3" w:rsidP="00432061">
      <w:pPr>
        <w:pStyle w:val="Text1"/>
        <w:tabs>
          <w:tab w:val="left" w:pos="1701"/>
        </w:tabs>
        <w:spacing w:line="360" w:lineRule="auto"/>
        <w:ind w:left="1701" w:hanging="567"/>
        <w:jc w:val="left"/>
        <w:rPr>
          <w:noProof/>
        </w:rPr>
      </w:pPr>
      <w:r w:rsidRPr="00623D95">
        <w:tab/>
        <w:t>Когато определя дали условието, посочено в първа алинея, е изпълнено и оценява спазването на принципите на IOSCO за финансовите бенчмаркове или за агенциите за докладване на цените на петрола — според случая, ЕОЦКП може да вземе предвид:</w:t>
      </w:r>
    </w:p>
    <w:p w:rsidR="00260CA3" w:rsidRPr="00623D95" w:rsidRDefault="00260CA3" w:rsidP="00432061">
      <w:pPr>
        <w:pStyle w:val="Point2"/>
        <w:spacing w:line="360" w:lineRule="auto"/>
        <w:jc w:val="left"/>
        <w:rPr>
          <w:noProof/>
        </w:rPr>
      </w:pPr>
      <w:r w:rsidRPr="00623D95">
        <w:t>а)</w:t>
      </w:r>
      <w:r w:rsidRPr="00623D95">
        <w:tab/>
        <w:t>извършена от независим външен одитор оценка на намиращия се в трета държава администратор;</w:t>
      </w:r>
    </w:p>
    <w:p w:rsidR="00260CA3" w:rsidRPr="00623D95" w:rsidRDefault="00260CA3" w:rsidP="00432061">
      <w:pPr>
        <w:pStyle w:val="Point2"/>
        <w:spacing w:line="360" w:lineRule="auto"/>
        <w:jc w:val="left"/>
        <w:rPr>
          <w:noProof/>
        </w:rPr>
      </w:pPr>
      <w:r w:rsidRPr="00623D95">
        <w:t>б)</w:t>
      </w:r>
      <w:r w:rsidRPr="00623D95">
        <w:tab/>
        <w:t xml:space="preserve">сертифициране от компетентния орган на третата държава, в която се намира администраторът. </w:t>
      </w:r>
    </w:p>
    <w:p w:rsidR="00260CA3" w:rsidRPr="00623D95" w:rsidRDefault="00260CA3" w:rsidP="00432061">
      <w:pPr>
        <w:pStyle w:val="Text1"/>
        <w:tabs>
          <w:tab w:val="left" w:pos="1701"/>
        </w:tabs>
        <w:spacing w:line="360" w:lineRule="auto"/>
        <w:ind w:left="1701" w:hanging="567"/>
        <w:jc w:val="left"/>
        <w:rPr>
          <w:noProof/>
        </w:rPr>
      </w:pPr>
      <w:r w:rsidRPr="00623D95">
        <w:tab/>
        <w:t>Когато и доколкото администраторът от трета държава е в състояние да докаже, че даден бенчмарк, който той изготвя, е бенчмарк от регулирани данни или стоков бенчмарк, който не се основава на данни, подадени от доставчици на входящи данни, повечето от които са поднадзорни субекти, администраторът не е задължен да спазва изискванията, които съгласно член 17 и член 19, параграф 1 не са приложими за изготвянето на бенчмаркове от регулирани данни и стокови бенчмаркове.</w:t>
      </w:r>
    </w:p>
    <w:p w:rsidR="00260CA3" w:rsidRPr="00623D95" w:rsidRDefault="00260CA3" w:rsidP="00432061">
      <w:pPr>
        <w:pStyle w:val="Text1"/>
        <w:tabs>
          <w:tab w:val="left" w:pos="1701"/>
        </w:tabs>
        <w:spacing w:line="360" w:lineRule="auto"/>
        <w:ind w:left="1701" w:hanging="567"/>
        <w:jc w:val="left"/>
        <w:rPr>
          <w:noProof/>
        </w:rPr>
      </w:pPr>
      <w:r w:rsidRPr="00623D95">
        <w:t>3.</w:t>
      </w:r>
      <w:r w:rsidRPr="00623D95">
        <w:tab/>
        <w:t xml:space="preserve">Намиращ се в трета държава администратор, който възнамерява да получи признаване, трябва да има законен представител. Законният представител е ▌юридическо лице, намиращо се в Съюза; той е изрично посочен от администратора да действа от негово име във връзка със задълженията му по настоящия регламент. Законният представител изпълнява, съвместно с администратора, изискваната от администратора по силата на настоящия регламент функция по надзор </w:t>
      </w:r>
      <w:r w:rsidRPr="00623D95">
        <w:lastRenderedPageBreak/>
        <w:t xml:space="preserve">върху изготвянето на бенчмарковете и ▌се отчита пред ЕОЦКП. </w:t>
      </w:r>
      <w:r w:rsidRPr="00623D95">
        <w:rPr>
          <w:b/>
          <w:i/>
        </w:rPr>
        <w:t>ЕОЦКП може да наложи надзорна мярка в съответствие с член 48д на законния представител и администратора за някое от нарушенията, изброени в член 42, параграф 1, буква а), или във връзка с всяко неоказване на съдействие или неспазване на изискванията при разследване или проверка или искане, обхванати от глава 4, раздел 1.</w:t>
      </w:r>
      <w:r w:rsidRPr="00623D95">
        <w:t>“;</w:t>
      </w:r>
    </w:p>
    <w:p w:rsidR="00260CA3" w:rsidRPr="00623D95" w:rsidRDefault="00260CA3" w:rsidP="00432061">
      <w:pPr>
        <w:pStyle w:val="Point1"/>
        <w:spacing w:line="360" w:lineRule="auto"/>
        <w:jc w:val="left"/>
        <w:rPr>
          <w:noProof/>
        </w:rPr>
      </w:pPr>
      <w:r w:rsidRPr="00623D95">
        <w:t>в)</w:t>
      </w:r>
      <w:r w:rsidRPr="00623D95">
        <w:tab/>
        <w:t>в параграф 5 първата алинея се заменя със следното:</w:t>
      </w:r>
    </w:p>
    <w:p w:rsidR="00260CA3" w:rsidRPr="00623D95" w:rsidRDefault="00260CA3" w:rsidP="00432061">
      <w:pPr>
        <w:pStyle w:val="Text1"/>
        <w:tabs>
          <w:tab w:val="left" w:pos="1701"/>
        </w:tabs>
        <w:spacing w:line="360" w:lineRule="auto"/>
        <w:ind w:left="1701" w:hanging="567"/>
        <w:jc w:val="left"/>
        <w:rPr>
          <w:noProof/>
        </w:rPr>
      </w:pPr>
      <w:r w:rsidRPr="00623D95">
        <w:tab/>
        <w:t>„Намиращ се в трета държава администратор, който възнамерява да получи признаване по параграф 2, подава заявление за признаване до ЕОЦКП. Подаващият заявление администратор предоставя цялата информация, която е необходима на ЕОЦКП, за да се убеди, че към момента на признаването е предприел всички необходими мерки за спазване на изискванията, посочени в параграф 2 по отношение на своя бенчмарк или бенчмаркове, които са били определени в съответствие с член 24. Когато е приложимо, подаващият заявлението администратор посочва компетентния орган в третата държава, който отговаря за надзора върху него.</w:t>
      </w:r>
    </w:p>
    <w:p w:rsidR="00260CA3" w:rsidRPr="00623D95" w:rsidRDefault="00260CA3" w:rsidP="00432061">
      <w:pPr>
        <w:pStyle w:val="Text1"/>
        <w:tabs>
          <w:tab w:val="left" w:pos="1701"/>
        </w:tabs>
        <w:spacing w:line="360" w:lineRule="auto"/>
        <w:ind w:left="1701"/>
        <w:jc w:val="left"/>
        <w:rPr>
          <w:noProof/>
        </w:rPr>
      </w:pPr>
      <w:r w:rsidRPr="00623D95">
        <w:t>В срок от 15 работни дни от получаване на заявлението ЕОЦКП преценява дали то е пълно и съответно уведомява заявителя. Когато заявлението е непълно, заявителят представя допълнителната информация, изисквана от ЕОЦКП. Срокът, посочен в настоящата алинея, се прилага от датата, на която заявителят е предоставил тази допълнителна информация.“;</w:t>
      </w:r>
    </w:p>
    <w:p w:rsidR="00260CA3" w:rsidRPr="00623D95" w:rsidRDefault="00260CA3" w:rsidP="00432061">
      <w:pPr>
        <w:pStyle w:val="Point0"/>
        <w:spacing w:line="360" w:lineRule="auto"/>
        <w:ind w:left="851" w:hanging="851"/>
        <w:jc w:val="left"/>
        <w:rPr>
          <w:b/>
          <w:i/>
        </w:rPr>
      </w:pPr>
      <w:r w:rsidRPr="00623D95">
        <w:rPr>
          <w:b/>
          <w:i/>
        </w:rPr>
        <w:t>15a)</w:t>
      </w:r>
      <w:r w:rsidRPr="00623D95">
        <w:rPr>
          <w:b/>
          <w:i/>
        </w:rPr>
        <w:tab/>
      </w:r>
      <w:r w:rsidRPr="00623D95">
        <w:rPr>
          <w:b/>
          <w:i/>
        </w:rPr>
        <w:tab/>
        <w:t>В член 33, параграф 1 уводната част се изменя, както следва:</w:t>
      </w:r>
    </w:p>
    <w:p w:rsidR="00260CA3" w:rsidRPr="00623D95" w:rsidRDefault="00260CA3" w:rsidP="00432061">
      <w:pPr>
        <w:pStyle w:val="Text1"/>
        <w:tabs>
          <w:tab w:val="left" w:pos="1560"/>
        </w:tabs>
        <w:spacing w:line="360" w:lineRule="auto"/>
        <w:ind w:left="1922" w:hanging="360"/>
        <w:jc w:val="left"/>
        <w:rPr>
          <w:b/>
          <w:i/>
        </w:rPr>
      </w:pPr>
      <w:r w:rsidRPr="00623D95">
        <w:t>„</w:t>
      </w:r>
      <w:r w:rsidRPr="00623D95">
        <w:rPr>
          <w:b/>
          <w:i/>
        </w:rPr>
        <w:t>1.</w:t>
      </w:r>
      <w:r w:rsidRPr="00623D95">
        <w:rPr>
          <w:b/>
          <w:i/>
        </w:rPr>
        <w:tab/>
        <w:t xml:space="preserve">Администратор, който се намира в Съюза и е лицензиран или регистриран в съответствие с член 34, който има ясна и добре определена роля в рамките на механизмите за контрол или отчетност на администратора от трета държава и може да осъществява ефективно наблюдение над изготвянето на бенчмарк, може да подаде заявление пред ЕОЦКП за одобряване на бенчмарк или на група бенчмаркове, изготвени в трета </w:t>
      </w:r>
      <w:r w:rsidRPr="00623D95">
        <w:rPr>
          <w:b/>
          <w:i/>
        </w:rPr>
        <w:lastRenderedPageBreak/>
        <w:t>държава, за използване в Съюза, ако са изпълнени всички условия по-долу:</w:t>
      </w:r>
    </w:p>
    <w:p w:rsidR="00260CA3" w:rsidRPr="00623D95" w:rsidRDefault="00260CA3" w:rsidP="00432061">
      <w:pPr>
        <w:pStyle w:val="Point0"/>
        <w:tabs>
          <w:tab w:val="left" w:pos="567"/>
        </w:tabs>
        <w:spacing w:line="360" w:lineRule="auto"/>
        <w:jc w:val="left"/>
        <w:rPr>
          <w:b/>
          <w:i/>
        </w:rPr>
      </w:pPr>
      <w:r w:rsidRPr="00623D95">
        <w:rPr>
          <w:b/>
          <w:i/>
        </w:rPr>
        <w:t>15б)</w:t>
      </w:r>
      <w:r w:rsidRPr="00623D95">
        <w:rPr>
          <w:b/>
          <w:i/>
        </w:rPr>
        <w:tab/>
      </w:r>
      <w:r w:rsidRPr="00623D95">
        <w:rPr>
          <w:b/>
          <w:i/>
        </w:rPr>
        <w:tab/>
      </w:r>
      <w:r w:rsidRPr="00623D95">
        <w:rPr>
          <w:b/>
          <w:i/>
        </w:rPr>
        <w:tab/>
        <w:t>Член 33, параграф 3 се изменя, както следва:</w:t>
      </w:r>
    </w:p>
    <w:p w:rsidR="00260CA3" w:rsidRPr="00623D95" w:rsidRDefault="00260CA3" w:rsidP="00432061">
      <w:pPr>
        <w:pStyle w:val="Text1"/>
        <w:tabs>
          <w:tab w:val="left" w:pos="1418"/>
        </w:tabs>
        <w:spacing w:line="360" w:lineRule="auto"/>
        <w:ind w:left="1985" w:hanging="425"/>
        <w:jc w:val="left"/>
        <w:rPr>
          <w:b/>
          <w:i/>
        </w:rPr>
      </w:pPr>
      <w:r w:rsidRPr="00623D95">
        <w:rPr>
          <w:b/>
          <w:i/>
        </w:rPr>
        <w:t>3.</w:t>
      </w:r>
      <w:r w:rsidRPr="00623D95">
        <w:rPr>
          <w:b/>
          <w:i/>
        </w:rPr>
        <w:tab/>
        <w:t>ЕОЦКП разглежда заявлението за одобряване, посочено в параграф 1, в срок от 90 работни дни от получаването му и приема решение за одобряване или за отхвърляне на заявлението.</w:t>
      </w:r>
    </w:p>
    <w:p w:rsidR="00260CA3" w:rsidRPr="00623D95" w:rsidRDefault="00260CA3" w:rsidP="00432061">
      <w:pPr>
        <w:pStyle w:val="Text1"/>
        <w:tabs>
          <w:tab w:val="left" w:pos="851"/>
        </w:tabs>
        <w:spacing w:line="360" w:lineRule="auto"/>
        <w:ind w:left="0"/>
        <w:jc w:val="left"/>
        <w:rPr>
          <w:b/>
          <w:i/>
          <w:noProof/>
        </w:rPr>
      </w:pPr>
      <w:r w:rsidRPr="00623D95">
        <w:rPr>
          <w:b/>
          <w:i/>
        </w:rPr>
        <w:t>(15в)</w:t>
      </w:r>
      <w:r w:rsidRPr="00623D95">
        <w:rPr>
          <w:b/>
          <w:i/>
        </w:rPr>
        <w:tab/>
      </w:r>
      <w:r w:rsidRPr="00623D95">
        <w:rPr>
          <w:b/>
          <w:i/>
        </w:rPr>
        <w:tab/>
        <w:t>Член 33, параграф 6 се изменя, както следва:</w:t>
      </w:r>
    </w:p>
    <w:p w:rsidR="00260CA3" w:rsidRPr="00623D95" w:rsidRDefault="00260CA3" w:rsidP="00432061">
      <w:pPr>
        <w:pStyle w:val="Text1"/>
        <w:spacing w:line="360" w:lineRule="auto"/>
        <w:ind w:left="1985" w:hanging="425"/>
        <w:jc w:val="left"/>
        <w:rPr>
          <w:b/>
          <w:i/>
        </w:rPr>
      </w:pPr>
      <w:r w:rsidRPr="00623D95">
        <w:rPr>
          <w:b/>
          <w:i/>
        </w:rPr>
        <w:t>6.   Когато компетентният орган на одобряващия администратор има основателни причини да счита, че условията, предвидени в параграф 1 от настоящия член, вече не се изпълняват, той разполага с правомощието да изиска от одобряващия администратор да оттегли своето одобрение и информира ЕОЦКП за това. В случай на оттегляне на одобрението се прилага член 28.</w:t>
      </w:r>
    </w:p>
    <w:p w:rsidR="00260CA3" w:rsidRPr="00623D95" w:rsidRDefault="00260CA3" w:rsidP="00432061">
      <w:pPr>
        <w:pStyle w:val="Point0"/>
        <w:spacing w:line="360" w:lineRule="auto"/>
        <w:jc w:val="left"/>
        <w:rPr>
          <w:noProof/>
        </w:rPr>
      </w:pPr>
      <w:r w:rsidRPr="00623D95">
        <w:t>16)</w:t>
      </w:r>
      <w:r w:rsidRPr="00623D95">
        <w:tab/>
        <w:t xml:space="preserve">член 34 се изменя, както следва: </w:t>
      </w:r>
    </w:p>
    <w:p w:rsidR="00260CA3" w:rsidRPr="00623D95" w:rsidRDefault="00260CA3" w:rsidP="00432061">
      <w:pPr>
        <w:pStyle w:val="Point1"/>
        <w:spacing w:line="360" w:lineRule="auto"/>
        <w:jc w:val="left"/>
        <w:rPr>
          <w:noProof/>
        </w:rPr>
      </w:pPr>
      <w:r w:rsidRPr="00623D95">
        <w:t>а)</w:t>
      </w:r>
      <w:r w:rsidRPr="00623D95">
        <w:tab/>
        <w:t>параграф 1 се заменя със следното:</w:t>
      </w:r>
    </w:p>
    <w:p w:rsidR="00260CA3" w:rsidRPr="00623D95" w:rsidRDefault="00260CA3" w:rsidP="00432061">
      <w:pPr>
        <w:pStyle w:val="Text1"/>
        <w:tabs>
          <w:tab w:val="left" w:pos="1134"/>
        </w:tabs>
        <w:spacing w:line="360" w:lineRule="auto"/>
        <w:ind w:left="1134" w:hanging="567"/>
        <w:jc w:val="left"/>
        <w:rPr>
          <w:noProof/>
        </w:rPr>
      </w:pPr>
      <w:r w:rsidRPr="00623D95">
        <w:tab/>
        <w:t>„1.</w:t>
      </w:r>
      <w:r w:rsidRPr="00623D95">
        <w:tab/>
        <w:t>Физическо или юридическо лице, намиращо се в Съюза, което извършва или възнамерява да извършва дейност като администратор, подава заявление до определения съгласно член 40 компетентен орган на държавата членка, в която това лице се намира</w:t>
      </w:r>
      <w:r w:rsidRPr="00623D95">
        <w:rPr>
          <w:b/>
          <w:i/>
        </w:rPr>
        <w:t>, или до ЕОЦКП</w:t>
      </w:r>
      <w:r w:rsidRPr="00623D95">
        <w:t>, с цел да получи:</w:t>
      </w:r>
    </w:p>
    <w:p w:rsidR="00260CA3" w:rsidRPr="00623D95" w:rsidRDefault="00260CA3" w:rsidP="00432061">
      <w:pPr>
        <w:pStyle w:val="Point2"/>
        <w:spacing w:line="360" w:lineRule="auto"/>
        <w:jc w:val="left"/>
        <w:rPr>
          <w:noProof/>
        </w:rPr>
      </w:pPr>
      <w:r w:rsidRPr="00623D95">
        <w:t>а)</w:t>
      </w:r>
      <w:r w:rsidRPr="00623D95">
        <w:tab/>
        <w:t xml:space="preserve">лиценз, ако изготвя или възнамерява да изготвя индекси, които се използват или са предназначени за използване като критични бенчмаркове, значими бенчмаркове, </w:t>
      </w:r>
      <w:r w:rsidRPr="00623D95">
        <w:rPr>
          <w:b/>
          <w:i/>
        </w:rPr>
        <w:t>стокови бенчмаркове, предмет на приложение II,</w:t>
      </w:r>
      <w:r w:rsidRPr="00623D95">
        <w:t xml:space="preserve"> бенчмаркове на ЕС за климатичен преход или бенчмаркове на ЕС, съответстващи на Парижкото споразумение;</w:t>
      </w:r>
    </w:p>
    <w:p w:rsidR="00260CA3" w:rsidRPr="00623D95" w:rsidRDefault="00260CA3" w:rsidP="00432061">
      <w:pPr>
        <w:pStyle w:val="Point2"/>
        <w:spacing w:line="360" w:lineRule="auto"/>
        <w:jc w:val="left"/>
        <w:rPr>
          <w:noProof/>
        </w:rPr>
      </w:pPr>
      <w:r w:rsidRPr="00623D95">
        <w:t>б)</w:t>
      </w:r>
      <w:r w:rsidRPr="00623D95">
        <w:tab/>
        <w:t xml:space="preserve">регистрация, когато той е поднадзорен субект, различен от администратор, който изготвя или възнамерява да изготвя индекси, които се използват или са предназначени за използване като значими бенчмаркове, бенчмаркове на ЕС за климатичен преход или </w:t>
      </w:r>
      <w:r w:rsidRPr="00623D95">
        <w:lastRenderedPageBreak/>
        <w:t>бенчмаркове на ЕС, съответстващи на Парижкото споразумение, при условие че извършването на дейността по изготвяне на бенчмарк не е възпрепятствано от секторната дисциплина, приложима за поднадзорния субект, и че нито един от изготвяните индекси не би бил класифициран като критичен бенчмарк;“;</w:t>
      </w:r>
    </w:p>
    <w:p w:rsidR="00260CA3" w:rsidRPr="00623D95" w:rsidRDefault="00260CA3" w:rsidP="00432061">
      <w:pPr>
        <w:pStyle w:val="Point1"/>
        <w:spacing w:line="360" w:lineRule="auto"/>
        <w:jc w:val="left"/>
        <w:rPr>
          <w:b/>
          <w:i/>
        </w:rPr>
      </w:pPr>
      <w:r w:rsidRPr="00623D95">
        <w:rPr>
          <w:b/>
          <w:i/>
        </w:rPr>
        <w:t>аа)</w:t>
      </w:r>
      <w:r w:rsidRPr="00623D95">
        <w:rPr>
          <w:b/>
          <w:i/>
        </w:rPr>
        <w:tab/>
        <w:t>Член 34, параграф 2 се изменя, както следва:</w:t>
      </w:r>
    </w:p>
    <w:p w:rsidR="00260CA3" w:rsidRPr="00623D95" w:rsidRDefault="00260CA3" w:rsidP="00432061">
      <w:pPr>
        <w:pStyle w:val="Point2"/>
        <w:spacing w:line="360" w:lineRule="auto"/>
        <w:ind w:left="1134" w:firstLine="0"/>
        <w:jc w:val="left"/>
        <w:rPr>
          <w:b/>
          <w:i/>
          <w:noProof/>
        </w:rPr>
      </w:pPr>
      <w:r w:rsidRPr="00623D95">
        <w:rPr>
          <w:b/>
          <w:i/>
        </w:rPr>
        <w:t>1a. Когато един или повече от изготвяните от лицето по параграф 1 индекси биха били класифицирани като критични бенчмаркове съгласно посоченото в член 20, параграф 1, букви а) и в), или като значими бенчмаркове, както е посочено в член 24, параграфи 2, 5 и 6, или ако лицето възнамерява да одобри бенчмарковете, както е посочено в член 33, заявлението се изпраща до ЕОЦКП.</w:t>
      </w:r>
    </w:p>
    <w:p w:rsidR="00260CA3" w:rsidRPr="00623D95" w:rsidRDefault="00260CA3" w:rsidP="00432061">
      <w:pPr>
        <w:pStyle w:val="Point1"/>
        <w:spacing w:line="360" w:lineRule="auto"/>
        <w:jc w:val="left"/>
        <w:rPr>
          <w:noProof/>
        </w:rPr>
      </w:pPr>
      <w:r w:rsidRPr="00623D95">
        <w:t>б)</w:t>
      </w:r>
      <w:r w:rsidRPr="00623D95">
        <w:tab/>
        <w:t>параграф 3 се заменя със следното:</w:t>
      </w:r>
    </w:p>
    <w:p w:rsidR="00260CA3" w:rsidRPr="00623D95" w:rsidRDefault="00260CA3" w:rsidP="00432061">
      <w:pPr>
        <w:spacing w:line="360" w:lineRule="auto"/>
        <w:ind w:left="1134"/>
        <w:rPr>
          <w:noProof/>
        </w:rPr>
      </w:pPr>
      <w:r w:rsidRPr="00623D95">
        <w:t>‘3. Заявлението, посочено в параграф 1, се подава в срок от 30 работни дни от сключването на споразумение от поднадзорен субект за използването на индекс, изготвян от заявителя с цел определянето на стойността на финансов инструмент или финансов договор или с цел измерване на резултатите на инвестиционен фонд, или в сроковете, установени в член 24а, параграфи 2 и 3, според случая.“;</w:t>
      </w:r>
    </w:p>
    <w:p w:rsidR="00260CA3" w:rsidRPr="00623D95" w:rsidRDefault="00606586" w:rsidP="00606586">
      <w:pPr>
        <w:spacing w:line="360" w:lineRule="auto"/>
        <w:ind w:left="851" w:hanging="851"/>
        <w:rPr>
          <w:b/>
          <w:i/>
          <w:noProof/>
        </w:rPr>
      </w:pPr>
      <w:r>
        <w:rPr>
          <w:b/>
          <w:i/>
        </w:rPr>
        <w:t>16a)</w:t>
      </w:r>
      <w:r>
        <w:rPr>
          <w:b/>
          <w:i/>
        </w:rPr>
        <w:tab/>
        <w:t xml:space="preserve"> В</w:t>
      </w:r>
      <w:r w:rsidR="00260CA3" w:rsidRPr="00623D95">
        <w:rPr>
          <w:b/>
          <w:i/>
        </w:rPr>
        <w:t xml:space="preserve"> член 36, параграф 1, букви а)—г) се заменят със следното:</w:t>
      </w:r>
    </w:p>
    <w:p w:rsidR="00260CA3" w:rsidRPr="00623D95" w:rsidRDefault="00432061" w:rsidP="00606586">
      <w:pPr>
        <w:spacing w:line="360" w:lineRule="auto"/>
        <w:ind w:left="1418" w:hanging="567"/>
        <w:rPr>
          <w:rFonts w:eastAsiaTheme="minorHAnsi"/>
          <w:b/>
          <w:i/>
          <w:noProof/>
        </w:rPr>
      </w:pPr>
      <w:r>
        <w:t>„</w:t>
      </w:r>
      <w:r w:rsidR="00260CA3" w:rsidRPr="00623D95">
        <w:rPr>
          <w:b/>
          <w:i/>
        </w:rPr>
        <w:t>1.</w:t>
      </w:r>
      <w:r w:rsidR="00260CA3" w:rsidRPr="00623D95">
        <w:rPr>
          <w:b/>
          <w:i/>
        </w:rPr>
        <w:tab/>
        <w:t>ЕОЦКП създава и поддържа публичен регистър, който съдържа следната информация:</w:t>
      </w:r>
    </w:p>
    <w:p w:rsidR="00260CA3" w:rsidRPr="00623D95" w:rsidRDefault="00260CA3" w:rsidP="00432061">
      <w:pPr>
        <w:spacing w:line="360" w:lineRule="auto"/>
        <w:ind w:left="1418" w:hanging="567"/>
        <w:rPr>
          <w:b/>
          <w:i/>
          <w:noProof/>
        </w:rPr>
      </w:pPr>
      <w:r w:rsidRPr="00623D95">
        <w:rPr>
          <w:b/>
          <w:i/>
        </w:rPr>
        <w:t xml:space="preserve">а) </w:t>
      </w:r>
      <w:r w:rsidR="00432061">
        <w:rPr>
          <w:b/>
          <w:i/>
        </w:rPr>
        <w:tab/>
      </w:r>
      <w:r w:rsidRPr="00623D95">
        <w:rPr>
          <w:b/>
          <w:i/>
        </w:rPr>
        <w:t>идентификационните данни, включително, когато е наличен, идентификационния код на правния субект (ИКПС), на администраторите, лицензирани или регистрирани съгласно член 34, и на компетентните органи, отговорни за надзора върху тях;</w:t>
      </w:r>
    </w:p>
    <w:p w:rsidR="00260CA3" w:rsidRPr="00623D95" w:rsidRDefault="00260CA3" w:rsidP="00432061">
      <w:pPr>
        <w:spacing w:line="360" w:lineRule="auto"/>
        <w:ind w:left="1418" w:hanging="567"/>
        <w:rPr>
          <w:b/>
          <w:i/>
          <w:noProof/>
        </w:rPr>
      </w:pPr>
      <w:r w:rsidRPr="00623D95">
        <w:rPr>
          <w:b/>
          <w:i/>
        </w:rPr>
        <w:t xml:space="preserve">б) </w:t>
      </w:r>
      <w:r w:rsidR="00432061">
        <w:rPr>
          <w:b/>
          <w:i/>
        </w:rPr>
        <w:tab/>
      </w:r>
      <w:r w:rsidRPr="00623D95">
        <w:rPr>
          <w:b/>
          <w:i/>
        </w:rPr>
        <w:t>идентификационните данни, включително, когато са налични, ИКПС, на администраторите, които отговарят на условията, предвидени в член 30, параграф 1, списъка на бенчмарковете, включително техните международни идентификационни кодове на ценни книжа (ISIN кодовете), посочени в член 30, параграф 1, буква в), и компетентните органи на третата държава, отговорни за надзора върху тях;</w:t>
      </w:r>
    </w:p>
    <w:p w:rsidR="00260CA3" w:rsidRPr="00623D95" w:rsidRDefault="00260CA3" w:rsidP="00432061">
      <w:pPr>
        <w:spacing w:line="360" w:lineRule="auto"/>
        <w:ind w:left="1418" w:hanging="567"/>
        <w:rPr>
          <w:b/>
          <w:i/>
          <w:noProof/>
        </w:rPr>
      </w:pPr>
      <w:r w:rsidRPr="00623D95">
        <w:rPr>
          <w:b/>
          <w:i/>
        </w:rPr>
        <w:lastRenderedPageBreak/>
        <w:t xml:space="preserve">в) </w:t>
      </w:r>
      <w:r w:rsidR="00432061">
        <w:rPr>
          <w:b/>
          <w:i/>
        </w:rPr>
        <w:tab/>
      </w:r>
      <w:r w:rsidRPr="00623D95">
        <w:rPr>
          <w:b/>
          <w:i/>
        </w:rPr>
        <w:t>идентификационните данни, включително, когато са налични, ИКПС, на администраторите, които са признати в съответствие с член 32, списъка на бенчмарковете, включително, когато са налични, техните ISIN кодове, посочени в член 32, параграф 7, и когато е приложимо — компетентните органи на третата държава, отговорни за надзора върху тях;</w:t>
      </w:r>
    </w:p>
    <w:p w:rsidR="00260CA3" w:rsidRPr="00623D95" w:rsidRDefault="00260CA3" w:rsidP="00432061">
      <w:pPr>
        <w:spacing w:line="360" w:lineRule="auto"/>
        <w:ind w:left="1418" w:hanging="567"/>
        <w:rPr>
          <w:b/>
          <w:i/>
          <w:noProof/>
        </w:rPr>
      </w:pPr>
      <w:r w:rsidRPr="00623D95">
        <w:rPr>
          <w:b/>
          <w:i/>
        </w:rPr>
        <w:t xml:space="preserve">г) </w:t>
      </w:r>
      <w:r w:rsidR="00432061">
        <w:rPr>
          <w:b/>
          <w:i/>
        </w:rPr>
        <w:tab/>
      </w:r>
      <w:r w:rsidRPr="00623D95">
        <w:rPr>
          <w:b/>
          <w:i/>
        </w:rPr>
        <w:t>бенчмарковете, одобрени в съответствие с процедурата, предвидена в член 33, и идентификационните данни на техните администратори, както и идентификационните данни на одобряващите администратори или одобряващите поднадзорни субекти.</w:t>
      </w:r>
      <w:r w:rsidRPr="00623D95">
        <w:t>;</w:t>
      </w:r>
    </w:p>
    <w:p w:rsidR="00260CA3" w:rsidRPr="00623D95" w:rsidRDefault="00606586" w:rsidP="00432061">
      <w:pPr>
        <w:pStyle w:val="Point0"/>
        <w:spacing w:line="360" w:lineRule="auto"/>
        <w:jc w:val="left"/>
        <w:rPr>
          <w:noProof/>
        </w:rPr>
      </w:pPr>
      <w:r>
        <w:t>1</w:t>
      </w:r>
      <w:r w:rsidR="00260CA3" w:rsidRPr="00623D95">
        <w:t>7)</w:t>
      </w:r>
      <w:r w:rsidR="00260CA3" w:rsidRPr="00623D95">
        <w:tab/>
        <w:t xml:space="preserve">В член 36, параграф 1: </w:t>
      </w:r>
    </w:p>
    <w:p w:rsidR="00260CA3" w:rsidRPr="00623D95" w:rsidRDefault="00260CA3" w:rsidP="00606586">
      <w:pPr>
        <w:pStyle w:val="Point0"/>
        <w:spacing w:line="360" w:lineRule="auto"/>
        <w:ind w:left="1418" w:hanging="567"/>
        <w:jc w:val="left"/>
        <w:rPr>
          <w:noProof/>
        </w:rPr>
      </w:pPr>
      <w:r w:rsidRPr="00623D95">
        <w:t xml:space="preserve">а) </w:t>
      </w:r>
      <w:r w:rsidR="00432061">
        <w:tab/>
      </w:r>
      <w:r w:rsidRPr="00623D95">
        <w:t>букви</w:t>
      </w:r>
      <w:r w:rsidR="00606586">
        <w:t>те</w:t>
      </w:r>
      <w:r w:rsidRPr="00623D95">
        <w:t> д) — й)</w:t>
      </w:r>
      <w:r w:rsidR="00606586">
        <w:t xml:space="preserve"> се изменят както следва</w:t>
      </w:r>
      <w:r w:rsidRPr="00623D95">
        <w:t xml:space="preserve">: </w:t>
      </w:r>
    </w:p>
    <w:p w:rsidR="00260CA3" w:rsidRPr="00623D95" w:rsidRDefault="00260CA3" w:rsidP="00432061">
      <w:pPr>
        <w:pStyle w:val="Text1"/>
        <w:spacing w:line="360" w:lineRule="auto"/>
        <w:ind w:left="1985" w:hanging="567"/>
        <w:jc w:val="left"/>
        <w:rPr>
          <w:noProof/>
        </w:rPr>
      </w:pPr>
      <w:r w:rsidRPr="00623D95">
        <w:t>„д)</w:t>
      </w:r>
      <w:r w:rsidRPr="00623D95">
        <w:tab/>
        <w:t>бенчмарковете</w:t>
      </w:r>
      <w:r w:rsidRPr="00623D95">
        <w:rPr>
          <w:b/>
          <w:i/>
        </w:rPr>
        <w:t>, включително, когато са налични, техните ISIN кодове</w:t>
      </w:r>
      <w:r w:rsidRPr="00623D95">
        <w:t>, за които ЕОЦКП или компетентен орган е публикувал декларация съгласно член 24, параграф 2, както и електронните препратки към тези декларации;</w:t>
      </w:r>
    </w:p>
    <w:p w:rsidR="00260CA3" w:rsidRPr="00623D95" w:rsidRDefault="00260CA3" w:rsidP="00432061">
      <w:pPr>
        <w:pStyle w:val="Text1"/>
        <w:spacing w:line="360" w:lineRule="auto"/>
        <w:ind w:left="1985" w:hanging="567"/>
        <w:jc w:val="left"/>
        <w:rPr>
          <w:noProof/>
        </w:rPr>
      </w:pPr>
      <w:r w:rsidRPr="00623D95">
        <w:t>е)</w:t>
      </w:r>
      <w:r w:rsidRPr="00623D95">
        <w:tab/>
        <w:t>бенчмарковете</w:t>
      </w:r>
      <w:r w:rsidRPr="00623D95">
        <w:rPr>
          <w:b/>
          <w:i/>
        </w:rPr>
        <w:t>, включително, когато са налични, техните ISIN кодове</w:t>
      </w:r>
      <w:r w:rsidRPr="00623D95">
        <w:t>, за които компетентните органи са взели решение за определяне и за които ЕОЦКП е уведомен съгласно член 24, параграф 4, както и хипервръзките към тези решения;</w:t>
      </w:r>
    </w:p>
    <w:p w:rsidR="00260CA3" w:rsidRPr="00623D95" w:rsidRDefault="00260CA3" w:rsidP="00432061">
      <w:pPr>
        <w:pStyle w:val="Text1"/>
        <w:spacing w:line="360" w:lineRule="auto"/>
        <w:ind w:left="1985" w:hanging="567"/>
        <w:jc w:val="left"/>
        <w:rPr>
          <w:noProof/>
        </w:rPr>
      </w:pPr>
      <w:r w:rsidRPr="00623D95">
        <w:t>ж)</w:t>
      </w:r>
      <w:r w:rsidRPr="00623D95">
        <w:tab/>
        <w:t>бенчмарковете</w:t>
      </w:r>
      <w:r w:rsidRPr="00623D95">
        <w:rPr>
          <w:b/>
          <w:i/>
        </w:rPr>
        <w:t>, включително, когато са налични, техните ISIN кодове</w:t>
      </w:r>
      <w:r w:rsidRPr="00623D95">
        <w:t xml:space="preserve">, за които ЕОЦКП е взел решение за определяне, както и хипервръзките към тези решения; </w:t>
      </w:r>
    </w:p>
    <w:p w:rsidR="00260CA3" w:rsidRPr="00623D95" w:rsidRDefault="00260CA3" w:rsidP="00432061">
      <w:pPr>
        <w:pStyle w:val="Text1"/>
        <w:spacing w:line="360" w:lineRule="auto"/>
        <w:ind w:left="1985" w:hanging="567"/>
        <w:jc w:val="left"/>
        <w:rPr>
          <w:noProof/>
        </w:rPr>
      </w:pPr>
      <w:r w:rsidRPr="00623D95">
        <w:t>з)</w:t>
      </w:r>
      <w:r w:rsidRPr="00623D95">
        <w:tab/>
        <w:t>бенчмарковете</w:t>
      </w:r>
      <w:r w:rsidRPr="00623D95">
        <w:rPr>
          <w:b/>
          <w:i/>
        </w:rPr>
        <w:t>, включително, когато са налични, техните ISIN кодове</w:t>
      </w:r>
      <w:r w:rsidRPr="00623D95">
        <w:t>, за които ЕОЦКП и компетентните органи са издали публично известие съгласно член 24а, параграф 5, както и хипервръзките към тези публични известия;</w:t>
      </w:r>
    </w:p>
    <w:p w:rsidR="00260CA3" w:rsidRPr="00623D95" w:rsidRDefault="00260CA3" w:rsidP="00432061">
      <w:pPr>
        <w:pStyle w:val="Text1"/>
        <w:spacing w:line="360" w:lineRule="auto"/>
        <w:ind w:left="1985" w:hanging="567"/>
        <w:jc w:val="left"/>
        <w:rPr>
          <w:noProof/>
        </w:rPr>
      </w:pPr>
      <w:r w:rsidRPr="00623D95">
        <w:t>и)</w:t>
      </w:r>
      <w:r w:rsidRPr="00623D95">
        <w:tab/>
        <w:t>списъка на бенчмарковете на ЕС за климатичен преход и бенчмарковете на ЕС, съответстващи на Парижкото споразумение</w:t>
      </w:r>
      <w:r w:rsidRPr="00623D95">
        <w:rPr>
          <w:b/>
          <w:i/>
        </w:rPr>
        <w:t>, включително, когато са налични, техните ISIN кодове</w:t>
      </w:r>
      <w:r w:rsidRPr="00623D95">
        <w:t>, които могат да бъдат използвани в Съюза;</w:t>
      </w:r>
    </w:p>
    <w:p w:rsidR="00260CA3" w:rsidRPr="00623D95" w:rsidRDefault="00260CA3" w:rsidP="00432061">
      <w:pPr>
        <w:pStyle w:val="Text1"/>
        <w:spacing w:line="360" w:lineRule="auto"/>
        <w:ind w:left="1985" w:hanging="567"/>
        <w:jc w:val="left"/>
        <w:rPr>
          <w:noProof/>
        </w:rPr>
      </w:pPr>
      <w:r w:rsidRPr="00623D95">
        <w:lastRenderedPageBreak/>
        <w:t>й)</w:t>
      </w:r>
      <w:r w:rsidRPr="00623D95">
        <w:tab/>
        <w:t>списъка на критичните бенчмаркове</w:t>
      </w:r>
      <w:r w:rsidRPr="00623D95">
        <w:rPr>
          <w:b/>
          <w:i/>
        </w:rPr>
        <w:t>, включително, когато са налични, техните ISIN кодове</w:t>
      </w:r>
      <w:r w:rsidRPr="00623D95">
        <w:t>.“;</w:t>
      </w:r>
    </w:p>
    <w:p w:rsidR="00260CA3" w:rsidRPr="00623D95" w:rsidRDefault="00260CA3" w:rsidP="00432061">
      <w:pPr>
        <w:pStyle w:val="Text1"/>
        <w:spacing w:line="360" w:lineRule="auto"/>
        <w:ind w:left="1418" w:hanging="567"/>
        <w:jc w:val="left"/>
        <w:rPr>
          <w:noProof/>
        </w:rPr>
      </w:pPr>
      <w:r w:rsidRPr="00623D95">
        <w:t xml:space="preserve">б) </w:t>
      </w:r>
      <w:r w:rsidR="00432061">
        <w:tab/>
      </w:r>
      <w:r w:rsidRPr="00623D95">
        <w:t>добавя се буква йа):</w:t>
      </w:r>
    </w:p>
    <w:p w:rsidR="00260CA3" w:rsidRPr="00623D95" w:rsidRDefault="00260CA3" w:rsidP="00432061">
      <w:pPr>
        <w:pStyle w:val="Text1"/>
        <w:spacing w:line="360" w:lineRule="auto"/>
        <w:ind w:left="1985" w:hanging="567"/>
        <w:jc w:val="left"/>
        <w:rPr>
          <w:b/>
          <w:i/>
          <w:noProof/>
        </w:rPr>
      </w:pPr>
      <w:r w:rsidRPr="00623D95">
        <w:t>„</w:t>
      </w:r>
      <w:r w:rsidRPr="00623D95">
        <w:rPr>
          <w:b/>
          <w:i/>
        </w:rPr>
        <w:t>йа)</w:t>
      </w:r>
      <w:r w:rsidRPr="00623D95">
        <w:rPr>
          <w:b/>
          <w:i/>
        </w:rPr>
        <w:tab/>
        <w:t>списъка на стоковите бенчмаркове, предмет на приложение II, включително, когато са налични, техните ISIN кодове, които могат да бъдат използвани в Съюза.</w:t>
      </w:r>
      <w:r w:rsidR="00606586">
        <w:rPr>
          <w:b/>
          <w:i/>
        </w:rPr>
        <w:t>“</w:t>
      </w:r>
      <w:r w:rsidRPr="00623D95">
        <w:t>;</w:t>
      </w:r>
    </w:p>
    <w:p w:rsidR="00260CA3" w:rsidRPr="00623D95" w:rsidRDefault="00260CA3" w:rsidP="00606586">
      <w:pPr>
        <w:pStyle w:val="Text1"/>
        <w:spacing w:before="0" w:after="0" w:line="360" w:lineRule="auto"/>
        <w:ind w:left="851" w:hanging="851"/>
        <w:jc w:val="left"/>
        <w:rPr>
          <w:b/>
          <w:i/>
          <w:noProof/>
        </w:rPr>
      </w:pPr>
      <w:r w:rsidRPr="00623D95">
        <w:rPr>
          <w:b/>
          <w:i/>
        </w:rPr>
        <w:t>17a)</w:t>
      </w:r>
      <w:r w:rsidRPr="00623D95">
        <w:rPr>
          <w:b/>
          <w:i/>
        </w:rPr>
        <w:tab/>
        <w:t>Член 40, параграф 1 се изменя, както следва:</w:t>
      </w:r>
    </w:p>
    <w:p w:rsidR="00260CA3" w:rsidRPr="00623D95" w:rsidRDefault="00260CA3" w:rsidP="00606586">
      <w:pPr>
        <w:pStyle w:val="Text1"/>
        <w:spacing w:before="240" w:after="0" w:line="360" w:lineRule="auto"/>
        <w:ind w:left="1418" w:hanging="567"/>
        <w:jc w:val="left"/>
        <w:rPr>
          <w:b/>
          <w:i/>
          <w:noProof/>
        </w:rPr>
      </w:pPr>
      <w:r w:rsidRPr="00623D95">
        <w:t>„</w:t>
      </w:r>
      <w:r w:rsidRPr="00623D95">
        <w:rPr>
          <w:b/>
          <w:i/>
        </w:rPr>
        <w:t xml:space="preserve">1. </w:t>
      </w:r>
      <w:r w:rsidR="00606586">
        <w:rPr>
          <w:b/>
          <w:i/>
        </w:rPr>
        <w:tab/>
      </w:r>
      <w:r w:rsidRPr="00623D95">
        <w:rPr>
          <w:b/>
          <w:i/>
        </w:rPr>
        <w:t>За целите на настоящия регламент ЕОЦКП е компетентният орган за:</w:t>
      </w:r>
    </w:p>
    <w:p w:rsidR="00260CA3" w:rsidRPr="00623D95" w:rsidRDefault="00260CA3" w:rsidP="00606586">
      <w:pPr>
        <w:pStyle w:val="Text1"/>
        <w:spacing w:after="0" w:line="360" w:lineRule="auto"/>
        <w:ind w:left="1985" w:hanging="567"/>
        <w:jc w:val="left"/>
        <w:rPr>
          <w:b/>
          <w:i/>
          <w:noProof/>
        </w:rPr>
      </w:pPr>
      <w:r w:rsidRPr="00623D95">
        <w:rPr>
          <w:b/>
          <w:i/>
        </w:rPr>
        <w:t xml:space="preserve">а) </w:t>
      </w:r>
      <w:r w:rsidR="00606586">
        <w:rPr>
          <w:b/>
          <w:i/>
        </w:rPr>
        <w:tab/>
      </w:r>
      <w:r w:rsidRPr="00623D95">
        <w:rPr>
          <w:b/>
          <w:i/>
        </w:rPr>
        <w:t>посочените в член 20, параграф 1, буква а) и в) администратори на критични бенчмаркове;</w:t>
      </w:r>
    </w:p>
    <w:p w:rsidR="00260CA3" w:rsidRPr="00623D95" w:rsidRDefault="00260CA3" w:rsidP="00606586">
      <w:pPr>
        <w:pStyle w:val="Text1"/>
        <w:spacing w:after="0" w:line="360" w:lineRule="auto"/>
        <w:ind w:left="1985" w:hanging="567"/>
        <w:jc w:val="left"/>
        <w:rPr>
          <w:b/>
          <w:i/>
          <w:noProof/>
        </w:rPr>
      </w:pPr>
      <w:r w:rsidRPr="00623D95">
        <w:rPr>
          <w:b/>
          <w:i/>
        </w:rPr>
        <w:t xml:space="preserve">б) </w:t>
      </w:r>
      <w:r w:rsidR="00606586">
        <w:rPr>
          <w:b/>
          <w:i/>
        </w:rPr>
        <w:tab/>
      </w:r>
      <w:r w:rsidRPr="00623D95">
        <w:rPr>
          <w:b/>
          <w:i/>
        </w:rPr>
        <w:t>посочените в член 32 администратори на бенчмаркове;</w:t>
      </w:r>
    </w:p>
    <w:p w:rsidR="00260CA3" w:rsidRPr="00623D95" w:rsidRDefault="00260CA3" w:rsidP="00606586">
      <w:pPr>
        <w:pStyle w:val="Text1"/>
        <w:spacing w:after="0" w:line="360" w:lineRule="auto"/>
        <w:ind w:left="1985" w:hanging="567"/>
        <w:jc w:val="left"/>
        <w:rPr>
          <w:b/>
          <w:i/>
          <w:noProof/>
        </w:rPr>
      </w:pPr>
      <w:r w:rsidRPr="00623D95">
        <w:rPr>
          <w:b/>
          <w:i/>
        </w:rPr>
        <w:t xml:space="preserve">в) </w:t>
      </w:r>
      <w:r w:rsidR="00606586">
        <w:rPr>
          <w:b/>
          <w:i/>
        </w:rPr>
        <w:tab/>
      </w:r>
      <w:r w:rsidRPr="00623D95">
        <w:rPr>
          <w:b/>
          <w:i/>
        </w:rPr>
        <w:t>администраторите на бенчмаркове, които са значими в рамките на Съюза, както е посочено в член 24, параграфи 2, 5 и 6;</w:t>
      </w:r>
    </w:p>
    <w:p w:rsidR="00260CA3" w:rsidRPr="00623D95" w:rsidRDefault="00260CA3" w:rsidP="00606586">
      <w:pPr>
        <w:pStyle w:val="Text1"/>
        <w:spacing w:after="0" w:line="360" w:lineRule="auto"/>
        <w:ind w:left="1985" w:hanging="567"/>
        <w:jc w:val="left"/>
        <w:rPr>
          <w:b/>
          <w:i/>
          <w:noProof/>
        </w:rPr>
      </w:pPr>
      <w:r w:rsidRPr="00623D95">
        <w:rPr>
          <w:b/>
          <w:i/>
        </w:rPr>
        <w:t xml:space="preserve">г) </w:t>
      </w:r>
      <w:r w:rsidR="00606586">
        <w:rPr>
          <w:b/>
          <w:i/>
        </w:rPr>
        <w:tab/>
      </w:r>
      <w:r w:rsidRPr="00623D95">
        <w:rPr>
          <w:b/>
          <w:i/>
        </w:rPr>
        <w:t>администратори, одобряващи бенчмаркове, изготвени в трета държава съгласно член 33;</w:t>
      </w:r>
    </w:p>
    <w:p w:rsidR="00260CA3" w:rsidRPr="00623D95" w:rsidRDefault="00260CA3" w:rsidP="00606586">
      <w:pPr>
        <w:pStyle w:val="Text1"/>
        <w:spacing w:after="0" w:line="360" w:lineRule="auto"/>
        <w:ind w:left="1985" w:hanging="567"/>
        <w:jc w:val="left"/>
        <w:rPr>
          <w:b/>
          <w:i/>
          <w:noProof/>
        </w:rPr>
      </w:pPr>
      <w:r w:rsidRPr="00623D95">
        <w:rPr>
          <w:b/>
          <w:i/>
        </w:rPr>
        <w:t xml:space="preserve">д) </w:t>
      </w:r>
      <w:r w:rsidR="00606586">
        <w:rPr>
          <w:b/>
          <w:i/>
        </w:rPr>
        <w:tab/>
      </w:r>
      <w:r w:rsidRPr="00623D95">
        <w:rPr>
          <w:b/>
          <w:i/>
        </w:rPr>
        <w:t>администратори на бенчмарковете на ЕС за климатичен преход и бенчмарковете на ЕС, съответстващи на Парижкото споразумение, както са посочени в член 3, параграфи 23а и 23б.</w:t>
      </w:r>
      <w:r w:rsidR="00606586">
        <w:rPr>
          <w:b/>
          <w:i/>
        </w:rPr>
        <w:t>“</w:t>
      </w:r>
      <w:r w:rsidRPr="00623D95">
        <w:t>;</w:t>
      </w:r>
    </w:p>
    <w:p w:rsidR="00260CA3" w:rsidRPr="00623D95" w:rsidRDefault="00432061" w:rsidP="00432061">
      <w:pPr>
        <w:pStyle w:val="Point0"/>
        <w:spacing w:line="360" w:lineRule="auto"/>
        <w:jc w:val="left"/>
        <w:rPr>
          <w:noProof/>
        </w:rPr>
      </w:pPr>
      <w:r>
        <w:t>18)</w:t>
      </w:r>
      <w:r>
        <w:tab/>
        <w:t>В</w:t>
      </w:r>
      <w:r w:rsidR="00260CA3" w:rsidRPr="00623D95">
        <w:t xml:space="preserve"> член 41, параграф 1 се добавят букви к) и л): </w:t>
      </w:r>
    </w:p>
    <w:p w:rsidR="00260CA3" w:rsidRPr="00623D95" w:rsidRDefault="00260CA3" w:rsidP="00432061">
      <w:pPr>
        <w:pStyle w:val="Text1"/>
        <w:spacing w:line="360" w:lineRule="auto"/>
        <w:ind w:left="1418" w:hanging="567"/>
        <w:jc w:val="left"/>
        <w:rPr>
          <w:noProof/>
        </w:rPr>
      </w:pPr>
      <w:r w:rsidRPr="00623D95">
        <w:t>„к)</w:t>
      </w:r>
      <w:r w:rsidRPr="00623D95">
        <w:tab/>
        <w:t xml:space="preserve">да определят бенчмарк като значим съгласно член 24, параграф 3; </w:t>
      </w:r>
    </w:p>
    <w:p w:rsidR="00260CA3" w:rsidRPr="00623D95" w:rsidRDefault="00260CA3" w:rsidP="00432061">
      <w:pPr>
        <w:pStyle w:val="Text1"/>
        <w:spacing w:line="360" w:lineRule="auto"/>
        <w:ind w:left="1418" w:hanging="567"/>
        <w:jc w:val="left"/>
        <w:rPr>
          <w:noProof/>
        </w:rPr>
      </w:pPr>
      <w:r w:rsidRPr="00623D95">
        <w:t>л)</w:t>
      </w:r>
      <w:r w:rsidRPr="00623D95">
        <w:tab/>
        <w:t xml:space="preserve">в случай на основателни причини да се подозира нарушение на някое от изискванията, предвидени в глава 3А, да изискват от администратора да спре за максимален срок от 12 месеца: </w:t>
      </w:r>
    </w:p>
    <w:p w:rsidR="00260CA3" w:rsidRPr="00623D95" w:rsidRDefault="00260CA3" w:rsidP="00432061">
      <w:pPr>
        <w:pStyle w:val="Text1"/>
        <w:spacing w:line="360" w:lineRule="auto"/>
        <w:ind w:left="2160" w:hanging="1026"/>
        <w:jc w:val="left"/>
        <w:rPr>
          <w:noProof/>
        </w:rPr>
      </w:pPr>
      <w:r w:rsidRPr="00623D95">
        <w:t>i)</w:t>
      </w:r>
      <w:r w:rsidRPr="00623D95">
        <w:tab/>
        <w:t xml:space="preserve">да изготвя бенчмаркове на ЕС за климатичен преход или бенчмаркове на ЕС, съответстващи на Парижкото споразумение; </w:t>
      </w:r>
    </w:p>
    <w:p w:rsidR="00260CA3" w:rsidRPr="00623D95" w:rsidRDefault="00260CA3" w:rsidP="00432061">
      <w:pPr>
        <w:pStyle w:val="Text1"/>
        <w:spacing w:line="360" w:lineRule="auto"/>
        <w:ind w:left="2160" w:hanging="1026"/>
        <w:jc w:val="left"/>
        <w:rPr>
          <w:noProof/>
        </w:rPr>
      </w:pPr>
      <w:r w:rsidRPr="00623D95">
        <w:t>ii)</w:t>
      </w:r>
      <w:r w:rsidRPr="00623D95">
        <w:tab/>
        <w:t xml:space="preserve">да се позовава на бенчмаркове на ЕС за климатичен преход или бенчмаркове на ЕС, съответстващи на Парижкото споразумение, в </w:t>
      </w:r>
      <w:r w:rsidRPr="00623D95">
        <w:lastRenderedPageBreak/>
        <w:t>наименованието на бенчмарковете, които предоставят за използване в Съюза, или в правната или пазарната документация за тези бенчмаркове;</w:t>
      </w:r>
    </w:p>
    <w:p w:rsidR="00260CA3" w:rsidRPr="00623D95" w:rsidRDefault="00260CA3" w:rsidP="00432061">
      <w:pPr>
        <w:pStyle w:val="Text1"/>
        <w:spacing w:line="360" w:lineRule="auto"/>
        <w:ind w:left="2160" w:hanging="1026"/>
        <w:jc w:val="left"/>
        <w:rPr>
          <w:noProof/>
        </w:rPr>
      </w:pPr>
      <w:r w:rsidRPr="00623D95">
        <w:t>iii)</w:t>
      </w:r>
      <w:r w:rsidRPr="00623D95">
        <w:tab/>
        <w:t>да се позовава на спазването на изискванията, приложими за изготвянето на такива бенчмаркове, в наименованието на бенчмарковете, които предоставят за използване в Съюза, или в правната или пазарната документация за тези бенчмаркове;“;</w:t>
      </w:r>
    </w:p>
    <w:p w:rsidR="00260CA3" w:rsidRPr="00623D95" w:rsidRDefault="00260CA3" w:rsidP="00432061">
      <w:pPr>
        <w:pStyle w:val="Point0"/>
        <w:spacing w:line="360" w:lineRule="auto"/>
        <w:jc w:val="left"/>
        <w:rPr>
          <w:noProof/>
        </w:rPr>
      </w:pPr>
      <w:r w:rsidRPr="00623D95">
        <w:t>19)</w:t>
      </w:r>
      <w:r w:rsidRPr="00623D95">
        <w:tab/>
        <w:t xml:space="preserve">Член 42 се изменя, както следва: </w:t>
      </w:r>
    </w:p>
    <w:p w:rsidR="00260CA3" w:rsidRPr="00623D95" w:rsidRDefault="00260CA3" w:rsidP="00432061">
      <w:pPr>
        <w:pStyle w:val="Point1"/>
        <w:spacing w:line="360" w:lineRule="auto"/>
        <w:jc w:val="left"/>
        <w:rPr>
          <w:noProof/>
        </w:rPr>
      </w:pPr>
      <w:r w:rsidRPr="00623D95">
        <w:t>а)</w:t>
      </w:r>
      <w:r w:rsidRPr="00623D95">
        <w:tab/>
        <w:t>в параграф 1, буква а) се заменя със следното:</w:t>
      </w:r>
    </w:p>
    <w:p w:rsidR="00260CA3" w:rsidRPr="00623D95" w:rsidRDefault="00260CA3" w:rsidP="00432061">
      <w:pPr>
        <w:spacing w:line="360" w:lineRule="auto"/>
        <w:ind w:left="1134"/>
        <w:rPr>
          <w:noProof/>
        </w:rPr>
      </w:pPr>
      <w:r w:rsidRPr="00623D95">
        <w:t>„а) нарушение на членове 4—16, 19а, 19б, 19в и 21, 23—29 или на член 34, когато те се прилагат;  както и“;</w:t>
      </w:r>
    </w:p>
    <w:p w:rsidR="00260CA3" w:rsidRPr="00623D95" w:rsidRDefault="00260CA3" w:rsidP="00432061">
      <w:pPr>
        <w:pStyle w:val="Point1"/>
        <w:spacing w:line="360" w:lineRule="auto"/>
        <w:jc w:val="left"/>
        <w:rPr>
          <w:noProof/>
        </w:rPr>
      </w:pPr>
      <w:r w:rsidRPr="00623D95">
        <w:t>б)</w:t>
      </w:r>
      <w:r w:rsidRPr="00623D95">
        <w:tab/>
        <w:t>параграф 2 се изменя, както следва:</w:t>
      </w:r>
    </w:p>
    <w:p w:rsidR="00260CA3" w:rsidRPr="00623D95" w:rsidRDefault="00260CA3" w:rsidP="00432061">
      <w:pPr>
        <w:pStyle w:val="Text2"/>
        <w:spacing w:line="360" w:lineRule="auto"/>
        <w:jc w:val="left"/>
        <w:rPr>
          <w:noProof/>
        </w:rPr>
      </w:pPr>
      <w:r w:rsidRPr="00623D95">
        <w:t>i)</w:t>
      </w:r>
      <w:r w:rsidRPr="00623D95">
        <w:tab/>
        <w:t>в буква ж) подточка i) се заменя със следното:</w:t>
      </w:r>
    </w:p>
    <w:p w:rsidR="00260CA3" w:rsidRPr="00623D95" w:rsidRDefault="00260CA3" w:rsidP="00432061">
      <w:pPr>
        <w:pStyle w:val="Text2"/>
        <w:spacing w:line="360" w:lineRule="auto"/>
        <w:jc w:val="left"/>
        <w:rPr>
          <w:noProof/>
        </w:rPr>
      </w:pPr>
      <w:r w:rsidRPr="00623D95">
        <w:t>„i)</w:t>
      </w:r>
      <w:r w:rsidRPr="00623D95">
        <w:tab/>
        <w:t>за нарушения на членове 4—10, член 11, параграф 1, букви а), б), в) и д), член 11, параграфи 2 и 3, членове 12—16, 21, 23—29 и 34 — 500 000 EUR или — в държавите членки, чиято официална парична единица е различна от еврото — равностойността в националната парична единица към 31 декември 2023 г.; или“;</w:t>
      </w:r>
    </w:p>
    <w:p w:rsidR="00260CA3" w:rsidRPr="00623D95" w:rsidRDefault="00260CA3" w:rsidP="00432061">
      <w:pPr>
        <w:pStyle w:val="Text2"/>
        <w:spacing w:line="360" w:lineRule="auto"/>
        <w:jc w:val="left"/>
        <w:rPr>
          <w:noProof/>
        </w:rPr>
      </w:pPr>
      <w:r w:rsidRPr="00623D95">
        <w:t>ii)</w:t>
      </w:r>
      <w:r w:rsidRPr="00623D95">
        <w:tab/>
        <w:t>в буква з) подточка i) се заменя със следното:</w:t>
      </w:r>
    </w:p>
    <w:p w:rsidR="00260CA3" w:rsidRPr="00623D95" w:rsidRDefault="00260CA3" w:rsidP="00432061">
      <w:pPr>
        <w:pStyle w:val="Text2"/>
        <w:spacing w:line="360" w:lineRule="auto"/>
        <w:jc w:val="left"/>
        <w:rPr>
          <w:noProof/>
        </w:rPr>
      </w:pPr>
      <w:r w:rsidRPr="00623D95">
        <w:t>„i)</w:t>
      </w:r>
      <w:r w:rsidRPr="00623D95">
        <w:tab/>
        <w:t>за нарушения на членове 4—10, член 11, параграф 1, букви а), б), в) и д), член 11, параграфи 2 и 3, членове 12—16, 21, 23—29 и 34 — по-голямата сума между 1 000 000 EUR или — в държавите членки, чиято официална парична единица е различна от еврото — равностойността в националната парична единица към 31 декември 2023 г., и 10 % от общия годишен оборот според последните налични отчети, одобрени от ръководния орган; или“;</w:t>
      </w:r>
    </w:p>
    <w:p w:rsidR="00260CA3" w:rsidRPr="00623D95" w:rsidRDefault="00432061" w:rsidP="00432061">
      <w:pPr>
        <w:pStyle w:val="Point0"/>
        <w:spacing w:line="360" w:lineRule="auto"/>
        <w:jc w:val="left"/>
        <w:rPr>
          <w:b/>
          <w:i/>
        </w:rPr>
      </w:pPr>
      <w:r>
        <w:rPr>
          <w:b/>
          <w:i/>
        </w:rPr>
        <w:t>19а)</w:t>
      </w:r>
      <w:r w:rsidR="00260CA3" w:rsidRPr="00623D95">
        <w:rPr>
          <w:b/>
          <w:i/>
        </w:rPr>
        <w:tab/>
        <w:t>В член 48д, параграф 1 уводната част се изменя, както следва:</w:t>
      </w:r>
    </w:p>
    <w:p w:rsidR="00260CA3" w:rsidRPr="00623D95" w:rsidRDefault="00260CA3" w:rsidP="00432061">
      <w:pPr>
        <w:pStyle w:val="Point0"/>
        <w:spacing w:line="360" w:lineRule="auto"/>
        <w:jc w:val="left"/>
        <w:rPr>
          <w:b/>
          <w:i/>
        </w:rPr>
      </w:pPr>
      <w:r w:rsidRPr="00623D95">
        <w:rPr>
          <w:b/>
          <w:i/>
        </w:rPr>
        <w:tab/>
      </w:r>
      <w:r w:rsidRPr="00623D95">
        <w:t>„</w:t>
      </w:r>
      <w:r w:rsidRPr="00623D95">
        <w:rPr>
          <w:b/>
          <w:i/>
        </w:rPr>
        <w:t xml:space="preserve">Ако в съответствие с член 48и, параграф 5 ЕОЦКП констатира, че дадено лице е извършило, умишлено или поради небрежност, едно или повече от изброените в член 42, параграф 1, буква а) нарушения, или не е </w:t>
      </w:r>
      <w:r w:rsidRPr="00623D95">
        <w:rPr>
          <w:b/>
          <w:i/>
        </w:rPr>
        <w:lastRenderedPageBreak/>
        <w:t>съдействало или не е спазвало изискванията при разследване или проверка или искане, обхванати от раздел 1 от настоящата глава, той решава да наложи глоба в съответствие с параграф 2 от настоящия член. Нарушението се счита за извършено умишлено от лицето, ако ESMA открие обективни данни, които показват, че лицето е действало съзнателно с цел извършване на нарушението.</w:t>
      </w:r>
      <w:r w:rsidR="00606586">
        <w:t>“</w:t>
      </w:r>
      <w:r w:rsidRPr="00623D95">
        <w:t>;</w:t>
      </w:r>
    </w:p>
    <w:p w:rsidR="00260CA3" w:rsidRPr="00623D95" w:rsidRDefault="00260CA3" w:rsidP="00432061">
      <w:pPr>
        <w:pStyle w:val="Point0"/>
        <w:spacing w:line="360" w:lineRule="auto"/>
        <w:jc w:val="left"/>
        <w:rPr>
          <w:b/>
          <w:i/>
        </w:rPr>
      </w:pPr>
      <w:r w:rsidRPr="00623D95">
        <w:rPr>
          <w:b/>
          <w:i/>
        </w:rPr>
        <w:t>19б)</w:t>
      </w:r>
      <w:r w:rsidRPr="00623D95">
        <w:rPr>
          <w:b/>
          <w:i/>
        </w:rPr>
        <w:tab/>
        <w:t>В член 48е, параграф 1 уводната част се изменя, както следва:</w:t>
      </w:r>
    </w:p>
    <w:p w:rsidR="00260CA3" w:rsidRPr="00623D95" w:rsidRDefault="00260CA3" w:rsidP="00432061">
      <w:pPr>
        <w:pStyle w:val="Point0"/>
        <w:spacing w:line="360" w:lineRule="auto"/>
        <w:jc w:val="left"/>
        <w:rPr>
          <w:b/>
          <w:i/>
        </w:rPr>
      </w:pPr>
      <w:r w:rsidRPr="00623D95">
        <w:rPr>
          <w:b/>
          <w:i/>
        </w:rPr>
        <w:tab/>
      </w:r>
      <w:r w:rsidR="00606586">
        <w:rPr>
          <w:b/>
          <w:i/>
        </w:rPr>
        <w:t>„</w:t>
      </w:r>
      <w:r w:rsidRPr="00623D95">
        <w:rPr>
          <w:b/>
          <w:i/>
        </w:rPr>
        <w:t>Ако в съответствие с член 48и, параграф 5 ЕОЦКП констатира, че дадено лице е извършило, умишлено или поради небрежност, едно или повече от изброените в член 42, параграф 1, буква а) нарушения, или всякакво неоказване на съдействие или неспазване на изискванията при разследване или проверка или искане, обхванати от раздел 1 от настоящата глава, той решава да наложи глоба в съответствие с параграф 2 от настоящия член. Нарушението се счита за извършено умишлено от лицето, ако ЕОЦКП открие обективни данни, които показват, че лицето е действало съзнателно с цел извършване на нарушението.</w:t>
      </w:r>
      <w:r w:rsidR="00606586">
        <w:rPr>
          <w:b/>
          <w:i/>
        </w:rPr>
        <w:t>“</w:t>
      </w:r>
      <w:r w:rsidRPr="00623D95">
        <w:t>;</w:t>
      </w:r>
    </w:p>
    <w:p w:rsidR="00260CA3" w:rsidRPr="00623D95" w:rsidRDefault="00432061" w:rsidP="00432061">
      <w:pPr>
        <w:pStyle w:val="Point0"/>
        <w:spacing w:line="360" w:lineRule="auto"/>
        <w:jc w:val="left"/>
        <w:rPr>
          <w:b/>
          <w:i/>
        </w:rPr>
      </w:pPr>
      <w:r>
        <w:rPr>
          <w:b/>
          <w:i/>
        </w:rPr>
        <w:t>19в)</w:t>
      </w:r>
      <w:r>
        <w:rPr>
          <w:b/>
          <w:i/>
        </w:rPr>
        <w:tab/>
        <w:t>В</w:t>
      </w:r>
      <w:r w:rsidR="00260CA3" w:rsidRPr="00623D95">
        <w:rPr>
          <w:b/>
          <w:i/>
        </w:rPr>
        <w:t xml:space="preserve"> член 54 се добавя нов параграф:</w:t>
      </w:r>
    </w:p>
    <w:p w:rsidR="00260CA3" w:rsidRPr="00623D95" w:rsidRDefault="00260CA3" w:rsidP="00432061">
      <w:pPr>
        <w:pStyle w:val="Point0"/>
        <w:spacing w:line="360" w:lineRule="auto"/>
        <w:ind w:firstLine="1"/>
        <w:jc w:val="left"/>
        <w:rPr>
          <w:b/>
          <w:i/>
        </w:rPr>
      </w:pPr>
      <w:r w:rsidRPr="00623D95">
        <w:t>,,</w:t>
      </w:r>
      <w:r w:rsidRPr="00623D95">
        <w:rPr>
          <w:b/>
          <w:i/>
        </w:rPr>
        <w:t xml:space="preserve">7а. До 31 декември 2028 г. Комисията, след консултация с ЕОЦКП, представя доклад на Европейския парламент и на Съвета относно необходимостта от регулиране на бенчмарковете, в които се съдържат твърдения от екологичен, социален и управленски характер, в допълнение към бенчмарковете на ЕС за климатичен преход и бенчмарковете на ЕС, съответстващи на Парижкото споразумение, като взема предвид положението и наличността на ЕСУ бенчмаркове на европейските и световните пазари и тяхното навлизане на пазара, анализира дали те биха се считали за значими бенчмаркове и проучва разходите и въздействието върху наличността на пазара и променящия се характер на показателите за устойчивост и методите, използвани за тяхното измерване. В доклада също така се взема предвид необходимостта от последователност и съгласуваност с други законодателни актове на Съюза, по-специално Регламент (ЕС) 2019/2088, Директива 2011/61/ЕС и Директива 2009/65/ЕО, както и Насоките на ЕОЦКП относно наименованията на фондовете, </w:t>
      </w:r>
      <w:r w:rsidRPr="00623D95">
        <w:rPr>
          <w:b/>
          <w:i/>
        </w:rPr>
        <w:lastRenderedPageBreak/>
        <w:t>които използват термини от екологичен, социален или управленски характер (ЕСУ термини) или термини, свързани с устойчивостта. Този докладът се придружава от оценка на въздействието и ако е целесъобразно, от законодателно предложение.</w:t>
      </w:r>
      <w:r w:rsidR="00606586">
        <w:rPr>
          <w:b/>
          <w:i/>
        </w:rPr>
        <w:t>“</w:t>
      </w:r>
      <w:r w:rsidRPr="00623D95">
        <w:t>;</w:t>
      </w:r>
    </w:p>
    <w:p w:rsidR="00260CA3" w:rsidRPr="00623D95" w:rsidRDefault="00432061" w:rsidP="00432061">
      <w:pPr>
        <w:pStyle w:val="Point0"/>
        <w:spacing w:line="360" w:lineRule="auto"/>
        <w:jc w:val="left"/>
        <w:rPr>
          <w:noProof/>
        </w:rPr>
      </w:pPr>
      <w:r>
        <w:t>20)</w:t>
      </w:r>
      <w:r>
        <w:tab/>
        <w:t>Ч</w:t>
      </w:r>
      <w:r w:rsidR="00260CA3" w:rsidRPr="00623D95">
        <w:t>лен 49 се изменя, както следва:</w:t>
      </w:r>
    </w:p>
    <w:p w:rsidR="00260CA3" w:rsidRPr="00623D95" w:rsidRDefault="00260CA3" w:rsidP="00432061">
      <w:pPr>
        <w:pStyle w:val="Point1"/>
        <w:spacing w:line="360" w:lineRule="auto"/>
        <w:jc w:val="left"/>
        <w:rPr>
          <w:noProof/>
        </w:rPr>
      </w:pPr>
      <w:r w:rsidRPr="00623D95">
        <w:t>а)</w:t>
      </w:r>
      <w:r w:rsidRPr="00623D95">
        <w:tab/>
        <w:t>параграфи 2 и 3 се заменят със следното:</w:t>
      </w:r>
    </w:p>
    <w:p w:rsidR="00260CA3" w:rsidRPr="00623D95" w:rsidRDefault="00606586" w:rsidP="00432061">
      <w:pPr>
        <w:spacing w:line="360" w:lineRule="auto"/>
        <w:ind w:left="1134"/>
        <w:rPr>
          <w:noProof/>
        </w:rPr>
      </w:pPr>
      <w:r>
        <w:t>„</w:t>
      </w:r>
      <w:r w:rsidR="00260CA3" w:rsidRPr="00623D95">
        <w:t>2.</w:t>
      </w:r>
      <w:r w:rsidR="00260CA3" w:rsidRPr="00623D95">
        <w:tab/>
        <w:t>Правомощието да приема делегирани актове, посочено в член 3, параграф 2, член 13, параграф 2а, член 19а, параграф 2, член 19в, параграф 1, член 20, параграф 6, член 24, параграф 7, член 27, параграф 2б, член 33, параграф 7, член 51, параграф 6 и член 54, параграф 3, се предоставя на Комисията за срок от пет години, считано от 30 юни 2024 г. Комисията изготвя доклад относно делегирането на правомощия не по-късно от 31 декември 2028 г. Делегирането на правомощия се продължава мълчаливо за допълнителни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p w:rsidR="00260CA3" w:rsidRPr="00623D95" w:rsidRDefault="00260CA3" w:rsidP="00432061">
      <w:pPr>
        <w:spacing w:line="360" w:lineRule="auto"/>
        <w:ind w:left="1134"/>
        <w:rPr>
          <w:noProof/>
        </w:rPr>
      </w:pPr>
    </w:p>
    <w:p w:rsidR="00260CA3" w:rsidRPr="00623D95" w:rsidRDefault="00260CA3" w:rsidP="00432061">
      <w:pPr>
        <w:spacing w:line="360" w:lineRule="auto"/>
        <w:ind w:left="1134"/>
        <w:rPr>
          <w:noProof/>
        </w:rPr>
      </w:pPr>
      <w:r w:rsidRPr="00623D95">
        <w:t>‘3.</w:t>
      </w:r>
      <w:r w:rsidRPr="00623D95">
        <w:tab/>
        <w:t xml:space="preserve">Делегирането на правомощия, посочено в член 3, параграф 2, член 13, параграф 2а, член 19а, параграф 2, член 19в, параграф 1, член 20, параграф 6, член 24, параграф 7, член 27, параграф 2б, член 30, параграф 2а, член 30, параграф 3а, член 33, параграф 7, член 48и, параграф 10, член 48л, параграф 3, член 51, параграф 6 и член 54, параграф 3,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bookmarkStart w:id="11" w:name="_GoBack"/>
      <w:r w:rsidRPr="006860D8">
        <w:rPr>
          <w:i/>
        </w:rPr>
        <w:t>Официален вестник на Европейския съюз</w:t>
      </w:r>
      <w:bookmarkEnd w:id="11"/>
      <w:r w:rsidRPr="00623D95">
        <w:t xml:space="preserve"> или на по-късна дата, посочена в решението. То не засяга действителността на делегираните актове, които вече са в сила.“;</w:t>
      </w:r>
    </w:p>
    <w:p w:rsidR="00260CA3" w:rsidRPr="00623D95" w:rsidRDefault="00260CA3" w:rsidP="00432061">
      <w:pPr>
        <w:pStyle w:val="Point1"/>
        <w:spacing w:line="360" w:lineRule="auto"/>
        <w:jc w:val="left"/>
        <w:rPr>
          <w:noProof/>
        </w:rPr>
      </w:pPr>
      <w:r w:rsidRPr="00623D95">
        <w:t>б)</w:t>
      </w:r>
      <w:r w:rsidRPr="00623D95">
        <w:tab/>
        <w:t>Параграф 6 се заменя със следното:</w:t>
      </w:r>
    </w:p>
    <w:p w:rsidR="00260CA3" w:rsidRPr="00623D95" w:rsidRDefault="00260CA3" w:rsidP="00432061">
      <w:pPr>
        <w:spacing w:line="360" w:lineRule="auto"/>
        <w:ind w:left="1134"/>
        <w:rPr>
          <w:noProof/>
        </w:rPr>
      </w:pPr>
      <w:r w:rsidRPr="00623D95">
        <w:t>„6.</w:t>
      </w:r>
      <w:r w:rsidRPr="00623D95">
        <w:tab/>
        <w:t xml:space="preserve">Делегиран акт, приет съгласно член 3, параграф 2, член 13, параграф 2а, член 19а, параграф 2, член 19в, параграф 1, член 20, параграф 6, член 24, параграф 7, член 27, параграф 2б, член 30, параграф 2а, член 30, параграф 3а, </w:t>
      </w:r>
      <w:r w:rsidRPr="00623D95">
        <w:lastRenderedPageBreak/>
        <w:t>член 33, параграф 7, член 48и, параграф 10, член 48л, параграф 3, член 51, параграф 6 или член 54, параграф 3, влиза в сила единствено ако нито Европейският парламент, нито Съветът не са представили възражения в срок от три месеца от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три месеца по инициатива на Европейския парламент или на Съвета.“;</w:t>
      </w:r>
    </w:p>
    <w:p w:rsidR="00260CA3" w:rsidRPr="00623D95" w:rsidRDefault="00432061" w:rsidP="00432061">
      <w:pPr>
        <w:pStyle w:val="Point0"/>
        <w:spacing w:line="360" w:lineRule="auto"/>
        <w:jc w:val="left"/>
        <w:rPr>
          <w:noProof/>
        </w:rPr>
      </w:pPr>
      <w:r>
        <w:t>21)</w:t>
      </w:r>
      <w:r>
        <w:tab/>
        <w:t>В</w:t>
      </w:r>
      <w:r w:rsidR="00260CA3" w:rsidRPr="00623D95">
        <w:t xml:space="preserve"> член 51 се вмъква следният параграф:</w:t>
      </w:r>
    </w:p>
    <w:p w:rsidR="00260CA3" w:rsidRPr="00623D95" w:rsidRDefault="00260CA3" w:rsidP="00432061">
      <w:pPr>
        <w:pStyle w:val="Text1"/>
        <w:spacing w:line="360" w:lineRule="auto"/>
        <w:ind w:left="851"/>
        <w:jc w:val="left"/>
        <w:rPr>
          <w:noProof/>
        </w:rPr>
      </w:pPr>
      <w:r w:rsidRPr="00623D95">
        <w:t xml:space="preserve">„4в. Компетентните </w:t>
      </w:r>
      <w:r w:rsidRPr="00623D95">
        <w:rPr>
          <w:b/>
          <w:i/>
        </w:rPr>
        <w:t>национални</w:t>
      </w:r>
      <w:r w:rsidRPr="00623D95">
        <w:t xml:space="preserve"> органи</w:t>
      </w:r>
      <w:r w:rsidRPr="00623D95">
        <w:rPr>
          <w:b/>
          <w:i/>
        </w:rPr>
        <w:t>, възнамеряващи да определят бенчмарк, изготвен от администратор, който е бил включен в регистъра на ЕОЦКП на [датата на влизане в сила на настоящия регламент за изменение — 1 ден],</w:t>
      </w:r>
      <w:r w:rsidRPr="00623D95">
        <w:t xml:space="preserve"> и ЕОЦКП</w:t>
      </w:r>
      <w:r w:rsidRPr="00623D95">
        <w:rPr>
          <w:b/>
          <w:i/>
        </w:rPr>
        <w:t>, възнамеряващ да определи бенчмарк, който е бил включен в регистъра на ЕОЦКП или чийто администратор е бил включен в регистъра на ЕОЦКП на [датата на влизане в сила на настоящия регламент за изменение — 1 ден], правят това в срок до... [Девет месеца, считано от датата на влизане в сила на настоящия регламент за изменение].</w:t>
      </w:r>
    </w:p>
    <w:p w:rsidR="00260CA3" w:rsidRPr="00623D95" w:rsidRDefault="00260CA3" w:rsidP="00432061">
      <w:pPr>
        <w:pStyle w:val="Text1"/>
        <w:spacing w:line="360" w:lineRule="auto"/>
        <w:ind w:left="851"/>
        <w:jc w:val="left"/>
        <w:rPr>
          <w:b/>
          <w:i/>
          <w:noProof/>
        </w:rPr>
      </w:pPr>
      <w:r w:rsidRPr="00623D95">
        <w:t xml:space="preserve">Администраторите </w:t>
      </w:r>
      <w:r w:rsidRPr="00623D95">
        <w:rPr>
          <w:b/>
          <w:i/>
        </w:rPr>
        <w:t>на бенчмаркове</w:t>
      </w:r>
      <w:r w:rsidRPr="00623D95">
        <w:t xml:space="preserve">, които са били лицензирани, регистрирани, утвърдени или признати на [датата на </w:t>
      </w:r>
      <w:r w:rsidRPr="00623D95">
        <w:rPr>
          <w:b/>
          <w:i/>
        </w:rPr>
        <w:t>влизане в сила</w:t>
      </w:r>
      <w:r w:rsidRPr="00623D95">
        <w:t xml:space="preserve"> на настоящия регламент за изменение]</w:t>
      </w:r>
      <w:r w:rsidRPr="00623D95">
        <w:rPr>
          <w:b/>
          <w:i/>
        </w:rPr>
        <w:t>, запазват този статут в продължение на девет месеца след влизането в сила на настоящия регламент за изменение. Когато един или повече от техните бенчмаркове са били определени в рамките на девет месеца след [датата на влизане в сила на настоящия регламент за изменение], определените администратори не са задължени да подават повторно заявление</w:t>
      </w:r>
      <w:r w:rsidRPr="00623D95">
        <w:t xml:space="preserve"> за лицензиране, регистрация, признаване или утвърждаване съгласно член 24а, параграф 1, 2 или 3, според случая.</w:t>
      </w:r>
    </w:p>
    <w:p w:rsidR="00260CA3" w:rsidRPr="00623D95" w:rsidRDefault="00260CA3" w:rsidP="00432061">
      <w:pPr>
        <w:pStyle w:val="Text1"/>
        <w:spacing w:line="360" w:lineRule="auto"/>
        <w:ind w:left="851" w:firstLine="22"/>
        <w:jc w:val="left"/>
        <w:rPr>
          <w:noProof/>
        </w:rPr>
      </w:pPr>
      <w:r w:rsidRPr="00623D95">
        <w:rPr>
          <w:b/>
          <w:i/>
        </w:rPr>
        <w:t>Администраторите на значими бенчмаркове, които са лицензирани, регистрирани, одобрени или признати към</w:t>
      </w:r>
      <w:r w:rsidRPr="00623D95">
        <w:t xml:space="preserve"> [датата на </w:t>
      </w:r>
      <w:r w:rsidRPr="00623D95">
        <w:rPr>
          <w:b/>
          <w:i/>
        </w:rPr>
        <w:t>влизане в сила</w:t>
      </w:r>
      <w:r w:rsidRPr="00623D95">
        <w:t xml:space="preserve"> на настоящия регламент за изменение]</w:t>
      </w:r>
      <w:r w:rsidRPr="00623D95">
        <w:rPr>
          <w:b/>
          <w:i/>
        </w:rPr>
        <w:t>, не са задължени да подават повторно заявление за лицензиране, регистрация, признаване или утвърждаване съгласно член 24а, параграф 1, когато един или повече от техните бенчмаркове са значими съгласно член 24, параграф 1, буква а).</w:t>
      </w:r>
    </w:p>
    <w:p w:rsidR="00260CA3" w:rsidRPr="00623D95" w:rsidRDefault="00260CA3" w:rsidP="00432061">
      <w:pPr>
        <w:pStyle w:val="Text1"/>
        <w:spacing w:line="360" w:lineRule="auto"/>
        <w:ind w:left="851" w:firstLine="22"/>
        <w:jc w:val="left"/>
        <w:rPr>
          <w:b/>
          <w:i/>
          <w:noProof/>
        </w:rPr>
      </w:pPr>
      <w:r w:rsidRPr="00623D95">
        <w:rPr>
          <w:b/>
          <w:i/>
        </w:rPr>
        <w:lastRenderedPageBreak/>
        <w:t>Администраторите на бенчмаркове, които са били лицензирани, регистрирани, утвърдени или признати на [датата на влизане в сила на настоящия регламент за изменение], които избират да се присъединят на доброволна основа към настоящия регламент до ... [девет месеца след датата на влизане в сила на настоящия регламент за изменение], не са задължени да подават повторно заявление за лицензиране, регистрация, признаване или утвърждаване.</w:t>
      </w:r>
      <w:r w:rsidR="00606586">
        <w:t>“</w:t>
      </w:r>
      <w:r w:rsidRPr="00623D95">
        <w:t>;</w:t>
      </w:r>
    </w:p>
    <w:p w:rsidR="00260CA3" w:rsidRPr="00623D95" w:rsidRDefault="00260CA3" w:rsidP="00432061">
      <w:pPr>
        <w:pStyle w:val="Text1"/>
        <w:spacing w:line="360" w:lineRule="auto"/>
        <w:ind w:left="851" w:hanging="851"/>
        <w:jc w:val="left"/>
        <w:rPr>
          <w:b/>
          <w:i/>
          <w:noProof/>
        </w:rPr>
      </w:pPr>
      <w:r w:rsidRPr="00623D95">
        <w:rPr>
          <w:b/>
          <w:i/>
        </w:rPr>
        <w:t>21a)</w:t>
      </w:r>
      <w:r w:rsidRPr="00623D95">
        <w:rPr>
          <w:b/>
          <w:i/>
        </w:rPr>
        <w:tab/>
        <w:t>Член 53, параграф 1 се заличава.</w:t>
      </w:r>
    </w:p>
    <w:p w:rsidR="00260CA3" w:rsidRPr="00623D95" w:rsidRDefault="00260CA3" w:rsidP="00432061">
      <w:pPr>
        <w:pStyle w:val="Titrearticle"/>
        <w:spacing w:line="360" w:lineRule="auto"/>
        <w:rPr>
          <w:noProof/>
        </w:rPr>
      </w:pPr>
      <w:r w:rsidRPr="00623D95">
        <w:t>Член 2</w:t>
      </w:r>
    </w:p>
    <w:p w:rsidR="00260CA3" w:rsidRPr="00623D95" w:rsidRDefault="00260CA3" w:rsidP="00432061">
      <w:pPr>
        <w:spacing w:line="360" w:lineRule="auto"/>
        <w:jc w:val="center"/>
        <w:rPr>
          <w:b/>
          <w:bCs/>
          <w:noProof/>
        </w:rPr>
      </w:pPr>
      <w:r w:rsidRPr="00623D95">
        <w:rPr>
          <w:b/>
        </w:rPr>
        <w:t>Влизане в сила и прилагане</w:t>
      </w:r>
    </w:p>
    <w:p w:rsidR="00260CA3" w:rsidRPr="00623D95" w:rsidRDefault="00260CA3" w:rsidP="00432061">
      <w:pPr>
        <w:spacing w:line="360" w:lineRule="auto"/>
        <w:rPr>
          <w:noProof/>
        </w:rPr>
      </w:pPr>
      <w:r w:rsidRPr="00623D95">
        <w:t xml:space="preserve">Настоящият регламент влиза в сила на двадесетия ден след деня на публикуването му в </w:t>
      </w:r>
      <w:r w:rsidRPr="006860D8">
        <w:rPr>
          <w:i/>
        </w:rPr>
        <w:t>Официален вестник на Европейския съюз</w:t>
      </w:r>
      <w:r w:rsidRPr="00623D95">
        <w:t>.</w:t>
      </w:r>
    </w:p>
    <w:p w:rsidR="00260CA3" w:rsidRPr="00623D95" w:rsidRDefault="00260CA3" w:rsidP="00432061">
      <w:pPr>
        <w:spacing w:line="360" w:lineRule="auto"/>
        <w:rPr>
          <w:noProof/>
        </w:rPr>
      </w:pPr>
      <w:r w:rsidRPr="00623D95">
        <w:t xml:space="preserve">Той се прилага от 1 януари 2026 г. </w:t>
      </w:r>
    </w:p>
    <w:p w:rsidR="00260CA3" w:rsidRPr="00623D95" w:rsidRDefault="00260CA3" w:rsidP="00432061">
      <w:pPr>
        <w:pStyle w:val="Applicationdirecte"/>
        <w:spacing w:line="360" w:lineRule="auto"/>
        <w:jc w:val="left"/>
        <w:rPr>
          <w:noProof/>
        </w:rPr>
      </w:pPr>
      <w:r w:rsidRPr="00623D95">
        <w:t>Настоящият регламент е задължителен в своята цялост и се прилага пряко във всички държави членки.</w:t>
      </w:r>
    </w:p>
    <w:p w:rsidR="00260CA3" w:rsidRPr="00623D95" w:rsidRDefault="00260CA3" w:rsidP="00432061">
      <w:pPr>
        <w:pStyle w:val="Fait"/>
        <w:spacing w:line="360" w:lineRule="auto"/>
        <w:jc w:val="left"/>
        <w:rPr>
          <w:noProof/>
        </w:rPr>
      </w:pPr>
      <w:r w:rsidRPr="00623D95">
        <w:t xml:space="preserve">Съставено в </w:t>
      </w:r>
      <w:r w:rsidR="006860D8">
        <w:rPr>
          <w:lang w:val="en-GB"/>
        </w:rPr>
        <w:t>…</w:t>
      </w:r>
      <w:r w:rsidRPr="00623D95">
        <w:t xml:space="preserve"> на […] година.</w:t>
      </w:r>
    </w:p>
    <w:p w:rsidR="00260CA3" w:rsidRPr="00623D95" w:rsidRDefault="00260CA3" w:rsidP="00432061">
      <w:pPr>
        <w:pStyle w:val="Institutionquisigne"/>
        <w:spacing w:line="360" w:lineRule="auto"/>
        <w:jc w:val="left"/>
        <w:rPr>
          <w:noProof/>
        </w:rPr>
      </w:pPr>
      <w:r w:rsidRPr="00623D95">
        <w:t>За Европейския парламент</w:t>
      </w:r>
      <w:r w:rsidRPr="00623D95">
        <w:tab/>
        <w:t>За Съвета</w:t>
      </w:r>
    </w:p>
    <w:p w:rsidR="00260CA3" w:rsidRPr="00623D95" w:rsidRDefault="00260CA3" w:rsidP="00432061">
      <w:pPr>
        <w:pStyle w:val="Personnequisigne"/>
        <w:spacing w:line="360" w:lineRule="auto"/>
        <w:rPr>
          <w:noProof/>
        </w:rPr>
      </w:pPr>
      <w:r w:rsidRPr="00623D95">
        <w:t>Председател</w:t>
      </w:r>
      <w:r w:rsidRPr="00623D95">
        <w:tab/>
        <w:t>Председател</w:t>
      </w:r>
    </w:p>
    <w:p w:rsidR="00260CA3" w:rsidRPr="00623D95" w:rsidRDefault="00260CA3" w:rsidP="00432061">
      <w:pPr>
        <w:pStyle w:val="NormalCenter12a"/>
        <w:spacing w:line="360" w:lineRule="auto"/>
      </w:pPr>
    </w:p>
    <w:p w:rsidR="00260CA3" w:rsidRPr="00623D95" w:rsidRDefault="00260CA3" w:rsidP="00432061">
      <w:pPr>
        <w:spacing w:line="360" w:lineRule="auto"/>
      </w:pPr>
    </w:p>
    <w:p w:rsidR="00E365E1" w:rsidRPr="00623D95" w:rsidRDefault="00E365E1" w:rsidP="00432061">
      <w:pPr>
        <w:spacing w:line="360" w:lineRule="auto"/>
      </w:pPr>
      <w:bookmarkStart w:id="12" w:name="TextBodyEnd"/>
      <w:bookmarkEnd w:id="12"/>
    </w:p>
    <w:sectPr w:rsidR="00E365E1" w:rsidRPr="00623D95" w:rsidSect="00623D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C85" w:rsidRPr="00623D95" w:rsidRDefault="00387C85">
      <w:r w:rsidRPr="00623D95">
        <w:separator/>
      </w:r>
    </w:p>
  </w:endnote>
  <w:endnote w:type="continuationSeparator" w:id="0">
    <w:p w:rsidR="00387C85" w:rsidRPr="00623D95" w:rsidRDefault="00387C85">
      <w:r w:rsidRPr="00623D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C85" w:rsidRPr="00623D95" w:rsidRDefault="00387C85">
      <w:r w:rsidRPr="00623D95">
        <w:separator/>
      </w:r>
    </w:p>
  </w:footnote>
  <w:footnote w:type="continuationSeparator" w:id="0">
    <w:p w:rsidR="00387C85" w:rsidRPr="00623D95" w:rsidRDefault="00387C85">
      <w:r w:rsidRPr="00623D95">
        <w:continuationSeparator/>
      </w:r>
    </w:p>
  </w:footnote>
  <w:footnote w:id="1">
    <w:p w:rsidR="00432061" w:rsidRPr="00C069D0" w:rsidRDefault="00432061" w:rsidP="00432061">
      <w:pPr>
        <w:pStyle w:val="FootnoteText"/>
        <w:ind w:left="709" w:hanging="709"/>
        <w:rPr>
          <w:lang w:val="bg-BG"/>
        </w:rPr>
      </w:pPr>
      <w:r>
        <w:rPr>
          <w:rStyle w:val="FootnoteReference"/>
        </w:rPr>
        <w:t>*</w:t>
      </w:r>
      <w:r>
        <w:t xml:space="preserve"> </w:t>
      </w:r>
      <w:r>
        <w:rPr>
          <w:lang w:val="bg-BG"/>
        </w:rPr>
        <w:tab/>
      </w:r>
      <w:r w:rsidRPr="00D64700">
        <w:rPr>
          <w:sz w:val="24"/>
          <w:szCs w:val="24"/>
          <w:lang w:val="bg-BG" w:eastAsia="en-GB"/>
        </w:rPr>
        <w:t>Промените в текста са в резултат от приемането на изменение</w:t>
      </w:r>
      <w:r w:rsidRPr="00D64700">
        <w:rPr>
          <w:sz w:val="24"/>
          <w:szCs w:val="24"/>
          <w:lang w:eastAsia="en-GB"/>
        </w:rPr>
        <w:t xml:space="preserve"> 1. </w:t>
      </w:r>
      <w:r>
        <w:rPr>
          <w:sz w:val="24"/>
          <w:szCs w:val="24"/>
          <w:lang w:val="bg-BG" w:eastAsia="en-GB"/>
        </w:rPr>
        <w:t>Н</w:t>
      </w:r>
      <w:r w:rsidRPr="00BB49BA">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2">
    <w:p w:rsidR="00260CA3" w:rsidRPr="00623D95" w:rsidRDefault="00260CA3" w:rsidP="00432061">
      <w:pPr>
        <w:pStyle w:val="FootnoteText"/>
        <w:ind w:left="709" w:hanging="709"/>
        <w:rPr>
          <w:sz w:val="24"/>
          <w:lang w:val="bg-BG"/>
        </w:rPr>
      </w:pPr>
      <w:r w:rsidRPr="00623D95">
        <w:rPr>
          <w:rStyle w:val="FootnoteReference"/>
          <w:sz w:val="24"/>
          <w:lang w:val="bg-BG"/>
        </w:rPr>
        <w:footnoteRef/>
      </w:r>
      <w:r w:rsidR="00623D95" w:rsidRPr="00623D95">
        <w:rPr>
          <w:sz w:val="24"/>
          <w:lang w:val="bg-BG"/>
        </w:rPr>
        <w:t xml:space="preserve"> </w:t>
      </w:r>
      <w:r w:rsidR="00623D95" w:rsidRPr="00623D95">
        <w:rPr>
          <w:sz w:val="24"/>
          <w:lang w:val="bg-BG"/>
        </w:rPr>
        <w:tab/>
      </w:r>
      <w:r w:rsidRPr="00623D95">
        <w:rPr>
          <w:sz w:val="24"/>
          <w:lang w:val="bg-BG"/>
        </w:rPr>
        <w:t>ОВ C , , стр. .</w:t>
      </w:r>
    </w:p>
  </w:footnote>
  <w:footnote w:id="3">
    <w:p w:rsidR="00260CA3" w:rsidRPr="00623D95" w:rsidRDefault="00260CA3" w:rsidP="00432061">
      <w:pPr>
        <w:pStyle w:val="FootnoteText"/>
        <w:ind w:left="709" w:hanging="709"/>
        <w:rPr>
          <w:sz w:val="24"/>
          <w:lang w:val="bg-BG"/>
        </w:rPr>
      </w:pPr>
      <w:r w:rsidRPr="00623D95">
        <w:rPr>
          <w:rStyle w:val="FootnoteReference"/>
          <w:sz w:val="24"/>
          <w:lang w:val="bg-BG"/>
        </w:rPr>
        <w:footnoteRef/>
      </w:r>
      <w:r w:rsidR="00623D95" w:rsidRPr="00623D95">
        <w:rPr>
          <w:sz w:val="24"/>
          <w:lang w:val="bg-BG"/>
        </w:rPr>
        <w:t xml:space="preserve"> </w:t>
      </w:r>
      <w:r w:rsidR="00623D95" w:rsidRPr="00623D95">
        <w:rPr>
          <w:sz w:val="24"/>
          <w:lang w:val="bg-BG"/>
        </w:rPr>
        <w:tab/>
      </w:r>
      <w:r w:rsidRPr="00623D95">
        <w:rPr>
          <w:sz w:val="24"/>
          <w:lang w:val="bg-BG"/>
        </w:rPr>
        <w:t>ОВ C , , стр. .</w:t>
      </w:r>
    </w:p>
  </w:footnote>
  <w:footnote w:id="4">
    <w:p w:rsidR="00260CA3" w:rsidRPr="00623D95" w:rsidRDefault="00260CA3" w:rsidP="00432061">
      <w:pPr>
        <w:pStyle w:val="FootnoteText"/>
        <w:ind w:left="709" w:hanging="709"/>
        <w:rPr>
          <w:sz w:val="24"/>
          <w:lang w:val="bg-BG"/>
        </w:rPr>
      </w:pPr>
      <w:r w:rsidRPr="00623D95">
        <w:rPr>
          <w:rStyle w:val="FootnoteReference"/>
          <w:sz w:val="24"/>
          <w:lang w:val="bg-BG"/>
        </w:rPr>
        <w:footnoteRef/>
      </w:r>
      <w:r w:rsidR="00623D95" w:rsidRPr="00623D95">
        <w:rPr>
          <w:sz w:val="24"/>
          <w:lang w:val="bg-BG"/>
        </w:rPr>
        <w:t xml:space="preserve"> </w:t>
      </w:r>
      <w:r w:rsidR="00623D95" w:rsidRPr="00623D95">
        <w:rPr>
          <w:sz w:val="24"/>
          <w:lang w:val="bg-BG"/>
        </w:rPr>
        <w:tab/>
      </w:r>
      <w:r w:rsidRPr="00623D95">
        <w:rPr>
          <w:sz w:val="24"/>
          <w:lang w:val="bg-BG"/>
        </w:rPr>
        <w:t>ОВ C , , стр. .</w:t>
      </w:r>
    </w:p>
  </w:footnote>
  <w:footnote w:id="5">
    <w:p w:rsidR="00260CA3" w:rsidRPr="00623D95" w:rsidRDefault="00260CA3" w:rsidP="00432061">
      <w:pPr>
        <w:pStyle w:val="FootnoteText"/>
        <w:ind w:left="709" w:hanging="709"/>
        <w:rPr>
          <w:sz w:val="24"/>
          <w:lang w:val="bg-BG"/>
        </w:rPr>
      </w:pPr>
      <w:r w:rsidRPr="00623D95">
        <w:rPr>
          <w:rStyle w:val="FootnoteReference"/>
          <w:sz w:val="24"/>
          <w:lang w:val="bg-BG"/>
        </w:rPr>
        <w:footnoteRef/>
      </w:r>
      <w:r w:rsidR="00623D95" w:rsidRPr="00623D95">
        <w:rPr>
          <w:sz w:val="24"/>
          <w:lang w:val="bg-BG"/>
        </w:rPr>
        <w:t xml:space="preserve"> </w:t>
      </w:r>
      <w:r w:rsidR="00623D95" w:rsidRPr="00623D95">
        <w:rPr>
          <w:sz w:val="24"/>
          <w:lang w:val="bg-BG"/>
        </w:rPr>
        <w:tab/>
      </w:r>
      <w:r w:rsidRPr="00623D95">
        <w:rPr>
          <w:sz w:val="24"/>
          <w:lang w:val="bg-BG"/>
        </w:rPr>
        <w:t>Регламент (ЕС) 2016/1011 на Европейския парламент и на Съвета от 8 юни 2016 г. относно индекси, използвани като бенчмаркове за целите на финансови инструменти и финансови договори или за измерване на резултатите на инвестиционни фондове, и за изменение на директиви 2008/48/ЕО и 2014/17/ЕС и Регламент (ЕС) № 596/2014 (ОВ L 171, 29.6.2016 г., стр. 1).</w:t>
      </w:r>
    </w:p>
  </w:footnote>
  <w:footnote w:id="6">
    <w:p w:rsidR="00260CA3" w:rsidRPr="00623D95" w:rsidRDefault="00260CA3" w:rsidP="00432061">
      <w:pPr>
        <w:pStyle w:val="FootnoteText"/>
        <w:ind w:left="709" w:hanging="709"/>
        <w:rPr>
          <w:sz w:val="24"/>
          <w:lang w:val="bg-BG"/>
        </w:rPr>
      </w:pPr>
      <w:r w:rsidRPr="00623D95">
        <w:rPr>
          <w:rStyle w:val="FootnoteReference"/>
          <w:sz w:val="24"/>
          <w:lang w:val="bg-BG"/>
        </w:rPr>
        <w:footnoteRef/>
      </w:r>
      <w:r w:rsidR="00623D95" w:rsidRPr="00623D95">
        <w:rPr>
          <w:sz w:val="24"/>
          <w:lang w:val="bg-BG"/>
        </w:rPr>
        <w:t xml:space="preserve"> </w:t>
      </w:r>
      <w:r w:rsidR="00623D95" w:rsidRPr="00623D95">
        <w:rPr>
          <w:sz w:val="24"/>
          <w:lang w:val="bg-BG"/>
        </w:rPr>
        <w:tab/>
      </w:r>
      <w:r w:rsidRPr="00623D95">
        <w:rPr>
          <w:sz w:val="24"/>
          <w:lang w:val="bg-BG"/>
        </w:rPr>
        <w:t>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 на Комисията (ОВ L 331, 15.12.2010 г., стр.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BG"/>
    <w:docVar w:name="dvnumam" w:val="0"/>
    <w:docVar w:name="dvpe" w:val="757.977"/>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изменение на Регламент (ЕС) 2016/1011 по отношение на обхвата на правилата за бенчмарковете, използването в Съюза на бенчмаркове, изготвяни от администратор, намиращ се в трета държава, и някои изисквания за докладване(COM(2023)0660 – C9-0389/2023 – 2023/0379(COD))"/>
  </w:docVars>
  <w:rsids>
    <w:rsidRoot w:val="00387C85"/>
    <w:rsid w:val="00002272"/>
    <w:rsid w:val="00003AF7"/>
    <w:rsid w:val="00064002"/>
    <w:rsid w:val="000677B9"/>
    <w:rsid w:val="000831BA"/>
    <w:rsid w:val="000A42CC"/>
    <w:rsid w:val="000E7382"/>
    <w:rsid w:val="000E7DD9"/>
    <w:rsid w:val="0010095E"/>
    <w:rsid w:val="00125B37"/>
    <w:rsid w:val="00187494"/>
    <w:rsid w:val="001F32AE"/>
    <w:rsid w:val="00260CA3"/>
    <w:rsid w:val="002767FF"/>
    <w:rsid w:val="002B18FE"/>
    <w:rsid w:val="002B5493"/>
    <w:rsid w:val="00343214"/>
    <w:rsid w:val="00361C00"/>
    <w:rsid w:val="00387C85"/>
    <w:rsid w:val="00392957"/>
    <w:rsid w:val="00395FA1"/>
    <w:rsid w:val="003E15D4"/>
    <w:rsid w:val="00411CCE"/>
    <w:rsid w:val="0041666E"/>
    <w:rsid w:val="00421060"/>
    <w:rsid w:val="00432061"/>
    <w:rsid w:val="00471C19"/>
    <w:rsid w:val="004867E3"/>
    <w:rsid w:val="00494A28"/>
    <w:rsid w:val="004C0004"/>
    <w:rsid w:val="004C5D52"/>
    <w:rsid w:val="0050519A"/>
    <w:rsid w:val="005072A1"/>
    <w:rsid w:val="00514517"/>
    <w:rsid w:val="00545827"/>
    <w:rsid w:val="00560270"/>
    <w:rsid w:val="005C2568"/>
    <w:rsid w:val="006037C0"/>
    <w:rsid w:val="00606586"/>
    <w:rsid w:val="00623D95"/>
    <w:rsid w:val="006631B6"/>
    <w:rsid w:val="00680577"/>
    <w:rsid w:val="006860D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127"/>
    <w:rsid w:val="00C941CB"/>
    <w:rsid w:val="00CA68F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B5AE1"/>
  <w15:chartTrackingRefBased/>
  <w15:docId w15:val="{144405EA-26A6-4286-B1B1-DD873CC6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0CA3"/>
    <w:pPr>
      <w:spacing w:before="480" w:after="240"/>
    </w:pPr>
  </w:style>
  <w:style w:type="paragraph" w:customStyle="1" w:styleId="NormalBold">
    <w:name w:val="NormalBold"/>
    <w:basedOn w:val="Normal"/>
    <w:rsid w:val="00260CA3"/>
    <w:rPr>
      <w:b/>
    </w:rPr>
  </w:style>
  <w:style w:type="paragraph" w:customStyle="1" w:styleId="NormalHanging12a">
    <w:name w:val="NormalHanging12a"/>
    <w:basedOn w:val="Normal"/>
    <w:rsid w:val="00260CA3"/>
    <w:pPr>
      <w:spacing w:after="240"/>
      <w:ind w:left="567" w:hanging="567"/>
    </w:pPr>
  </w:style>
  <w:style w:type="paragraph" w:customStyle="1" w:styleId="NormalCenter12a">
    <w:name w:val="NormalCenter12a"/>
    <w:basedOn w:val="Normal"/>
    <w:rsid w:val="00260CA3"/>
    <w:pPr>
      <w:spacing w:after="240"/>
      <w:jc w:val="center"/>
    </w:pPr>
  </w:style>
  <w:style w:type="paragraph" w:customStyle="1" w:styleId="AmNumberTabs">
    <w:name w:val="AmNumberTabs"/>
    <w:basedOn w:val="Normal"/>
    <w:rsid w:val="00260C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60CA3"/>
    <w:pPr>
      <w:spacing w:before="720" w:after="240"/>
      <w:jc w:val="center"/>
    </w:pPr>
  </w:style>
  <w:style w:type="paragraph" w:customStyle="1" w:styleId="Text1">
    <w:name w:val="Text 1"/>
    <w:basedOn w:val="Normal"/>
    <w:rsid w:val="00260CA3"/>
    <w:pPr>
      <w:widowControl/>
      <w:spacing w:before="120" w:after="120"/>
      <w:ind w:left="850"/>
      <w:jc w:val="both"/>
    </w:pPr>
    <w:rPr>
      <w:rFonts w:eastAsiaTheme="minorHAnsi"/>
      <w:szCs w:val="22"/>
      <w:lang w:eastAsia="en-US"/>
    </w:rPr>
  </w:style>
  <w:style w:type="paragraph" w:customStyle="1" w:styleId="Text2">
    <w:name w:val="Text 2"/>
    <w:basedOn w:val="Normal"/>
    <w:rsid w:val="00260CA3"/>
    <w:pPr>
      <w:widowControl/>
      <w:spacing w:before="120" w:after="120"/>
      <w:ind w:left="1417"/>
      <w:jc w:val="both"/>
    </w:pPr>
    <w:rPr>
      <w:rFonts w:eastAsiaTheme="minorHAnsi"/>
      <w:szCs w:val="22"/>
      <w:lang w:eastAsia="en-US"/>
    </w:rPr>
  </w:style>
  <w:style w:type="paragraph" w:customStyle="1" w:styleId="Point0">
    <w:name w:val="Point 0"/>
    <w:basedOn w:val="Normal"/>
    <w:rsid w:val="00260CA3"/>
    <w:pPr>
      <w:widowControl/>
      <w:spacing w:before="120" w:after="120"/>
      <w:ind w:left="850" w:hanging="850"/>
      <w:jc w:val="both"/>
    </w:pPr>
    <w:rPr>
      <w:rFonts w:eastAsiaTheme="minorHAnsi"/>
      <w:szCs w:val="22"/>
      <w:lang w:eastAsia="en-US"/>
    </w:rPr>
  </w:style>
  <w:style w:type="paragraph" w:customStyle="1" w:styleId="Point1">
    <w:name w:val="Point 1"/>
    <w:basedOn w:val="Normal"/>
    <w:rsid w:val="00260CA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60CA3"/>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260CA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60CA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60CA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60CA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60CA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60CA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60CA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60CA3"/>
    <w:pPr>
      <w:widowControl/>
      <w:ind w:left="5103"/>
    </w:pPr>
    <w:rPr>
      <w:rFonts w:eastAsiaTheme="minorHAnsi"/>
      <w:szCs w:val="22"/>
      <w:lang w:eastAsia="en-US"/>
    </w:rPr>
  </w:style>
  <w:style w:type="paragraph" w:customStyle="1" w:styleId="Statut">
    <w:name w:val="Statut"/>
    <w:basedOn w:val="Normal"/>
    <w:next w:val="Typedudocument"/>
    <w:rsid w:val="00260CA3"/>
    <w:pPr>
      <w:widowControl/>
      <w:spacing w:before="360"/>
      <w:jc w:val="center"/>
    </w:pPr>
    <w:rPr>
      <w:rFonts w:eastAsiaTheme="minorHAnsi"/>
      <w:szCs w:val="22"/>
      <w:lang w:eastAsia="en-US"/>
    </w:rPr>
  </w:style>
  <w:style w:type="paragraph" w:customStyle="1" w:styleId="Titrearticle">
    <w:name w:val="Titre article"/>
    <w:basedOn w:val="Normal"/>
    <w:next w:val="Normal"/>
    <w:rsid w:val="00260CA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60CA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60CA3"/>
    <w:pPr>
      <w:widowControl/>
      <w:spacing w:before="360"/>
      <w:jc w:val="center"/>
    </w:pPr>
    <w:rPr>
      <w:rFonts w:eastAsiaTheme="minorHAnsi"/>
      <w:b/>
      <w:szCs w:val="22"/>
      <w:lang w:eastAsia="en-US"/>
    </w:rPr>
  </w:style>
  <w:style w:type="paragraph" w:customStyle="1" w:styleId="IntrtEEE">
    <w:name w:val="Intérêt EEE"/>
    <w:basedOn w:val="Normal"/>
    <w:next w:val="Normal"/>
    <w:rsid w:val="00260CA3"/>
    <w:pPr>
      <w:widowControl/>
      <w:spacing w:before="360" w:after="240"/>
      <w:jc w:val="center"/>
    </w:pPr>
    <w:rPr>
      <w:rFonts w:eastAsiaTheme="minorHAnsi"/>
      <w:szCs w:val="22"/>
      <w:lang w:eastAsia="en-US"/>
    </w:rPr>
  </w:style>
  <w:style w:type="paragraph" w:styleId="BalloonText">
    <w:name w:val="Balloon Text"/>
    <w:basedOn w:val="Normal"/>
    <w:link w:val="BalloonTextChar"/>
    <w:rsid w:val="00003AF7"/>
    <w:rPr>
      <w:rFonts w:ascii="Segoe UI" w:hAnsi="Segoe UI" w:cs="Segoe UI"/>
      <w:sz w:val="18"/>
      <w:szCs w:val="18"/>
    </w:rPr>
  </w:style>
  <w:style w:type="character" w:customStyle="1" w:styleId="BalloonTextChar">
    <w:name w:val="Balloon Text Char"/>
    <w:basedOn w:val="DefaultParagraphFont"/>
    <w:link w:val="BalloonText"/>
    <w:rsid w:val="00003AF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38659-9DAD-4342-822C-A06438E1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9559</Words>
  <Characters>54810</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2024-10-17T09:22:00Z</dcterms:created>
  <dcterms:modified xsi:type="dcterms:W3CDTF">2024-10-17T09:22:00Z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A9-0076/2024</vt:lpwstr>
  </property>
  <property fmtid="{D5CDD505-2E9C-101B-9397-08002B2CF9AE}" pid="4" name="&lt;Type&gt;">
    <vt:lpwstr>RR</vt:lpwstr>
  </property>
</Properties>
</file>