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62DE" w:rsidTr="0010095E">
        <w:trPr>
          <w:trHeight w:hRule="exact" w:val="1418"/>
        </w:trPr>
        <w:tc>
          <w:tcPr>
            <w:tcW w:w="6804" w:type="dxa"/>
            <w:shd w:val="clear" w:color="auto" w:fill="auto"/>
            <w:vAlign w:val="center"/>
          </w:tcPr>
          <w:p w:rsidR="00751A4A" w:rsidRPr="002A62DE" w:rsidRDefault="005624D1" w:rsidP="0010095E">
            <w:pPr>
              <w:pStyle w:val="EPName"/>
            </w:pPr>
            <w:r w:rsidRPr="002A62DE">
              <w:t>Evropský parlament</w:t>
            </w:r>
          </w:p>
          <w:p w:rsidR="00751A4A" w:rsidRPr="002A62DE" w:rsidRDefault="00817416" w:rsidP="00756632">
            <w:pPr>
              <w:pStyle w:val="EPTerm"/>
              <w:rPr>
                <w:rStyle w:val="HideTWBExt"/>
                <w:noProof w:val="0"/>
                <w:vanish w:val="0"/>
                <w:color w:val="auto"/>
              </w:rPr>
            </w:pPr>
            <w:r w:rsidRPr="002A62DE">
              <w:t>2019-2024</w:t>
            </w:r>
          </w:p>
        </w:tc>
        <w:tc>
          <w:tcPr>
            <w:tcW w:w="2268" w:type="dxa"/>
            <w:shd w:val="clear" w:color="auto" w:fill="auto"/>
          </w:tcPr>
          <w:p w:rsidR="00751A4A" w:rsidRPr="002A62DE" w:rsidRDefault="00187494" w:rsidP="0010095E">
            <w:pPr>
              <w:pStyle w:val="EPLogo"/>
            </w:pPr>
            <w:r w:rsidRPr="002A62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62DE" w:rsidRDefault="00D058B8" w:rsidP="004C5D52">
      <w:pPr>
        <w:pStyle w:val="LineTop"/>
      </w:pPr>
    </w:p>
    <w:p w:rsidR="00680577" w:rsidRPr="002A62DE" w:rsidRDefault="005624D1" w:rsidP="00680577">
      <w:pPr>
        <w:pStyle w:val="EPBodyTA1"/>
      </w:pPr>
      <w:r w:rsidRPr="002A62DE">
        <w:t>PŘIJATÉ TEXTY</w:t>
      </w:r>
    </w:p>
    <w:p w:rsidR="00D058B8" w:rsidRPr="002A62DE" w:rsidRDefault="00D058B8" w:rsidP="00D058B8">
      <w:pPr>
        <w:pStyle w:val="LineBottom"/>
      </w:pPr>
    </w:p>
    <w:p w:rsidR="005624D1" w:rsidRPr="002A62DE" w:rsidRDefault="005624D1" w:rsidP="005624D1">
      <w:pPr>
        <w:pStyle w:val="ATHeading1"/>
      </w:pPr>
      <w:bookmarkStart w:id="0" w:name="TANumber"/>
      <w:r w:rsidRPr="002A62DE">
        <w:t>P9_TA(2024)0</w:t>
      </w:r>
      <w:r w:rsidR="00A96273">
        <w:t>357</w:t>
      </w:r>
      <w:bookmarkEnd w:id="0"/>
    </w:p>
    <w:p w:rsidR="005624D1" w:rsidRPr="002A62DE" w:rsidRDefault="005624D1" w:rsidP="005624D1">
      <w:pPr>
        <w:pStyle w:val="ATHeading2"/>
      </w:pPr>
      <w:bookmarkStart w:id="1" w:name="title"/>
      <w:r w:rsidRPr="002A62DE">
        <w:t>Změna nařízení (EU) 2016/1011, pokud jde o oblast působnosti pravidel pro referenční hodnoty, používání</w:t>
      </w:r>
      <w:r w:rsidR="00E22C57">
        <w:t xml:space="preserve"> </w:t>
      </w:r>
      <w:r w:rsidRPr="002A62DE">
        <w:t>referenčních hodnot, které poskytuje administrátor nacházející se ve třetí zemi, v Unii a některé požadavky</w:t>
      </w:r>
      <w:r w:rsidR="00E22C57">
        <w:t xml:space="preserve"> </w:t>
      </w:r>
      <w:r w:rsidRPr="002A62DE">
        <w:t>na podávání zpráv</w:t>
      </w:r>
      <w:bookmarkEnd w:id="1"/>
    </w:p>
    <w:p w:rsidR="005624D1" w:rsidRPr="002A62DE" w:rsidRDefault="005624D1" w:rsidP="005624D1">
      <w:pPr>
        <w:rPr>
          <w:i/>
          <w:vanish/>
        </w:rPr>
      </w:pPr>
      <w:r w:rsidRPr="002A62DE">
        <w:rPr>
          <w:i/>
        </w:rPr>
        <w:fldChar w:fldCharType="begin"/>
      </w:r>
      <w:r w:rsidRPr="002A62DE">
        <w:rPr>
          <w:i/>
        </w:rPr>
        <w:instrText xml:space="preserve"> </w:instrText>
      </w:r>
      <w:proofErr w:type="spellStart"/>
      <w:r w:rsidRPr="002A62DE">
        <w:rPr>
          <w:i/>
        </w:rPr>
        <w:instrText>TC</w:instrText>
      </w:r>
      <w:proofErr w:type="spellEnd"/>
      <w:r w:rsidRPr="002A62DE">
        <w:rPr>
          <w:i/>
        </w:rPr>
        <w:instrText>"(</w:instrText>
      </w:r>
      <w:bookmarkStart w:id="2" w:name="DocNumber"/>
      <w:proofErr w:type="spellStart"/>
      <w:r w:rsidRPr="002A62DE">
        <w:rPr>
          <w:i/>
        </w:rPr>
        <w:instrText>A9</w:instrText>
      </w:r>
      <w:proofErr w:type="spellEnd"/>
      <w:r w:rsidRPr="002A62DE">
        <w:rPr>
          <w:i/>
        </w:rPr>
        <w:instrText>-0076/2024</w:instrText>
      </w:r>
      <w:bookmarkEnd w:id="2"/>
      <w:r w:rsidRPr="002A62DE">
        <w:rPr>
          <w:i/>
        </w:rPr>
        <w:instrText xml:space="preserve"> - Zpravodaj: </w:instrText>
      </w:r>
      <w:proofErr w:type="spellStart"/>
      <w:r w:rsidRPr="002A62DE">
        <w:rPr>
          <w:i/>
        </w:rPr>
        <w:instrText>Jonás</w:instrText>
      </w:r>
      <w:proofErr w:type="spellEnd"/>
      <w:r w:rsidRPr="002A62DE">
        <w:rPr>
          <w:i/>
        </w:rPr>
        <w:instrText xml:space="preserve"> </w:instrText>
      </w:r>
      <w:proofErr w:type="spellStart"/>
      <w:r w:rsidRPr="002A62DE">
        <w:rPr>
          <w:i/>
        </w:rPr>
        <w:instrText>Fernández</w:instrText>
      </w:r>
      <w:proofErr w:type="spellEnd"/>
      <w:r w:rsidRPr="002A62DE">
        <w:rPr>
          <w:i/>
        </w:rPr>
        <w:instrText>)"\</w:instrText>
      </w:r>
      <w:proofErr w:type="spellStart"/>
      <w:r w:rsidRPr="002A62DE">
        <w:rPr>
          <w:i/>
        </w:rPr>
        <w:instrText>l3</w:instrText>
      </w:r>
      <w:proofErr w:type="spellEnd"/>
      <w:r w:rsidRPr="002A62DE">
        <w:rPr>
          <w:i/>
        </w:rPr>
        <w:instrText xml:space="preserve"> \n&gt; \* MERGEFORMAT </w:instrText>
      </w:r>
      <w:r w:rsidRPr="002A62DE">
        <w:rPr>
          <w:i/>
        </w:rPr>
        <w:fldChar w:fldCharType="end"/>
      </w:r>
    </w:p>
    <w:p w:rsidR="005624D1" w:rsidRPr="002A62DE" w:rsidRDefault="005624D1" w:rsidP="005624D1">
      <w:pPr>
        <w:rPr>
          <w:vanish/>
        </w:rPr>
      </w:pPr>
      <w:bookmarkStart w:id="3" w:name="Commission"/>
      <w:r w:rsidRPr="002A62DE">
        <w:rPr>
          <w:vanish/>
        </w:rPr>
        <w:t>Hospodářský a měnový výbor</w:t>
      </w:r>
      <w:bookmarkEnd w:id="3"/>
    </w:p>
    <w:p w:rsidR="005624D1" w:rsidRPr="002A62DE" w:rsidRDefault="005624D1" w:rsidP="005624D1">
      <w:pPr>
        <w:rPr>
          <w:vanish/>
        </w:rPr>
      </w:pPr>
      <w:bookmarkStart w:id="4" w:name="PE"/>
      <w:r w:rsidRPr="002A62DE">
        <w:rPr>
          <w:vanish/>
        </w:rPr>
        <w:t>PE757.977</w:t>
      </w:r>
      <w:bookmarkEnd w:id="4"/>
    </w:p>
    <w:p w:rsidR="005624D1" w:rsidRPr="002A62DE" w:rsidRDefault="005624D1" w:rsidP="005624D1">
      <w:pPr>
        <w:pStyle w:val="ATHeading3"/>
      </w:pPr>
      <w:bookmarkStart w:id="5" w:name="Sujet"/>
      <w:r w:rsidRPr="002A62DE">
        <w:t xml:space="preserve">Legislativní usnesení </w:t>
      </w:r>
      <w:r w:rsidR="00E22C57">
        <w:t>Evropského parlamentu ze dne 24. dubna</w:t>
      </w:r>
      <w:r w:rsidRPr="002A62DE">
        <w:t xml:space="preserve"> 2024 o návrhu nařízení Evropského parlamentu a Rady, kterým se mění nařízení (EU) 2016/1011, pokud jde o oblast působnosti pravidel pro referenční hodnoty, používání referenčních hodnot, které poskytuje administrátor nacházející se ve třetí zemi, v Unii a některé požadavky na podávání zpráv</w:t>
      </w:r>
      <w:bookmarkEnd w:id="5"/>
      <w:r w:rsidRPr="002A62DE">
        <w:t xml:space="preserve"> </w:t>
      </w:r>
      <w:bookmarkStart w:id="6" w:name="References"/>
      <w:r w:rsidRPr="002A62DE">
        <w:t>(</w:t>
      </w:r>
      <w:proofErr w:type="gramStart"/>
      <w:r w:rsidRPr="002A62DE">
        <w:t>COM(2023</w:t>
      </w:r>
      <w:proofErr w:type="gramEnd"/>
      <w:r w:rsidRPr="002A62DE">
        <w:t>)0660 – C9-0389/2023 – 2023/0379(COD))</w:t>
      </w:r>
      <w:bookmarkEnd w:id="6"/>
    </w:p>
    <w:p w:rsidR="00984586" w:rsidRPr="002A62DE" w:rsidRDefault="00984586" w:rsidP="00984586">
      <w:pPr>
        <w:pStyle w:val="NormalBold"/>
      </w:pPr>
      <w:bookmarkStart w:id="7" w:name="TextBodyBegin"/>
      <w:bookmarkEnd w:id="7"/>
      <w:r w:rsidRPr="002A62DE">
        <w:t>(Řádný legislativní postup: první čtení)</w:t>
      </w:r>
    </w:p>
    <w:p w:rsidR="00984586" w:rsidRPr="002A62DE" w:rsidRDefault="00984586" w:rsidP="00984586">
      <w:pPr>
        <w:pStyle w:val="EPComma"/>
      </w:pPr>
      <w:r w:rsidRPr="002A62DE">
        <w:rPr>
          <w:i/>
          <w:iCs/>
        </w:rPr>
        <w:t>Evropský parlament</w:t>
      </w:r>
      <w:r w:rsidRPr="002A62DE">
        <w:t>,</w:t>
      </w:r>
    </w:p>
    <w:p w:rsidR="00984586" w:rsidRPr="002A62DE" w:rsidRDefault="00984586" w:rsidP="00984586">
      <w:pPr>
        <w:pStyle w:val="NormalHanging12a"/>
      </w:pPr>
      <w:r w:rsidRPr="002A62DE">
        <w:t>–</w:t>
      </w:r>
      <w:r w:rsidRPr="002A62DE">
        <w:tab/>
        <w:t>s ohledem na návrh Komise předložený Evropskému parlamentu a Radě (</w:t>
      </w:r>
      <w:proofErr w:type="gramStart"/>
      <w:r w:rsidRPr="002A62DE">
        <w:t>COM(2023</w:t>
      </w:r>
      <w:proofErr w:type="gramEnd"/>
      <w:r w:rsidRPr="002A62DE">
        <w:t>)0660),</w:t>
      </w:r>
    </w:p>
    <w:p w:rsidR="00984586" w:rsidRPr="002A62DE" w:rsidRDefault="00984586" w:rsidP="00984586">
      <w:pPr>
        <w:pStyle w:val="NormalHanging12a"/>
      </w:pPr>
      <w:r w:rsidRPr="002A62DE">
        <w:t>–</w:t>
      </w:r>
      <w:r w:rsidRPr="002A62DE">
        <w:tab/>
        <w:t>s ohledem na čl. 294 odst. 2 a článek 114 Smlouvy o fungování Evropské unie, v souladu se kterými Komise předložila svůj návrh Parlamentu (C9</w:t>
      </w:r>
      <w:r w:rsidRPr="002A62DE">
        <w:noBreakHyphen/>
        <w:t>0389/2023),</w:t>
      </w:r>
    </w:p>
    <w:p w:rsidR="00984586" w:rsidRPr="002A62DE" w:rsidRDefault="00984586" w:rsidP="00984586">
      <w:pPr>
        <w:pStyle w:val="NormalHanging12a"/>
      </w:pPr>
      <w:r w:rsidRPr="002A62DE">
        <w:t>–</w:t>
      </w:r>
      <w:r w:rsidRPr="002A62DE">
        <w:tab/>
        <w:t>s ohledem na čl. 294 odst. 3 Smlouvy o fungování Evropské unie,</w:t>
      </w:r>
    </w:p>
    <w:p w:rsidR="00984586" w:rsidRPr="002A62DE" w:rsidRDefault="00984586" w:rsidP="00984586">
      <w:pPr>
        <w:pStyle w:val="NormalHanging12a"/>
      </w:pPr>
      <w:r w:rsidRPr="002A62DE">
        <w:t>–</w:t>
      </w:r>
      <w:r w:rsidRPr="002A62DE">
        <w:tab/>
        <w:t>s ohledem na článek 59 jednacího řádu,</w:t>
      </w:r>
    </w:p>
    <w:p w:rsidR="00984586" w:rsidRPr="002A62DE" w:rsidRDefault="00984586" w:rsidP="00984586">
      <w:pPr>
        <w:pStyle w:val="NormalHanging12a"/>
      </w:pPr>
      <w:r w:rsidRPr="002A62DE">
        <w:t>–</w:t>
      </w:r>
      <w:r w:rsidRPr="002A62DE">
        <w:tab/>
        <w:t>s ohledem na zprávu Hospodářského a měnového výboru (A9-0076/2024),</w:t>
      </w:r>
    </w:p>
    <w:p w:rsidR="00984586" w:rsidRPr="002A62DE" w:rsidRDefault="00984586" w:rsidP="00984586">
      <w:pPr>
        <w:pStyle w:val="NormalHanging12a"/>
      </w:pPr>
      <w:r w:rsidRPr="002A62DE">
        <w:t>1.</w:t>
      </w:r>
      <w:r w:rsidRPr="002A62DE">
        <w:tab/>
        <w:t>přijímá níže uvedený postoj v prvním čtení;</w:t>
      </w:r>
    </w:p>
    <w:p w:rsidR="00984586" w:rsidRPr="002A62DE" w:rsidRDefault="00984586" w:rsidP="00984586">
      <w:pPr>
        <w:pStyle w:val="NormalHanging12a"/>
      </w:pPr>
      <w:r w:rsidRPr="002A62DE">
        <w:t>2.</w:t>
      </w:r>
      <w:r w:rsidRPr="002A62DE">
        <w:tab/>
        <w:t>vyzývá Komisi, aby věc znovu postoupila Parlamentu, jestliže svůj návrh nahradí jiným textem, podstatně jej změní nebo má v úmyslu jej podstatně změnit;</w:t>
      </w:r>
    </w:p>
    <w:p w:rsidR="00984586" w:rsidRPr="002A62DE" w:rsidRDefault="00984586" w:rsidP="00984586">
      <w:pPr>
        <w:pStyle w:val="NormalHanging12a"/>
      </w:pPr>
      <w:r w:rsidRPr="002A62DE">
        <w:t>3.</w:t>
      </w:r>
      <w:r w:rsidRPr="002A62DE">
        <w:tab/>
        <w:t>pověřuje svou předsedkyni, aby předala postoj Parlamentu Radě</w:t>
      </w:r>
      <w:r w:rsidR="00D729D7">
        <w:t xml:space="preserve"> a</w:t>
      </w:r>
      <w:r w:rsidRPr="002A62DE">
        <w:t xml:space="preserve"> Komisi, jakož i vnitrostátním parlamentům.</w:t>
      </w:r>
    </w:p>
    <w:p w:rsidR="001F536B" w:rsidRDefault="001F536B">
      <w:pPr>
        <w:widowControl/>
        <w:sectPr w:rsidR="001F536B" w:rsidSect="002A62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F536B" w:rsidRPr="001F536B" w:rsidRDefault="001F536B" w:rsidP="001F536B">
      <w:pPr>
        <w:rPr>
          <w:b/>
        </w:rPr>
      </w:pPr>
      <w:r w:rsidRPr="001F536B">
        <w:rPr>
          <w:b/>
        </w:rPr>
        <w:lastRenderedPageBreak/>
        <w:t>P9_TC1-COD(2023)0379</w:t>
      </w:r>
    </w:p>
    <w:p w:rsidR="00984586" w:rsidRPr="001F536B" w:rsidRDefault="001F536B" w:rsidP="001F536B">
      <w:pPr>
        <w:spacing w:before="240"/>
        <w:rPr>
          <w:b/>
        </w:rPr>
      </w:pPr>
      <w:r w:rsidRPr="001F536B">
        <w:rPr>
          <w:b/>
        </w:rPr>
        <w:t>Postoj Evropského parlamentu přijatý v prvním čtení dne</w:t>
      </w:r>
      <w:r>
        <w:rPr>
          <w:b/>
        </w:rPr>
        <w:t xml:space="preserve"> 24. dubna 2024 k přijetí nařízení Evropského parlamentu a Rady (EU) 2024</w:t>
      </w:r>
      <w:r w:rsidRPr="001F536B">
        <w:rPr>
          <w:b/>
        </w:rPr>
        <w:t xml:space="preserve">/..., </w:t>
      </w:r>
      <w:r w:rsidR="00984586" w:rsidRPr="001F536B">
        <w:rPr>
          <w:b/>
        </w:rPr>
        <w:t>kterým se mění nařízení (EU) 2016/1011, pokud jde o oblast působnosti pravidel pro referenční hodnoty, používání referenčních hodnot, které poskytuje administrátor nacházející se ve třetí zemi, v Unii a některé požadavky na podávání zpráv</w:t>
      </w:r>
      <w:r w:rsidRPr="001F536B">
        <w:rPr>
          <w:rStyle w:val="FootnoteReference"/>
          <w:b/>
        </w:rPr>
        <w:footnoteReference w:customMarkFollows="1" w:id="1"/>
        <w:sym w:font="Symbol" w:char="F02A"/>
      </w:r>
    </w:p>
    <w:p w:rsidR="00984586" w:rsidRPr="002A62DE" w:rsidRDefault="00984586" w:rsidP="00984586">
      <w:pPr>
        <w:pStyle w:val="IntrtEEE"/>
        <w:rPr>
          <w:noProof/>
        </w:rPr>
      </w:pPr>
      <w:r w:rsidRPr="002A62DE">
        <w:t>(Text s významem pro EHP)</w:t>
      </w:r>
    </w:p>
    <w:p w:rsidR="00984586" w:rsidRPr="002A62DE" w:rsidRDefault="00984586" w:rsidP="00984586">
      <w:pPr>
        <w:pStyle w:val="Institutionquiagit"/>
        <w:rPr>
          <w:noProof/>
        </w:rPr>
      </w:pPr>
      <w:r w:rsidRPr="002A62DE">
        <w:t>EVROPSKÝ PARLAMENT A RADA EVROPSKÉ UNIE,</w:t>
      </w:r>
    </w:p>
    <w:p w:rsidR="00984586" w:rsidRPr="002A62DE" w:rsidRDefault="00984586" w:rsidP="00984586">
      <w:pPr>
        <w:rPr>
          <w:noProof/>
        </w:rPr>
      </w:pPr>
      <w:r w:rsidRPr="002A62DE">
        <w:t>s ohledem na Smlouvu o fungování Evropské unie, a zejména na článek 114 této smlouvy,</w:t>
      </w:r>
    </w:p>
    <w:p w:rsidR="00984586" w:rsidRPr="002A62DE" w:rsidRDefault="00984586" w:rsidP="00984586">
      <w:pPr>
        <w:rPr>
          <w:noProof/>
        </w:rPr>
      </w:pPr>
      <w:r w:rsidRPr="002A62DE">
        <w:t>s ohledem na návrh Evropské komise,</w:t>
      </w:r>
    </w:p>
    <w:p w:rsidR="00984586" w:rsidRPr="002A62DE" w:rsidRDefault="00984586" w:rsidP="00984586">
      <w:pPr>
        <w:rPr>
          <w:noProof/>
        </w:rPr>
      </w:pPr>
      <w:r w:rsidRPr="002A62DE">
        <w:t>po předložení návrhu legislativního aktu vnitrostátním parlamentům,</w:t>
      </w:r>
    </w:p>
    <w:p w:rsidR="00984586" w:rsidRPr="002A62DE" w:rsidRDefault="00984586" w:rsidP="00984586">
      <w:pPr>
        <w:rPr>
          <w:noProof/>
        </w:rPr>
      </w:pPr>
      <w:r w:rsidRPr="002A62DE">
        <w:t>s ohledem na stanovisko Evropské centrální banky</w:t>
      </w:r>
      <w:r w:rsidRPr="002A62DE">
        <w:rPr>
          <w:rStyle w:val="FootnoteReference"/>
          <w:noProof/>
        </w:rPr>
        <w:footnoteReference w:id="2"/>
      </w:r>
      <w:r w:rsidRPr="002A62DE">
        <w:t>,</w:t>
      </w:r>
    </w:p>
    <w:p w:rsidR="00984586" w:rsidRPr="002A62DE" w:rsidRDefault="00984586" w:rsidP="00984586">
      <w:pPr>
        <w:rPr>
          <w:noProof/>
        </w:rPr>
      </w:pPr>
      <w:r w:rsidRPr="002A62DE">
        <w:t>s ohledem na stanovisko Evropského hospodářského a sociálního výboru</w:t>
      </w:r>
      <w:r w:rsidRPr="002A62DE">
        <w:rPr>
          <w:rStyle w:val="FootnoteReference"/>
          <w:noProof/>
        </w:rPr>
        <w:footnoteReference w:id="3"/>
      </w:r>
      <w:r w:rsidRPr="002A62DE">
        <w:t xml:space="preserve">, </w:t>
      </w:r>
    </w:p>
    <w:p w:rsidR="00984586" w:rsidRPr="002A62DE" w:rsidRDefault="00984586" w:rsidP="00984586">
      <w:pPr>
        <w:rPr>
          <w:noProof/>
        </w:rPr>
      </w:pPr>
      <w:r w:rsidRPr="002A62DE">
        <w:t>v souladu s řádným legislativním postupem</w:t>
      </w:r>
      <w:r w:rsidRPr="002A62DE">
        <w:rPr>
          <w:rStyle w:val="FootnoteReference"/>
          <w:noProof/>
        </w:rPr>
        <w:footnoteReference w:id="4"/>
      </w:r>
      <w:r w:rsidRPr="002A62DE">
        <w:t>,</w:t>
      </w:r>
    </w:p>
    <w:p w:rsidR="00984586" w:rsidRPr="002A62DE" w:rsidRDefault="00984586" w:rsidP="00984586">
      <w:pPr>
        <w:rPr>
          <w:noProof/>
        </w:rPr>
      </w:pPr>
      <w:r w:rsidRPr="002A62DE">
        <w:t>vzhledem k těmto důvodům:</w:t>
      </w:r>
    </w:p>
    <w:p w:rsidR="00984586" w:rsidRPr="002A62DE" w:rsidRDefault="00984586" w:rsidP="00984586">
      <w:pPr>
        <w:rPr>
          <w:noProof/>
        </w:rPr>
      </w:pPr>
    </w:p>
    <w:p w:rsidR="00984586" w:rsidRPr="002A62DE" w:rsidRDefault="00984586" w:rsidP="00984586">
      <w:pPr>
        <w:pStyle w:val="ManualConsidrant"/>
        <w:rPr>
          <w:noProof/>
        </w:rPr>
      </w:pPr>
      <w:r w:rsidRPr="002A62DE">
        <w:t>(1)</w:t>
      </w:r>
      <w:r w:rsidRPr="002A62DE">
        <w:tab/>
        <w:t>Požadavky na podávání zpráv hrají klíčovou úlohu při zajišťování řádného sledování a správného prosazování právních předpisů. Je však důležité tyto požadavky zefektivnit, aby bylo zajištěno, že budou splňovat účel, pro který byly určeny, a aby se omezila administrativní zátěž.</w:t>
      </w:r>
    </w:p>
    <w:p w:rsidR="00984586" w:rsidRPr="002A62DE" w:rsidRDefault="00984586" w:rsidP="00984586">
      <w:pPr>
        <w:pStyle w:val="ManualConsidrant"/>
        <w:rPr>
          <w:noProof/>
        </w:rPr>
      </w:pPr>
      <w:r w:rsidRPr="002A62DE">
        <w:t>(2)</w:t>
      </w:r>
      <w:r w:rsidRPr="002A62DE">
        <w:tab/>
        <w:t>Podle nařízení Evropského parlamentu a Rady (EU) 2016/1011</w:t>
      </w:r>
      <w:r w:rsidRPr="002A62DE">
        <w:rPr>
          <w:rStyle w:val="FootnoteReference"/>
          <w:noProof/>
        </w:rPr>
        <w:footnoteReference w:id="5"/>
      </w:r>
      <w:r w:rsidRPr="002A62DE">
        <w:t xml:space="preserve"> musí všichni administrátoři referenčních hodnot bez ohledu na systémový význam těchto referenčních hodnot nebo na objem finančních nástrojů či smluv, které tyto referenční hodnoty používají jako referenční sazby nebo jako reference k hodnocení výkonnosti, splňovat několik velmi podrobných požadavků, včetně požadavků týkajících se jejich organizace, správy a řízení a střetů zájmů, funkcí dohledu, vstupních údajů, kodexů chování, oznamování případů porušení pravidel a zveřejňování metodiky a prohlášení o referenčních hodnotách. Tyto velmi podrobné požadavky kladou na administrátory méně významných referenčních hodnot v Unii nepřiměřenou regulační zátěž s ohledem na cíle nařízení (EU) 2016/1011, tj. chránit finanční stabilitu a zabránit negativním ekonomickým důsledkům vyplývajícím z nespolehlivosti referenčních hodnot. Je proto nezbytné snížit tuto regulační zátěž a za tím účelem se zaměřit na referenční hodnoty s největším ekonomickým významem pro trh Unie, tj. na referenční hodnoty s kritickým a značným významem, a na referenční hodnoty, které přispívají k podpoře klíčových </w:t>
      </w:r>
      <w:r w:rsidRPr="002A62DE">
        <w:lastRenderedPageBreak/>
        <w:t>politik Unie, tj. referenční hodnoty EU pro transformaci hospodářství spjatou s klimatem a referenční hodnoty EU navázané na Pařížskou dohodu. Z toho důvodu by měla být oblast působnosti hlav II, III, IV a VI nařízení (EU) 2016/1011 omezena na uvedené konkrétní referenční hodnoty.</w:t>
      </w:r>
    </w:p>
    <w:p w:rsidR="00984586" w:rsidRPr="002A62DE" w:rsidRDefault="00984586" w:rsidP="00984586">
      <w:pPr>
        <w:pStyle w:val="ManualConsidrant"/>
        <w:rPr>
          <w:b/>
          <w:i/>
          <w:noProof/>
        </w:rPr>
      </w:pPr>
      <w:r w:rsidRPr="002A62DE">
        <w:rPr>
          <w:b/>
          <w:i/>
        </w:rPr>
        <w:t xml:space="preserve">(2a) </w:t>
      </w:r>
      <w:r w:rsidRPr="002A62DE">
        <w:rPr>
          <w:b/>
          <w:i/>
        </w:rPr>
        <w:tab/>
        <w:t>Administrátoři referenčních hodnot, kteří si přejí zůstat v oblasti působnosti nařízení (EU) 2016/1011, by měli mít možnost požádat o dobrovolný dohled i v případě, že jejich referenční hodnoty nedosahují prahové hodnoty referenční hodnoty se značným významem nebo nejsou jako takové označeny. Obdobně by se administrátorům referenční hodnoty, jejichž referenční hodnoty nesplňují prahovou hodnotu referenční hodnoty se značným významem a kteří chtějí získat regulační licenci podle nařízení (EU) 2016/1011, neměl tento úmysl znemožnit.</w:t>
      </w:r>
    </w:p>
    <w:p w:rsidR="00984586" w:rsidRPr="002A62DE" w:rsidRDefault="00984586" w:rsidP="00984586">
      <w:pPr>
        <w:pStyle w:val="ManualConsidrant"/>
        <w:rPr>
          <w:noProof/>
        </w:rPr>
      </w:pPr>
      <w:r w:rsidRPr="002A62DE">
        <w:t>(3)</w:t>
      </w:r>
      <w:r w:rsidRPr="002A62DE">
        <w:tab/>
        <w:t>Podle článku 18a nařízení (EU) 2016/1011 může Komise vyjmout některé referenční hodnoty spotových směnných kurzů z oblasti působnosti nařízení, aby zajistila jejich trvalou dostupnost pro použití v Unii. Vzhledem k tomu, že nařízení (EU) 2016/1011 potřebuje revidované a užší zaměření na referenční hodnoty s kritickým významem, referenční hodnoty se značným významem, referenční hodnoty EU pro transformaci hospodářství spjatou s klimatem a referenční hodnoty EU navázané na Pařížskou dohodu, není již zapotřebí zvláštní režim osvobození pro referenční hodnoty spotových směnných kurzů.</w:t>
      </w:r>
    </w:p>
    <w:p w:rsidR="00984586" w:rsidRPr="002A62DE" w:rsidRDefault="00984586" w:rsidP="00984586">
      <w:pPr>
        <w:pStyle w:val="ManualConsidrant"/>
        <w:rPr>
          <w:noProof/>
        </w:rPr>
      </w:pPr>
      <w:r w:rsidRPr="002A62DE">
        <w:t>(4)</w:t>
      </w:r>
      <w:r w:rsidRPr="002A62DE">
        <w:tab/>
        <w:t>Podle článku 19d nařízení (EU) 2016/1011 se administrátoři referenčních hodnot se značným významem musí ▌vynasnažit, aby poskytovali referenční hodnotu EU pro transformaci hospodářství spjatou s klimatem nebo referenční hodnotu EU navázanou na Pařížskou dohodu</w:t>
      </w:r>
      <w:r w:rsidRPr="002A62DE">
        <w:rPr>
          <w:b/>
          <w:bCs/>
          <w:i/>
          <w:iCs/>
        </w:rPr>
        <w:t>, ve snaze stanovit minimální normy pro referenční hodnoty spjaté s klimatem a vytvořit komplexní nabídku klimatických indexů v Unii</w:t>
      </w:r>
      <w:r w:rsidRPr="002A62DE">
        <w:t>.</w:t>
      </w:r>
    </w:p>
    <w:p w:rsidR="00984586" w:rsidRPr="002A62DE" w:rsidRDefault="00984586" w:rsidP="00984586">
      <w:pPr>
        <w:pStyle w:val="ManualConsidrant"/>
        <w:rPr>
          <w:noProof/>
        </w:rPr>
      </w:pPr>
      <w:r w:rsidRPr="002A62DE">
        <w:t>(5)</w:t>
      </w:r>
      <w:r w:rsidRPr="002A62DE">
        <w:tab/>
        <w:t xml:space="preserve">Kritéria pro posouzení, zda je referenční hodnota referenční hodnotou se značným významem, jsou v současnosti stanovena v článku 24 nařízení (EU) 2016/1011. Referenční hodnoty budou považovány za referenční hodnoty se značným významem </w:t>
      </w:r>
      <w:r w:rsidRPr="002A62DE">
        <w:rPr>
          <w:i/>
          <w:iCs/>
        </w:rPr>
        <w:t>mimo jiné</w:t>
      </w:r>
      <w:r w:rsidRPr="002A62DE">
        <w:t xml:space="preserve"> v případě, že splňují prahovou hodnotu stanovenou v čl. 24 odst. 1 písm. a) uvedeného nařízení.</w:t>
      </w:r>
      <w:bookmarkStart w:id="8" w:name="_Hlk147412513"/>
    </w:p>
    <w:p w:rsidR="00984586" w:rsidRPr="002A62DE" w:rsidRDefault="00984586" w:rsidP="00984586">
      <w:pPr>
        <w:pStyle w:val="ManualConsidrant"/>
        <w:rPr>
          <w:noProof/>
        </w:rPr>
      </w:pPr>
      <w:r w:rsidRPr="002A62DE">
        <w:t>(6)</w:t>
      </w:r>
      <w:r w:rsidRPr="002A62DE">
        <w:tab/>
        <w:t xml:space="preserve">Administrátoři referenčních hodnot </w:t>
      </w:r>
      <w:r w:rsidRPr="002A62DE">
        <w:rPr>
          <w:b/>
          <w:bCs/>
          <w:i/>
          <w:iCs/>
        </w:rPr>
        <w:t>by měli</w:t>
      </w:r>
      <w:r w:rsidRPr="002A62DE">
        <w:t xml:space="preserve"> sledovat, jak jsou jimi poskytované referenční hodnoty v Unii využívány</w:t>
      </w:r>
      <w:r w:rsidRPr="002A62DE">
        <w:rPr>
          <w:b/>
          <w:bCs/>
          <w:i/>
          <w:iCs/>
        </w:rPr>
        <w:t>, a</w:t>
      </w:r>
      <w:r w:rsidRPr="002A62DE">
        <w:t xml:space="preserve"> oznámit dotčenému příslušnému orgánu nebo Evropskému orgánu pro cenné papíry a trhy (ESMA), podle toho, kde se daný administrátor nachází, že souhrnné používání jedné z jejich referenčních hodnot překročilo prahovou hodnotu stanovenou v čl. 24 odst. 1 písm. a) nařízení (EU) 2016/1011. </w:t>
      </w:r>
      <w:r w:rsidRPr="002A62DE">
        <w:rPr>
          <w:b/>
          <w:i/>
        </w:rPr>
        <w:t>Je však náročné takovou prahovou hodnotu vypočítat, zejména na úrovni Unie. V zájmu zajištění jednotného uplatňování této prahové hodnoty by měl orgán ESMA vypracovat návrhy regulačních technických norem, které by blíže specifikovaly metodu výpočtu. Kromě toho by se administrátoři referenčních hodnot používaných v Unii měli vynasnažit získat celosvětově dohodnutý identifikační kód za účelem identifikace svých referenčních hodnot.</w:t>
      </w:r>
    </w:p>
    <w:p w:rsidR="00984586" w:rsidRPr="002A62DE" w:rsidRDefault="00984586" w:rsidP="00984586">
      <w:pPr>
        <w:pStyle w:val="ManualConsidrant"/>
        <w:rPr>
          <w:noProof/>
        </w:rPr>
      </w:pPr>
      <w:r w:rsidRPr="002A62DE">
        <w:rPr>
          <w:b/>
          <w:i/>
        </w:rPr>
        <w:t>(6a)</w:t>
      </w:r>
      <w:r w:rsidRPr="002A62DE">
        <w:rPr>
          <w:b/>
          <w:i/>
        </w:rPr>
        <w:tab/>
        <w:t>Aby měli administrátoři referenčních hodnot dostatek času na přizpůsobení se požadavkům, které se týkají referenčních hodnot se značným významem, měly by se na ně tyto požadavky vztahovat pouze ve lhůtě 60 pracovních dnů ode dne podání takového oznámení. Kromě toho by administrátoři referenčních hodnot měli dotčeným příslušným orgánům nebo orgánu ESMA na požádání poskytnout veškeré informace nezbytné k posouzení souhrnného používání dané referenční hodnoty v Unii.</w:t>
      </w:r>
      <w:r w:rsidRPr="002A62DE">
        <w:t xml:space="preserve"> </w:t>
      </w:r>
    </w:p>
    <w:p w:rsidR="00984586" w:rsidRPr="002A62DE" w:rsidRDefault="00984586" w:rsidP="00984586">
      <w:pPr>
        <w:pStyle w:val="ManualConsidrant"/>
        <w:rPr>
          <w:b/>
          <w:i/>
          <w:noProof/>
        </w:rPr>
      </w:pPr>
      <w:r w:rsidRPr="002A62DE">
        <w:rPr>
          <w:b/>
          <w:i/>
        </w:rPr>
        <w:lastRenderedPageBreak/>
        <w:t>(6b)</w:t>
      </w:r>
      <w:r w:rsidRPr="002A62DE">
        <w:rPr>
          <w:b/>
          <w:i/>
        </w:rPr>
        <w:tab/>
      </w:r>
      <w:r w:rsidRPr="002A62DE">
        <w:t xml:space="preserve">Pokud administrátor referenční hodnoty opomene nebo odmítne </w:t>
      </w:r>
      <w:r w:rsidRPr="002A62DE">
        <w:rPr>
          <w:b/>
          <w:bCs/>
          <w:i/>
          <w:iCs/>
        </w:rPr>
        <w:t xml:space="preserve">příslušnému orgánu </w:t>
      </w:r>
      <w:r w:rsidRPr="002A62DE">
        <w:t>oznámit, že používání jedné z jeho referenčních hodnot překročilo prahovou hodnotu stanovenou v čl. 24 odst. 1 písm. a) nařízení (EU) 2016/1011, a pokud mají příslušné orgány jasné a prokazatelné důvody se domnívat, že prahová hodnota byla překročena, měly by mít dotčené příslušné orgány, případně orgán ESMA, možnost prohlásit, že prahová hodnota byla překročena, a to poté, co administrátorovi nejprve poskytnou možnost se vyjádřit.</w:t>
      </w:r>
      <w:r w:rsidRPr="002A62DE">
        <w:rPr>
          <w:b/>
          <w:i/>
        </w:rPr>
        <w:t xml:space="preserve"> Na základě takového prohlášení by měly administrátorovi referenční hodnoty vzniknout stejné povinnosti jako na základě oznámení administrátora referenčních hodnot. Tím by neměla být dotčena možnost příslušných orgánů nebo orgánu ESMA ukládat správní sankce administrátorům, kteří neoznámí, že některá z jejich referenčních hodnot překročila příslušnou prahovou hodnotu.</w:t>
      </w:r>
    </w:p>
    <w:bookmarkEnd w:id="8"/>
    <w:p w:rsidR="00984586" w:rsidRPr="002A62DE" w:rsidRDefault="00984586" w:rsidP="00984586">
      <w:pPr>
        <w:pStyle w:val="ManualConsidrant"/>
        <w:rPr>
          <w:noProof/>
        </w:rPr>
      </w:pPr>
      <w:r w:rsidRPr="002A62DE">
        <w:t>(7)</w:t>
      </w:r>
      <w:r w:rsidRPr="002A62DE">
        <w:tab/>
        <w:t>Trhy, ceny a regulační prostředí se v průběhu času vyvíjejí. Aby tento vývoj zohlednila, měla by být Komise zmocněna dále upřesňovat metodiku, kterou mají administrátoři a příslušné orgány používat k výpočtu celkové hodnoty finančních nástrojů, finančních smluv nebo investičních fondů odkazujících na určitou referenční hodnotu.</w:t>
      </w:r>
    </w:p>
    <w:p w:rsidR="00984586" w:rsidRPr="002A62DE" w:rsidRDefault="00984586" w:rsidP="00984586">
      <w:pPr>
        <w:pStyle w:val="ManualConsidrant"/>
        <w:rPr>
          <w:noProof/>
        </w:rPr>
      </w:pPr>
      <w:r w:rsidRPr="002A62DE">
        <w:t>(8)</w:t>
      </w:r>
      <w:r w:rsidRPr="002A62DE">
        <w:tab/>
        <w:t>Ve výjimečných případech však mohou existovat referenční hodnoty se souhrnným využitím nedosahujícím prahové hodnoty stanovené v čl. 24 odst. 1 písm. a) nařízení (EU) 2016/1011, které jsou však vzhledem ke konkrétní situaci na trhu členského státu pro tento členský stát natolik důležité, že by jakýkoli nedostatek spolehlivosti měl dopad srovnatelný s referenční hodnotou, jejíž používání tuto prahovou hodnotu překračuje. Z toho důvodu by měl mít příslušný orgán daného členského státu možnost určit takovou referenční hodnotu na základě souboru kvalitativních kritérií jako referenční hodnotu se značným významem, pokud ji poskytuje administrátor v EU. V případě referenčních hodnot poskytovaných administrátorem ze země mimo EU by to měl být orgán ESMA, který na žádost jednoho nebo více příslušných orgánů určí takovou referenční hodnotu jako referenční hodnotu se značným významem.</w:t>
      </w:r>
    </w:p>
    <w:p w:rsidR="00984586" w:rsidRPr="002A62DE" w:rsidRDefault="00984586" w:rsidP="00984586">
      <w:pPr>
        <w:pStyle w:val="ManualConsidrant"/>
        <w:rPr>
          <w:noProof/>
        </w:rPr>
      </w:pPr>
      <w:bookmarkStart w:id="9" w:name="_Hlk147415000"/>
      <w:r w:rsidRPr="002A62DE">
        <w:t>(9)</w:t>
      </w:r>
      <w:r w:rsidRPr="002A62DE">
        <w:tab/>
        <w:t>Aby se zajistila konzistentnost a koordinace vnitrostátních určení referenčních hodnot jako referenčních hodnot se značným významem, měly by příslušné orgány, které hodlají určit referenční hodnotu jako referenční hodnotu se značným významem, konzultovat orgán ESMA. Z téhož důvodu by měl příslušný orgán členského státu, který jako referenční hodnotu se značným významem hodlá určit referenční hodnotu poskytovanou administrátorem, který se nachází v jiném členském státě, konzultovat rovněž příslušný orgán tohoto jiného členského státu. Pokud se příslušné orgány neshodnou, který z nich by měl určit referenční hodnotu a vykonávat nad ní dohled, měl by orgán ESMA tento spor urovnat v souladu s článkem 19 nařízení Evropského parlamentu a Rady (EU) č. 1095/2010</w:t>
      </w:r>
      <w:r w:rsidRPr="002A62DE">
        <w:rPr>
          <w:rStyle w:val="FootnoteReference"/>
          <w:noProof/>
        </w:rPr>
        <w:footnoteReference w:id="6"/>
      </w:r>
      <w:r w:rsidRPr="002A62DE">
        <w:t>.</w:t>
      </w:r>
    </w:p>
    <w:bookmarkEnd w:id="9"/>
    <w:p w:rsidR="00984586" w:rsidRPr="002A62DE" w:rsidRDefault="00984586" w:rsidP="00984586">
      <w:pPr>
        <w:pStyle w:val="ManualConsidrant"/>
        <w:rPr>
          <w:noProof/>
        </w:rPr>
      </w:pPr>
      <w:r w:rsidRPr="002A62DE">
        <w:t>(10)</w:t>
      </w:r>
      <w:r w:rsidRPr="002A62DE">
        <w:tab/>
        <w:t>Aby bylo dodrženo právo na slyšení, měl by příslušný orgán nebo orgán ESMA před určením referenční hodnoty jako referenční hodnoty se značným významem umožnit jejímu administrátorovi, aby poskytl veškeré užitečné informace, které jsou pro její určení důležité.</w:t>
      </w:r>
    </w:p>
    <w:p w:rsidR="00984586" w:rsidRPr="002A62DE" w:rsidRDefault="00984586" w:rsidP="00984586">
      <w:pPr>
        <w:pStyle w:val="ManualConsidrant"/>
        <w:rPr>
          <w:noProof/>
        </w:rPr>
      </w:pPr>
      <w:r w:rsidRPr="002A62DE">
        <w:t>(11)</w:t>
      </w:r>
      <w:r w:rsidRPr="002A62DE">
        <w:tab/>
        <w:t xml:space="preserve">Aby bylo určení referenční hodnoty se značným významem co nejtransparentnější, měly by příslušné orgány nebo orgán ESMA vydat rozhodnutí o určení, které bude obsahovat důvody, proč je daná referenční hodnota považována za referenční hodnotu se značným </w:t>
      </w:r>
      <w:r w:rsidRPr="002A62DE">
        <w:lastRenderedPageBreak/>
        <w:t>významem. Příslušné orgány by měly rozhodnutí o určení zveřejnit na svých internetových stránkách a oznámit je orgánu ESMA. Z týchž důvodů by měl orgán ESMA v případě, že na žádost příslušného orgánu určí referenční hodnotu jako referenční hodnotu se značným významem, rozhodnutí o určení zveřejnit na svých internetových stránkách a informovat o něm příslušný žádající orgán.</w:t>
      </w:r>
    </w:p>
    <w:p w:rsidR="00984586" w:rsidRPr="002A62DE" w:rsidRDefault="00984586" w:rsidP="00984586">
      <w:pPr>
        <w:pStyle w:val="ManualConsidrant"/>
        <w:rPr>
          <w:noProof/>
        </w:rPr>
      </w:pPr>
      <w:r w:rsidRPr="002A62DE">
        <w:t>(12)</w:t>
      </w:r>
      <w:r w:rsidRPr="002A62DE">
        <w:tab/>
        <w:t xml:space="preserve">Referenční hodnoty EU pro transformaci hospodářství spjatou s klimatem </w:t>
      </w:r>
      <w:r w:rsidRPr="002A62DE">
        <w:rPr>
          <w:b/>
          <w:i/>
        </w:rPr>
        <w:t>(EU-CTB)</w:t>
      </w:r>
      <w:r w:rsidRPr="002A62DE">
        <w:t xml:space="preserve"> a referenční hodnoty EU navázané na Pařížskou dohodu </w:t>
      </w:r>
      <w:r w:rsidRPr="002A62DE">
        <w:rPr>
          <w:b/>
          <w:i/>
        </w:rPr>
        <w:t>(EU-PAB)</w:t>
      </w:r>
      <w:r w:rsidRPr="002A62DE">
        <w:t xml:space="preserve"> představují zvláštní kategorie referenčních hodnot, které jsou definovány dodržováním pravidel upravujících jejich metodiku a zveřejňování </w:t>
      </w:r>
      <w:r w:rsidRPr="002A62DE">
        <w:rPr>
          <w:b/>
          <w:bCs/>
          <w:i/>
          <w:iCs/>
        </w:rPr>
        <w:t>požadavků administrátorů</w:t>
      </w:r>
      <w:r w:rsidRPr="002A62DE">
        <w:t>. Z toho důvodu a s cílem zabránit tvrzením, která by mohla vést uživatele k domněnce, že tyto referenční hodnoty jsou v souladu s normami spojenými s těmito označeními, je nezbytné, aby tyto referenční hodnoty podléhaly povinné registraci</w:t>
      </w:r>
      <w:r w:rsidRPr="002A62DE">
        <w:rPr>
          <w:b/>
          <w:bCs/>
          <w:i/>
          <w:iCs/>
        </w:rPr>
        <w:t xml:space="preserve">, </w:t>
      </w:r>
      <w:r w:rsidRPr="001F536B">
        <w:rPr>
          <w:b/>
          <w:i/>
        </w:rPr>
        <w:t>povolení</w:t>
      </w:r>
      <w:r w:rsidRPr="002A62DE">
        <w:rPr>
          <w:b/>
          <w:bCs/>
          <w:i/>
          <w:iCs/>
        </w:rPr>
        <w:t>, uznání nebo přejetí</w:t>
      </w:r>
      <w:r w:rsidRPr="002A62DE">
        <w:t xml:space="preserve"> a dohledu. </w:t>
      </w:r>
    </w:p>
    <w:p w:rsidR="00984586" w:rsidRPr="002A62DE" w:rsidRDefault="00984586" w:rsidP="00984586">
      <w:pPr>
        <w:pStyle w:val="ManualConsidrant"/>
        <w:rPr>
          <w:b/>
          <w:i/>
          <w:noProof/>
        </w:rPr>
      </w:pPr>
      <w:r w:rsidRPr="002A62DE">
        <w:rPr>
          <w:b/>
          <w:i/>
        </w:rPr>
        <w:t>(12a)</w:t>
      </w:r>
      <w:r w:rsidRPr="002A62DE">
        <w:rPr>
          <w:b/>
          <w:i/>
        </w:rPr>
        <w:tab/>
        <w:t>Regulační zacházení s referenčními hodnotami cen komodit by mělo být přizpůsobeno jejich specifickým vlastnostem. S referenčními hodnotami cen komodit, které podléhají obecným pravidlům pro finanční referenční hodnoty, by se mělo zacházet stejně jako s ostatními finančními referenčními hodnotami a nařízení (EU) 2016/1011 by se na ně mělo vztahovat pouze v případě, že se jedná o referenční hodnoty s kritickým a značným významem a nebyly vyňaty z oblasti působnosti tohoto nařízení. Na referenční hodnoty cen komodit, které podléhají zvláštnímu režimu podle přílohy II nařízení (EU) 2016/1011, by se toto nařízení mělo vztahovat vždy, aby byla zajištěna podloženost a spolehlivost jejich hodnocení.</w:t>
      </w:r>
    </w:p>
    <w:p w:rsidR="00984586" w:rsidRPr="002A62DE" w:rsidRDefault="00984586" w:rsidP="00984586">
      <w:pPr>
        <w:pStyle w:val="ManualConsidrant"/>
        <w:rPr>
          <w:noProof/>
        </w:rPr>
      </w:pPr>
      <w:r w:rsidRPr="002A62DE">
        <w:t>(13)</w:t>
      </w:r>
      <w:r w:rsidRPr="002A62DE">
        <w:tab/>
        <w:t>Aby se zajistilo včasné zahájení dohledu nad referenčními hodnotami se značným významem, měli by být administrátoři referenčních hodnot, které se staly referenční hodnotou se značným významem buď na základě dosažení příslušné kvantitativní prahové hodnoty, nebo na základě určení, povinni požádat do 60 pracovních dnů o povolení k činnosti nebo registraci, nebo v případě referenčních hodnot poskytovaných administrátorem nacházejícím se ve třetí zemi o přejetí nebo uznání.</w:t>
      </w:r>
    </w:p>
    <w:p w:rsidR="00984586" w:rsidRPr="002A62DE" w:rsidRDefault="00984586" w:rsidP="00984586">
      <w:pPr>
        <w:pStyle w:val="ManualConsidrant"/>
        <w:rPr>
          <w:noProof/>
        </w:rPr>
      </w:pPr>
      <w:r w:rsidRPr="002A62DE">
        <w:t>(14)</w:t>
      </w:r>
      <w:r w:rsidRPr="002A62DE">
        <w:tab/>
        <w:t xml:space="preserve">Aby se zmírnila rizika spojená s používáním referenčních hodnot, které potenciálně nejsou bezpečné pro použití v Unii, a aby byli varováni potenciální uživatelé, měly by mít příslušné orgány a orgán ESMA možnost vydat varování v podobě veřejného oznámení, že administrátor referenční hodnoty se značným významem nesplňuje příslušné požadavky, zejména pokud jde o dodržování povinnosti administrátora referenční hodnoty mít povolení k činnosti, případně registraci, přejetí nebo uznání. Po vydání takového varování by dohlížené osoby již neměly mít možnost uvádět nové odkazy na tyto referenční hodnoty nebo kombinace referenčních hodnot. Podobně, aby se předešlo rizikům spojeným s používáním referenčních hodnot, které tvrdí, že jsou v souladu s označeními EU pro transformaci hospodářství spjatou s klimatem a označeními EU navázanými na Pařížskou dohodu, aniž by podléhaly odpovídajícímu dohledu, neměly by mít dohlížené osoby možnost uvádět nové odkazy na referenční hodnotu EU pro transformaci hospodářství spjatou s klimatem a referenční hodnotu EU navázanou na Pařížskou dohodu nebo na kombinaci těchto referenčních hodnot v Unii, pokud administrátor těchto referenčních hodnot není uveden v registru administrátorů a referenčních hodnot, který vede orgán ESMA. </w:t>
      </w:r>
    </w:p>
    <w:p w:rsidR="00984586" w:rsidRPr="002A62DE" w:rsidRDefault="00984586" w:rsidP="00984586">
      <w:pPr>
        <w:pStyle w:val="ManualConsidrant"/>
        <w:rPr>
          <w:noProof/>
        </w:rPr>
      </w:pPr>
      <w:r w:rsidRPr="002A62DE">
        <w:t>(15)</w:t>
      </w:r>
      <w:r w:rsidRPr="002A62DE">
        <w:tab/>
        <w:t xml:space="preserve">Aby se předešlo potenciálně přílišným narušením trhu po zákazu používání určité referenční hodnoty, měly by mít příslušné orgány nebo orgán ESMA možnost povolit dočasné další používání takové referenční hodnoty. Aby byla zajištěna dostatečná úroveň transparentnosti a ochrany </w:t>
      </w:r>
      <w:r w:rsidRPr="002A62DE">
        <w:rPr>
          <w:i/>
          <w:iCs/>
        </w:rPr>
        <w:t>vůči</w:t>
      </w:r>
      <w:r w:rsidRPr="002A62DE">
        <w:t xml:space="preserve"> konečným investorům, měli by uživatelé těch </w:t>
      </w:r>
      <w:r w:rsidRPr="002A62DE">
        <w:lastRenderedPageBreak/>
        <w:t>referenčních hodnot, na které se vztahuje varování v podobě veřejného oznámení, určit vhodnou alternativu, která by tyto referenční hodnoty nahradila, a to do šesti měsíců od zveřejnění veřejného oznámení, nebo jinak zajistit, aby byli klienti o neexistenci alternativní referenční hodnoty náležitě informováni.</w:t>
      </w:r>
    </w:p>
    <w:p w:rsidR="00984586" w:rsidRPr="002A62DE" w:rsidRDefault="00984586" w:rsidP="00984586">
      <w:pPr>
        <w:pStyle w:val="ManualConsidrant"/>
        <w:rPr>
          <w:noProof/>
        </w:rPr>
      </w:pPr>
      <w:r w:rsidRPr="002A62DE">
        <w:t>(16)</w:t>
      </w:r>
      <w:r w:rsidRPr="002A62DE">
        <w:tab/>
        <w:t>Podle článku 32 nařízení (EU) 2016/1011 slouží uznání administrátorů referenčních hodnot nacházejících se ve třetí zemi jako dočasný prostředek přístupu na trh Unie do doby, než Komise přijme rozhodnutí o rovnocennosti. Vzhledem k velmi omezenému počtu referenčních hodnot třetích zemí, pro které byla vydána rozhodnutí o rovnocennosti, by se však takové uznání mělo stát trvalým prostředkem přístupu těchto administrátorů referenčních hodnot na trh Unie.</w:t>
      </w:r>
    </w:p>
    <w:p w:rsidR="00984586" w:rsidRPr="002A62DE" w:rsidRDefault="00984586" w:rsidP="00984586">
      <w:pPr>
        <w:pStyle w:val="ManualConsidrant"/>
        <w:rPr>
          <w:noProof/>
        </w:rPr>
      </w:pPr>
      <w:r w:rsidRPr="002A62DE">
        <w:t>(17)</w:t>
      </w:r>
      <w:r w:rsidRPr="002A62DE">
        <w:tab/>
        <w:t>Má se za to, že referenční hodnoty, na které se vztahuje rozhodnutí o rovnocennosti, podléhají rovnocenné regulaci a rovnocennému dohledu jako referenční hodnoty Unie. Povinnost požádat o přejetí nebo uznání by se proto neměla vztahovat na administrátory referenčních hodnot se značným významem, kteří se nacházejí ve třetí zemi a jsou držiteli rozhodnutí o rovnocennosti.</w:t>
      </w:r>
    </w:p>
    <w:p w:rsidR="00984586" w:rsidRPr="002A62DE" w:rsidRDefault="00984586" w:rsidP="00984586">
      <w:pPr>
        <w:pStyle w:val="ManualConsidrant"/>
        <w:rPr>
          <w:noProof/>
        </w:rPr>
      </w:pPr>
      <w:r w:rsidRPr="002A62DE">
        <w:t>(18)</w:t>
      </w:r>
      <w:r w:rsidRPr="002A62DE">
        <w:tab/>
        <w:t xml:space="preserve">V zájmu transparentnosti a zajištění právní jistoty by příslušné orgány, které referenční hodnotu určí jako referenční hodnotu se značným významem, měly upřesnit případná omezení použití, která vznikají v případě, že administrátor takové referenční hodnoty nemá povolení k činnosti nebo není registrován, případně nesplňuje požadavky na přejetí či uznání. </w:t>
      </w:r>
    </w:p>
    <w:p w:rsidR="00984586" w:rsidRPr="002A62DE" w:rsidRDefault="00984586" w:rsidP="00984586">
      <w:pPr>
        <w:pStyle w:val="ManualConsidrant"/>
        <w:rPr>
          <w:noProof/>
        </w:rPr>
      </w:pPr>
      <w:r w:rsidRPr="002A62DE">
        <w:t>(19)</w:t>
      </w:r>
      <w:r w:rsidRPr="002A62DE">
        <w:tab/>
        <w:t xml:space="preserve">Aby se zmírnila rizika spojená s používáním referenčních hodnot se značným významem, nad nimiž není vykonáván odpovídající dohled, měl by v případě, že administrátor referenční hodnoty, která se stane referenční hodnotou se značným významem, ve stanovené lhůtě nepožádá o povolení k činnosti, registraci, uznání nebo přejetí, nebo povolení k činnosti, registrace, uznání nebo přejetí pro takového administrátora není uděleno nebo je povolení k činnosti, registrace, přejetí nebo uznání tohoto administrátora zrušeno, příslušný orgán, případně orgán ESMA vydat veřejné oznámení, v němž uvede, že referenční hodnoty se značným významem poskytované tímto administrátorem nejsou vhodné k používání v Unii. </w:t>
      </w:r>
    </w:p>
    <w:p w:rsidR="00984586" w:rsidRPr="002A62DE" w:rsidRDefault="00984586" w:rsidP="00984586">
      <w:pPr>
        <w:pStyle w:val="ManualConsidrant"/>
        <w:rPr>
          <w:noProof/>
        </w:rPr>
      </w:pPr>
      <w:r w:rsidRPr="002A62DE">
        <w:t>(20)</w:t>
      </w:r>
      <w:r w:rsidRPr="002A62DE">
        <w:tab/>
        <w:t>Uživatelé referenčních hodnot spoléhají na transparentnost, pokud jde o regulační status referenčních hodnot, které používají nebo hodlají používat. Z toho důvodu by měl orgán ESMA v rejstříku administrátorů a referenčních hodnot uvést ty referenční hodnoty, které podléhají nejpodrobnějším požadavkům stanoveným v nařízení (EU) 2016/1011, a to buď proto, že jejich používání v Unii přesahuje stanovenou prahovou hodnotu pro referenční hodnoty se značným významem, nebo proto, že je jako referenční hodnoty se značným významem určil vnitrostátní orgán dohledu nebo orgán ESMA, nebo proto, že se jedná o referenční hodnoty s kritickým významem. Z téhož důvodu by měl orgán ESMA v tomto rejstříku uvést také referenční hodnoty EU pro transformaci hospodářství spjatou s klimatem a referenční hodnoty EU navázané na Pařížskou dohodu, které poskytují administrátoři, kteří mají povolení k činnosti nebo registraci. A v neposlední řadě by měl orgán ESMA v rejstříku uvádět také referenční hodnoty, u nichž příslušný orgán nebo orgán ESMA vydal veřejné oznámení zakazující další používání dané referenční hodnoty. Aby se dále snížila zátěž uživatelů, měly by být všechny tyto informace okamžitě dostupné také v jednotném evropském přístupovém místě.</w:t>
      </w:r>
    </w:p>
    <w:p w:rsidR="00984586" w:rsidRPr="002A62DE" w:rsidRDefault="00984586" w:rsidP="00984586">
      <w:pPr>
        <w:pStyle w:val="ManualConsidrant"/>
        <w:rPr>
          <w:b/>
          <w:i/>
          <w:noProof/>
        </w:rPr>
      </w:pPr>
      <w:r w:rsidRPr="002A62DE">
        <w:rPr>
          <w:b/>
          <w:i/>
        </w:rPr>
        <w:t>(20a)</w:t>
      </w:r>
      <w:r w:rsidRPr="002A62DE">
        <w:rPr>
          <w:b/>
          <w:i/>
        </w:rPr>
        <w:tab/>
        <w:t xml:space="preserve">Dvě kategorie týkající se ESG musejí být v souladu s minimálními normami stanovenými právem Unie, konkrétně referenční hodnoty EU pro transformaci hospodářství spjatou s klimatem (EU-CTB) a referenční hodnoty EU navázané na </w:t>
      </w:r>
      <w:r w:rsidRPr="002A62DE">
        <w:rPr>
          <w:b/>
          <w:i/>
        </w:rPr>
        <w:lastRenderedPageBreak/>
        <w:t>Pařížskou dohodu (EU-PAB). Nařízení (EU) 2019/2089 zavedlo pravidla týkající se transparentnosti referenčních hodnot, u nichž se v jejich právní dokumentaci nebo dokumentaci o uvádění na trh tvrdí, že při jejich tvorbě jsou zohledňovány environmentální, sociální nebo správní faktory (ESG). V zájmu zachování vysoké úrovně transparentnosti tvrzení týkajících se ESG a přiměřené úrovně ochrany uživatelů je vhodné požadovat, aby uživatelé referenčních hodnot, kteří činí tvrzení týkající se ESG, tyto referenční hodnoty nepoužívali, pokud tyto referenční hodnoty neposkytují uživatelům informace uvedené v čl. 13 odst. 1 písm. d) a čl. 27 odst. 2a nařízení (EU) 2016/1011. To by se mělo vztahovat na používání jakýchkoli referenčních hodnot, u nichž se tvrdí, že při jejich tvorbě jsou zohledňovány faktory ESG, bez ohledu na to, zda jsou takové referenční hodnoty spravovány v Unii nebo ve třetí zemi.</w:t>
      </w:r>
    </w:p>
    <w:p w:rsidR="00984586" w:rsidRPr="002A62DE" w:rsidRDefault="00984586" w:rsidP="00984586">
      <w:pPr>
        <w:pStyle w:val="ManualConsidrant"/>
        <w:rPr>
          <w:b/>
          <w:i/>
          <w:noProof/>
        </w:rPr>
      </w:pPr>
      <w:r w:rsidRPr="002A62DE">
        <w:tab/>
      </w:r>
      <w:r w:rsidRPr="002A62DE">
        <w:rPr>
          <w:b/>
          <w:i/>
        </w:rPr>
        <w:t>Jiné kategorie referenčních hodnot EU, které činí tvrzení týkající se ESG a které se nepovažují za referenční hodnoty EU pro transformaci hospodářství spjaté s klimatem a referenční hodnoty EU navázané na Pařížskou dohodu, by však mohly přispět k podpoře hlavních unijních politik v oblasti udržitelných financí a dosahování souvisejících cílů nebo provádění Zelené dohody pro Evropu nebo alternativně by mohly představovat riziko.</w:t>
      </w:r>
    </w:p>
    <w:p w:rsidR="00984586" w:rsidRPr="002A62DE" w:rsidRDefault="00984586" w:rsidP="00984586">
      <w:pPr>
        <w:pStyle w:val="ManualConsidrant"/>
        <w:ind w:firstLine="0"/>
        <w:rPr>
          <w:b/>
          <w:i/>
          <w:noProof/>
        </w:rPr>
      </w:pPr>
      <w:r w:rsidRPr="002A62DE">
        <w:rPr>
          <w:b/>
          <w:i/>
        </w:rPr>
        <w:t>Proto je vhodné, aby do 31. prosince 2028 Komise předložila zprávu vycházející z podnětů orgánu ESMA, v níž posoudí dostupnost referenčních hodnot týkajících se ESG na evropských a celosvětových trzích a míru jejich přijímání na trhu a analyzuje, zda je lze považovat za referenční hodnoty se značným významem, a prozkoumá náklady a účinky na dostupnost na trhu a vyvíjející se povahu udržitelných ukazatelů a metod, které se používají k jejich měření. Kromě toho je třeba posoudit nutnost regulovat referenční hodnoty, které činí tvrzení týkající se ESG, s cílem zachovat vhodnou úroveň ochrany uživatelů těchto referenčních hodnot, jakož i vysokou úroveň transparentnosti, snížit riziko lakování nazeleno a zajistit soulad s jinými právními předpisy EU o požadavcích na udržitelné zveřejňování informací. Ke zprávě by mělo být připojeno posouzení dopadů a případně legislativní návrh.</w:t>
      </w:r>
    </w:p>
    <w:p w:rsidR="00984586" w:rsidRPr="002A62DE" w:rsidRDefault="00984586" w:rsidP="00984586">
      <w:pPr>
        <w:pStyle w:val="ManualConsidrant"/>
        <w:rPr>
          <w:noProof/>
        </w:rPr>
      </w:pPr>
      <w:r w:rsidRPr="002A62DE">
        <w:t>(21)</w:t>
      </w:r>
      <w:r w:rsidRPr="002A62DE">
        <w:tab/>
        <w:t xml:space="preserve">Aby byl zajištěn plynulý přechod </w:t>
      </w:r>
      <w:r w:rsidRPr="001F536B">
        <w:rPr>
          <w:b/>
          <w:i/>
        </w:rPr>
        <w:t>na pravidla</w:t>
      </w:r>
      <w:r w:rsidRPr="002A62DE">
        <w:t xml:space="preserve"> zavedená podle tohoto nařízení</w:t>
      </w:r>
      <w:r w:rsidRPr="002A62DE">
        <w:rPr>
          <w:b/>
          <w:bCs/>
          <w:i/>
          <w:iCs/>
        </w:rPr>
        <w:t>, měli by si administrátoři, nad nimiž byl dříve vykonáván dohled podle nařízení (EU) 2019/2089, ponechat stávající povolení k činnosti, registraci, uznání nebo přejetí po dobu šesti měsíců od vstupu tohoto pozměňujícího nařízení v platnost.</w:t>
      </w:r>
      <w:r w:rsidRPr="002A62DE">
        <w:rPr>
          <w:b/>
          <w:i/>
        </w:rPr>
        <w:t xml:space="preserve"> </w:t>
      </w:r>
      <w:r w:rsidRPr="002A62DE">
        <w:rPr>
          <w:b/>
          <w:bCs/>
          <w:i/>
          <w:iCs/>
        </w:rPr>
        <w:t xml:space="preserve">Cílem této lhůty je poskytnout příslušným orgánům </w:t>
      </w:r>
      <w:r w:rsidRPr="002A62DE">
        <w:t>a</w:t>
      </w:r>
      <w:r w:rsidRPr="002A62DE">
        <w:rPr>
          <w:b/>
          <w:bCs/>
          <w:i/>
          <w:iCs/>
        </w:rPr>
        <w:t xml:space="preserve"> orgánu </w:t>
      </w:r>
      <w:r w:rsidRPr="002A62DE">
        <w:t xml:space="preserve">ESMA </w:t>
      </w:r>
      <w:r w:rsidRPr="002A62DE">
        <w:rPr>
          <w:b/>
          <w:bCs/>
          <w:i/>
          <w:iCs/>
        </w:rPr>
        <w:t>dostatečný čas na rozhodnutí, zda by měl být některý z administrátorů, nad nimiž byl dříve vykonáván dohled, určen v souladu s tímto nařízením.</w:t>
      </w:r>
      <w:r w:rsidRPr="002A62DE">
        <w:t xml:space="preserve"> </w:t>
      </w:r>
      <w:r w:rsidRPr="002A62DE">
        <w:rPr>
          <w:b/>
          <w:bCs/>
          <w:i/>
          <w:iCs/>
        </w:rPr>
        <w:t>Pokud jsou určeni</w:t>
      </w:r>
      <w:r w:rsidRPr="002A62DE">
        <w:t xml:space="preserve"> </w:t>
      </w:r>
      <w:r w:rsidRPr="002A62DE">
        <w:rPr>
          <w:b/>
          <w:bCs/>
          <w:i/>
          <w:iCs/>
        </w:rPr>
        <w:t>administrátoři</w:t>
      </w:r>
      <w:r w:rsidRPr="002A62DE">
        <w:t xml:space="preserve">, kteří </w:t>
      </w:r>
      <w:r w:rsidRPr="002A62DE">
        <w:rPr>
          <w:b/>
          <w:bCs/>
          <w:i/>
          <w:iCs/>
        </w:rPr>
        <w:t xml:space="preserve">již dříve získali </w:t>
      </w:r>
      <w:r w:rsidRPr="002A62DE">
        <w:t xml:space="preserve">povolení, registraci, přejetí nebo uznání, </w:t>
      </w:r>
      <w:r w:rsidRPr="002A62DE">
        <w:rPr>
          <w:b/>
          <w:bCs/>
          <w:i/>
          <w:iCs/>
        </w:rPr>
        <w:t>nebo pokud se administrátoři dobrovolně rozhodnou postupovat podle tohoto nařízení, mělo by jim být umožněno zachovat si svůj předchozí status a neměli by muset o něj znovu žádat.</w:t>
      </w:r>
      <w:r w:rsidRPr="002A62DE">
        <w:rPr>
          <w:b/>
          <w:i/>
        </w:rPr>
        <w:t xml:space="preserve"> </w:t>
      </w:r>
      <w:r w:rsidRPr="002A62DE">
        <w:rPr>
          <w:b/>
          <w:bCs/>
          <w:i/>
          <w:iCs/>
        </w:rPr>
        <w:t>Administrátoři referenčních hodnot se značným významem by v každém případě měli mít možnost zachovat si status administrátora referenční hodnoty, který získal povolení k činnosti, registraci, uznání nebo přejetí.</w:t>
      </w:r>
    </w:p>
    <w:p w:rsidR="00984586" w:rsidRPr="002A62DE" w:rsidRDefault="00984586" w:rsidP="00984586">
      <w:pPr>
        <w:pStyle w:val="ManualConsidrant"/>
        <w:rPr>
          <w:noProof/>
        </w:rPr>
      </w:pPr>
      <w:r w:rsidRPr="002A62DE">
        <w:t>(22)</w:t>
      </w:r>
      <w:r w:rsidRPr="002A62DE">
        <w:tab/>
        <w:t>Aby měly příslušné orgány a orgán ESMA dostatek času na shromáždění informací o potenciálních referenčních hodnotách se značným významem a na přizpůsobení stávající infrastruktury novému rámci, který navrhuje toto pozměňující nařízení, mělo by být datum použitelnosti tohoto nařízení odloženo.</w:t>
      </w:r>
    </w:p>
    <w:p w:rsidR="00984586" w:rsidRPr="002A62DE" w:rsidRDefault="00984586" w:rsidP="00984586">
      <w:pPr>
        <w:pStyle w:val="ManualConsidrant"/>
        <w:rPr>
          <w:noProof/>
        </w:rPr>
      </w:pPr>
      <w:r w:rsidRPr="002A62DE">
        <w:t>(23)</w:t>
      </w:r>
      <w:r w:rsidRPr="002A62DE">
        <w:tab/>
        <w:t>Nařízení (EU) 2016/1011 by proto mělo být odpovídajícím způsobem změněno,</w:t>
      </w:r>
    </w:p>
    <w:p w:rsidR="00984586" w:rsidRPr="002A62DE" w:rsidRDefault="00984586" w:rsidP="00984586">
      <w:pPr>
        <w:pStyle w:val="Formuledadoption"/>
        <w:rPr>
          <w:noProof/>
        </w:rPr>
      </w:pPr>
      <w:r w:rsidRPr="002A62DE">
        <w:lastRenderedPageBreak/>
        <w:t>PŘIJALY TOTO NAŘÍZENÍ:</w:t>
      </w:r>
    </w:p>
    <w:p w:rsidR="00984586" w:rsidRPr="002A62DE" w:rsidRDefault="00984586" w:rsidP="00984586">
      <w:pPr>
        <w:pStyle w:val="Titrearticle"/>
        <w:rPr>
          <w:noProof/>
        </w:rPr>
      </w:pPr>
      <w:r w:rsidRPr="002A62DE">
        <w:t>Článek 1</w:t>
      </w:r>
    </w:p>
    <w:p w:rsidR="00984586" w:rsidRPr="002A62DE" w:rsidRDefault="00984586" w:rsidP="00984586">
      <w:pPr>
        <w:jc w:val="center"/>
        <w:rPr>
          <w:b/>
          <w:bCs/>
          <w:noProof/>
        </w:rPr>
      </w:pPr>
      <w:r w:rsidRPr="002A62DE">
        <w:rPr>
          <w:b/>
        </w:rPr>
        <w:t>Změny nařízení (EU) 2016/1011</w:t>
      </w:r>
    </w:p>
    <w:p w:rsidR="00984586" w:rsidRPr="002A62DE" w:rsidRDefault="00984586" w:rsidP="00984586">
      <w:pPr>
        <w:rPr>
          <w:noProof/>
        </w:rPr>
      </w:pPr>
      <w:r w:rsidRPr="002A62DE">
        <w:t>Nařízení (EU) 2016/1011 se mění takto:</w:t>
      </w:r>
    </w:p>
    <w:p w:rsidR="00984586" w:rsidRPr="002A62DE" w:rsidRDefault="00984586" w:rsidP="00984586">
      <w:pPr>
        <w:pStyle w:val="Point0"/>
        <w:rPr>
          <w:noProof/>
        </w:rPr>
      </w:pPr>
      <w:r w:rsidRPr="002A62DE">
        <w:t>1)</w:t>
      </w:r>
      <w:r w:rsidRPr="002A62DE">
        <w:tab/>
        <w:t>Článek 2 se mění takto:</w:t>
      </w:r>
    </w:p>
    <w:p w:rsidR="00984586" w:rsidRPr="002A62DE" w:rsidRDefault="00984586" w:rsidP="00984586">
      <w:pPr>
        <w:pStyle w:val="Point1"/>
        <w:rPr>
          <w:noProof/>
        </w:rPr>
      </w:pPr>
      <w:r w:rsidRPr="002A62DE">
        <w:t>a)</w:t>
      </w:r>
      <w:r w:rsidRPr="002A62DE">
        <w:tab/>
        <w:t xml:space="preserve">vkládá se nový odstavec ▌, který zní: </w:t>
      </w:r>
    </w:p>
    <w:p w:rsidR="00984586" w:rsidRPr="002A62DE" w:rsidRDefault="00984586" w:rsidP="00984586">
      <w:pPr>
        <w:pStyle w:val="Text2"/>
        <w:tabs>
          <w:tab w:val="left" w:pos="1701"/>
        </w:tabs>
        <w:ind w:left="1134"/>
        <w:rPr>
          <w:noProof/>
        </w:rPr>
      </w:pPr>
      <w:r w:rsidRPr="002A62DE">
        <w:t>„1a.</w:t>
      </w:r>
      <w:r w:rsidRPr="002A62DE">
        <w:tab/>
        <w:t xml:space="preserve">Hlavy II, III </w:t>
      </w:r>
      <w:r w:rsidRPr="002A62DE">
        <w:rPr>
          <w:b/>
          <w:bCs/>
          <w:i/>
          <w:iCs/>
        </w:rPr>
        <w:t>(s výjimkou článků 23a až 23c)</w:t>
      </w:r>
      <w:r w:rsidRPr="002A62DE">
        <w:t xml:space="preserve">, IV a VI se použijí pouze na referenční hodnoty s kritickým významem, referenční hodnoty se značným významem, referenční hodnoty EU pro transformaci hospodářství spjatou s klimatem a referenční hodnoty EU navázané na Pařížskou dohodu. </w:t>
      </w:r>
      <w:r w:rsidRPr="002A62DE">
        <w:rPr>
          <w:b/>
          <w:i/>
        </w:rPr>
        <w:t>Článek 10 v hlavě II a hlavy III, IV a VI se použijí na referenční hodnoty cen komodit, na které se vztahuje příloha II</w:t>
      </w:r>
      <w:r w:rsidRPr="002A62DE">
        <w:t>“;</w:t>
      </w:r>
    </w:p>
    <w:p w:rsidR="00984586" w:rsidRPr="002A62DE" w:rsidRDefault="00984586" w:rsidP="00984586">
      <w:pPr>
        <w:pStyle w:val="Point1"/>
        <w:rPr>
          <w:noProof/>
        </w:rPr>
      </w:pPr>
      <w:r w:rsidRPr="002A62DE">
        <w:t>b)</w:t>
      </w:r>
      <w:r w:rsidRPr="002A62DE">
        <w:tab/>
        <w:t xml:space="preserve">v odstavci 2 se </w:t>
      </w:r>
      <w:r w:rsidRPr="002A62DE">
        <w:rPr>
          <w:b/>
          <w:bCs/>
          <w:i/>
          <w:iCs/>
        </w:rPr>
        <w:t>zrušuje</w:t>
      </w:r>
      <w:r w:rsidRPr="002A62DE">
        <w:t xml:space="preserve"> </w:t>
      </w:r>
      <w:r w:rsidRPr="002A62DE">
        <w:rPr>
          <w:b/>
          <w:bCs/>
          <w:i/>
          <w:iCs/>
        </w:rPr>
        <w:t>písm</w:t>
      </w:r>
      <w:r w:rsidRPr="001F536B">
        <w:rPr>
          <w:b/>
          <w:bCs/>
          <w:i/>
          <w:iCs/>
        </w:rPr>
        <w:t>.</w:t>
      </w:r>
      <w:r w:rsidRPr="001F536B">
        <w:rPr>
          <w:b/>
          <w:i/>
        </w:rPr>
        <w:t xml:space="preserve"> g)</w:t>
      </w:r>
      <w:r w:rsidRPr="002A62DE">
        <w:t xml:space="preserve"> </w:t>
      </w:r>
      <w:r w:rsidRPr="002A62DE">
        <w:rPr>
          <w:b/>
          <w:bCs/>
          <w:i/>
          <w:iCs/>
        </w:rPr>
        <w:t>bod</w:t>
      </w:r>
      <w:r w:rsidRPr="002A62DE">
        <w:t xml:space="preserve"> i);</w:t>
      </w:r>
    </w:p>
    <w:p w:rsidR="00984586" w:rsidRPr="002A62DE" w:rsidRDefault="00984586" w:rsidP="00984586">
      <w:pPr>
        <w:pStyle w:val="Point0"/>
        <w:rPr>
          <w:noProof/>
        </w:rPr>
      </w:pPr>
      <w:r w:rsidRPr="002A62DE">
        <w:t>2)</w:t>
      </w:r>
      <w:r w:rsidRPr="002A62DE">
        <w:tab/>
        <w:t>V článku 3 se odstavec 1 mění takto:</w:t>
      </w:r>
    </w:p>
    <w:p w:rsidR="00984586" w:rsidRPr="002A62DE" w:rsidRDefault="00984586" w:rsidP="00984586">
      <w:pPr>
        <w:pStyle w:val="Point1"/>
        <w:rPr>
          <w:b/>
          <w:i/>
          <w:noProof/>
        </w:rPr>
      </w:pPr>
      <w:r w:rsidRPr="002A62DE">
        <w:t>-</w:t>
      </w:r>
      <w:r w:rsidRPr="002A62DE">
        <w:rPr>
          <w:b/>
          <w:i/>
        </w:rPr>
        <w:t>a)</w:t>
      </w:r>
      <w:r w:rsidRPr="002A62DE">
        <w:rPr>
          <w:b/>
          <w:i/>
        </w:rPr>
        <w:tab/>
        <w:t>v bodě 17 se písmeno m) nahrazuje tímto:</w:t>
      </w:r>
    </w:p>
    <w:p w:rsidR="00984586" w:rsidRPr="002A62DE" w:rsidRDefault="00984586" w:rsidP="00984586">
      <w:pPr>
        <w:pStyle w:val="Point1"/>
        <w:ind w:firstLine="0"/>
        <w:rPr>
          <w:b/>
          <w:i/>
          <w:noProof/>
        </w:rPr>
      </w:pPr>
      <w:r w:rsidRPr="002A62DE">
        <w:rPr>
          <w:b/>
          <w:i/>
        </w:rPr>
        <w:t>„m)</w:t>
      </w:r>
      <w:r w:rsidRPr="002A62DE">
        <w:rPr>
          <w:b/>
          <w:i/>
        </w:rPr>
        <w:tab/>
      </w:r>
      <w:r w:rsidRPr="002A62DE">
        <w:rPr>
          <w:b/>
          <w:bCs/>
          <w:i/>
          <w:iCs/>
        </w:rPr>
        <w:t>administrátor oprávněný nebo registrovaný podle článku 34“</w:t>
      </w:r>
      <w:r w:rsidRPr="002A62DE">
        <w:t>;</w:t>
      </w:r>
    </w:p>
    <w:p w:rsidR="00984586" w:rsidRPr="002A62DE" w:rsidRDefault="00984586" w:rsidP="00984586">
      <w:pPr>
        <w:pStyle w:val="Point1"/>
        <w:rPr>
          <w:noProof/>
        </w:rPr>
      </w:pPr>
      <w:r w:rsidRPr="002A62DE">
        <w:t>a)</w:t>
      </w:r>
      <w:r w:rsidRPr="002A62DE">
        <w:tab/>
        <w:t>bod 22a se zrušuje;</w:t>
      </w:r>
    </w:p>
    <w:p w:rsidR="00984586" w:rsidRPr="002A62DE" w:rsidRDefault="00984586" w:rsidP="00984586">
      <w:pPr>
        <w:pStyle w:val="Point1"/>
        <w:rPr>
          <w:noProof/>
        </w:rPr>
      </w:pPr>
      <w:r w:rsidRPr="002A62DE">
        <w:t>b)</w:t>
      </w:r>
      <w:r w:rsidRPr="002A62DE">
        <w:tab/>
        <w:t>bod 27 se zrušuje.</w:t>
      </w:r>
    </w:p>
    <w:p w:rsidR="00984586" w:rsidRPr="002A62DE" w:rsidRDefault="00984586" w:rsidP="00984586">
      <w:pPr>
        <w:pStyle w:val="Point0"/>
        <w:rPr>
          <w:noProof/>
        </w:rPr>
      </w:pPr>
      <w:r w:rsidRPr="002A62DE">
        <w:t>3)</w:t>
      </w:r>
      <w:r w:rsidRPr="002A62DE">
        <w:tab/>
        <w:t>Článek 5 se mění takto:</w:t>
      </w:r>
    </w:p>
    <w:p w:rsidR="00984586" w:rsidRPr="002A62DE" w:rsidRDefault="00984586" w:rsidP="00984586">
      <w:pPr>
        <w:pStyle w:val="Point1"/>
        <w:rPr>
          <w:noProof/>
        </w:rPr>
      </w:pPr>
      <w:r w:rsidRPr="002A62DE">
        <w:t>a)</w:t>
      </w:r>
      <w:r w:rsidRPr="002A62DE">
        <w:tab/>
        <w:t xml:space="preserve">v odst. 5 druhém </w:t>
      </w:r>
      <w:proofErr w:type="gramStart"/>
      <w:r w:rsidRPr="002A62DE">
        <w:t>pododstavci</w:t>
      </w:r>
      <w:proofErr w:type="gramEnd"/>
      <w:r w:rsidRPr="002A62DE">
        <w:t xml:space="preserve"> se zrušuje poslední věta;</w:t>
      </w:r>
    </w:p>
    <w:p w:rsidR="00984586" w:rsidRPr="002A62DE" w:rsidRDefault="00984586" w:rsidP="00984586">
      <w:pPr>
        <w:pStyle w:val="Point1"/>
        <w:rPr>
          <w:noProof/>
        </w:rPr>
      </w:pPr>
      <w:r w:rsidRPr="002A62DE">
        <w:t>b)</w:t>
      </w:r>
      <w:r w:rsidRPr="002A62DE">
        <w:tab/>
        <w:t>odstavec 6 se zrušuje.</w:t>
      </w:r>
    </w:p>
    <w:p w:rsidR="00984586" w:rsidRPr="002A62DE" w:rsidRDefault="00984586" w:rsidP="00984586">
      <w:pPr>
        <w:pStyle w:val="Point0"/>
        <w:rPr>
          <w:noProof/>
        </w:rPr>
      </w:pPr>
      <w:r w:rsidRPr="002A62DE">
        <w:t>4)</w:t>
      </w:r>
      <w:r w:rsidRPr="002A62DE">
        <w:tab/>
        <w:t>Článek 11 se mění takto:</w:t>
      </w:r>
    </w:p>
    <w:p w:rsidR="00984586" w:rsidRPr="002A62DE" w:rsidRDefault="00984586" w:rsidP="00984586">
      <w:pPr>
        <w:pStyle w:val="Point1"/>
        <w:rPr>
          <w:noProof/>
        </w:rPr>
      </w:pPr>
      <w:r w:rsidRPr="002A62DE">
        <w:t>a)</w:t>
      </w:r>
      <w:r w:rsidRPr="002A62DE">
        <w:tab/>
        <w:t xml:space="preserve">v odst. 5 prvním </w:t>
      </w:r>
      <w:proofErr w:type="gramStart"/>
      <w:r w:rsidRPr="002A62DE">
        <w:t>pododstavci</w:t>
      </w:r>
      <w:proofErr w:type="gramEnd"/>
      <w:r w:rsidRPr="002A62DE">
        <w:t xml:space="preserve"> se poslední věta zrušuje;</w:t>
      </w:r>
    </w:p>
    <w:p w:rsidR="00984586" w:rsidRPr="002A62DE" w:rsidRDefault="00984586" w:rsidP="00984586">
      <w:pPr>
        <w:pStyle w:val="Point1"/>
        <w:rPr>
          <w:noProof/>
        </w:rPr>
      </w:pPr>
      <w:r w:rsidRPr="002A62DE">
        <w:t>b)</w:t>
      </w:r>
      <w:r w:rsidRPr="002A62DE">
        <w:tab/>
        <w:t>odstavec 6 se zrušuje.</w:t>
      </w:r>
    </w:p>
    <w:p w:rsidR="00984586" w:rsidRPr="002A62DE" w:rsidRDefault="00984586" w:rsidP="00984586">
      <w:pPr>
        <w:pStyle w:val="Point0"/>
        <w:rPr>
          <w:noProof/>
        </w:rPr>
      </w:pPr>
      <w:r w:rsidRPr="002A62DE">
        <w:t>5)</w:t>
      </w:r>
      <w:r w:rsidRPr="002A62DE">
        <w:tab/>
        <w:t>Článek 13 se mění takto:</w:t>
      </w:r>
    </w:p>
    <w:p w:rsidR="00984586" w:rsidRPr="002A62DE" w:rsidRDefault="00984586" w:rsidP="00984586">
      <w:pPr>
        <w:pStyle w:val="Point1"/>
        <w:rPr>
          <w:noProof/>
        </w:rPr>
      </w:pPr>
      <w:r w:rsidRPr="002A62DE">
        <w:t>a)</w:t>
      </w:r>
      <w:r w:rsidRPr="002A62DE">
        <w:tab/>
        <w:t xml:space="preserve">v odst. 3 prvním </w:t>
      </w:r>
      <w:proofErr w:type="gramStart"/>
      <w:r w:rsidRPr="002A62DE">
        <w:t>pododstavci</w:t>
      </w:r>
      <w:proofErr w:type="gramEnd"/>
      <w:r w:rsidRPr="002A62DE">
        <w:t xml:space="preserve"> se poslední věta zrušuje;</w:t>
      </w:r>
    </w:p>
    <w:p w:rsidR="00984586" w:rsidRPr="002A62DE" w:rsidRDefault="00984586" w:rsidP="00984586">
      <w:pPr>
        <w:pStyle w:val="Point1"/>
        <w:rPr>
          <w:noProof/>
        </w:rPr>
      </w:pPr>
      <w:r w:rsidRPr="002A62DE">
        <w:t>b)</w:t>
      </w:r>
      <w:r w:rsidRPr="002A62DE">
        <w:tab/>
        <w:t>odstavec 4 se zrušuje.</w:t>
      </w:r>
    </w:p>
    <w:p w:rsidR="00984586" w:rsidRPr="002A62DE" w:rsidRDefault="00984586" w:rsidP="00984586">
      <w:pPr>
        <w:pStyle w:val="Point0"/>
        <w:rPr>
          <w:noProof/>
        </w:rPr>
      </w:pPr>
      <w:r w:rsidRPr="002A62DE">
        <w:t>6)</w:t>
      </w:r>
      <w:r w:rsidRPr="002A62DE">
        <w:tab/>
        <w:t>Článek 16 se mění takto:</w:t>
      </w:r>
    </w:p>
    <w:p w:rsidR="00984586" w:rsidRPr="002A62DE" w:rsidRDefault="00984586" w:rsidP="00984586">
      <w:pPr>
        <w:pStyle w:val="Point1"/>
        <w:rPr>
          <w:noProof/>
        </w:rPr>
      </w:pPr>
      <w:r w:rsidRPr="002A62DE">
        <w:t>a)</w:t>
      </w:r>
      <w:r w:rsidRPr="002A62DE">
        <w:tab/>
        <w:t xml:space="preserve">v odst. 5 druhém </w:t>
      </w:r>
      <w:proofErr w:type="gramStart"/>
      <w:r w:rsidRPr="002A62DE">
        <w:t>pododstavci</w:t>
      </w:r>
      <w:proofErr w:type="gramEnd"/>
      <w:r w:rsidRPr="002A62DE">
        <w:t xml:space="preserve"> se poslední věta zrušuje;</w:t>
      </w:r>
    </w:p>
    <w:p w:rsidR="00984586" w:rsidRPr="002A62DE" w:rsidRDefault="00984586" w:rsidP="00984586">
      <w:pPr>
        <w:pStyle w:val="Point1"/>
        <w:rPr>
          <w:noProof/>
        </w:rPr>
      </w:pPr>
      <w:r w:rsidRPr="002A62DE">
        <w:t>b)</w:t>
      </w:r>
      <w:r w:rsidRPr="002A62DE">
        <w:tab/>
        <w:t>odstavec 6 se zrušuje.</w:t>
      </w:r>
    </w:p>
    <w:p w:rsidR="00984586" w:rsidRPr="002A62DE" w:rsidRDefault="00984586" w:rsidP="00984586">
      <w:pPr>
        <w:pStyle w:val="Point0"/>
        <w:rPr>
          <w:noProof/>
        </w:rPr>
      </w:pPr>
      <w:r w:rsidRPr="002A62DE">
        <w:t>7)</w:t>
      </w:r>
      <w:r w:rsidRPr="002A62DE">
        <w:tab/>
        <w:t>V hlavě III se název kapitoly 2 nahrazuje tímto:</w:t>
      </w:r>
    </w:p>
    <w:p w:rsidR="00984586" w:rsidRPr="002A62DE" w:rsidRDefault="00984586" w:rsidP="00984586">
      <w:pPr>
        <w:pStyle w:val="Text1"/>
        <w:tabs>
          <w:tab w:val="left" w:pos="1134"/>
        </w:tabs>
        <w:ind w:left="567"/>
        <w:rPr>
          <w:noProof/>
        </w:rPr>
      </w:pPr>
      <w:r w:rsidRPr="002A62DE">
        <w:t>„</w:t>
      </w:r>
      <w:r w:rsidRPr="002A62DE">
        <w:rPr>
          <w:b/>
          <w:bCs/>
        </w:rPr>
        <w:t>Referenční hodnoty týkající se úrokových sazeb</w:t>
      </w:r>
      <w:r w:rsidRPr="002A62DE">
        <w:t>“.</w:t>
      </w:r>
    </w:p>
    <w:p w:rsidR="00984586" w:rsidRPr="002A62DE" w:rsidRDefault="00984586" w:rsidP="00984586">
      <w:pPr>
        <w:pStyle w:val="Text1"/>
        <w:tabs>
          <w:tab w:val="left" w:pos="1134"/>
        </w:tabs>
        <w:ind w:left="851" w:hanging="851"/>
        <w:rPr>
          <w:b/>
          <w:i/>
          <w:noProof/>
        </w:rPr>
      </w:pPr>
      <w:r w:rsidRPr="002A62DE">
        <w:rPr>
          <w:b/>
          <w:i/>
        </w:rPr>
        <w:t>7a)</w:t>
      </w:r>
      <w:r w:rsidRPr="002A62DE">
        <w:rPr>
          <w:b/>
          <w:i/>
        </w:rPr>
        <w:tab/>
        <w:t>V čl. 18 odst. 1 se druhý pododstavec nahrazuje tímto:</w:t>
      </w:r>
    </w:p>
    <w:p w:rsidR="00984586" w:rsidRPr="002A62DE" w:rsidRDefault="00984586" w:rsidP="00984586">
      <w:pPr>
        <w:pStyle w:val="Text1"/>
        <w:tabs>
          <w:tab w:val="left" w:pos="1134"/>
        </w:tabs>
        <w:ind w:left="720"/>
        <w:rPr>
          <w:b/>
          <w:i/>
          <w:noProof/>
        </w:rPr>
      </w:pPr>
      <w:r w:rsidRPr="002A62DE">
        <w:rPr>
          <w:b/>
          <w:bCs/>
          <w:i/>
          <w:iCs/>
        </w:rPr>
        <w:t>„Na poskytování referenční hodnoty týkající se úrokových sazeb a na dodávání vstupních údajů pro tyto referenční hodnoty se nevztahuje článek 25.“</w:t>
      </w:r>
    </w:p>
    <w:p w:rsidR="00984586" w:rsidRPr="002A62DE" w:rsidRDefault="00984586" w:rsidP="00984586">
      <w:pPr>
        <w:pStyle w:val="Point0"/>
        <w:rPr>
          <w:noProof/>
        </w:rPr>
      </w:pPr>
      <w:r w:rsidRPr="002A62DE">
        <w:t>8)</w:t>
      </w:r>
      <w:r w:rsidRPr="002A62DE">
        <w:tab/>
        <w:t>Článek 18a se zrušuje.</w:t>
      </w:r>
    </w:p>
    <w:p w:rsidR="00984586" w:rsidRPr="002A62DE" w:rsidRDefault="00984586" w:rsidP="00984586">
      <w:pPr>
        <w:pStyle w:val="Point0"/>
        <w:rPr>
          <w:b/>
          <w:i/>
          <w:noProof/>
        </w:rPr>
      </w:pPr>
      <w:r w:rsidRPr="002A62DE">
        <w:rPr>
          <w:b/>
          <w:i/>
        </w:rPr>
        <w:t>8a)</w:t>
      </w:r>
      <w:r w:rsidRPr="002A62DE">
        <w:rPr>
          <w:b/>
          <w:i/>
        </w:rPr>
        <w:tab/>
        <w:t>V čl. 19 odst. 1 se druhý pododstavec nahrazuje tímto:</w:t>
      </w:r>
    </w:p>
    <w:p w:rsidR="00984586" w:rsidRPr="002A62DE" w:rsidRDefault="00984586" w:rsidP="00984586">
      <w:pPr>
        <w:pStyle w:val="Text1"/>
        <w:tabs>
          <w:tab w:val="left" w:pos="1134"/>
        </w:tabs>
        <w:ind w:left="720"/>
        <w:rPr>
          <w:b/>
          <w:i/>
          <w:noProof/>
        </w:rPr>
      </w:pPr>
      <w:r w:rsidRPr="002A62DE">
        <w:rPr>
          <w:b/>
          <w:bCs/>
          <w:i/>
          <w:iCs/>
        </w:rPr>
        <w:lastRenderedPageBreak/>
        <w:t>„Na poskytování referenčních hodnot cen komodit a na dodávání vstupních údajů pro tyto referenční hodnoty se nevztahuje článek 25.“</w:t>
      </w:r>
      <w:r w:rsidRPr="002A62DE">
        <w:t>;</w:t>
      </w:r>
    </w:p>
    <w:p w:rsidR="00984586" w:rsidRPr="002A62DE" w:rsidRDefault="00984586" w:rsidP="00984586">
      <w:pPr>
        <w:pStyle w:val="Point0"/>
        <w:rPr>
          <w:noProof/>
        </w:rPr>
      </w:pPr>
      <w:r w:rsidRPr="002A62DE">
        <w:t>9)</w:t>
      </w:r>
      <w:r w:rsidRPr="002A62DE">
        <w:tab/>
        <w:t xml:space="preserve">V článku 19a se </w:t>
      </w:r>
      <w:r w:rsidRPr="002A62DE">
        <w:rPr>
          <w:b/>
          <w:bCs/>
          <w:i/>
          <w:iCs/>
        </w:rPr>
        <w:t>doplňují nové odstavce, které znějí</w:t>
      </w:r>
      <w:r w:rsidRPr="002A62DE">
        <w:t xml:space="preserve">: </w:t>
      </w:r>
    </w:p>
    <w:p w:rsidR="00984586" w:rsidRPr="002A62DE" w:rsidRDefault="00984586" w:rsidP="00984586">
      <w:pPr>
        <w:pStyle w:val="Text1"/>
        <w:tabs>
          <w:tab w:val="left" w:pos="1134"/>
        </w:tabs>
        <w:ind w:left="567"/>
        <w:rPr>
          <w:noProof/>
        </w:rPr>
      </w:pPr>
      <w:r w:rsidRPr="002A62DE">
        <w:t>„4.</w:t>
      </w:r>
      <w:r w:rsidRPr="002A62DE">
        <w:tab/>
        <w:t>Administrátoři</w:t>
      </w:r>
      <w:r w:rsidRPr="002A62DE">
        <w:rPr>
          <w:b/>
          <w:bCs/>
          <w:i/>
          <w:iCs/>
        </w:rPr>
        <w:t>, kteří nejsou zahrnuti do registru uvedeného v</w:t>
      </w:r>
      <w:r w:rsidRPr="002A62DE">
        <w:t xml:space="preserve"> článku 36</w:t>
      </w:r>
      <w:r w:rsidRPr="002A62DE">
        <w:rPr>
          <w:b/>
          <w:bCs/>
          <w:i/>
          <w:iCs/>
        </w:rPr>
        <w:t>,</w:t>
      </w:r>
      <w:r w:rsidRPr="002A62DE">
        <w:t xml:space="preserve"> nesmí:</w:t>
      </w:r>
    </w:p>
    <w:p w:rsidR="00984586" w:rsidRPr="002A62DE" w:rsidRDefault="00984586" w:rsidP="00984586">
      <w:pPr>
        <w:pStyle w:val="Text1"/>
        <w:ind w:left="720"/>
        <w:rPr>
          <w:noProof/>
        </w:rPr>
      </w:pPr>
      <w:r w:rsidRPr="002A62DE">
        <w:t xml:space="preserve">a) poskytovat </w:t>
      </w:r>
      <w:r w:rsidRPr="002A62DE">
        <w:rPr>
          <w:b/>
          <w:bCs/>
          <w:i/>
          <w:iCs/>
        </w:rPr>
        <w:t>či přejímat</w:t>
      </w:r>
      <w:r w:rsidRPr="002A62DE">
        <w:t xml:space="preserve"> referenční hodnoty EU pro transformaci hospodářství spjatou s klimatem nebo referenční hodnoty EU navázané na Pařížskou dohodu; </w:t>
      </w:r>
    </w:p>
    <w:p w:rsidR="00984586" w:rsidRPr="002A62DE" w:rsidRDefault="00984586" w:rsidP="00984586">
      <w:pPr>
        <w:pStyle w:val="Text1"/>
        <w:ind w:left="720"/>
        <w:rPr>
          <w:noProof/>
        </w:rPr>
      </w:pPr>
      <w:r w:rsidRPr="002A62DE">
        <w:t>b) v názvu referenčních hodnot, které poskytují pro použití v Unii, nebo v dokumentaci k těmto referenčním hodnotám pro právní či marketingové účely uvádět nebo naznačovat, že referenční hodnoty, které poskytují, splňují požadavky platné pro poskytování referenčních hodnot EU pro transformaci hospodářství spjatou s klimatem nebo referenčních hodnot EU navázaných na Pařížskou dohodu.“</w:t>
      </w:r>
    </w:p>
    <w:p w:rsidR="00984586" w:rsidRPr="002A62DE" w:rsidRDefault="00984586" w:rsidP="00984586">
      <w:pPr>
        <w:pStyle w:val="Text1"/>
        <w:tabs>
          <w:tab w:val="left" w:pos="1134"/>
        </w:tabs>
        <w:ind w:left="567"/>
        <w:rPr>
          <w:b/>
          <w:i/>
          <w:noProof/>
        </w:rPr>
      </w:pPr>
      <w:r w:rsidRPr="002A62DE">
        <w:rPr>
          <w:b/>
          <w:i/>
        </w:rPr>
        <w:t>4a.</w:t>
      </w:r>
      <w:r w:rsidRPr="002A62DE">
        <w:rPr>
          <w:b/>
          <w:i/>
        </w:rPr>
        <w:tab/>
      </w:r>
      <w:r w:rsidRPr="002A62DE">
        <w:rPr>
          <w:b/>
          <w:bCs/>
          <w:i/>
          <w:iCs/>
        </w:rPr>
        <w:t>Administrátoři uvedou v názvu referenčních hodnot EU pro transformaci hospodářství spjatou s klimatem výraz „EU CTB“ a v názvu referenčních hodnot EU navázaných na Pařížskou dohodu výraz „EU PAB“.</w:t>
      </w:r>
      <w:r w:rsidRPr="002A62DE">
        <w:t>;</w:t>
      </w:r>
    </w:p>
    <w:p w:rsidR="00984586" w:rsidRPr="002A62DE" w:rsidRDefault="00984586" w:rsidP="00984586">
      <w:pPr>
        <w:pStyle w:val="Point0"/>
        <w:rPr>
          <w:b/>
          <w:i/>
          <w:noProof/>
        </w:rPr>
      </w:pPr>
      <w:r w:rsidRPr="002A62DE">
        <w:t>10)</w:t>
      </w:r>
      <w:r w:rsidRPr="002A62DE">
        <w:tab/>
        <w:t>Článek 19d se</w:t>
      </w:r>
      <w:r w:rsidRPr="002A62DE">
        <w:rPr>
          <w:b/>
          <w:bCs/>
          <w:i/>
          <w:iCs/>
        </w:rPr>
        <w:t xml:space="preserve"> nahrazuje tímto:</w:t>
      </w:r>
    </w:p>
    <w:p w:rsidR="00984586" w:rsidRPr="002A62DE" w:rsidRDefault="00984586" w:rsidP="00984586">
      <w:pPr>
        <w:pStyle w:val="Point0"/>
        <w:ind w:left="709" w:firstLine="1"/>
        <w:jc w:val="center"/>
        <w:rPr>
          <w:b/>
          <w:i/>
          <w:noProof/>
        </w:rPr>
      </w:pPr>
      <w:r w:rsidRPr="002A62DE">
        <w:rPr>
          <w:b/>
        </w:rPr>
        <w:t>„</w:t>
      </w:r>
      <w:r w:rsidRPr="002A62DE">
        <w:rPr>
          <w:b/>
          <w:i/>
          <w:iCs/>
        </w:rPr>
        <w:t>Článek 19d</w:t>
      </w:r>
    </w:p>
    <w:p w:rsidR="00984586" w:rsidRPr="002A62DE" w:rsidRDefault="00984586" w:rsidP="00984586">
      <w:pPr>
        <w:pStyle w:val="Point0"/>
        <w:ind w:left="709" w:firstLine="1"/>
        <w:rPr>
          <w:b/>
          <w:i/>
          <w:noProof/>
        </w:rPr>
      </w:pPr>
      <w:r w:rsidRPr="002A62DE">
        <w:rPr>
          <w:b/>
          <w:i/>
        </w:rPr>
        <w:t>Snaha poskytnout referenční hodnoty EU pro transformaci hospodářství spjatou s klimatem a referenční hodnoty EU navázané na Pařížskou dohodu</w:t>
      </w:r>
    </w:p>
    <w:p w:rsidR="00984586" w:rsidRPr="002A62DE" w:rsidRDefault="00984586" w:rsidP="00984586">
      <w:pPr>
        <w:pStyle w:val="Point0"/>
        <w:ind w:left="709" w:firstLine="1"/>
        <w:rPr>
          <w:noProof/>
        </w:rPr>
      </w:pPr>
      <w:r w:rsidRPr="002A62DE">
        <w:rPr>
          <w:b/>
          <w:bCs/>
          <w:i/>
          <w:iCs/>
        </w:rPr>
        <w:t>Administrátoři nacházející se v Unii, kteří poskytují referenční hodnoty se značným významem, jež jsou určeny na základě hodnoty jednoho nebo více z podkladových aktiv nebo cen, se vynasnaží poskytnout jednu nebo více referenčních hodnot EU pro transformaci hospodářství spjatou s klimatem a referenčních hodnot EU navázaných na Pařížskou dohodu.</w:t>
      </w:r>
      <w:r w:rsidRPr="002A62DE">
        <w:t>“;</w:t>
      </w:r>
    </w:p>
    <w:p w:rsidR="00984586" w:rsidRPr="002A62DE" w:rsidRDefault="00984586" w:rsidP="00984586">
      <w:pPr>
        <w:pStyle w:val="Point0"/>
        <w:rPr>
          <w:noProof/>
        </w:rPr>
      </w:pPr>
      <w:r w:rsidRPr="002A62DE">
        <w:t>11)</w:t>
      </w:r>
      <w:r w:rsidRPr="002A62DE">
        <w:tab/>
        <w:t xml:space="preserve">Článek 24 se nahrazuje tímto: </w:t>
      </w:r>
    </w:p>
    <w:p w:rsidR="00984586" w:rsidRPr="002A62DE" w:rsidRDefault="00984586" w:rsidP="00984586">
      <w:pPr>
        <w:pStyle w:val="Text1"/>
        <w:ind w:left="567"/>
        <w:jc w:val="center"/>
        <w:rPr>
          <w:noProof/>
        </w:rPr>
      </w:pPr>
      <w:r w:rsidRPr="002A62DE">
        <w:t>„</w:t>
      </w:r>
      <w:r w:rsidRPr="002A62DE">
        <w:rPr>
          <w:i/>
          <w:iCs/>
        </w:rPr>
        <w:t>Článek 24</w:t>
      </w:r>
    </w:p>
    <w:p w:rsidR="00984586" w:rsidRPr="002A62DE" w:rsidRDefault="00984586" w:rsidP="00984586">
      <w:pPr>
        <w:pStyle w:val="Text1"/>
        <w:ind w:left="567"/>
        <w:jc w:val="center"/>
        <w:rPr>
          <w:b/>
          <w:bCs/>
          <w:noProof/>
        </w:rPr>
      </w:pPr>
      <w:r w:rsidRPr="002A62DE">
        <w:rPr>
          <w:b/>
        </w:rPr>
        <w:t>Referenční hodnoty se značným významem</w:t>
      </w:r>
    </w:p>
    <w:p w:rsidR="00984586" w:rsidRPr="002A62DE" w:rsidRDefault="00984586" w:rsidP="00984586">
      <w:pPr>
        <w:pStyle w:val="Text1"/>
        <w:tabs>
          <w:tab w:val="left" w:pos="1134"/>
        </w:tabs>
        <w:ind w:left="1127" w:hanging="560"/>
        <w:rPr>
          <w:noProof/>
        </w:rPr>
      </w:pPr>
      <w:r w:rsidRPr="002A62DE">
        <w:t>1.</w:t>
      </w:r>
      <w:r w:rsidRPr="002A62DE">
        <w:tab/>
        <w:t>Referenční hodnota, která není referenční hodnotou s kritickým významem, je referenční hodnotou se značným významem, je-li splněna jedna z těchto podmínek:</w:t>
      </w:r>
    </w:p>
    <w:p w:rsidR="00984586" w:rsidRPr="002A62DE" w:rsidRDefault="00984586" w:rsidP="00984586">
      <w:pPr>
        <w:pStyle w:val="Text1"/>
        <w:ind w:left="1440"/>
        <w:rPr>
          <w:b/>
          <w:i/>
          <w:noProof/>
        </w:rPr>
      </w:pPr>
      <w:r w:rsidRPr="002A62DE">
        <w:t xml:space="preserve">a) referenční hodnota se používá přímo nebo nepřímo v rámci kombinace referenčních hodnot uvnitř Unie jako reference u finančních nástrojů nebo finančních smluv nebo k měření výkonnosti investičních fondů, které mají celkovou průměrnou hodnotu nejméně 50 miliard EUR, určenou případně na základě </w:t>
      </w:r>
      <w:r w:rsidRPr="002A62DE">
        <w:rPr>
          <w:b/>
          <w:bCs/>
          <w:i/>
          <w:iCs/>
        </w:rPr>
        <w:t>charakteristik referenční hodnoty, včetně:</w:t>
      </w:r>
    </w:p>
    <w:p w:rsidR="00984586" w:rsidRPr="002A62DE" w:rsidRDefault="00984586" w:rsidP="00984586">
      <w:pPr>
        <w:pStyle w:val="Text1"/>
        <w:ind w:left="1440"/>
        <w:rPr>
          <w:noProof/>
        </w:rPr>
      </w:pPr>
      <w:r w:rsidRPr="002A62DE">
        <w:rPr>
          <w:b/>
          <w:i/>
        </w:rPr>
        <w:t xml:space="preserve">i) </w:t>
      </w:r>
      <w:r w:rsidRPr="002A62DE">
        <w:t>celého spektra splatností, pro které jsou daný index či sazba stanovovány, za období šesti měsíců;</w:t>
      </w:r>
    </w:p>
    <w:p w:rsidR="00984586" w:rsidRPr="002A62DE" w:rsidRDefault="00984586" w:rsidP="00984586">
      <w:pPr>
        <w:pStyle w:val="Text1"/>
        <w:ind w:left="1440"/>
        <w:rPr>
          <w:b/>
          <w:i/>
          <w:noProof/>
        </w:rPr>
      </w:pPr>
      <w:proofErr w:type="spellStart"/>
      <w:r w:rsidRPr="002A62DE">
        <w:rPr>
          <w:b/>
          <w:i/>
        </w:rPr>
        <w:t>ii</w:t>
      </w:r>
      <w:proofErr w:type="spellEnd"/>
      <w:r w:rsidRPr="002A62DE">
        <w:rPr>
          <w:b/>
          <w:i/>
        </w:rPr>
        <w:t>) všech měn nebo případně jiných měrných jednotek referenční hodnoty za období šesti měsíců a</w:t>
      </w:r>
    </w:p>
    <w:p w:rsidR="00984586" w:rsidRPr="002A62DE" w:rsidRDefault="00984586" w:rsidP="00984586">
      <w:pPr>
        <w:pStyle w:val="Text1"/>
        <w:ind w:left="1440"/>
        <w:rPr>
          <w:b/>
          <w:i/>
          <w:noProof/>
        </w:rPr>
      </w:pPr>
      <w:proofErr w:type="spellStart"/>
      <w:r w:rsidRPr="002A62DE">
        <w:rPr>
          <w:b/>
          <w:i/>
        </w:rPr>
        <w:t>iii</w:t>
      </w:r>
      <w:proofErr w:type="spellEnd"/>
      <w:r w:rsidRPr="002A62DE">
        <w:rPr>
          <w:b/>
          <w:i/>
        </w:rPr>
        <w:t>) případně všech metodik výpočtu výnosů za období šesti měsíců;</w:t>
      </w:r>
    </w:p>
    <w:p w:rsidR="00984586" w:rsidRPr="002A62DE" w:rsidRDefault="00984586" w:rsidP="00984586">
      <w:pPr>
        <w:pStyle w:val="Text1"/>
        <w:ind w:left="1440"/>
        <w:rPr>
          <w:noProof/>
        </w:rPr>
      </w:pPr>
      <w:r w:rsidRPr="002A62DE">
        <w:t>b) referenční hodnota je určena jako referenční hodnota se značným významem v souladu s postupem stanoveným v odstavcích 3, 4 a 5 nebo postupem stanoveným v odstavci 6.</w:t>
      </w:r>
    </w:p>
    <w:p w:rsidR="00984586" w:rsidRPr="002A62DE" w:rsidRDefault="00984586" w:rsidP="00984586">
      <w:pPr>
        <w:pStyle w:val="Text1"/>
        <w:tabs>
          <w:tab w:val="left" w:pos="1134"/>
        </w:tabs>
        <w:ind w:left="1127" w:hanging="560"/>
        <w:rPr>
          <w:noProof/>
        </w:rPr>
      </w:pPr>
      <w:r w:rsidRPr="002A62DE">
        <w:lastRenderedPageBreak/>
        <w:t>2.</w:t>
      </w:r>
      <w:r w:rsidRPr="002A62DE">
        <w:tab/>
        <w:t xml:space="preserve">Administrátor okamžitě vyrozumí </w:t>
      </w:r>
      <w:r w:rsidRPr="002A62DE">
        <w:rPr>
          <w:b/>
          <w:bCs/>
          <w:i/>
          <w:iCs/>
        </w:rPr>
        <w:t>orgán ESMA, a pokud se nachází v některém členském státě EU,</w:t>
      </w:r>
      <w:r w:rsidRPr="002A62DE">
        <w:t xml:space="preserve"> příslušný orgán </w:t>
      </w:r>
      <w:r w:rsidRPr="002A62DE">
        <w:rPr>
          <w:b/>
          <w:bCs/>
          <w:i/>
          <w:iCs/>
        </w:rPr>
        <w:t>tohoto</w:t>
      </w:r>
      <w:r w:rsidRPr="002A62DE">
        <w:t xml:space="preserve"> členského státu▌, jakmile jedna nebo více jeho referenčních hodnot přesáhne prahovou hodnotu uvedenou v odst. 1 písm. a). Po obdržení tohoto oznámení zveřejní ▌orgán ESMA na svých internetových stránkách prohlášení, že daná referenční hodnota je referenční hodnotou se značným významem</w:t>
      </w:r>
      <w:r w:rsidRPr="002A62DE">
        <w:rPr>
          <w:b/>
          <w:bCs/>
          <w:i/>
          <w:iCs/>
        </w:rPr>
        <w:t>, a to buď v jednom členském státě, nebo v rámci Unie</w:t>
      </w:r>
      <w:r w:rsidRPr="002A62DE">
        <w:t>.</w:t>
      </w:r>
    </w:p>
    <w:p w:rsidR="00984586" w:rsidRPr="002A62DE" w:rsidRDefault="00984586" w:rsidP="00984586">
      <w:pPr>
        <w:pStyle w:val="Text1"/>
        <w:tabs>
          <w:tab w:val="left" w:pos="1134"/>
        </w:tabs>
        <w:ind w:left="1127"/>
        <w:rPr>
          <w:noProof/>
        </w:rPr>
      </w:pPr>
      <w:r w:rsidRPr="002A62DE">
        <w:t xml:space="preserve">Administrátor na požádání poskytne </w:t>
      </w:r>
      <w:r w:rsidRPr="002A62DE">
        <w:rPr>
          <w:b/>
          <w:bCs/>
          <w:i/>
          <w:iCs/>
        </w:rPr>
        <w:t>orgánu ESMA a</w:t>
      </w:r>
      <w:r w:rsidRPr="002A62DE">
        <w:t xml:space="preserve"> příslušnému orgánu členského státu, v němž se nachází, ▌informace o tom, zda byla prahová hodnota uvedená v odst. 1 písm. a) skutečně překročena.</w:t>
      </w:r>
    </w:p>
    <w:p w:rsidR="00984586" w:rsidRPr="002A62DE" w:rsidRDefault="00984586" w:rsidP="00984586">
      <w:pPr>
        <w:pStyle w:val="Text1"/>
        <w:tabs>
          <w:tab w:val="left" w:pos="1134"/>
        </w:tabs>
        <w:ind w:left="1127"/>
        <w:rPr>
          <w:noProof/>
        </w:rPr>
      </w:pPr>
      <w:r w:rsidRPr="002A62DE">
        <w:t xml:space="preserve">Pokud má příslušný orgán nebo orgán ESMA ▌jasné a prokazatelné důvody domnívat se, že referenční hodnota překračuje prahovou hodnotu uvedenou v odst. 1 písm. a), může příslušný orgán nebo orgán ESMA vydat oznámení, v němž tuto skutečnost uvede. Na základě takového oznámení vznikají administrátorovi referenční hodnoty stejné povinnosti jako na základě oznámení </w:t>
      </w:r>
      <w:bookmarkStart w:id="10" w:name="_Hlk147499634"/>
      <w:r w:rsidRPr="002A62DE">
        <w:t>podle odstavce 2.</w:t>
      </w:r>
      <w:bookmarkEnd w:id="10"/>
      <w:r w:rsidRPr="002A62DE">
        <w:t xml:space="preserve"> Nejméně deset pracovních dnů před vydáním takového oznámení informuje příslušný orgán nebo orgán ESMA administrátora dotčené referenční hodnoty o svých zjištěních a vyzve jej, aby předložil případné připomínky.</w:t>
      </w:r>
    </w:p>
    <w:p w:rsidR="00984586" w:rsidRPr="002A62DE" w:rsidRDefault="00984586" w:rsidP="00984586">
      <w:pPr>
        <w:pStyle w:val="Text1"/>
        <w:tabs>
          <w:tab w:val="left" w:pos="1134"/>
        </w:tabs>
        <w:ind w:left="1127" w:hanging="560"/>
        <w:rPr>
          <w:noProof/>
        </w:rPr>
      </w:pPr>
      <w:r w:rsidRPr="002A62DE">
        <w:t>3.</w:t>
      </w:r>
      <w:r w:rsidRPr="002A62DE">
        <w:tab/>
        <w:t>Příslušný orgán může po konzultaci s orgánem ESMA v souladu s odstavcem 4 a s přihlédnutím k jeho doporučení určit referenční hodnotu poskytovanou administrátorem nacházejícím se v Unii, která nesplňuje podmínku stanovenou v odst. 1 písm. a), jako referenční hodnotu se značným významem, pokud referenční hodnota splňuje všechny tyto podmínky:</w:t>
      </w:r>
    </w:p>
    <w:p w:rsidR="00984586" w:rsidRPr="002A62DE" w:rsidRDefault="00984586" w:rsidP="00984586">
      <w:pPr>
        <w:pStyle w:val="Text1"/>
        <w:ind w:firstLine="590"/>
        <w:rPr>
          <w:noProof/>
        </w:rPr>
      </w:pPr>
      <w:r w:rsidRPr="002A62DE">
        <w:t xml:space="preserve">a) referenční hodnota nemá žádné přiměřené tržní substituty nebo jich má jen velmi málo; </w:t>
      </w:r>
    </w:p>
    <w:p w:rsidR="00984586" w:rsidRPr="002A62DE" w:rsidRDefault="00984586" w:rsidP="00984586">
      <w:pPr>
        <w:pStyle w:val="Text1"/>
        <w:ind w:left="1440"/>
        <w:rPr>
          <w:noProof/>
        </w:rPr>
      </w:pPr>
      <w:r w:rsidRPr="002A62DE">
        <w:t xml:space="preserve">b) neposkytování této referenční hodnoty nebo její poskytování na základě vstupních údajů, které již plně nereprezentují podkladový trh nebo ekonomickou realitu nebo které jsou nespolehlivé, by mělo významný a nepříznivý dopad na ▌finanční stabilitu, spotřebitele, reálnou ekonomiku nebo na financování domácností a podniků v členském státě referenční hodnoty </w:t>
      </w:r>
      <w:r w:rsidRPr="002A62DE">
        <w:rPr>
          <w:b/>
          <w:bCs/>
          <w:i/>
          <w:iCs/>
        </w:rPr>
        <w:t>nebo v Unii</w:t>
      </w:r>
      <w:r w:rsidRPr="002A62DE">
        <w:t>;</w:t>
      </w:r>
    </w:p>
    <w:p w:rsidR="00984586" w:rsidRPr="002A62DE" w:rsidRDefault="00984586" w:rsidP="00984586">
      <w:pPr>
        <w:pStyle w:val="Text1"/>
        <w:ind w:left="1440"/>
        <w:rPr>
          <w:noProof/>
        </w:rPr>
      </w:pPr>
      <w:r w:rsidRPr="002A62DE">
        <w:t>c) referenční hodnota nebyla určena příslušným orgánem jiného členského státu</w:t>
      </w:r>
      <w:r w:rsidRPr="002A62DE">
        <w:rPr>
          <w:b/>
          <w:bCs/>
          <w:i/>
          <w:iCs/>
        </w:rPr>
        <w:t xml:space="preserve"> nebo orgánu ESMA</w:t>
      </w:r>
      <w:r w:rsidRPr="002A62DE">
        <w:t>.</w:t>
      </w:r>
    </w:p>
    <w:p w:rsidR="00984586" w:rsidRPr="002A62DE" w:rsidRDefault="00984586" w:rsidP="00984586">
      <w:pPr>
        <w:pStyle w:val="Text1"/>
        <w:ind w:left="1127"/>
        <w:rPr>
          <w:noProof/>
        </w:rPr>
      </w:pPr>
      <w:r w:rsidRPr="002A62DE">
        <w:t>Pokud příslušný orgán dojde k závěru, že referenční hodnota splňuje kritéria stanovená v prvním pododstavci, vypracuje návrh rozhodnutí o určení referenční hodnoty jako referenční hodnoty se značným významem a uvědomí o tomto návrhu rozhodnutí dotčeného administrátora, případně příslušný orgán domovského členského státu administrátora. Dotčený příslušný orgán rovněž konzultuje návrh rozhodnutí s orgánem ESMA.</w:t>
      </w:r>
    </w:p>
    <w:p w:rsidR="00984586" w:rsidRPr="002A62DE" w:rsidRDefault="00984586" w:rsidP="00984586">
      <w:pPr>
        <w:pStyle w:val="Text1"/>
        <w:ind w:left="1127"/>
        <w:rPr>
          <w:noProof/>
        </w:rPr>
      </w:pPr>
      <w:r w:rsidRPr="002A62DE">
        <w:t xml:space="preserve">Dotčení administrátoři a příslušný orgán domovského členského státu administrátora mají 15 pracovních dnů od data oznámení návrhu rozhodnutí dotčeného určujícího příslušného orgánu, aby písemně předložili své připomínky a poznámky. Dotčený určující příslušný orgán informuje orgán ESMA o obdržených připomínkách a poznámkách a před přijetím konečného rozhodnutí tyto připomínky a poznámky řádně zváží. </w:t>
      </w:r>
    </w:p>
    <w:p w:rsidR="00984586" w:rsidRPr="002A62DE" w:rsidRDefault="00984586" w:rsidP="00984586">
      <w:pPr>
        <w:pStyle w:val="Text1"/>
        <w:ind w:left="1127"/>
        <w:rPr>
          <w:noProof/>
        </w:rPr>
      </w:pPr>
      <w:r w:rsidRPr="002A62DE">
        <w:t>Určující příslušný orgán oznámí své rozhodnutí orgánu ESMA a bez zbytečného odkladu je zveřejní na svých internetových stránkách, včetně důvodů tohoto určení a jeho důsledků.</w:t>
      </w:r>
    </w:p>
    <w:p w:rsidR="00984586" w:rsidRPr="002A62DE" w:rsidRDefault="00984586" w:rsidP="00984586">
      <w:pPr>
        <w:pStyle w:val="Text1"/>
        <w:tabs>
          <w:tab w:val="left" w:pos="1134"/>
        </w:tabs>
        <w:ind w:left="1127" w:hanging="560"/>
        <w:rPr>
          <w:noProof/>
        </w:rPr>
      </w:pPr>
      <w:r w:rsidRPr="002A62DE">
        <w:lastRenderedPageBreak/>
        <w:t xml:space="preserve">4. </w:t>
      </w:r>
      <w:r w:rsidRPr="002A62DE">
        <w:tab/>
        <w:t>Pokud je příslušný orgán konzultován ohledně zamýšleného určení referenční hodnoty jako referenční hodnoty se značným významem v souladu s odst. 3 prvním pododstavcem, orgán ESMA vydá do tří měsíců doporučení, které s ohledem na specifické vlastnosti dotčené referenční hodnoty zohlední tyto faktory:</w:t>
      </w:r>
    </w:p>
    <w:p w:rsidR="00984586" w:rsidRPr="002A62DE" w:rsidRDefault="00984586" w:rsidP="00984586">
      <w:pPr>
        <w:pStyle w:val="Text1"/>
        <w:ind w:left="1440"/>
        <w:rPr>
          <w:noProof/>
        </w:rPr>
      </w:pPr>
      <w:r w:rsidRPr="002A62DE">
        <w:t xml:space="preserve">a) zda konzultující příslušný orgán dostatečně odůvodnil své posouzení, podle něhož jsou splněny podmínky uvedené v odst. 3 prvním </w:t>
      </w:r>
      <w:proofErr w:type="gramStart"/>
      <w:r w:rsidRPr="002A62DE">
        <w:t>pododstavci</w:t>
      </w:r>
      <w:proofErr w:type="gramEnd"/>
      <w:r w:rsidRPr="002A62DE">
        <w:t>;</w:t>
      </w:r>
    </w:p>
    <w:p w:rsidR="00984586" w:rsidRPr="002A62DE" w:rsidRDefault="00984586" w:rsidP="00984586">
      <w:pPr>
        <w:pStyle w:val="Text1"/>
        <w:ind w:left="1440"/>
        <w:rPr>
          <w:noProof/>
        </w:rPr>
      </w:pPr>
      <w:r w:rsidRPr="002A62DE">
        <w:t xml:space="preserve">b) zda by neposkytování této referenční hodnoty nebo její poskytování na základě vstupních údajů, které již plně nereprezentují podkladový trh nebo ekonomickou realitu nebo které jsou nespolehlivé, mělo významný a nepříznivý dopad na ▌finanční stabilitu, spotřebitele, reálnou ekonomiku nebo na financování domácností a podniků v </w:t>
      </w:r>
      <w:r w:rsidRPr="002A62DE">
        <w:rPr>
          <w:b/>
          <w:bCs/>
          <w:i/>
          <w:iCs/>
        </w:rPr>
        <w:t xml:space="preserve">Unii nebo ve </w:t>
      </w:r>
      <w:r w:rsidRPr="002A62DE">
        <w:t xml:space="preserve">členských státech jiných než členský stát konzultujícího příslušného orgánu. </w:t>
      </w:r>
    </w:p>
    <w:p w:rsidR="00984586" w:rsidRPr="002A62DE" w:rsidRDefault="00984586" w:rsidP="00984586">
      <w:pPr>
        <w:pStyle w:val="Text1"/>
        <w:tabs>
          <w:tab w:val="left" w:pos="1134"/>
        </w:tabs>
        <w:ind w:left="1127"/>
        <w:rPr>
          <w:noProof/>
        </w:rPr>
      </w:pPr>
      <w:r w:rsidRPr="002A62DE">
        <w:t xml:space="preserve">Pro účely písmene b) orgán ESMA případně náležitě zohlední informace poskytnuté konzultujícím orgánem podle odst. 3 </w:t>
      </w:r>
      <w:proofErr w:type="gramStart"/>
      <w:r w:rsidRPr="002A62DE">
        <w:t>třetího</w:t>
      </w:r>
      <w:proofErr w:type="gramEnd"/>
      <w:r w:rsidRPr="002A62DE">
        <w:t xml:space="preserve"> pododstavce.</w:t>
      </w:r>
    </w:p>
    <w:p w:rsidR="00984586" w:rsidRPr="002A62DE" w:rsidRDefault="00984586" w:rsidP="00984586">
      <w:pPr>
        <w:pStyle w:val="Text1"/>
        <w:tabs>
          <w:tab w:val="left" w:pos="1134"/>
        </w:tabs>
        <w:ind w:left="1127" w:hanging="560"/>
        <w:rPr>
          <w:noProof/>
        </w:rPr>
      </w:pPr>
      <w:r w:rsidRPr="002A62DE">
        <w:t xml:space="preserve">5. </w:t>
      </w:r>
      <w:r w:rsidRPr="002A62DE">
        <w:tab/>
        <w:t xml:space="preserve">Pokud orgán ESMA zjistí, že referenční hodnota splňuje podmínky podle odst. 3 </w:t>
      </w:r>
      <w:proofErr w:type="gramStart"/>
      <w:r w:rsidRPr="002A62DE">
        <w:t>prvního</w:t>
      </w:r>
      <w:proofErr w:type="gramEnd"/>
      <w:r w:rsidRPr="002A62DE">
        <w:t xml:space="preserve"> pododstavce písm. a) </w:t>
      </w:r>
      <w:r w:rsidRPr="002A62DE">
        <w:rPr>
          <w:b/>
          <w:bCs/>
          <w:i/>
          <w:iCs/>
        </w:rPr>
        <w:t>a b)</w:t>
      </w:r>
      <w:r w:rsidRPr="002A62DE">
        <w:t xml:space="preserve"> </w:t>
      </w:r>
      <w:r w:rsidRPr="002A62DE">
        <w:rPr>
          <w:b/>
          <w:bCs/>
          <w:i/>
          <w:iCs/>
        </w:rPr>
        <w:t xml:space="preserve">v Unii nebo </w:t>
      </w:r>
      <w:r w:rsidRPr="002A62DE">
        <w:t>ve více než jednom členském státě, informuje o tom příslušné orgány dotčených členských států. ▌</w:t>
      </w:r>
    </w:p>
    <w:p w:rsidR="00984586" w:rsidRPr="002A62DE" w:rsidRDefault="00984586" w:rsidP="00984586">
      <w:pPr>
        <w:pStyle w:val="Text1"/>
        <w:tabs>
          <w:tab w:val="left" w:pos="1134"/>
        </w:tabs>
        <w:ind w:left="1127"/>
        <w:rPr>
          <w:noProof/>
        </w:rPr>
      </w:pPr>
      <w:r w:rsidRPr="002A62DE">
        <w:rPr>
          <w:b/>
          <w:bCs/>
          <w:i/>
          <w:iCs/>
        </w:rPr>
        <w:t>Orgán ESMA vypracuje návrh rozhodnutí o označení referenční hodnoty jako referenční hodnoty se značným významem v rámci Unie a oznámí tento návrh rozhodnutí dotčenému administrátoru a relevantním příslušným orgánům, pokud se použije písmeno b).</w:t>
      </w:r>
      <w:r w:rsidRPr="002A62DE">
        <w:rPr>
          <w:b/>
          <w:i/>
        </w:rPr>
        <w:t xml:space="preserve"> </w:t>
      </w:r>
      <w:r w:rsidRPr="002A62DE">
        <w:rPr>
          <w:b/>
          <w:bCs/>
          <w:i/>
          <w:iCs/>
        </w:rPr>
        <w:t>Dotčení administrátoři a příslušné orgány mají 15 pracovních dnů ode dne oznámení návrhu rozhodnutí orgánu ESMA na předložení písemných připomínek a poznámek.</w:t>
      </w:r>
      <w:r w:rsidRPr="002A62DE">
        <w:t xml:space="preserve"> </w:t>
      </w:r>
      <w:r w:rsidRPr="002A62DE">
        <w:rPr>
          <w:b/>
          <w:bCs/>
          <w:i/>
          <w:iCs/>
        </w:rPr>
        <w:t>Orgán</w:t>
      </w:r>
      <w:r w:rsidRPr="002A62DE">
        <w:t xml:space="preserve"> ESMA </w:t>
      </w:r>
      <w:r w:rsidRPr="002A62DE">
        <w:rPr>
          <w:b/>
          <w:bCs/>
          <w:i/>
          <w:iCs/>
        </w:rPr>
        <w:t>tyto připomínky a poznámky před přijetím a zveřejněním konečného rozhodnutí zohlední.</w:t>
      </w:r>
      <w:r w:rsidRPr="002A62DE">
        <w:t xml:space="preserve"> </w:t>
      </w:r>
    </w:p>
    <w:p w:rsidR="00984586" w:rsidRPr="002A62DE" w:rsidRDefault="00984586" w:rsidP="00984586">
      <w:pPr>
        <w:pStyle w:val="Text1"/>
        <w:tabs>
          <w:tab w:val="left" w:pos="1134"/>
        </w:tabs>
        <w:ind w:left="1127" w:hanging="560"/>
        <w:rPr>
          <w:noProof/>
        </w:rPr>
      </w:pPr>
      <w:r w:rsidRPr="002A62DE">
        <w:t xml:space="preserve">6. </w:t>
      </w:r>
      <w:r w:rsidRPr="002A62DE">
        <w:tab/>
        <w:t>Na žádost příslušného orgánu</w:t>
      </w:r>
      <w:r w:rsidRPr="002A62DE">
        <w:rPr>
          <w:b/>
          <w:bCs/>
          <w:i/>
          <w:iCs/>
        </w:rPr>
        <w:t xml:space="preserve"> nebo z vlastního podnětu</w:t>
      </w:r>
      <w:r w:rsidRPr="002A62DE">
        <w:t xml:space="preserve"> může orgán ESMA určit referenční hodnotu poskytovanou administrátorem nacházejícím se ve třetí zemi, která nesplňuje prahovou hodnotu stanovenou v odst. 1 písm. a), jako hodnotu se značným významem, pokud referenční hodnota splňuje všechny tyto podmínky:</w:t>
      </w:r>
    </w:p>
    <w:p w:rsidR="00984586" w:rsidRPr="002A62DE" w:rsidRDefault="00984586" w:rsidP="00984586">
      <w:pPr>
        <w:pStyle w:val="Text1"/>
        <w:ind w:left="1440"/>
        <w:rPr>
          <w:noProof/>
        </w:rPr>
      </w:pPr>
      <w:r w:rsidRPr="002A62DE">
        <w:t xml:space="preserve">a) referenční hodnota nemá žádné přiměřené tržní substituty nebo jich má jen velmi málo; </w:t>
      </w:r>
    </w:p>
    <w:p w:rsidR="00984586" w:rsidRPr="002A62DE" w:rsidRDefault="00984586" w:rsidP="00984586">
      <w:pPr>
        <w:pStyle w:val="Text1"/>
        <w:ind w:left="1440"/>
        <w:rPr>
          <w:noProof/>
        </w:rPr>
      </w:pPr>
      <w:r w:rsidRPr="002A62DE">
        <w:t xml:space="preserve">b) neposkytování této referenční hodnoty nebo její poskytování na základě vstupních údajů, které již plně nereprezentují podkladový trh nebo ekonomickou realitu nebo které jsou nespolehlivé, by mělo významný a nepříznivý dopad na ▌finanční stabilitu, spotřebitele, reálnou ekonomiku nebo na financování domácností a podniků </w:t>
      </w:r>
      <w:r w:rsidRPr="002A62DE">
        <w:rPr>
          <w:b/>
          <w:bCs/>
          <w:i/>
          <w:iCs/>
        </w:rPr>
        <w:t>v Unii nebo</w:t>
      </w:r>
      <w:r w:rsidRPr="002A62DE">
        <w:t xml:space="preserve"> v jednom nebo v několika členských státech.</w:t>
      </w:r>
    </w:p>
    <w:p w:rsidR="00984586" w:rsidRPr="002A62DE" w:rsidRDefault="00984586" w:rsidP="00984586">
      <w:pPr>
        <w:pStyle w:val="Text1"/>
        <w:ind w:left="1127"/>
        <w:rPr>
          <w:noProof/>
        </w:rPr>
      </w:pPr>
      <w:r w:rsidRPr="002A62DE">
        <w:t xml:space="preserve">Před vydáním rozhodnutí o určení orgán ESMA co nejdříve informuje administrátora referenční hodnoty o svém záměru a vyzve jej, aby do 15 pracovních dnů poskytl orgánu ESMA odůvodněné prohlášení obsahující veškeré informace důležité pro účely posouzení souvisejícího s určením referenční hodnoty jako referenční hodnoty se značným významem. </w:t>
      </w:r>
    </w:p>
    <w:p w:rsidR="00984586" w:rsidRPr="002A62DE" w:rsidRDefault="00984586" w:rsidP="00984586">
      <w:pPr>
        <w:pStyle w:val="Text1"/>
        <w:ind w:left="1127"/>
        <w:rPr>
          <w:noProof/>
        </w:rPr>
      </w:pPr>
      <w:r w:rsidRPr="002A62DE">
        <w:t>Orgán ESMA případně co nejdříve vyzve příslušný orgán jurisdikce, v níž se administrátor nachází, aby poskytl veškeré relevantní informace pro účely posouzení souvisejícího s určením referenční hodnoty.</w:t>
      </w:r>
    </w:p>
    <w:p w:rsidR="00984586" w:rsidRPr="002A62DE" w:rsidRDefault="00984586" w:rsidP="00984586">
      <w:pPr>
        <w:pStyle w:val="Text1"/>
        <w:tabs>
          <w:tab w:val="left" w:pos="1134"/>
        </w:tabs>
        <w:ind w:left="1127"/>
        <w:rPr>
          <w:noProof/>
        </w:rPr>
      </w:pPr>
      <w:r w:rsidRPr="002A62DE">
        <w:lastRenderedPageBreak/>
        <w:t>Orgán ESMA odůvodní každé rozhodnutí o určení a zohlední, zda existují dostatečné důkazy o tom, že jsou splněny podmínky uvedené v prvním pododstavci tohoto odstavce, a to s ohledem na specifické vlastnosti dotčené referenční hodnoty.</w:t>
      </w:r>
    </w:p>
    <w:p w:rsidR="00984586" w:rsidRPr="002A62DE" w:rsidRDefault="00984586" w:rsidP="00984586">
      <w:pPr>
        <w:pStyle w:val="Text1"/>
        <w:tabs>
          <w:tab w:val="left" w:pos="1134"/>
        </w:tabs>
        <w:ind w:left="1127"/>
        <w:rPr>
          <w:noProof/>
        </w:rPr>
      </w:pPr>
      <w:r w:rsidRPr="002A62DE">
        <w:t>Orgán ESMA zveřejní své odůvodněné rozhodnutí na svých internetových stránkách a bez zbytečného odkladu o něm vyrozumí příslušný žádající orgán nebo příslušné žádající orgány.</w:t>
      </w:r>
    </w:p>
    <w:p w:rsidR="00984586" w:rsidRPr="002A62DE" w:rsidRDefault="00984586" w:rsidP="00984586">
      <w:pPr>
        <w:pStyle w:val="Text1"/>
        <w:tabs>
          <w:tab w:val="left" w:pos="567"/>
        </w:tabs>
        <w:ind w:left="1134" w:hanging="567"/>
        <w:rPr>
          <w:b/>
          <w:i/>
          <w:noProof/>
        </w:rPr>
      </w:pPr>
      <w:r w:rsidRPr="002A62DE">
        <w:rPr>
          <w:b/>
          <w:i/>
        </w:rPr>
        <w:t>6a.</w:t>
      </w:r>
      <w:r w:rsidRPr="002A62DE">
        <w:rPr>
          <w:b/>
          <w:i/>
        </w:rPr>
        <w:tab/>
        <w:t>Administrátoři referenčních hodnot, které nesplňují požadavky na to, aby byly považovány za referenční hodnoty s kritickým významem, referenční hodnoty se značným významem či referenční hodnoty cen komodit podle přílohy II, referenční hodnoty EU pro transformaci hospodářství spjatou s klimatem nebo referenční hodnoty EU navázané na Pařížskou dohodu, mohou dobrovolně požádat o přístup do registru podle článku 36, a to prostřednictvím povolení k činnosti, registrace, uznání nebo přejetí.</w:t>
      </w:r>
    </w:p>
    <w:p w:rsidR="00984586" w:rsidRPr="002A62DE" w:rsidRDefault="00984586" w:rsidP="00984586">
      <w:pPr>
        <w:pStyle w:val="Text1"/>
        <w:tabs>
          <w:tab w:val="left" w:pos="567"/>
        </w:tabs>
        <w:ind w:left="1134" w:hanging="1134"/>
        <w:rPr>
          <w:b/>
          <w:i/>
          <w:noProof/>
        </w:rPr>
      </w:pPr>
      <w:r w:rsidRPr="002A62DE">
        <w:rPr>
          <w:b/>
          <w:i/>
        </w:rPr>
        <w:tab/>
      </w:r>
      <w:r w:rsidRPr="002A62DE">
        <w:rPr>
          <w:b/>
          <w:i/>
        </w:rPr>
        <w:tab/>
        <w:t xml:space="preserve">Administrátoři, kteří se dobrovolně rozhodnou pro toto nařízení, tak učiní písemně u svého stávajícího orgánu dohledu, a to pro každou referenční hodnotu, přičemž každá z těchto referenčních hodnot se považuje za referenční hodnotu se značným významem podle tohoto nařízení. </w:t>
      </w:r>
    </w:p>
    <w:p w:rsidR="00984586" w:rsidRPr="002A62DE" w:rsidRDefault="00984586" w:rsidP="00984586">
      <w:pPr>
        <w:pStyle w:val="Text1"/>
        <w:tabs>
          <w:tab w:val="left" w:pos="1134"/>
        </w:tabs>
        <w:ind w:left="1127"/>
        <w:rPr>
          <w:i/>
          <w:noProof/>
        </w:rPr>
      </w:pPr>
      <w:r w:rsidRPr="002A62DE">
        <w:rPr>
          <w:b/>
          <w:i/>
        </w:rPr>
        <w:tab/>
        <w:t>Dobrovolné upuštění od tohoto režimu nebrání uložení odpovídající správní odpovědnosti v případě nedodržení nebo porušení nařízení (EU) 2016/1011 během jejich dobrovolného setrvání v registru podle článku 36.</w:t>
      </w:r>
      <w:r w:rsidRPr="002A62DE">
        <w:t xml:space="preserve"> </w:t>
      </w:r>
      <w:r w:rsidRPr="002A62DE">
        <w:rPr>
          <w:i/>
        </w:rPr>
        <w:t xml:space="preserve"> </w:t>
      </w:r>
    </w:p>
    <w:p w:rsidR="00984586" w:rsidRPr="002A62DE" w:rsidRDefault="00984586" w:rsidP="00984586">
      <w:pPr>
        <w:pStyle w:val="Text1"/>
        <w:tabs>
          <w:tab w:val="left" w:pos="1134"/>
        </w:tabs>
        <w:ind w:left="1127"/>
        <w:rPr>
          <w:noProof/>
          <w:lang w:eastAsia="en-GB"/>
        </w:rPr>
      </w:pPr>
    </w:p>
    <w:p w:rsidR="00984586" w:rsidRPr="002A62DE" w:rsidRDefault="00984586" w:rsidP="00984586">
      <w:pPr>
        <w:pStyle w:val="Text1"/>
        <w:tabs>
          <w:tab w:val="left" w:pos="1134"/>
        </w:tabs>
        <w:ind w:left="1127" w:hanging="560"/>
        <w:rPr>
          <w:noProof/>
        </w:rPr>
      </w:pPr>
      <w:r w:rsidRPr="002A62DE">
        <w:t xml:space="preserve">7. </w:t>
      </w:r>
      <w:r w:rsidRPr="002A62DE">
        <w:tab/>
        <w:t xml:space="preserve">Orgán ESMA </w:t>
      </w:r>
      <w:r w:rsidRPr="002A62DE">
        <w:rPr>
          <w:b/>
          <w:bCs/>
          <w:i/>
          <w:iCs/>
        </w:rPr>
        <w:t>vypracuje návrhy regulačních technických norem pro upřesnění:</w:t>
      </w:r>
    </w:p>
    <w:p w:rsidR="00984586" w:rsidRPr="002A62DE" w:rsidRDefault="00984586" w:rsidP="00984586">
      <w:pPr>
        <w:pStyle w:val="Text1"/>
        <w:tabs>
          <w:tab w:val="left" w:pos="1134"/>
        </w:tabs>
        <w:ind w:left="1127" w:hanging="560"/>
        <w:rPr>
          <w:noProof/>
        </w:rPr>
      </w:pPr>
      <w:r w:rsidRPr="002A62DE">
        <w:tab/>
      </w:r>
      <w:r w:rsidRPr="002A62DE">
        <w:rPr>
          <w:b/>
          <w:i/>
        </w:rPr>
        <w:t>i)</w:t>
      </w:r>
      <w:r w:rsidRPr="002A62DE">
        <w:t xml:space="preserve"> metody výpočtu</w:t>
      </w:r>
      <w:r w:rsidRPr="002A62DE">
        <w:rPr>
          <w:b/>
          <w:bCs/>
          <w:i/>
          <w:iCs/>
        </w:rPr>
        <w:t>, včetně možných zdrojů údajů,</w:t>
      </w:r>
      <w:r w:rsidRPr="002A62DE">
        <w:t xml:space="preserve"> která se má použít pro stanovení prahové hodnoty uvedené v odst. 1 písm. a) tohoto článku</w:t>
      </w:r>
      <w:r w:rsidRPr="002A62DE">
        <w:rPr>
          <w:b/>
          <w:bCs/>
          <w:i/>
          <w:iCs/>
        </w:rPr>
        <w:t>;</w:t>
      </w:r>
      <w:r w:rsidRPr="002A62DE">
        <w:t xml:space="preserve"> </w:t>
      </w:r>
    </w:p>
    <w:p w:rsidR="00984586" w:rsidRPr="002A62DE" w:rsidRDefault="00984586" w:rsidP="00984586">
      <w:pPr>
        <w:pStyle w:val="Text1"/>
        <w:tabs>
          <w:tab w:val="left" w:pos="1134"/>
        </w:tabs>
        <w:ind w:left="1127" w:hanging="560"/>
        <w:rPr>
          <w:b/>
          <w:i/>
          <w:noProof/>
        </w:rPr>
      </w:pPr>
      <w:r w:rsidRPr="002A62DE">
        <w:tab/>
      </w:r>
      <w:proofErr w:type="spellStart"/>
      <w:r w:rsidRPr="002A62DE">
        <w:rPr>
          <w:b/>
          <w:i/>
        </w:rPr>
        <w:t>ii</w:t>
      </w:r>
      <w:proofErr w:type="spellEnd"/>
      <w:r w:rsidRPr="002A62DE">
        <w:rPr>
          <w:b/>
          <w:i/>
        </w:rPr>
        <w:t>) kritérií pro posouzení, zda referenční hodnota překračuje prahovou hodnotu uvedenou v čl. 24 odst. 1 písm. a) v jednom členském státě nebo v celé Unii;</w:t>
      </w:r>
    </w:p>
    <w:p w:rsidR="00984586" w:rsidRPr="002A62DE" w:rsidRDefault="00984586" w:rsidP="00984586">
      <w:pPr>
        <w:pStyle w:val="Text1"/>
        <w:tabs>
          <w:tab w:val="left" w:pos="1134"/>
        </w:tabs>
        <w:ind w:left="1127" w:hanging="560"/>
        <w:rPr>
          <w:b/>
          <w:i/>
          <w:noProof/>
        </w:rPr>
      </w:pPr>
      <w:r w:rsidRPr="002A62DE">
        <w:rPr>
          <w:b/>
          <w:i/>
        </w:rPr>
        <w:tab/>
      </w:r>
      <w:proofErr w:type="spellStart"/>
      <w:r w:rsidRPr="002A62DE">
        <w:rPr>
          <w:b/>
          <w:i/>
        </w:rPr>
        <w:t>iii</w:t>
      </w:r>
      <w:proofErr w:type="spellEnd"/>
      <w:r w:rsidRPr="002A62DE">
        <w:rPr>
          <w:b/>
          <w:i/>
        </w:rPr>
        <w:t>) informací, které příslušné orgány poskytují při konzultaci s orgánem ESMA, jak je požadováno v čl. 24 odst. 3;</w:t>
      </w:r>
    </w:p>
    <w:p w:rsidR="00984586" w:rsidRPr="002A62DE" w:rsidRDefault="00984586" w:rsidP="00984586">
      <w:pPr>
        <w:pStyle w:val="Text1"/>
        <w:tabs>
          <w:tab w:val="left" w:pos="1134"/>
        </w:tabs>
        <w:ind w:left="1127" w:hanging="560"/>
        <w:rPr>
          <w:b/>
          <w:i/>
          <w:noProof/>
        </w:rPr>
      </w:pPr>
      <w:r w:rsidRPr="002A62DE">
        <w:rPr>
          <w:b/>
          <w:i/>
        </w:rPr>
        <w:tab/>
      </w:r>
      <w:proofErr w:type="spellStart"/>
      <w:r w:rsidRPr="002A62DE">
        <w:rPr>
          <w:b/>
          <w:i/>
        </w:rPr>
        <w:t>iv</w:t>
      </w:r>
      <w:proofErr w:type="spellEnd"/>
      <w:r w:rsidRPr="002A62DE">
        <w:rPr>
          <w:b/>
          <w:i/>
        </w:rPr>
        <w:t>) kritérií uvedených v čl. 24 odst. 4 písm. b) s přihlédnutím k jakýmkoli údajům, které pomáhají posoudit významný a nepříznivý dopad ukončení nebo nespolehlivosti referenční hodnoty na integritu trhů, finanční stabilitu, spotřebitele, reálnou ekonomiku nebo na financování domácností a podniků v jednom nebo více z členských států.</w:t>
      </w:r>
    </w:p>
    <w:p w:rsidR="00984586" w:rsidRPr="002A62DE" w:rsidRDefault="00984586" w:rsidP="00984586">
      <w:pPr>
        <w:pStyle w:val="Text1"/>
        <w:tabs>
          <w:tab w:val="left" w:pos="1134"/>
        </w:tabs>
        <w:ind w:left="1127" w:hanging="560"/>
        <w:rPr>
          <w:b/>
          <w:i/>
          <w:noProof/>
        </w:rPr>
      </w:pPr>
      <w:r w:rsidRPr="002A62DE">
        <w:rPr>
          <w:b/>
          <w:i/>
        </w:rPr>
        <w:tab/>
        <w:t>Orgán ESMA předá uvedené návrhy regulačních technických norem Komisi do ... [12 měsíců ode dne použitelnosti tohoto nařízení].</w:t>
      </w:r>
    </w:p>
    <w:p w:rsidR="00984586" w:rsidRPr="002A62DE" w:rsidRDefault="00984586" w:rsidP="00984586">
      <w:pPr>
        <w:pStyle w:val="Text1"/>
        <w:tabs>
          <w:tab w:val="left" w:pos="1134"/>
        </w:tabs>
        <w:ind w:left="1127" w:hanging="560"/>
        <w:rPr>
          <w:b/>
          <w:i/>
          <w:noProof/>
        </w:rPr>
      </w:pPr>
      <w:r w:rsidRPr="002A62DE">
        <w:tab/>
      </w:r>
      <w:r w:rsidRPr="002A62DE">
        <w:rPr>
          <w:b/>
          <w:i/>
        </w:rPr>
        <w:t xml:space="preserve">Na Komisi je přenesena pravomoc doplnit toto nařízení přijetím regulačních technických norem uvedených v prvním pododstavci postupem podle článků 10 až 14 nařízení (EU) č. 1095/2010. </w:t>
      </w:r>
    </w:p>
    <w:p w:rsidR="00984586" w:rsidRPr="002A62DE" w:rsidRDefault="00984586" w:rsidP="00984586">
      <w:pPr>
        <w:pStyle w:val="Text1"/>
        <w:tabs>
          <w:tab w:val="left" w:pos="1134"/>
        </w:tabs>
        <w:ind w:left="1127" w:hanging="560"/>
        <w:rPr>
          <w:b/>
          <w:i/>
          <w:noProof/>
        </w:rPr>
      </w:pPr>
      <w:r w:rsidRPr="002A62DE">
        <w:rPr>
          <w:b/>
          <w:i/>
        </w:rPr>
        <w:t xml:space="preserve">7a. </w:t>
      </w:r>
      <w:r w:rsidRPr="002A62DE">
        <w:rPr>
          <w:b/>
          <w:i/>
        </w:rPr>
        <w:tab/>
        <w:t xml:space="preserve">Do... [2 let od vstupu tohoto pozměňujícího nařízení v platnost] Komise v úzké spolupráci s orgánem ESMA předloží zprávu Evropskému parlamentu a Radě o tom, zda je prahová hodnota uvedená v odst. 1 písm. a) tohoto článku dostatečná, pokud jde o vývoj na trhu, vývoj cen a regulační vývoj. Ke zprávě bude případně připojen legislativní návrh. Tento přezkum se provádí alespoň každé tři roky. </w:t>
      </w:r>
    </w:p>
    <w:p w:rsidR="00984586" w:rsidRPr="002A62DE" w:rsidRDefault="00984586" w:rsidP="00984586">
      <w:pPr>
        <w:pStyle w:val="Text1"/>
        <w:tabs>
          <w:tab w:val="left" w:pos="1134"/>
        </w:tabs>
        <w:ind w:left="1127" w:hanging="560"/>
        <w:rPr>
          <w:noProof/>
        </w:rPr>
      </w:pPr>
      <w:r w:rsidRPr="002A62DE">
        <w:rPr>
          <w:b/>
          <w:i/>
        </w:rPr>
        <w:lastRenderedPageBreak/>
        <w:t xml:space="preserve">7b. </w:t>
      </w:r>
      <w:r w:rsidRPr="002A62DE">
        <w:rPr>
          <w:b/>
          <w:i/>
        </w:rPr>
        <w:tab/>
        <w:t>Pokud orgán ESMA považuje za vhodné, aby byla prahová hodnota uvedená v odst. 1 písm. a) přezkoumána dříve, pokud jde o vývoj na trhu, vývoj cen a regulační vývoj, předloží žádost na přezkum prahové hodnoty Komisi. Komise po obdržení této žádosti přezkoumá nutnost znovu posoudit prahovou hodnotu a postupuje podle odstavce 7a.</w:t>
      </w:r>
      <w:r w:rsidRPr="002A62DE">
        <w:t>;</w:t>
      </w:r>
      <w:r w:rsidRPr="002A62DE">
        <w:rPr>
          <w:b/>
          <w:i/>
        </w:rPr>
        <w:tab/>
      </w:r>
    </w:p>
    <w:p w:rsidR="00984586" w:rsidRPr="002A62DE" w:rsidRDefault="00984586" w:rsidP="00984586">
      <w:pPr>
        <w:rPr>
          <w:noProof/>
        </w:rPr>
      </w:pPr>
    </w:p>
    <w:p w:rsidR="00984586" w:rsidRPr="002A62DE" w:rsidRDefault="00984586" w:rsidP="00984586">
      <w:pPr>
        <w:pStyle w:val="Point0"/>
        <w:rPr>
          <w:noProof/>
        </w:rPr>
      </w:pPr>
      <w:r w:rsidRPr="002A62DE">
        <w:t>12)</w:t>
      </w:r>
      <w:r w:rsidRPr="002A62DE">
        <w:tab/>
        <w:t xml:space="preserve">Vkládá se nový článek 24a, který zní: </w:t>
      </w:r>
    </w:p>
    <w:p w:rsidR="00984586" w:rsidRPr="002A62DE" w:rsidRDefault="00984586" w:rsidP="00984586">
      <w:pPr>
        <w:pStyle w:val="Text1"/>
        <w:tabs>
          <w:tab w:val="left" w:pos="1134"/>
        </w:tabs>
        <w:ind w:left="567"/>
        <w:jc w:val="center"/>
        <w:rPr>
          <w:noProof/>
        </w:rPr>
      </w:pPr>
      <w:r w:rsidRPr="002A62DE">
        <w:t>„</w:t>
      </w:r>
      <w:r w:rsidRPr="002A62DE">
        <w:rPr>
          <w:i/>
          <w:iCs/>
        </w:rPr>
        <w:t>Článek 24a</w:t>
      </w:r>
    </w:p>
    <w:p w:rsidR="00984586" w:rsidRPr="002A62DE" w:rsidRDefault="00984586" w:rsidP="00984586">
      <w:pPr>
        <w:pStyle w:val="Text1"/>
        <w:tabs>
          <w:tab w:val="left" w:pos="1134"/>
        </w:tabs>
        <w:ind w:left="567"/>
        <w:jc w:val="center"/>
        <w:rPr>
          <w:b/>
          <w:bCs/>
          <w:noProof/>
        </w:rPr>
      </w:pPr>
      <w:r w:rsidRPr="002A62DE">
        <w:rPr>
          <w:b/>
        </w:rPr>
        <w:t>Požadavky na administrátory referenčních hodnot se značným významem</w:t>
      </w:r>
    </w:p>
    <w:p w:rsidR="00984586" w:rsidRPr="002A62DE" w:rsidRDefault="00984586" w:rsidP="00984586">
      <w:pPr>
        <w:pStyle w:val="Point1"/>
        <w:rPr>
          <w:noProof/>
        </w:rPr>
      </w:pPr>
      <w:r w:rsidRPr="002A62DE">
        <w:t>1)</w:t>
      </w:r>
      <w:r w:rsidRPr="002A62DE">
        <w:tab/>
        <w:t xml:space="preserve">Do 60 pracovních dnů od oznámení podle čl. 24 odst. 2 požádá administrátor referenční hodnoty, která splňuje kritérium uvedené v odst. 1 písm. a) uvedeného článku, o povolení k činnosti nebo registraci u příslušného orgánu členského státu, </w:t>
      </w:r>
      <w:r w:rsidRPr="002A62DE">
        <w:rPr>
          <w:b/>
          <w:bCs/>
          <w:i/>
          <w:iCs/>
        </w:rPr>
        <w:t>pokud má tato referenční hodnota v tomto členském státě značný význam, nebo u orgánu ESMA, pokud má tato referenční hodnota značný význam v celé Unii</w:t>
      </w:r>
      <w:r w:rsidRPr="002A62DE">
        <w:t xml:space="preserve">. Jestliže se tento administrátor nachází ve třetí zemi a na danou referenční hodnotu se nevztahuje rozhodnutí o rovnocennosti přijaté podle článku 30, požádá tento administrátor </w:t>
      </w:r>
      <w:r w:rsidRPr="002A62DE">
        <w:rPr>
          <w:b/>
          <w:bCs/>
          <w:i/>
          <w:iCs/>
        </w:rPr>
        <w:t xml:space="preserve">orgán ESMA </w:t>
      </w:r>
      <w:r w:rsidRPr="002A62DE">
        <w:t xml:space="preserve">do 60 pracovních dnů od oznámení uvedeného v čl. 24 odst. 2 o jedno z těchto opatření: </w:t>
      </w:r>
    </w:p>
    <w:p w:rsidR="00984586" w:rsidRPr="002A62DE" w:rsidRDefault="00984586" w:rsidP="00984586">
      <w:pPr>
        <w:pStyle w:val="Point2"/>
        <w:rPr>
          <w:noProof/>
        </w:rPr>
      </w:pPr>
      <w:r w:rsidRPr="002A62DE">
        <w:t>a)</w:t>
      </w:r>
      <w:r w:rsidRPr="002A62DE">
        <w:tab/>
        <w:t>uznání ▌postupem podle článku 32;</w:t>
      </w:r>
    </w:p>
    <w:p w:rsidR="00984586" w:rsidRPr="002A62DE" w:rsidRDefault="00984586" w:rsidP="00984586">
      <w:pPr>
        <w:pStyle w:val="Point2"/>
        <w:rPr>
          <w:noProof/>
        </w:rPr>
      </w:pPr>
      <w:r w:rsidRPr="002A62DE">
        <w:t>b)</w:t>
      </w:r>
      <w:r w:rsidRPr="002A62DE">
        <w:tab/>
        <w:t>přejetí postupem podle článku 33.</w:t>
      </w:r>
    </w:p>
    <w:p w:rsidR="00984586" w:rsidRPr="002A62DE" w:rsidRDefault="00984586" w:rsidP="00984586">
      <w:pPr>
        <w:pStyle w:val="Point1"/>
        <w:rPr>
          <w:noProof/>
        </w:rPr>
      </w:pPr>
      <w:r w:rsidRPr="002A62DE">
        <w:t>2)</w:t>
      </w:r>
      <w:r w:rsidRPr="002A62DE">
        <w:tab/>
        <w:t xml:space="preserve">Do 60 pracovních dnů od určení podle čl. 24 odst. 3 požádá administrátor dotčené referenční hodnoty, pokud již nemá povolení k činnosti nebo registraci </w:t>
      </w:r>
      <w:r w:rsidRPr="002A62DE">
        <w:rPr>
          <w:b/>
          <w:bCs/>
          <w:i/>
          <w:iCs/>
        </w:rPr>
        <w:t>od příslušného vnitrostátního orgánu</w:t>
      </w:r>
      <w:r w:rsidRPr="002A62DE">
        <w:t>, o povolení k činnosti nebo registraci u určujícího příslušného orgánu v souladu s článkem 34.</w:t>
      </w:r>
    </w:p>
    <w:p w:rsidR="00984586" w:rsidRPr="002A62DE" w:rsidRDefault="00984586" w:rsidP="00984586">
      <w:pPr>
        <w:pStyle w:val="Point1"/>
        <w:rPr>
          <w:b/>
          <w:i/>
          <w:noProof/>
        </w:rPr>
      </w:pPr>
      <w:r w:rsidRPr="002A62DE">
        <w:rPr>
          <w:b/>
          <w:i/>
        </w:rPr>
        <w:t>2a)</w:t>
      </w:r>
      <w:r w:rsidRPr="002A62DE">
        <w:rPr>
          <w:b/>
          <w:i/>
        </w:rPr>
        <w:tab/>
        <w:t>Do 60 pracovních dnů od určení podle čl. 24 odst. 5 požádá administrátor dotčené referenční hodnoty, pokud již nemá povolení k činnosti nebo registraci, o povolení k činnosti nebo registraci u orgánu ESMA v souladu s článkem 34. Pokud je tento administrátor již povolen nebo registrován v některém členském státě, převede se toto povolení nebo registrace na orgán ESMA.</w:t>
      </w:r>
    </w:p>
    <w:p w:rsidR="00984586" w:rsidRPr="002A62DE" w:rsidRDefault="00984586" w:rsidP="00984586">
      <w:pPr>
        <w:pStyle w:val="Point1"/>
        <w:rPr>
          <w:noProof/>
        </w:rPr>
      </w:pPr>
      <w:r w:rsidRPr="002A62DE">
        <w:t xml:space="preserve"> </w:t>
      </w:r>
    </w:p>
    <w:p w:rsidR="00984586" w:rsidRPr="002A62DE" w:rsidRDefault="00984586" w:rsidP="00984586">
      <w:pPr>
        <w:pStyle w:val="Point1"/>
        <w:rPr>
          <w:noProof/>
        </w:rPr>
      </w:pPr>
      <w:r w:rsidRPr="002A62DE">
        <w:t>3)</w:t>
      </w:r>
      <w:r w:rsidRPr="002A62DE">
        <w:tab/>
        <w:t xml:space="preserve">Do 60 pracovních dnů od určení podle čl. 24 odst. 6 požádá administrátor dotčené referenční hodnoty </w:t>
      </w:r>
      <w:r w:rsidRPr="002A62DE">
        <w:rPr>
          <w:b/>
          <w:bCs/>
          <w:i/>
          <w:iCs/>
        </w:rPr>
        <w:t>orgán ESMA</w:t>
      </w:r>
      <w:r w:rsidRPr="002A62DE">
        <w:t xml:space="preserve"> o jedno z těchto opatření:</w:t>
      </w:r>
    </w:p>
    <w:p w:rsidR="00984586" w:rsidRPr="002A62DE" w:rsidRDefault="00984586" w:rsidP="00984586">
      <w:pPr>
        <w:pStyle w:val="Point2"/>
        <w:rPr>
          <w:noProof/>
        </w:rPr>
      </w:pPr>
      <w:r w:rsidRPr="002A62DE">
        <w:t>a)</w:t>
      </w:r>
      <w:r w:rsidRPr="002A62DE">
        <w:tab/>
        <w:t xml:space="preserve"> uznání ▌postupem podle článku 32;</w:t>
      </w:r>
    </w:p>
    <w:p w:rsidR="00984586" w:rsidRPr="002A62DE" w:rsidRDefault="00984586" w:rsidP="00984586">
      <w:pPr>
        <w:pStyle w:val="Point2"/>
        <w:rPr>
          <w:noProof/>
        </w:rPr>
      </w:pPr>
      <w:r w:rsidRPr="002A62DE">
        <w:t>b)</w:t>
      </w:r>
      <w:r w:rsidRPr="002A62DE">
        <w:tab/>
        <w:t>přejetí postupem podle článku 33.</w:t>
      </w:r>
    </w:p>
    <w:p w:rsidR="00984586" w:rsidRPr="002A62DE" w:rsidRDefault="00984586" w:rsidP="00984586">
      <w:pPr>
        <w:pStyle w:val="Point2"/>
        <w:ind w:left="1418" w:firstLine="0"/>
        <w:rPr>
          <w:b/>
          <w:i/>
          <w:noProof/>
        </w:rPr>
      </w:pPr>
      <w:r w:rsidRPr="002A62DE">
        <w:t xml:space="preserve"> </w:t>
      </w:r>
      <w:r w:rsidRPr="002A62DE">
        <w:rPr>
          <w:b/>
          <w:i/>
        </w:rPr>
        <w:t>Administrátoři referenčních hodnot ze třetích zemí určí přejímajícího administrátora v Unii.</w:t>
      </w:r>
    </w:p>
    <w:p w:rsidR="00984586" w:rsidRPr="002A62DE" w:rsidRDefault="00984586" w:rsidP="00984586">
      <w:pPr>
        <w:pStyle w:val="Point1"/>
        <w:rPr>
          <w:noProof/>
        </w:rPr>
      </w:pPr>
      <w:r w:rsidRPr="002A62DE">
        <w:t>4)</w:t>
      </w:r>
      <w:r w:rsidRPr="002A62DE">
        <w:tab/>
        <w:t>Orgán ESMA nebo příslušné orgány využijí pravomocí v oblasti dohledu a sankcí, které jim byly svěřeny podle tohoto nařízení, aby zajistily, že příslušní administrátoři budou dodržovat své povinnosti.</w:t>
      </w:r>
    </w:p>
    <w:p w:rsidR="00984586" w:rsidRPr="002A62DE" w:rsidRDefault="00984586" w:rsidP="00984586">
      <w:pPr>
        <w:pStyle w:val="Point1"/>
        <w:rPr>
          <w:noProof/>
        </w:rPr>
      </w:pPr>
      <w:r w:rsidRPr="002A62DE">
        <w:t>5)</w:t>
      </w:r>
      <w:r w:rsidRPr="002A62DE">
        <w:tab/>
        <w:t xml:space="preserve">Příslušný orgán nebo orgán ESMA vydá veřejné oznámení, v němž uvede, že referenční hodnota se značným významem poskytovaná administrátorem není v </w:t>
      </w:r>
      <w:r w:rsidRPr="002A62DE">
        <w:lastRenderedPageBreak/>
        <w:t xml:space="preserve">souladu s tímto nařízením a že uživatelé se </w:t>
      </w:r>
      <w:r w:rsidRPr="002A62DE">
        <w:rPr>
          <w:b/>
          <w:bCs/>
          <w:i/>
          <w:iCs/>
        </w:rPr>
        <w:t xml:space="preserve">musí </w:t>
      </w:r>
      <w:r w:rsidRPr="002A62DE">
        <w:t xml:space="preserve">zdržet používání této referenční hodnoty, je-li splněna některá z těchto podmínek: </w:t>
      </w:r>
    </w:p>
    <w:p w:rsidR="00984586" w:rsidRPr="002A62DE" w:rsidRDefault="00984586" w:rsidP="00984586">
      <w:pPr>
        <w:pStyle w:val="Point2"/>
        <w:rPr>
          <w:noProof/>
        </w:rPr>
      </w:pPr>
      <w:r w:rsidRPr="002A62DE">
        <w:t>a)</w:t>
      </w:r>
      <w:r w:rsidRPr="002A62DE">
        <w:tab/>
        <w:t>do 60 pracovních dnů od oznámení podle čl. 24 odst. 2, určení podle čl. 24 odst. 3 nebo určení podle čl. 24 odst. 6 dotčený administrátor nezahájil postupy s cílem vyhovět odstavci 2 tohoto článku;</w:t>
      </w:r>
    </w:p>
    <w:p w:rsidR="00984586" w:rsidRPr="002A62DE" w:rsidRDefault="00984586" w:rsidP="00984586">
      <w:pPr>
        <w:pStyle w:val="Point2"/>
        <w:rPr>
          <w:noProof/>
        </w:rPr>
      </w:pPr>
      <w:r w:rsidRPr="002A62DE">
        <w:t>b)</w:t>
      </w:r>
      <w:r w:rsidRPr="002A62DE">
        <w:tab/>
        <w:t>postupy povolování činnosti, registrace, uznávání nebo přejímání selhaly;</w:t>
      </w:r>
    </w:p>
    <w:p w:rsidR="00984586" w:rsidRPr="002A62DE" w:rsidRDefault="00984586" w:rsidP="00984586">
      <w:pPr>
        <w:pStyle w:val="Point2"/>
        <w:rPr>
          <w:noProof/>
        </w:rPr>
      </w:pPr>
      <w:r w:rsidRPr="002A62DE">
        <w:t>c)</w:t>
      </w:r>
      <w:r w:rsidRPr="002A62DE">
        <w:tab/>
        <w:t>orgán ESMA zrušil registraci administrátora v souladu s článkem 31;</w:t>
      </w:r>
    </w:p>
    <w:p w:rsidR="00984586" w:rsidRPr="002A62DE" w:rsidRDefault="00984586" w:rsidP="00984586">
      <w:pPr>
        <w:pStyle w:val="Point2"/>
        <w:rPr>
          <w:noProof/>
        </w:rPr>
      </w:pPr>
      <w:r w:rsidRPr="002A62DE">
        <w:t>d)</w:t>
      </w:r>
      <w:r w:rsidRPr="002A62DE">
        <w:tab/>
        <w:t xml:space="preserve">orgán ESMA zrušil uznání dotčeného administrátora nebo pozastavil jeho platnost v souladu s čl. </w:t>
      </w:r>
      <w:r w:rsidRPr="002A62DE">
        <w:rPr>
          <w:b/>
          <w:bCs/>
          <w:i/>
          <w:iCs/>
        </w:rPr>
        <w:t>32 odst. 8</w:t>
      </w:r>
      <w:r w:rsidRPr="002A62DE">
        <w:t>;</w:t>
      </w:r>
    </w:p>
    <w:p w:rsidR="00984586" w:rsidRPr="002A62DE" w:rsidRDefault="00984586" w:rsidP="00984586">
      <w:pPr>
        <w:pStyle w:val="Point2"/>
        <w:rPr>
          <w:noProof/>
        </w:rPr>
      </w:pPr>
      <w:r w:rsidRPr="002A62DE">
        <w:t>e)</w:t>
      </w:r>
      <w:r w:rsidRPr="002A62DE">
        <w:tab/>
        <w:t xml:space="preserve">dotčenému administrátorovi skončila platnost přejetí; </w:t>
      </w:r>
    </w:p>
    <w:p w:rsidR="00984586" w:rsidRPr="002A62DE" w:rsidRDefault="00984586" w:rsidP="00984586">
      <w:pPr>
        <w:pStyle w:val="Point2"/>
        <w:rPr>
          <w:noProof/>
        </w:rPr>
      </w:pPr>
      <w:r w:rsidRPr="002A62DE">
        <w:t>f)</w:t>
      </w:r>
      <w:r w:rsidRPr="002A62DE">
        <w:tab/>
        <w:t>příslušný orgán odebral povolení k činnosti či zrušil registraci dotčeného administrátora nebo pozastavil jejich platnost.</w:t>
      </w:r>
    </w:p>
    <w:p w:rsidR="00984586" w:rsidRPr="002A62DE" w:rsidRDefault="00984586" w:rsidP="00984586">
      <w:pPr>
        <w:pStyle w:val="Text1"/>
        <w:tabs>
          <w:tab w:val="left" w:pos="1134"/>
        </w:tabs>
        <w:ind w:left="1134"/>
        <w:rPr>
          <w:noProof/>
        </w:rPr>
      </w:pPr>
      <w:r w:rsidRPr="002A62DE">
        <w:t>Příslušné orgány oznámí orgánu ESMA všechna vydaná veřejná oznámení bez zbytečného odkladu. Orgán ESMA zveřejňuje všechna vydaná veřejná oznámení na svých internetových stránkách. Orgán ESMA nebo příslušný orgán bez zbytečného odkladu odstraní veřejné oznámení, jakmile pomine důvod, pro který bylo vydáno.“;</w:t>
      </w:r>
    </w:p>
    <w:p w:rsidR="00984586" w:rsidRPr="002A62DE" w:rsidRDefault="00984586" w:rsidP="00984586">
      <w:pPr>
        <w:pStyle w:val="Point0"/>
        <w:rPr>
          <w:noProof/>
        </w:rPr>
      </w:pPr>
      <w:r w:rsidRPr="002A62DE">
        <w:t>13)</w:t>
      </w:r>
      <w:r w:rsidRPr="002A62DE">
        <w:tab/>
        <w:t>V hlavě III se zrušuje kapitola 6.</w:t>
      </w:r>
    </w:p>
    <w:p w:rsidR="00984586" w:rsidRPr="002A62DE" w:rsidRDefault="00984586" w:rsidP="00984586">
      <w:pPr>
        <w:pStyle w:val="Point0"/>
        <w:rPr>
          <w:b/>
          <w:i/>
        </w:rPr>
      </w:pPr>
      <w:r w:rsidRPr="002A62DE">
        <w:rPr>
          <w:b/>
          <w:i/>
        </w:rPr>
        <w:t>13a)</w:t>
      </w:r>
      <w:r w:rsidRPr="002A62DE">
        <w:rPr>
          <w:b/>
          <w:i/>
        </w:rPr>
        <w:tab/>
        <w:t>V článku 28 se odstavec 2 mění takto:</w:t>
      </w:r>
    </w:p>
    <w:p w:rsidR="00984586" w:rsidRPr="002A62DE" w:rsidRDefault="00984586" w:rsidP="00984586">
      <w:pPr>
        <w:pStyle w:val="Text1"/>
        <w:tabs>
          <w:tab w:val="left" w:pos="1134"/>
        </w:tabs>
        <w:ind w:left="1134"/>
        <w:rPr>
          <w:noProof/>
        </w:rPr>
      </w:pPr>
      <w:r w:rsidRPr="002A62DE">
        <w:t>„</w:t>
      </w:r>
      <w:r w:rsidRPr="002A62DE">
        <w:rPr>
          <w:b/>
          <w:i/>
        </w:rPr>
        <w:t>2.</w:t>
      </w:r>
      <w:r w:rsidRPr="002A62DE">
        <w:rPr>
          <w:b/>
          <w:i/>
        </w:rPr>
        <w:tab/>
        <w:t>Dohlížené osoby, které nejsou administrátory uvedenými v odstavci 1 a které používají určitou referenční hodnotu, vypracují a uchovávají podložené písemné plány, v nichž stanoví, jaká opatření učiní v případě, že se tato referenční hodnota podstatně změní nebo že její poskytování bude ukončeno. Je-li to možné a vhodné, určí v těchto plánech jednu nebo více alternativních referenčních hodnot, na něž by mohlo být odkazováno náhradou za referenční hodnoty, které již nejsou poskytovány, a uvedou, proč jsou tyto alternativní referenční hodnoty vhodné. Dohlížené osoby na vyžádání a bez zbytečného odkladu předloží tyto plány a jejich veškeré aktualizace relevantnímu příslušnému orgánu a odpovídajícím způsobem je promítnou do smluvních záložních ustanovení vztahujících se na finanční smlouvy, finanční nástroje a investiční fondy.</w:t>
      </w:r>
      <w:r w:rsidRPr="002A62DE">
        <w:t>“;</w:t>
      </w:r>
    </w:p>
    <w:p w:rsidR="00984586" w:rsidRPr="002A62DE" w:rsidRDefault="00984586" w:rsidP="00984586">
      <w:pPr>
        <w:pStyle w:val="Point0"/>
        <w:rPr>
          <w:noProof/>
        </w:rPr>
      </w:pPr>
      <w:r w:rsidRPr="002A62DE">
        <w:t>14)</w:t>
      </w:r>
      <w:r w:rsidRPr="002A62DE">
        <w:tab/>
        <w:t>Článek 29 se mění takto:</w:t>
      </w:r>
    </w:p>
    <w:p w:rsidR="00984586" w:rsidRPr="002A62DE" w:rsidRDefault="00984586" w:rsidP="00984586">
      <w:pPr>
        <w:pStyle w:val="Point1"/>
        <w:rPr>
          <w:noProof/>
        </w:rPr>
      </w:pPr>
      <w:r w:rsidRPr="002A62DE">
        <w:t>a)</w:t>
      </w:r>
      <w:r w:rsidRPr="002A62DE">
        <w:tab/>
        <w:t xml:space="preserve">nadpis se nahrazuje tímto: </w:t>
      </w:r>
    </w:p>
    <w:p w:rsidR="00984586" w:rsidRPr="002A62DE" w:rsidRDefault="00984586" w:rsidP="00984586">
      <w:pPr>
        <w:pStyle w:val="Text1"/>
        <w:ind w:left="1134"/>
        <w:rPr>
          <w:noProof/>
        </w:rPr>
      </w:pPr>
      <w:r w:rsidRPr="002A62DE">
        <w:t>„</w:t>
      </w:r>
      <w:r w:rsidRPr="002A62DE">
        <w:rPr>
          <w:b/>
          <w:bCs/>
        </w:rPr>
        <w:t xml:space="preserve">Používání referenčních hodnot </w:t>
      </w:r>
      <w:r w:rsidRPr="002A62DE">
        <w:rPr>
          <w:b/>
          <w:bCs/>
          <w:i/>
          <w:iCs/>
        </w:rPr>
        <w:t xml:space="preserve">s kritickým významem, referenčních hodnot </w:t>
      </w:r>
      <w:r w:rsidRPr="002A62DE">
        <w:rPr>
          <w:b/>
          <w:bCs/>
        </w:rPr>
        <w:t xml:space="preserve">se značným významem, </w:t>
      </w:r>
      <w:r w:rsidRPr="002A62DE">
        <w:rPr>
          <w:b/>
          <w:bCs/>
          <w:i/>
          <w:iCs/>
        </w:rPr>
        <w:t>referenčních hodnot cen komodit podle přílohy II</w:t>
      </w:r>
      <w:r w:rsidRPr="002A62DE">
        <w:rPr>
          <w:b/>
          <w:bCs/>
        </w:rPr>
        <w:t>, referenčních hodnot EU pro transformaci hospodářství spjatou s klimatem a referenčních hodnot EU navázaných na Pařížskou dohodu</w:t>
      </w:r>
      <w:r w:rsidRPr="002A62DE">
        <w:t>“;</w:t>
      </w:r>
    </w:p>
    <w:p w:rsidR="00984586" w:rsidRPr="002A62DE" w:rsidRDefault="00984586" w:rsidP="00984586">
      <w:pPr>
        <w:pStyle w:val="Point1"/>
        <w:rPr>
          <w:noProof/>
        </w:rPr>
      </w:pPr>
      <w:r w:rsidRPr="002A62DE">
        <w:t>b)</w:t>
      </w:r>
      <w:r w:rsidRPr="002A62DE">
        <w:tab/>
        <w:t xml:space="preserve">odstavec 1 se nahrazuje tímto: </w:t>
      </w:r>
    </w:p>
    <w:p w:rsidR="00984586" w:rsidRPr="002A62DE" w:rsidRDefault="00984586" w:rsidP="00984586">
      <w:pPr>
        <w:pStyle w:val="Text1"/>
        <w:tabs>
          <w:tab w:val="left" w:pos="1134"/>
        </w:tabs>
        <w:ind w:left="1134" w:hanging="567"/>
        <w:rPr>
          <w:noProof/>
        </w:rPr>
      </w:pPr>
      <w:r w:rsidRPr="002A62DE">
        <w:tab/>
        <w:t>„1.</w:t>
      </w:r>
      <w:r w:rsidRPr="002A62DE">
        <w:tab/>
        <w:t xml:space="preserve">Dohlížená osoba nesmí uvádět nové odkazy na </w:t>
      </w:r>
      <w:r w:rsidRPr="002A62DE">
        <w:rPr>
          <w:b/>
          <w:bCs/>
          <w:i/>
          <w:iCs/>
        </w:rPr>
        <w:t xml:space="preserve">referenční hodnotu s kritickým významem, </w:t>
      </w:r>
      <w:r w:rsidRPr="002A62DE">
        <w:t xml:space="preserve">referenční hodnotu se značným významem nebo na kombinaci takových referenčních hodnot v Unii, pokud je tato referenční hodnota nebo kombinace referenčních hodnot předmětem veřejného oznámení vydaného orgánem ESMA nebo příslušným orgánem v souladu s čl. 24a odst. 5. Dohlížená osoba nesmí uvádět nové odkazy na </w:t>
      </w:r>
      <w:r w:rsidRPr="002A62DE">
        <w:rPr>
          <w:b/>
          <w:bCs/>
          <w:i/>
          <w:iCs/>
        </w:rPr>
        <w:t>referenční hodnotu s kritickým významem, referenční hodnotu cen komodit podle přílohy II,</w:t>
      </w:r>
      <w:r w:rsidRPr="002A62DE">
        <w:t xml:space="preserve"> referenční hodnotu EU pro </w:t>
      </w:r>
      <w:r w:rsidRPr="002A62DE">
        <w:lastRenderedPageBreak/>
        <w:t>transformaci hospodářství spjatou s klimatem a referenční hodnotu EU navázanou na Pařížskou dohodu nebo na kombinaci těchto referenčních hodnot v Unii, pokud administrátor těchto referenčních hodnot není uveden v rejstříku podle článku 36.</w:t>
      </w:r>
    </w:p>
    <w:p w:rsidR="00984586" w:rsidRPr="002A62DE" w:rsidRDefault="00984586" w:rsidP="00984586">
      <w:pPr>
        <w:pStyle w:val="Text1"/>
        <w:ind w:left="1134"/>
        <w:rPr>
          <w:noProof/>
        </w:rPr>
      </w:pPr>
      <w:r w:rsidRPr="002A62DE">
        <w:t xml:space="preserve">Dohlížené osoby pravidelně nahlížejí do jednotného evropského přístupového místa uvedeného v článku v článku 28a nebo do registru ESMA uvedeného v článku 36, aby si ověřily regulační status administrátorů </w:t>
      </w:r>
      <w:r w:rsidRPr="002A62DE">
        <w:rPr>
          <w:b/>
          <w:bCs/>
          <w:i/>
          <w:iCs/>
        </w:rPr>
        <w:t xml:space="preserve">referenčních hodnot s kritickým významem, </w:t>
      </w:r>
      <w:r w:rsidRPr="002A62DE">
        <w:t xml:space="preserve">referenčních hodnot se značným významem, </w:t>
      </w:r>
      <w:r w:rsidRPr="002A62DE">
        <w:rPr>
          <w:b/>
          <w:bCs/>
          <w:i/>
          <w:iCs/>
        </w:rPr>
        <w:t xml:space="preserve">referenčních hodnot cen komodit podle přílohy II, </w:t>
      </w:r>
      <w:r w:rsidRPr="002A62DE">
        <w:t xml:space="preserve">referenčních hodnot EU pro transformaci hospodářství spjatou s klimatem a referenčních hodnot EU navázaných na Pařížskou dohodu, které hodlají používat. </w:t>
      </w:r>
    </w:p>
    <w:p w:rsidR="00984586" w:rsidRPr="002A62DE" w:rsidRDefault="00984586" w:rsidP="00984586">
      <w:pPr>
        <w:ind w:left="1134"/>
        <w:jc w:val="both"/>
        <w:rPr>
          <w:b/>
          <w:i/>
          <w:noProof/>
        </w:rPr>
      </w:pPr>
      <w:r w:rsidRPr="002A62DE">
        <w:t>Odchylně od prvního pododstavce může orgán ESMA nebo případně příslušný orgán povolit používání referenční hodnoty, na kterou se vztahuje veřejné oznámení vydané v souladu s čl. 24a odst. 5, po dobu šesti měsíců od zveřejnění veřejného oznámení, přičemž toto období lze jednou prodloužit, pokud je to nezbytné k zabránění vážnému narušení trhu</w:t>
      </w:r>
      <w:r w:rsidRPr="002A62DE">
        <w:rPr>
          <w:b/>
          <w:bCs/>
          <w:i/>
          <w:iCs/>
        </w:rPr>
        <w:t>, nebo po dobu 24 měsíců bez možnosti prodloužení v následujících případech:</w:t>
      </w:r>
    </w:p>
    <w:p w:rsidR="00984586" w:rsidRPr="002A62DE" w:rsidRDefault="00984586" w:rsidP="00984586">
      <w:pPr>
        <w:pStyle w:val="Point2"/>
        <w:rPr>
          <w:b/>
          <w:i/>
          <w:noProof/>
        </w:rPr>
      </w:pPr>
      <w:r w:rsidRPr="002A62DE">
        <w:rPr>
          <w:b/>
          <w:i/>
        </w:rPr>
        <w:t>a)</w:t>
      </w:r>
      <w:r w:rsidRPr="002A62DE">
        <w:rPr>
          <w:b/>
          <w:i/>
        </w:rPr>
        <w:tab/>
        <w:t>vytváření trhu na podporu činnosti klienta související s transakcemi provedenými před datem účinnosti zákazu;</w:t>
      </w:r>
    </w:p>
    <w:p w:rsidR="00984586" w:rsidRPr="002A62DE" w:rsidRDefault="00984586" w:rsidP="00984586">
      <w:pPr>
        <w:pStyle w:val="Point2"/>
        <w:rPr>
          <w:b/>
          <w:i/>
          <w:noProof/>
        </w:rPr>
      </w:pPr>
      <w:r w:rsidRPr="002A62DE">
        <w:rPr>
          <w:b/>
          <w:i/>
        </w:rPr>
        <w:t>b)</w:t>
      </w:r>
      <w:r w:rsidRPr="002A62DE">
        <w:rPr>
          <w:b/>
          <w:i/>
        </w:rPr>
        <w:tab/>
        <w:t>transakce nebo jiné činnosti, které snižují nebo zajišťují expozici dohlížené osoby nebo kteréhokoli klienta dohlížené osoby vůči zakázané referenční hodnotě;</w:t>
      </w:r>
    </w:p>
    <w:p w:rsidR="00984586" w:rsidRPr="002A62DE" w:rsidRDefault="00984586" w:rsidP="00984586">
      <w:pPr>
        <w:pStyle w:val="Point2"/>
        <w:rPr>
          <w:b/>
          <w:i/>
          <w:noProof/>
        </w:rPr>
      </w:pPr>
      <w:r w:rsidRPr="002A62DE">
        <w:rPr>
          <w:b/>
          <w:i/>
        </w:rPr>
        <w:t>c)</w:t>
      </w:r>
      <w:r w:rsidRPr="002A62DE">
        <w:rPr>
          <w:b/>
          <w:i/>
        </w:rPr>
        <w:tab/>
        <w:t>novace transakcí;</w:t>
      </w:r>
    </w:p>
    <w:p w:rsidR="00984586" w:rsidRPr="002A62DE" w:rsidRDefault="00984586" w:rsidP="00984586">
      <w:pPr>
        <w:pStyle w:val="Point2"/>
        <w:rPr>
          <w:b/>
          <w:i/>
          <w:noProof/>
        </w:rPr>
      </w:pPr>
      <w:r w:rsidRPr="002A62DE">
        <w:rPr>
          <w:b/>
          <w:i/>
        </w:rPr>
        <w:t>d)</w:t>
      </w:r>
      <w:r w:rsidRPr="002A62DE">
        <w:rPr>
          <w:b/>
          <w:i/>
        </w:rPr>
        <w:tab/>
        <w:t>transakce prováděné za účelem účasti v aukčním řízení ústřední protistrany v případě selhání člena, včetně transakcí k zajištění výsledné expozice;</w:t>
      </w:r>
    </w:p>
    <w:p w:rsidR="00984586" w:rsidRPr="002A62DE" w:rsidRDefault="00984586" w:rsidP="00984586">
      <w:pPr>
        <w:pStyle w:val="Point2"/>
        <w:rPr>
          <w:noProof/>
        </w:rPr>
      </w:pPr>
      <w:r w:rsidRPr="002A62DE">
        <w:rPr>
          <w:b/>
          <w:i/>
        </w:rPr>
        <w:t>e)</w:t>
      </w:r>
      <w:r w:rsidRPr="002A62DE">
        <w:rPr>
          <w:b/>
          <w:i/>
        </w:rPr>
        <w:tab/>
      </w:r>
      <w:r w:rsidRPr="002A62DE">
        <w:rPr>
          <w:b/>
          <w:bCs/>
          <w:i/>
          <w:iCs/>
        </w:rPr>
        <w:t>interpolace nebo jiné použití stanovené ve smluvních náhradních ujednáních v souvislosti se zakázanou referenční hodnotou.</w:t>
      </w:r>
      <w:r w:rsidRPr="002A62DE">
        <w:t>“;</w:t>
      </w:r>
    </w:p>
    <w:p w:rsidR="00984586" w:rsidRPr="002A62DE" w:rsidRDefault="00984586" w:rsidP="00984586">
      <w:pPr>
        <w:pStyle w:val="Point1"/>
        <w:rPr>
          <w:noProof/>
        </w:rPr>
      </w:pPr>
      <w:r w:rsidRPr="002A62DE">
        <w:t>c)</w:t>
      </w:r>
      <w:r w:rsidRPr="002A62DE">
        <w:tab/>
      </w:r>
      <w:r w:rsidRPr="002A62DE">
        <w:rPr>
          <w:b/>
          <w:bCs/>
          <w:i/>
          <w:iCs/>
        </w:rPr>
        <w:t>vkládají</w:t>
      </w:r>
      <w:r w:rsidRPr="002A62DE">
        <w:t xml:space="preserve"> se </w:t>
      </w:r>
      <w:r w:rsidRPr="002A62DE">
        <w:rPr>
          <w:b/>
          <w:bCs/>
          <w:i/>
          <w:iCs/>
        </w:rPr>
        <w:t>nové odstavce</w:t>
      </w:r>
      <w:r w:rsidRPr="002A62DE">
        <w:t xml:space="preserve"> </w:t>
      </w:r>
      <w:r w:rsidRPr="002A62DE">
        <w:rPr>
          <w:b/>
          <w:i/>
        </w:rPr>
        <w:t>1b a 1ba</w:t>
      </w:r>
      <w:r w:rsidRPr="002A62DE">
        <w:t>:</w:t>
      </w:r>
    </w:p>
    <w:p w:rsidR="00984586" w:rsidRPr="002A62DE" w:rsidRDefault="00984586" w:rsidP="00984586">
      <w:pPr>
        <w:pStyle w:val="Text1"/>
        <w:tabs>
          <w:tab w:val="left" w:pos="1701"/>
        </w:tabs>
        <w:ind w:left="1701" w:hanging="567"/>
        <w:rPr>
          <w:noProof/>
        </w:rPr>
      </w:pPr>
      <w:r w:rsidRPr="002A62DE">
        <w:t>„</w:t>
      </w:r>
      <w:r w:rsidRPr="002A62DE">
        <w:rPr>
          <w:b/>
          <w:bCs/>
          <w:i/>
          <w:iCs/>
        </w:rPr>
        <w:t>1b.</w:t>
      </w:r>
      <w:r w:rsidRPr="002A62DE">
        <w:tab/>
        <w:t xml:space="preserve">Dohlížená osoba, která ve stávajících finančních smlouvách </w:t>
      </w:r>
      <w:r w:rsidRPr="002A62DE">
        <w:rPr>
          <w:b/>
          <w:bCs/>
          <w:i/>
          <w:iCs/>
        </w:rPr>
        <w:t xml:space="preserve">nebo k měření výkonnosti investičních fondů </w:t>
      </w:r>
      <w:r w:rsidRPr="002A62DE">
        <w:t xml:space="preserve">nebo </w:t>
      </w:r>
      <w:r w:rsidRPr="002A62DE">
        <w:rPr>
          <w:b/>
          <w:bCs/>
          <w:i/>
          <w:iCs/>
        </w:rPr>
        <w:t xml:space="preserve">ve </w:t>
      </w:r>
      <w:r w:rsidRPr="002A62DE">
        <w:t xml:space="preserve">finančních nástrojích používá referenční hodnotu, na kterou se vztahuje veřejné oznámení vydané v souladu s čl. 24a odst. 5, nahradí tuto referenční hodnotu vhodnou alternativou do šesti měsíců od zveřejnění tohoto oznámení nebo vydá a na svých internetových stránkách zveřejní prohlášení, v němž </w:t>
      </w:r>
      <w:r w:rsidRPr="002A62DE">
        <w:rPr>
          <w:b/>
          <w:bCs/>
          <w:i/>
          <w:iCs/>
        </w:rPr>
        <w:t>klientům poskytne odůvodněné vysvětlení, proč tak nebyla schopna učinit</w:t>
      </w:r>
      <w:r w:rsidRPr="002A62DE">
        <w:t xml:space="preserve">. </w:t>
      </w:r>
    </w:p>
    <w:p w:rsidR="00984586" w:rsidRPr="002A62DE" w:rsidRDefault="00984586" w:rsidP="00984586">
      <w:pPr>
        <w:pStyle w:val="Text1"/>
        <w:tabs>
          <w:tab w:val="left" w:pos="1701"/>
        </w:tabs>
        <w:ind w:left="1701" w:hanging="567"/>
        <w:rPr>
          <w:b/>
          <w:i/>
          <w:noProof/>
        </w:rPr>
      </w:pPr>
      <w:r w:rsidRPr="002A62DE">
        <w:rPr>
          <w:b/>
          <w:i/>
        </w:rPr>
        <w:t>1ba.</w:t>
      </w:r>
      <w:r w:rsidRPr="002A62DE">
        <w:rPr>
          <w:b/>
          <w:i/>
        </w:rPr>
        <w:tab/>
        <w:t>Dohlížená osoba může používat referenční hodnotu, která ve své právní nebo marketingové dokumentaci nebo názvu tvrdí, že ve své metodice zohledňuje faktory ESG, pouze pokud její administrátor zveřejní informace uvedené v čl. 13 odst. 1 písm. d) a v čl. 27 odst. 2a. Všechny požadavky na zveřejňování metodiky mají usilovat o soulad s článkem 10 nařízení (EU) 2019/2088.</w:t>
      </w:r>
    </w:p>
    <w:p w:rsidR="00984586" w:rsidRPr="002A62DE" w:rsidRDefault="00984586" w:rsidP="00984586">
      <w:pPr>
        <w:pStyle w:val="Text1"/>
        <w:ind w:left="1395" w:firstLine="306"/>
        <w:rPr>
          <w:b/>
          <w:i/>
          <w:noProof/>
        </w:rPr>
      </w:pPr>
      <w:r w:rsidRPr="002A62DE">
        <w:rPr>
          <w:b/>
          <w:i/>
        </w:rPr>
        <w:t>Tento odstavec se vztahuje na referenční hodnoty EU i referenční hodnoty ze zemí mimo EU.</w:t>
      </w:r>
    </w:p>
    <w:p w:rsidR="00984586" w:rsidRPr="002A62DE" w:rsidRDefault="00984586" w:rsidP="00984586">
      <w:pPr>
        <w:pStyle w:val="Text1"/>
        <w:rPr>
          <w:b/>
          <w:i/>
          <w:noProof/>
        </w:rPr>
      </w:pPr>
      <w:r w:rsidRPr="002A62DE">
        <w:rPr>
          <w:b/>
          <w:i/>
        </w:rPr>
        <w:t>ca)</w:t>
      </w:r>
      <w:r w:rsidRPr="002A62DE">
        <w:rPr>
          <w:b/>
          <w:i/>
        </w:rPr>
        <w:tab/>
        <w:t>odstavec 2 se mění takto:</w:t>
      </w:r>
    </w:p>
    <w:p w:rsidR="00984586" w:rsidRPr="002A62DE" w:rsidRDefault="00984586" w:rsidP="00984586">
      <w:pPr>
        <w:pStyle w:val="Text1"/>
        <w:tabs>
          <w:tab w:val="left" w:pos="1701"/>
        </w:tabs>
        <w:ind w:left="1701" w:hanging="567"/>
        <w:rPr>
          <w:b/>
          <w:i/>
          <w:noProof/>
        </w:rPr>
      </w:pPr>
      <w:r w:rsidRPr="002A62DE">
        <w:rPr>
          <w:b/>
          <w:i/>
        </w:rPr>
        <w:lastRenderedPageBreak/>
        <w:t>2.</w:t>
      </w:r>
      <w:r w:rsidRPr="002A62DE">
        <w:rPr>
          <w:b/>
          <w:i/>
        </w:rPr>
        <w:tab/>
        <w:t>Týká-li se prospekt, jenž má být zveřejněn v souladu se směrnicí 2003/71/ES nebo směrnicí 2009/65/ES, převoditelných cenných papírů nebo jiných investičních produktů, které odkazují na referenční hodnotu s kritickým významem, referenční hodnotu se značným významem, referenční hodnotu cen komodit podle přílohy II, referenční hodnotu EU pro transformaci hospodářství spjatou s klimatem a referenční hodnotu EU navázanou na Pařížskou dohodu, zajistí emitent, předkladatel nabídky nebo osoba, která žádá o přijetí k obchodování na regulovaném trhu, je-li veřejná vyhláška o použité referenční hodnotě zahrnuta do registru uvedeného v článku 36 tohoto nařízení, do 9 měsíců po zveřejnění této vyhlášky, aby prospekt obsahoval rovněž tyto informace v jasné a zřetelné podobě.</w:t>
      </w:r>
    </w:p>
    <w:p w:rsidR="00984586" w:rsidRPr="002A62DE" w:rsidRDefault="00984586" w:rsidP="00984586">
      <w:pPr>
        <w:pStyle w:val="Text1"/>
        <w:rPr>
          <w:b/>
          <w:i/>
          <w:noProof/>
        </w:rPr>
      </w:pPr>
      <w:proofErr w:type="spellStart"/>
      <w:r w:rsidRPr="002A62DE">
        <w:rPr>
          <w:b/>
          <w:i/>
        </w:rPr>
        <w:t>cb</w:t>
      </w:r>
      <w:proofErr w:type="spellEnd"/>
      <w:r w:rsidRPr="002A62DE">
        <w:rPr>
          <w:b/>
          <w:i/>
        </w:rPr>
        <w:t>)</w:t>
      </w:r>
      <w:r w:rsidRPr="002A62DE">
        <w:rPr>
          <w:b/>
          <w:i/>
        </w:rPr>
        <w:tab/>
        <w:t>vkládá se nový odstavec 2a, který zní:</w:t>
      </w:r>
    </w:p>
    <w:p w:rsidR="00984586" w:rsidRPr="002A62DE" w:rsidRDefault="00984586" w:rsidP="00984586">
      <w:pPr>
        <w:pStyle w:val="Text1"/>
        <w:tabs>
          <w:tab w:val="left" w:pos="1701"/>
        </w:tabs>
        <w:ind w:left="1701" w:hanging="567"/>
        <w:rPr>
          <w:b/>
          <w:i/>
          <w:noProof/>
        </w:rPr>
      </w:pPr>
      <w:r w:rsidRPr="002A62DE">
        <w:rPr>
          <w:b/>
          <w:i/>
        </w:rPr>
        <w:t>2a.</w:t>
      </w:r>
      <w:r w:rsidRPr="002A62DE">
        <w:rPr>
          <w:b/>
          <w:i/>
        </w:rPr>
        <w:tab/>
      </w:r>
      <w:r w:rsidRPr="002A62DE">
        <w:rPr>
          <w:b/>
          <w:bCs/>
          <w:i/>
          <w:iCs/>
        </w:rPr>
        <w:t>Administrátoři referenčních hodnot používaných v EU usilují o to, aby pro každou referenční hodnotu, kterou poskytují pro použití v Unii, požadovali celosvětově dohodnutý identifikační kód.</w:t>
      </w:r>
    </w:p>
    <w:p w:rsidR="00984586" w:rsidRPr="002A62DE" w:rsidRDefault="00984586" w:rsidP="00984586">
      <w:pPr>
        <w:pStyle w:val="Point0"/>
        <w:rPr>
          <w:noProof/>
        </w:rPr>
      </w:pPr>
      <w:r w:rsidRPr="002A62DE">
        <w:t>15)</w:t>
      </w:r>
      <w:r w:rsidRPr="002A62DE">
        <w:tab/>
        <w:t xml:space="preserve">Článek 32 se mění takto: </w:t>
      </w:r>
    </w:p>
    <w:p w:rsidR="00984586" w:rsidRPr="002A62DE" w:rsidRDefault="00984586" w:rsidP="00984586">
      <w:pPr>
        <w:pStyle w:val="Point1"/>
        <w:rPr>
          <w:noProof/>
        </w:rPr>
      </w:pPr>
      <w:r w:rsidRPr="002A62DE">
        <w:t>a)</w:t>
      </w:r>
      <w:r w:rsidRPr="002A62DE">
        <w:tab/>
        <w:t>odstavec 1 se zrušuje;</w:t>
      </w:r>
    </w:p>
    <w:p w:rsidR="00984586" w:rsidRPr="002A62DE" w:rsidRDefault="00984586" w:rsidP="00984586">
      <w:pPr>
        <w:pStyle w:val="Point1"/>
        <w:rPr>
          <w:noProof/>
        </w:rPr>
      </w:pPr>
      <w:r w:rsidRPr="002A62DE">
        <w:t>b)</w:t>
      </w:r>
      <w:r w:rsidRPr="002A62DE">
        <w:tab/>
        <w:t>odstavce 2 a 3 se nahrazují tímto:</w:t>
      </w:r>
    </w:p>
    <w:p w:rsidR="00984586" w:rsidRPr="002A62DE" w:rsidRDefault="00984586" w:rsidP="00984586">
      <w:pPr>
        <w:pStyle w:val="Text1"/>
        <w:tabs>
          <w:tab w:val="left" w:pos="1701"/>
        </w:tabs>
        <w:ind w:left="1701" w:hanging="567"/>
        <w:rPr>
          <w:noProof/>
        </w:rPr>
      </w:pPr>
      <w:r w:rsidRPr="002A62DE">
        <w:t>„2.</w:t>
      </w:r>
      <w:r w:rsidRPr="002A62DE">
        <w:tab/>
        <w:t xml:space="preserve">Administrátor nacházející se ve třetí zemi, který má v úmyslu získat uznání podle čl. 24a odst. 1 a 3, musí dodržovat toto nařízení s výjimkou čl. 11 odst. 4 a článků 16, 20, 21 a 23. Administrátor nacházející se ve třetí zemi může tuto podmínku splnit uplatňováním zásad organizace IOSCO pro stanovování finančních referenčních hodnot nebo případně zásad organizace IOSCO pro agentury podávající přehledy o cenách ropy, pokud je takové uplatňování rovnocenné dodržení tohoto nařízení, s výjimkou čl. 11 odst. 4 a článků 16, 20, 21 a 23. </w:t>
      </w:r>
    </w:p>
    <w:p w:rsidR="00984586" w:rsidRPr="002A62DE" w:rsidRDefault="00984586" w:rsidP="00984586">
      <w:pPr>
        <w:pStyle w:val="Text1"/>
        <w:tabs>
          <w:tab w:val="left" w:pos="1701"/>
        </w:tabs>
        <w:ind w:left="1701" w:hanging="567"/>
        <w:rPr>
          <w:noProof/>
        </w:rPr>
      </w:pPr>
      <w:r w:rsidRPr="002A62DE">
        <w:tab/>
        <w:t>Při určování, zda je splněna podmínka uvedená v prvním pododstavci, a při posuzování souladu se zásadami organizace IOSCO pro finanční referenční hodnoty, případně se zásadami IOSCO pro agentury podávající přehledy o cenách ropy, může orgán ESMA zohlednit:</w:t>
      </w:r>
    </w:p>
    <w:p w:rsidR="00984586" w:rsidRPr="002A62DE" w:rsidRDefault="00984586" w:rsidP="00984586">
      <w:pPr>
        <w:pStyle w:val="Point2"/>
        <w:rPr>
          <w:noProof/>
        </w:rPr>
      </w:pPr>
      <w:r w:rsidRPr="002A62DE">
        <w:t>a)</w:t>
      </w:r>
      <w:r w:rsidRPr="002A62DE">
        <w:tab/>
        <w:t>posouzení administrátora nacházejícího se ve třetí zemi nezávislým externím auditorem;</w:t>
      </w:r>
    </w:p>
    <w:p w:rsidR="00984586" w:rsidRPr="002A62DE" w:rsidRDefault="00984586" w:rsidP="00984586">
      <w:pPr>
        <w:pStyle w:val="Point2"/>
        <w:rPr>
          <w:noProof/>
        </w:rPr>
      </w:pPr>
      <w:r w:rsidRPr="002A62DE">
        <w:t>b)</w:t>
      </w:r>
      <w:r w:rsidRPr="002A62DE">
        <w:tab/>
        <w:t xml:space="preserve">osvědčení vydané příslušným orgánem třetí země, v níž se administrátor nachází. </w:t>
      </w:r>
    </w:p>
    <w:p w:rsidR="00984586" w:rsidRPr="002A62DE" w:rsidRDefault="00984586" w:rsidP="00984586">
      <w:pPr>
        <w:pStyle w:val="Text1"/>
        <w:tabs>
          <w:tab w:val="left" w:pos="1701"/>
        </w:tabs>
        <w:ind w:left="1701" w:hanging="567"/>
        <w:rPr>
          <w:noProof/>
        </w:rPr>
      </w:pPr>
      <w:r w:rsidRPr="002A62DE">
        <w:tab/>
        <w:t>Pokud je administrátor ze třetí země schopen prokázat, že jím poskytovaná referenční hodnota je referenční hodnotou týkající se regulovaných údajů nebo referenční hodnotou cen komodit, která není založena na údajích poskytovaných dodavateli, z nichž většinu tvoří dohlížené osoby, není administrátor povinen dodržovat požadavky, které se podle článku 17 a čl. 19 odst. 1 nevztahují na poskytování referenčních hodnot týkajících se regulovaných údajů a referenčních hodnot cen komodit.</w:t>
      </w:r>
    </w:p>
    <w:p w:rsidR="00984586" w:rsidRPr="002A62DE" w:rsidRDefault="00984586" w:rsidP="00984586">
      <w:pPr>
        <w:pStyle w:val="Text1"/>
        <w:tabs>
          <w:tab w:val="left" w:pos="1701"/>
        </w:tabs>
        <w:ind w:left="1701" w:hanging="567"/>
        <w:rPr>
          <w:noProof/>
        </w:rPr>
      </w:pPr>
      <w:r w:rsidRPr="002A62DE">
        <w:t>3.</w:t>
      </w:r>
      <w:r w:rsidRPr="002A62DE">
        <w:tab/>
        <w:t xml:space="preserve">Administrátor nacházející se ve třetí zemi, který má v úmyslu získat uznání, musí mít svého právního zástupce. Tímto právním zástupcem musí být ▌právnická osoba nacházející se v Unii, kterou administrátor výslovně jmenoval, aby jeho jménem jednala, pokud jde o povinnosti administrátora </w:t>
      </w:r>
      <w:r w:rsidRPr="002A62DE">
        <w:lastRenderedPageBreak/>
        <w:t xml:space="preserve">stanovené tímto nařízením. Právní zástupce vykonává společně s administrátorem funkci dohledu nad poskytováním referenčních hodnot administrátorem podle tohoto nařízení a ▌je odpovědný orgánu ESMA. </w:t>
      </w:r>
      <w:r w:rsidRPr="002A62DE">
        <w:rPr>
          <w:b/>
          <w:bCs/>
          <w:i/>
          <w:iCs/>
        </w:rPr>
        <w:t>Orgán ESMA může uložit právnímu zástupci a administrátorovi opatření v oblasti dohledu v souladu s článkem 48e za některé z porušení uvedených v čl. 42 odst. 1 písm. a) nebo v souvislosti s nespoluprací nebo nevyhověním při vyšetřování nebo kontrole či žádosti podle kapitoly 4 oddílu 1.</w:t>
      </w:r>
    </w:p>
    <w:p w:rsidR="00984586" w:rsidRPr="002A62DE" w:rsidRDefault="00984586" w:rsidP="00984586">
      <w:pPr>
        <w:pStyle w:val="Point1"/>
        <w:rPr>
          <w:noProof/>
        </w:rPr>
      </w:pPr>
      <w:r w:rsidRPr="002A62DE">
        <w:t>c)</w:t>
      </w:r>
      <w:r w:rsidRPr="002A62DE">
        <w:tab/>
        <w:t>v odstavci 5 se první pododstavec nahrazuje tímto:</w:t>
      </w:r>
    </w:p>
    <w:p w:rsidR="00984586" w:rsidRPr="002A62DE" w:rsidRDefault="00984586" w:rsidP="00984586">
      <w:pPr>
        <w:pStyle w:val="Text1"/>
        <w:tabs>
          <w:tab w:val="left" w:pos="1701"/>
        </w:tabs>
        <w:ind w:left="1701" w:hanging="567"/>
        <w:rPr>
          <w:noProof/>
        </w:rPr>
      </w:pPr>
      <w:r w:rsidRPr="002A62DE">
        <w:tab/>
        <w:t>„Administrátor nacházející se ve třetí zemi, který má v úmyslu získat uznání podle odstavce 2, požádá o uznání orgán ESMA. Žádající administrátor předloží veškeré informace nezbytné k tomu, aby orgánu ESMA prokázal, že v okamžiku uznání bude mít zavedena veškerá opatření nezbytná ke splnění požadavků uvedených v odstavci 2, pokud jde o jeho referenční hodnotu nebo referenční hodnoty, které byly určeny v souladu s článkem 24. V příslušném případě uvede žádající administrátor příslušný orgán ve třetí zemi odpovědný za dohled nad tímto administrátorem.</w:t>
      </w:r>
    </w:p>
    <w:p w:rsidR="00984586" w:rsidRPr="002A62DE" w:rsidRDefault="00984586" w:rsidP="00984586">
      <w:pPr>
        <w:pStyle w:val="Text1"/>
        <w:tabs>
          <w:tab w:val="left" w:pos="1701"/>
        </w:tabs>
        <w:ind w:left="1701"/>
        <w:rPr>
          <w:noProof/>
        </w:rPr>
      </w:pPr>
      <w:r w:rsidRPr="002A62DE">
        <w:t>Do 15 pracovních dnů od obdržení žádosti posoudí orgán ESMA, zda je žádost úplná, a vyrozumí o tom žadatele. Je-li žádost neúplná, předloží žadatel další informace, které si orgán ESMA vyžádá. Lhůta uvedená v tomto pododstavci se uplatňuje ode dne, kdy žadatel takové další informace poskytne.“</w:t>
      </w:r>
    </w:p>
    <w:p w:rsidR="00984586" w:rsidRPr="002A62DE" w:rsidRDefault="00984586" w:rsidP="00984586">
      <w:pPr>
        <w:pStyle w:val="Point0"/>
        <w:ind w:left="851" w:hanging="851"/>
        <w:rPr>
          <w:b/>
          <w:i/>
        </w:rPr>
      </w:pPr>
      <w:r w:rsidRPr="002A62DE">
        <w:rPr>
          <w:b/>
          <w:i/>
        </w:rPr>
        <w:t>15a)</w:t>
      </w:r>
      <w:r w:rsidRPr="002A62DE">
        <w:rPr>
          <w:b/>
          <w:i/>
        </w:rPr>
        <w:tab/>
      </w:r>
      <w:r w:rsidRPr="002A62DE">
        <w:rPr>
          <w:b/>
          <w:i/>
        </w:rPr>
        <w:tab/>
        <w:t xml:space="preserve">V čl. 33 odst. 1 se </w:t>
      </w:r>
      <w:proofErr w:type="spellStart"/>
      <w:r w:rsidRPr="002A62DE">
        <w:rPr>
          <w:b/>
          <w:i/>
        </w:rPr>
        <w:t>návětí</w:t>
      </w:r>
      <w:proofErr w:type="spellEnd"/>
      <w:r w:rsidRPr="002A62DE">
        <w:rPr>
          <w:b/>
          <w:i/>
        </w:rPr>
        <w:t xml:space="preserve"> mění takto:</w:t>
      </w:r>
    </w:p>
    <w:p w:rsidR="00984586" w:rsidRPr="002A62DE" w:rsidRDefault="00984586" w:rsidP="00984586">
      <w:pPr>
        <w:pStyle w:val="Text1"/>
        <w:tabs>
          <w:tab w:val="left" w:pos="1560"/>
        </w:tabs>
        <w:ind w:left="1922" w:hanging="360"/>
        <w:rPr>
          <w:b/>
          <w:i/>
        </w:rPr>
      </w:pPr>
      <w:r w:rsidRPr="002A62DE">
        <w:t>„</w:t>
      </w:r>
      <w:r w:rsidRPr="002A62DE">
        <w:rPr>
          <w:b/>
          <w:i/>
        </w:rPr>
        <w:t>1.</w:t>
      </w:r>
      <w:r w:rsidRPr="002A62DE">
        <w:rPr>
          <w:b/>
          <w:i/>
        </w:rPr>
        <w:tab/>
        <w:t>Administrátor nacházející se v Unii, který má povolení k činnosti nebo je registrován v souladu s článkem 34, který má jasnou a dobře definovanou úlohu v kontrolním systému nebo systému odpovědnosti administrátora ve třetí zemi a který může účinně sledovat poskytování referenční hodnoty, může požádat orgán ESMA, aby přejal referenční hodnotu nebo skupinu příbuzných referenčních hodnot poskytovaných ve třetí zemi k jejich používání v Unii, pokud jsou splněny tyto podmínky:</w:t>
      </w:r>
    </w:p>
    <w:p w:rsidR="00984586" w:rsidRPr="002A62DE" w:rsidRDefault="00984586" w:rsidP="00984586">
      <w:pPr>
        <w:pStyle w:val="Point0"/>
        <w:tabs>
          <w:tab w:val="left" w:pos="567"/>
        </w:tabs>
        <w:rPr>
          <w:b/>
          <w:i/>
        </w:rPr>
      </w:pPr>
      <w:r w:rsidRPr="002A62DE">
        <w:rPr>
          <w:b/>
          <w:i/>
        </w:rPr>
        <w:t>15b)</w:t>
      </w:r>
      <w:r w:rsidRPr="002A62DE">
        <w:rPr>
          <w:b/>
          <w:i/>
        </w:rPr>
        <w:tab/>
      </w:r>
      <w:r w:rsidRPr="002A62DE">
        <w:rPr>
          <w:b/>
          <w:i/>
        </w:rPr>
        <w:tab/>
      </w:r>
      <w:r w:rsidRPr="002A62DE">
        <w:rPr>
          <w:b/>
          <w:i/>
        </w:rPr>
        <w:tab/>
        <w:t>Čl. 33 odst. 3 se mění takto:</w:t>
      </w:r>
    </w:p>
    <w:p w:rsidR="00984586" w:rsidRPr="002A62DE" w:rsidRDefault="00984586" w:rsidP="00984586">
      <w:pPr>
        <w:pStyle w:val="Text1"/>
        <w:tabs>
          <w:tab w:val="left" w:pos="1418"/>
        </w:tabs>
        <w:ind w:left="1985" w:hanging="425"/>
        <w:rPr>
          <w:b/>
          <w:i/>
        </w:rPr>
      </w:pPr>
      <w:r w:rsidRPr="002A62DE">
        <w:rPr>
          <w:b/>
          <w:i/>
        </w:rPr>
        <w:t>3.</w:t>
      </w:r>
      <w:r w:rsidRPr="002A62DE">
        <w:rPr>
          <w:b/>
          <w:i/>
        </w:rPr>
        <w:tab/>
        <w:t>Orgán ESMA do 90 pracovních dnů od obdržení žádosti o přejímání podle odstavce 1, tuto žádost posoudí a přijme rozhodnutí, kterým schválí přejímání, nebo jej zamítne.</w:t>
      </w:r>
    </w:p>
    <w:p w:rsidR="00984586" w:rsidRPr="002A62DE" w:rsidRDefault="00984586" w:rsidP="00984586">
      <w:pPr>
        <w:pStyle w:val="Text1"/>
        <w:tabs>
          <w:tab w:val="left" w:pos="851"/>
        </w:tabs>
        <w:ind w:left="0"/>
        <w:rPr>
          <w:b/>
          <w:i/>
          <w:noProof/>
        </w:rPr>
      </w:pPr>
      <w:r w:rsidRPr="002A62DE">
        <w:rPr>
          <w:b/>
          <w:i/>
        </w:rPr>
        <w:t>15c)</w:t>
      </w:r>
      <w:r w:rsidRPr="002A62DE">
        <w:rPr>
          <w:b/>
          <w:i/>
        </w:rPr>
        <w:tab/>
      </w:r>
      <w:r w:rsidRPr="002A62DE">
        <w:rPr>
          <w:b/>
          <w:i/>
        </w:rPr>
        <w:tab/>
        <w:t>Čl. 33 odst. 6 se mění takto:</w:t>
      </w:r>
    </w:p>
    <w:p w:rsidR="00984586" w:rsidRPr="002A62DE" w:rsidRDefault="00984586" w:rsidP="00984586">
      <w:pPr>
        <w:pStyle w:val="Text1"/>
        <w:ind w:left="1985" w:hanging="425"/>
        <w:rPr>
          <w:b/>
          <w:i/>
        </w:rPr>
      </w:pPr>
      <w:r w:rsidRPr="002A62DE">
        <w:rPr>
          <w:b/>
          <w:i/>
        </w:rPr>
        <w:t>6.   Jestliže má příslušný orgán potvrzujícího administrátora oprávněné důvody domnívat se, že podmínky stanovené v odstavci 1 tohoto článku nejsou dále plněny, je oprávněn požadovat od tohoto přejímajícího administrátora, aby toto přejímání ukončil, a informuje o tom orgán ESMA. V případě ukončení přejímání se použije článek 28.</w:t>
      </w:r>
    </w:p>
    <w:p w:rsidR="00984586" w:rsidRPr="002A62DE" w:rsidRDefault="00984586" w:rsidP="00984586">
      <w:pPr>
        <w:pStyle w:val="Point0"/>
        <w:rPr>
          <w:noProof/>
        </w:rPr>
      </w:pPr>
      <w:r w:rsidRPr="002A62DE">
        <w:t>16)</w:t>
      </w:r>
      <w:r w:rsidRPr="002A62DE">
        <w:tab/>
        <w:t xml:space="preserve">Článek 34 se mění takto: </w:t>
      </w:r>
    </w:p>
    <w:p w:rsidR="00984586" w:rsidRPr="002A62DE" w:rsidRDefault="00984586" w:rsidP="00984586">
      <w:pPr>
        <w:pStyle w:val="Point1"/>
        <w:rPr>
          <w:noProof/>
        </w:rPr>
      </w:pPr>
      <w:r w:rsidRPr="002A62DE">
        <w:t>a)</w:t>
      </w:r>
      <w:r w:rsidRPr="002A62DE">
        <w:tab/>
        <w:t>odstavec 1 se nahrazuje tímto:</w:t>
      </w:r>
    </w:p>
    <w:p w:rsidR="00984586" w:rsidRPr="002A62DE" w:rsidRDefault="00984586" w:rsidP="00984586">
      <w:pPr>
        <w:pStyle w:val="Text1"/>
        <w:tabs>
          <w:tab w:val="left" w:pos="1134"/>
        </w:tabs>
        <w:ind w:left="1134" w:hanging="567"/>
        <w:rPr>
          <w:noProof/>
        </w:rPr>
      </w:pPr>
      <w:r w:rsidRPr="002A62DE">
        <w:tab/>
        <w:t>„1.</w:t>
      </w:r>
      <w:r w:rsidRPr="002A62DE">
        <w:tab/>
        <w:t xml:space="preserve">Fyzická nebo právnická osoba nacházející se v Unii, která jedná nebo hodlá jednat jako administrátor, požádá příslušný orgán určený podle článku 40 pro členský stát, v němž se tato osoba nachází, </w:t>
      </w:r>
      <w:r w:rsidRPr="002A62DE">
        <w:rPr>
          <w:b/>
          <w:bCs/>
          <w:i/>
          <w:iCs/>
        </w:rPr>
        <w:t>nebo orgán ESMA,</w:t>
      </w:r>
      <w:r w:rsidRPr="002A62DE">
        <w:t xml:space="preserve"> o:</w:t>
      </w:r>
    </w:p>
    <w:p w:rsidR="00984586" w:rsidRPr="002A62DE" w:rsidRDefault="00984586" w:rsidP="00984586">
      <w:pPr>
        <w:pStyle w:val="Point2"/>
        <w:rPr>
          <w:noProof/>
        </w:rPr>
      </w:pPr>
      <w:r w:rsidRPr="002A62DE">
        <w:lastRenderedPageBreak/>
        <w:t>a)</w:t>
      </w:r>
      <w:r w:rsidRPr="002A62DE">
        <w:tab/>
        <w:t xml:space="preserve">povolení k činnosti, pokud poskytuje nebo hodlá poskytovat indexy, jež jsou používány nebo jsou zamýšleny k použití jako referenční hodnoty s kritickým významem, referenční hodnoty se značným významem, </w:t>
      </w:r>
      <w:r w:rsidRPr="002A62DE">
        <w:rPr>
          <w:b/>
          <w:bCs/>
          <w:i/>
          <w:iCs/>
        </w:rPr>
        <w:t xml:space="preserve">referenční hodnoty cen komodit podle přílohy II, </w:t>
      </w:r>
      <w:r w:rsidRPr="002A62DE">
        <w:t>referenční hodnoty EU pro transformaci hospodářství spjatou s klimatem nebo referenční hodnoty EU navázané na Pařížskou dohodu;</w:t>
      </w:r>
    </w:p>
    <w:p w:rsidR="00984586" w:rsidRPr="002A62DE" w:rsidRDefault="00984586" w:rsidP="00984586">
      <w:pPr>
        <w:pStyle w:val="Point2"/>
        <w:rPr>
          <w:noProof/>
        </w:rPr>
      </w:pPr>
      <w:r w:rsidRPr="002A62DE">
        <w:t>b)</w:t>
      </w:r>
      <w:r w:rsidRPr="002A62DE">
        <w:tab/>
        <w:t>registraci, pokud je dohlíženou osobou, jež není administrátorem, a poskytuje nebo hodlá poskytovat indexy, jež jsou používány nebo jsou zamýšleny k použití jako referenční hodnoty se značným významem, referenční hodnoty EU pro transformaci hospodářství spjatou s klimatem nebo referenční hodnoty EU navázané na Pařížskou dohodu, pokud je splněna podmínka, že činnosti poskytování referenční hodnoty nebrání oborová pravidla, která se na tuto dohlíženou osobu použijí, a žádný z poskytovaných indexů by nebyl referenční hodnotou s kritickým významem.“;</w:t>
      </w:r>
    </w:p>
    <w:p w:rsidR="00984586" w:rsidRPr="002A62DE" w:rsidRDefault="00984586" w:rsidP="00984586">
      <w:pPr>
        <w:pStyle w:val="Point1"/>
        <w:rPr>
          <w:b/>
          <w:i/>
        </w:rPr>
      </w:pPr>
      <w:proofErr w:type="spellStart"/>
      <w:r w:rsidRPr="002A62DE">
        <w:rPr>
          <w:b/>
          <w:i/>
        </w:rPr>
        <w:t>aa</w:t>
      </w:r>
      <w:proofErr w:type="spellEnd"/>
      <w:r w:rsidRPr="002A62DE">
        <w:rPr>
          <w:b/>
          <w:i/>
        </w:rPr>
        <w:t>)</w:t>
      </w:r>
      <w:r w:rsidRPr="002A62DE">
        <w:rPr>
          <w:b/>
          <w:i/>
        </w:rPr>
        <w:tab/>
        <w:t>čl. 34 odst. 1a se mění takto:</w:t>
      </w:r>
    </w:p>
    <w:p w:rsidR="00984586" w:rsidRPr="002A62DE" w:rsidRDefault="00984586" w:rsidP="00984586">
      <w:pPr>
        <w:pStyle w:val="Point2"/>
        <w:ind w:left="1134" w:firstLine="0"/>
        <w:rPr>
          <w:b/>
          <w:i/>
          <w:noProof/>
        </w:rPr>
      </w:pPr>
      <w:r w:rsidRPr="002A62DE">
        <w:rPr>
          <w:b/>
          <w:i/>
        </w:rPr>
        <w:t>1a. Pokud jeden nebo více indexů, které jsou poskytovány osobou uvedenou v odstavci 1, lze považovat za referenční hodnoty s kritickým významem podle čl. 20 odst. 1 písm. a) a c) nebo za referenční hodnoty se značným významem podle čl. 24 odst. 2, 5 a 6, nebo pokud osoba plánuje přejetí referenčních hodnot podle článku 33, předkládá se žádost orgánu ESMA.</w:t>
      </w:r>
    </w:p>
    <w:p w:rsidR="00984586" w:rsidRPr="002A62DE" w:rsidRDefault="00984586" w:rsidP="00984586">
      <w:pPr>
        <w:pStyle w:val="Point1"/>
        <w:jc w:val="left"/>
        <w:rPr>
          <w:noProof/>
        </w:rPr>
      </w:pPr>
      <w:r w:rsidRPr="002A62DE">
        <w:t>b)</w:t>
      </w:r>
      <w:r w:rsidRPr="002A62DE">
        <w:tab/>
        <w:t>odstavec 3 se nahrazuje tímto:</w:t>
      </w:r>
    </w:p>
    <w:p w:rsidR="00984586" w:rsidRPr="002A62DE" w:rsidRDefault="00984586" w:rsidP="00984586">
      <w:pPr>
        <w:ind w:left="1134"/>
        <w:jc w:val="both"/>
        <w:rPr>
          <w:noProof/>
        </w:rPr>
      </w:pPr>
      <w:r w:rsidRPr="002A62DE">
        <w:t xml:space="preserve">„3. Žádost uvedená v odstavci 1 se podává do 30 pracovních dnů ode dne, kdy dohlížená osoba uzavře jakoukoli dohodu o tom, že určitý index poskytovaný žadatelem bude používán jako reference </w:t>
      </w:r>
      <w:r w:rsidRPr="002A62DE">
        <w:rPr>
          <w:b/>
          <w:bCs/>
          <w:i/>
          <w:iCs/>
        </w:rPr>
        <w:t>v určitém finančním nástroji</w:t>
      </w:r>
      <w:r w:rsidRPr="002A62DE">
        <w:t xml:space="preserve"> nebo finanční </w:t>
      </w:r>
      <w:r w:rsidRPr="002A62DE">
        <w:rPr>
          <w:b/>
          <w:bCs/>
          <w:i/>
          <w:iCs/>
        </w:rPr>
        <w:t>smlouvě</w:t>
      </w:r>
      <w:r w:rsidRPr="002A62DE">
        <w:t xml:space="preserve"> nebo k měření výkonnosti určitého investičního fondu, případně ve lhůtách stanovených v čl. 24a odst. 2 a 3.“;</w:t>
      </w:r>
    </w:p>
    <w:p w:rsidR="00984586" w:rsidRPr="002A62DE" w:rsidRDefault="00984586" w:rsidP="00984586">
      <w:pPr>
        <w:ind w:left="1134"/>
        <w:rPr>
          <w:noProof/>
        </w:rPr>
      </w:pPr>
    </w:p>
    <w:p w:rsidR="00984586" w:rsidRPr="002A62DE" w:rsidRDefault="00984586" w:rsidP="00984586">
      <w:pPr>
        <w:rPr>
          <w:b/>
          <w:i/>
          <w:noProof/>
        </w:rPr>
      </w:pPr>
      <w:r w:rsidRPr="002A62DE">
        <w:rPr>
          <w:b/>
          <w:i/>
        </w:rPr>
        <w:t>16a)</w:t>
      </w:r>
      <w:r w:rsidRPr="002A62DE">
        <w:rPr>
          <w:b/>
          <w:i/>
        </w:rPr>
        <w:tab/>
        <w:t xml:space="preserve"> v čl. 36 odst. 1 se písmena a) až d) nahrazují tímto:</w:t>
      </w:r>
    </w:p>
    <w:p w:rsidR="00984586" w:rsidRPr="002A62DE" w:rsidRDefault="00984586" w:rsidP="00984586">
      <w:pPr>
        <w:ind w:left="1080" w:hanging="360"/>
        <w:rPr>
          <w:rFonts w:eastAsiaTheme="minorHAnsi"/>
          <w:b/>
          <w:i/>
          <w:noProof/>
        </w:rPr>
      </w:pPr>
      <w:r w:rsidRPr="002A62DE">
        <w:t>„</w:t>
      </w:r>
      <w:r w:rsidRPr="002A62DE">
        <w:rPr>
          <w:b/>
          <w:i/>
        </w:rPr>
        <w:t>1.</w:t>
      </w:r>
      <w:r w:rsidRPr="002A62DE">
        <w:rPr>
          <w:b/>
          <w:i/>
        </w:rPr>
        <w:tab/>
        <w:t>Orgán ESMA zřídí a spravuje veřejný registr, který obsahuje tyto informace:</w:t>
      </w:r>
    </w:p>
    <w:p w:rsidR="00984586" w:rsidRPr="002A62DE" w:rsidRDefault="00984586" w:rsidP="00984586">
      <w:pPr>
        <w:ind w:left="720"/>
        <w:rPr>
          <w:b/>
          <w:i/>
          <w:noProof/>
        </w:rPr>
      </w:pPr>
    </w:p>
    <w:p w:rsidR="00984586" w:rsidRPr="002A62DE" w:rsidRDefault="00984586" w:rsidP="00984586">
      <w:pPr>
        <w:ind w:left="851"/>
        <w:jc w:val="both"/>
        <w:rPr>
          <w:b/>
          <w:i/>
          <w:noProof/>
        </w:rPr>
      </w:pPr>
      <w:r w:rsidRPr="002A62DE">
        <w:rPr>
          <w:b/>
          <w:i/>
        </w:rPr>
        <w:t>a) totožnost administrátorů, včetně v případě dostupnosti identifikátoru právnické osoby (LEI), kteří získali povolení k činnosti nebo byli zaregistrováni podle článku 34, a příslušné orgány odpovědné za dohled nad nimi;</w:t>
      </w:r>
    </w:p>
    <w:p w:rsidR="00984586" w:rsidRPr="002A62DE" w:rsidRDefault="00984586" w:rsidP="00984586">
      <w:pPr>
        <w:ind w:left="720"/>
        <w:jc w:val="both"/>
        <w:rPr>
          <w:noProof/>
        </w:rPr>
      </w:pPr>
    </w:p>
    <w:p w:rsidR="00984586" w:rsidRPr="002A62DE" w:rsidRDefault="00984586" w:rsidP="00984586">
      <w:pPr>
        <w:ind w:left="851"/>
        <w:jc w:val="both"/>
        <w:rPr>
          <w:b/>
          <w:i/>
          <w:noProof/>
        </w:rPr>
      </w:pPr>
      <w:r w:rsidRPr="002A62DE">
        <w:rPr>
          <w:b/>
          <w:i/>
        </w:rPr>
        <w:t>b) totožnost administrátorů, včetně v případě dostupnosti identifikátoru LEI, kteří splňují podmínky stanovené v čl. 30 odst. 1, seznam referenčních hodnot – včetně v případě dostupnosti jejich mezinárodních identifikačních čísel cenných papírů (ISIN) – uvedený v čl. 30 odst. 1 písm. c) a příslušné orgány třetí země odpovědné za dohled nad nimi;</w:t>
      </w:r>
    </w:p>
    <w:p w:rsidR="00984586" w:rsidRPr="002A62DE" w:rsidRDefault="00984586" w:rsidP="00984586">
      <w:pPr>
        <w:ind w:left="720"/>
        <w:jc w:val="both"/>
        <w:rPr>
          <w:noProof/>
        </w:rPr>
      </w:pPr>
    </w:p>
    <w:p w:rsidR="00984586" w:rsidRPr="002A62DE" w:rsidRDefault="00984586" w:rsidP="00984586">
      <w:pPr>
        <w:ind w:left="851"/>
        <w:jc w:val="both"/>
        <w:rPr>
          <w:b/>
          <w:i/>
          <w:noProof/>
        </w:rPr>
      </w:pPr>
      <w:r w:rsidRPr="002A62DE">
        <w:rPr>
          <w:b/>
          <w:i/>
        </w:rPr>
        <w:t>c) totožnost administrátorů, včetně v případě dostupnosti identifikátoru LEI, kteří získali uznání v souladu s článkem 32, seznam referenčních hodnot – včetně v případě dostupnosti jejich čísel (ISIN) – uvedený v čl. 32 odst. 7 a případně příslušné orgány třetí země odpovědné za dohled nad nimi;</w:t>
      </w:r>
    </w:p>
    <w:p w:rsidR="00984586" w:rsidRPr="002A62DE" w:rsidRDefault="00984586" w:rsidP="00984586">
      <w:pPr>
        <w:ind w:left="720"/>
        <w:rPr>
          <w:noProof/>
        </w:rPr>
      </w:pPr>
    </w:p>
    <w:p w:rsidR="00984586" w:rsidRPr="002A62DE" w:rsidRDefault="00984586" w:rsidP="00984586">
      <w:pPr>
        <w:ind w:left="850"/>
        <w:jc w:val="both"/>
        <w:rPr>
          <w:b/>
          <w:i/>
          <w:noProof/>
        </w:rPr>
      </w:pPr>
      <w:r w:rsidRPr="002A62DE">
        <w:rPr>
          <w:b/>
          <w:i/>
        </w:rPr>
        <w:t xml:space="preserve">d) </w:t>
      </w:r>
      <w:r w:rsidRPr="002A62DE">
        <w:rPr>
          <w:b/>
          <w:bCs/>
          <w:i/>
          <w:iCs/>
        </w:rPr>
        <w:t xml:space="preserve">referenční hodnoty přejaté v souladu s postupem stanoveným v článku 33, totožnost jejich administrátorů a totožnost přejímajících administrátorů nebo </w:t>
      </w:r>
      <w:r w:rsidRPr="002A62DE">
        <w:rPr>
          <w:b/>
          <w:bCs/>
          <w:i/>
          <w:iCs/>
        </w:rPr>
        <w:lastRenderedPageBreak/>
        <w:t>přejímajících dohlížených osob.</w:t>
      </w:r>
      <w:r w:rsidRPr="002A62DE">
        <w:t>;</w:t>
      </w:r>
    </w:p>
    <w:p w:rsidR="00984586" w:rsidRPr="002A62DE" w:rsidRDefault="00984586" w:rsidP="00984586">
      <w:pPr>
        <w:ind w:left="1134"/>
        <w:rPr>
          <w:noProof/>
        </w:rPr>
      </w:pPr>
    </w:p>
    <w:p w:rsidR="00984586" w:rsidRPr="002A62DE" w:rsidRDefault="00984586" w:rsidP="00984586">
      <w:pPr>
        <w:pStyle w:val="Point0"/>
        <w:rPr>
          <w:noProof/>
        </w:rPr>
      </w:pPr>
      <w:r w:rsidRPr="002A62DE">
        <w:t>17)</w:t>
      </w:r>
      <w:r w:rsidRPr="002A62DE">
        <w:tab/>
        <w:t>V čl. 36 odst. 1</w:t>
      </w:r>
      <w:r w:rsidRPr="002A62DE">
        <w:rPr>
          <w:b/>
          <w:bCs/>
          <w:i/>
          <w:iCs/>
        </w:rPr>
        <w:t>:</w:t>
      </w:r>
      <w:r w:rsidRPr="002A62DE">
        <w:t xml:space="preserve"> </w:t>
      </w:r>
    </w:p>
    <w:p w:rsidR="00984586" w:rsidRPr="002A62DE" w:rsidRDefault="00984586" w:rsidP="00984586">
      <w:pPr>
        <w:pStyle w:val="Point0"/>
        <w:rPr>
          <w:noProof/>
        </w:rPr>
      </w:pPr>
      <w:r w:rsidRPr="001F536B">
        <w:rPr>
          <w:b/>
          <w:i/>
        </w:rPr>
        <w:t>a)</w:t>
      </w:r>
      <w:r w:rsidRPr="002A62DE">
        <w:t xml:space="preserve"> </w:t>
      </w:r>
      <w:r w:rsidRPr="002A62DE">
        <w:rPr>
          <w:b/>
          <w:bCs/>
          <w:i/>
          <w:iCs/>
        </w:rPr>
        <w:t xml:space="preserve">se mění </w:t>
      </w:r>
      <w:r w:rsidRPr="002A62DE">
        <w:t xml:space="preserve">písmena e) až j) </w:t>
      </w:r>
      <w:r w:rsidRPr="002A62DE">
        <w:rPr>
          <w:b/>
          <w:bCs/>
          <w:i/>
          <w:iCs/>
        </w:rPr>
        <w:t>takto</w:t>
      </w:r>
      <w:r w:rsidRPr="002A62DE">
        <w:t xml:space="preserve">: </w:t>
      </w:r>
    </w:p>
    <w:p w:rsidR="00984586" w:rsidRPr="002A62DE" w:rsidRDefault="00984586" w:rsidP="00984586">
      <w:pPr>
        <w:pStyle w:val="Text1"/>
        <w:ind w:left="1134" w:hanging="567"/>
        <w:rPr>
          <w:noProof/>
        </w:rPr>
      </w:pPr>
      <w:r w:rsidRPr="002A62DE">
        <w:t>„e)</w:t>
      </w:r>
      <w:r w:rsidRPr="002A62DE">
        <w:tab/>
        <w:t xml:space="preserve">referenční hodnoty, </w:t>
      </w:r>
      <w:r w:rsidRPr="002A62DE">
        <w:rPr>
          <w:b/>
          <w:bCs/>
          <w:i/>
          <w:iCs/>
        </w:rPr>
        <w:t>včetně v případě dostupnosti jejich čísel ISIN,</w:t>
      </w:r>
      <w:r w:rsidRPr="002A62DE">
        <w:t xml:space="preserve"> na které se vztahuje prohlášení zveřejněné orgánem ESMA nebo příslušným orgánem podle čl. 24 odst. 2, a hypertextové odkazy na tato prohlášení;</w:t>
      </w:r>
    </w:p>
    <w:p w:rsidR="00984586" w:rsidRPr="002A62DE" w:rsidRDefault="00984586" w:rsidP="00984586">
      <w:pPr>
        <w:pStyle w:val="Text1"/>
        <w:ind w:left="1134" w:hanging="567"/>
        <w:rPr>
          <w:noProof/>
        </w:rPr>
      </w:pPr>
      <w:r w:rsidRPr="002A62DE">
        <w:t>f)</w:t>
      </w:r>
      <w:r w:rsidRPr="002A62DE">
        <w:tab/>
        <w:t xml:space="preserve">referenční hodnoty, </w:t>
      </w:r>
      <w:r w:rsidRPr="002A62DE">
        <w:rPr>
          <w:b/>
          <w:bCs/>
          <w:i/>
          <w:iCs/>
        </w:rPr>
        <w:t>včetně v případě dostupnosti jejich čísel ISIN,</w:t>
      </w:r>
      <w:r w:rsidRPr="002A62DE">
        <w:t xml:space="preserve"> na které se vztahují určení příslušnými orgány oznámená orgánu ESMA podle čl. 24 odst. 4, a hypertextové odkazy na tato určení;</w:t>
      </w:r>
    </w:p>
    <w:p w:rsidR="00984586" w:rsidRPr="002A62DE" w:rsidRDefault="00984586" w:rsidP="00984586">
      <w:pPr>
        <w:pStyle w:val="Text1"/>
        <w:ind w:left="1134" w:hanging="567"/>
        <w:rPr>
          <w:noProof/>
        </w:rPr>
      </w:pPr>
      <w:r w:rsidRPr="002A62DE">
        <w:t>g)</w:t>
      </w:r>
      <w:r w:rsidRPr="002A62DE">
        <w:tab/>
        <w:t xml:space="preserve">referenční hodnoty, </w:t>
      </w:r>
      <w:r w:rsidRPr="002A62DE">
        <w:rPr>
          <w:b/>
          <w:bCs/>
          <w:i/>
          <w:iCs/>
        </w:rPr>
        <w:t>včetně v případě dostupnosti jejich čísel ISIN,</w:t>
      </w:r>
      <w:r w:rsidRPr="002A62DE">
        <w:t xml:space="preserve"> na které se vztahují určení orgánem ESMA, a hypertextové odkazy na tato určení; </w:t>
      </w:r>
    </w:p>
    <w:p w:rsidR="00984586" w:rsidRPr="002A62DE" w:rsidRDefault="00984586" w:rsidP="00984586">
      <w:pPr>
        <w:pStyle w:val="Text1"/>
        <w:ind w:left="1134" w:hanging="567"/>
        <w:rPr>
          <w:noProof/>
        </w:rPr>
      </w:pPr>
      <w:r w:rsidRPr="002A62DE">
        <w:t>h)</w:t>
      </w:r>
      <w:r w:rsidRPr="002A62DE">
        <w:tab/>
        <w:t xml:space="preserve">referenční hodnoty, </w:t>
      </w:r>
      <w:r w:rsidRPr="002A62DE">
        <w:rPr>
          <w:b/>
          <w:bCs/>
          <w:i/>
          <w:iCs/>
        </w:rPr>
        <w:t>včetně v případě dostupnosti jejich čísel ISIN,</w:t>
      </w:r>
      <w:r w:rsidRPr="002A62DE">
        <w:t xml:space="preserve"> na které se vztahují veřejná oznámení vydaná orgánem ESMA a příslušnými orgány podle čl. 24a odst. 5, a hypertextové odkazy na tato veřejná oznámení;</w:t>
      </w:r>
    </w:p>
    <w:p w:rsidR="00984586" w:rsidRPr="002A62DE" w:rsidRDefault="00984586" w:rsidP="00984586">
      <w:pPr>
        <w:pStyle w:val="Text1"/>
        <w:ind w:left="1134" w:hanging="567"/>
        <w:rPr>
          <w:noProof/>
        </w:rPr>
      </w:pPr>
      <w:r w:rsidRPr="002A62DE">
        <w:t>i)</w:t>
      </w:r>
      <w:r w:rsidRPr="002A62DE">
        <w:tab/>
        <w:t xml:space="preserve">výčet referenčních hodnot EU pro transformaci hospodářství spjatou s klimatem a referenčních hodnot EU navázaných na Pařížskou dohodu, které jsou k dispozici pro použití v Unii, </w:t>
      </w:r>
      <w:r w:rsidRPr="002A62DE">
        <w:rPr>
          <w:b/>
          <w:bCs/>
          <w:i/>
          <w:iCs/>
        </w:rPr>
        <w:t>včetně v případě dostupnosti jejich čísel ISIN</w:t>
      </w:r>
      <w:r w:rsidRPr="002A62DE">
        <w:t>;</w:t>
      </w:r>
    </w:p>
    <w:p w:rsidR="00984586" w:rsidRPr="002A62DE" w:rsidRDefault="00984586" w:rsidP="00984586">
      <w:pPr>
        <w:pStyle w:val="Text1"/>
        <w:ind w:left="1134" w:hanging="567"/>
        <w:rPr>
          <w:noProof/>
        </w:rPr>
      </w:pPr>
      <w:r w:rsidRPr="002A62DE">
        <w:t>j)</w:t>
      </w:r>
      <w:r w:rsidRPr="002A62DE">
        <w:tab/>
        <w:t xml:space="preserve">výčet referenčních hodnot s kritickým významem, </w:t>
      </w:r>
      <w:r w:rsidRPr="002A62DE">
        <w:rPr>
          <w:b/>
          <w:bCs/>
          <w:i/>
          <w:iCs/>
        </w:rPr>
        <w:t>včetně v případě dostupnosti jejich čísel ISIN</w:t>
      </w:r>
      <w:r w:rsidRPr="002A62DE">
        <w:t>.“;</w:t>
      </w:r>
    </w:p>
    <w:p w:rsidR="00984586" w:rsidRPr="001F536B" w:rsidRDefault="00984586" w:rsidP="00984586">
      <w:pPr>
        <w:pStyle w:val="Text1"/>
        <w:ind w:left="0"/>
        <w:rPr>
          <w:b/>
          <w:i/>
          <w:noProof/>
        </w:rPr>
      </w:pPr>
      <w:r w:rsidRPr="001F536B">
        <w:rPr>
          <w:b/>
          <w:i/>
        </w:rPr>
        <w:t xml:space="preserve">b) vkládá se nové písmeno </w:t>
      </w:r>
      <w:proofErr w:type="spellStart"/>
      <w:r w:rsidRPr="001F536B">
        <w:rPr>
          <w:b/>
          <w:i/>
        </w:rPr>
        <w:t>ja</w:t>
      </w:r>
      <w:proofErr w:type="spellEnd"/>
      <w:r w:rsidRPr="001F536B">
        <w:rPr>
          <w:b/>
          <w:i/>
        </w:rPr>
        <w:t>), které zní:</w:t>
      </w:r>
    </w:p>
    <w:p w:rsidR="00984586" w:rsidRPr="002A62DE" w:rsidRDefault="00984586" w:rsidP="00984586">
      <w:pPr>
        <w:pStyle w:val="Text1"/>
        <w:ind w:left="567" w:hanging="567"/>
        <w:rPr>
          <w:noProof/>
        </w:rPr>
      </w:pPr>
    </w:p>
    <w:p w:rsidR="00984586" w:rsidRPr="002A62DE" w:rsidRDefault="00984586" w:rsidP="00984586">
      <w:pPr>
        <w:pStyle w:val="Text1"/>
        <w:ind w:left="1134" w:hanging="567"/>
        <w:rPr>
          <w:b/>
          <w:i/>
          <w:noProof/>
        </w:rPr>
      </w:pPr>
      <w:r w:rsidRPr="002A62DE">
        <w:t>„</w:t>
      </w:r>
      <w:proofErr w:type="spellStart"/>
      <w:r w:rsidRPr="002A62DE">
        <w:rPr>
          <w:b/>
          <w:i/>
        </w:rPr>
        <w:t>ja</w:t>
      </w:r>
      <w:proofErr w:type="spellEnd"/>
      <w:r w:rsidRPr="002A62DE">
        <w:rPr>
          <w:b/>
          <w:i/>
        </w:rPr>
        <w:t>)</w:t>
      </w:r>
      <w:r w:rsidRPr="002A62DE">
        <w:rPr>
          <w:b/>
          <w:i/>
        </w:rPr>
        <w:tab/>
      </w:r>
      <w:r w:rsidRPr="002A62DE">
        <w:rPr>
          <w:b/>
          <w:bCs/>
          <w:i/>
          <w:iCs/>
        </w:rPr>
        <w:t xml:space="preserve">seznam referenčních hodnot cen komodit podle přílohy II, včetně </w:t>
      </w:r>
      <w:r w:rsidRPr="002A62DE">
        <w:rPr>
          <w:b/>
          <w:bCs/>
          <w:i/>
          <w:iCs/>
          <w:color w:val="FFFFFF" w:themeColor="background1"/>
        </w:rPr>
        <w:t>v případě dostupnosti</w:t>
      </w:r>
      <w:r w:rsidRPr="002A62DE">
        <w:rPr>
          <w:b/>
          <w:bCs/>
          <w:i/>
          <w:iCs/>
        </w:rPr>
        <w:t xml:space="preserve"> jejich čísel ISIN, které jsou k dispozici pro použití v Unii.</w:t>
      </w:r>
    </w:p>
    <w:p w:rsidR="00984586" w:rsidRPr="002A62DE" w:rsidRDefault="00984586" w:rsidP="00984586">
      <w:pPr>
        <w:pStyle w:val="Text1"/>
        <w:spacing w:before="0" w:after="0"/>
        <w:ind w:left="0"/>
        <w:rPr>
          <w:b/>
          <w:i/>
          <w:noProof/>
        </w:rPr>
      </w:pPr>
      <w:r w:rsidRPr="002A62DE">
        <w:rPr>
          <w:b/>
          <w:i/>
        </w:rPr>
        <w:t>17a)</w:t>
      </w:r>
      <w:r w:rsidRPr="002A62DE">
        <w:rPr>
          <w:b/>
          <w:i/>
        </w:rPr>
        <w:tab/>
        <w:t>v článku 40 se odstavec 1 mění takto:</w:t>
      </w:r>
    </w:p>
    <w:p w:rsidR="00984586" w:rsidRPr="002A62DE" w:rsidRDefault="00984586" w:rsidP="00984586">
      <w:pPr>
        <w:pStyle w:val="Text1"/>
        <w:spacing w:before="240" w:after="0"/>
        <w:ind w:left="851" w:hanging="284"/>
        <w:rPr>
          <w:b/>
          <w:i/>
          <w:noProof/>
        </w:rPr>
      </w:pPr>
      <w:r w:rsidRPr="002A62DE">
        <w:t>„</w:t>
      </w:r>
      <w:r w:rsidRPr="002A62DE">
        <w:rPr>
          <w:b/>
          <w:i/>
        </w:rPr>
        <w:t>1. Pro účely tohoto nařízení je ESMA příslušným orgánem pro:</w:t>
      </w:r>
    </w:p>
    <w:p w:rsidR="00984586" w:rsidRPr="002A62DE" w:rsidRDefault="00984586" w:rsidP="00984586">
      <w:pPr>
        <w:pStyle w:val="Text1"/>
        <w:spacing w:after="0"/>
        <w:ind w:left="567"/>
        <w:rPr>
          <w:b/>
          <w:i/>
          <w:noProof/>
        </w:rPr>
      </w:pPr>
      <w:r w:rsidRPr="002A62DE">
        <w:rPr>
          <w:b/>
          <w:i/>
        </w:rPr>
        <w:t>a) administrátory referenčních hodnot s kritickým významem podle čl. 20 odst. 1 písm. a) a c);</w:t>
      </w:r>
    </w:p>
    <w:p w:rsidR="00984586" w:rsidRPr="002A62DE" w:rsidRDefault="00984586" w:rsidP="00984586">
      <w:pPr>
        <w:pStyle w:val="Text1"/>
        <w:spacing w:after="0"/>
        <w:ind w:left="131" w:firstLine="436"/>
        <w:rPr>
          <w:b/>
          <w:i/>
          <w:noProof/>
        </w:rPr>
      </w:pPr>
      <w:r w:rsidRPr="002A62DE">
        <w:rPr>
          <w:b/>
          <w:i/>
        </w:rPr>
        <w:t>b) administrátory referenčních hodnot podle článku 32;</w:t>
      </w:r>
    </w:p>
    <w:p w:rsidR="00984586" w:rsidRPr="002A62DE" w:rsidRDefault="00984586" w:rsidP="00984586">
      <w:pPr>
        <w:pStyle w:val="Text1"/>
        <w:spacing w:after="0"/>
        <w:ind w:left="567"/>
        <w:rPr>
          <w:b/>
          <w:i/>
          <w:noProof/>
        </w:rPr>
      </w:pPr>
      <w:r w:rsidRPr="002A62DE">
        <w:rPr>
          <w:b/>
          <w:i/>
        </w:rPr>
        <w:t>c) administrátory referenčních hodnot, které mají značný význam v rámci Unie, jak je uvedeno v čl. 24 odst. 2, 5 a 6;</w:t>
      </w:r>
    </w:p>
    <w:p w:rsidR="00984586" w:rsidRPr="002A62DE" w:rsidRDefault="00984586" w:rsidP="00984586">
      <w:pPr>
        <w:pStyle w:val="Text1"/>
        <w:spacing w:after="0"/>
        <w:ind w:left="567"/>
        <w:rPr>
          <w:b/>
          <w:i/>
          <w:noProof/>
        </w:rPr>
      </w:pPr>
      <w:r w:rsidRPr="002A62DE">
        <w:rPr>
          <w:b/>
          <w:i/>
        </w:rPr>
        <w:t>d) administrátory, kteří přejímají referenční hodnoty poskytované ve třetí zemi v souladu s článkem 33;</w:t>
      </w:r>
    </w:p>
    <w:p w:rsidR="00984586" w:rsidRPr="002A62DE" w:rsidRDefault="00984586" w:rsidP="00984586">
      <w:pPr>
        <w:pStyle w:val="Text1"/>
        <w:spacing w:after="0"/>
        <w:ind w:left="567"/>
        <w:rPr>
          <w:b/>
          <w:i/>
          <w:noProof/>
        </w:rPr>
      </w:pPr>
      <w:r w:rsidRPr="002A62DE">
        <w:rPr>
          <w:b/>
          <w:i/>
        </w:rPr>
        <w:t>e) administrátory referenčních hodnot EU pro transformaci hospodářství spjatou s klimatem a referenčních hodnot EU navázaných na Pařížskou dohodu uvedených v čl. 3 bodu 23a a 23b.</w:t>
      </w:r>
      <w:r w:rsidRPr="002A62DE">
        <w:t>;</w:t>
      </w:r>
    </w:p>
    <w:p w:rsidR="00984586" w:rsidRPr="002A62DE" w:rsidRDefault="00984586" w:rsidP="00984586">
      <w:pPr>
        <w:pStyle w:val="Text1"/>
        <w:ind w:left="1134" w:hanging="567"/>
        <w:rPr>
          <w:b/>
          <w:i/>
          <w:noProof/>
        </w:rPr>
      </w:pPr>
    </w:p>
    <w:p w:rsidR="00984586" w:rsidRPr="002A62DE" w:rsidRDefault="00984586" w:rsidP="00984586">
      <w:pPr>
        <w:pStyle w:val="Point0"/>
        <w:rPr>
          <w:noProof/>
        </w:rPr>
      </w:pPr>
      <w:r w:rsidRPr="002A62DE">
        <w:t>18)</w:t>
      </w:r>
      <w:r w:rsidRPr="002A62DE">
        <w:tab/>
        <w:t xml:space="preserve">V čl. 41 odst. 1 se doplňují nová písmena k) a l), která znějí: </w:t>
      </w:r>
    </w:p>
    <w:p w:rsidR="00984586" w:rsidRPr="002A62DE" w:rsidRDefault="00984586" w:rsidP="00984586">
      <w:pPr>
        <w:pStyle w:val="Text1"/>
        <w:ind w:left="1134" w:hanging="567"/>
        <w:rPr>
          <w:noProof/>
        </w:rPr>
      </w:pPr>
      <w:r w:rsidRPr="002A62DE">
        <w:t>„k)</w:t>
      </w:r>
      <w:r w:rsidRPr="002A62DE">
        <w:tab/>
        <w:t xml:space="preserve">určit referenční hodnotu jako referenční hodnotu se značným významem podle čl. 24 odst. 3; </w:t>
      </w:r>
    </w:p>
    <w:p w:rsidR="00984586" w:rsidRPr="002A62DE" w:rsidRDefault="00984586" w:rsidP="00984586">
      <w:pPr>
        <w:pStyle w:val="Text1"/>
        <w:ind w:left="1134" w:hanging="567"/>
        <w:rPr>
          <w:noProof/>
        </w:rPr>
      </w:pPr>
      <w:r w:rsidRPr="002A62DE">
        <w:lastRenderedPageBreak/>
        <w:t>l)</w:t>
      </w:r>
      <w:r w:rsidRPr="002A62DE">
        <w:tab/>
        <w:t xml:space="preserve">v případě důvodného podezření na porušení některého z požadavků stanovených v kapitole 3A požadovat, aby administrátor na dobu nejvýše dvanácti měsíců: </w:t>
      </w:r>
    </w:p>
    <w:p w:rsidR="00984586" w:rsidRPr="002A62DE" w:rsidRDefault="00984586" w:rsidP="00984586">
      <w:pPr>
        <w:pStyle w:val="Text1"/>
        <w:ind w:left="2160" w:hanging="1026"/>
        <w:rPr>
          <w:noProof/>
        </w:rPr>
      </w:pPr>
      <w:r w:rsidRPr="002A62DE">
        <w:t>i)</w:t>
      </w:r>
      <w:r w:rsidRPr="002A62DE">
        <w:tab/>
        <w:t xml:space="preserve">ukončil poskytování referenčních hodnot EU pro transformaci hospodářství spjatou s klimatem nebo referenčních hodnot EU navázaných na Pařížskou dohodu; </w:t>
      </w:r>
    </w:p>
    <w:p w:rsidR="00984586" w:rsidRPr="002A62DE" w:rsidRDefault="00984586" w:rsidP="00984586">
      <w:pPr>
        <w:pStyle w:val="Text1"/>
        <w:ind w:left="2160" w:hanging="1026"/>
        <w:rPr>
          <w:noProof/>
        </w:rPr>
      </w:pPr>
      <w:proofErr w:type="spellStart"/>
      <w:r w:rsidRPr="002A62DE">
        <w:t>ii</w:t>
      </w:r>
      <w:proofErr w:type="spellEnd"/>
      <w:r w:rsidRPr="002A62DE">
        <w:t>)</w:t>
      </w:r>
      <w:r w:rsidRPr="002A62DE">
        <w:tab/>
        <w:t>neuváděl odkazy na referenční hodnoty EU pro transformaci hospodářství spjatou s klimatem a referenční hodnoty EU navázané na Pařížskou dohodu v názvu referenčních hodnot, které zpřístupňuje k použití v Unii, nebo v právní či marketingové dokumentaci těchto referenčních hodnot;</w:t>
      </w:r>
    </w:p>
    <w:p w:rsidR="00984586" w:rsidRPr="002A62DE" w:rsidRDefault="00984586" w:rsidP="00984586">
      <w:pPr>
        <w:pStyle w:val="Text1"/>
        <w:ind w:left="2160" w:hanging="1026"/>
        <w:rPr>
          <w:noProof/>
        </w:rPr>
      </w:pPr>
      <w:proofErr w:type="spellStart"/>
      <w:r w:rsidRPr="002A62DE">
        <w:t>iii</w:t>
      </w:r>
      <w:proofErr w:type="spellEnd"/>
      <w:r w:rsidRPr="002A62DE">
        <w:t>)</w:t>
      </w:r>
      <w:r w:rsidRPr="002A62DE">
        <w:tab/>
        <w:t>neuváděl odkazy na splnění požadavků, které se vztahují na poskytování těchto referenčních hodnot, v názvu referenčních hodnot, které zpřístupňuje pro použití v Unii, nebo v právní či marketingové dokumentaci těchto referenčních hodnot;“.</w:t>
      </w:r>
    </w:p>
    <w:p w:rsidR="00984586" w:rsidRPr="002A62DE" w:rsidRDefault="00984586" w:rsidP="00984586">
      <w:pPr>
        <w:pStyle w:val="Point0"/>
        <w:rPr>
          <w:noProof/>
        </w:rPr>
      </w:pPr>
      <w:r w:rsidRPr="002A62DE">
        <w:t>19)</w:t>
      </w:r>
      <w:r w:rsidRPr="002A62DE">
        <w:tab/>
        <w:t xml:space="preserve">Článek 42 se mění takto: </w:t>
      </w:r>
    </w:p>
    <w:p w:rsidR="00984586" w:rsidRPr="002A62DE" w:rsidRDefault="00984586" w:rsidP="00984586">
      <w:pPr>
        <w:pStyle w:val="Point1"/>
        <w:rPr>
          <w:noProof/>
        </w:rPr>
      </w:pPr>
      <w:r w:rsidRPr="002A62DE">
        <w:t>a)</w:t>
      </w:r>
      <w:r w:rsidRPr="002A62DE">
        <w:tab/>
        <w:t>v odstavci 1 se písmeno a) nahrazuje tímto:</w:t>
      </w:r>
    </w:p>
    <w:p w:rsidR="00984586" w:rsidRPr="002A62DE" w:rsidRDefault="00984586" w:rsidP="00984586">
      <w:pPr>
        <w:ind w:left="1134"/>
        <w:rPr>
          <w:noProof/>
        </w:rPr>
      </w:pPr>
      <w:r w:rsidRPr="002A62DE">
        <w:t>„a) jakékoli porušení článků 4 až 16, článků 19a, 19b, 19c a 21, článků 23 až 29 nebo článku 34, pokud se tyto články použijí, a“;</w:t>
      </w:r>
    </w:p>
    <w:p w:rsidR="00984586" w:rsidRPr="002A62DE" w:rsidRDefault="00984586" w:rsidP="00984586">
      <w:pPr>
        <w:pStyle w:val="Point1"/>
        <w:rPr>
          <w:noProof/>
        </w:rPr>
      </w:pPr>
      <w:r w:rsidRPr="002A62DE">
        <w:t>b)</w:t>
      </w:r>
      <w:r w:rsidRPr="002A62DE">
        <w:tab/>
        <w:t>odstavec 2 se mění takto:</w:t>
      </w:r>
    </w:p>
    <w:p w:rsidR="00984586" w:rsidRPr="002A62DE" w:rsidRDefault="00984586" w:rsidP="00984586">
      <w:pPr>
        <w:pStyle w:val="Text2"/>
        <w:rPr>
          <w:noProof/>
        </w:rPr>
      </w:pPr>
      <w:r w:rsidRPr="002A62DE">
        <w:t>i)</w:t>
      </w:r>
      <w:r w:rsidRPr="002A62DE">
        <w:tab/>
        <w:t>v písmeni g) se bod i) nahrazuje tímto:</w:t>
      </w:r>
    </w:p>
    <w:p w:rsidR="00984586" w:rsidRPr="002A62DE" w:rsidRDefault="00984586" w:rsidP="00984586">
      <w:pPr>
        <w:pStyle w:val="Text2"/>
        <w:rPr>
          <w:noProof/>
        </w:rPr>
      </w:pPr>
      <w:r w:rsidRPr="002A62DE">
        <w:t>„i)</w:t>
      </w:r>
      <w:r w:rsidRPr="002A62DE">
        <w:tab/>
        <w:t>v případě porušení článků 4 až 10, čl. 11 odst. 1 písm. a), b), c) a e), čl. 11 odst. 2 a 3, článků 12 až 16, článku 21, článků 23 až 29 a 34 nejméně 500 000 EUR nebo v členských státech, jejichž úřední měnou není euro, odpovídající hodnotu ve vnitrostátní měně ke dni 31. prosince 2023, nebo“;</w:t>
      </w:r>
    </w:p>
    <w:p w:rsidR="00984586" w:rsidRPr="002A62DE" w:rsidRDefault="00984586" w:rsidP="00984586">
      <w:pPr>
        <w:pStyle w:val="Text2"/>
        <w:rPr>
          <w:noProof/>
        </w:rPr>
      </w:pPr>
      <w:proofErr w:type="spellStart"/>
      <w:r w:rsidRPr="002A62DE">
        <w:t>ii</w:t>
      </w:r>
      <w:proofErr w:type="spellEnd"/>
      <w:r w:rsidRPr="002A62DE">
        <w:t>)</w:t>
      </w:r>
      <w:r w:rsidRPr="002A62DE">
        <w:tab/>
        <w:t>v písmenu h) se bod i) nahrazuje tímto:</w:t>
      </w:r>
    </w:p>
    <w:p w:rsidR="00984586" w:rsidRPr="002A62DE" w:rsidRDefault="00984586" w:rsidP="00984586">
      <w:pPr>
        <w:pStyle w:val="Text2"/>
        <w:rPr>
          <w:noProof/>
        </w:rPr>
      </w:pPr>
      <w:r w:rsidRPr="002A62DE">
        <w:t>„i)</w:t>
      </w:r>
      <w:r w:rsidRPr="002A62DE">
        <w:tab/>
        <w:t>v případě porušení článků porušení článků 4 až 10, čl. 11 odst. 1 písm. a), b), c) a e), čl. 11 odst. 2 a 3, článků 12 až 16, článku 21, článků 23 až 29 a 34 buď nejméně 1 000 000 EUR, nebo v členských státech, jejichž úřední měnou není euro, odpovídající hodnotu ve vnitrostátní měně ke dni 31. prosince 2023, nebo nejméně 10 % jejich celkového ročního obratu podle poslední dostupné účetní závěrky schválené vedoucím orgánem, podle toho, která částka je vyšší, nebo“;</w:t>
      </w:r>
    </w:p>
    <w:p w:rsidR="00984586" w:rsidRPr="002A62DE" w:rsidRDefault="00984586" w:rsidP="00984586">
      <w:pPr>
        <w:pStyle w:val="Point0"/>
        <w:rPr>
          <w:b/>
          <w:i/>
        </w:rPr>
      </w:pPr>
      <w:r w:rsidRPr="002A62DE">
        <w:rPr>
          <w:b/>
          <w:i/>
        </w:rPr>
        <w:t>19a)</w:t>
      </w:r>
      <w:r w:rsidRPr="002A62DE">
        <w:rPr>
          <w:b/>
          <w:i/>
        </w:rPr>
        <w:tab/>
        <w:t xml:space="preserve">V čl. 48e odst. 1 se </w:t>
      </w:r>
      <w:proofErr w:type="spellStart"/>
      <w:r w:rsidRPr="002A62DE">
        <w:rPr>
          <w:b/>
          <w:i/>
        </w:rPr>
        <w:t>návětí</w:t>
      </w:r>
      <w:proofErr w:type="spellEnd"/>
      <w:r w:rsidRPr="002A62DE">
        <w:rPr>
          <w:b/>
          <w:i/>
        </w:rPr>
        <w:t xml:space="preserve"> mění takto:</w:t>
      </w:r>
    </w:p>
    <w:p w:rsidR="00984586" w:rsidRPr="002A62DE" w:rsidRDefault="00984586" w:rsidP="00984586">
      <w:pPr>
        <w:pStyle w:val="Point0"/>
        <w:rPr>
          <w:b/>
          <w:i/>
        </w:rPr>
      </w:pPr>
      <w:r w:rsidRPr="002A62DE">
        <w:rPr>
          <w:b/>
          <w:i/>
        </w:rPr>
        <w:tab/>
      </w:r>
      <w:r w:rsidRPr="002A62DE">
        <w:t>„</w:t>
      </w:r>
      <w:r w:rsidRPr="002A62DE">
        <w:rPr>
          <w:b/>
          <w:i/>
        </w:rPr>
        <w:t xml:space="preserve">Pokud v souladu s čl. 48i odst. 5 orgán ESMA zjistí, že se osoba úmyslně nebo z nedbalosti dopustila jednoho nebo více porušení pravidel uvedených v čl. 42 odst. 1 písm. a) nebo že nespolupracovala nebo nevyhověla při vyšetřování nebo kontrole či žádosti podle oddílu 1 této kapitoly, přijme rozhodnutí o uložení pokuty podle odstavce 2 tohoto článku. Porušení pravidel se považuje za úmyslné, pokud orgán ESMA zjistí objektivní skutečnosti, které prokazují, že daná osoba jednala úmyslně s cílem porušit </w:t>
      </w:r>
      <w:proofErr w:type="gramStart"/>
      <w:r w:rsidRPr="002A62DE">
        <w:rPr>
          <w:b/>
          <w:i/>
        </w:rPr>
        <w:t>pravidla.</w:t>
      </w:r>
      <w:r w:rsidRPr="002A62DE">
        <w:t xml:space="preserve"> ;</w:t>
      </w:r>
      <w:proofErr w:type="gramEnd"/>
    </w:p>
    <w:p w:rsidR="00984586" w:rsidRPr="002A62DE" w:rsidRDefault="00984586" w:rsidP="00984586">
      <w:pPr>
        <w:pStyle w:val="Point0"/>
        <w:rPr>
          <w:b/>
          <w:i/>
        </w:rPr>
      </w:pPr>
      <w:r w:rsidRPr="002A62DE">
        <w:rPr>
          <w:b/>
          <w:i/>
        </w:rPr>
        <w:t>19b)</w:t>
      </w:r>
      <w:r w:rsidRPr="002A62DE">
        <w:rPr>
          <w:b/>
          <w:i/>
        </w:rPr>
        <w:tab/>
        <w:t xml:space="preserve">V čl. 48f odst. 1 se </w:t>
      </w:r>
      <w:proofErr w:type="spellStart"/>
      <w:r w:rsidRPr="002A62DE">
        <w:rPr>
          <w:b/>
          <w:i/>
        </w:rPr>
        <w:t>návětí</w:t>
      </w:r>
      <w:proofErr w:type="spellEnd"/>
      <w:r w:rsidRPr="002A62DE">
        <w:rPr>
          <w:b/>
          <w:i/>
        </w:rPr>
        <w:t xml:space="preserve"> mění takto:</w:t>
      </w:r>
    </w:p>
    <w:p w:rsidR="00984586" w:rsidRPr="002A62DE" w:rsidRDefault="00984586" w:rsidP="00984586">
      <w:pPr>
        <w:pStyle w:val="Point0"/>
        <w:rPr>
          <w:b/>
          <w:i/>
        </w:rPr>
      </w:pPr>
      <w:r w:rsidRPr="002A62DE">
        <w:rPr>
          <w:b/>
          <w:i/>
        </w:rPr>
        <w:tab/>
      </w:r>
      <w:r w:rsidRPr="002A62DE">
        <w:t>„</w:t>
      </w:r>
      <w:r w:rsidRPr="002A62DE">
        <w:rPr>
          <w:b/>
          <w:bCs/>
          <w:i/>
          <w:iCs/>
        </w:rPr>
        <w:t xml:space="preserve">Pokud v souladu s čl. 48i odst. 5 orgán ESMA zjistí, že se osoba úmyslně nebo z nedbalosti dopustila jednoho nebo více porušení pravidel uvedených v čl. 42 odst. 1 písm. a) nebo že nespolupracovala nebo nevyhověla při vyšetřování nebo kontrole či </w:t>
      </w:r>
      <w:r w:rsidRPr="002A62DE">
        <w:rPr>
          <w:b/>
          <w:bCs/>
          <w:i/>
          <w:iCs/>
        </w:rPr>
        <w:lastRenderedPageBreak/>
        <w:t>žádosti podle oddílu 1 této kapitoly, přijme rozhodnutí o uložení pokuty podle odstavce 2 tohoto článku.</w:t>
      </w:r>
      <w:r w:rsidRPr="002A62DE">
        <w:rPr>
          <w:b/>
          <w:i/>
        </w:rPr>
        <w:t xml:space="preserve"> </w:t>
      </w:r>
      <w:r w:rsidRPr="002A62DE">
        <w:rPr>
          <w:b/>
          <w:bCs/>
          <w:i/>
          <w:iCs/>
        </w:rPr>
        <w:t>Porušení pravidel se považuje za úmyslné, pokud orgán ESMA zjistí objektivní skutečnosti, které prokazují, že daná osoba jednala úmyslně s cílem porušit pravidla.</w:t>
      </w:r>
      <w:r w:rsidRPr="002A62DE">
        <w:t>;</w:t>
      </w:r>
    </w:p>
    <w:p w:rsidR="00984586" w:rsidRPr="002A62DE" w:rsidRDefault="00984586" w:rsidP="00984586">
      <w:pPr>
        <w:pStyle w:val="Point0"/>
        <w:rPr>
          <w:b/>
          <w:i/>
        </w:rPr>
      </w:pPr>
      <w:r w:rsidRPr="002A62DE">
        <w:rPr>
          <w:b/>
          <w:i/>
        </w:rPr>
        <w:t>19c)</w:t>
      </w:r>
      <w:r w:rsidRPr="002A62DE">
        <w:rPr>
          <w:b/>
          <w:i/>
        </w:rPr>
        <w:tab/>
        <w:t>V článku 54 se vkládá nový odstavec 7a, který zní:</w:t>
      </w:r>
    </w:p>
    <w:p w:rsidR="00984586" w:rsidRPr="002A62DE" w:rsidRDefault="00984586" w:rsidP="00984586">
      <w:pPr>
        <w:pStyle w:val="Point0"/>
        <w:ind w:firstLine="1"/>
        <w:rPr>
          <w:b/>
          <w:i/>
        </w:rPr>
      </w:pPr>
      <w:r w:rsidRPr="002A62DE">
        <w:t>„</w:t>
      </w:r>
      <w:r w:rsidRPr="002A62DE">
        <w:rPr>
          <w:b/>
          <w:i/>
        </w:rPr>
        <w:t xml:space="preserve">7a. Do 31. prosince 2028 Komise po konzultaci s orgánem ESMA předloží zprávu Evropskému parlamentu a Radě o nutnosti zavést právní úpravu referenčních hodnot, které činí tvrzení týkající se ESG, vedle referenčních hodnot EU pro transformaci hospodářství spjatou s klimatem a referenčních hodnot EU navázaných na Pařížskou dohodu, s ohledem na situaci a dostupnost referenčních hodnot týkajících se ESG na evropských a celosvětových trzích a míru jejich přijímání na trhu a analyzuje, zda je lze považovat za referenční hodnoty se značným významem, a prozkoumá náklady a účinky na dostupnost na trhu a vyvíjející se povahu udržitelných ukazatelů a metod, které se používají k jejich měření. Ve zprávě se rovněž zohlední nutnost soudržnosti a souladu s jinými právními předpisy Unie, zejména s nařízením (EU) 2019/2088, směrnicí 2011/61/EU a směrnicí 2009/65/ES, jakož i s pokyny orgánu ESMA týkajícími se názvů fondů využívajících pojmy spojené s ESG a udržitelností. </w:t>
      </w:r>
      <w:r w:rsidRPr="002A62DE">
        <w:rPr>
          <w:b/>
          <w:bCs/>
          <w:i/>
          <w:iCs/>
        </w:rPr>
        <w:t>Ke zprávě se připojí posouzení dopadů a případně legislativní návrh.</w:t>
      </w:r>
      <w:r w:rsidRPr="002A62DE">
        <w:t>;</w:t>
      </w:r>
    </w:p>
    <w:p w:rsidR="00984586" w:rsidRPr="002A62DE" w:rsidRDefault="00984586" w:rsidP="00984586">
      <w:pPr>
        <w:pStyle w:val="Text2"/>
        <w:rPr>
          <w:noProof/>
        </w:rPr>
      </w:pPr>
    </w:p>
    <w:p w:rsidR="00984586" w:rsidRPr="002A62DE" w:rsidRDefault="00984586" w:rsidP="00984586">
      <w:pPr>
        <w:pStyle w:val="Point0"/>
        <w:rPr>
          <w:noProof/>
        </w:rPr>
      </w:pPr>
      <w:r w:rsidRPr="002A62DE">
        <w:t>20)</w:t>
      </w:r>
      <w:r w:rsidRPr="002A62DE">
        <w:tab/>
        <w:t>Článek 49 se mění takto:</w:t>
      </w:r>
    </w:p>
    <w:p w:rsidR="00984586" w:rsidRPr="002A62DE" w:rsidRDefault="00984586" w:rsidP="00984586">
      <w:pPr>
        <w:pStyle w:val="Point1"/>
        <w:rPr>
          <w:noProof/>
        </w:rPr>
      </w:pPr>
      <w:r w:rsidRPr="002A62DE">
        <w:t>a)</w:t>
      </w:r>
      <w:r w:rsidRPr="002A62DE">
        <w:tab/>
        <w:t>odstavce 2 a 3 se nahrazují tímto:</w:t>
      </w:r>
    </w:p>
    <w:p w:rsidR="00984586" w:rsidRPr="002A62DE" w:rsidRDefault="00984586" w:rsidP="00984586">
      <w:pPr>
        <w:ind w:left="1134"/>
        <w:jc w:val="both"/>
        <w:rPr>
          <w:noProof/>
        </w:rPr>
      </w:pPr>
      <w:r w:rsidRPr="002A62DE">
        <w:t>„2.</w:t>
      </w:r>
      <w:r w:rsidRPr="002A62DE">
        <w:tab/>
        <w:t>Pravomoc přijímat akty v přenesené pravomoci uvedené v čl. 3 odst. 2, čl. 13 odst. 2a, čl. 19a odst. 2, čl. 19c odst. 1, čl. 20 odst. 6, čl. 24 odst. 7, čl. 27 odst. 2b, čl. 33 odst. 7, čl. 51 odst. 6 a čl. 54 odst. 3 je svěřena Komisi na dobu pěti let od 30. června 2024. Komise vypracuje zprávu o přenesení pravomoci nejpozději 31. prosince 2028. Přenesení pravomoci se automaticky prodlužuje o stejně dlouhá období, pokud Evropský parlament nebo Rada nevysloví proti tomuto prodloužení námitku nejpozději tři měsíce před koncem každého z těchto období.</w:t>
      </w:r>
    </w:p>
    <w:p w:rsidR="00984586" w:rsidRPr="002A62DE" w:rsidRDefault="00984586" w:rsidP="00984586">
      <w:pPr>
        <w:ind w:left="1134"/>
        <w:rPr>
          <w:noProof/>
        </w:rPr>
      </w:pPr>
    </w:p>
    <w:p w:rsidR="00984586" w:rsidRPr="002A62DE" w:rsidRDefault="00984586" w:rsidP="00984586">
      <w:pPr>
        <w:ind w:left="1134"/>
        <w:jc w:val="both"/>
        <w:rPr>
          <w:noProof/>
        </w:rPr>
      </w:pPr>
      <w:r w:rsidRPr="002A62DE">
        <w:t>„3.</w:t>
      </w:r>
      <w:r w:rsidRPr="002A62DE">
        <w:tab/>
        <w:t>Evropský parlament nebo Rada mohou přenesení pravomoci uvedené v čl. 3 odst. 2, čl. 13 odst. 2a, čl. 19a odst. 2, čl. 19c odst. 1, čl. 20 odst. 6, čl. 24 odst. 7, čl. 27 odst. 2b, čl. 30 odst. 2a a 3a, čl. 33 odst. 7, čl. 48i odst. 10, čl. 48l odst. 3, čl. 51 odst. 6 a čl. 54 odst. 3 kdykoli zrušit. Rozhodnutím o zrušení se ukončuje přenesení pravomoci v něm určené. Rozhodnutí nabývá účinku prvním dnem po svém zveřejnění v Úředním věstníku Evropské unie, nebo k pozdějšímu dni, který je v něm upřesněn. Nedotýká se platnosti již platných aktů v přenesené pravomoci.“;</w:t>
      </w:r>
    </w:p>
    <w:p w:rsidR="00984586" w:rsidRPr="002A62DE" w:rsidRDefault="00984586" w:rsidP="00984586">
      <w:pPr>
        <w:pStyle w:val="Point1"/>
        <w:rPr>
          <w:noProof/>
        </w:rPr>
      </w:pPr>
      <w:r w:rsidRPr="002A62DE">
        <w:t>b)</w:t>
      </w:r>
      <w:r w:rsidRPr="002A62DE">
        <w:tab/>
        <w:t>odstavec 6 se nahrazuje tímto:</w:t>
      </w:r>
    </w:p>
    <w:p w:rsidR="00984586" w:rsidRPr="002A62DE" w:rsidRDefault="00984586" w:rsidP="00984586">
      <w:pPr>
        <w:ind w:left="1134"/>
        <w:jc w:val="both"/>
        <w:rPr>
          <w:noProof/>
        </w:rPr>
      </w:pPr>
      <w:r w:rsidRPr="002A62DE">
        <w:t>„6.</w:t>
      </w:r>
      <w:r w:rsidRPr="002A62DE">
        <w:tab/>
        <w:t>Akt v přenesené pravomoci přijatý podle čl. 3 odst. 2, čl. 13 odst. 2a, čl. 19a odst. 2, čl. 19c odst. 1, čl. 20 odst. 6, čl. 24 odst. 7, čl. 27 odst. 2b, čl. 30 odst. 2a a 3a, čl. 33 odst. 7, čl. 48i odst. 10, čl. 48l odst. 3, čl. 51 odst. 6 nebo čl. 54 odst. 3 vstoupí v platnost pouze tehdy, pokud proti němu Evropský parlament nebo Rada nevysloví námitky ve lhůtě tří měsíců ode dne, kdy jim byl tento akt oznámen, nebo pokud Evropský parlament i Rada před uplynutím této lhůty informují Komisi o tom, že námitky nevysloví. Z podnětu Evropského parlamentu nebo Rady se tato lhůta prodlouží o tři měsíce.“</w:t>
      </w:r>
    </w:p>
    <w:p w:rsidR="00984586" w:rsidRPr="002A62DE" w:rsidRDefault="00984586" w:rsidP="00984586">
      <w:pPr>
        <w:pStyle w:val="Point0"/>
        <w:rPr>
          <w:noProof/>
        </w:rPr>
      </w:pPr>
      <w:r w:rsidRPr="002A62DE">
        <w:lastRenderedPageBreak/>
        <w:t>21)</w:t>
      </w:r>
      <w:r w:rsidRPr="002A62DE">
        <w:tab/>
        <w:t>V článku 51 se vkládá nový odstavec ▌, který zní:</w:t>
      </w:r>
    </w:p>
    <w:p w:rsidR="00984586" w:rsidRPr="002A62DE" w:rsidRDefault="00984586" w:rsidP="00984586">
      <w:pPr>
        <w:pStyle w:val="Text1"/>
        <w:ind w:left="567"/>
        <w:rPr>
          <w:noProof/>
        </w:rPr>
      </w:pPr>
      <w:r w:rsidRPr="002A62DE">
        <w:t xml:space="preserve">„4c. Příslušné </w:t>
      </w:r>
      <w:r w:rsidRPr="002A62DE">
        <w:rPr>
          <w:b/>
          <w:bCs/>
          <w:i/>
          <w:iCs/>
        </w:rPr>
        <w:t>vnitrostátní</w:t>
      </w:r>
      <w:r w:rsidRPr="002A62DE">
        <w:t xml:space="preserve"> orgány</w:t>
      </w:r>
      <w:r w:rsidRPr="002A62DE">
        <w:rPr>
          <w:b/>
          <w:bCs/>
          <w:i/>
          <w:iCs/>
        </w:rPr>
        <w:t xml:space="preserve">, které hodlají určit referenční hodnotu poskytovanou administrátorem, který byl zařazen do registru orgánu ESMA ke dni [datum vstupu tohoto pozměňujícího nařízení v platnost – 1 den], </w:t>
      </w:r>
      <w:r w:rsidRPr="002A62DE">
        <w:t>a orgán ESMA</w:t>
      </w:r>
      <w:r w:rsidRPr="002A62DE">
        <w:rPr>
          <w:b/>
          <w:bCs/>
          <w:i/>
          <w:iCs/>
        </w:rPr>
        <w:t>, který hodlá určit referenční hodnotu, která byla zařazena do registru orgánu ESMA nebo jejíž administrátor byl zařazen do registru orgánu ESMA ke dni [datum vstupu tohoto pozměňujícího nařízení v platnost – 1 den], tak učiní do ... [devět měsíců ode dne vstupu tohoto pozměňujícího nařízení v platnost].</w:t>
      </w:r>
    </w:p>
    <w:p w:rsidR="00984586" w:rsidRPr="002A62DE" w:rsidRDefault="00984586" w:rsidP="00984586">
      <w:pPr>
        <w:pStyle w:val="Text1"/>
        <w:ind w:left="567"/>
        <w:rPr>
          <w:b/>
          <w:i/>
          <w:noProof/>
        </w:rPr>
      </w:pPr>
      <w:r w:rsidRPr="002A62DE">
        <w:t xml:space="preserve">Administrátoři referenčních hodnot, kteří získali povolení k činnosti, registraci, přejetí nebo uznání ke dni [datum </w:t>
      </w:r>
      <w:r w:rsidRPr="002A62DE">
        <w:rPr>
          <w:b/>
          <w:bCs/>
          <w:i/>
          <w:iCs/>
        </w:rPr>
        <w:t xml:space="preserve">vstupu v platnost </w:t>
      </w:r>
      <w:r w:rsidRPr="002A62DE">
        <w:t xml:space="preserve">tohoto pozměňujícího nařízení], </w:t>
      </w:r>
      <w:r w:rsidRPr="002A62DE">
        <w:rPr>
          <w:b/>
          <w:bCs/>
          <w:i/>
          <w:iCs/>
        </w:rPr>
        <w:t>si tento status zachovají po dobu devíti měsíců od vstupu tohoto pozměňujícího nařízení v platnost</w:t>
      </w:r>
      <w:r w:rsidRPr="002A62DE">
        <w:t>.</w:t>
      </w:r>
      <w:r w:rsidRPr="002A62DE">
        <w:rPr>
          <w:b/>
          <w:i/>
        </w:rPr>
        <w:t xml:space="preserve"> </w:t>
      </w:r>
      <w:r w:rsidRPr="002A62DE">
        <w:rPr>
          <w:b/>
          <w:bCs/>
          <w:i/>
          <w:iCs/>
        </w:rPr>
        <w:t>Pokud je jedna nebo více jejich referenčních hodnot označena do šesti měsíců ode dne [datum použitelnosti tohoto pozměňujícího nařízení], nejsou určení administrátoři povinni znovu žádat</w:t>
      </w:r>
      <w:r w:rsidRPr="002A62DE">
        <w:t xml:space="preserve"> o povolení k činnosti, registraci, uznání nebo přejetí podle čl. 24a odst. 1, 2 nebo 3</w:t>
      </w:r>
      <w:r w:rsidRPr="002A62DE">
        <w:rPr>
          <w:b/>
          <w:bCs/>
          <w:i/>
          <w:iCs/>
        </w:rPr>
        <w:t>.</w:t>
      </w:r>
    </w:p>
    <w:p w:rsidR="00984586" w:rsidRPr="002A62DE" w:rsidRDefault="00984586" w:rsidP="00984586">
      <w:pPr>
        <w:pStyle w:val="Text1"/>
        <w:ind w:left="567"/>
        <w:rPr>
          <w:noProof/>
        </w:rPr>
      </w:pPr>
      <w:r w:rsidRPr="002A62DE">
        <w:rPr>
          <w:b/>
          <w:bCs/>
          <w:i/>
          <w:iCs/>
        </w:rPr>
        <w:t xml:space="preserve">Administrátoři referenčních hodnot se značným významem, kteří získali povolení k činnosti, registraci, přejetí nebo uznání ke dni </w:t>
      </w:r>
      <w:r w:rsidRPr="002A62DE">
        <w:t xml:space="preserve">[datum </w:t>
      </w:r>
      <w:r w:rsidRPr="002A62DE">
        <w:rPr>
          <w:b/>
          <w:bCs/>
          <w:i/>
          <w:iCs/>
        </w:rPr>
        <w:t xml:space="preserve">vstupu v platnost </w:t>
      </w:r>
      <w:r w:rsidRPr="002A62DE">
        <w:t>tohoto pozměňujícího nařízení]</w:t>
      </w:r>
      <w:r w:rsidRPr="002A62DE">
        <w:rPr>
          <w:b/>
          <w:bCs/>
          <w:i/>
          <w:iCs/>
        </w:rPr>
        <w:t>, nejsou povinni znovu žádat o povolení k činnosti, registraci, přejetí nebo uznání podle čl. 24a odst. 1, pokud má jedna nebo více jejich referenčních hodnot značný význam podle čl. 24 odst. 1 písm. a).</w:t>
      </w:r>
      <w:r w:rsidRPr="002A62DE">
        <w:t>“</w:t>
      </w:r>
    </w:p>
    <w:p w:rsidR="00984586" w:rsidRPr="002A62DE" w:rsidRDefault="00984586" w:rsidP="00984586">
      <w:pPr>
        <w:pStyle w:val="Text1"/>
        <w:ind w:left="567"/>
        <w:rPr>
          <w:b/>
          <w:i/>
          <w:noProof/>
        </w:rPr>
      </w:pPr>
      <w:r w:rsidRPr="002A62DE">
        <w:rPr>
          <w:b/>
          <w:i/>
        </w:rPr>
        <w:t xml:space="preserve">Administrátoři referenčních hodnot, kteří získali povolení k činnosti, registraci, přejetí nebo uznání ke dni [datum vstupu tohoto pozměňujícího nařízení v platnost], kteří se dobrovolně rozhodnou postupovat podle tohoto nařízení do... [devět měsíců od vstupu tohoto pozměňujícího nařízení v platnost], nejsou povinni znovu žádat o povolení k činnosti, registraci, uznání nebo </w:t>
      </w:r>
      <w:proofErr w:type="gramStart"/>
      <w:r w:rsidRPr="002A62DE">
        <w:rPr>
          <w:b/>
          <w:i/>
        </w:rPr>
        <w:t>př</w:t>
      </w:r>
      <w:r w:rsidR="00D729D7">
        <w:rPr>
          <w:b/>
          <w:i/>
        </w:rPr>
        <w:t>i</w:t>
      </w:r>
      <w:r w:rsidRPr="002A62DE">
        <w:rPr>
          <w:b/>
          <w:i/>
        </w:rPr>
        <w:t>jetí.</w:t>
      </w:r>
      <w:r w:rsidRPr="002A62DE">
        <w:t xml:space="preserve"> ;</w:t>
      </w:r>
      <w:proofErr w:type="gramEnd"/>
    </w:p>
    <w:p w:rsidR="00984586" w:rsidRPr="002A62DE" w:rsidRDefault="00984586" w:rsidP="00984586">
      <w:pPr>
        <w:pStyle w:val="Text1"/>
        <w:ind w:left="567"/>
        <w:rPr>
          <w:b/>
          <w:i/>
          <w:noProof/>
        </w:rPr>
      </w:pPr>
    </w:p>
    <w:p w:rsidR="00984586" w:rsidRPr="002A62DE" w:rsidRDefault="00984586" w:rsidP="00984586">
      <w:pPr>
        <w:pStyle w:val="Text1"/>
        <w:ind w:left="567"/>
        <w:rPr>
          <w:b/>
          <w:i/>
          <w:noProof/>
        </w:rPr>
      </w:pPr>
      <w:r w:rsidRPr="002A62DE">
        <w:rPr>
          <w:b/>
          <w:i/>
        </w:rPr>
        <w:t>21a)</w:t>
      </w:r>
      <w:r w:rsidRPr="002A62DE">
        <w:rPr>
          <w:b/>
          <w:i/>
        </w:rPr>
        <w:tab/>
        <w:t>V článku 53 se zrušuje odstavec 1;</w:t>
      </w:r>
    </w:p>
    <w:p w:rsidR="00984586" w:rsidRPr="002A62DE" w:rsidRDefault="00984586" w:rsidP="00984586">
      <w:pPr>
        <w:pStyle w:val="Titrearticle"/>
        <w:rPr>
          <w:noProof/>
        </w:rPr>
      </w:pPr>
      <w:r w:rsidRPr="002A62DE">
        <w:t>Článek 2</w:t>
      </w:r>
    </w:p>
    <w:p w:rsidR="00984586" w:rsidRPr="002A62DE" w:rsidRDefault="00984586" w:rsidP="00984586">
      <w:pPr>
        <w:jc w:val="center"/>
        <w:rPr>
          <w:b/>
          <w:bCs/>
          <w:noProof/>
        </w:rPr>
      </w:pPr>
      <w:r w:rsidRPr="002A62DE">
        <w:rPr>
          <w:b/>
        </w:rPr>
        <w:t>Vstup v platnost a použitelnost</w:t>
      </w:r>
    </w:p>
    <w:p w:rsidR="00984586" w:rsidRPr="002A62DE" w:rsidRDefault="00984586" w:rsidP="00984586">
      <w:pPr>
        <w:rPr>
          <w:noProof/>
        </w:rPr>
      </w:pPr>
      <w:r w:rsidRPr="002A62DE">
        <w:t>Toto nařízení vstupuje v platnost dvacátým dnem po vyhlášení v </w:t>
      </w:r>
      <w:r w:rsidRPr="002A62DE">
        <w:rPr>
          <w:i/>
          <w:iCs/>
        </w:rPr>
        <w:t>Úředním věstníku Evropské unie</w:t>
      </w:r>
      <w:r w:rsidRPr="002A62DE">
        <w:t>.</w:t>
      </w:r>
    </w:p>
    <w:p w:rsidR="00984586" w:rsidRPr="002A62DE" w:rsidRDefault="00984586" w:rsidP="00984586">
      <w:pPr>
        <w:rPr>
          <w:noProof/>
        </w:rPr>
      </w:pPr>
      <w:r w:rsidRPr="002A62DE">
        <w:t xml:space="preserve">Použije se ode dne 1. ledna 2026. </w:t>
      </w:r>
    </w:p>
    <w:p w:rsidR="00984586" w:rsidRPr="002A62DE" w:rsidRDefault="00984586" w:rsidP="00984586">
      <w:pPr>
        <w:pStyle w:val="Applicationdirecte"/>
        <w:rPr>
          <w:noProof/>
        </w:rPr>
      </w:pPr>
      <w:r w:rsidRPr="002A62DE">
        <w:t>Toto nařízení je závazné v celém rozsahu a přímo použitelné ve všech členských státech.</w:t>
      </w:r>
    </w:p>
    <w:p w:rsidR="00984586" w:rsidRPr="002A62DE" w:rsidRDefault="00984586" w:rsidP="00984586">
      <w:pPr>
        <w:pStyle w:val="Fait"/>
        <w:rPr>
          <w:noProof/>
        </w:rPr>
      </w:pPr>
      <w:r w:rsidRPr="002A62DE">
        <w:t xml:space="preserve">V </w:t>
      </w:r>
      <w:r w:rsidR="00EA14AA">
        <w:t>…</w:t>
      </w:r>
      <w:bookmarkStart w:id="11" w:name="_GoBack"/>
      <w:bookmarkEnd w:id="11"/>
      <w:r w:rsidRPr="002A62DE">
        <w:t xml:space="preserve"> dne</w:t>
      </w:r>
    </w:p>
    <w:p w:rsidR="00984586" w:rsidRPr="002A62DE" w:rsidRDefault="00984586" w:rsidP="00984586">
      <w:pPr>
        <w:pStyle w:val="Institutionquisigne"/>
        <w:rPr>
          <w:noProof/>
        </w:rPr>
      </w:pPr>
      <w:r w:rsidRPr="002A62DE">
        <w:t>Za Evropský parlament</w:t>
      </w:r>
      <w:r w:rsidRPr="002A62DE">
        <w:tab/>
        <w:t>Za Radu</w:t>
      </w:r>
    </w:p>
    <w:p w:rsidR="00984586" w:rsidRPr="002A62DE" w:rsidRDefault="00984586" w:rsidP="00984586">
      <w:pPr>
        <w:pStyle w:val="Personnequisigne"/>
        <w:rPr>
          <w:noProof/>
        </w:rPr>
      </w:pPr>
      <w:r w:rsidRPr="002A62DE">
        <w:t>předsedkyně</w:t>
      </w:r>
      <w:r w:rsidRPr="002A62DE">
        <w:tab/>
        <w:t>předseda</w:t>
      </w:r>
      <w:r w:rsidR="00D729D7">
        <w:t xml:space="preserve"> </w:t>
      </w:r>
      <w:r w:rsidR="00D729D7" w:rsidRPr="00707919">
        <w:rPr>
          <w:i w:val="0"/>
        </w:rPr>
        <w:t>nebo</w:t>
      </w:r>
      <w:r w:rsidR="00D729D7">
        <w:t xml:space="preserve"> </w:t>
      </w:r>
      <w:r w:rsidRPr="002A62DE">
        <w:t>předsedkyně</w:t>
      </w:r>
    </w:p>
    <w:p w:rsidR="00984586" w:rsidRPr="002A62DE" w:rsidRDefault="00984586" w:rsidP="00984586"/>
    <w:p w:rsidR="00E365E1" w:rsidRPr="002A62DE" w:rsidRDefault="00E365E1" w:rsidP="005624D1">
      <w:bookmarkStart w:id="12" w:name="TextBodyEnd"/>
      <w:bookmarkEnd w:id="12"/>
    </w:p>
    <w:sectPr w:rsidR="00E365E1" w:rsidRPr="002A62DE" w:rsidSect="002A62D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4D1" w:rsidRPr="002A62DE" w:rsidRDefault="005624D1">
      <w:r w:rsidRPr="002A62DE">
        <w:separator/>
      </w:r>
    </w:p>
  </w:endnote>
  <w:endnote w:type="continuationSeparator" w:id="0">
    <w:p w:rsidR="005624D1" w:rsidRPr="002A62DE" w:rsidRDefault="005624D1">
      <w:r w:rsidRPr="002A62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2D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2D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2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4D1" w:rsidRPr="002A62DE" w:rsidRDefault="005624D1">
      <w:r w:rsidRPr="002A62DE">
        <w:separator/>
      </w:r>
    </w:p>
  </w:footnote>
  <w:footnote w:type="continuationSeparator" w:id="0">
    <w:p w:rsidR="005624D1" w:rsidRPr="002A62DE" w:rsidRDefault="005624D1">
      <w:r w:rsidRPr="002A62DE">
        <w:continuationSeparator/>
      </w:r>
    </w:p>
  </w:footnote>
  <w:footnote w:id="1">
    <w:p w:rsidR="001F536B" w:rsidRPr="001F536B" w:rsidRDefault="001F536B" w:rsidP="001F536B">
      <w:pPr>
        <w:pStyle w:val="FootnoteText"/>
        <w:ind w:left="567" w:hanging="567"/>
        <w:rPr>
          <w:sz w:val="24"/>
          <w:szCs w:val="24"/>
          <w:lang w:val="cs-CZ"/>
        </w:rPr>
      </w:pPr>
      <w:r w:rsidRPr="001F536B">
        <w:rPr>
          <w:rStyle w:val="FootnoteReference"/>
          <w:sz w:val="24"/>
          <w:szCs w:val="24"/>
        </w:rPr>
        <w:sym w:font="Symbol" w:char="F02A"/>
      </w:r>
      <w:r w:rsidRPr="001F536B">
        <w:rPr>
          <w:sz w:val="24"/>
          <w:szCs w:val="24"/>
        </w:rPr>
        <w:t xml:space="preserve"> </w:t>
      </w:r>
      <w:r w:rsidRPr="001F536B">
        <w:rPr>
          <w:sz w:val="24"/>
          <w:szCs w:val="24"/>
          <w:lang w:val="cs-CZ"/>
        </w:rPr>
        <w:tab/>
        <w:t>Změny v celém textu vyplývají z přijetí pozměňovacího návrhu 1. Nový nebo pozměněný text je zvýrazněn tučnou kurzívou; vypuštění je označeno symbolem ▌.</w:t>
      </w:r>
    </w:p>
  </w:footnote>
  <w:footnote w:id="2">
    <w:p w:rsidR="00984586" w:rsidRPr="002A62DE" w:rsidRDefault="00984586" w:rsidP="002A62DE">
      <w:pPr>
        <w:pStyle w:val="FootnoteText"/>
        <w:ind w:left="567" w:hanging="567"/>
        <w:rPr>
          <w:sz w:val="24"/>
          <w:lang w:val="cs-CZ"/>
        </w:rPr>
      </w:pPr>
      <w:r w:rsidRPr="002A62DE">
        <w:rPr>
          <w:rStyle w:val="FootnoteReference"/>
          <w:sz w:val="24"/>
          <w:lang w:val="cs-CZ"/>
        </w:rPr>
        <w:footnoteRef/>
      </w:r>
      <w:r w:rsidR="002A62DE" w:rsidRPr="002A62DE">
        <w:rPr>
          <w:sz w:val="24"/>
          <w:lang w:val="cs-CZ"/>
        </w:rPr>
        <w:t xml:space="preserve"> </w:t>
      </w:r>
      <w:r w:rsidR="002A62DE" w:rsidRPr="002A62DE">
        <w:rPr>
          <w:sz w:val="24"/>
          <w:lang w:val="cs-CZ"/>
        </w:rPr>
        <w:tab/>
      </w:r>
      <w:proofErr w:type="spellStart"/>
      <w:r w:rsidRPr="002A62DE">
        <w:rPr>
          <w:sz w:val="24"/>
          <w:lang w:val="cs-CZ"/>
        </w:rPr>
        <w:t>Úř</w:t>
      </w:r>
      <w:proofErr w:type="spellEnd"/>
      <w:r w:rsidRPr="002A62DE">
        <w:rPr>
          <w:sz w:val="24"/>
          <w:lang w:val="cs-CZ"/>
        </w:rPr>
        <w:t xml:space="preserve">. </w:t>
      </w:r>
      <w:proofErr w:type="spellStart"/>
      <w:proofErr w:type="gramStart"/>
      <w:r w:rsidRPr="002A62DE">
        <w:rPr>
          <w:sz w:val="24"/>
          <w:lang w:val="cs-CZ"/>
        </w:rPr>
        <w:t>věst</w:t>
      </w:r>
      <w:proofErr w:type="spellEnd"/>
      <w:proofErr w:type="gramEnd"/>
      <w:r w:rsidRPr="002A62DE">
        <w:rPr>
          <w:sz w:val="24"/>
          <w:lang w:val="cs-CZ"/>
        </w:rPr>
        <w:t xml:space="preserve">. </w:t>
      </w:r>
      <w:proofErr w:type="gramStart"/>
      <w:r w:rsidRPr="002A62DE">
        <w:rPr>
          <w:sz w:val="24"/>
          <w:lang w:val="cs-CZ"/>
        </w:rPr>
        <w:t>C , , s.</w:t>
      </w:r>
      <w:proofErr w:type="gramEnd"/>
      <w:r w:rsidRPr="002A62DE">
        <w:rPr>
          <w:sz w:val="24"/>
          <w:lang w:val="cs-CZ"/>
        </w:rPr>
        <w:t xml:space="preserve"> .</w:t>
      </w:r>
    </w:p>
  </w:footnote>
  <w:footnote w:id="3">
    <w:p w:rsidR="00984586" w:rsidRPr="002A62DE" w:rsidRDefault="00984586" w:rsidP="002A62DE">
      <w:pPr>
        <w:pStyle w:val="FootnoteText"/>
        <w:ind w:left="567" w:hanging="567"/>
        <w:rPr>
          <w:sz w:val="24"/>
          <w:lang w:val="cs-CZ"/>
        </w:rPr>
      </w:pPr>
      <w:r w:rsidRPr="002A62DE">
        <w:rPr>
          <w:rStyle w:val="FootnoteReference"/>
          <w:sz w:val="24"/>
          <w:lang w:val="cs-CZ"/>
        </w:rPr>
        <w:footnoteRef/>
      </w:r>
      <w:r w:rsidR="002A62DE" w:rsidRPr="002A62DE">
        <w:rPr>
          <w:sz w:val="24"/>
          <w:lang w:val="cs-CZ"/>
        </w:rPr>
        <w:t xml:space="preserve"> </w:t>
      </w:r>
      <w:r w:rsidR="002A62DE" w:rsidRPr="002A62DE">
        <w:rPr>
          <w:sz w:val="24"/>
          <w:lang w:val="cs-CZ"/>
        </w:rPr>
        <w:tab/>
      </w:r>
      <w:proofErr w:type="spellStart"/>
      <w:r w:rsidRPr="002A62DE">
        <w:rPr>
          <w:sz w:val="24"/>
          <w:lang w:val="cs-CZ"/>
        </w:rPr>
        <w:t>Úř</w:t>
      </w:r>
      <w:proofErr w:type="spellEnd"/>
      <w:r w:rsidRPr="002A62DE">
        <w:rPr>
          <w:sz w:val="24"/>
          <w:lang w:val="cs-CZ"/>
        </w:rPr>
        <w:t xml:space="preserve">. </w:t>
      </w:r>
      <w:proofErr w:type="spellStart"/>
      <w:proofErr w:type="gramStart"/>
      <w:r w:rsidRPr="002A62DE">
        <w:rPr>
          <w:sz w:val="24"/>
          <w:lang w:val="cs-CZ"/>
        </w:rPr>
        <w:t>věst</w:t>
      </w:r>
      <w:proofErr w:type="spellEnd"/>
      <w:proofErr w:type="gramEnd"/>
      <w:r w:rsidRPr="002A62DE">
        <w:rPr>
          <w:sz w:val="24"/>
          <w:lang w:val="cs-CZ"/>
        </w:rPr>
        <w:t xml:space="preserve">. </w:t>
      </w:r>
      <w:proofErr w:type="gramStart"/>
      <w:r w:rsidRPr="002A62DE">
        <w:rPr>
          <w:sz w:val="24"/>
          <w:lang w:val="cs-CZ"/>
        </w:rPr>
        <w:t>C , , s.</w:t>
      </w:r>
      <w:proofErr w:type="gramEnd"/>
      <w:r w:rsidRPr="002A62DE">
        <w:rPr>
          <w:sz w:val="24"/>
          <w:lang w:val="cs-CZ"/>
        </w:rPr>
        <w:t xml:space="preserve"> .</w:t>
      </w:r>
    </w:p>
  </w:footnote>
  <w:footnote w:id="4">
    <w:p w:rsidR="00984586" w:rsidRPr="002A62DE" w:rsidRDefault="00984586" w:rsidP="002A62DE">
      <w:pPr>
        <w:pStyle w:val="FootnoteText"/>
        <w:ind w:left="567" w:hanging="567"/>
        <w:rPr>
          <w:sz w:val="24"/>
          <w:lang w:val="cs-CZ"/>
        </w:rPr>
      </w:pPr>
      <w:r w:rsidRPr="002A62DE">
        <w:rPr>
          <w:rStyle w:val="FootnoteReference"/>
          <w:sz w:val="24"/>
          <w:lang w:val="cs-CZ"/>
        </w:rPr>
        <w:footnoteRef/>
      </w:r>
      <w:r w:rsidR="002A62DE" w:rsidRPr="002A62DE">
        <w:rPr>
          <w:sz w:val="24"/>
          <w:lang w:val="cs-CZ"/>
        </w:rPr>
        <w:t xml:space="preserve"> </w:t>
      </w:r>
      <w:r w:rsidR="002A62DE" w:rsidRPr="002A62DE">
        <w:rPr>
          <w:sz w:val="24"/>
          <w:lang w:val="cs-CZ"/>
        </w:rPr>
        <w:tab/>
      </w:r>
      <w:proofErr w:type="spellStart"/>
      <w:r w:rsidRPr="002A62DE">
        <w:rPr>
          <w:sz w:val="24"/>
          <w:lang w:val="cs-CZ"/>
        </w:rPr>
        <w:t>Úř</w:t>
      </w:r>
      <w:proofErr w:type="spellEnd"/>
      <w:r w:rsidRPr="002A62DE">
        <w:rPr>
          <w:sz w:val="24"/>
          <w:lang w:val="cs-CZ"/>
        </w:rPr>
        <w:t xml:space="preserve">. </w:t>
      </w:r>
      <w:proofErr w:type="spellStart"/>
      <w:proofErr w:type="gramStart"/>
      <w:r w:rsidRPr="002A62DE">
        <w:rPr>
          <w:sz w:val="24"/>
          <w:lang w:val="cs-CZ"/>
        </w:rPr>
        <w:t>věst</w:t>
      </w:r>
      <w:proofErr w:type="spellEnd"/>
      <w:proofErr w:type="gramEnd"/>
      <w:r w:rsidRPr="002A62DE">
        <w:rPr>
          <w:sz w:val="24"/>
          <w:lang w:val="cs-CZ"/>
        </w:rPr>
        <w:t xml:space="preserve">. </w:t>
      </w:r>
      <w:proofErr w:type="gramStart"/>
      <w:r w:rsidRPr="002A62DE">
        <w:rPr>
          <w:sz w:val="24"/>
          <w:lang w:val="cs-CZ"/>
        </w:rPr>
        <w:t>C , , s.</w:t>
      </w:r>
      <w:proofErr w:type="gramEnd"/>
      <w:r w:rsidRPr="002A62DE">
        <w:rPr>
          <w:sz w:val="24"/>
          <w:lang w:val="cs-CZ"/>
        </w:rPr>
        <w:t xml:space="preserve"> .</w:t>
      </w:r>
    </w:p>
  </w:footnote>
  <w:footnote w:id="5">
    <w:p w:rsidR="00984586" w:rsidRPr="002A62DE" w:rsidRDefault="00984586" w:rsidP="002A62DE">
      <w:pPr>
        <w:pStyle w:val="FootnoteText"/>
        <w:ind w:left="567" w:hanging="567"/>
        <w:rPr>
          <w:sz w:val="24"/>
          <w:lang w:val="cs-CZ"/>
        </w:rPr>
      </w:pPr>
      <w:r w:rsidRPr="002A62DE">
        <w:rPr>
          <w:rStyle w:val="FootnoteReference"/>
          <w:sz w:val="24"/>
          <w:lang w:val="cs-CZ"/>
        </w:rPr>
        <w:footnoteRef/>
      </w:r>
      <w:r w:rsidR="002A62DE" w:rsidRPr="002A62DE">
        <w:rPr>
          <w:sz w:val="24"/>
          <w:lang w:val="cs-CZ"/>
        </w:rPr>
        <w:t xml:space="preserve"> </w:t>
      </w:r>
      <w:r w:rsidR="002A62DE" w:rsidRPr="002A62DE">
        <w:rPr>
          <w:sz w:val="24"/>
          <w:lang w:val="cs-CZ"/>
        </w:rPr>
        <w:tab/>
      </w:r>
      <w:r w:rsidRPr="002A62DE">
        <w:rPr>
          <w:sz w:val="24"/>
          <w:lang w:val="cs-CZ"/>
        </w:rPr>
        <w:t>Nařízení Evropského parlamentu a Rady (EU) 2016/1011 ze dne 8. června 2016 o indexech, které jsou používány jako referenční hodnoty ve finančních nástrojích a finančních smlouvách nebo k měření výkonnosti investičních fondů, a o změně směrnic 2008/48/ES a 2014/17/EU a nařízení (EU) č. 596/2014 (</w:t>
      </w:r>
      <w:proofErr w:type="spellStart"/>
      <w:r w:rsidRPr="002A62DE">
        <w:rPr>
          <w:sz w:val="24"/>
          <w:lang w:val="cs-CZ"/>
        </w:rPr>
        <w:t>Úř</w:t>
      </w:r>
      <w:proofErr w:type="spellEnd"/>
      <w:r w:rsidRPr="002A62DE">
        <w:rPr>
          <w:sz w:val="24"/>
          <w:lang w:val="cs-CZ"/>
        </w:rPr>
        <w:t>. </w:t>
      </w:r>
      <w:proofErr w:type="spellStart"/>
      <w:proofErr w:type="gramStart"/>
      <w:r w:rsidRPr="002A62DE">
        <w:rPr>
          <w:sz w:val="24"/>
          <w:lang w:val="cs-CZ"/>
        </w:rPr>
        <w:t>věst</w:t>
      </w:r>
      <w:proofErr w:type="spellEnd"/>
      <w:proofErr w:type="gramEnd"/>
      <w:r w:rsidRPr="002A62DE">
        <w:rPr>
          <w:sz w:val="24"/>
          <w:lang w:val="cs-CZ"/>
        </w:rPr>
        <w:t xml:space="preserve">. L 171, </w:t>
      </w:r>
      <w:proofErr w:type="gramStart"/>
      <w:r w:rsidRPr="002A62DE">
        <w:rPr>
          <w:sz w:val="24"/>
          <w:lang w:val="cs-CZ"/>
        </w:rPr>
        <w:t>29.6.2016</w:t>
      </w:r>
      <w:proofErr w:type="gramEnd"/>
      <w:r w:rsidRPr="002A62DE">
        <w:rPr>
          <w:sz w:val="24"/>
          <w:lang w:val="cs-CZ"/>
        </w:rPr>
        <w:t>, s. 1).</w:t>
      </w:r>
    </w:p>
  </w:footnote>
  <w:footnote w:id="6">
    <w:p w:rsidR="00984586" w:rsidRPr="002A62DE" w:rsidRDefault="00984586" w:rsidP="002A62DE">
      <w:pPr>
        <w:pStyle w:val="FootnoteText"/>
        <w:ind w:left="567" w:hanging="567"/>
        <w:rPr>
          <w:sz w:val="24"/>
          <w:lang w:val="cs-CZ"/>
        </w:rPr>
      </w:pPr>
      <w:r w:rsidRPr="002A62DE">
        <w:rPr>
          <w:rStyle w:val="FootnoteReference"/>
          <w:sz w:val="24"/>
          <w:lang w:val="cs-CZ"/>
        </w:rPr>
        <w:footnoteRef/>
      </w:r>
      <w:r w:rsidR="002A62DE" w:rsidRPr="002A62DE">
        <w:rPr>
          <w:sz w:val="24"/>
          <w:lang w:val="cs-CZ"/>
        </w:rPr>
        <w:t xml:space="preserve"> </w:t>
      </w:r>
      <w:r w:rsidR="002A62DE" w:rsidRPr="002A62DE">
        <w:rPr>
          <w:sz w:val="24"/>
          <w:lang w:val="cs-CZ"/>
        </w:rPr>
        <w:tab/>
      </w:r>
      <w:r w:rsidRPr="002A62DE">
        <w:rPr>
          <w:sz w:val="24"/>
          <w:lang w:val="cs-CZ"/>
        </w:rPr>
        <w:t>Nařízení Evropského parlamentu a Rady (EU) č. 1095/2010 ze dne 24. listopadu 2010 o zřízení Evropského orgánu dohledu (Evropského orgánu pro cenné papíry a trhy), o změně rozhodnutí č. 716/2009/ES a o zrušení rozhodnutí Komise 2009/77/ES (</w:t>
      </w:r>
      <w:proofErr w:type="spellStart"/>
      <w:r w:rsidRPr="002A62DE">
        <w:rPr>
          <w:sz w:val="24"/>
          <w:lang w:val="cs-CZ"/>
        </w:rPr>
        <w:t>Úř</w:t>
      </w:r>
      <w:proofErr w:type="spellEnd"/>
      <w:r w:rsidRPr="002A62DE">
        <w:rPr>
          <w:sz w:val="24"/>
          <w:lang w:val="cs-CZ"/>
        </w:rPr>
        <w:t>. </w:t>
      </w:r>
      <w:proofErr w:type="spellStart"/>
      <w:proofErr w:type="gramStart"/>
      <w:r w:rsidRPr="002A62DE">
        <w:rPr>
          <w:sz w:val="24"/>
          <w:lang w:val="cs-CZ"/>
        </w:rPr>
        <w:t>věst</w:t>
      </w:r>
      <w:proofErr w:type="spellEnd"/>
      <w:proofErr w:type="gramEnd"/>
      <w:r w:rsidRPr="002A62DE">
        <w:rPr>
          <w:sz w:val="24"/>
          <w:lang w:val="cs-CZ"/>
        </w:rPr>
        <w:t xml:space="preserve">. L 331, </w:t>
      </w:r>
      <w:proofErr w:type="gramStart"/>
      <w:r w:rsidRPr="002A62DE">
        <w:rPr>
          <w:sz w:val="24"/>
          <w:lang w:val="cs-CZ"/>
        </w:rPr>
        <w:t>15.12.2010</w:t>
      </w:r>
      <w:proofErr w:type="gramEnd"/>
      <w:r w:rsidRPr="002A62DE">
        <w:rPr>
          <w:sz w:val="24"/>
          <w:lang w:val="cs-CZ"/>
        </w:rPr>
        <w:t>, s.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2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2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2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CS"/>
    <w:docVar w:name="dvnumam" w:val="0"/>
    <w:docVar w:name="dvpe" w:val="757.977"/>
    <w:docVar w:name="dvrapporteur" w:val="Zpravodaj: "/>
    <w:docVar w:name="dvstar" w:val="***I"/>
    <w:docVar w:name="dvtitre" w:val="Legislativní usnesení Evropského parlamentu ze dne.... 2024 o návrhu nařízení Evropského parlamentu a Rady, kterým se mění nařízení (EU) 2016/1011, pokud jde o oblast působnosti pravidel pro referenční hodnoty, používání referenčních hodnot, které poskytuje administrátor nacházející se ve třetí zemi, v Unii a některé požadavky na podávání zpráv(COM(2023)0660 – C9-0389/2023 – 2023/0379(COD))"/>
  </w:docVars>
  <w:rsids>
    <w:rsidRoot w:val="005624D1"/>
    <w:rsid w:val="00002272"/>
    <w:rsid w:val="00064002"/>
    <w:rsid w:val="000677B9"/>
    <w:rsid w:val="000831BA"/>
    <w:rsid w:val="000A42CC"/>
    <w:rsid w:val="000E7DD9"/>
    <w:rsid w:val="0010095E"/>
    <w:rsid w:val="00125B37"/>
    <w:rsid w:val="00187494"/>
    <w:rsid w:val="001F32AE"/>
    <w:rsid w:val="001F536B"/>
    <w:rsid w:val="002767FF"/>
    <w:rsid w:val="002A62D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4D1"/>
    <w:rsid w:val="005C2568"/>
    <w:rsid w:val="006037C0"/>
    <w:rsid w:val="006631B6"/>
    <w:rsid w:val="00680577"/>
    <w:rsid w:val="006F74FA"/>
    <w:rsid w:val="0070791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586"/>
    <w:rsid w:val="00A1687D"/>
    <w:rsid w:val="00A43E52"/>
    <w:rsid w:val="00A4678D"/>
    <w:rsid w:val="00A778C7"/>
    <w:rsid w:val="00A96273"/>
    <w:rsid w:val="00AB441E"/>
    <w:rsid w:val="00AB6293"/>
    <w:rsid w:val="00AE0928"/>
    <w:rsid w:val="00AF3B82"/>
    <w:rsid w:val="00B12E95"/>
    <w:rsid w:val="00B22876"/>
    <w:rsid w:val="00B558F0"/>
    <w:rsid w:val="00BD48FE"/>
    <w:rsid w:val="00BD7BD8"/>
    <w:rsid w:val="00BE6ADC"/>
    <w:rsid w:val="00C05BFE"/>
    <w:rsid w:val="00C23CD4"/>
    <w:rsid w:val="00C479D4"/>
    <w:rsid w:val="00C61C0C"/>
    <w:rsid w:val="00C941CB"/>
    <w:rsid w:val="00CC2357"/>
    <w:rsid w:val="00CF071A"/>
    <w:rsid w:val="00D058B8"/>
    <w:rsid w:val="00D56C11"/>
    <w:rsid w:val="00D729D7"/>
    <w:rsid w:val="00D834A0"/>
    <w:rsid w:val="00D872DF"/>
    <w:rsid w:val="00D91E21"/>
    <w:rsid w:val="00DA7FCD"/>
    <w:rsid w:val="00E22C57"/>
    <w:rsid w:val="00E365E1"/>
    <w:rsid w:val="00E820A4"/>
    <w:rsid w:val="00EA14A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986FE"/>
  <w15:chartTrackingRefBased/>
  <w15:docId w15:val="{52DD193C-FD69-455D-A3D1-CF0873CC6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4586"/>
    <w:pPr>
      <w:spacing w:before="480" w:after="240"/>
    </w:pPr>
  </w:style>
  <w:style w:type="paragraph" w:customStyle="1" w:styleId="NormalBold">
    <w:name w:val="NormalBold"/>
    <w:basedOn w:val="Normal"/>
    <w:rsid w:val="00984586"/>
    <w:rPr>
      <w:b/>
    </w:rPr>
  </w:style>
  <w:style w:type="paragraph" w:customStyle="1" w:styleId="NormalHanging12a">
    <w:name w:val="NormalHanging12a"/>
    <w:basedOn w:val="Normal"/>
    <w:rsid w:val="00984586"/>
    <w:pPr>
      <w:spacing w:after="240"/>
      <w:ind w:left="567" w:hanging="567"/>
    </w:pPr>
  </w:style>
  <w:style w:type="paragraph" w:customStyle="1" w:styleId="NormalCenter12a">
    <w:name w:val="NormalCenter12a"/>
    <w:basedOn w:val="Normal"/>
    <w:rsid w:val="00984586"/>
    <w:pPr>
      <w:spacing w:after="240"/>
      <w:jc w:val="center"/>
    </w:pPr>
  </w:style>
  <w:style w:type="paragraph" w:customStyle="1" w:styleId="AmNumberTabs">
    <w:name w:val="AmNumberTabs"/>
    <w:basedOn w:val="Normal"/>
    <w:rsid w:val="009845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84586"/>
    <w:pPr>
      <w:spacing w:before="720" w:after="240"/>
      <w:jc w:val="center"/>
    </w:pPr>
  </w:style>
  <w:style w:type="paragraph" w:customStyle="1" w:styleId="Text1">
    <w:name w:val="Text 1"/>
    <w:basedOn w:val="Normal"/>
    <w:rsid w:val="00984586"/>
    <w:pPr>
      <w:widowControl/>
      <w:spacing w:before="120" w:after="120"/>
      <w:ind w:left="850"/>
      <w:jc w:val="both"/>
    </w:pPr>
    <w:rPr>
      <w:rFonts w:eastAsiaTheme="minorHAnsi"/>
      <w:szCs w:val="22"/>
      <w:lang w:eastAsia="en-US"/>
    </w:rPr>
  </w:style>
  <w:style w:type="paragraph" w:customStyle="1" w:styleId="Text2">
    <w:name w:val="Text 2"/>
    <w:basedOn w:val="Normal"/>
    <w:rsid w:val="00984586"/>
    <w:pPr>
      <w:widowControl/>
      <w:spacing w:before="120" w:after="120"/>
      <w:ind w:left="1417"/>
      <w:jc w:val="both"/>
    </w:pPr>
    <w:rPr>
      <w:rFonts w:eastAsiaTheme="minorHAnsi"/>
      <w:szCs w:val="22"/>
      <w:lang w:eastAsia="en-US"/>
    </w:rPr>
  </w:style>
  <w:style w:type="paragraph" w:customStyle="1" w:styleId="Point0">
    <w:name w:val="Point 0"/>
    <w:basedOn w:val="Normal"/>
    <w:rsid w:val="00984586"/>
    <w:pPr>
      <w:widowControl/>
      <w:spacing w:before="120" w:after="120"/>
      <w:ind w:left="850" w:hanging="850"/>
      <w:jc w:val="both"/>
    </w:pPr>
    <w:rPr>
      <w:rFonts w:eastAsiaTheme="minorHAnsi"/>
      <w:szCs w:val="22"/>
      <w:lang w:eastAsia="en-US"/>
    </w:rPr>
  </w:style>
  <w:style w:type="paragraph" w:customStyle="1" w:styleId="Point1">
    <w:name w:val="Point 1"/>
    <w:basedOn w:val="Normal"/>
    <w:rsid w:val="0098458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84586"/>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984586"/>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984586"/>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98458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84586"/>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984586"/>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984586"/>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984586"/>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984586"/>
    <w:pPr>
      <w:widowControl/>
      <w:ind w:left="5103"/>
    </w:pPr>
    <w:rPr>
      <w:rFonts w:eastAsiaTheme="minorHAnsi"/>
      <w:szCs w:val="22"/>
      <w:lang w:eastAsia="en-US"/>
    </w:rPr>
  </w:style>
  <w:style w:type="paragraph" w:customStyle="1" w:styleId="Statut">
    <w:name w:val="Statut"/>
    <w:basedOn w:val="Normal"/>
    <w:next w:val="Typedudocument"/>
    <w:rsid w:val="00984586"/>
    <w:pPr>
      <w:widowControl/>
      <w:spacing w:before="360"/>
      <w:jc w:val="center"/>
    </w:pPr>
    <w:rPr>
      <w:rFonts w:eastAsiaTheme="minorHAnsi"/>
      <w:szCs w:val="22"/>
      <w:lang w:eastAsia="en-US"/>
    </w:rPr>
  </w:style>
  <w:style w:type="paragraph" w:customStyle="1" w:styleId="Titrearticle">
    <w:name w:val="Titre article"/>
    <w:basedOn w:val="Normal"/>
    <w:next w:val="Normal"/>
    <w:rsid w:val="00984586"/>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984586"/>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984586"/>
    <w:pPr>
      <w:widowControl/>
      <w:spacing w:before="360"/>
      <w:jc w:val="center"/>
    </w:pPr>
    <w:rPr>
      <w:rFonts w:eastAsiaTheme="minorHAnsi"/>
      <w:b/>
      <w:szCs w:val="22"/>
      <w:lang w:eastAsia="en-US"/>
    </w:rPr>
  </w:style>
  <w:style w:type="paragraph" w:customStyle="1" w:styleId="IntrtEEE">
    <w:name w:val="Intérêt EEE"/>
    <w:basedOn w:val="Normal"/>
    <w:next w:val="Normal"/>
    <w:rsid w:val="00984586"/>
    <w:pPr>
      <w:widowControl/>
      <w:spacing w:before="360" w:after="24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1B7B9-579B-40BF-924D-06566C9D9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9235</Words>
  <Characters>53199</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LUKSITE Marija</cp:lastModifiedBy>
  <cp:revision>2</cp:revision>
  <cp:lastPrinted>2004-11-19T15:42:00Z</cp:lastPrinted>
  <dcterms:created xsi:type="dcterms:W3CDTF">2024-10-17T09:28:00Z</dcterms:created>
  <dcterms:modified xsi:type="dcterms:W3CDTF">2024-10-17T09:28:00Z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P9_TA(2024)0357_</vt:lpwstr>
  </property>
  <property fmtid="{D5CDD505-2E9C-101B-9397-08002B2CF9AE}" pid="4" name="&lt;Type&gt;">
    <vt:lpwstr>RR</vt:lpwstr>
  </property>
</Properties>
</file>