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D0F56" w:rsidTr="0010095E">
        <w:trPr>
          <w:trHeight w:hRule="exact" w:val="1418"/>
        </w:trPr>
        <w:tc>
          <w:tcPr>
            <w:tcW w:w="6804" w:type="dxa"/>
            <w:shd w:val="clear" w:color="auto" w:fill="auto"/>
            <w:vAlign w:val="center"/>
          </w:tcPr>
          <w:p w:rsidR="00751A4A" w:rsidRPr="00BD0F56" w:rsidRDefault="00C81A7C" w:rsidP="0010095E">
            <w:pPr>
              <w:pStyle w:val="EPName"/>
            </w:pPr>
            <w:r w:rsidRPr="00BD0F56">
              <w:t>Europski parlament</w:t>
            </w:r>
          </w:p>
          <w:p w:rsidR="00751A4A" w:rsidRPr="00BD0F56" w:rsidRDefault="00817416" w:rsidP="00756632">
            <w:pPr>
              <w:pStyle w:val="EPTerm"/>
              <w:rPr>
                <w:rStyle w:val="HideTWBExt"/>
                <w:noProof w:val="0"/>
                <w:vanish w:val="0"/>
                <w:color w:val="auto"/>
              </w:rPr>
            </w:pPr>
            <w:r w:rsidRPr="00BD0F56">
              <w:t>2019-2024</w:t>
            </w:r>
          </w:p>
        </w:tc>
        <w:tc>
          <w:tcPr>
            <w:tcW w:w="2268" w:type="dxa"/>
            <w:shd w:val="clear" w:color="auto" w:fill="auto"/>
          </w:tcPr>
          <w:p w:rsidR="00751A4A" w:rsidRPr="00BD0F56" w:rsidRDefault="00187494" w:rsidP="0010095E">
            <w:pPr>
              <w:pStyle w:val="EPLogo"/>
            </w:pPr>
            <w:r w:rsidRPr="00BD0F56">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BD0F56" w:rsidRDefault="00D058B8" w:rsidP="004C5D52">
      <w:pPr>
        <w:pStyle w:val="LineTop"/>
      </w:pPr>
    </w:p>
    <w:p w:rsidR="00680577" w:rsidRPr="00BD0F56" w:rsidRDefault="00C81A7C" w:rsidP="00680577">
      <w:pPr>
        <w:pStyle w:val="EPBodyTA1"/>
      </w:pPr>
      <w:r w:rsidRPr="00BD0F56">
        <w:t>USVOJENI TEKSTOVI</w:t>
      </w:r>
    </w:p>
    <w:p w:rsidR="00D058B8" w:rsidRPr="00BD0F56" w:rsidRDefault="00D058B8" w:rsidP="00D058B8">
      <w:pPr>
        <w:pStyle w:val="LineBottom"/>
      </w:pPr>
    </w:p>
    <w:p w:rsidR="00C81A7C" w:rsidRPr="00BD0F56" w:rsidRDefault="00C81A7C" w:rsidP="00C81A7C">
      <w:pPr>
        <w:pStyle w:val="ATHeading1"/>
      </w:pPr>
      <w:bookmarkStart w:id="0" w:name="TANumber"/>
      <w:r w:rsidRPr="00BD0F56">
        <w:t>P9_TA(2024)0</w:t>
      </w:r>
      <w:bookmarkEnd w:id="0"/>
      <w:r w:rsidR="00BD0F56" w:rsidRPr="00BD0F56">
        <w:t>357</w:t>
      </w:r>
    </w:p>
    <w:p w:rsidR="00C81A7C" w:rsidRPr="00BD0F56" w:rsidRDefault="00C81A7C" w:rsidP="00C81A7C">
      <w:pPr>
        <w:pStyle w:val="ATHeading2"/>
      </w:pPr>
      <w:bookmarkStart w:id="1" w:name="title"/>
      <w:r w:rsidRPr="00BD0F56">
        <w:t>Izmjena Uredbe (EU) 2016/1011 u pogledu područja primjene pravila za referentne vrijednosti, upotrebe u Uniji referentnih vrijednosti koje pruža administrator smješten u trećoj zemlji i određenih zahtjeva za izvješćivanje</w:t>
      </w:r>
      <w:bookmarkEnd w:id="1"/>
    </w:p>
    <w:p w:rsidR="00C81A7C" w:rsidRPr="00BD0F56" w:rsidRDefault="00C81A7C" w:rsidP="00C81A7C">
      <w:pPr>
        <w:rPr>
          <w:i/>
          <w:vanish/>
        </w:rPr>
      </w:pPr>
      <w:r w:rsidRPr="00BD0F56">
        <w:rPr>
          <w:i/>
        </w:rPr>
        <w:fldChar w:fldCharType="begin"/>
      </w:r>
      <w:r w:rsidRPr="00BD0F56">
        <w:rPr>
          <w:i/>
        </w:rPr>
        <w:instrText xml:space="preserve"> TC"(</w:instrText>
      </w:r>
      <w:bookmarkStart w:id="2" w:name="DocNumber"/>
      <w:proofErr w:type="spellStart"/>
      <w:r w:rsidRPr="00BD0F56">
        <w:rPr>
          <w:i/>
        </w:rPr>
        <w:instrText>A9</w:instrText>
      </w:r>
      <w:proofErr w:type="spellEnd"/>
      <w:r w:rsidRPr="00BD0F56">
        <w:rPr>
          <w:i/>
        </w:rPr>
        <w:instrText>-0076/2024</w:instrText>
      </w:r>
      <w:bookmarkEnd w:id="2"/>
      <w:r w:rsidRPr="00BD0F56">
        <w:rPr>
          <w:i/>
        </w:rPr>
        <w:instrText xml:space="preserve"> - Izvjestitelj: </w:instrText>
      </w:r>
      <w:proofErr w:type="spellStart"/>
      <w:r w:rsidRPr="00BD0F56">
        <w:rPr>
          <w:i/>
        </w:rPr>
        <w:instrText>Jonás</w:instrText>
      </w:r>
      <w:proofErr w:type="spellEnd"/>
      <w:r w:rsidRPr="00BD0F56">
        <w:rPr>
          <w:i/>
        </w:rPr>
        <w:instrText xml:space="preserve"> </w:instrText>
      </w:r>
      <w:proofErr w:type="spellStart"/>
      <w:r w:rsidRPr="00BD0F56">
        <w:rPr>
          <w:i/>
        </w:rPr>
        <w:instrText>Fernández</w:instrText>
      </w:r>
      <w:proofErr w:type="spellEnd"/>
      <w:r w:rsidRPr="00BD0F56">
        <w:rPr>
          <w:i/>
        </w:rPr>
        <w:instrText>)"\</w:instrText>
      </w:r>
      <w:proofErr w:type="spellStart"/>
      <w:r w:rsidRPr="00BD0F56">
        <w:rPr>
          <w:i/>
        </w:rPr>
        <w:instrText>l3</w:instrText>
      </w:r>
      <w:proofErr w:type="spellEnd"/>
      <w:r w:rsidRPr="00BD0F56">
        <w:rPr>
          <w:i/>
        </w:rPr>
        <w:instrText xml:space="preserve"> \n&gt; \* MERGEFORMAT </w:instrText>
      </w:r>
      <w:r w:rsidRPr="00BD0F56">
        <w:rPr>
          <w:i/>
        </w:rPr>
        <w:fldChar w:fldCharType="end"/>
      </w:r>
    </w:p>
    <w:p w:rsidR="00C81A7C" w:rsidRPr="00BD0F56" w:rsidRDefault="00C81A7C" w:rsidP="00C81A7C">
      <w:pPr>
        <w:rPr>
          <w:vanish/>
        </w:rPr>
      </w:pPr>
      <w:bookmarkStart w:id="3" w:name="Commission"/>
      <w:r w:rsidRPr="00BD0F56">
        <w:rPr>
          <w:vanish/>
        </w:rPr>
        <w:t>Odbor za ekonomsku i monetarnu politiku</w:t>
      </w:r>
      <w:bookmarkEnd w:id="3"/>
    </w:p>
    <w:p w:rsidR="00C81A7C" w:rsidRPr="00BD0F56" w:rsidRDefault="00C81A7C" w:rsidP="00C81A7C">
      <w:pPr>
        <w:rPr>
          <w:vanish/>
        </w:rPr>
      </w:pPr>
      <w:bookmarkStart w:id="4" w:name="PE"/>
      <w:r w:rsidRPr="00BD0F56">
        <w:rPr>
          <w:vanish/>
        </w:rPr>
        <w:t>PE757.977</w:t>
      </w:r>
      <w:bookmarkEnd w:id="4"/>
    </w:p>
    <w:p w:rsidR="00C81A7C" w:rsidRPr="00BD0F56" w:rsidRDefault="00C81A7C" w:rsidP="00C81A7C">
      <w:pPr>
        <w:pStyle w:val="ATHeading3"/>
      </w:pPr>
      <w:bookmarkStart w:id="5" w:name="Sujet"/>
      <w:r w:rsidRPr="00BD0F56">
        <w:t xml:space="preserve">Zakonodavna rezolucija Europskog parlamenta od </w:t>
      </w:r>
      <w:r w:rsidR="00833278" w:rsidRPr="00BD0F56">
        <w:t>24. travnja</w:t>
      </w:r>
      <w:r w:rsidRPr="00BD0F56">
        <w:t xml:space="preserve"> 2024. o Prijedlogu uredbe Europskog parlamenta i Vijeća o izmjeni Uredbe (EU) 2016/1011 u pogledu područja primjene pravila za referentne vrijednosti, upotrebe u Uniji referentnih vrijednosti koje pruža administrator smješten u trećoj zemlji i određenih zahtjeva za izvješćivanje</w:t>
      </w:r>
      <w:bookmarkEnd w:id="5"/>
      <w:r w:rsidRPr="00BD0F56">
        <w:t xml:space="preserve"> </w:t>
      </w:r>
      <w:bookmarkStart w:id="6" w:name="References"/>
      <w:r w:rsidRPr="00BD0F56">
        <w:t>(COM(2023)0660 – C9-0389/2023 – 2023/0379(COD))</w:t>
      </w:r>
      <w:bookmarkEnd w:id="6"/>
    </w:p>
    <w:p w:rsidR="007873FC" w:rsidRPr="00BD0F56" w:rsidRDefault="007873FC" w:rsidP="007873FC">
      <w:pPr>
        <w:pStyle w:val="NormalBold"/>
      </w:pPr>
      <w:bookmarkStart w:id="7" w:name="TextBodyBegin"/>
      <w:bookmarkEnd w:id="7"/>
      <w:r w:rsidRPr="00BD0F56">
        <w:t>(Redovni zakonodavni postupak: prvo čitanje)</w:t>
      </w:r>
    </w:p>
    <w:p w:rsidR="007873FC" w:rsidRPr="00BD0F56" w:rsidRDefault="007873FC" w:rsidP="007873FC">
      <w:pPr>
        <w:pStyle w:val="EPComma"/>
      </w:pPr>
      <w:r w:rsidRPr="00BD0F56">
        <w:rPr>
          <w:i/>
        </w:rPr>
        <w:t>Europski parlament</w:t>
      </w:r>
      <w:r w:rsidRPr="00BD0F56">
        <w:t>,</w:t>
      </w:r>
    </w:p>
    <w:p w:rsidR="007873FC" w:rsidRPr="00BD0F56" w:rsidRDefault="007873FC" w:rsidP="007873FC">
      <w:pPr>
        <w:pStyle w:val="NormalHanging12a"/>
      </w:pPr>
      <w:r w:rsidRPr="00BD0F56">
        <w:t>–</w:t>
      </w:r>
      <w:r w:rsidRPr="00BD0F56">
        <w:tab/>
        <w:t>uzimajući u obzir Prijedlog Komisije upućen Europskom parlamentu i Vijeću (COM(2023)0660),</w:t>
      </w:r>
    </w:p>
    <w:p w:rsidR="007873FC" w:rsidRPr="00BD0F56" w:rsidRDefault="007873FC" w:rsidP="007873FC">
      <w:pPr>
        <w:pStyle w:val="NormalHanging12a"/>
      </w:pPr>
      <w:r w:rsidRPr="00BD0F56">
        <w:t>–</w:t>
      </w:r>
      <w:r w:rsidRPr="00BD0F56">
        <w:tab/>
        <w:t>uzimajući u obzir članak 294. stavak 2. i članak 114. Ugovora o funkcioniranju Europske unije, u skladu s kojima je Komisija podnijela Prijedlog Parlamentu (C9</w:t>
      </w:r>
      <w:r w:rsidRPr="00BD0F56">
        <w:noBreakHyphen/>
        <w:t>0389/2023),</w:t>
      </w:r>
    </w:p>
    <w:p w:rsidR="007873FC" w:rsidRPr="00BD0F56" w:rsidRDefault="007873FC" w:rsidP="007873FC">
      <w:pPr>
        <w:pStyle w:val="NormalHanging12a"/>
      </w:pPr>
      <w:r w:rsidRPr="00BD0F56">
        <w:t>–</w:t>
      </w:r>
      <w:r w:rsidRPr="00BD0F56">
        <w:tab/>
        <w:t>uzimajući u obzir članak 294. stavak 3. Ugovora o funkcioniranju Europske unije,</w:t>
      </w:r>
    </w:p>
    <w:p w:rsidR="007873FC" w:rsidRPr="00BD0F56" w:rsidRDefault="007873FC" w:rsidP="007873FC">
      <w:pPr>
        <w:pStyle w:val="NormalHanging12a"/>
      </w:pPr>
      <w:r w:rsidRPr="00BD0F56">
        <w:t>–</w:t>
      </w:r>
      <w:r w:rsidRPr="00BD0F56">
        <w:tab/>
        <w:t>uzimajući u obzir članak 59. Poslovnika,</w:t>
      </w:r>
    </w:p>
    <w:p w:rsidR="007873FC" w:rsidRPr="00BD0F56" w:rsidRDefault="007873FC" w:rsidP="007873FC">
      <w:pPr>
        <w:pStyle w:val="NormalHanging12a"/>
      </w:pPr>
      <w:r w:rsidRPr="00BD0F56">
        <w:t>–</w:t>
      </w:r>
      <w:r w:rsidRPr="00BD0F56">
        <w:tab/>
        <w:t>uzimajući u obzir izvješće Odbora za ekonomsku i monetarnu politiku (A9</w:t>
      </w:r>
      <w:r w:rsidRPr="00BD0F56">
        <w:noBreakHyphen/>
        <w:t>0076/2024),</w:t>
      </w:r>
    </w:p>
    <w:p w:rsidR="007873FC" w:rsidRPr="00BD0F56" w:rsidRDefault="007873FC" w:rsidP="007873FC">
      <w:pPr>
        <w:pStyle w:val="NormalHanging12a"/>
      </w:pPr>
      <w:r w:rsidRPr="00BD0F56">
        <w:t>1.</w:t>
      </w:r>
      <w:r w:rsidRPr="00BD0F56">
        <w:tab/>
        <w:t>usvaja sljedeće stajalište u prvom čitanju;</w:t>
      </w:r>
    </w:p>
    <w:p w:rsidR="007873FC" w:rsidRPr="00BD0F56" w:rsidRDefault="007873FC" w:rsidP="007873FC">
      <w:pPr>
        <w:pStyle w:val="NormalHanging12a"/>
      </w:pPr>
      <w:r w:rsidRPr="00BD0F56">
        <w:t>2.</w:t>
      </w:r>
      <w:r w:rsidRPr="00BD0F56">
        <w:tab/>
        <w:t>poziva Komisiju da predmet ponovno uputi Parlamentu ako zamijeni, bitno izmijeni ili namjerava bitno izmijeniti svoj Prijedlog;</w:t>
      </w:r>
    </w:p>
    <w:p w:rsidR="007873FC" w:rsidRPr="00BD0F56" w:rsidRDefault="007873FC" w:rsidP="007873FC">
      <w:pPr>
        <w:pStyle w:val="NormalHanging12a"/>
      </w:pPr>
      <w:r w:rsidRPr="00BD0F56">
        <w:t>3.</w:t>
      </w:r>
      <w:r w:rsidRPr="00BD0F56">
        <w:tab/>
        <w:t>nalaže svojoj predsjednici da stajalište Parlamenta proslijedi Vijeću, Komisiji i nacionalnim parlamentima.</w:t>
      </w:r>
    </w:p>
    <w:p w:rsidR="002451FB" w:rsidRDefault="002451FB" w:rsidP="007873FC">
      <w:pPr>
        <w:sectPr w:rsidR="002451FB" w:rsidSect="00365F7E">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rsidR="002451FB" w:rsidRPr="0084777D" w:rsidRDefault="002451FB" w:rsidP="002451FB">
      <w:pPr>
        <w:widowControl/>
      </w:pPr>
      <w:proofErr w:type="spellStart"/>
      <w:r>
        <w:rPr>
          <w:b/>
          <w:color w:val="000000"/>
        </w:rPr>
        <w:lastRenderedPageBreak/>
        <w:t>P9_TC1</w:t>
      </w:r>
      <w:proofErr w:type="spellEnd"/>
      <w:r>
        <w:rPr>
          <w:b/>
          <w:color w:val="000000"/>
        </w:rPr>
        <w:t>-COD(2023)0379</w:t>
      </w:r>
    </w:p>
    <w:p w:rsidR="007873FC" w:rsidRPr="00BD0F56" w:rsidRDefault="002451FB" w:rsidP="002451FB">
      <w:pPr>
        <w:pStyle w:val="Titreobjet"/>
        <w:jc w:val="left"/>
        <w:rPr>
          <w:noProof/>
        </w:rPr>
      </w:pPr>
      <w:r w:rsidRPr="004F599D">
        <w:t>Stajalište Europskog parla</w:t>
      </w:r>
      <w:r>
        <w:t>menta usvojeno u prvom čitanju 24. travnja</w:t>
      </w:r>
      <w:r w:rsidRPr="004F599D">
        <w:t xml:space="preserve"> 2024. radi donošenja</w:t>
      </w:r>
      <w:r w:rsidRPr="0084777D">
        <w:t xml:space="preserve"> </w:t>
      </w:r>
      <w:r>
        <w:rPr>
          <w:szCs w:val="24"/>
        </w:rPr>
        <w:t>Uredbe</w:t>
      </w:r>
      <w:r w:rsidRPr="00A91E78">
        <w:t xml:space="preserve"> </w:t>
      </w:r>
      <w:r w:rsidRPr="00D502B5">
        <w:rPr>
          <w:noProof/>
        </w:rPr>
        <w:t xml:space="preserve">(EU) 2024/… </w:t>
      </w:r>
      <w:r>
        <w:t>Europskog parlamenta i V</w:t>
      </w:r>
      <w:r w:rsidRPr="00A91E78">
        <w:t>ijeća</w:t>
      </w:r>
      <w:r>
        <w:t xml:space="preserve"> </w:t>
      </w:r>
      <w:r w:rsidR="007873FC" w:rsidRPr="00BD0F56">
        <w:t>o izmjeni Uredbe (EU) 2016/1011 u pogledu područja primjene pravila za referentne vrijednosti, upotrebe u Uniji referentnih vrijednosti koje pruža administrator smješten u trećoj zemlji i određenih zahtjeva za izvješćivanje</w:t>
      </w:r>
      <w:r w:rsidRPr="0058284B">
        <w:rPr>
          <w:rStyle w:val="FootnoteReference"/>
        </w:rPr>
        <w:footnoteReference w:customMarkFollows="1" w:id="1"/>
        <w:sym w:font="Symbol" w:char="F02A"/>
      </w:r>
    </w:p>
    <w:p w:rsidR="007873FC" w:rsidRPr="00BD0F56" w:rsidRDefault="007873FC" w:rsidP="007873FC">
      <w:pPr>
        <w:pStyle w:val="IntrtEEE"/>
        <w:rPr>
          <w:noProof/>
        </w:rPr>
      </w:pPr>
      <w:r w:rsidRPr="00BD0F56">
        <w:t>(Tekst značajan za EGP)</w:t>
      </w:r>
    </w:p>
    <w:p w:rsidR="007873FC" w:rsidRPr="00BD0F56" w:rsidRDefault="007873FC" w:rsidP="007873FC">
      <w:pPr>
        <w:pStyle w:val="Institutionquiagit"/>
        <w:rPr>
          <w:noProof/>
        </w:rPr>
      </w:pPr>
      <w:r w:rsidRPr="00BD0F56">
        <w:t>EUROPSKI PARLAMENT I VIJEĆE EUROPSKE UNIJE,</w:t>
      </w:r>
    </w:p>
    <w:p w:rsidR="007873FC" w:rsidRPr="00BD0F56" w:rsidRDefault="007873FC" w:rsidP="007873FC">
      <w:pPr>
        <w:rPr>
          <w:noProof/>
        </w:rPr>
      </w:pPr>
      <w:r w:rsidRPr="00BD0F56">
        <w:t>uzimajući u obzir Ugovor o funkcioniranju Europske unije, a posebno njegov članak 114.,</w:t>
      </w:r>
    </w:p>
    <w:p w:rsidR="007873FC" w:rsidRPr="00BD0F56" w:rsidRDefault="007873FC" w:rsidP="007873FC">
      <w:pPr>
        <w:rPr>
          <w:noProof/>
        </w:rPr>
      </w:pPr>
      <w:r w:rsidRPr="00BD0F56">
        <w:t>uzimajući u obzir prijedlog Europske komisije,</w:t>
      </w:r>
    </w:p>
    <w:p w:rsidR="007873FC" w:rsidRPr="00BD0F56" w:rsidRDefault="007873FC" w:rsidP="007873FC">
      <w:pPr>
        <w:rPr>
          <w:noProof/>
        </w:rPr>
      </w:pPr>
      <w:r w:rsidRPr="00BD0F56">
        <w:t>nakon prosljeđivanja nacrta zakonodavnog akta nacionalnim parlamentima,</w:t>
      </w:r>
    </w:p>
    <w:p w:rsidR="007873FC" w:rsidRPr="00BD0F56" w:rsidRDefault="007873FC" w:rsidP="007873FC">
      <w:pPr>
        <w:rPr>
          <w:noProof/>
        </w:rPr>
      </w:pPr>
      <w:r w:rsidRPr="00BD0F56">
        <w:t>uzimajući u obzir mišljenje Europske središnje banke</w:t>
      </w:r>
      <w:r w:rsidRPr="00BD0F56">
        <w:rPr>
          <w:rStyle w:val="FootnoteReference"/>
          <w:noProof/>
        </w:rPr>
        <w:footnoteReference w:id="2"/>
      </w:r>
      <w:r w:rsidRPr="00BD0F56">
        <w:t>,</w:t>
      </w:r>
    </w:p>
    <w:p w:rsidR="007873FC" w:rsidRPr="00BD0F56" w:rsidRDefault="007873FC" w:rsidP="007873FC">
      <w:pPr>
        <w:rPr>
          <w:noProof/>
        </w:rPr>
      </w:pPr>
      <w:r w:rsidRPr="00BD0F56">
        <w:t>uzimajući u obzir mišljenje Europskoga gospodarskog i socijalnog odbora</w:t>
      </w:r>
      <w:r w:rsidRPr="00BD0F56">
        <w:rPr>
          <w:rStyle w:val="FootnoteReference"/>
          <w:noProof/>
        </w:rPr>
        <w:footnoteReference w:id="3"/>
      </w:r>
      <w:r w:rsidRPr="00BD0F56">
        <w:t xml:space="preserve">, </w:t>
      </w:r>
    </w:p>
    <w:p w:rsidR="007873FC" w:rsidRPr="00BD0F56" w:rsidRDefault="007873FC" w:rsidP="007873FC">
      <w:pPr>
        <w:rPr>
          <w:noProof/>
        </w:rPr>
      </w:pPr>
      <w:r w:rsidRPr="00BD0F56">
        <w:t>u skladu s redovnim zakonodavnim postupkom</w:t>
      </w:r>
      <w:r w:rsidRPr="00BD0F56">
        <w:rPr>
          <w:rStyle w:val="FootnoteReference"/>
          <w:noProof/>
        </w:rPr>
        <w:footnoteReference w:id="4"/>
      </w:r>
      <w:r w:rsidRPr="00BD0F56">
        <w:t>,</w:t>
      </w:r>
    </w:p>
    <w:p w:rsidR="007873FC" w:rsidRPr="00BD0F56" w:rsidRDefault="007873FC" w:rsidP="007873FC">
      <w:pPr>
        <w:rPr>
          <w:noProof/>
        </w:rPr>
      </w:pPr>
      <w:r w:rsidRPr="00BD0F56">
        <w:t>budući da:</w:t>
      </w:r>
    </w:p>
    <w:p w:rsidR="007873FC" w:rsidRPr="00BD0F56" w:rsidRDefault="007873FC" w:rsidP="007873FC">
      <w:pPr>
        <w:rPr>
          <w:noProof/>
        </w:rPr>
      </w:pPr>
    </w:p>
    <w:p w:rsidR="007873FC" w:rsidRPr="00BD0F56" w:rsidRDefault="007873FC" w:rsidP="007873FC">
      <w:pPr>
        <w:pStyle w:val="ManualConsidrant"/>
        <w:rPr>
          <w:noProof/>
        </w:rPr>
      </w:pPr>
      <w:r w:rsidRPr="00BD0F56">
        <w:t>(1)</w:t>
      </w:r>
      <w:r w:rsidRPr="00BD0F56">
        <w:tab/>
        <w:t>Zahtjevi za izvješćivanje bitni su za osiguravanje primjerenog praćenja i pravilne provedbe zakonodavstva. Međutim, važno je te zahtjeve pojednostavniti kako bi se osiguralo da ispunjavaju svrhu kojoj su namijenjeni i kako bi se ograničilo administrativno opterećenje.</w:t>
      </w:r>
    </w:p>
    <w:p w:rsidR="007873FC" w:rsidRPr="00BD0F56" w:rsidRDefault="007873FC" w:rsidP="007873FC">
      <w:pPr>
        <w:pStyle w:val="ManualConsidrant"/>
        <w:rPr>
          <w:noProof/>
        </w:rPr>
      </w:pPr>
      <w:r w:rsidRPr="00BD0F56">
        <w:t>(2)</w:t>
      </w:r>
      <w:r w:rsidRPr="00BD0F56">
        <w:tab/>
        <w:t>Na temelju Uredbe (EU) 2016/1011 Europskog parlamenta i Vijeća</w:t>
      </w:r>
      <w:r w:rsidRPr="00BD0F56">
        <w:rPr>
          <w:rStyle w:val="FootnoteReference"/>
          <w:noProof/>
        </w:rPr>
        <w:footnoteReference w:id="5"/>
      </w:r>
      <w:r w:rsidRPr="00BD0F56">
        <w:t xml:space="preserve"> svi administratori referentnih vrijednosti, bez obzira na sistemsku važnost tih referentnih vrijednosti ili iznos financijskih instrumenata ili ugovora u kojima se te referentne vrijednosti upotrebljavaju kao referentne stope ili mjerila uspješnosti, moraju ispunjavati nekoliko vrlo detaljnih zahtjeva, uključujući zahtjeve za njihovu organizaciju, upravljanje i sukob interesa, nadzorne funkcije, ulazne podatke, kodekse ponašanja, izvješćivanje o kršenjima te objave metodoloških informacija i izjava o referentnim vrijednostima. Zbog tih vrlo detaljnih zahtjeva administratori manjih referentnih vrijednosti u Uniji podliježu nerazmjernom regulatornom opterećenju s obzirom na ciljeve Uredbe (EU) 2016/1011, odnosno zaštitu financijske stabilnosti i izbjegavanje negativnih gospodarskih posljedica koje proizlaze iz nepouzdanosti referentnih vrijednosti. Stoga je nužno smanjiti to regulatorno opterećenje usmjeravanjem na referentne vrijednosti od najveće gospodarske važnosti za tržište Unije, odnosno na značajne i ključne referentne </w:t>
      </w:r>
      <w:r w:rsidRPr="00BD0F56">
        <w:lastRenderedPageBreak/>
        <w:t>vrijednosti, te na referentne vrijednosti koje pridonose promicanju ključnih politika Unije, odnosno na referentne vrijednosti EU-a za klimatsku tranziciju i referentne vrijednosti EU-a usklađene s Pariškim sporazumom. Zbog toga bi područje primjene glava II., III., IV. i VI. Uredbe (EU) 2016/1011 trebalo smanjiti na te posebne referentne vrijednosti.</w:t>
      </w:r>
    </w:p>
    <w:p w:rsidR="007873FC" w:rsidRPr="00BD0F56" w:rsidRDefault="007873FC" w:rsidP="007873FC">
      <w:pPr>
        <w:pStyle w:val="ManualConsidrant"/>
        <w:rPr>
          <w:b/>
          <w:i/>
          <w:noProof/>
        </w:rPr>
      </w:pPr>
      <w:r w:rsidRPr="00BD0F56">
        <w:rPr>
          <w:b/>
          <w:i/>
        </w:rPr>
        <w:t xml:space="preserve">(2a) </w:t>
      </w:r>
      <w:r w:rsidRPr="00BD0F56">
        <w:rPr>
          <w:b/>
          <w:i/>
        </w:rPr>
        <w:tab/>
        <w:t>Administratori referentnih vrijednosti koji žele ostati obuhvaćeni područjem primjene Uredbe (EU) 2016/1011 trebali bi imati mogućnost zatražiti dobrovoljni nadzor čak i ako njihove referentne vrijednosti ne dosežu prag značajne referentne vrijednosti ili nisu utvrđene kao značajne. Isto tako, administratorima referentnih vrijednosti čije referentne vrijednosti ne dosežu prag značajne referentne vrijednosti i koji žele dobiti regulatornu licenciju u skladu s Uredbom (EU) 2016/1011 ne bi trebalo zabraniti da to učine.</w:t>
      </w:r>
    </w:p>
    <w:p w:rsidR="007873FC" w:rsidRPr="00BD0F56" w:rsidRDefault="007873FC" w:rsidP="007873FC">
      <w:pPr>
        <w:pStyle w:val="ManualConsidrant"/>
        <w:rPr>
          <w:noProof/>
        </w:rPr>
      </w:pPr>
      <w:r w:rsidRPr="00BD0F56">
        <w:t>(3)</w:t>
      </w:r>
      <w:r w:rsidRPr="00BD0F56">
        <w:tab/>
        <w:t>U skladu s člankom 18.a Uredbe (EU) 2016/1011 Komisija može iz područja primjene te uredbe izuzeti određene referentne vrijednosti promptnog deviznog tečaja kako bi se osigurala njihova stalna dostupnost za upotrebu u Uniji. Budući da je potrebno revidirati i suziti usmjerenost Uredbe (EU) 2016/1011 na ključne referentne vrijednosti, značajne referentne vrijednosti, referentne vrijednosti EU-a za klimatsku tranziciju i referentne vrijednosti EU-a usklađene s Pariškim sporazumom, više nema potrebe za posebnim sustavom izuzeća za referentne vrijednosti promptnog deviznog tečaja.</w:t>
      </w:r>
    </w:p>
    <w:p w:rsidR="007873FC" w:rsidRPr="00BD0F56" w:rsidRDefault="007873FC" w:rsidP="007873FC">
      <w:pPr>
        <w:pStyle w:val="ManualConsidrant"/>
        <w:rPr>
          <w:noProof/>
        </w:rPr>
      </w:pPr>
      <w:r w:rsidRPr="00BD0F56">
        <w:t>(4)</w:t>
      </w:r>
      <w:r w:rsidRPr="00BD0F56">
        <w:tab/>
        <w:t xml:space="preserve">U skladu s člankom 19.d Uredbe (EU) 2016/1011 obveza je administratora značajnih referentnih vrijednosti nastojati pružati referentnu vrijednost EU-a za klimatsku tranziciju ili referentnu vrijednost EU-a usklađenu s Pariškim sporazumom </w:t>
      </w:r>
      <w:r w:rsidRPr="00BD0F56">
        <w:rPr>
          <w:b/>
          <w:bCs/>
          <w:i/>
          <w:iCs/>
        </w:rPr>
        <w:t>kako bi se utvrdili minimalni standardi za klimatske referentne vrijednosti i pružila sveobuhvatna opskrba klimatskim pokazateljima u Uniji</w:t>
      </w:r>
      <w:r w:rsidRPr="00BD0F56">
        <w:t>.</w:t>
      </w:r>
    </w:p>
    <w:p w:rsidR="007873FC" w:rsidRPr="00BD0F56" w:rsidRDefault="007873FC" w:rsidP="007873FC">
      <w:pPr>
        <w:pStyle w:val="ManualConsidrant"/>
        <w:rPr>
          <w:noProof/>
        </w:rPr>
      </w:pPr>
      <w:r w:rsidRPr="00BD0F56">
        <w:t>(5)</w:t>
      </w:r>
      <w:r w:rsidRPr="00BD0F56">
        <w:tab/>
        <w:t>Kriteriji na temelju kojih se procjenjuje je li referentna vrijednost značajna referentna vrijednost trenutačno su utvrđeni u članku 24. Uredbe (EU) 2016/1011. Referentne vrijednosti smatrat će se značajnima, među ostalim, ako ispunjavaju prag utvrđen u članku 24. stavku 1. točki (a) te uredbe.</w:t>
      </w:r>
      <w:bookmarkStart w:id="8" w:name="_Hlk147412513"/>
    </w:p>
    <w:p w:rsidR="007873FC" w:rsidRPr="00BD0F56" w:rsidRDefault="007873FC" w:rsidP="007873FC">
      <w:pPr>
        <w:pStyle w:val="ManualConsidrant"/>
        <w:rPr>
          <w:noProof/>
        </w:rPr>
      </w:pPr>
      <w:r w:rsidRPr="00BD0F56">
        <w:t>(6)</w:t>
      </w:r>
      <w:r w:rsidRPr="00BD0F56">
        <w:tab/>
        <w:t xml:space="preserve">Administratori referentnih vrijednosti </w:t>
      </w:r>
      <w:r w:rsidRPr="00BD0F56">
        <w:rPr>
          <w:b/>
          <w:bCs/>
          <w:i/>
          <w:iCs/>
        </w:rPr>
        <w:t xml:space="preserve">trebali bi </w:t>
      </w:r>
      <w:r w:rsidRPr="00BD0F56">
        <w:t xml:space="preserve">pratiti upotrebu svojih referentnih vrijednosti u Uniji </w:t>
      </w:r>
      <w:r w:rsidRPr="00BD0F56">
        <w:rPr>
          <w:b/>
          <w:bCs/>
          <w:i/>
          <w:iCs/>
        </w:rPr>
        <w:t>i</w:t>
      </w:r>
      <w:r w:rsidRPr="00BD0F56">
        <w:t xml:space="preserve"> obavijestiti predmetno nadležno tijelo ili Europsko nadzorno tijelo za vrijednosne papire i tržišta kapitala (ESMA), ovisno o tome gdje je administrator smješten, da je ukupna upotreba jedne od njihovih referentnih vrijednosti premašila prag utvrđen u članku 24. stavku 1. točki (a) Uredbe (EU) 2016/1011. </w:t>
      </w:r>
      <w:r w:rsidRPr="00BD0F56">
        <w:rPr>
          <w:b/>
          <w:i/>
        </w:rPr>
        <w:t>Međutim, teško je izračunati taj prag, posebno na razini Unije. Kako bi se osiguralo da se taj prag dosljedno provodi, ESMA bi trebala izraditi nacrt regulatornih tehničkih standarda kojima se pobliže određuje metoda izračuna. Nadalje, administratori referentnih vrijednosti koje se upotrebljavaju u Uniji trebali bi nastojati dobiti globalno dogovoreni identifikacijski kod za identifikaciju svojih referentnih vrijednosti.</w:t>
      </w:r>
    </w:p>
    <w:p w:rsidR="007873FC" w:rsidRPr="00BD0F56" w:rsidRDefault="007873FC" w:rsidP="007873FC">
      <w:pPr>
        <w:pStyle w:val="ManualConsidrant"/>
        <w:rPr>
          <w:noProof/>
        </w:rPr>
      </w:pPr>
      <w:r w:rsidRPr="00BD0F56">
        <w:rPr>
          <w:b/>
          <w:i/>
        </w:rPr>
        <w:t>(6a)</w:t>
      </w:r>
      <w:r w:rsidRPr="00BD0F56">
        <w:rPr>
          <w:b/>
          <w:i/>
        </w:rPr>
        <w:tab/>
        <w:t>Kako bi se osiguralo da administratori referentnih vrijednosti imaju dovoljno vremena za prilagodbu zahtjevima koji se primjenjuju na značajne referentne vrijednosti, na njih bi se ti zahtjevi trebali primjenjivati tek nakon isteka roka od 60 radnih dana od dana podnošenja te obavijesti. Osim toga, administratori referentnih vrijednosti trebali bi predmetnim nadležnim tijelima ili ESMA-i na zahtjev dostaviti sve informacije potrebne za procjenu ukupne upotrebe te referentne vrijednosti u Uniji.</w:t>
      </w:r>
      <w:r w:rsidRPr="00BD0F56">
        <w:t xml:space="preserve"> </w:t>
      </w:r>
    </w:p>
    <w:p w:rsidR="007873FC" w:rsidRPr="00BD0F56" w:rsidRDefault="007873FC" w:rsidP="007873FC">
      <w:pPr>
        <w:pStyle w:val="ManualConsidrant"/>
        <w:rPr>
          <w:b/>
          <w:i/>
          <w:noProof/>
        </w:rPr>
      </w:pPr>
      <w:r w:rsidRPr="00BD0F56">
        <w:rPr>
          <w:b/>
          <w:i/>
        </w:rPr>
        <w:t>(6b)</w:t>
      </w:r>
      <w:r w:rsidRPr="00BD0F56">
        <w:rPr>
          <w:b/>
          <w:i/>
        </w:rPr>
        <w:tab/>
      </w:r>
      <w:r w:rsidRPr="00BD0F56">
        <w:t xml:space="preserve">Ako administrator referentne vrijednosti propusti ili odbije </w:t>
      </w:r>
      <w:r w:rsidRPr="00BD0F56">
        <w:rPr>
          <w:b/>
          <w:bCs/>
          <w:i/>
          <w:iCs/>
        </w:rPr>
        <w:t>obavijestiti nadležna tijela</w:t>
      </w:r>
      <w:r w:rsidRPr="00BD0F56">
        <w:t xml:space="preserve"> o tome da je upotreba jedne od njegovih referentnih vrijednosti premašila prag utvrđen </w:t>
      </w:r>
      <w:r w:rsidRPr="00BD0F56">
        <w:lastRenderedPageBreak/>
        <w:t>u članku 24. stavku 1. točki (a) Uredbe (EU) 2016/1011 i ako nadležna tijela imaju jasne i dokazive razloge smatrati da je prag premašen, predmetna nadležna tijela ili ESMA, ovisno o slučaju, trebali bi moći izjaviti da je prag premašen, nakon što administratoru prethodno daju priliku da se očituje.</w:t>
      </w:r>
      <w:r w:rsidRPr="00BD0F56">
        <w:rPr>
          <w:b/>
          <w:i/>
        </w:rPr>
        <w:t xml:space="preserve"> Takva bi izjava za administratora referentne vrijednosti trebala aktivirati iste obveze kao i obavijest administratora referentne vrijednosti. Time se ne bi trebala dovesti u pitanje mogućnost nadležnih tijela ili ESMA-e da izriču administrativne sankcije administratorima koji ne obavijeste da je jedna od njihovih referentnih vrijednosti premašila primjenjivi prag.</w:t>
      </w:r>
    </w:p>
    <w:bookmarkEnd w:id="8"/>
    <w:p w:rsidR="007873FC" w:rsidRPr="00BD0F56" w:rsidRDefault="007873FC" w:rsidP="007873FC">
      <w:pPr>
        <w:pStyle w:val="ManualConsidrant"/>
        <w:rPr>
          <w:noProof/>
        </w:rPr>
      </w:pPr>
      <w:r w:rsidRPr="00BD0F56">
        <w:t>(7)</w:t>
      </w:r>
      <w:r w:rsidRPr="00BD0F56">
        <w:tab/>
        <w:t>Tržišta, cijene i regulatorno okruženje s vremenom se mijenjaju. Kako bi se te promjene uzele u obzir, Komisiju bi trebalo ovlastiti da dodatno odredi metodologiju koju će administratori i nadležna tijela primjenjivati za izračun ukupne vrijednosti financijskih instrumenata, financijskih ugovora ili investicijskih fondova koji se pozivaju na referentnu vrijednost.</w:t>
      </w:r>
    </w:p>
    <w:p w:rsidR="007873FC" w:rsidRPr="00BD0F56" w:rsidRDefault="007873FC" w:rsidP="007873FC">
      <w:pPr>
        <w:pStyle w:val="ManualConsidrant"/>
        <w:rPr>
          <w:noProof/>
        </w:rPr>
      </w:pPr>
      <w:r w:rsidRPr="00BD0F56">
        <w:t>(8)</w:t>
      </w:r>
      <w:r w:rsidRPr="00BD0F56">
        <w:tab/>
        <w:t>Međutim, u iznimnim slučajevima mogu postojati referentne vrijednosti čija je ukupna upotreba ispod praga utvrđenog u članku 24. stavku 1. točki (a) Uredbe (EU) 2016/1011 koje su, zbog posebne situacije na tržištu države članice, ipak toliko važne za tu državu članicu da bi njihova nepouzdanost mogla imati usporediv učinak kao referentna vrijednost čija upotreba premašuje taj prag. Zbog toga bi nadležno tijelo te države članice takvu referentnu vrijednost, ako je pruža administrator iz EU-a, trebalo moći odrediti kao značajnu na temelju skupa kvalitativnih kriterija. Kad je riječ o referentnim vrijednostima koje pruža administrator iz treće zemlje, takvu referentnu vrijednost kao značajnu bi trebala odrediti ESMA na zahtjev jednog ili više nadležnih tijela.</w:t>
      </w:r>
    </w:p>
    <w:p w:rsidR="007873FC" w:rsidRPr="00BD0F56" w:rsidRDefault="007873FC" w:rsidP="007873FC">
      <w:pPr>
        <w:pStyle w:val="ManualConsidrant"/>
        <w:rPr>
          <w:noProof/>
        </w:rPr>
      </w:pPr>
      <w:bookmarkStart w:id="9" w:name="_Hlk147415000"/>
      <w:r w:rsidRPr="00BD0F56">
        <w:t>(9)</w:t>
      </w:r>
      <w:r w:rsidRPr="00BD0F56">
        <w:tab/>
        <w:t>Kako bi se osigurale dosljednost i koordinacija nacionalnih postupaka određivanja referentnih vrijednosti kao značajnih referentnih vrijednosti, nadležna tijela koja namjeravaju odrediti referentnu vrijednost kao značajnu trebala bi se savjetovati s ESMA-om. Zbog istog bi se razloga nadležno tijelo države članice koje namjerava odrediti kao značajnu referentnu vrijednost koju pruža administrator smješten u drugoj državi članici trebalo savjetovati i s nadležnim tijelom te druge države članice. Ako se nadležna tijela ne slažu oko toga koje bi od njih trebalo odrediti i nadzirati referentnu vrijednost, ESMA bi taj spor trebala riješiti u skladu s člankom 19. Uredbe (EU) br. 1095/2010 Europskog parlamenta i Vijeća</w:t>
      </w:r>
      <w:r w:rsidRPr="00BD0F56">
        <w:rPr>
          <w:rStyle w:val="FootnoteReference"/>
          <w:noProof/>
        </w:rPr>
        <w:footnoteReference w:id="6"/>
      </w:r>
      <w:r w:rsidRPr="00BD0F56">
        <w:t>.</w:t>
      </w:r>
    </w:p>
    <w:bookmarkEnd w:id="9"/>
    <w:p w:rsidR="007873FC" w:rsidRPr="00BD0F56" w:rsidRDefault="007873FC" w:rsidP="007873FC">
      <w:pPr>
        <w:pStyle w:val="ManualConsidrant"/>
        <w:rPr>
          <w:noProof/>
        </w:rPr>
      </w:pPr>
      <w:r w:rsidRPr="00BD0F56">
        <w:t>(10)</w:t>
      </w:r>
      <w:r w:rsidRPr="00BD0F56">
        <w:tab/>
        <w:t>Kako bi se poštovalo pravo na očitovanje, nadležno tijelo ili ESMA trebali bi, prije određivanja referentne vrijednosti kao značajne, administratoru te referentne vrijednosti omogućiti da dostavi sve korisne informacije relevantne za njezino određivanje.</w:t>
      </w:r>
    </w:p>
    <w:p w:rsidR="007873FC" w:rsidRPr="00BD0F56" w:rsidRDefault="007873FC" w:rsidP="007873FC">
      <w:pPr>
        <w:pStyle w:val="ManualConsidrant"/>
        <w:rPr>
          <w:noProof/>
        </w:rPr>
      </w:pPr>
      <w:r w:rsidRPr="00BD0F56">
        <w:t>(11)</w:t>
      </w:r>
      <w:r w:rsidRPr="00BD0F56">
        <w:tab/>
        <w:t xml:space="preserve">Kako bi određivanje referentne vrijednosti kao značajne bilo što </w:t>
      </w:r>
      <w:proofErr w:type="spellStart"/>
      <w:r w:rsidRPr="00BD0F56">
        <w:t>transparentnije</w:t>
      </w:r>
      <w:proofErr w:type="spellEnd"/>
      <w:r w:rsidRPr="00BD0F56">
        <w:t>, nadležna tijela ili ESMA trebali bi izdati odluku o određivanju u kojoj se navode razlozi zbog kojih se ta referentna vrijednost smatra značajnom. Nadležna tijela trebala bi objaviti odluku o određivanju na svojim internetskim stranicama i o njoj obavijestiti ESMA-u. Zbog istih bi razloga ESMA, ako na zahtjev nadležnog tijela odredi referentnu vrijednost kao značajnu, trebala objaviti odluku o određivanju na svojim internetskim stranicama i o tome obavijestiti nadležno tijelo koje je podnijelo zahtjev.</w:t>
      </w:r>
    </w:p>
    <w:p w:rsidR="007873FC" w:rsidRPr="00BD0F56" w:rsidRDefault="007873FC" w:rsidP="007873FC">
      <w:pPr>
        <w:pStyle w:val="ManualConsidrant"/>
        <w:rPr>
          <w:noProof/>
        </w:rPr>
      </w:pPr>
      <w:r w:rsidRPr="00BD0F56">
        <w:t>(12)</w:t>
      </w:r>
      <w:r w:rsidRPr="00BD0F56">
        <w:tab/>
        <w:t xml:space="preserve">Referentne vrijednosti EU-a za klimatsku tranziciju </w:t>
      </w:r>
      <w:r w:rsidRPr="00BD0F56">
        <w:rPr>
          <w:b/>
          <w:bCs/>
          <w:i/>
          <w:iCs/>
        </w:rPr>
        <w:t>(EU-CTB)</w:t>
      </w:r>
      <w:r w:rsidRPr="00BD0F56">
        <w:t xml:space="preserve"> i referentne vrijednosti EU-a usklađene s Pariškim sporazumom </w:t>
      </w:r>
      <w:r w:rsidRPr="00BD0F56">
        <w:rPr>
          <w:b/>
          <w:bCs/>
          <w:i/>
          <w:iCs/>
        </w:rPr>
        <w:t>(EU-PAB)</w:t>
      </w:r>
      <w:r w:rsidRPr="00BD0F56">
        <w:t xml:space="preserve"> posebne su kategorije referentnih </w:t>
      </w:r>
      <w:r w:rsidRPr="00BD0F56">
        <w:lastRenderedPageBreak/>
        <w:t xml:space="preserve">vrijednosti, definirane njihovom usklađenošću s pravilima kojima se uređuje njihova metodologija </w:t>
      </w:r>
      <w:r w:rsidRPr="00BD0F56">
        <w:rPr>
          <w:b/>
          <w:bCs/>
          <w:i/>
          <w:iCs/>
        </w:rPr>
        <w:t>i zahtjevima za objavljivanje koji se odnose na njihovog administratora</w:t>
      </w:r>
      <w:r w:rsidRPr="00BD0F56">
        <w:t>. Zbog toga i kako bi se spriječile tvrdnje koje bi korisnike mogle navesti da pomisle da su takve referentne vrijednosti usklađene sa standardima povezanima s tim oznakama, potrebno je te referentne vrijednosti prema potrebi podvrgnuti obveznoj registraciji</w:t>
      </w:r>
      <w:r w:rsidRPr="00BD0F56">
        <w:rPr>
          <w:b/>
          <w:bCs/>
          <w:i/>
          <w:iCs/>
        </w:rPr>
        <w:t>,</w:t>
      </w:r>
      <w:r w:rsidRPr="00BD0F56">
        <w:t xml:space="preserve"> </w:t>
      </w:r>
      <w:r w:rsidRPr="00C011DD">
        <w:rPr>
          <w:b/>
          <w:i/>
        </w:rPr>
        <w:t>odobrenju</w:t>
      </w:r>
      <w:r w:rsidRPr="00BD0F56">
        <w:rPr>
          <w:b/>
          <w:bCs/>
          <w:i/>
          <w:iCs/>
        </w:rPr>
        <w:t>, priznavanju ili prihvaćanju</w:t>
      </w:r>
      <w:r w:rsidRPr="00BD0F56">
        <w:t xml:space="preserve"> i nadzoru. </w:t>
      </w:r>
    </w:p>
    <w:p w:rsidR="007873FC" w:rsidRPr="00BD0F56" w:rsidRDefault="007873FC" w:rsidP="007873FC">
      <w:pPr>
        <w:pStyle w:val="ManualConsidrant"/>
        <w:rPr>
          <w:b/>
          <w:i/>
          <w:noProof/>
        </w:rPr>
      </w:pPr>
      <w:r w:rsidRPr="00BD0F56">
        <w:rPr>
          <w:b/>
          <w:i/>
        </w:rPr>
        <w:t>(12a)</w:t>
      </w:r>
      <w:r w:rsidRPr="00BD0F56">
        <w:rPr>
          <w:b/>
          <w:i/>
        </w:rPr>
        <w:tab/>
        <w:t>Regulatorni tretman robnih referentnih vrijednosti trebao bi biti prilagođen njihovim posebnim značajkama. Robne referentne vrijednosti koje podliježu općim pravilima za financijske referentne vrijednosti trebale bi se tretirati jednako kao i druge financijske referentne vrijednosti i trebale bi biti obuhvaćene Uredbom (EU) 2016/1011 samo ako su značajne ili ključne referentne vrijednosti i nisu izuzete iz područja primjene ove Uredbe. Robne referentne vrijednosti koje podliježu posebnom režimu iz Priloga II. Uredbi (EU) 2016/1011 trebale bi uvijek biti obuhvaćene tom uredbom kako bi se osigurala otpornost i pouzdanost njihovih procjena.</w:t>
      </w:r>
    </w:p>
    <w:p w:rsidR="007873FC" w:rsidRPr="00BD0F56" w:rsidRDefault="007873FC" w:rsidP="007873FC">
      <w:pPr>
        <w:pStyle w:val="ManualConsidrant"/>
        <w:rPr>
          <w:noProof/>
        </w:rPr>
      </w:pPr>
      <w:r w:rsidRPr="00BD0F56">
        <w:t>(13)</w:t>
      </w:r>
      <w:r w:rsidRPr="00BD0F56">
        <w:tab/>
        <w:t>Kako bi se osigurao pravodoban početak nadzora značajnih referentnih vrijednosti, administratori referentnih vrijednosti koje su postale značajne dostizanjem primjenjivog kvantitativnog praga ili određivanjem trebali bi biti obvezni u roku od 60 radnih dana zatražiti odobrenje ili registraciju ili, ako je riječ o referentnim vrijednostima koje pruža administrator smješten u trećoj zemlji, prihvaćanje ili priznanje.</w:t>
      </w:r>
    </w:p>
    <w:p w:rsidR="007873FC" w:rsidRPr="00BD0F56" w:rsidRDefault="007873FC" w:rsidP="007873FC">
      <w:pPr>
        <w:pStyle w:val="ManualConsidrant"/>
        <w:rPr>
          <w:noProof/>
        </w:rPr>
      </w:pPr>
      <w:r w:rsidRPr="00BD0F56">
        <w:t>(14)</w:t>
      </w:r>
      <w:r w:rsidRPr="00BD0F56">
        <w:tab/>
        <w:t>Kako bi se ublažili rizici povezani s upotrebom referentnih vrijednosti koje možda nisu sigurne za upotrebu u Uniji te kako bi se upozorili potencijalni korisnici, nadležna tijela i ESMA trebali bi moći izdati upozorenje u obliku javne obavijesti o tome da administrator značajne referentne vrijednosti ne poštuje primjenjive zahtjeve, posebno u pogledu usklađenosti s obvezom da administrator referentne vrijednosti bude odobren, registriran, prihvaćen ili priznat, ovisno o slučaju. Nakon izdavanja takvog upozorenja nadzirani subjekti više ne bi trebali moći dodavati nova upućivanja na takve referentne vrijednosti ili kombinaciju referentnih vrijednosti. Slično tome, kako bi se spriječili rizici povezani s upotrebom referentnih vrijednosti za koje se tvrdi da su usklađene s oznakama EU-a za klimatsku tranziciju i oznakama EU-a usklađenima s Pariškim sporazumom iako nisu podvrgnute odgovarajućem nadzoru, nadzirani subjekti ne bi trebali moći dodavati nova upućivanja na referentnu vrijednost EU-a za klimatsku tranziciju ili referentnu vrijednost EU-a usklađenu s Pariškim sporazumom ili kombinaciju takvih referentnih vrijednosti u Uniji ako administrator tih referentnih vrijednosti nije uvršten u ESMA-</w:t>
      </w:r>
      <w:proofErr w:type="spellStart"/>
      <w:r w:rsidRPr="00BD0F56">
        <w:t>in</w:t>
      </w:r>
      <w:proofErr w:type="spellEnd"/>
      <w:r w:rsidRPr="00BD0F56">
        <w:t xml:space="preserve"> registar administratora i referentnih vrijednosti. </w:t>
      </w:r>
    </w:p>
    <w:p w:rsidR="007873FC" w:rsidRPr="00BD0F56" w:rsidRDefault="007873FC" w:rsidP="007873FC">
      <w:pPr>
        <w:pStyle w:val="ManualConsidrant"/>
        <w:rPr>
          <w:noProof/>
        </w:rPr>
      </w:pPr>
      <w:r w:rsidRPr="00BD0F56">
        <w:t>(15)</w:t>
      </w:r>
      <w:r w:rsidRPr="00BD0F56">
        <w:tab/>
        <w:t>Kako bi se izbjegli mogući prekomjerni poremećaji na tržištu nakon zabrane upotrebe referentne vrijednosti, nadležna tijela ili ESMA trebali bi moći dopustiti privremeni nastavak upotrebe takve referentne vrijednosti. Kako bi se osigurala dostatna razina transparentnosti i zaštite u odnosu na krajnje ulagače, korisnici referentnih vrijednosti na koje se primjenjuje upozorenje u obliku javne obavijesti trebali bi utvrditi odgovarajuću alternativu za zamjenu tih referentnih vrijednosti u roku od šest mjeseci od objave te javne obavijesti ili na drugi način osigurati da su klijenti primjereno obaviješteni o tome da ne postoji alternativna referentna vrijednost.</w:t>
      </w:r>
    </w:p>
    <w:p w:rsidR="007873FC" w:rsidRPr="00BD0F56" w:rsidRDefault="007873FC" w:rsidP="007873FC">
      <w:pPr>
        <w:pStyle w:val="ManualConsidrant"/>
        <w:rPr>
          <w:noProof/>
        </w:rPr>
      </w:pPr>
      <w:r w:rsidRPr="00BD0F56">
        <w:t>(16)</w:t>
      </w:r>
      <w:r w:rsidRPr="00BD0F56">
        <w:tab/>
        <w:t>U skladu s člankom 32. Uredbe (EU) 2016/1011 priznanje administratora referentnih vrijednosti smještenih u trećoj zemlji privremeni je način pristupa tržištu Unije dok Komisija ne donese odluku o jednakovrijednosti. Međutim, s obzirom na vrlo ograničen broj referentnih vrijednosti trećih zemalja obuhvaćenih odlukama o jednakovrijednosti, takvo bi priznavanje trebalo postati trajni način pristupa tržištu Unije za te administratore referentnih vrijednosti.</w:t>
      </w:r>
    </w:p>
    <w:p w:rsidR="007873FC" w:rsidRPr="00BD0F56" w:rsidRDefault="007873FC" w:rsidP="007873FC">
      <w:pPr>
        <w:pStyle w:val="ManualConsidrant"/>
        <w:rPr>
          <w:noProof/>
        </w:rPr>
      </w:pPr>
      <w:r w:rsidRPr="00BD0F56">
        <w:lastRenderedPageBreak/>
        <w:t>(17)</w:t>
      </w:r>
      <w:r w:rsidRPr="00BD0F56">
        <w:tab/>
        <w:t>Za referentne vrijednosti obuhvaćene odlukom o jednakovrijednosti smatra se da se jednako reguliraju i nadziru kao i referentne vrijednosti Unije. Obveza traženja prihvaćanja ili priznanja stoga se ne bi trebala primjenjivati na administratore značajnih referentnih vrijednosti smještenih u trećoj zemlji na koje se primjenjuje odluka o jednakovrijednosti.</w:t>
      </w:r>
    </w:p>
    <w:p w:rsidR="007873FC" w:rsidRPr="00BD0F56" w:rsidRDefault="007873FC" w:rsidP="007873FC">
      <w:pPr>
        <w:pStyle w:val="ManualConsidrant"/>
        <w:rPr>
          <w:noProof/>
        </w:rPr>
      </w:pPr>
      <w:r w:rsidRPr="00BD0F56">
        <w:t>(18)</w:t>
      </w:r>
      <w:r w:rsidRPr="00BD0F56">
        <w:tab/>
        <w:t xml:space="preserve">Radi transparentnosti i kako bi se osigurala pravna sigurnost, nadležna tijela koja određuju referentnu vrijednost kao značajnu trebala bi navesti moguća ograničenja upotrebe do kojih dolazi ako administrator takve referentne vrijednosti ne pribavi odobrenje ili ne dobije registraciju odnosno ako ne ispuni zahtjeve za prihvaćanje ili priznanje, ovisno o slučaju. </w:t>
      </w:r>
    </w:p>
    <w:p w:rsidR="007873FC" w:rsidRPr="00BD0F56" w:rsidRDefault="007873FC" w:rsidP="007873FC">
      <w:pPr>
        <w:pStyle w:val="ManualConsidrant"/>
        <w:rPr>
          <w:noProof/>
        </w:rPr>
      </w:pPr>
      <w:r w:rsidRPr="00BD0F56">
        <w:t>(19)</w:t>
      </w:r>
      <w:r w:rsidRPr="00BD0F56">
        <w:tab/>
        <w:t xml:space="preserve">Kako bi se ublažili rizici povezani s upotrebom značajnih referentnih vrijednosti koje se ne nadziru na odgovarajući način, u slučajevima kad administrator referentne vrijednosti koja postane značajna u propisanom roku ne zatraži odobrenje, registraciju, priznanje ili prihvaćanje, odnosno ako zahtjev tog administratora referentne vrijednosti za odobrenje, registraciju, priznanje ili prihvaćanje bude odbijen ili ako se tom administratoru oduzme odobrenje, registracija, prihvaćanje ili priznanje, nadležno tijelo ili ESMA, ovisno o slučaju, trebali bi izdati javnu obavijest u kojoj navode da značajne referentne vrijednosti koje pruža taj administrator nisu prikladne za upotrebu u Uniji. </w:t>
      </w:r>
    </w:p>
    <w:p w:rsidR="007873FC" w:rsidRPr="00BD0F56" w:rsidRDefault="007873FC" w:rsidP="007873FC">
      <w:pPr>
        <w:pStyle w:val="ManualConsidrant"/>
        <w:rPr>
          <w:noProof/>
        </w:rPr>
      </w:pPr>
      <w:r w:rsidRPr="00BD0F56">
        <w:t>(20)</w:t>
      </w:r>
      <w:r w:rsidRPr="00BD0F56">
        <w:tab/>
        <w:t>Korisnici referentnih vrijednosti oslanjaju se na transparentnost u pogledu regulatornog statusa referentnih vrijednosti koje upotrebljavaju ili namjeravaju upotrebljavati. Zbog toga bi ESMA u registru administratora i referentnih vrijednosti trebala navesti referentne vrijednosti na koje se primjenjuju najdetaljniji zahtjevi utvrđeni u Uredbi (EU) 2016/1011 jer je njihova upotreba u Uniji premašila utvrđeni prag za značajne referentne vrijednosti zato što su ih nacionalno nadzorno tijelo ili ESMA odredili kao značajne ili zato što je riječ o ključnim referentnim vrijednostima. Zbog istog bi razloga ESMA u tom registru trebala navesti i referentne vrijednosti EU-a za klimatsku tranziciju i referentne vrijednosti EU-a usklađene s Pariškim sporazumom koje pružaju administratori koji su odobreni ili registrirani. Naposljetku, ESMA bi u tom registru trebala navesti i referentne vrijednosti za koje su nadležno tijelo ili ESMA objavili javnu obavijest kojom se zabranjuje daljnja upotreba te referentne vrijednosti. Kako bi se dodatno smanjilo opterećenje korisnika, sve takve informacije trebale bi biti lako dostupne i na jedinstvenoj europskoj pristupnoj točki (ESAP).</w:t>
      </w:r>
    </w:p>
    <w:p w:rsidR="007873FC" w:rsidRPr="00BD0F56" w:rsidRDefault="007873FC" w:rsidP="007873FC">
      <w:pPr>
        <w:pStyle w:val="ManualConsidrant"/>
        <w:rPr>
          <w:b/>
          <w:i/>
          <w:noProof/>
        </w:rPr>
      </w:pPr>
      <w:r w:rsidRPr="00BD0F56">
        <w:rPr>
          <w:b/>
          <w:i/>
        </w:rPr>
        <w:t>(20a)</w:t>
      </w:r>
      <w:r w:rsidRPr="00BD0F56">
        <w:rPr>
          <w:b/>
          <w:i/>
        </w:rPr>
        <w:tab/>
        <w:t>Dvije kategorije referentnih vrijednosti povezanih s okolišnim, socijalnim i upravljačkim standardima podliježu usklađenosti s minimalnim standardima utvrđenima pravom Unije, odnosno referentne vrijednosti EU-a za klimatsku tranziciju (EU-CTB) i referentne vrijednosti EU-a usklađene s Pariškim sporazumom (EU-PAB). Uredbom (EU) 2019/2089 uvedena su pravila o transparentnosti referentnih vrijednosti za koje se u njihovoj pravnoj dokumentaciji ili dokumentaciji za stavljanje na tržište tvrdi da se tijekom njihova oblikovanja uzimaju u obzir okolišni, socijalni ili upravljački čimbenici (ESG). Kako bi se održala visoka razina transparentnosti u pogledu tvrdnji povezanih s okolišnim, socijalnim i upravljačkim čimbenicima i odgovarajuća razina zaštite korisnika, primjereno je zahtijevati da korisnici ne upotrebljavaju referentne vrijednosti za koje se iznose tvrdnje povezane s okolišnim, socijalnim i upravljačkim čimbenicima ako im se za takve referentne vrijednosti ne dostave informacije iz članka 13. stavka 1. točke (d) i članka 27. stavka 2.a Uredbe (EU) 2016/1011. To bi se trebalo primjenjivati na upotrebu svih referentnih vrijednosti za koje se tvrdi da se tijekom njihova oblikovanja uzimaju u obzir okolišni, socijalni i upravljački čimbenici, bez obzira na to primjenjuju li se takve referentne vrijednosti u Uniji ili trećoj zemlji.</w:t>
      </w:r>
    </w:p>
    <w:p w:rsidR="007873FC" w:rsidRPr="00BD0F56" w:rsidRDefault="007873FC" w:rsidP="007873FC">
      <w:pPr>
        <w:pStyle w:val="ManualConsidrant"/>
        <w:rPr>
          <w:b/>
          <w:i/>
          <w:noProof/>
        </w:rPr>
      </w:pPr>
      <w:r w:rsidRPr="00BD0F56">
        <w:lastRenderedPageBreak/>
        <w:tab/>
      </w:r>
      <w:r w:rsidRPr="00BD0F56">
        <w:rPr>
          <w:b/>
          <w:i/>
        </w:rPr>
        <w:t>Međutim, druge kategorije referentnih vrijednosti za koje se iznose tvrdnje povezane s okolišnim, socijalnim i upravljačkim čimbenicima, a koje se ne smatraju referentnim vrijednostima EU-a za klimatsku tranziciju i referentnim vrijednostima EU-a usklađenima s Pariškim sporazumom, mogle bi doprinijeti promicanju ključnih politika Unije o održivom financiranju i postizanju povezanih ciljeva ili provedbi europskog zelenog plana, ili pak predstavljati rizik za navedeno.</w:t>
      </w:r>
    </w:p>
    <w:p w:rsidR="007873FC" w:rsidRPr="00BD0F56" w:rsidRDefault="007873FC" w:rsidP="007873FC">
      <w:pPr>
        <w:pStyle w:val="ManualConsidrant"/>
        <w:ind w:firstLine="0"/>
        <w:rPr>
          <w:b/>
          <w:i/>
          <w:noProof/>
        </w:rPr>
      </w:pPr>
      <w:r w:rsidRPr="00BD0F56">
        <w:rPr>
          <w:b/>
          <w:i/>
        </w:rPr>
        <w:t>Stoga je primjereno da Komisija do 31. prosinca 2028., na temelju informacija dobivenih od ESMA-e, predstavi izvješće u kojem se procjenjuje dostupnost okolišnih, socijalnih i upravljačkih referentnih vrijednosti na europskim i globalnim tržištima te njihovu tržišnu prihvaćenost, u kojem se analizira bi li se one smatrale značajnim referentnim vrijednostima te proučavaju troškovi i učinci na dostupnost na tržištu, kao i promjenjiva priroda pokazatelja održivosti i metoda koje se upotrebljavaju za njihovo mjerenje. Nadalje, u njemu bi se trebala procijeniti potreba za reguliranjem referentnih vrijednosti za koje se iznose tvrdnje povezane s okolišnim, socijalnim i upravljačkim čimbenicima kako bi se održala odgovarajuća razina zaštite korisnika tih referentnih vrijednosti i visoka razina transparentnosti, smanjio rizik od manipulativnog zelenog marketinga i osigurala usklađenost s drugim zakonodavstvom EU-a o zahtjevima za objavljivanje informacija o održivosti. Tom bi se izvješću trebala priložiti procjena učinka, a prema potrebi i zakonodavni prijedlog.</w:t>
      </w:r>
    </w:p>
    <w:p w:rsidR="007873FC" w:rsidRPr="00BD0F56" w:rsidRDefault="007873FC" w:rsidP="007873FC">
      <w:pPr>
        <w:pStyle w:val="ManualConsidrant"/>
        <w:rPr>
          <w:noProof/>
        </w:rPr>
      </w:pPr>
      <w:r w:rsidRPr="00BD0F56">
        <w:t>(21)</w:t>
      </w:r>
      <w:r w:rsidRPr="00BD0F56">
        <w:tab/>
        <w:t xml:space="preserve">Kako bi se osigurao jednostavan prelazak na </w:t>
      </w:r>
      <w:r w:rsidR="00C011DD" w:rsidRPr="00C011DD">
        <w:rPr>
          <w:b/>
          <w:i/>
        </w:rPr>
        <w:t xml:space="preserve">primjenu </w:t>
      </w:r>
      <w:r w:rsidR="00C011DD">
        <w:t>pravila uvedenih</w:t>
      </w:r>
      <w:r w:rsidRPr="00BD0F56">
        <w:t xml:space="preserve"> ovom Uredbom </w:t>
      </w:r>
      <w:r w:rsidRPr="00C011DD">
        <w:rPr>
          <w:b/>
          <w:i/>
        </w:rPr>
        <w:t xml:space="preserve">administratori </w:t>
      </w:r>
      <w:r w:rsidRPr="00BD0F56">
        <w:rPr>
          <w:b/>
          <w:bCs/>
          <w:i/>
          <w:iCs/>
        </w:rPr>
        <w:t>koji su prethodno bili pod nadzorom na temelju Uredbe (EU) 2019/2089 trebali bi zadržati postojeće registracije, odobrenja, priznanja ili prihvaćanja devet mjeseci nakon početka primjene ove Uredbe o izmjeni.</w:t>
      </w:r>
      <w:r w:rsidRPr="00BD0F56">
        <w:rPr>
          <w:b/>
          <w:i/>
        </w:rPr>
        <w:t xml:space="preserve"> </w:t>
      </w:r>
      <w:r w:rsidRPr="00BD0F56">
        <w:rPr>
          <w:b/>
          <w:bCs/>
          <w:i/>
          <w:iCs/>
        </w:rPr>
        <w:t>Svrha je tog roka dati nadležnim tijelima i ESMA-i dovoljno vremena da odluče bi li bilo koji od prethodno nadziranih administratora trebao biti imenovan u skladu s ovom Uredbom o izmjeni.</w:t>
      </w:r>
      <w:r w:rsidRPr="00BD0F56">
        <w:t xml:space="preserve"> </w:t>
      </w:r>
      <w:r w:rsidRPr="00BD0F56">
        <w:rPr>
          <w:b/>
          <w:bCs/>
          <w:i/>
          <w:iCs/>
        </w:rPr>
        <w:t>Ako su imenovani, administratori</w:t>
      </w:r>
      <w:r w:rsidRPr="00BD0F56">
        <w:t xml:space="preserve"> koji su već odobreni, registrirani, prihvaćeni ili priznati </w:t>
      </w:r>
      <w:r w:rsidRPr="00BD0F56">
        <w:rPr>
          <w:b/>
          <w:bCs/>
          <w:i/>
          <w:iCs/>
        </w:rPr>
        <w:t>ili administratori koji dobrovoljno odluče primjenjivati ovu Uredbu trebali bi moći zadržati svoj prethodni status bez ponovnog podnošenja zahtjeva.</w:t>
      </w:r>
      <w:r w:rsidRPr="00BD0F56">
        <w:rPr>
          <w:b/>
          <w:i/>
        </w:rPr>
        <w:t xml:space="preserve"> </w:t>
      </w:r>
      <w:r w:rsidRPr="00BD0F56">
        <w:rPr>
          <w:b/>
          <w:bCs/>
          <w:i/>
          <w:iCs/>
        </w:rPr>
        <w:t>Administratorima značajnih referentnih vrijednosti trebalo bi u svakom slučaju dopustiti da zadrže svoj status odobrenih, registriranih, prihvaćenih ili priznatih administratora referentnih vrijednosti.</w:t>
      </w:r>
    </w:p>
    <w:p w:rsidR="007873FC" w:rsidRPr="00BD0F56" w:rsidRDefault="007873FC" w:rsidP="007873FC">
      <w:pPr>
        <w:pStyle w:val="ManualConsidrant"/>
        <w:rPr>
          <w:noProof/>
        </w:rPr>
      </w:pPr>
      <w:r w:rsidRPr="00BD0F56">
        <w:t>(22)</w:t>
      </w:r>
      <w:r w:rsidRPr="00BD0F56">
        <w:tab/>
        <w:t>Kako bi se nadležnim tijelima i ESMA-i dalo dovoljno vremena za prikupljanje informacija o potencijalnim značajnim referentnim vrijednostima i za prilagodbu postojeće infrastrukture novom okviru predloženom na temelju ove Uredbe o izmjeni, datum početka primjene ove Uredbe trebalo bi odgoditi.</w:t>
      </w:r>
    </w:p>
    <w:p w:rsidR="007873FC" w:rsidRPr="00BD0F56" w:rsidRDefault="007873FC" w:rsidP="007873FC">
      <w:pPr>
        <w:pStyle w:val="ManualConsidrant"/>
        <w:rPr>
          <w:noProof/>
        </w:rPr>
      </w:pPr>
      <w:r w:rsidRPr="00BD0F56">
        <w:t>(23)</w:t>
      </w:r>
      <w:r w:rsidRPr="00BD0F56">
        <w:tab/>
        <w:t>Uredbu (EU) 2016/1011 trebalo bi stoga na odgovarajući način izmijeniti,</w:t>
      </w:r>
    </w:p>
    <w:p w:rsidR="007873FC" w:rsidRPr="00BD0F56" w:rsidRDefault="007873FC" w:rsidP="007873FC">
      <w:pPr>
        <w:pStyle w:val="Formuledadoption"/>
        <w:rPr>
          <w:noProof/>
        </w:rPr>
      </w:pPr>
      <w:r w:rsidRPr="00BD0F56">
        <w:t>DONIJELI SU OVU UREDBU:</w:t>
      </w:r>
    </w:p>
    <w:p w:rsidR="007873FC" w:rsidRPr="00BD0F56" w:rsidRDefault="007873FC" w:rsidP="007873FC">
      <w:pPr>
        <w:pStyle w:val="Titrearticle"/>
        <w:rPr>
          <w:noProof/>
        </w:rPr>
      </w:pPr>
      <w:r w:rsidRPr="00BD0F56">
        <w:t>Članak 1.</w:t>
      </w:r>
    </w:p>
    <w:p w:rsidR="007873FC" w:rsidRPr="00BD0F56" w:rsidRDefault="007873FC" w:rsidP="007873FC">
      <w:pPr>
        <w:jc w:val="center"/>
        <w:rPr>
          <w:b/>
          <w:bCs/>
          <w:noProof/>
        </w:rPr>
      </w:pPr>
      <w:r w:rsidRPr="00BD0F56">
        <w:rPr>
          <w:b/>
        </w:rPr>
        <w:t>Izmjene Uredbe (EU) 2016/1011</w:t>
      </w:r>
    </w:p>
    <w:p w:rsidR="007873FC" w:rsidRPr="00BD0F56" w:rsidRDefault="007873FC" w:rsidP="007873FC">
      <w:pPr>
        <w:rPr>
          <w:noProof/>
        </w:rPr>
      </w:pPr>
      <w:r w:rsidRPr="00BD0F56">
        <w:t>Uredba (EU) 2016/1011 mijenja se kako slijedi:</w:t>
      </w:r>
    </w:p>
    <w:p w:rsidR="007873FC" w:rsidRPr="00BD0F56" w:rsidRDefault="007873FC" w:rsidP="007873FC">
      <w:pPr>
        <w:pStyle w:val="Point0"/>
        <w:rPr>
          <w:noProof/>
        </w:rPr>
      </w:pPr>
      <w:r w:rsidRPr="00BD0F56">
        <w:t>(1)</w:t>
      </w:r>
      <w:r w:rsidRPr="00BD0F56">
        <w:tab/>
        <w:t>Članak 2. mijenja se kako slijedi:</w:t>
      </w:r>
    </w:p>
    <w:p w:rsidR="007873FC" w:rsidRPr="00BD0F56" w:rsidRDefault="007873FC" w:rsidP="007873FC">
      <w:pPr>
        <w:pStyle w:val="Point1"/>
        <w:rPr>
          <w:noProof/>
        </w:rPr>
      </w:pPr>
      <w:r w:rsidRPr="00BD0F56">
        <w:t>(a)</w:t>
      </w:r>
      <w:r w:rsidRPr="00BD0F56">
        <w:tab/>
        <w:t xml:space="preserve">umeće se sljedeći stavak: </w:t>
      </w:r>
    </w:p>
    <w:p w:rsidR="007873FC" w:rsidRPr="00BD0F56" w:rsidRDefault="007873FC" w:rsidP="007873FC">
      <w:pPr>
        <w:pStyle w:val="Text2"/>
        <w:tabs>
          <w:tab w:val="left" w:pos="1701"/>
        </w:tabs>
        <w:ind w:left="1134"/>
        <w:rPr>
          <w:noProof/>
        </w:rPr>
      </w:pPr>
      <w:r w:rsidRPr="00BD0F56">
        <w:t>„1a.</w:t>
      </w:r>
      <w:r w:rsidRPr="00BD0F56">
        <w:tab/>
        <w:t>Glave II., III.</w:t>
      </w:r>
      <w:r w:rsidRPr="00BD0F56">
        <w:rPr>
          <w:b/>
          <w:bCs/>
          <w:i/>
          <w:iCs/>
        </w:rPr>
        <w:t>, uz iznimku članaka od 23.a do 23.c,</w:t>
      </w:r>
      <w:r w:rsidRPr="00BD0F56">
        <w:t xml:space="preserve"> IV. i VI. primjenjuju se samo na ključne referentne vrijednosti, značajne referentne vrijednosti, referentne vrijednosti EU-a za klimatsku tranziciju i referentne vrijednosti EU-a usklađene s </w:t>
      </w:r>
      <w:r w:rsidRPr="00BD0F56">
        <w:lastRenderedPageBreak/>
        <w:t xml:space="preserve">Pariškim sporazumom. </w:t>
      </w:r>
      <w:r w:rsidRPr="00BD0F56">
        <w:rPr>
          <w:b/>
          <w:bCs/>
          <w:i/>
          <w:iCs/>
        </w:rPr>
        <w:t>Članak 10. glave II. i glave III., IV. i VI. primjenjuju se na robne referentne vrijednosti koje podliježu Prilogu II.</w:t>
      </w:r>
      <w:r w:rsidRPr="00BD0F56">
        <w:t>”;</w:t>
      </w:r>
    </w:p>
    <w:p w:rsidR="007873FC" w:rsidRPr="00BD0F56" w:rsidRDefault="007873FC" w:rsidP="007873FC">
      <w:pPr>
        <w:pStyle w:val="Point1"/>
        <w:rPr>
          <w:noProof/>
        </w:rPr>
      </w:pPr>
      <w:r w:rsidRPr="00BD0F56">
        <w:t>(b)</w:t>
      </w:r>
      <w:r w:rsidRPr="00BD0F56">
        <w:tab/>
        <w:t xml:space="preserve">u stavku 2. </w:t>
      </w:r>
      <w:r w:rsidRPr="00BD0F56">
        <w:rPr>
          <w:b/>
          <w:bCs/>
          <w:i/>
          <w:iCs/>
        </w:rPr>
        <w:t>briše</w:t>
      </w:r>
      <w:r w:rsidRPr="00BD0F56">
        <w:t xml:space="preserve"> se </w:t>
      </w:r>
      <w:r w:rsidRPr="00BD0F56">
        <w:rPr>
          <w:b/>
          <w:bCs/>
          <w:i/>
          <w:iCs/>
        </w:rPr>
        <w:t>točka</w:t>
      </w:r>
      <w:r w:rsidRPr="00C011DD">
        <w:rPr>
          <w:b/>
          <w:i/>
        </w:rPr>
        <w:t xml:space="preserve"> (g) </w:t>
      </w:r>
      <w:proofErr w:type="spellStart"/>
      <w:r w:rsidRPr="00BD0F56">
        <w:rPr>
          <w:b/>
          <w:bCs/>
          <w:i/>
          <w:iCs/>
        </w:rPr>
        <w:t>podtočka</w:t>
      </w:r>
      <w:proofErr w:type="spellEnd"/>
      <w:r w:rsidRPr="00C011DD">
        <w:rPr>
          <w:b/>
          <w:i/>
        </w:rPr>
        <w:t xml:space="preserve"> i.</w:t>
      </w:r>
      <w:r w:rsidRPr="00BD0F56">
        <w:t>;</w:t>
      </w:r>
    </w:p>
    <w:p w:rsidR="007873FC" w:rsidRPr="00BD0F56" w:rsidRDefault="007873FC" w:rsidP="007873FC">
      <w:pPr>
        <w:pStyle w:val="Point0"/>
        <w:rPr>
          <w:noProof/>
        </w:rPr>
      </w:pPr>
      <w:r w:rsidRPr="00BD0F56">
        <w:t>(2)</w:t>
      </w:r>
      <w:r w:rsidRPr="00BD0F56">
        <w:tab/>
        <w:t>u članku 3. stavak 1. mijenja se kako slijedi:</w:t>
      </w:r>
    </w:p>
    <w:p w:rsidR="007873FC" w:rsidRPr="00BD0F56" w:rsidRDefault="007873FC" w:rsidP="007873FC">
      <w:pPr>
        <w:pStyle w:val="Point1"/>
        <w:rPr>
          <w:b/>
          <w:i/>
          <w:noProof/>
        </w:rPr>
      </w:pPr>
      <w:r w:rsidRPr="00BD0F56">
        <w:t>(-</w:t>
      </w:r>
      <w:r w:rsidRPr="00BD0F56">
        <w:rPr>
          <w:b/>
          <w:i/>
        </w:rPr>
        <w:t>a)</w:t>
      </w:r>
      <w:r w:rsidRPr="00BD0F56">
        <w:rPr>
          <w:b/>
          <w:i/>
        </w:rPr>
        <w:tab/>
        <w:t xml:space="preserve">u točki 17. </w:t>
      </w:r>
      <w:proofErr w:type="spellStart"/>
      <w:r w:rsidRPr="00BD0F56">
        <w:rPr>
          <w:b/>
          <w:i/>
        </w:rPr>
        <w:t>podtočka</w:t>
      </w:r>
      <w:proofErr w:type="spellEnd"/>
      <w:r w:rsidRPr="00BD0F56">
        <w:rPr>
          <w:b/>
          <w:i/>
        </w:rPr>
        <w:t xml:space="preserve"> (m) zamjenjuje se sljedećim:</w:t>
      </w:r>
    </w:p>
    <w:p w:rsidR="007873FC" w:rsidRPr="00BD0F56" w:rsidRDefault="007873FC" w:rsidP="007873FC">
      <w:pPr>
        <w:pStyle w:val="Point1"/>
        <w:ind w:firstLine="0"/>
        <w:rPr>
          <w:b/>
          <w:i/>
          <w:noProof/>
        </w:rPr>
      </w:pPr>
      <w:r w:rsidRPr="00BD0F56">
        <w:rPr>
          <w:b/>
          <w:i/>
        </w:rPr>
        <w:t>„(m)</w:t>
      </w:r>
      <w:r w:rsidRPr="00BD0F56">
        <w:rPr>
          <w:b/>
          <w:i/>
        </w:rPr>
        <w:tab/>
      </w:r>
      <w:r w:rsidRPr="00BD0F56">
        <w:rPr>
          <w:b/>
          <w:bCs/>
          <w:i/>
          <w:iCs/>
        </w:rPr>
        <w:t>administrator koji je odobren ili registriran u skladu s člankom 34.”</w:t>
      </w:r>
      <w:r w:rsidRPr="00BD0F56">
        <w:t>;</w:t>
      </w:r>
    </w:p>
    <w:p w:rsidR="007873FC" w:rsidRPr="00BD0F56" w:rsidRDefault="007873FC" w:rsidP="007873FC">
      <w:pPr>
        <w:pStyle w:val="Point1"/>
        <w:rPr>
          <w:noProof/>
        </w:rPr>
      </w:pPr>
      <w:r w:rsidRPr="00BD0F56">
        <w:t>(a)</w:t>
      </w:r>
      <w:r w:rsidRPr="00BD0F56">
        <w:tab/>
        <w:t>briše se točka 22.a;</w:t>
      </w:r>
    </w:p>
    <w:p w:rsidR="007873FC" w:rsidRPr="00BD0F56" w:rsidRDefault="007873FC" w:rsidP="007873FC">
      <w:pPr>
        <w:pStyle w:val="Point1"/>
        <w:rPr>
          <w:noProof/>
        </w:rPr>
      </w:pPr>
      <w:r w:rsidRPr="00BD0F56">
        <w:t>(b)</w:t>
      </w:r>
      <w:r w:rsidRPr="00BD0F56">
        <w:tab/>
        <w:t>briše se točka 27.;</w:t>
      </w:r>
    </w:p>
    <w:p w:rsidR="007873FC" w:rsidRPr="00BD0F56" w:rsidRDefault="007873FC" w:rsidP="007873FC">
      <w:pPr>
        <w:pStyle w:val="Point0"/>
        <w:rPr>
          <w:noProof/>
        </w:rPr>
      </w:pPr>
      <w:r w:rsidRPr="00BD0F56">
        <w:t>(3)</w:t>
      </w:r>
      <w:r w:rsidRPr="00BD0F56">
        <w:tab/>
        <w:t>Članak 5. mijenja se kako slijedi:</w:t>
      </w:r>
    </w:p>
    <w:p w:rsidR="007873FC" w:rsidRPr="00BD0F56" w:rsidRDefault="007873FC" w:rsidP="007873FC">
      <w:pPr>
        <w:pStyle w:val="Point1"/>
        <w:rPr>
          <w:noProof/>
        </w:rPr>
      </w:pPr>
      <w:r w:rsidRPr="00BD0F56">
        <w:t>(a)</w:t>
      </w:r>
      <w:r w:rsidRPr="00BD0F56">
        <w:tab/>
        <w:t>u stavku 5. drugom podstavku briše se posljednja rečenica;</w:t>
      </w:r>
    </w:p>
    <w:p w:rsidR="007873FC" w:rsidRPr="00BD0F56" w:rsidRDefault="007873FC" w:rsidP="007873FC">
      <w:pPr>
        <w:pStyle w:val="Point1"/>
        <w:rPr>
          <w:noProof/>
        </w:rPr>
      </w:pPr>
      <w:r w:rsidRPr="00BD0F56">
        <w:t>(b)</w:t>
      </w:r>
      <w:r w:rsidRPr="00BD0F56">
        <w:tab/>
        <w:t>briše se stavak 6.;</w:t>
      </w:r>
    </w:p>
    <w:p w:rsidR="007873FC" w:rsidRPr="00BD0F56" w:rsidRDefault="007873FC" w:rsidP="007873FC">
      <w:pPr>
        <w:pStyle w:val="Point0"/>
        <w:rPr>
          <w:noProof/>
        </w:rPr>
      </w:pPr>
      <w:r w:rsidRPr="00BD0F56">
        <w:t>(4)</w:t>
      </w:r>
      <w:r w:rsidRPr="00BD0F56">
        <w:tab/>
        <w:t>Članak 11. mijenja se kako slijedi:</w:t>
      </w:r>
    </w:p>
    <w:p w:rsidR="007873FC" w:rsidRPr="00BD0F56" w:rsidRDefault="007873FC" w:rsidP="007873FC">
      <w:pPr>
        <w:pStyle w:val="Point1"/>
        <w:rPr>
          <w:noProof/>
        </w:rPr>
      </w:pPr>
      <w:r w:rsidRPr="00BD0F56">
        <w:t>(a)</w:t>
      </w:r>
      <w:r w:rsidRPr="00BD0F56">
        <w:tab/>
        <w:t>u stavku 5. prvom podstavku briše se posljednja rečenica;</w:t>
      </w:r>
    </w:p>
    <w:p w:rsidR="007873FC" w:rsidRPr="00BD0F56" w:rsidRDefault="007873FC" w:rsidP="007873FC">
      <w:pPr>
        <w:pStyle w:val="Point1"/>
        <w:rPr>
          <w:noProof/>
        </w:rPr>
      </w:pPr>
      <w:r w:rsidRPr="00BD0F56">
        <w:t>(b)</w:t>
      </w:r>
      <w:r w:rsidRPr="00BD0F56">
        <w:tab/>
        <w:t>briše se stavak 6.;</w:t>
      </w:r>
    </w:p>
    <w:p w:rsidR="007873FC" w:rsidRPr="00BD0F56" w:rsidRDefault="007873FC" w:rsidP="007873FC">
      <w:pPr>
        <w:pStyle w:val="Point0"/>
        <w:rPr>
          <w:noProof/>
        </w:rPr>
      </w:pPr>
      <w:r w:rsidRPr="00BD0F56">
        <w:t>(5)</w:t>
      </w:r>
      <w:r w:rsidRPr="00BD0F56">
        <w:tab/>
        <w:t>Članak 13. mijenja se kako slijedi:</w:t>
      </w:r>
    </w:p>
    <w:p w:rsidR="007873FC" w:rsidRPr="00BD0F56" w:rsidRDefault="007873FC" w:rsidP="007873FC">
      <w:pPr>
        <w:pStyle w:val="Point1"/>
        <w:rPr>
          <w:noProof/>
        </w:rPr>
      </w:pPr>
      <w:r w:rsidRPr="00BD0F56">
        <w:t>(a)</w:t>
      </w:r>
      <w:r w:rsidRPr="00BD0F56">
        <w:tab/>
        <w:t>u stavku 3. prvom podstavku briše se posljednja rečenica;</w:t>
      </w:r>
    </w:p>
    <w:p w:rsidR="007873FC" w:rsidRPr="00BD0F56" w:rsidRDefault="007873FC" w:rsidP="007873FC">
      <w:pPr>
        <w:pStyle w:val="Point1"/>
        <w:rPr>
          <w:noProof/>
        </w:rPr>
      </w:pPr>
      <w:r w:rsidRPr="00BD0F56">
        <w:t>(b)</w:t>
      </w:r>
      <w:r w:rsidRPr="00BD0F56">
        <w:tab/>
        <w:t>briše se stavak 4.;</w:t>
      </w:r>
    </w:p>
    <w:p w:rsidR="007873FC" w:rsidRPr="00BD0F56" w:rsidRDefault="007873FC" w:rsidP="007873FC">
      <w:pPr>
        <w:pStyle w:val="Point0"/>
        <w:rPr>
          <w:noProof/>
        </w:rPr>
      </w:pPr>
      <w:r w:rsidRPr="00BD0F56">
        <w:t>(6)</w:t>
      </w:r>
      <w:r w:rsidRPr="00BD0F56">
        <w:tab/>
        <w:t>Članak 16. mijenja se kako slijedi:</w:t>
      </w:r>
    </w:p>
    <w:p w:rsidR="007873FC" w:rsidRPr="00BD0F56" w:rsidRDefault="007873FC" w:rsidP="007873FC">
      <w:pPr>
        <w:pStyle w:val="Point1"/>
        <w:rPr>
          <w:noProof/>
        </w:rPr>
      </w:pPr>
      <w:r w:rsidRPr="00BD0F56">
        <w:t>(a)</w:t>
      </w:r>
      <w:r w:rsidRPr="00BD0F56">
        <w:tab/>
        <w:t>u stavku 5. drugom podstavku briše se posljednja rečenica;</w:t>
      </w:r>
    </w:p>
    <w:p w:rsidR="007873FC" w:rsidRPr="00BD0F56" w:rsidRDefault="007873FC" w:rsidP="007873FC">
      <w:pPr>
        <w:pStyle w:val="Point1"/>
        <w:rPr>
          <w:noProof/>
        </w:rPr>
      </w:pPr>
      <w:r w:rsidRPr="00BD0F56">
        <w:t>(b)</w:t>
      </w:r>
      <w:r w:rsidRPr="00BD0F56">
        <w:tab/>
        <w:t>briše se stavak 6.;</w:t>
      </w:r>
    </w:p>
    <w:p w:rsidR="007873FC" w:rsidRPr="00BD0F56" w:rsidRDefault="007873FC" w:rsidP="007873FC">
      <w:pPr>
        <w:pStyle w:val="Point0"/>
        <w:rPr>
          <w:noProof/>
        </w:rPr>
      </w:pPr>
      <w:r w:rsidRPr="00BD0F56">
        <w:t>(7)</w:t>
      </w:r>
      <w:r w:rsidRPr="00BD0F56">
        <w:tab/>
        <w:t>u glavi III. naslov poglavlja 2. zamjenjuje se sljedećim:</w:t>
      </w:r>
    </w:p>
    <w:p w:rsidR="007873FC" w:rsidRPr="00BD0F56" w:rsidRDefault="007873FC" w:rsidP="007873FC">
      <w:pPr>
        <w:pStyle w:val="Text1"/>
        <w:tabs>
          <w:tab w:val="left" w:pos="1134"/>
        </w:tabs>
        <w:ind w:left="567"/>
        <w:rPr>
          <w:noProof/>
        </w:rPr>
      </w:pPr>
      <w:r w:rsidRPr="00BD0F56">
        <w:t>„</w:t>
      </w:r>
      <w:r w:rsidRPr="00BD0F56">
        <w:rPr>
          <w:b/>
          <w:bCs/>
        </w:rPr>
        <w:t>Referentne kamatne stope</w:t>
      </w:r>
      <w:r w:rsidRPr="00BD0F56">
        <w:t>”;</w:t>
      </w:r>
    </w:p>
    <w:p w:rsidR="007873FC" w:rsidRPr="00BD0F56" w:rsidRDefault="007873FC" w:rsidP="007873FC">
      <w:pPr>
        <w:pStyle w:val="Text1"/>
        <w:tabs>
          <w:tab w:val="left" w:pos="1134"/>
        </w:tabs>
        <w:ind w:left="851" w:hanging="851"/>
        <w:rPr>
          <w:b/>
          <w:i/>
          <w:noProof/>
        </w:rPr>
      </w:pPr>
      <w:r w:rsidRPr="00BD0F56">
        <w:rPr>
          <w:b/>
          <w:i/>
        </w:rPr>
        <w:t>(7a)</w:t>
      </w:r>
      <w:r w:rsidRPr="00BD0F56">
        <w:rPr>
          <w:b/>
          <w:i/>
        </w:rPr>
        <w:tab/>
        <w:t>u članku 18. stavku 1. drugi podstavak zamjenjuje se sljedećim:</w:t>
      </w:r>
    </w:p>
    <w:p w:rsidR="007873FC" w:rsidRPr="00BD0F56" w:rsidRDefault="007873FC" w:rsidP="007873FC">
      <w:pPr>
        <w:pStyle w:val="Text1"/>
        <w:tabs>
          <w:tab w:val="left" w:pos="1134"/>
        </w:tabs>
        <w:ind w:left="720"/>
        <w:rPr>
          <w:b/>
          <w:i/>
          <w:noProof/>
        </w:rPr>
      </w:pPr>
      <w:r w:rsidRPr="00BD0F56">
        <w:rPr>
          <w:b/>
          <w:i/>
        </w:rPr>
        <w:t>„Članak 25. ne primjenjuje se na pružanje referentnih kamatnih stopa ni na doprinošenje referentnim kamatnim stopama.”</w:t>
      </w:r>
      <w:r w:rsidRPr="00BD0F56">
        <w:t>;</w:t>
      </w:r>
    </w:p>
    <w:p w:rsidR="007873FC" w:rsidRPr="00BD0F56" w:rsidRDefault="007873FC" w:rsidP="007873FC">
      <w:pPr>
        <w:pStyle w:val="Point0"/>
        <w:rPr>
          <w:noProof/>
        </w:rPr>
      </w:pPr>
      <w:r w:rsidRPr="00BD0F56">
        <w:t>(8)</w:t>
      </w:r>
      <w:r w:rsidRPr="00BD0F56">
        <w:tab/>
        <w:t>Članak 18.a briše se;</w:t>
      </w:r>
    </w:p>
    <w:p w:rsidR="007873FC" w:rsidRPr="00BD0F56" w:rsidRDefault="007873FC" w:rsidP="007873FC">
      <w:pPr>
        <w:pStyle w:val="Point0"/>
        <w:rPr>
          <w:b/>
          <w:i/>
          <w:noProof/>
        </w:rPr>
      </w:pPr>
      <w:r w:rsidRPr="00BD0F56">
        <w:rPr>
          <w:b/>
          <w:i/>
        </w:rPr>
        <w:t>(8a)</w:t>
      </w:r>
      <w:r w:rsidRPr="00BD0F56">
        <w:rPr>
          <w:b/>
          <w:i/>
        </w:rPr>
        <w:tab/>
        <w:t>u članku 19. stavku 1. drugi podstavak zamjenjuje se sljedećim:</w:t>
      </w:r>
    </w:p>
    <w:p w:rsidR="007873FC" w:rsidRPr="00BD0F56" w:rsidRDefault="007873FC" w:rsidP="007873FC">
      <w:pPr>
        <w:pStyle w:val="Text1"/>
        <w:tabs>
          <w:tab w:val="left" w:pos="1134"/>
        </w:tabs>
        <w:ind w:left="720"/>
        <w:rPr>
          <w:b/>
          <w:i/>
          <w:noProof/>
        </w:rPr>
      </w:pPr>
      <w:r w:rsidRPr="00BD0F56">
        <w:rPr>
          <w:b/>
          <w:i/>
        </w:rPr>
        <w:t>„Članak 25. ne primjenjuje se na pružanje robnih referentnih vrijednosti ni na doprinošenje robnim referentnim vrijednostima.”</w:t>
      </w:r>
      <w:r w:rsidRPr="00BD0F56">
        <w:t>;</w:t>
      </w:r>
    </w:p>
    <w:p w:rsidR="007873FC" w:rsidRPr="00BD0F56" w:rsidRDefault="007873FC" w:rsidP="007873FC">
      <w:pPr>
        <w:pStyle w:val="Point0"/>
        <w:rPr>
          <w:noProof/>
        </w:rPr>
      </w:pPr>
      <w:r w:rsidRPr="00BD0F56">
        <w:t>(9)</w:t>
      </w:r>
      <w:r w:rsidRPr="00BD0F56">
        <w:tab/>
        <w:t xml:space="preserve">u članku 19.a </w:t>
      </w:r>
      <w:r w:rsidRPr="00BD0F56">
        <w:rPr>
          <w:b/>
          <w:bCs/>
          <w:i/>
          <w:iCs/>
        </w:rPr>
        <w:t>dodaju se sljedeći stavci</w:t>
      </w:r>
      <w:r w:rsidRPr="00BD0F56">
        <w:t xml:space="preserve">: </w:t>
      </w:r>
    </w:p>
    <w:p w:rsidR="007873FC" w:rsidRPr="00BD0F56" w:rsidRDefault="007873FC" w:rsidP="007873FC">
      <w:pPr>
        <w:pStyle w:val="Text1"/>
        <w:tabs>
          <w:tab w:val="left" w:pos="1134"/>
        </w:tabs>
        <w:ind w:left="567"/>
        <w:rPr>
          <w:noProof/>
        </w:rPr>
      </w:pPr>
      <w:r w:rsidRPr="00BD0F56">
        <w:t>„4.</w:t>
      </w:r>
      <w:r w:rsidRPr="00BD0F56">
        <w:tab/>
        <w:t xml:space="preserve">Administratori koji nisu </w:t>
      </w:r>
      <w:r w:rsidRPr="00BD0F56">
        <w:rPr>
          <w:b/>
          <w:bCs/>
          <w:i/>
          <w:iCs/>
        </w:rPr>
        <w:t>uključeni u registar ESMA-e iz članka 36.</w:t>
      </w:r>
      <w:r w:rsidRPr="00BD0F56">
        <w:t xml:space="preserve"> ne smiju:</w:t>
      </w:r>
    </w:p>
    <w:p w:rsidR="007873FC" w:rsidRPr="00BD0F56" w:rsidRDefault="007873FC" w:rsidP="007873FC">
      <w:pPr>
        <w:pStyle w:val="Text1"/>
        <w:ind w:left="720"/>
        <w:rPr>
          <w:noProof/>
        </w:rPr>
      </w:pPr>
      <w:r w:rsidRPr="00BD0F56">
        <w:t xml:space="preserve">(a) pružati </w:t>
      </w:r>
      <w:r w:rsidRPr="00BD0F56">
        <w:rPr>
          <w:b/>
          <w:bCs/>
          <w:i/>
          <w:iCs/>
        </w:rPr>
        <w:t>ili prihvaćati</w:t>
      </w:r>
      <w:r w:rsidRPr="00BD0F56">
        <w:t xml:space="preserve"> referentne vrijednosti EU-a za klimatsku tranziciju ni referentne vrijednosti EU-a usklađene s Pariškim sporazumom; </w:t>
      </w:r>
    </w:p>
    <w:p w:rsidR="007873FC" w:rsidRPr="00BD0F56" w:rsidRDefault="007873FC" w:rsidP="007873FC">
      <w:pPr>
        <w:pStyle w:val="Text1"/>
        <w:ind w:left="720"/>
        <w:rPr>
          <w:noProof/>
        </w:rPr>
      </w:pPr>
      <w:r w:rsidRPr="00BD0F56">
        <w:t xml:space="preserve">(b) navoditi ni sugerirati, u nazivu referentnih vrijednosti koje stavljaju na raspolaganje za upotrebu u Uniji ili u pravnoj dokumentaciji ili dokumentaciji za stavljanje na tržište za te referentne vrijednosti, da referentne vrijednosti koje stavljaju na raspolaganje ispunjavaju zahtjeve koji se primjenjuju na pružanje referentnih vrijednosti EU-a za </w:t>
      </w:r>
      <w:r w:rsidRPr="00BD0F56">
        <w:lastRenderedPageBreak/>
        <w:t>klimatsku tranziciju ili referentnih vrijednosti EU-a usklađenih s Pariškim sporazumom.”</w:t>
      </w:r>
    </w:p>
    <w:p w:rsidR="007873FC" w:rsidRPr="00BD0F56" w:rsidRDefault="007873FC" w:rsidP="007873FC">
      <w:pPr>
        <w:pStyle w:val="Text1"/>
        <w:tabs>
          <w:tab w:val="left" w:pos="1134"/>
        </w:tabs>
        <w:ind w:left="567"/>
        <w:rPr>
          <w:b/>
          <w:i/>
          <w:noProof/>
        </w:rPr>
      </w:pPr>
      <w:r w:rsidRPr="00BD0F56">
        <w:rPr>
          <w:b/>
          <w:i/>
        </w:rPr>
        <w:t>4 a.</w:t>
      </w:r>
      <w:r w:rsidRPr="00BD0F56">
        <w:rPr>
          <w:b/>
          <w:i/>
        </w:rPr>
        <w:tab/>
        <w:t>Administratori uključuju pojam „EU CTB” u naziv referentnih vrijednosti EU-a za klimatsku tranziciju i pojam „EU PAB” u naziv referentnih vrijednosti EU-a usklađenih s Pariškim sporazumom.</w:t>
      </w:r>
      <w:r w:rsidRPr="00BD0F56">
        <w:t>;</w:t>
      </w:r>
    </w:p>
    <w:p w:rsidR="007873FC" w:rsidRPr="00BD0F56" w:rsidRDefault="007873FC" w:rsidP="007873FC">
      <w:pPr>
        <w:pStyle w:val="Point0"/>
        <w:rPr>
          <w:b/>
          <w:i/>
          <w:noProof/>
        </w:rPr>
      </w:pPr>
      <w:r w:rsidRPr="00BD0F56">
        <w:t>(10)</w:t>
      </w:r>
      <w:r w:rsidRPr="00BD0F56">
        <w:tab/>
        <w:t xml:space="preserve">Članak 19.d </w:t>
      </w:r>
      <w:r w:rsidRPr="00BD0F56">
        <w:rPr>
          <w:b/>
          <w:bCs/>
          <w:i/>
          <w:iCs/>
        </w:rPr>
        <w:t>zamjenjuje se sljedećim:</w:t>
      </w:r>
    </w:p>
    <w:p w:rsidR="007873FC" w:rsidRPr="00BD0F56" w:rsidRDefault="007873FC" w:rsidP="007873FC">
      <w:pPr>
        <w:pStyle w:val="Point0"/>
        <w:ind w:left="709" w:firstLine="1"/>
        <w:jc w:val="center"/>
        <w:rPr>
          <w:b/>
          <w:i/>
          <w:noProof/>
        </w:rPr>
      </w:pPr>
      <w:r w:rsidRPr="00BD0F56">
        <w:rPr>
          <w:b/>
        </w:rPr>
        <w:t>„</w:t>
      </w:r>
      <w:r w:rsidRPr="00BD0F56">
        <w:rPr>
          <w:b/>
          <w:i/>
          <w:iCs/>
        </w:rPr>
        <w:t>Članak 19.d</w:t>
      </w:r>
    </w:p>
    <w:p w:rsidR="007873FC" w:rsidRPr="00BD0F56" w:rsidRDefault="007873FC" w:rsidP="007873FC">
      <w:pPr>
        <w:pStyle w:val="Point0"/>
        <w:ind w:left="709" w:firstLine="1"/>
        <w:rPr>
          <w:b/>
          <w:i/>
          <w:noProof/>
        </w:rPr>
      </w:pPr>
      <w:r w:rsidRPr="00BD0F56">
        <w:rPr>
          <w:b/>
          <w:i/>
        </w:rPr>
        <w:t>Pružanje referentnih vrijednosti EU-a za klimatsku tranziciju i referentnih vrijednosti EU-a usklađenih s Pariškim sporazumom.</w:t>
      </w:r>
    </w:p>
    <w:p w:rsidR="007873FC" w:rsidRPr="00BD0F56" w:rsidRDefault="007873FC" w:rsidP="007873FC">
      <w:pPr>
        <w:pStyle w:val="Point0"/>
        <w:ind w:left="709" w:firstLine="1"/>
        <w:rPr>
          <w:noProof/>
        </w:rPr>
      </w:pPr>
      <w:r w:rsidRPr="00BD0F56">
        <w:rPr>
          <w:b/>
          <w:i/>
        </w:rPr>
        <w:t>Administratori koji su smješteni u Uniji i koji pružaju značajne referentne vrijednosti utvrđene na osnovi vrijednosti jedne ili više vrsta vezane imovine ili cijena nastoje pružati jednu ili više referentnih vrijednosti EU-a za klimatsku tranziciju i referentnih vrijednosti EU-a usklađenih s Pariškim sporazumom</w:t>
      </w:r>
      <w:r w:rsidRPr="00BD0F56">
        <w:t>.”;</w:t>
      </w:r>
    </w:p>
    <w:p w:rsidR="007873FC" w:rsidRPr="00BD0F56" w:rsidRDefault="007873FC" w:rsidP="007873FC">
      <w:pPr>
        <w:pStyle w:val="Point0"/>
        <w:rPr>
          <w:noProof/>
        </w:rPr>
      </w:pPr>
      <w:r w:rsidRPr="00BD0F56">
        <w:t>(11)</w:t>
      </w:r>
      <w:r w:rsidRPr="00BD0F56">
        <w:tab/>
        <w:t xml:space="preserve">Članak 24. zamjenjuje se sljedećim: </w:t>
      </w:r>
    </w:p>
    <w:p w:rsidR="007873FC" w:rsidRPr="00BD0F56" w:rsidRDefault="007873FC" w:rsidP="007873FC">
      <w:pPr>
        <w:pStyle w:val="Text1"/>
        <w:ind w:left="567"/>
        <w:jc w:val="center"/>
        <w:rPr>
          <w:noProof/>
        </w:rPr>
      </w:pPr>
      <w:r w:rsidRPr="00BD0F56">
        <w:t>„Članak 24.</w:t>
      </w:r>
    </w:p>
    <w:p w:rsidR="007873FC" w:rsidRPr="00BD0F56" w:rsidRDefault="007873FC" w:rsidP="007873FC">
      <w:pPr>
        <w:pStyle w:val="Text1"/>
        <w:ind w:left="567"/>
        <w:jc w:val="center"/>
        <w:rPr>
          <w:b/>
          <w:bCs/>
          <w:noProof/>
        </w:rPr>
      </w:pPr>
      <w:r w:rsidRPr="00BD0F56">
        <w:rPr>
          <w:b/>
        </w:rPr>
        <w:t>Značajne referentne vrijednosti</w:t>
      </w:r>
    </w:p>
    <w:p w:rsidR="007873FC" w:rsidRPr="00BD0F56" w:rsidRDefault="007873FC" w:rsidP="007873FC">
      <w:pPr>
        <w:pStyle w:val="Text1"/>
        <w:tabs>
          <w:tab w:val="left" w:pos="1134"/>
        </w:tabs>
        <w:ind w:left="1127" w:hanging="560"/>
        <w:rPr>
          <w:noProof/>
        </w:rPr>
      </w:pPr>
      <w:r w:rsidRPr="00BD0F56">
        <w:t>1.</w:t>
      </w:r>
      <w:r w:rsidRPr="00BD0F56">
        <w:tab/>
        <w:t>Referentna vrijednost koja nije ključna referentna vrijednost značajna je ako je ispunjen bilo koji od sljedećih uvjeta:</w:t>
      </w:r>
    </w:p>
    <w:p w:rsidR="007873FC" w:rsidRPr="00BD0F56" w:rsidRDefault="007873FC" w:rsidP="007873FC">
      <w:pPr>
        <w:pStyle w:val="Text1"/>
        <w:ind w:left="1440"/>
        <w:rPr>
          <w:b/>
          <w:i/>
          <w:noProof/>
        </w:rPr>
      </w:pPr>
      <w:r w:rsidRPr="00BD0F56">
        <w:t xml:space="preserve">(a) referentna vrijednost upotrebljava se izravno ili neizravno u kombinaciji referentnih vrijednosti u Uniji na koje se pozivaju financijski instrumenti ili financijski ugovori ili za mjerenje uspješnosti investicijskih fondova čija je ukupna prosječna vrijednost najmanje 50 milijardi EUR na temelju </w:t>
      </w:r>
      <w:r w:rsidRPr="00BD0F56">
        <w:rPr>
          <w:b/>
          <w:bCs/>
          <w:i/>
          <w:iCs/>
        </w:rPr>
        <w:t>značajki referentne vrijednosti, uključujući:</w:t>
      </w:r>
    </w:p>
    <w:p w:rsidR="007873FC" w:rsidRPr="00BD0F56" w:rsidRDefault="007873FC" w:rsidP="007873FC">
      <w:pPr>
        <w:pStyle w:val="Text1"/>
        <w:ind w:left="1440"/>
        <w:rPr>
          <w:noProof/>
        </w:rPr>
      </w:pPr>
      <w:r w:rsidRPr="00BD0F56">
        <w:rPr>
          <w:b/>
          <w:i/>
        </w:rPr>
        <w:t xml:space="preserve">i. </w:t>
      </w:r>
      <w:r w:rsidRPr="00BD0F56">
        <w:rPr>
          <w:b/>
          <w:bCs/>
          <w:i/>
          <w:iCs/>
        </w:rPr>
        <w:t>raspon</w:t>
      </w:r>
      <w:r w:rsidRPr="00BD0F56">
        <w:t xml:space="preserve"> referentnih dospijeća ili rokova dospijeća, ako je to primjenjivo, u razdoblju od šest mjeseci;</w:t>
      </w:r>
    </w:p>
    <w:p w:rsidR="007873FC" w:rsidRPr="00BD0F56" w:rsidRDefault="007873FC" w:rsidP="007873FC">
      <w:pPr>
        <w:pStyle w:val="Text1"/>
        <w:ind w:left="1440"/>
        <w:rPr>
          <w:b/>
          <w:i/>
          <w:noProof/>
        </w:rPr>
      </w:pPr>
      <w:r w:rsidRPr="00BD0F56">
        <w:rPr>
          <w:b/>
          <w:i/>
        </w:rPr>
        <w:t>ii. sve valute ili druge mjerne jedinice referentne vrijednosti, ako je primjenjivo, tijekom razdoblja od šest mjeseci; i</w:t>
      </w:r>
    </w:p>
    <w:p w:rsidR="007873FC" w:rsidRPr="00BD0F56" w:rsidRDefault="007873FC" w:rsidP="007873FC">
      <w:pPr>
        <w:pStyle w:val="Text1"/>
        <w:ind w:left="1440"/>
        <w:rPr>
          <w:b/>
          <w:i/>
          <w:noProof/>
        </w:rPr>
      </w:pPr>
      <w:r w:rsidRPr="00BD0F56">
        <w:rPr>
          <w:b/>
          <w:i/>
        </w:rPr>
        <w:t>iii. sve metodologije za izračun povrata, ako je primjenjivo, tijekom razdoblja od šest mjeseci;</w:t>
      </w:r>
    </w:p>
    <w:p w:rsidR="007873FC" w:rsidRPr="00BD0F56" w:rsidRDefault="007873FC" w:rsidP="007873FC">
      <w:pPr>
        <w:pStyle w:val="Text1"/>
        <w:ind w:left="1440"/>
        <w:rPr>
          <w:noProof/>
        </w:rPr>
      </w:pPr>
      <w:r w:rsidRPr="00BD0F56">
        <w:t>(b) referentna vrijednost određena je kao značajna u skladu s postupkom utvrđenim u stavcima 3., 4. i 5. ili postupkom utvrđenim u stavku 6.</w:t>
      </w:r>
    </w:p>
    <w:p w:rsidR="007873FC" w:rsidRPr="00BD0F56" w:rsidRDefault="007873FC" w:rsidP="007873FC">
      <w:pPr>
        <w:pStyle w:val="Text1"/>
        <w:tabs>
          <w:tab w:val="left" w:pos="1134"/>
        </w:tabs>
        <w:ind w:left="1127" w:hanging="560"/>
        <w:rPr>
          <w:noProof/>
        </w:rPr>
      </w:pPr>
      <w:r w:rsidRPr="00BD0F56">
        <w:t>2.</w:t>
      </w:r>
      <w:r w:rsidRPr="00BD0F56">
        <w:tab/>
        <w:t xml:space="preserve">Administrator odmah obavješćuje </w:t>
      </w:r>
      <w:r w:rsidRPr="00BD0F56">
        <w:rPr>
          <w:b/>
          <w:bCs/>
          <w:i/>
          <w:iCs/>
        </w:rPr>
        <w:t>ESMA-u ili, ako je smješten u državi članici EU-a,</w:t>
      </w:r>
      <w:r w:rsidRPr="00BD0F56">
        <w:t xml:space="preserve"> nadležno tijelo </w:t>
      </w:r>
      <w:r w:rsidRPr="00BD0F56">
        <w:rPr>
          <w:b/>
          <w:bCs/>
          <w:i/>
          <w:iCs/>
        </w:rPr>
        <w:t>te</w:t>
      </w:r>
      <w:r w:rsidRPr="00BD0F56">
        <w:t xml:space="preserve"> države članice ▌ako jedna ili više referentnih vrijednosti tog administratora premašuju prag iz stavka 1. točke (a). Nakon primitka te obavijesti ▌ESMA ▌na svojim internetskim stranicama </w:t>
      </w:r>
      <w:r w:rsidRPr="00BD0F56">
        <w:rPr>
          <w:b/>
          <w:bCs/>
          <w:i/>
          <w:iCs/>
        </w:rPr>
        <w:t>objavljuje</w:t>
      </w:r>
      <w:r w:rsidRPr="00BD0F56">
        <w:t xml:space="preserve"> izjavu u kojoj </w:t>
      </w:r>
      <w:r w:rsidRPr="00BD0F56">
        <w:rPr>
          <w:b/>
          <w:bCs/>
          <w:i/>
          <w:iCs/>
        </w:rPr>
        <w:t>navodi</w:t>
      </w:r>
      <w:r w:rsidRPr="00BD0F56">
        <w:t xml:space="preserve"> da je ta referentna vrijednost značajna </w:t>
      </w:r>
      <w:r w:rsidRPr="00BD0F56">
        <w:rPr>
          <w:b/>
          <w:bCs/>
          <w:i/>
          <w:iCs/>
        </w:rPr>
        <w:t>ili u jednoj državi članici ili u Uniji</w:t>
      </w:r>
      <w:r w:rsidRPr="00BD0F56">
        <w:t>.</w:t>
      </w:r>
    </w:p>
    <w:p w:rsidR="007873FC" w:rsidRPr="00BD0F56" w:rsidRDefault="007873FC" w:rsidP="007873FC">
      <w:pPr>
        <w:pStyle w:val="Text1"/>
        <w:tabs>
          <w:tab w:val="left" w:pos="1134"/>
        </w:tabs>
        <w:ind w:left="1127"/>
        <w:rPr>
          <w:noProof/>
        </w:rPr>
      </w:pPr>
      <w:r w:rsidRPr="00BD0F56">
        <w:t xml:space="preserve">Administrator </w:t>
      </w:r>
      <w:r w:rsidRPr="00BD0F56">
        <w:rPr>
          <w:b/>
          <w:bCs/>
          <w:i/>
          <w:iCs/>
        </w:rPr>
        <w:t>ESMA-i i</w:t>
      </w:r>
      <w:r w:rsidRPr="00BD0F56">
        <w:t xml:space="preserve"> nadležnom tijelu države članice u kojoj je smješten ▌na zahtjev dostavlja informacije o tome je li prag iz stavka 1. točke (a) stvarno premašen.</w:t>
      </w:r>
    </w:p>
    <w:p w:rsidR="007873FC" w:rsidRPr="00BD0F56" w:rsidRDefault="007873FC" w:rsidP="007873FC">
      <w:pPr>
        <w:pStyle w:val="Text1"/>
        <w:tabs>
          <w:tab w:val="left" w:pos="1134"/>
        </w:tabs>
        <w:ind w:left="1127"/>
        <w:rPr>
          <w:noProof/>
        </w:rPr>
      </w:pPr>
      <w:r w:rsidRPr="00BD0F56">
        <w:t xml:space="preserve">Ako nadležno tijelo ili ▌ESMA imaju jasne i dokazive razloge smatrati da referentna vrijednost premašuje prag iz stavka 1. točke (a), nadležno tijelo ili ESMA mogu izdati obavijest u kojoj navode tu činjenicu. Takva obavijest za administratora referentne vrijednosti aktivira iste obveze </w:t>
      </w:r>
      <w:bookmarkStart w:id="10" w:name="_Hlk147499634"/>
      <w:r w:rsidRPr="00BD0F56">
        <w:t>kao i obavijest iz stavka 2.</w:t>
      </w:r>
      <w:bookmarkEnd w:id="10"/>
      <w:r w:rsidRPr="00BD0F56">
        <w:t xml:space="preserve"> </w:t>
      </w:r>
      <w:r w:rsidRPr="00BD0F56">
        <w:lastRenderedPageBreak/>
        <w:t>Najmanje 10 radnih dana prije izdavanja takve obavijesti nadležno tijelo ili ESMA obavješćuje administratora predmetne referentne vrijednosti o svojim zaključcima i poziva ga da dostavi primjedbe.</w:t>
      </w:r>
    </w:p>
    <w:p w:rsidR="007873FC" w:rsidRPr="00BD0F56" w:rsidRDefault="007873FC" w:rsidP="007873FC">
      <w:pPr>
        <w:pStyle w:val="Text1"/>
        <w:tabs>
          <w:tab w:val="left" w:pos="1134"/>
        </w:tabs>
        <w:ind w:left="1127" w:hanging="560"/>
        <w:rPr>
          <w:noProof/>
        </w:rPr>
      </w:pPr>
      <w:r w:rsidRPr="00BD0F56">
        <w:t>3.</w:t>
      </w:r>
      <w:r w:rsidRPr="00BD0F56">
        <w:tab/>
        <w:t>Nadležno tijelo, nakon savjetovanja sa ESMA-om u skladu sa stavkom 4. i uzimajući u obzir njezino mišljenje, može referentnu vrijednost koju pruža administrator smješten u Uniji koja ne ispunjava uvjet iz stavka 1. točke (a) odrediti kao značajnu ako ta referentna vrijednost ispunjava sve sljedeće uvjete:</w:t>
      </w:r>
    </w:p>
    <w:p w:rsidR="007873FC" w:rsidRPr="00BD0F56" w:rsidRDefault="007873FC" w:rsidP="007873FC">
      <w:pPr>
        <w:pStyle w:val="Text1"/>
        <w:ind w:firstLine="590"/>
        <w:rPr>
          <w:noProof/>
        </w:rPr>
      </w:pPr>
      <w:r w:rsidRPr="00BD0F56">
        <w:t xml:space="preserve">(a) referentna vrijednost nema ili ima vrlo malo odgovarajućih tržišnih zamjenskih vrijednosti; </w:t>
      </w:r>
    </w:p>
    <w:p w:rsidR="007873FC" w:rsidRPr="00BD0F56" w:rsidRDefault="007873FC" w:rsidP="007873FC">
      <w:pPr>
        <w:pStyle w:val="Text1"/>
        <w:ind w:left="1440"/>
        <w:rPr>
          <w:noProof/>
        </w:rPr>
      </w:pPr>
      <w:r w:rsidRPr="00BD0F56">
        <w:t xml:space="preserve">(b) ako se referentna vrijednost prestane pružati ili se pruža na temelju ulaznih podataka koji više nisu u potpunosti reprezentativni za predmetno tržište ili gospodarsku stvarnost ili na temelju nepouzdanih ulaznih podataka, došlo bi do znatnog i nepovoljnog učinka na ▌financijsku stabilnost, potrošače, realno gospodarstvo ili financiranje kućanstava i poduzeća u državi članici tog nadležnog tijela </w:t>
      </w:r>
      <w:r w:rsidRPr="00BD0F56">
        <w:rPr>
          <w:b/>
          <w:bCs/>
          <w:i/>
          <w:iCs/>
        </w:rPr>
        <w:t>ili u Uniji</w:t>
      </w:r>
      <w:r w:rsidRPr="00BD0F56">
        <w:t>;</w:t>
      </w:r>
    </w:p>
    <w:p w:rsidR="007873FC" w:rsidRPr="00BD0F56" w:rsidRDefault="007873FC" w:rsidP="007873FC">
      <w:pPr>
        <w:pStyle w:val="Text1"/>
        <w:ind w:left="1440"/>
        <w:rPr>
          <w:noProof/>
        </w:rPr>
      </w:pPr>
      <w:r w:rsidRPr="00BD0F56">
        <w:t xml:space="preserve">(c) nadležno tijelo druge države članice </w:t>
      </w:r>
      <w:r w:rsidRPr="00BD0F56">
        <w:rPr>
          <w:b/>
          <w:bCs/>
          <w:i/>
          <w:iCs/>
        </w:rPr>
        <w:t>ili ESMA nisu odredili</w:t>
      </w:r>
      <w:r w:rsidRPr="00BD0F56">
        <w:t xml:space="preserve"> referentnu vrijednost.</w:t>
      </w:r>
    </w:p>
    <w:p w:rsidR="007873FC" w:rsidRPr="00BD0F56" w:rsidRDefault="007873FC" w:rsidP="007873FC">
      <w:pPr>
        <w:pStyle w:val="Text1"/>
        <w:ind w:left="1127"/>
        <w:rPr>
          <w:noProof/>
        </w:rPr>
      </w:pPr>
      <w:r w:rsidRPr="00BD0F56">
        <w:t>Ako nadležno tijelo zaključi da referentna vrijednost ispunjava kriterije utvrđene u prvom podstavku, ono priprema nacrt odluke o određivanju referentne vrijednosti kao značajne i o tom nacrtu odluke obavješćuje predmetnog administratora i, prema potrebi, nadležno tijelo matične države članice administratora. Predmetno nadležno tijelo također se savjetuje s ESMA-om o nacrtu odluke.</w:t>
      </w:r>
    </w:p>
    <w:p w:rsidR="007873FC" w:rsidRPr="00BD0F56" w:rsidRDefault="007873FC" w:rsidP="007873FC">
      <w:pPr>
        <w:pStyle w:val="Text1"/>
        <w:ind w:left="1127"/>
        <w:rPr>
          <w:noProof/>
        </w:rPr>
      </w:pPr>
      <w:r w:rsidRPr="00BD0F56">
        <w:t xml:space="preserve">Predmetni administratori i nadležno tijelo matične države članice administratora imaju 15 radnih dana od datuma obavijesti o nacrtu odluke predmetnog nadležnog tijela koje određuje referentnu vrijednost kao značajnu da u pisanom obliku dostave primjedbe i komentare. Predmetno nadležno tijelo koje određuje referentnu vrijednost kao značajnu obavješćuje ESMA-u o primljenim primjedbama i komentarima te ih propisno razmatra prije donošenja konačne odluke. </w:t>
      </w:r>
    </w:p>
    <w:p w:rsidR="007873FC" w:rsidRPr="00BD0F56" w:rsidRDefault="007873FC" w:rsidP="007873FC">
      <w:pPr>
        <w:pStyle w:val="Text1"/>
        <w:ind w:left="1127"/>
        <w:rPr>
          <w:noProof/>
        </w:rPr>
      </w:pPr>
      <w:r w:rsidRPr="00BD0F56">
        <w:t>Predmetno nadležno tijelo koje određuje referentnu vrijednost kao značajnu bez nepotrebne odgode obavješćuje ESMA-u o svojoj odluci i na svojim internetskim stranicama tu odluku objavljuje, uključujući razloge zbog kojih je donesena i posljedice tog određivanja.</w:t>
      </w:r>
    </w:p>
    <w:p w:rsidR="007873FC" w:rsidRPr="00BD0F56" w:rsidRDefault="007873FC" w:rsidP="007873FC">
      <w:pPr>
        <w:pStyle w:val="Text1"/>
        <w:tabs>
          <w:tab w:val="left" w:pos="1134"/>
        </w:tabs>
        <w:ind w:left="1127" w:hanging="560"/>
        <w:rPr>
          <w:noProof/>
        </w:rPr>
      </w:pPr>
      <w:r w:rsidRPr="00BD0F56">
        <w:t xml:space="preserve">4. </w:t>
      </w:r>
      <w:r w:rsidRPr="00BD0F56">
        <w:tab/>
        <w:t>Kad nadležno tijelo od ESMA-e zatraži mišljenje o planiranom određivanju referentne vrijednosti kao značajne u skladu sa stavkom 3. prvim podstavkom, ona u roku od tri mjeseca izdaje mišljenje u kojem se uzimaju u obzir sljedeći čimbenici, s obzirom na posebne značajke predmetne referentne vrijednosti:</w:t>
      </w:r>
    </w:p>
    <w:p w:rsidR="007873FC" w:rsidRPr="00BD0F56" w:rsidRDefault="007873FC" w:rsidP="007873FC">
      <w:pPr>
        <w:pStyle w:val="Text1"/>
        <w:ind w:left="1440"/>
        <w:rPr>
          <w:noProof/>
        </w:rPr>
      </w:pPr>
      <w:r w:rsidRPr="00BD0F56">
        <w:t>(a) je li nadležno tijelo koje je zatražilo mišljenje dovoljno potkrijepilo svoju procjenu da su ispunjeni uvjeti iz stavka 3. prvog podstavka;</w:t>
      </w:r>
    </w:p>
    <w:p w:rsidR="007873FC" w:rsidRPr="00BD0F56" w:rsidRDefault="007873FC" w:rsidP="007873FC">
      <w:pPr>
        <w:pStyle w:val="Text1"/>
        <w:ind w:left="1440"/>
        <w:rPr>
          <w:noProof/>
        </w:rPr>
      </w:pPr>
      <w:r w:rsidRPr="00BD0F56">
        <w:t xml:space="preserve">(b) bi li, ako se referentna vrijednost prestane pružati ili se pruža na temelju ulaznih podataka koji više nisu u potpunosti reprezentativni za predmetno tržište ili gospodarsku stvarnost ili koji su nepouzdani, došlo do znatnog i nepovoljnog učinka na ▌financijsku stabilnost, potrošače, realno gospodarstvo ili financiranje kućanstava i poduzeća </w:t>
      </w:r>
      <w:r w:rsidRPr="00BD0F56">
        <w:rPr>
          <w:b/>
          <w:bCs/>
          <w:i/>
          <w:iCs/>
        </w:rPr>
        <w:t>u Uniji ili</w:t>
      </w:r>
      <w:r w:rsidRPr="00BD0F56">
        <w:t xml:space="preserve"> državama članicama koje nisu država članica nadležnog tijela koje je zatražilo mišljenje. </w:t>
      </w:r>
    </w:p>
    <w:p w:rsidR="007873FC" w:rsidRPr="00BD0F56" w:rsidRDefault="007873FC" w:rsidP="007873FC">
      <w:pPr>
        <w:pStyle w:val="Text1"/>
        <w:tabs>
          <w:tab w:val="left" w:pos="1134"/>
        </w:tabs>
        <w:ind w:left="1127"/>
        <w:rPr>
          <w:noProof/>
        </w:rPr>
      </w:pPr>
      <w:r w:rsidRPr="00BD0F56">
        <w:lastRenderedPageBreak/>
        <w:t>Za potrebe točke (b) ESMA, prema potrebi, uzima u obzir informacije koje je dostavilo tijelo koje je zatražilo mišljenje u skladu sa stavkom 3. trećim podstavkom.</w:t>
      </w:r>
    </w:p>
    <w:p w:rsidR="007873FC" w:rsidRPr="00BD0F56" w:rsidRDefault="007873FC" w:rsidP="007873FC">
      <w:pPr>
        <w:pStyle w:val="Text1"/>
        <w:tabs>
          <w:tab w:val="left" w:pos="1134"/>
        </w:tabs>
        <w:ind w:left="1127" w:hanging="560"/>
        <w:rPr>
          <w:noProof/>
        </w:rPr>
      </w:pPr>
      <w:r w:rsidRPr="00BD0F56">
        <w:t xml:space="preserve">5. </w:t>
      </w:r>
      <w:r w:rsidRPr="00BD0F56">
        <w:tab/>
        <w:t xml:space="preserve">Ako ESMA utvrdi da referentna vrijednost ispunjava uvjete iz stavka 3. prvog podstavka točaka ▌(a) </w:t>
      </w:r>
      <w:r w:rsidRPr="00BD0F56">
        <w:rPr>
          <w:b/>
          <w:bCs/>
          <w:i/>
          <w:iCs/>
        </w:rPr>
        <w:t xml:space="preserve">i (b) </w:t>
      </w:r>
      <w:r w:rsidRPr="00BD0F56">
        <w:t xml:space="preserve"> </w:t>
      </w:r>
      <w:r w:rsidRPr="00BD0F56">
        <w:rPr>
          <w:b/>
          <w:bCs/>
          <w:i/>
          <w:iCs/>
        </w:rPr>
        <w:t>u Uniji ili</w:t>
      </w:r>
      <w:r w:rsidRPr="00BD0F56">
        <w:t xml:space="preserve"> u više država članica, o tome obavješćuje nadležna tijela predmetnih država članica. ▌</w:t>
      </w:r>
    </w:p>
    <w:p w:rsidR="007873FC" w:rsidRPr="00BD0F56" w:rsidRDefault="007873FC" w:rsidP="007873FC">
      <w:pPr>
        <w:pStyle w:val="Text1"/>
        <w:tabs>
          <w:tab w:val="left" w:pos="1134"/>
        </w:tabs>
        <w:ind w:left="1127"/>
        <w:rPr>
          <w:noProof/>
        </w:rPr>
      </w:pPr>
      <w:r w:rsidRPr="00BD0F56">
        <w:rPr>
          <w:b/>
          <w:bCs/>
          <w:i/>
          <w:iCs/>
        </w:rPr>
        <w:t>ESMA priprema nacrt odluke o određivanju referentne vrijednosti kao značajne u Uniji i o tom nacrtu odluke obavješćuje dotičnog administratora i relevantna nadležna tijela ako se primjenjuje točka (b).</w:t>
      </w:r>
      <w:r w:rsidRPr="00BD0F56">
        <w:rPr>
          <w:b/>
          <w:i/>
        </w:rPr>
        <w:t xml:space="preserve"> </w:t>
      </w:r>
      <w:r w:rsidRPr="00BD0F56">
        <w:rPr>
          <w:b/>
          <w:bCs/>
          <w:i/>
          <w:iCs/>
        </w:rPr>
        <w:t>Dotični administratori i relevantna nadležna tijela u roku od 15 radnih dana od datuma obavijesti o nacrtu odluke ESMA-e mogu dostaviti opažanja i primjedbe u pisanom obliku.</w:t>
      </w:r>
      <w:r w:rsidRPr="00BD0F56">
        <w:t xml:space="preserve"> </w:t>
      </w:r>
      <w:r w:rsidRPr="00BD0F56">
        <w:rPr>
          <w:b/>
          <w:bCs/>
          <w:i/>
          <w:iCs/>
        </w:rPr>
        <w:t>ESMA na odgovarajući način razmatra ta očitovanja i primjedbe prije donošenja i objave konačne odluke.</w:t>
      </w:r>
      <w:r w:rsidRPr="00BD0F56">
        <w:t xml:space="preserve"> </w:t>
      </w:r>
    </w:p>
    <w:p w:rsidR="007873FC" w:rsidRPr="00BD0F56" w:rsidRDefault="007873FC" w:rsidP="007873FC">
      <w:pPr>
        <w:pStyle w:val="Text1"/>
        <w:tabs>
          <w:tab w:val="left" w:pos="1134"/>
        </w:tabs>
        <w:ind w:left="1127" w:hanging="560"/>
        <w:rPr>
          <w:noProof/>
        </w:rPr>
      </w:pPr>
      <w:r w:rsidRPr="00BD0F56">
        <w:t xml:space="preserve">6. </w:t>
      </w:r>
      <w:r w:rsidRPr="00BD0F56">
        <w:tab/>
        <w:t xml:space="preserve">ESMA može, na zahtjev nadležnog tijela </w:t>
      </w:r>
      <w:r w:rsidRPr="00BD0F56">
        <w:rPr>
          <w:b/>
          <w:bCs/>
          <w:i/>
          <w:iCs/>
        </w:rPr>
        <w:t>ili na vlastitu inicijativu</w:t>
      </w:r>
      <w:r w:rsidRPr="00BD0F56">
        <w:t>, odrediti referentnu vrijednost koju pruža administrator smješten u trećoj zemlji koja ne doseže prag utvrđen u stavku 1. točki (a) kao značajnu ako ta referentna vrijednost ispunjava sve sljedeće uvjete:</w:t>
      </w:r>
    </w:p>
    <w:p w:rsidR="007873FC" w:rsidRPr="00BD0F56" w:rsidRDefault="007873FC" w:rsidP="007873FC">
      <w:pPr>
        <w:pStyle w:val="Text1"/>
        <w:ind w:left="1440"/>
        <w:rPr>
          <w:noProof/>
        </w:rPr>
      </w:pPr>
      <w:r w:rsidRPr="00BD0F56">
        <w:t xml:space="preserve">(a) referentna vrijednost nema ili ima vrlo malo odgovarajućih tržišnih zamjenskih vrijednosti; </w:t>
      </w:r>
    </w:p>
    <w:p w:rsidR="007873FC" w:rsidRPr="00BD0F56" w:rsidRDefault="007873FC" w:rsidP="007873FC">
      <w:pPr>
        <w:pStyle w:val="Text1"/>
        <w:ind w:left="1440"/>
        <w:rPr>
          <w:noProof/>
        </w:rPr>
      </w:pPr>
      <w:r w:rsidRPr="00BD0F56">
        <w:t xml:space="preserve">(b) ako bi se referentna vrijednost prestala pružati ili bi se pružala na temelju ulaznih podataka koji više nisu u potpunosti reprezentativni za predmetno tržište ili gospodarsku stvarnost ili koji su nepouzdani, došlo bi do znatnog i nepovoljnog učinka na ▌financijsku stabilnost, potrošače, realno gospodarstvo ili financiranje kućanstava i poduzeća </w:t>
      </w:r>
      <w:r w:rsidRPr="00BD0F56">
        <w:rPr>
          <w:b/>
          <w:bCs/>
          <w:i/>
          <w:iCs/>
        </w:rPr>
        <w:t>u Uniji ili</w:t>
      </w:r>
      <w:r w:rsidRPr="00BD0F56">
        <w:t xml:space="preserve"> jednoj ili više država članica.</w:t>
      </w:r>
    </w:p>
    <w:p w:rsidR="007873FC" w:rsidRPr="00BD0F56" w:rsidRDefault="007873FC" w:rsidP="007873FC">
      <w:pPr>
        <w:pStyle w:val="Text1"/>
        <w:ind w:left="1127"/>
        <w:rPr>
          <w:noProof/>
        </w:rPr>
      </w:pPr>
      <w:r w:rsidRPr="00BD0F56">
        <w:t xml:space="preserve">Prije odluke o određivanju ESMA u najkraćem mogućem roku obavješćuje administratora referentne vrijednosti o svojoj namjeri i poziva ga da joj u roku od 15 radnih dana dostavi obrazloženu izjavu koja sadržava sve relevantne informacije za potrebe procjene povezane s određivanjem referentne vrijednosti kao značajne. </w:t>
      </w:r>
    </w:p>
    <w:p w:rsidR="007873FC" w:rsidRPr="00BD0F56" w:rsidRDefault="007873FC" w:rsidP="007873FC">
      <w:pPr>
        <w:pStyle w:val="Text1"/>
        <w:ind w:left="1127"/>
        <w:rPr>
          <w:noProof/>
        </w:rPr>
      </w:pPr>
      <w:r w:rsidRPr="00BD0F56">
        <w:t>Prema potrebi, ESMA u najkraćem mogućem roku poziva nadležno tijelo jurisdikcije u kojoj je administrator smješten da dostavi sve relevantne informacije za potrebe procjene povezane s određivanjem referentne vrijednosti.</w:t>
      </w:r>
    </w:p>
    <w:p w:rsidR="007873FC" w:rsidRPr="00BD0F56" w:rsidRDefault="007873FC" w:rsidP="007873FC">
      <w:pPr>
        <w:pStyle w:val="Text1"/>
        <w:tabs>
          <w:tab w:val="left" w:pos="1134"/>
        </w:tabs>
        <w:ind w:left="1127"/>
        <w:rPr>
          <w:noProof/>
        </w:rPr>
      </w:pPr>
      <w:r w:rsidRPr="00BD0F56">
        <w:t>ESMA obrazlaže svaku odluku o određivanju, pri čemu uzima u obzir postoje li dostatni dokazi o tome da su ispunjeni uvjeti iz prvog podstavka ovog stavka, s obzirom na posebne značajke predmetne referentne vrijednosti.</w:t>
      </w:r>
    </w:p>
    <w:p w:rsidR="007873FC" w:rsidRPr="00BD0F56" w:rsidRDefault="007873FC" w:rsidP="007873FC">
      <w:pPr>
        <w:pStyle w:val="Text1"/>
        <w:tabs>
          <w:tab w:val="left" w:pos="1134"/>
        </w:tabs>
        <w:ind w:left="1127"/>
        <w:rPr>
          <w:noProof/>
        </w:rPr>
      </w:pPr>
      <w:r w:rsidRPr="00BD0F56">
        <w:t>ESMA objavljuje svoju obrazloženu odluku na svojim internetskim stranicama i bez nepotrebne odgode obavješćuje nadležno tijelo ili tijela koja su podnijela zahtjev.</w:t>
      </w:r>
    </w:p>
    <w:p w:rsidR="007873FC" w:rsidRPr="00BD0F56" w:rsidRDefault="007873FC" w:rsidP="007873FC">
      <w:pPr>
        <w:pStyle w:val="Text1"/>
        <w:tabs>
          <w:tab w:val="left" w:pos="567"/>
        </w:tabs>
        <w:ind w:left="1134" w:hanging="567"/>
        <w:rPr>
          <w:b/>
          <w:i/>
          <w:noProof/>
        </w:rPr>
      </w:pPr>
      <w:r w:rsidRPr="00BD0F56">
        <w:rPr>
          <w:b/>
          <w:i/>
        </w:rPr>
        <w:t>6a.</w:t>
      </w:r>
      <w:r w:rsidRPr="00BD0F56">
        <w:rPr>
          <w:b/>
          <w:i/>
        </w:rPr>
        <w:tab/>
        <w:t>Administratori referentnih vrijednosti koje ne ispunjavaju zahtjeve da bi se smatrale ključnim, značajnim, robnim referentnim vrijednostima koje podliježu Prilogu II., referentnim vrijednostima EU-a za klimatsku tranziciju ili referentnim vrijednostima EU-a usklađenima s Pariškim sporazumom mogu dobrovoljno podnijeti zahtjev za pristup registru predviđenom u članku 36. na temelju odobrenja, registracije, priznanja ili prihvaćanja.</w:t>
      </w:r>
    </w:p>
    <w:p w:rsidR="007873FC" w:rsidRPr="00BD0F56" w:rsidRDefault="007873FC" w:rsidP="007873FC">
      <w:pPr>
        <w:pStyle w:val="Text1"/>
        <w:tabs>
          <w:tab w:val="left" w:pos="567"/>
        </w:tabs>
        <w:ind w:left="1134" w:hanging="1134"/>
        <w:rPr>
          <w:b/>
          <w:i/>
          <w:noProof/>
        </w:rPr>
      </w:pPr>
      <w:r w:rsidRPr="00BD0F56">
        <w:rPr>
          <w:b/>
          <w:i/>
        </w:rPr>
        <w:tab/>
      </w:r>
      <w:r w:rsidRPr="00BD0F56">
        <w:rPr>
          <w:b/>
          <w:i/>
        </w:rPr>
        <w:tab/>
        <w:t xml:space="preserve">Administratori koji dobrovoljno odluče primjenjivati ovu Uredbu to čine u pisanom obliku sa svojim trenutačnim nadzornim tijelom, za svaku referentnu </w:t>
      </w:r>
      <w:r w:rsidRPr="00BD0F56">
        <w:rPr>
          <w:b/>
          <w:i/>
        </w:rPr>
        <w:lastRenderedPageBreak/>
        <w:t xml:space="preserve">vrijednost, a svaka od tih referentnih vrijednosti smatra se značajnom u skladu s ovom Uredbom. </w:t>
      </w:r>
    </w:p>
    <w:p w:rsidR="007873FC" w:rsidRPr="00BD0F56" w:rsidRDefault="007873FC" w:rsidP="007873FC">
      <w:pPr>
        <w:pStyle w:val="Text1"/>
        <w:tabs>
          <w:tab w:val="left" w:pos="1134"/>
        </w:tabs>
        <w:ind w:left="1127"/>
        <w:rPr>
          <w:i/>
          <w:noProof/>
        </w:rPr>
      </w:pPr>
      <w:r w:rsidRPr="00BD0F56">
        <w:rPr>
          <w:b/>
          <w:i/>
        </w:rPr>
        <w:tab/>
        <w:t>Dobrovoljnim odricanjem od tog režima ne sprečava se nametanje odgovarajućih administrativnih odgovornosti u slučaju neusklađenosti ili povrede Uredbe (EU) 2016/1011 tijekom njihova dobrovoljnog sudjelovanja u registru iz članka 36.</w:t>
      </w:r>
      <w:r w:rsidRPr="00BD0F56">
        <w:t xml:space="preserve"> </w:t>
      </w:r>
      <w:r w:rsidRPr="00BD0F56">
        <w:rPr>
          <w:i/>
        </w:rPr>
        <w:t xml:space="preserve"> </w:t>
      </w:r>
    </w:p>
    <w:p w:rsidR="007873FC" w:rsidRPr="00BD0F56" w:rsidRDefault="007873FC" w:rsidP="007873FC">
      <w:pPr>
        <w:pStyle w:val="Text1"/>
        <w:tabs>
          <w:tab w:val="left" w:pos="1134"/>
        </w:tabs>
        <w:ind w:left="1127"/>
        <w:rPr>
          <w:noProof/>
          <w:lang w:eastAsia="en-GB"/>
        </w:rPr>
      </w:pPr>
    </w:p>
    <w:p w:rsidR="007873FC" w:rsidRPr="00BD0F56" w:rsidRDefault="007873FC" w:rsidP="007873FC">
      <w:pPr>
        <w:pStyle w:val="Text1"/>
        <w:tabs>
          <w:tab w:val="left" w:pos="1134"/>
        </w:tabs>
        <w:ind w:left="1127" w:hanging="560"/>
        <w:rPr>
          <w:noProof/>
        </w:rPr>
      </w:pPr>
      <w:r w:rsidRPr="00BD0F56">
        <w:t xml:space="preserve">7. </w:t>
      </w:r>
      <w:r w:rsidRPr="00BD0F56">
        <w:tab/>
      </w:r>
      <w:r w:rsidRPr="00BD0F56">
        <w:rPr>
          <w:b/>
          <w:bCs/>
          <w:i/>
          <w:iCs/>
        </w:rPr>
        <w:t>ESMA izrađuje nacrt regulatornih tehničkih standarda kako bi</w:t>
      </w:r>
      <w:r w:rsidRPr="00BD0F56">
        <w:t xml:space="preserve"> odredila:</w:t>
      </w:r>
    </w:p>
    <w:p w:rsidR="007873FC" w:rsidRPr="00BD0F56" w:rsidRDefault="007873FC" w:rsidP="007873FC">
      <w:pPr>
        <w:pStyle w:val="Text1"/>
        <w:tabs>
          <w:tab w:val="left" w:pos="1134"/>
        </w:tabs>
        <w:ind w:left="1127" w:hanging="560"/>
        <w:rPr>
          <w:noProof/>
        </w:rPr>
      </w:pPr>
      <w:r w:rsidRPr="00BD0F56">
        <w:tab/>
      </w:r>
      <w:r w:rsidRPr="00BD0F56">
        <w:rPr>
          <w:b/>
          <w:i/>
        </w:rPr>
        <w:t>i.</w:t>
      </w:r>
      <w:r w:rsidRPr="00BD0F56">
        <w:t xml:space="preserve"> metodu izračuna</w:t>
      </w:r>
      <w:r w:rsidRPr="00BD0F56">
        <w:rPr>
          <w:b/>
          <w:bCs/>
          <w:i/>
          <w:iCs/>
        </w:rPr>
        <w:t xml:space="preserve">, uključujući potencijalne izvore podataka, </w:t>
      </w:r>
      <w:r w:rsidRPr="00BD0F56">
        <w:t>koja će se primjenjivati za određivanje praga iz stavka 1. točke (a) ovog članka</w:t>
      </w:r>
      <w:r w:rsidRPr="00BD0F56">
        <w:rPr>
          <w:b/>
          <w:bCs/>
          <w:i/>
          <w:iCs/>
        </w:rPr>
        <w:t>;</w:t>
      </w:r>
      <w:r w:rsidRPr="00BD0F56">
        <w:t xml:space="preserve"> </w:t>
      </w:r>
    </w:p>
    <w:p w:rsidR="007873FC" w:rsidRPr="00BD0F56" w:rsidRDefault="007873FC" w:rsidP="007873FC">
      <w:pPr>
        <w:pStyle w:val="Text1"/>
        <w:tabs>
          <w:tab w:val="left" w:pos="1134"/>
        </w:tabs>
        <w:ind w:left="1127" w:hanging="560"/>
        <w:rPr>
          <w:b/>
          <w:i/>
          <w:noProof/>
        </w:rPr>
      </w:pPr>
      <w:r w:rsidRPr="00BD0F56">
        <w:tab/>
      </w:r>
      <w:r w:rsidRPr="00BD0F56">
        <w:rPr>
          <w:b/>
          <w:i/>
        </w:rPr>
        <w:t>ii. kriterije za procjenu kada referentna vrijednost premašuje prag iz članka 24. stavka 1. točke (a) u jednoj državi članici ili u cijeloj Uniji;</w:t>
      </w:r>
    </w:p>
    <w:p w:rsidR="007873FC" w:rsidRPr="00BD0F56" w:rsidRDefault="007873FC" w:rsidP="007873FC">
      <w:pPr>
        <w:pStyle w:val="Text1"/>
        <w:tabs>
          <w:tab w:val="left" w:pos="1134"/>
        </w:tabs>
        <w:ind w:left="1127" w:hanging="560"/>
        <w:rPr>
          <w:b/>
          <w:i/>
          <w:noProof/>
        </w:rPr>
      </w:pPr>
      <w:r w:rsidRPr="00BD0F56">
        <w:rPr>
          <w:b/>
          <w:i/>
        </w:rPr>
        <w:tab/>
        <w:t>iii. informacije koje nadležna tijela dostavljaju prilikom savjetovanja s ESMA-om u skladu s člankom 24. stavkom 3.;</w:t>
      </w:r>
    </w:p>
    <w:p w:rsidR="007873FC" w:rsidRPr="00BD0F56" w:rsidRDefault="007873FC" w:rsidP="007873FC">
      <w:pPr>
        <w:pStyle w:val="Text1"/>
        <w:tabs>
          <w:tab w:val="left" w:pos="1134"/>
        </w:tabs>
        <w:ind w:left="1127" w:hanging="560"/>
        <w:rPr>
          <w:b/>
          <w:i/>
          <w:noProof/>
        </w:rPr>
      </w:pPr>
      <w:r w:rsidRPr="00BD0F56">
        <w:rPr>
          <w:b/>
          <w:i/>
        </w:rPr>
        <w:tab/>
        <w:t>iv. kriterije iz članka 24. stavka 4. točke (b) uzimajući u obzir sve podatke koji pomažu objektivno ocijeniti značajni i negativni utjecaj prestanka pružanja ili nepouzdanosti referentne vrijednosti na cjelovitost tržišta, financijsku stabilnost, potrošače, realno gospodarstvo ili financiranje kućanstava i poduzeća u jednoj državi članici ili više njih;</w:t>
      </w:r>
    </w:p>
    <w:p w:rsidR="007873FC" w:rsidRPr="00BD0F56" w:rsidRDefault="007873FC" w:rsidP="007873FC">
      <w:pPr>
        <w:pStyle w:val="Text1"/>
        <w:tabs>
          <w:tab w:val="left" w:pos="1134"/>
        </w:tabs>
        <w:ind w:left="1127" w:hanging="560"/>
        <w:rPr>
          <w:b/>
          <w:i/>
          <w:noProof/>
        </w:rPr>
      </w:pPr>
      <w:r w:rsidRPr="00BD0F56">
        <w:rPr>
          <w:b/>
          <w:i/>
        </w:rPr>
        <w:tab/>
        <w:t>ESMA Komisiji podnosi te nacrte regulatornih tehničkih standarda do... [12 mjeseci od stupanja na snagu ove Uredbe].</w:t>
      </w:r>
    </w:p>
    <w:p w:rsidR="007873FC" w:rsidRPr="00BD0F56" w:rsidRDefault="007873FC" w:rsidP="007873FC">
      <w:pPr>
        <w:pStyle w:val="Text1"/>
        <w:tabs>
          <w:tab w:val="left" w:pos="1134"/>
        </w:tabs>
        <w:ind w:left="1127" w:hanging="560"/>
        <w:rPr>
          <w:b/>
          <w:i/>
          <w:noProof/>
        </w:rPr>
      </w:pPr>
      <w:r w:rsidRPr="00BD0F56">
        <w:tab/>
      </w:r>
      <w:r w:rsidRPr="00BD0F56">
        <w:rPr>
          <w:b/>
          <w:i/>
        </w:rPr>
        <w:t xml:space="preserve">Komisiji se delegira ovlast za dopunu ove Uredbe donošenjem regulatornih tehničkih standarda iz prvog podstavka u skladu s člancima od 10. do 14. Uredbe (EU) br. 1095/2010. </w:t>
      </w:r>
    </w:p>
    <w:p w:rsidR="007873FC" w:rsidRPr="00BD0F56" w:rsidRDefault="007873FC" w:rsidP="007873FC">
      <w:pPr>
        <w:pStyle w:val="Text1"/>
        <w:tabs>
          <w:tab w:val="left" w:pos="1134"/>
        </w:tabs>
        <w:ind w:left="1127" w:hanging="560"/>
        <w:rPr>
          <w:b/>
          <w:i/>
          <w:noProof/>
        </w:rPr>
      </w:pPr>
      <w:r w:rsidRPr="00BD0F56">
        <w:rPr>
          <w:b/>
          <w:i/>
        </w:rPr>
        <w:t xml:space="preserve">7a. </w:t>
      </w:r>
      <w:r w:rsidRPr="00BD0F56">
        <w:rPr>
          <w:b/>
          <w:i/>
        </w:rPr>
        <w:tab/>
        <w:t xml:space="preserve">Do... [dvije godine nakon datuma stupanja na snagu ove Uredbe o izmjeni] Komisija u bliskoj suradnji s ESMA-om podnosi izvješće Europskom parlamentu i Vijeću o primjerenosti praga iz stavka 1. točke (a) ovog članka s obzirom na tržišna, cjenovna i regulatorna kretanja. Tom se izvješću prema potrebi prilaže zakonodavni prijedlog. To se preispitivanje provodi barem svake tri godine. </w:t>
      </w:r>
    </w:p>
    <w:p w:rsidR="007873FC" w:rsidRPr="00BD0F56" w:rsidRDefault="007873FC" w:rsidP="007873FC">
      <w:pPr>
        <w:pStyle w:val="Text1"/>
        <w:tabs>
          <w:tab w:val="left" w:pos="1134"/>
        </w:tabs>
        <w:ind w:left="1127" w:hanging="560"/>
        <w:rPr>
          <w:noProof/>
        </w:rPr>
      </w:pPr>
      <w:r w:rsidRPr="00BD0F56">
        <w:rPr>
          <w:b/>
          <w:i/>
        </w:rPr>
        <w:t xml:space="preserve">7b. </w:t>
      </w:r>
      <w:r w:rsidRPr="00BD0F56">
        <w:rPr>
          <w:b/>
          <w:i/>
        </w:rPr>
        <w:tab/>
        <w:t>Ako smatra primjerenim da se prag iz stavka 1. točke (a) preispita ranije s obzirom na tržišna, cjenovna i regulatorna kretanja, ESMA Komisiji podnosi zahtjev za preispitivanje praga. Nakon primitka tog zahtjeva Komisija preispituje potrebu za ponovnom procjenom praga i djeluje u skladu sa stavkom 7.a.</w:t>
      </w:r>
      <w:r w:rsidRPr="00BD0F56">
        <w:t>”;</w:t>
      </w:r>
      <w:r w:rsidRPr="00BD0F56">
        <w:rPr>
          <w:b/>
          <w:i/>
        </w:rPr>
        <w:tab/>
      </w:r>
    </w:p>
    <w:p w:rsidR="007873FC" w:rsidRPr="00BD0F56" w:rsidRDefault="007873FC" w:rsidP="007873FC">
      <w:pPr>
        <w:rPr>
          <w:noProof/>
        </w:rPr>
      </w:pPr>
    </w:p>
    <w:p w:rsidR="007873FC" w:rsidRPr="00BD0F56" w:rsidRDefault="007873FC" w:rsidP="007873FC">
      <w:pPr>
        <w:pStyle w:val="Point0"/>
        <w:rPr>
          <w:noProof/>
        </w:rPr>
      </w:pPr>
      <w:r w:rsidRPr="00BD0F56">
        <w:t>(12)</w:t>
      </w:r>
      <w:r w:rsidRPr="00BD0F56">
        <w:tab/>
        <w:t xml:space="preserve">umeće se sljedeći članak: </w:t>
      </w:r>
    </w:p>
    <w:p w:rsidR="007873FC" w:rsidRPr="00BD0F56" w:rsidRDefault="007873FC" w:rsidP="007873FC">
      <w:pPr>
        <w:pStyle w:val="Text1"/>
        <w:tabs>
          <w:tab w:val="left" w:pos="1134"/>
        </w:tabs>
        <w:ind w:left="567"/>
        <w:jc w:val="center"/>
        <w:rPr>
          <w:noProof/>
        </w:rPr>
      </w:pPr>
      <w:r w:rsidRPr="00BD0F56">
        <w:t>„Članak 24.a</w:t>
      </w:r>
    </w:p>
    <w:p w:rsidR="007873FC" w:rsidRPr="00BD0F56" w:rsidRDefault="007873FC" w:rsidP="007873FC">
      <w:pPr>
        <w:pStyle w:val="Text1"/>
        <w:tabs>
          <w:tab w:val="left" w:pos="1134"/>
        </w:tabs>
        <w:ind w:left="567"/>
        <w:jc w:val="center"/>
        <w:rPr>
          <w:b/>
          <w:bCs/>
          <w:noProof/>
        </w:rPr>
      </w:pPr>
      <w:r w:rsidRPr="00BD0F56">
        <w:rPr>
          <w:b/>
        </w:rPr>
        <w:t>Zahtjevi za administratore značajnih referentnih vrijednosti</w:t>
      </w:r>
    </w:p>
    <w:p w:rsidR="007873FC" w:rsidRPr="00BD0F56" w:rsidRDefault="007873FC" w:rsidP="007873FC">
      <w:pPr>
        <w:pStyle w:val="Point1"/>
        <w:rPr>
          <w:noProof/>
        </w:rPr>
      </w:pPr>
      <w:r w:rsidRPr="00BD0F56">
        <w:t>(1)</w:t>
      </w:r>
      <w:r w:rsidRPr="00BD0F56">
        <w:tab/>
        <w:t>U roku od 60 radnih dana od obavijesti iz članka 24. stavka 2. administrator referentne vrijednosti koja ispunjava kriterij iz stavka 1. točke (a) tog članka podnosi zahtjev za odobrenje ili registraciju pri nadležnom tijelu države članice</w:t>
      </w:r>
      <w:r w:rsidRPr="00BD0F56">
        <w:rPr>
          <w:b/>
          <w:bCs/>
          <w:i/>
          <w:iCs/>
        </w:rPr>
        <w:t>, ako je značajna u toj državi članici, ili pri ESMA-i, ako je referentna vrijednost značajna u Uniji.</w:t>
      </w:r>
      <w:r w:rsidRPr="00BD0F56">
        <w:t xml:space="preserve"> Ako je smješten u trećoj zemlji i osim ako je predmetna referentna vrijednost obuhvaćena odlukom o jednakovrijednosti donesenom u </w:t>
      </w:r>
      <w:r w:rsidRPr="00BD0F56">
        <w:lastRenderedPageBreak/>
        <w:t xml:space="preserve">skladu s člankom 30., taj administrator u roku od 60 radnih dana od obavijesti iz članka 24. stavka 2. </w:t>
      </w:r>
      <w:r w:rsidRPr="00BD0F56">
        <w:rPr>
          <w:b/>
          <w:bCs/>
          <w:i/>
          <w:iCs/>
        </w:rPr>
        <w:t>pri ESMA-i</w:t>
      </w:r>
      <w:r w:rsidRPr="00BD0F56">
        <w:t xml:space="preserve"> podnosi zahtjev za jedno od sljedećeg: </w:t>
      </w:r>
    </w:p>
    <w:p w:rsidR="007873FC" w:rsidRPr="00BD0F56" w:rsidRDefault="007873FC" w:rsidP="007873FC">
      <w:pPr>
        <w:pStyle w:val="Point2"/>
        <w:rPr>
          <w:noProof/>
        </w:rPr>
      </w:pPr>
      <w:r w:rsidRPr="00BD0F56">
        <w:t>(a)</w:t>
      </w:r>
      <w:r w:rsidRPr="00BD0F56">
        <w:tab/>
        <w:t>priznanje ▌u skladu s postupkom utvrđenim u članku 32.;</w:t>
      </w:r>
    </w:p>
    <w:p w:rsidR="007873FC" w:rsidRPr="00BD0F56" w:rsidRDefault="007873FC" w:rsidP="007873FC">
      <w:pPr>
        <w:pStyle w:val="Point2"/>
        <w:rPr>
          <w:noProof/>
        </w:rPr>
      </w:pPr>
      <w:r w:rsidRPr="00BD0F56">
        <w:t>(b)</w:t>
      </w:r>
      <w:r w:rsidRPr="00BD0F56">
        <w:tab/>
        <w:t>prihvaćanje u skladu s postupkom utvrđenim u članku 33.</w:t>
      </w:r>
    </w:p>
    <w:p w:rsidR="007873FC" w:rsidRPr="00BD0F56" w:rsidRDefault="007873FC" w:rsidP="007873FC">
      <w:pPr>
        <w:pStyle w:val="Point1"/>
        <w:rPr>
          <w:noProof/>
        </w:rPr>
      </w:pPr>
      <w:r w:rsidRPr="00BD0F56">
        <w:t>(2)</w:t>
      </w:r>
      <w:r w:rsidRPr="00BD0F56">
        <w:tab/>
        <w:t xml:space="preserve">U roku od 60 radnih dana od određivanja iz članka 24. stavka 3. administrator predmetne referentne vrijednosti, osim ako je taj administrator već odobren ili registriran </w:t>
      </w:r>
      <w:r w:rsidRPr="00BD0F56">
        <w:rPr>
          <w:b/>
          <w:bCs/>
          <w:i/>
          <w:iCs/>
        </w:rPr>
        <w:t>od strane nacionalnog nadležnog tijela</w:t>
      </w:r>
      <w:r w:rsidRPr="00BD0F56">
        <w:t>, podnosi zahtjev za odobrenje ili registraciju pri nadležnom tijelu koje određuje referentnu vrijednost kao značajnu u skladu s člankom 34.</w:t>
      </w:r>
    </w:p>
    <w:p w:rsidR="007873FC" w:rsidRPr="00BD0F56" w:rsidRDefault="007873FC" w:rsidP="007873FC">
      <w:pPr>
        <w:pStyle w:val="Point1"/>
        <w:rPr>
          <w:b/>
          <w:i/>
          <w:noProof/>
        </w:rPr>
      </w:pPr>
      <w:r w:rsidRPr="00BD0F56">
        <w:rPr>
          <w:b/>
          <w:i/>
        </w:rPr>
        <w:t>(2a)</w:t>
      </w:r>
      <w:r w:rsidRPr="00BD0F56">
        <w:rPr>
          <w:b/>
          <w:i/>
        </w:rPr>
        <w:tab/>
        <w:t>U roku od 60 radnih dana od određivanja iz članka 24. stavka 5. administrator predmetne referentne vrijednosti podnosi zahtjev za odobrenje ili registraciju pri ESMA-i u skladu s člankom 34., osim ako je taj administrator već odobren ili registriran. Ako je administrator već odobren ili registriran u državi članici, takvo odobrenje ili registracija prenosi se na ESMA-u.</w:t>
      </w:r>
    </w:p>
    <w:p w:rsidR="007873FC" w:rsidRPr="00BD0F56" w:rsidRDefault="007873FC" w:rsidP="007873FC">
      <w:pPr>
        <w:pStyle w:val="Point1"/>
        <w:rPr>
          <w:noProof/>
        </w:rPr>
      </w:pPr>
      <w:r w:rsidRPr="00BD0F56">
        <w:t xml:space="preserve"> </w:t>
      </w:r>
    </w:p>
    <w:p w:rsidR="007873FC" w:rsidRPr="00BD0F56" w:rsidRDefault="007873FC" w:rsidP="007873FC">
      <w:pPr>
        <w:pStyle w:val="Point1"/>
        <w:rPr>
          <w:noProof/>
        </w:rPr>
      </w:pPr>
      <w:r w:rsidRPr="00BD0F56">
        <w:t>(3)</w:t>
      </w:r>
      <w:r w:rsidRPr="00BD0F56">
        <w:tab/>
        <w:t xml:space="preserve">Administrator predmetne referentne vrijednosti u roku od 60 radnih dana nakon određivanja iz članka 24. stavka 6. ▌podnosi zahtjev </w:t>
      </w:r>
      <w:r w:rsidRPr="00BD0F56">
        <w:rPr>
          <w:b/>
          <w:bCs/>
          <w:i/>
          <w:iCs/>
        </w:rPr>
        <w:t>ESMA-i</w:t>
      </w:r>
      <w:r w:rsidRPr="00BD0F56">
        <w:t xml:space="preserve"> za jedno od sljedećeg:</w:t>
      </w:r>
    </w:p>
    <w:p w:rsidR="007873FC" w:rsidRPr="00BD0F56" w:rsidRDefault="007873FC" w:rsidP="007873FC">
      <w:pPr>
        <w:pStyle w:val="Point2"/>
        <w:rPr>
          <w:noProof/>
        </w:rPr>
      </w:pPr>
      <w:r w:rsidRPr="00BD0F56">
        <w:t>(a)</w:t>
      </w:r>
      <w:r w:rsidRPr="00BD0F56">
        <w:tab/>
        <w:t xml:space="preserve"> priznanje ▌u skladu s postupkom utvrđenim u članku 32.;</w:t>
      </w:r>
    </w:p>
    <w:p w:rsidR="007873FC" w:rsidRPr="00BD0F56" w:rsidRDefault="007873FC" w:rsidP="007873FC">
      <w:pPr>
        <w:pStyle w:val="Point2"/>
        <w:rPr>
          <w:noProof/>
        </w:rPr>
      </w:pPr>
      <w:r w:rsidRPr="00BD0F56">
        <w:t>(b)</w:t>
      </w:r>
      <w:r w:rsidRPr="00BD0F56">
        <w:tab/>
        <w:t>prihvaćanje u skladu s postupkom utvrđenim u članku 33.</w:t>
      </w:r>
    </w:p>
    <w:p w:rsidR="007873FC" w:rsidRPr="00BD0F56" w:rsidRDefault="007873FC" w:rsidP="007873FC">
      <w:pPr>
        <w:pStyle w:val="Point2"/>
        <w:ind w:left="1418" w:firstLine="0"/>
        <w:rPr>
          <w:b/>
          <w:i/>
          <w:noProof/>
        </w:rPr>
      </w:pPr>
      <w:r w:rsidRPr="00BD0F56">
        <w:t xml:space="preserve"> </w:t>
      </w:r>
      <w:r w:rsidRPr="00BD0F56">
        <w:rPr>
          <w:b/>
          <w:i/>
        </w:rPr>
        <w:t>Administratori referentnih vrijednosti iz trećih zemalja odabiru administratora koji donosi odluku o prihvaćanju u Uniji.</w:t>
      </w:r>
    </w:p>
    <w:p w:rsidR="007873FC" w:rsidRPr="00BD0F56" w:rsidRDefault="007873FC" w:rsidP="007873FC">
      <w:pPr>
        <w:pStyle w:val="Point1"/>
        <w:rPr>
          <w:noProof/>
        </w:rPr>
      </w:pPr>
      <w:r w:rsidRPr="00BD0F56">
        <w:t>(4)</w:t>
      </w:r>
      <w:r w:rsidRPr="00BD0F56">
        <w:tab/>
        <w:t>ESMA ili nadležna tijela koriste nadzorne ovlasti i ovlasti izricanja sankcija koje su im povjerene na temelju ove Uredbe kako bi osigurali da relevantni administratori ispunjavaju svoje obveze.</w:t>
      </w:r>
    </w:p>
    <w:p w:rsidR="007873FC" w:rsidRPr="00BD0F56" w:rsidRDefault="007873FC" w:rsidP="007873FC">
      <w:pPr>
        <w:pStyle w:val="Point1"/>
        <w:rPr>
          <w:noProof/>
        </w:rPr>
      </w:pPr>
      <w:r w:rsidRPr="00BD0F56">
        <w:t>(5)</w:t>
      </w:r>
      <w:r w:rsidRPr="00BD0F56">
        <w:tab/>
        <w:t xml:space="preserve">Nadležno tijelo ili ESMA izdaju javnu obavijest u kojoj navode da značajna referentna vrijednost koju pruža administrator nije u skladu s ovom Uredbom i da je korisnici ne bi trebali koristiti ako je ispunjen bilo koji od sljedećih uvjeta: </w:t>
      </w:r>
    </w:p>
    <w:p w:rsidR="007873FC" w:rsidRPr="00BD0F56" w:rsidRDefault="007873FC" w:rsidP="007873FC">
      <w:pPr>
        <w:pStyle w:val="Point2"/>
        <w:rPr>
          <w:noProof/>
        </w:rPr>
      </w:pPr>
      <w:r w:rsidRPr="00BD0F56">
        <w:t>(a)</w:t>
      </w:r>
      <w:r w:rsidRPr="00BD0F56">
        <w:tab/>
        <w:t>u roku od 60 radnih dana od obavijesti iz članka 24. stavka 2., određivanja iz članka 24. stavka 3. ili određivanja iz članka 24. stavka 6. predmetni administrator nije pokrenuo postupke za usklađivanje sa stavkom 2. ovog članka;</w:t>
      </w:r>
    </w:p>
    <w:p w:rsidR="007873FC" w:rsidRPr="00BD0F56" w:rsidRDefault="007873FC" w:rsidP="007873FC">
      <w:pPr>
        <w:pStyle w:val="Point2"/>
        <w:rPr>
          <w:noProof/>
        </w:rPr>
      </w:pPr>
      <w:r w:rsidRPr="00BD0F56">
        <w:t>(b)</w:t>
      </w:r>
      <w:r w:rsidRPr="00BD0F56">
        <w:tab/>
        <w:t>postupci odobravanja, registracije, priznanja ili prihvaćanja nisu bili uspješni;</w:t>
      </w:r>
    </w:p>
    <w:p w:rsidR="007873FC" w:rsidRPr="00BD0F56" w:rsidRDefault="007873FC" w:rsidP="007873FC">
      <w:pPr>
        <w:pStyle w:val="Point2"/>
        <w:rPr>
          <w:noProof/>
        </w:rPr>
      </w:pPr>
      <w:r w:rsidRPr="00BD0F56">
        <w:t>(c)</w:t>
      </w:r>
      <w:r w:rsidRPr="00BD0F56">
        <w:tab/>
        <w:t>ESMA je povukla registraciju administratora u skladu s člankom 31.;</w:t>
      </w:r>
    </w:p>
    <w:p w:rsidR="007873FC" w:rsidRPr="00BD0F56" w:rsidRDefault="007873FC" w:rsidP="007873FC">
      <w:pPr>
        <w:pStyle w:val="Point2"/>
        <w:rPr>
          <w:noProof/>
        </w:rPr>
      </w:pPr>
      <w:r w:rsidRPr="00BD0F56">
        <w:t>(d)</w:t>
      </w:r>
      <w:r w:rsidRPr="00BD0F56">
        <w:tab/>
        <w:t xml:space="preserve">ESMA je povukla ili suspendirala priznanje predmetnog administratora u skladu s </w:t>
      </w:r>
      <w:r w:rsidRPr="00BD0F56">
        <w:rPr>
          <w:b/>
          <w:bCs/>
          <w:i/>
          <w:iCs/>
        </w:rPr>
        <w:t>člankom 32. stavkom 8.</w:t>
      </w:r>
      <w:r w:rsidRPr="00BD0F56">
        <w:t>;</w:t>
      </w:r>
    </w:p>
    <w:p w:rsidR="007873FC" w:rsidRPr="00BD0F56" w:rsidRDefault="007873FC" w:rsidP="007873FC">
      <w:pPr>
        <w:pStyle w:val="Point2"/>
        <w:rPr>
          <w:noProof/>
        </w:rPr>
      </w:pPr>
      <w:r w:rsidRPr="00BD0F56">
        <w:t>(e)</w:t>
      </w:r>
      <w:r w:rsidRPr="00BD0F56">
        <w:tab/>
        <w:t xml:space="preserve">predmetni administrator više se ne prihvaća; </w:t>
      </w:r>
    </w:p>
    <w:p w:rsidR="007873FC" w:rsidRPr="00BD0F56" w:rsidRDefault="007873FC" w:rsidP="007873FC">
      <w:pPr>
        <w:pStyle w:val="Point2"/>
        <w:rPr>
          <w:noProof/>
        </w:rPr>
      </w:pPr>
      <w:r w:rsidRPr="00BD0F56">
        <w:t>(f)</w:t>
      </w:r>
      <w:r w:rsidRPr="00BD0F56">
        <w:tab/>
        <w:t>nadležno tijelo povuklo je ili suspendiralo odobrenje ili registraciju predmetnog administratora.</w:t>
      </w:r>
    </w:p>
    <w:p w:rsidR="007873FC" w:rsidRPr="00BD0F56" w:rsidRDefault="007873FC" w:rsidP="007873FC">
      <w:pPr>
        <w:pStyle w:val="Text1"/>
        <w:tabs>
          <w:tab w:val="left" w:pos="1134"/>
        </w:tabs>
        <w:ind w:left="1134"/>
        <w:rPr>
          <w:noProof/>
        </w:rPr>
      </w:pPr>
      <w:r w:rsidRPr="00BD0F56">
        <w:t xml:space="preserve">Nadležna tijela bez nepotrebne odgode obavješćuju ESMA-u o svim izdanim javnim obavijestima. ESMA objavljuje sve izdane javne obavijesti na svojim </w:t>
      </w:r>
      <w:r w:rsidRPr="00BD0F56">
        <w:lastRenderedPageBreak/>
        <w:t>internetskim stranicama. ESMA ili nadležno tijelo bez nepotrebne odgode uklanjaju javnu obavijest čim razlog zbog kojeg je izdana prestane vrijediti.”</w:t>
      </w:r>
    </w:p>
    <w:p w:rsidR="007873FC" w:rsidRPr="00BD0F56" w:rsidRDefault="007873FC" w:rsidP="007873FC">
      <w:pPr>
        <w:pStyle w:val="Point0"/>
        <w:rPr>
          <w:noProof/>
        </w:rPr>
      </w:pPr>
      <w:r w:rsidRPr="00BD0F56">
        <w:t>(13)</w:t>
      </w:r>
      <w:r w:rsidRPr="00BD0F56">
        <w:tab/>
        <w:t>u glavi III. briše se poglavlje 6.;</w:t>
      </w:r>
    </w:p>
    <w:p w:rsidR="007873FC" w:rsidRPr="00BD0F56" w:rsidRDefault="007873FC" w:rsidP="007873FC">
      <w:pPr>
        <w:pStyle w:val="Point0"/>
        <w:rPr>
          <w:b/>
          <w:i/>
        </w:rPr>
      </w:pPr>
      <w:r w:rsidRPr="00BD0F56">
        <w:rPr>
          <w:b/>
          <w:i/>
        </w:rPr>
        <w:t>(13a)</w:t>
      </w:r>
      <w:r w:rsidRPr="00BD0F56">
        <w:rPr>
          <w:b/>
          <w:i/>
        </w:rPr>
        <w:tab/>
        <w:t>Članak 28. stavak 2. mijenja se kako slijedi:</w:t>
      </w:r>
    </w:p>
    <w:p w:rsidR="007873FC" w:rsidRPr="00BD0F56" w:rsidRDefault="007873FC" w:rsidP="007873FC">
      <w:pPr>
        <w:pStyle w:val="Text1"/>
        <w:tabs>
          <w:tab w:val="left" w:pos="1134"/>
        </w:tabs>
        <w:ind w:left="1134"/>
        <w:rPr>
          <w:noProof/>
        </w:rPr>
      </w:pPr>
      <w:r w:rsidRPr="00BD0F56">
        <w:t>„</w:t>
      </w:r>
      <w:r w:rsidRPr="00BD0F56">
        <w:rPr>
          <w:b/>
          <w:i/>
        </w:rPr>
        <w:t>2.</w:t>
      </w:r>
      <w:r w:rsidRPr="00BD0F56">
        <w:rPr>
          <w:b/>
          <w:i/>
        </w:rPr>
        <w:tab/>
        <w:t xml:space="preserve">Nadzirani subjekti, osim administratora iz stavka 1., koji upotrebljavaju referentnu vrijednost, izrađuju i održavaju robusne pisane planove u kojima navode mjere koje će poduzeti u slučaju bitnih promjena ili prestanka pružanja referentne vrijednosti. Ako je izvedivo i primjenjivo, u tim se planovima određuju jedna ili nekoliko alternativnih referentnih vrijednosti na koje se može pozivati kao zamjenu za referentne vrijednosti koje se više neće pružati te se navode razlozi za prikladnost takvih alternativnih referentnih vrijednosti. </w:t>
      </w:r>
      <w:r w:rsidRPr="00BD0F56">
        <w:rPr>
          <w:b/>
          <w:bCs/>
          <w:i/>
          <w:iCs/>
        </w:rPr>
        <w:t>Nadzirani subjekti relevantnom nadležnom tijelu na zahtjev i bez nepotrebnog odlaganja dostavljaju te planove i sve njihove ažurirane verzije te ih odražavaju u rezervnim aranžmanima primjenjivima na financijske ugovore, financijske instrumente i ulagačke fondove</w:t>
      </w:r>
      <w:r w:rsidRPr="00BD0F56">
        <w:t>.”;</w:t>
      </w:r>
    </w:p>
    <w:p w:rsidR="007873FC" w:rsidRPr="00BD0F56" w:rsidRDefault="007873FC" w:rsidP="007873FC">
      <w:pPr>
        <w:pStyle w:val="Point0"/>
        <w:rPr>
          <w:noProof/>
        </w:rPr>
      </w:pPr>
      <w:r w:rsidRPr="00BD0F56">
        <w:t>(14)</w:t>
      </w:r>
      <w:r w:rsidRPr="00BD0F56">
        <w:tab/>
        <w:t>Članak 29. mijenja se kako slijedi:</w:t>
      </w:r>
    </w:p>
    <w:p w:rsidR="007873FC" w:rsidRPr="00BD0F56" w:rsidRDefault="007873FC" w:rsidP="007873FC">
      <w:pPr>
        <w:pStyle w:val="Point1"/>
        <w:rPr>
          <w:noProof/>
        </w:rPr>
      </w:pPr>
      <w:r w:rsidRPr="00BD0F56">
        <w:t>(a)</w:t>
      </w:r>
      <w:r w:rsidRPr="00BD0F56">
        <w:tab/>
        <w:t xml:space="preserve">naslov se zamjenjuje sljedećim: </w:t>
      </w:r>
    </w:p>
    <w:p w:rsidR="007873FC" w:rsidRPr="00BD0F56" w:rsidRDefault="007873FC" w:rsidP="007873FC">
      <w:pPr>
        <w:pStyle w:val="Text1"/>
        <w:ind w:left="1134"/>
        <w:rPr>
          <w:noProof/>
        </w:rPr>
      </w:pPr>
      <w:r w:rsidRPr="00BD0F56">
        <w:rPr>
          <w:b/>
          <w:bCs/>
        </w:rPr>
        <w:t>„Upotreba</w:t>
      </w:r>
      <w:r w:rsidRPr="00BD0F56">
        <w:rPr>
          <w:b/>
          <w:bCs/>
          <w:i/>
          <w:iCs/>
        </w:rPr>
        <w:t xml:space="preserve"> ključnih referentnih vrijednosti,</w:t>
      </w:r>
      <w:r w:rsidRPr="00BD0F56">
        <w:rPr>
          <w:b/>
          <w:bCs/>
        </w:rPr>
        <w:t xml:space="preserve"> značajnih referentnih vrijednosti, </w:t>
      </w:r>
      <w:r w:rsidRPr="00BD0F56">
        <w:rPr>
          <w:b/>
          <w:bCs/>
          <w:i/>
          <w:iCs/>
        </w:rPr>
        <w:t>robnih referentnih vrijednosti koje podliježu Prilogu II.,</w:t>
      </w:r>
      <w:r w:rsidRPr="00BD0F56">
        <w:rPr>
          <w:b/>
          <w:bCs/>
        </w:rPr>
        <w:t xml:space="preserve"> referentnih vrijednosti EU-a za klimatsku tranziciju i referentnih vrijednosti EU-a usklađenih s Pariškim sporazumom”</w:t>
      </w:r>
      <w:r w:rsidRPr="00BD0F56">
        <w:t>;</w:t>
      </w:r>
    </w:p>
    <w:p w:rsidR="007873FC" w:rsidRPr="00BD0F56" w:rsidRDefault="007873FC" w:rsidP="007873FC">
      <w:pPr>
        <w:pStyle w:val="Point1"/>
        <w:rPr>
          <w:noProof/>
        </w:rPr>
      </w:pPr>
      <w:r w:rsidRPr="00BD0F56">
        <w:t>(b)</w:t>
      </w:r>
      <w:r w:rsidRPr="00BD0F56">
        <w:tab/>
        <w:t xml:space="preserve">stavak 1. zamjenjuje se sljedećim: </w:t>
      </w:r>
    </w:p>
    <w:p w:rsidR="007873FC" w:rsidRPr="00BD0F56" w:rsidRDefault="007873FC" w:rsidP="007873FC">
      <w:pPr>
        <w:pStyle w:val="Text1"/>
        <w:tabs>
          <w:tab w:val="left" w:pos="1134"/>
        </w:tabs>
        <w:ind w:left="1134" w:hanging="567"/>
        <w:rPr>
          <w:noProof/>
        </w:rPr>
      </w:pPr>
      <w:r w:rsidRPr="00BD0F56">
        <w:tab/>
        <w:t>„1.</w:t>
      </w:r>
      <w:r w:rsidRPr="00BD0F56">
        <w:tab/>
        <w:t>Nadzirani subjekt ne dodaje nova upućivanja na ključnu referentnu vrijednost</w:t>
      </w:r>
      <w:r w:rsidRPr="00BD0F56">
        <w:rPr>
          <w:b/>
          <w:bCs/>
          <w:i/>
          <w:iCs/>
        </w:rPr>
        <w:t>, značajnu referentnu vrijednost</w:t>
      </w:r>
      <w:r w:rsidRPr="00BD0F56">
        <w:t xml:space="preserve"> ili kombinaciju takvih referentnih vrijednosti u Uniji ako je ta referentna vrijednost ili kombinacija referentnih vrijednosti predmet javne obavijesti koju je izdala ESMA ili nadležno tijelo u skladu s člankom 24.a stavkom 5. Nadzirani subjekt ne dodaje nova upućivanja na </w:t>
      </w:r>
      <w:r w:rsidRPr="00BD0F56">
        <w:rPr>
          <w:b/>
          <w:bCs/>
          <w:i/>
          <w:iCs/>
        </w:rPr>
        <w:t>ključnu referentnu vrijednost, robnu referentnu vrijednost koja podliježe Prilogu II.</w:t>
      </w:r>
      <w:r w:rsidRPr="00BD0F56">
        <w:t>, referentnu vrijednost EU-a za klimatsku tranziciju, referentnu vrijednost EU-a usklađenu s Pariškim sporazumom ili kombinaciju takvih referentnih vrijednosti u Uniji ako administrator tih referentnih vrijednosti nije uvršten u registar iz članka 36.</w:t>
      </w:r>
    </w:p>
    <w:p w:rsidR="007873FC" w:rsidRPr="00BD0F56" w:rsidRDefault="007873FC" w:rsidP="007873FC">
      <w:pPr>
        <w:pStyle w:val="Text1"/>
        <w:ind w:left="1134"/>
        <w:rPr>
          <w:noProof/>
        </w:rPr>
      </w:pPr>
      <w:r w:rsidRPr="00BD0F56">
        <w:t xml:space="preserve">Nadzirani subjekti redovito pristupaju jedinstvenoj europskoj pristupnoj točki (ESAP) iz članka 28.a ili registru ESMA-e iz članka 36. kako bi provjerili regulatorni status administratora </w:t>
      </w:r>
      <w:r w:rsidRPr="00BD0F56">
        <w:rPr>
          <w:b/>
          <w:bCs/>
          <w:i/>
          <w:iCs/>
        </w:rPr>
        <w:t>ključnih referentnih vrijednosti,</w:t>
      </w:r>
      <w:r w:rsidRPr="00BD0F56">
        <w:t xml:space="preserve"> značajnih referentnih vrijednosti</w:t>
      </w:r>
      <w:r w:rsidRPr="00BD0F56">
        <w:rPr>
          <w:b/>
          <w:bCs/>
          <w:i/>
          <w:iCs/>
        </w:rPr>
        <w:t>, robnih referentnih vrijednosti koje podliježu Prilogu II.</w:t>
      </w:r>
      <w:r w:rsidRPr="00BD0F56">
        <w:t xml:space="preserve">, referentnih vrijednosti EU-a za klimatsku tranziciju ili referentnih vrijednosti EU-a usklađenih s Pariškim sporazumom koje namjeravaju upotrebljavati. </w:t>
      </w:r>
    </w:p>
    <w:p w:rsidR="007873FC" w:rsidRPr="00BD0F56" w:rsidRDefault="007873FC" w:rsidP="007873FC">
      <w:pPr>
        <w:ind w:left="1134"/>
        <w:jc w:val="both"/>
        <w:rPr>
          <w:b/>
          <w:i/>
          <w:noProof/>
        </w:rPr>
      </w:pPr>
      <w:r w:rsidRPr="00BD0F56">
        <w:t>Odstupajući od prvog podstavka, ESMA ili nadležno tijelo, prema potrebi, može dopustiti upotrebu referentne vrijednosti koja je predmet javne obavijesti izdane u skladu s člankom 24.a stavkom 5. na razdoblje od šest mjeseci nakon objave javne obavijesti, koje se prema potrebi može jedanput produljiti kako bi se izbjegli ozbiljni poremećaji na tržištu,</w:t>
      </w:r>
      <w:r w:rsidRPr="00BD0F56">
        <w:rPr>
          <w:b/>
          <w:bCs/>
          <w:i/>
          <w:iCs/>
        </w:rPr>
        <w:t xml:space="preserve"> ili na razdoblje od 24 mjeseca koje se ne može produljiti, i to u sljedeće svrhe:</w:t>
      </w:r>
    </w:p>
    <w:p w:rsidR="007873FC" w:rsidRPr="00BD0F56" w:rsidRDefault="007873FC" w:rsidP="007873FC">
      <w:pPr>
        <w:pStyle w:val="Point2"/>
        <w:rPr>
          <w:b/>
          <w:i/>
          <w:noProof/>
        </w:rPr>
      </w:pPr>
      <w:r w:rsidRPr="00BD0F56">
        <w:rPr>
          <w:b/>
          <w:i/>
        </w:rPr>
        <w:t>(a)</w:t>
      </w:r>
      <w:r w:rsidRPr="00BD0F56">
        <w:rPr>
          <w:b/>
          <w:i/>
        </w:rPr>
        <w:tab/>
        <w:t>održavanje tržišta kao potpora aktivnostima klijenata u vezi s izvršenim transakcijama na datum stupanja na snagu zabrane;</w:t>
      </w:r>
    </w:p>
    <w:p w:rsidR="007873FC" w:rsidRPr="00BD0F56" w:rsidRDefault="007873FC" w:rsidP="007873FC">
      <w:pPr>
        <w:pStyle w:val="Point2"/>
        <w:rPr>
          <w:b/>
          <w:i/>
          <w:noProof/>
        </w:rPr>
      </w:pPr>
      <w:r w:rsidRPr="00BD0F56">
        <w:rPr>
          <w:b/>
          <w:i/>
        </w:rPr>
        <w:lastRenderedPageBreak/>
        <w:t>(b)</w:t>
      </w:r>
      <w:r w:rsidRPr="00BD0F56">
        <w:rPr>
          <w:b/>
          <w:i/>
        </w:rPr>
        <w:tab/>
        <w:t>transakcije ili druge aktivnosti kojima se smanjuje ili ograničava izloženost nadziranog subjekta ili bilo kojeg klijenta nadziranog subjekta zabranjenoj referentnoj vrijednosti;</w:t>
      </w:r>
    </w:p>
    <w:p w:rsidR="007873FC" w:rsidRPr="00BD0F56" w:rsidRDefault="007873FC" w:rsidP="007873FC">
      <w:pPr>
        <w:pStyle w:val="Point2"/>
        <w:rPr>
          <w:b/>
          <w:i/>
          <w:noProof/>
        </w:rPr>
      </w:pPr>
      <w:r w:rsidRPr="00BD0F56">
        <w:rPr>
          <w:b/>
          <w:i/>
        </w:rPr>
        <w:t>(c)</w:t>
      </w:r>
      <w:r w:rsidRPr="00BD0F56">
        <w:rPr>
          <w:b/>
          <w:i/>
        </w:rPr>
        <w:tab/>
        <w:t>obnova transakcija;</w:t>
      </w:r>
    </w:p>
    <w:p w:rsidR="007873FC" w:rsidRPr="00BD0F56" w:rsidRDefault="007873FC" w:rsidP="007873FC">
      <w:pPr>
        <w:pStyle w:val="Point2"/>
        <w:rPr>
          <w:b/>
          <w:i/>
          <w:noProof/>
        </w:rPr>
      </w:pPr>
      <w:r w:rsidRPr="00BD0F56">
        <w:rPr>
          <w:b/>
          <w:i/>
        </w:rPr>
        <w:t>(d)</w:t>
      </w:r>
      <w:r w:rsidRPr="00BD0F56">
        <w:rPr>
          <w:b/>
          <w:i/>
        </w:rPr>
        <w:tab/>
        <w:t>transakcije izvršene za potrebe sudjelovanja u postupku dražbe središnje druge ugovorne strane u slučaju neispunjavanja obveza člana, uključujući transakcije koje se izvršavaju radi ograničavanja nastale izloženosti;</w:t>
      </w:r>
    </w:p>
    <w:p w:rsidR="007873FC" w:rsidRPr="00BD0F56" w:rsidRDefault="007873FC" w:rsidP="007873FC">
      <w:pPr>
        <w:pStyle w:val="Point2"/>
        <w:rPr>
          <w:noProof/>
        </w:rPr>
      </w:pPr>
      <w:r w:rsidRPr="00BD0F56">
        <w:rPr>
          <w:b/>
          <w:i/>
        </w:rPr>
        <w:t>(e)</w:t>
      </w:r>
      <w:r w:rsidRPr="00BD0F56">
        <w:rPr>
          <w:b/>
          <w:i/>
        </w:rPr>
        <w:tab/>
      </w:r>
      <w:r w:rsidRPr="00BD0F56">
        <w:rPr>
          <w:b/>
          <w:bCs/>
          <w:i/>
          <w:iCs/>
        </w:rPr>
        <w:t>interpolacija ili druga uporaba predviđena ugovornim rezervnim aranžmanima u vezi sa zabranjenom referentnom vrijednošću.</w:t>
      </w:r>
      <w:r w:rsidRPr="00BD0F56">
        <w:t>”;</w:t>
      </w:r>
    </w:p>
    <w:p w:rsidR="007873FC" w:rsidRPr="00BD0F56" w:rsidRDefault="007873FC" w:rsidP="007873FC">
      <w:pPr>
        <w:pStyle w:val="Point1"/>
        <w:rPr>
          <w:noProof/>
        </w:rPr>
      </w:pPr>
      <w:r w:rsidRPr="00BD0F56">
        <w:t>(c)</w:t>
      </w:r>
      <w:r w:rsidRPr="00BD0F56">
        <w:tab/>
      </w:r>
      <w:r w:rsidRPr="00BD0F56">
        <w:rPr>
          <w:b/>
          <w:bCs/>
          <w:i/>
          <w:iCs/>
        </w:rPr>
        <w:t>umeću se novi stavci 1.b, 1.ba, 1.bb i 1.bc</w:t>
      </w:r>
      <w:r w:rsidRPr="00BD0F56">
        <w:t>:</w:t>
      </w:r>
    </w:p>
    <w:p w:rsidR="007873FC" w:rsidRPr="00BD0F56" w:rsidRDefault="007873FC" w:rsidP="007873FC">
      <w:pPr>
        <w:pStyle w:val="Text1"/>
        <w:tabs>
          <w:tab w:val="left" w:pos="1701"/>
        </w:tabs>
        <w:ind w:left="1701" w:hanging="567"/>
        <w:rPr>
          <w:noProof/>
        </w:rPr>
      </w:pPr>
      <w:r w:rsidRPr="00BD0F56">
        <w:t>„1</w:t>
      </w:r>
      <w:r w:rsidRPr="00BD0F56">
        <w:rPr>
          <w:b/>
          <w:i/>
        </w:rPr>
        <w:t>b</w:t>
      </w:r>
      <w:r w:rsidRPr="00BD0F56">
        <w:t>.</w:t>
      </w:r>
      <w:r w:rsidRPr="00BD0F56">
        <w:tab/>
        <w:t>Nadzirani subjekt koji upotrebljava referentnu vrijednost koja je predmet javne obavijesti na temelju članka 24.a stavka 5. u postojećim financijskim ugovorima</w:t>
      </w:r>
      <w:r w:rsidRPr="00BD0F56">
        <w:rPr>
          <w:b/>
          <w:bCs/>
          <w:i/>
          <w:iCs/>
        </w:rPr>
        <w:t xml:space="preserve"> ili za mjerenje uspješnosti investicijskih fondova</w:t>
      </w:r>
      <w:r w:rsidRPr="00BD0F56">
        <w:t xml:space="preserve"> ili u financijskim instrumentima zamjenjuje tu referentnu vrijednost odgovarajućom alternativom u roku od šest mjeseci od objave te obavijesti ili izdaje i na svojim internetskim stranicama objavljuje izjavu </w:t>
      </w:r>
      <w:r w:rsidRPr="00BD0F56">
        <w:rPr>
          <w:b/>
          <w:bCs/>
          <w:i/>
          <w:iCs/>
        </w:rPr>
        <w:t>u kojoj obrazlaže zašto to nije u mogućnosti napraviti</w:t>
      </w:r>
      <w:r w:rsidRPr="00BD0F56">
        <w:t xml:space="preserve">; </w:t>
      </w:r>
    </w:p>
    <w:p w:rsidR="007873FC" w:rsidRPr="00BD0F56" w:rsidRDefault="007873FC" w:rsidP="007873FC">
      <w:pPr>
        <w:pStyle w:val="Text1"/>
        <w:tabs>
          <w:tab w:val="left" w:pos="1701"/>
        </w:tabs>
        <w:ind w:left="1701" w:hanging="567"/>
        <w:rPr>
          <w:b/>
          <w:i/>
          <w:noProof/>
        </w:rPr>
      </w:pPr>
      <w:r w:rsidRPr="00BD0F56">
        <w:rPr>
          <w:b/>
          <w:i/>
        </w:rPr>
        <w:t>1ba.</w:t>
      </w:r>
      <w:r w:rsidRPr="00BD0F56">
        <w:rPr>
          <w:b/>
          <w:i/>
        </w:rPr>
        <w:tab/>
        <w:t>Nadzirani subjekt može koristiti referentnu vrijednost tvrdeći, u svojoj pravnoj dokumentaciji ili dokumentaciji za stavljanje na tržište ili denominaciji, da u svojoj metodologiji uzima u obzir okolišne, socijalne i upravljačke čimbenike samo ako njegov administrator otkriva informacije iz članka 13. stavka 1. točke (d) i članka 27. stavka 2.a. Svi zahtjevi za objavljivanje metodologije moraju se nastojati uskladiti s člankom 10. Uredbe (EU) 2019/2088.</w:t>
      </w:r>
    </w:p>
    <w:p w:rsidR="007873FC" w:rsidRPr="00BD0F56" w:rsidRDefault="007873FC" w:rsidP="007873FC">
      <w:pPr>
        <w:pStyle w:val="Text1"/>
        <w:ind w:left="1395" w:firstLine="306"/>
        <w:rPr>
          <w:b/>
          <w:i/>
          <w:noProof/>
        </w:rPr>
      </w:pPr>
      <w:r w:rsidRPr="00BD0F56">
        <w:rPr>
          <w:b/>
          <w:i/>
        </w:rPr>
        <w:t>Ovaj se stavak primjenjuje i na referentne vrijednosti EU-a i na referentne vrijednosti izvan EU-a.</w:t>
      </w:r>
    </w:p>
    <w:p w:rsidR="007873FC" w:rsidRPr="00BD0F56" w:rsidRDefault="007873FC" w:rsidP="007873FC">
      <w:pPr>
        <w:pStyle w:val="Text1"/>
        <w:rPr>
          <w:b/>
          <w:i/>
          <w:noProof/>
        </w:rPr>
      </w:pPr>
      <w:r w:rsidRPr="00BD0F56">
        <w:rPr>
          <w:b/>
          <w:i/>
        </w:rPr>
        <w:t>(</w:t>
      </w:r>
      <w:proofErr w:type="spellStart"/>
      <w:r w:rsidRPr="00BD0F56">
        <w:rPr>
          <w:b/>
          <w:i/>
        </w:rPr>
        <w:t>ca</w:t>
      </w:r>
      <w:proofErr w:type="spellEnd"/>
      <w:r w:rsidRPr="00BD0F56">
        <w:rPr>
          <w:b/>
          <w:i/>
        </w:rPr>
        <w:t>)</w:t>
      </w:r>
      <w:r w:rsidRPr="00BD0F56">
        <w:rPr>
          <w:b/>
          <w:i/>
        </w:rPr>
        <w:tab/>
        <w:t>Stavak 2. mijenja se kako slijedi:</w:t>
      </w:r>
    </w:p>
    <w:p w:rsidR="007873FC" w:rsidRPr="00BD0F56" w:rsidRDefault="007873FC" w:rsidP="007873FC">
      <w:pPr>
        <w:pStyle w:val="Text1"/>
        <w:tabs>
          <w:tab w:val="left" w:pos="1701"/>
        </w:tabs>
        <w:ind w:left="1701" w:hanging="567"/>
        <w:rPr>
          <w:b/>
          <w:i/>
          <w:noProof/>
        </w:rPr>
      </w:pPr>
      <w:r w:rsidRPr="00BD0F56">
        <w:rPr>
          <w:b/>
          <w:i/>
        </w:rPr>
        <w:t>2.</w:t>
      </w:r>
      <w:r w:rsidRPr="00BD0F56">
        <w:rPr>
          <w:b/>
          <w:i/>
        </w:rPr>
        <w:tab/>
        <w:t>Ako su predmet prospekta koji se objavljuje u okviru Direktive 2003/71/EZ ili Direktive 2009/65/EZ prenosive vrijednosnice ili drugi investicijski proizvodi koji se pozivaju na ključnu referentnu vrijednost, značajnu referentu vrijednost, robnu referentnu vrijednost koja podliježe Prilogu II., referentnu vrijednost EU-a za klimatsku tranziciju, referentnu vrijednost EU-a usklađenu s Pariškim sporazumom, izdavač, ponuđač ili osoba koja traži pristup trgovanju na reguliranom tržištu osigurava da, ako je javna obavijest o upotrijebljenoj referentnoj vrijednosti uključena u registar iz članka 36. ove Uredbe u roku od 9 mjesecu od objave javne obavijesti, prospekt obuhvaća ovu informaciju na jasan i vidljiv način.</w:t>
      </w:r>
    </w:p>
    <w:p w:rsidR="007873FC" w:rsidRPr="00BD0F56" w:rsidRDefault="007873FC" w:rsidP="007873FC">
      <w:pPr>
        <w:pStyle w:val="Text1"/>
        <w:rPr>
          <w:b/>
          <w:i/>
          <w:noProof/>
        </w:rPr>
      </w:pPr>
      <w:r w:rsidRPr="00BD0F56">
        <w:rPr>
          <w:b/>
          <w:i/>
        </w:rPr>
        <w:t>(</w:t>
      </w:r>
      <w:proofErr w:type="spellStart"/>
      <w:r w:rsidRPr="00BD0F56">
        <w:rPr>
          <w:b/>
          <w:i/>
        </w:rPr>
        <w:t>cb</w:t>
      </w:r>
      <w:proofErr w:type="spellEnd"/>
      <w:r w:rsidRPr="00BD0F56">
        <w:rPr>
          <w:b/>
          <w:i/>
        </w:rPr>
        <w:t>)</w:t>
      </w:r>
      <w:r w:rsidRPr="00BD0F56">
        <w:rPr>
          <w:b/>
          <w:i/>
        </w:rPr>
        <w:tab/>
        <w:t>umeće se novi stavak 2.a:</w:t>
      </w:r>
    </w:p>
    <w:p w:rsidR="007873FC" w:rsidRPr="00BD0F56" w:rsidRDefault="007873FC" w:rsidP="007873FC">
      <w:pPr>
        <w:pStyle w:val="Text1"/>
        <w:tabs>
          <w:tab w:val="left" w:pos="1701"/>
        </w:tabs>
        <w:ind w:left="1701" w:hanging="567"/>
        <w:rPr>
          <w:b/>
          <w:i/>
          <w:noProof/>
        </w:rPr>
      </w:pPr>
      <w:r w:rsidRPr="00BD0F56">
        <w:rPr>
          <w:b/>
          <w:i/>
        </w:rPr>
        <w:t>2a.</w:t>
      </w:r>
      <w:r w:rsidRPr="00BD0F56">
        <w:rPr>
          <w:b/>
          <w:i/>
        </w:rPr>
        <w:tab/>
      </w:r>
      <w:r w:rsidRPr="00BD0F56">
        <w:rPr>
          <w:b/>
          <w:bCs/>
          <w:i/>
          <w:iCs/>
        </w:rPr>
        <w:t>Administratori referentnih vrijednosti koje se upotrebljavaju u EU-u nastoje zatražiti globalno dogovoren identifikacijski kod za svaku referentnu vrijednost koju pružaju za upotrebu u Uniji.”</w:t>
      </w:r>
      <w:r w:rsidRPr="00BD0F56">
        <w:t>;</w:t>
      </w:r>
    </w:p>
    <w:p w:rsidR="007873FC" w:rsidRPr="00BD0F56" w:rsidRDefault="007873FC" w:rsidP="007873FC">
      <w:pPr>
        <w:pStyle w:val="Point0"/>
        <w:rPr>
          <w:noProof/>
        </w:rPr>
      </w:pPr>
      <w:r w:rsidRPr="00BD0F56">
        <w:t>(15)</w:t>
      </w:r>
      <w:r w:rsidRPr="00BD0F56">
        <w:tab/>
        <w:t xml:space="preserve">Članak 32. mijenja se kako slijedi: </w:t>
      </w:r>
    </w:p>
    <w:p w:rsidR="007873FC" w:rsidRPr="00BD0F56" w:rsidRDefault="007873FC" w:rsidP="007873FC">
      <w:pPr>
        <w:pStyle w:val="Point1"/>
        <w:rPr>
          <w:noProof/>
        </w:rPr>
      </w:pPr>
      <w:r w:rsidRPr="00BD0F56">
        <w:t>(a)</w:t>
      </w:r>
      <w:r w:rsidRPr="00BD0F56">
        <w:tab/>
        <w:t>briše se stavak 1.;</w:t>
      </w:r>
    </w:p>
    <w:p w:rsidR="007873FC" w:rsidRPr="00BD0F56" w:rsidRDefault="007873FC" w:rsidP="007873FC">
      <w:pPr>
        <w:pStyle w:val="Point1"/>
        <w:rPr>
          <w:noProof/>
        </w:rPr>
      </w:pPr>
      <w:r w:rsidRPr="00BD0F56">
        <w:lastRenderedPageBreak/>
        <w:t>(b)</w:t>
      </w:r>
      <w:r w:rsidRPr="00BD0F56">
        <w:tab/>
        <w:t>stavci 2. i 3. zamjenjuju se sljedećim:</w:t>
      </w:r>
    </w:p>
    <w:p w:rsidR="007873FC" w:rsidRPr="00BD0F56" w:rsidRDefault="007873FC" w:rsidP="007873FC">
      <w:pPr>
        <w:pStyle w:val="Text1"/>
        <w:tabs>
          <w:tab w:val="left" w:pos="1701"/>
        </w:tabs>
        <w:ind w:left="1701" w:hanging="567"/>
        <w:rPr>
          <w:noProof/>
        </w:rPr>
      </w:pPr>
      <w:r w:rsidRPr="00BD0F56">
        <w:t>„2.</w:t>
      </w:r>
      <w:r w:rsidRPr="00BD0F56">
        <w:tab/>
        <w:t xml:space="preserve">Administrator smješten u trećoj zemlji koji namjerava dobiti priznanje iz članka 24.a stavaka 1. i 3. postupa u skladu s ovom Uredbom, uz iznimku članka 11. stavka 4. i članaka 16., 20., 21. i 23. Administrator smješten u trećoj zemlji taj uvjet može ispuniti primjenom načela IOSCO-a za financijske referentne vrijednosti ili načela IOSCO-a za PRA-ove, prema potrebi, pod uvjetom da je takva primjena jednakovrijedna usklađenosti s ovom Uredbom, uz iznimku članka 11. stavka 4. i članaka 16., 20., 21. i 23. </w:t>
      </w:r>
    </w:p>
    <w:p w:rsidR="007873FC" w:rsidRPr="00BD0F56" w:rsidRDefault="007873FC" w:rsidP="007873FC">
      <w:pPr>
        <w:pStyle w:val="Text1"/>
        <w:tabs>
          <w:tab w:val="left" w:pos="1701"/>
        </w:tabs>
        <w:ind w:left="1701" w:hanging="567"/>
        <w:rPr>
          <w:noProof/>
        </w:rPr>
      </w:pPr>
      <w:r w:rsidRPr="00BD0F56">
        <w:tab/>
        <w:t>Kad određuje je li ispunjen uvjet iz prvog podstavka i ocjenjuje usklađenost s načelima IOSCO-a za financijske referentne vrijednosti ili s načelima IOSCO-a za PRA-ove, prema potrebi, ESMA može uzeti u obzir:</w:t>
      </w:r>
    </w:p>
    <w:p w:rsidR="007873FC" w:rsidRPr="00BD0F56" w:rsidRDefault="007873FC" w:rsidP="007873FC">
      <w:pPr>
        <w:pStyle w:val="Point2"/>
        <w:rPr>
          <w:noProof/>
        </w:rPr>
      </w:pPr>
      <w:r w:rsidRPr="00BD0F56">
        <w:t>(a)</w:t>
      </w:r>
      <w:r w:rsidRPr="00BD0F56">
        <w:tab/>
        <w:t>procjenu administratora smještenog u trećoj zemlji koju je proveo neovisni vanjski revizor;</w:t>
      </w:r>
    </w:p>
    <w:p w:rsidR="007873FC" w:rsidRPr="00BD0F56" w:rsidRDefault="007873FC" w:rsidP="007873FC">
      <w:pPr>
        <w:pStyle w:val="Point2"/>
        <w:rPr>
          <w:noProof/>
        </w:rPr>
      </w:pPr>
      <w:r w:rsidRPr="00BD0F56">
        <w:t>(b)</w:t>
      </w:r>
      <w:r w:rsidRPr="00BD0F56">
        <w:tab/>
        <w:t xml:space="preserve">potvrdu nadležnog tijela treće zemlje u kojoj je administrator smješten. </w:t>
      </w:r>
    </w:p>
    <w:p w:rsidR="007873FC" w:rsidRPr="00BD0F56" w:rsidRDefault="007873FC" w:rsidP="007873FC">
      <w:pPr>
        <w:pStyle w:val="Text1"/>
        <w:tabs>
          <w:tab w:val="left" w:pos="1701"/>
        </w:tabs>
        <w:ind w:left="1701" w:hanging="567"/>
        <w:rPr>
          <w:noProof/>
        </w:rPr>
      </w:pPr>
      <w:r w:rsidRPr="00BD0F56">
        <w:tab/>
        <w:t xml:space="preserve">Ako i u mjeri u kojoj administrator iz treće zemlje može dokazati da je referentna vrijednost koju pruža referentna vrijednost na temelju reguliranih podataka ili robna referentna vrijednost koja se ne temelji na podnošenjima </w:t>
      </w:r>
      <w:proofErr w:type="spellStart"/>
      <w:r w:rsidRPr="00BD0F56">
        <w:t>doprinositelja</w:t>
      </w:r>
      <w:proofErr w:type="spellEnd"/>
      <w:r w:rsidRPr="00BD0F56">
        <w:t xml:space="preserve"> od kojih su većina nadzirani subjekti, administrator nije obvezan ispuniti zahtjeve koji se, u skladu s člankom 17. i člankom 19. stavkom 1., ne primjenjuju na pružanje referentnih vrijednosti na temelju reguliranih podataka i robnih referentnih vrijednosti.</w:t>
      </w:r>
    </w:p>
    <w:p w:rsidR="007873FC" w:rsidRPr="00BD0F56" w:rsidRDefault="007873FC" w:rsidP="007873FC">
      <w:pPr>
        <w:pStyle w:val="Text1"/>
        <w:tabs>
          <w:tab w:val="left" w:pos="1701"/>
        </w:tabs>
        <w:ind w:left="1701" w:hanging="567"/>
        <w:rPr>
          <w:noProof/>
        </w:rPr>
      </w:pPr>
      <w:r w:rsidRPr="00BD0F56">
        <w:t>3.</w:t>
      </w:r>
      <w:r w:rsidRPr="00BD0F56">
        <w:tab/>
        <w:t xml:space="preserve">Administrator smješten u trećoj zemlji koji namjerava dobiti priznanje mora imati pravnog zastupnika. Pravni zastupnik ▌pravna </w:t>
      </w:r>
      <w:r w:rsidRPr="00BD0F56">
        <w:rPr>
          <w:b/>
          <w:bCs/>
          <w:i/>
          <w:iCs/>
        </w:rPr>
        <w:t>je</w:t>
      </w:r>
      <w:r w:rsidRPr="00BD0F56">
        <w:t xml:space="preserve"> osoba koja je smještena u Uniji i koju je izričito imenovao administrator i koja u ime tog administratora djeluje u pogledu obveza administratora iz ove Uredbe. Pravni zastupnik zajedno s administratorom obavlja nadzornu funkciju u pogledu administratorova pružanja referentnih vrijednosti na temelju ove Uredbe te je ▌odgovoran ESMA-i. </w:t>
      </w:r>
      <w:r w:rsidRPr="00BD0F56">
        <w:rPr>
          <w:b/>
          <w:bCs/>
          <w:i/>
          <w:iCs/>
        </w:rPr>
        <w:t>ESMA može izreći nadzornu mjeru u skladu s člankom 48.e pravnom zastupniku i administratoru za jednu od povreda navedenih u članku 42. stavku 1. točki (a) ili u vezi s nesuradnjom ili nesudjelovanjem u istrazi, nadzoru ili zahtjevu iz poglavlja 4. odjeljka 1.</w:t>
      </w:r>
      <w:r w:rsidRPr="00BD0F56">
        <w:t>”;</w:t>
      </w:r>
    </w:p>
    <w:p w:rsidR="007873FC" w:rsidRPr="00BD0F56" w:rsidRDefault="007873FC" w:rsidP="007873FC">
      <w:pPr>
        <w:pStyle w:val="Point1"/>
        <w:rPr>
          <w:noProof/>
        </w:rPr>
      </w:pPr>
      <w:r w:rsidRPr="00BD0F56">
        <w:t>(c)</w:t>
      </w:r>
      <w:r w:rsidRPr="00BD0F56">
        <w:tab/>
        <w:t>u stavku 5. prvi podstavak zamjenjuje se sljedećim:</w:t>
      </w:r>
    </w:p>
    <w:p w:rsidR="007873FC" w:rsidRPr="00BD0F56" w:rsidRDefault="007873FC" w:rsidP="007873FC">
      <w:pPr>
        <w:pStyle w:val="Text1"/>
        <w:tabs>
          <w:tab w:val="left" w:pos="1701"/>
        </w:tabs>
        <w:ind w:left="1701" w:hanging="567"/>
        <w:rPr>
          <w:noProof/>
        </w:rPr>
      </w:pPr>
      <w:r w:rsidRPr="00BD0F56">
        <w:tab/>
        <w:t>„Administrator smješten u trećoj zemlji koji namjerava dobiti priznanje iz stavka 2. podnosi ESMA-i zahtjev za priznanje. Administrator koji podnosi zahtjev dostavlja sve informacije potrebne kako bi se ESMA uvjerila da je u trenutku priznanja uspostavio sve postupke potrebne za ispunjavanje zahtjeva utvrđenih u stavku 2. u pogledu svoje referentne vrijednosti ili referentnih vrijednosti koje su određene u skladu s člankom 24. Ako je primjenjivo, administrator koji podnosi zahtjev navodi nadležno tijelo u trećoj zemlji koje je odgovorno za njegov nadzor.</w:t>
      </w:r>
    </w:p>
    <w:p w:rsidR="007873FC" w:rsidRPr="00BD0F56" w:rsidRDefault="007873FC" w:rsidP="007873FC">
      <w:pPr>
        <w:pStyle w:val="Text1"/>
        <w:tabs>
          <w:tab w:val="left" w:pos="1701"/>
        </w:tabs>
        <w:ind w:left="1701"/>
        <w:rPr>
          <w:noProof/>
        </w:rPr>
      </w:pPr>
      <w:r w:rsidRPr="00BD0F56">
        <w:t>ESMA ocjenjuje potpunost zahtjeva u roku od 15 radnih dana od njegova primitka i o tome obavješćuje podnositelja zahtjeva. Ako zahtjev nije potpun, podnositelj zahtjeva dostavlja dodatne informacije koje zatraži ESMA. Rok iz ovog podstavka teče od datuma na koji je podnositelj zahtjeva dostavio te dodatne informacije.”;</w:t>
      </w:r>
    </w:p>
    <w:p w:rsidR="007873FC" w:rsidRPr="00BD0F56" w:rsidRDefault="007873FC" w:rsidP="007873FC">
      <w:pPr>
        <w:pStyle w:val="Point0"/>
        <w:ind w:left="851" w:hanging="851"/>
        <w:rPr>
          <w:b/>
          <w:i/>
        </w:rPr>
      </w:pPr>
      <w:r w:rsidRPr="00BD0F56">
        <w:rPr>
          <w:b/>
          <w:i/>
        </w:rPr>
        <w:t>(15a)</w:t>
      </w:r>
      <w:r w:rsidRPr="00BD0F56">
        <w:rPr>
          <w:b/>
          <w:i/>
        </w:rPr>
        <w:tab/>
      </w:r>
      <w:r w:rsidRPr="00BD0F56">
        <w:rPr>
          <w:b/>
          <w:i/>
        </w:rPr>
        <w:tab/>
        <w:t>U članku 33. stavku 1., uvodni tekst mijenja se kako slijedi:</w:t>
      </w:r>
    </w:p>
    <w:p w:rsidR="007873FC" w:rsidRPr="00BD0F56" w:rsidRDefault="007873FC" w:rsidP="007873FC">
      <w:pPr>
        <w:pStyle w:val="Text1"/>
        <w:tabs>
          <w:tab w:val="left" w:pos="1560"/>
        </w:tabs>
        <w:ind w:left="1922" w:hanging="360"/>
        <w:rPr>
          <w:b/>
          <w:i/>
        </w:rPr>
      </w:pPr>
      <w:r w:rsidRPr="00BD0F56">
        <w:lastRenderedPageBreak/>
        <w:t>„</w:t>
      </w:r>
      <w:r w:rsidRPr="00BD0F56">
        <w:rPr>
          <w:b/>
          <w:i/>
        </w:rPr>
        <w:t>1.</w:t>
      </w:r>
      <w:r w:rsidRPr="00BD0F56">
        <w:rPr>
          <w:b/>
          <w:i/>
        </w:rPr>
        <w:tab/>
        <w:t>Administrator smješten u Uniji koji ima odobrenje za rad ili je registriran u skladu s člankom 34. s jasno utvrđenom ulogom pod kontrolnim okvirom ili okvirom odgovornosti administratora iz treće zemlje koji može djelotvorno pratiti pružanja referentnih vrijednosti, može zatražiti od ESMA-e da prihvati referentnu vrijednost ili obitelj referentnih vrijednosti koje su pružene u trećoj zemlji za upotrebu u Uniji, pod uvjetom da su ispunjeni svi sljedeći uvjeti:”</w:t>
      </w:r>
    </w:p>
    <w:p w:rsidR="007873FC" w:rsidRPr="00BD0F56" w:rsidRDefault="007873FC" w:rsidP="007873FC">
      <w:pPr>
        <w:pStyle w:val="Point0"/>
        <w:tabs>
          <w:tab w:val="left" w:pos="567"/>
        </w:tabs>
        <w:rPr>
          <w:b/>
          <w:i/>
        </w:rPr>
      </w:pPr>
      <w:r w:rsidRPr="00BD0F56">
        <w:rPr>
          <w:b/>
          <w:i/>
        </w:rPr>
        <w:t>(15b)</w:t>
      </w:r>
      <w:r w:rsidRPr="00BD0F56">
        <w:rPr>
          <w:b/>
          <w:i/>
        </w:rPr>
        <w:tab/>
      </w:r>
      <w:r w:rsidRPr="00BD0F56">
        <w:rPr>
          <w:b/>
          <w:i/>
        </w:rPr>
        <w:tab/>
      </w:r>
      <w:r w:rsidRPr="00BD0F56">
        <w:rPr>
          <w:b/>
          <w:i/>
        </w:rPr>
        <w:tab/>
        <w:t>Članak 33. stavak 3. mijenja se kako slijedi:</w:t>
      </w:r>
    </w:p>
    <w:p w:rsidR="007873FC" w:rsidRPr="00BD0F56" w:rsidRDefault="007873FC" w:rsidP="007873FC">
      <w:pPr>
        <w:pStyle w:val="Text1"/>
        <w:tabs>
          <w:tab w:val="left" w:pos="1418"/>
        </w:tabs>
        <w:ind w:left="1985" w:hanging="425"/>
        <w:rPr>
          <w:b/>
          <w:i/>
        </w:rPr>
      </w:pPr>
      <w:r w:rsidRPr="00BD0F56">
        <w:rPr>
          <w:b/>
          <w:i/>
        </w:rPr>
        <w:t>3.</w:t>
      </w:r>
      <w:r w:rsidRPr="00BD0F56">
        <w:rPr>
          <w:b/>
          <w:i/>
        </w:rPr>
        <w:tab/>
        <w:t>ESMA je u roku od 90 radnih dana od zaprimanja prijave iz stavka 1. dužna razmotriti prijavu i donijeti odluku kojom prihvaćanje odobrava ili ga odbija.</w:t>
      </w:r>
    </w:p>
    <w:p w:rsidR="007873FC" w:rsidRPr="00BD0F56" w:rsidRDefault="007873FC" w:rsidP="007873FC">
      <w:pPr>
        <w:pStyle w:val="Text1"/>
        <w:tabs>
          <w:tab w:val="left" w:pos="851"/>
        </w:tabs>
        <w:ind w:left="0"/>
        <w:rPr>
          <w:b/>
          <w:i/>
          <w:noProof/>
        </w:rPr>
      </w:pPr>
      <w:r w:rsidRPr="00BD0F56">
        <w:rPr>
          <w:b/>
          <w:i/>
        </w:rPr>
        <w:t>(15c)</w:t>
      </w:r>
      <w:r w:rsidRPr="00BD0F56">
        <w:rPr>
          <w:b/>
          <w:i/>
        </w:rPr>
        <w:tab/>
      </w:r>
      <w:r w:rsidRPr="00BD0F56">
        <w:rPr>
          <w:b/>
          <w:i/>
        </w:rPr>
        <w:tab/>
        <w:t>Članak 33. stavak 6. mijenja se kako slijedi:</w:t>
      </w:r>
    </w:p>
    <w:p w:rsidR="007873FC" w:rsidRPr="00BD0F56" w:rsidRDefault="007873FC" w:rsidP="007873FC">
      <w:pPr>
        <w:pStyle w:val="Text1"/>
        <w:ind w:left="1985" w:hanging="425"/>
        <w:rPr>
          <w:b/>
          <w:i/>
        </w:rPr>
      </w:pPr>
      <w:r w:rsidRPr="00BD0F56">
        <w:rPr>
          <w:b/>
          <w:i/>
        </w:rPr>
        <w:t>6.   Kada nadležno tijelo administratora koji je donio odluku o prihvaćanju zbog opravdanih razloga smatra da uvjeti utvrđeni u stavku 1. ovog članka više nisu ispunjeni, ima ovlasti zahtijevati od administratora koji je donio odluku o prihvaćanju da prestane s prihvaćanjem i o tome obavještava ESMA-u. U slučaju prestanka prihvaćanja primjenjuje se članak 28.</w:t>
      </w:r>
    </w:p>
    <w:p w:rsidR="007873FC" w:rsidRPr="00BD0F56" w:rsidRDefault="007873FC" w:rsidP="007873FC">
      <w:pPr>
        <w:pStyle w:val="Point0"/>
        <w:rPr>
          <w:noProof/>
        </w:rPr>
      </w:pPr>
      <w:r w:rsidRPr="00BD0F56">
        <w:t>(16)</w:t>
      </w:r>
      <w:r w:rsidRPr="00BD0F56">
        <w:tab/>
        <w:t xml:space="preserve">Članak 34. mijenja se kako slijedi: </w:t>
      </w:r>
    </w:p>
    <w:p w:rsidR="007873FC" w:rsidRPr="00BD0F56" w:rsidRDefault="007873FC" w:rsidP="007873FC">
      <w:pPr>
        <w:pStyle w:val="Point1"/>
        <w:rPr>
          <w:noProof/>
        </w:rPr>
      </w:pPr>
      <w:r w:rsidRPr="00BD0F56">
        <w:t>(a)</w:t>
      </w:r>
      <w:r w:rsidRPr="00BD0F56">
        <w:tab/>
        <w:t>stavak 1. zamjenjuje se sljedećim:</w:t>
      </w:r>
    </w:p>
    <w:p w:rsidR="007873FC" w:rsidRPr="00BD0F56" w:rsidRDefault="007873FC" w:rsidP="007873FC">
      <w:pPr>
        <w:pStyle w:val="Text1"/>
        <w:tabs>
          <w:tab w:val="left" w:pos="1134"/>
        </w:tabs>
        <w:ind w:left="1134" w:hanging="567"/>
        <w:rPr>
          <w:noProof/>
        </w:rPr>
      </w:pPr>
      <w:r w:rsidRPr="00BD0F56">
        <w:tab/>
        <w:t>„1.</w:t>
      </w:r>
      <w:r w:rsidRPr="00BD0F56">
        <w:tab/>
        <w:t>Fizička ili pravna osoba smještena u Uniji koja djeluje ili namjerava djelovati kao administrator podnosi zahtjev nadležnom tijelu navedenom u članku 40. države članice u kojoj je ta osoba smještena</w:t>
      </w:r>
      <w:r w:rsidRPr="00BD0F56">
        <w:rPr>
          <w:b/>
          <w:bCs/>
          <w:i/>
          <w:iCs/>
        </w:rPr>
        <w:t xml:space="preserve"> ili ESMA-i</w:t>
      </w:r>
      <w:r w:rsidRPr="00BD0F56">
        <w:t xml:space="preserve"> kako bi dobila:</w:t>
      </w:r>
    </w:p>
    <w:p w:rsidR="007873FC" w:rsidRPr="00BD0F56" w:rsidRDefault="007873FC" w:rsidP="007873FC">
      <w:pPr>
        <w:pStyle w:val="Point2"/>
        <w:rPr>
          <w:noProof/>
        </w:rPr>
      </w:pPr>
      <w:r w:rsidRPr="00BD0F56">
        <w:t>(a)</w:t>
      </w:r>
      <w:r w:rsidRPr="00BD0F56">
        <w:tab/>
        <w:t>odobrenje, ako pruža ili namjerava pružati indekse koji se upotrebljavaju ili ih se namjerava upotrebljavati kao ključne referentne vrijednosti, značajne referentne vrijednosti</w:t>
      </w:r>
      <w:r w:rsidRPr="00BD0F56">
        <w:rPr>
          <w:b/>
          <w:bCs/>
          <w:i/>
          <w:iCs/>
        </w:rPr>
        <w:t>, robne referentne vrijednosti koje podliježu Prilogu II.</w:t>
      </w:r>
      <w:r w:rsidRPr="00BD0F56">
        <w:t>, referentne vrijednosti EU-a za klimatsku tranziciju, referentne vrijednosti EU-a usklađene s Pariškim sporazumom;</w:t>
      </w:r>
    </w:p>
    <w:p w:rsidR="007873FC" w:rsidRPr="00BD0F56" w:rsidRDefault="007873FC" w:rsidP="007873FC">
      <w:pPr>
        <w:pStyle w:val="Point2"/>
        <w:rPr>
          <w:noProof/>
        </w:rPr>
      </w:pPr>
      <w:r w:rsidRPr="00BD0F56">
        <w:t>(b)</w:t>
      </w:r>
      <w:r w:rsidRPr="00BD0F56">
        <w:tab/>
        <w:t>registraciju, ako je ta osoba nadzirani subjekt, koji nije administrator, a koji pruža ili namjerava pružati indekse koji se upotrebljavaju ili se namjeravaju upotrebljavati kao značajne referentne vrijednosti, referentne vrijednosti EU-a za klimatsku tranziciju ili referentne vrijednosti EU-a usklađene s Pariškim sporazumom, pod uvjetom da djelatnost pružanja referentne vrijednosti nije spriječena sektorskim propisima koji se primjenjuju na nadzirani subjekt te da se nijedan pruženi indeks ne bi smatrao ključnom referentnom vrijednošću.”;</w:t>
      </w:r>
    </w:p>
    <w:p w:rsidR="007873FC" w:rsidRPr="00BD0F56" w:rsidRDefault="007873FC" w:rsidP="007873FC">
      <w:pPr>
        <w:pStyle w:val="Point1"/>
        <w:rPr>
          <w:b/>
          <w:i/>
        </w:rPr>
      </w:pPr>
      <w:r w:rsidRPr="00BD0F56">
        <w:rPr>
          <w:b/>
          <w:i/>
        </w:rPr>
        <w:t>(</w:t>
      </w:r>
      <w:proofErr w:type="spellStart"/>
      <w:r w:rsidRPr="00BD0F56">
        <w:rPr>
          <w:b/>
          <w:i/>
        </w:rPr>
        <w:t>aa</w:t>
      </w:r>
      <w:proofErr w:type="spellEnd"/>
      <w:r w:rsidRPr="00BD0F56">
        <w:rPr>
          <w:b/>
          <w:i/>
        </w:rPr>
        <w:t>)</w:t>
      </w:r>
      <w:r w:rsidRPr="00BD0F56">
        <w:rPr>
          <w:b/>
          <w:i/>
        </w:rPr>
        <w:tab/>
        <w:t>Članak 34. stavak 1.a mijenja se kako slijedi:</w:t>
      </w:r>
    </w:p>
    <w:p w:rsidR="007873FC" w:rsidRPr="00BD0F56" w:rsidRDefault="007873FC" w:rsidP="007873FC">
      <w:pPr>
        <w:pStyle w:val="Point2"/>
        <w:ind w:left="1134" w:firstLine="0"/>
        <w:rPr>
          <w:b/>
          <w:i/>
          <w:noProof/>
        </w:rPr>
      </w:pPr>
      <w:r w:rsidRPr="00BD0F56">
        <w:rPr>
          <w:b/>
          <w:i/>
        </w:rPr>
        <w:t>1a. Ako se jedan ili više indeksa koje je pružila osoba iz stavka 1. može smatrati ključnim referentnim vrijednostima kako je navedeno u članku 20. stavku 1. točkama (a) i (c) ili značajnim referentnim vrijednostima kako je navedeno u članku 24. stavcima 2., 5. i 6. ili ako osoba planira prihvatiti referentne vrijednosti kako je navedeno u članku 33., prijava se šalje ESMA-i.</w:t>
      </w:r>
    </w:p>
    <w:p w:rsidR="007873FC" w:rsidRPr="00BD0F56" w:rsidRDefault="007873FC" w:rsidP="007873FC">
      <w:pPr>
        <w:pStyle w:val="Point1"/>
        <w:jc w:val="left"/>
        <w:rPr>
          <w:noProof/>
        </w:rPr>
      </w:pPr>
      <w:r w:rsidRPr="00BD0F56">
        <w:t>(b)</w:t>
      </w:r>
      <w:r w:rsidRPr="00BD0F56">
        <w:tab/>
        <w:t>stavak 3. zamjenjuje se sljedećim:</w:t>
      </w:r>
    </w:p>
    <w:p w:rsidR="007873FC" w:rsidRPr="00BD0F56" w:rsidRDefault="007873FC" w:rsidP="007873FC">
      <w:pPr>
        <w:ind w:left="1134"/>
        <w:jc w:val="both"/>
        <w:rPr>
          <w:noProof/>
        </w:rPr>
      </w:pPr>
      <w:r w:rsidRPr="00BD0F56">
        <w:t xml:space="preserve">„3. Zahtjev iz stavka 1. podnosi se u roku od 30 radnih dana od kad se nadzirani subjekt suglasi da će se indeks koji pruža podnositelj zahtjeva upotrebljavati kao </w:t>
      </w:r>
      <w:r w:rsidRPr="00BD0F56">
        <w:lastRenderedPageBreak/>
        <w:t xml:space="preserve">referenca </w:t>
      </w:r>
      <w:r w:rsidRPr="00BD0F56">
        <w:rPr>
          <w:b/>
          <w:bCs/>
          <w:i/>
          <w:iCs/>
        </w:rPr>
        <w:t>u financijskom instrumentu</w:t>
      </w:r>
      <w:r w:rsidRPr="00BD0F56">
        <w:t xml:space="preserve"> ili </w:t>
      </w:r>
      <w:r w:rsidRPr="00BD0F56">
        <w:rPr>
          <w:b/>
          <w:bCs/>
          <w:i/>
          <w:iCs/>
        </w:rPr>
        <w:t>financijskom ugovoru</w:t>
      </w:r>
      <w:r w:rsidRPr="00BD0F56">
        <w:t xml:space="preserve"> ili za mjerenje uspješnosti investicijskog fonda ili u rokovima utvrđenima u članku 24.a stavcima 2. i 3., ovisno o tome što je primjenjivo.”;</w:t>
      </w:r>
    </w:p>
    <w:p w:rsidR="007873FC" w:rsidRPr="00BD0F56" w:rsidRDefault="007873FC" w:rsidP="007873FC">
      <w:pPr>
        <w:ind w:left="1134"/>
        <w:rPr>
          <w:noProof/>
        </w:rPr>
      </w:pPr>
    </w:p>
    <w:p w:rsidR="007873FC" w:rsidRPr="00BD0F56" w:rsidRDefault="007873FC" w:rsidP="007873FC">
      <w:pPr>
        <w:rPr>
          <w:b/>
          <w:i/>
          <w:noProof/>
        </w:rPr>
      </w:pPr>
      <w:r w:rsidRPr="00BD0F56">
        <w:rPr>
          <w:b/>
          <w:i/>
        </w:rPr>
        <w:t>(16a)</w:t>
      </w:r>
      <w:r w:rsidRPr="00BD0F56">
        <w:rPr>
          <w:b/>
          <w:i/>
        </w:rPr>
        <w:tab/>
        <w:t xml:space="preserve"> u članku 36. stavku 1. točke od (a) do (d) zamjenjuju se sljedećim:</w:t>
      </w:r>
    </w:p>
    <w:p w:rsidR="007873FC" w:rsidRPr="00BD0F56" w:rsidRDefault="007873FC" w:rsidP="007873FC">
      <w:pPr>
        <w:ind w:left="1080" w:hanging="360"/>
        <w:rPr>
          <w:rFonts w:eastAsiaTheme="minorHAnsi"/>
          <w:b/>
          <w:i/>
          <w:noProof/>
        </w:rPr>
      </w:pPr>
      <w:r w:rsidRPr="00BD0F56">
        <w:t>„</w:t>
      </w:r>
      <w:r w:rsidRPr="00BD0F56">
        <w:rPr>
          <w:b/>
          <w:i/>
        </w:rPr>
        <w:t>1.</w:t>
      </w:r>
      <w:r w:rsidRPr="00BD0F56">
        <w:rPr>
          <w:b/>
          <w:i/>
        </w:rPr>
        <w:tab/>
        <w:t>ESMA sastavlja i održava javni registar u kojemu su sadržane sljedeće informacije:</w:t>
      </w:r>
    </w:p>
    <w:p w:rsidR="007873FC" w:rsidRPr="00BD0F56" w:rsidRDefault="007873FC" w:rsidP="007873FC">
      <w:pPr>
        <w:ind w:left="720"/>
        <w:rPr>
          <w:b/>
          <w:i/>
          <w:noProof/>
        </w:rPr>
      </w:pPr>
    </w:p>
    <w:p w:rsidR="007873FC" w:rsidRPr="00BD0F56" w:rsidRDefault="007873FC" w:rsidP="007873FC">
      <w:pPr>
        <w:ind w:left="851"/>
        <w:jc w:val="both"/>
        <w:rPr>
          <w:b/>
          <w:i/>
          <w:noProof/>
        </w:rPr>
      </w:pPr>
      <w:r w:rsidRPr="00BD0F56">
        <w:rPr>
          <w:b/>
          <w:i/>
        </w:rPr>
        <w:t>(a) identiteti, uključujući, ako je dostupna, identifikacijsku oznaku pravne osobe, odobrenih ili registriranih administratora u skladu s člankom 34. kao i nadležnih tijela odgovornih za nadzor nad njima;</w:t>
      </w:r>
    </w:p>
    <w:p w:rsidR="007873FC" w:rsidRPr="00BD0F56" w:rsidRDefault="007873FC" w:rsidP="007873FC">
      <w:pPr>
        <w:ind w:left="720"/>
        <w:jc w:val="both"/>
        <w:rPr>
          <w:noProof/>
        </w:rPr>
      </w:pPr>
    </w:p>
    <w:p w:rsidR="007873FC" w:rsidRPr="00BD0F56" w:rsidRDefault="007873FC" w:rsidP="007873FC">
      <w:pPr>
        <w:ind w:left="851"/>
        <w:jc w:val="both"/>
        <w:rPr>
          <w:b/>
          <w:i/>
          <w:noProof/>
        </w:rPr>
      </w:pPr>
      <w:r w:rsidRPr="00BD0F56">
        <w:rPr>
          <w:b/>
          <w:i/>
        </w:rPr>
        <w:t>(b) identiteti, uključujući, ako je dostupna, identifikacijsku oznaku pravne osobe, administratora koji ispunjavaju uvjete utvrđene u članku 30. stavku 1., popis referentnih vrijednosti, uključujući, ako su dostupni, njihove međunarodne identifikacijske brojeve vrijednosnih papira, iz članka 30. stavka 1. točke (c) i nadležna tijela u trećim zemljama koja su odgovorna za nadzor nad njima;</w:t>
      </w:r>
    </w:p>
    <w:p w:rsidR="007873FC" w:rsidRPr="00BD0F56" w:rsidRDefault="007873FC" w:rsidP="007873FC">
      <w:pPr>
        <w:ind w:left="720"/>
        <w:jc w:val="both"/>
        <w:rPr>
          <w:noProof/>
        </w:rPr>
      </w:pPr>
    </w:p>
    <w:p w:rsidR="007873FC" w:rsidRPr="00BD0F56" w:rsidRDefault="007873FC" w:rsidP="007873FC">
      <w:pPr>
        <w:ind w:left="851"/>
        <w:jc w:val="both"/>
        <w:rPr>
          <w:b/>
          <w:i/>
          <w:noProof/>
        </w:rPr>
      </w:pPr>
      <w:r w:rsidRPr="00BD0F56">
        <w:rPr>
          <w:b/>
          <w:i/>
        </w:rPr>
        <w:t>(c) identiteti, uključujući, ako je dostupna, identifikacijsku oznaku pravne osobe, administratora koji su priznati u skladu s člankom 32., popis referentnih vrijednosti, uključujući, ako su dostupni, njihove međunarodne identifikacijske brojeve vrijednosnih papira, navedenih u članku 32. stavku 7. i, ako je primjenjivo, nadležna tijela u trećim zemljama koja su odgovorna za nadzor nad njima;”</w:t>
      </w:r>
    </w:p>
    <w:p w:rsidR="007873FC" w:rsidRPr="00BD0F56" w:rsidRDefault="007873FC" w:rsidP="007873FC">
      <w:pPr>
        <w:ind w:left="720"/>
        <w:rPr>
          <w:noProof/>
        </w:rPr>
      </w:pPr>
    </w:p>
    <w:p w:rsidR="007873FC" w:rsidRPr="00BD0F56" w:rsidRDefault="007873FC" w:rsidP="007873FC">
      <w:pPr>
        <w:ind w:left="850"/>
        <w:jc w:val="both"/>
        <w:rPr>
          <w:b/>
          <w:i/>
          <w:noProof/>
        </w:rPr>
      </w:pPr>
      <w:r w:rsidRPr="00BD0F56">
        <w:rPr>
          <w:b/>
          <w:i/>
        </w:rPr>
        <w:t xml:space="preserve">(d) </w:t>
      </w:r>
      <w:r w:rsidRPr="00BD0F56">
        <w:rPr>
          <w:b/>
          <w:bCs/>
          <w:i/>
          <w:iCs/>
        </w:rPr>
        <w:t>referentne vrijednosti prihvaćene u skladu s postupkom utvrđenim u članku 33., identiteti njihovih administratora, i identiteti administratora ili nadziranih subjekata koji su ih prihvatili.”</w:t>
      </w:r>
      <w:r w:rsidRPr="00BD0F56">
        <w:t>;</w:t>
      </w:r>
    </w:p>
    <w:p w:rsidR="007873FC" w:rsidRPr="00BD0F56" w:rsidRDefault="007873FC" w:rsidP="007873FC">
      <w:pPr>
        <w:ind w:left="1134"/>
        <w:rPr>
          <w:noProof/>
        </w:rPr>
      </w:pPr>
    </w:p>
    <w:p w:rsidR="007873FC" w:rsidRPr="00BD0F56" w:rsidRDefault="007873FC" w:rsidP="007873FC">
      <w:pPr>
        <w:pStyle w:val="Point0"/>
        <w:rPr>
          <w:noProof/>
        </w:rPr>
      </w:pPr>
      <w:r w:rsidRPr="00BD0F56">
        <w:t>(17)</w:t>
      </w:r>
      <w:r w:rsidRPr="00BD0F56">
        <w:tab/>
        <w:t>U članku 36. stavku 1.</w:t>
      </w:r>
      <w:r w:rsidRPr="00BD0F56">
        <w:rPr>
          <w:b/>
          <w:bCs/>
          <w:i/>
          <w:iCs/>
        </w:rPr>
        <w:t>:</w:t>
      </w:r>
      <w:r w:rsidRPr="00BD0F56">
        <w:t xml:space="preserve"> </w:t>
      </w:r>
    </w:p>
    <w:p w:rsidR="007873FC" w:rsidRPr="00BD0F56" w:rsidRDefault="007873FC" w:rsidP="007873FC">
      <w:pPr>
        <w:pStyle w:val="Point0"/>
        <w:rPr>
          <w:noProof/>
        </w:rPr>
      </w:pPr>
      <w:r w:rsidRPr="00C011DD">
        <w:rPr>
          <w:b/>
          <w:i/>
        </w:rPr>
        <w:t>(a)</w:t>
      </w:r>
      <w:r w:rsidRPr="00BD0F56">
        <w:t xml:space="preserve"> </w:t>
      </w:r>
      <w:r w:rsidRPr="00BD0F56">
        <w:rPr>
          <w:b/>
          <w:bCs/>
          <w:i/>
          <w:iCs/>
        </w:rPr>
        <w:t>mijenjaju</w:t>
      </w:r>
      <w:r w:rsidRPr="00BD0F56">
        <w:t xml:space="preserve"> se sljedeće točke od (e) do (j): </w:t>
      </w:r>
    </w:p>
    <w:p w:rsidR="007873FC" w:rsidRPr="00BD0F56" w:rsidRDefault="007873FC" w:rsidP="007873FC">
      <w:pPr>
        <w:pStyle w:val="Text1"/>
        <w:ind w:left="1134" w:hanging="567"/>
        <w:rPr>
          <w:noProof/>
        </w:rPr>
      </w:pPr>
      <w:r w:rsidRPr="00BD0F56">
        <w:t>„(e)</w:t>
      </w:r>
      <w:r w:rsidRPr="00BD0F56">
        <w:tab/>
        <w:t>referentne vrijednosti koje su predmet izjave koju objavljuju ESMA ili nadležno tijelo u skladu s člankom 24. stavkom 2.</w:t>
      </w:r>
      <w:r w:rsidRPr="00BD0F56">
        <w:rPr>
          <w:b/>
          <w:bCs/>
          <w:i/>
          <w:iCs/>
        </w:rPr>
        <w:t>, uključujući, ako su dostupni, njihove međunarodne identifikacijske brojeve vrijednosnih papira,</w:t>
      </w:r>
      <w:r w:rsidRPr="00BD0F56">
        <w:t xml:space="preserve"> i poveznice na te izjave;</w:t>
      </w:r>
    </w:p>
    <w:p w:rsidR="007873FC" w:rsidRPr="00BD0F56" w:rsidRDefault="007873FC" w:rsidP="007873FC">
      <w:pPr>
        <w:pStyle w:val="Text1"/>
        <w:ind w:left="1134" w:hanging="567"/>
        <w:rPr>
          <w:noProof/>
        </w:rPr>
      </w:pPr>
      <w:r w:rsidRPr="00BD0F56">
        <w:t>(f)</w:t>
      </w:r>
      <w:r w:rsidRPr="00BD0F56">
        <w:tab/>
        <w:t>referentne vrijednosti koje su nadležna tijela odredila kao značajne i o kojima su obavijestila ESMA-u u skladu s člankom 24. stavkom 4.</w:t>
      </w:r>
      <w:r w:rsidRPr="00BD0F56">
        <w:rPr>
          <w:b/>
          <w:bCs/>
          <w:i/>
          <w:iCs/>
        </w:rPr>
        <w:t>, uključujući, ako su dostupni, njihove međunarodne identifikacijske brojeve vrijednosnih papira,</w:t>
      </w:r>
      <w:r w:rsidRPr="00BD0F56">
        <w:t xml:space="preserve"> i poveznice na ta određivanja;</w:t>
      </w:r>
    </w:p>
    <w:p w:rsidR="007873FC" w:rsidRPr="00BD0F56" w:rsidRDefault="007873FC" w:rsidP="007873FC">
      <w:pPr>
        <w:pStyle w:val="Text1"/>
        <w:ind w:left="1134" w:hanging="567"/>
        <w:rPr>
          <w:noProof/>
        </w:rPr>
      </w:pPr>
      <w:r w:rsidRPr="00BD0F56">
        <w:t>(g)</w:t>
      </w:r>
      <w:r w:rsidRPr="00BD0F56">
        <w:tab/>
        <w:t>referentne vrijednosti koje je ESMA odredila kao značajne,</w:t>
      </w:r>
      <w:r w:rsidRPr="00BD0F56">
        <w:rPr>
          <w:b/>
          <w:bCs/>
          <w:i/>
          <w:iCs/>
        </w:rPr>
        <w:t xml:space="preserve"> uključujući, ako su dostupni, njihove međunarodne identifikacijske brojeve vrijednosnih papira,</w:t>
      </w:r>
      <w:r w:rsidRPr="00BD0F56">
        <w:t xml:space="preserve">  i poveznice na ta određivanja; </w:t>
      </w:r>
    </w:p>
    <w:p w:rsidR="007873FC" w:rsidRPr="00BD0F56" w:rsidRDefault="007873FC" w:rsidP="007873FC">
      <w:pPr>
        <w:pStyle w:val="Text1"/>
        <w:ind w:left="1134" w:hanging="567"/>
        <w:rPr>
          <w:noProof/>
        </w:rPr>
      </w:pPr>
      <w:r w:rsidRPr="00BD0F56">
        <w:t>(h)</w:t>
      </w:r>
      <w:r w:rsidRPr="00BD0F56">
        <w:tab/>
        <w:t>referentne vrijednosti koje su predmet javnih obavijesti koje izdaju ESMA i nadležna tijela u skladu s člankom 24.a stavkom 5.</w:t>
      </w:r>
      <w:r w:rsidRPr="00BD0F56">
        <w:rPr>
          <w:b/>
          <w:bCs/>
          <w:i/>
          <w:iCs/>
        </w:rPr>
        <w:t>, uključujući, ako su dostupni, njihove međunarodne identifikacijske brojeve vrijednosnih papira,</w:t>
      </w:r>
      <w:r w:rsidRPr="00BD0F56">
        <w:t xml:space="preserve"> i poveznice na te javne obavijesti;</w:t>
      </w:r>
    </w:p>
    <w:p w:rsidR="007873FC" w:rsidRPr="00BD0F56" w:rsidRDefault="007873FC" w:rsidP="007873FC">
      <w:pPr>
        <w:pStyle w:val="Text1"/>
        <w:ind w:left="1134" w:hanging="567"/>
        <w:rPr>
          <w:noProof/>
        </w:rPr>
      </w:pPr>
      <w:r w:rsidRPr="00BD0F56">
        <w:t>(i)</w:t>
      </w:r>
      <w:r w:rsidRPr="00BD0F56">
        <w:tab/>
        <w:t>popis referentnih vrijednosti EU-a za klimatsku tranziciju i referentnih vrijednosti EU-a usklađenih s Pariškim sporazumom dostupnih za upotrebu u Uniji</w:t>
      </w:r>
      <w:r w:rsidRPr="00BD0F56">
        <w:rPr>
          <w:b/>
          <w:bCs/>
          <w:i/>
          <w:iCs/>
        </w:rPr>
        <w:t xml:space="preserve">, </w:t>
      </w:r>
      <w:r w:rsidRPr="00BD0F56">
        <w:rPr>
          <w:b/>
          <w:bCs/>
          <w:i/>
          <w:iCs/>
        </w:rPr>
        <w:lastRenderedPageBreak/>
        <w:t>uključujući, ako su dostupni, njihove međunarodne identifikacijske brojeve vrijednosnih papira</w:t>
      </w:r>
      <w:r w:rsidRPr="00BD0F56">
        <w:t xml:space="preserve"> ;</w:t>
      </w:r>
    </w:p>
    <w:p w:rsidR="007873FC" w:rsidRPr="00BD0F56" w:rsidRDefault="007873FC" w:rsidP="007873FC">
      <w:pPr>
        <w:pStyle w:val="Text1"/>
        <w:ind w:left="1134" w:hanging="567"/>
        <w:rPr>
          <w:noProof/>
        </w:rPr>
      </w:pPr>
      <w:r w:rsidRPr="00BD0F56">
        <w:t>(j)</w:t>
      </w:r>
      <w:r w:rsidRPr="00BD0F56">
        <w:tab/>
        <w:t>popis ključnih referentnih vrijednosti</w:t>
      </w:r>
      <w:r w:rsidRPr="00BD0F56">
        <w:rPr>
          <w:b/>
          <w:bCs/>
          <w:i/>
          <w:iCs/>
        </w:rPr>
        <w:t>, uključujući njihove međunarodne identifikacijske brojeve vrijednosnih papira, ako su dostupni”</w:t>
      </w:r>
      <w:r w:rsidRPr="00BD0F56">
        <w:t>;</w:t>
      </w:r>
    </w:p>
    <w:p w:rsidR="007873FC" w:rsidRPr="00C011DD" w:rsidRDefault="007873FC" w:rsidP="007873FC">
      <w:pPr>
        <w:pStyle w:val="Text1"/>
        <w:ind w:left="0"/>
        <w:rPr>
          <w:b/>
          <w:i/>
          <w:noProof/>
        </w:rPr>
      </w:pPr>
      <w:r w:rsidRPr="00C011DD">
        <w:rPr>
          <w:b/>
          <w:i/>
        </w:rPr>
        <w:t>(b) dodaje se točka (ja):</w:t>
      </w:r>
    </w:p>
    <w:p w:rsidR="007873FC" w:rsidRPr="00BD0F56" w:rsidRDefault="007873FC" w:rsidP="007873FC">
      <w:pPr>
        <w:pStyle w:val="Text1"/>
        <w:ind w:left="567" w:hanging="567"/>
        <w:rPr>
          <w:noProof/>
        </w:rPr>
      </w:pPr>
    </w:p>
    <w:p w:rsidR="007873FC" w:rsidRPr="00BD0F56" w:rsidRDefault="007873FC" w:rsidP="007873FC">
      <w:pPr>
        <w:pStyle w:val="Text1"/>
        <w:ind w:left="1134" w:hanging="567"/>
        <w:rPr>
          <w:b/>
          <w:i/>
          <w:noProof/>
        </w:rPr>
      </w:pPr>
      <w:r w:rsidRPr="00BD0F56">
        <w:t>„</w:t>
      </w:r>
      <w:r w:rsidRPr="00BD0F56">
        <w:rPr>
          <w:b/>
          <w:i/>
        </w:rPr>
        <w:t>(ja)</w:t>
      </w:r>
      <w:r w:rsidRPr="00BD0F56">
        <w:rPr>
          <w:b/>
          <w:i/>
        </w:rPr>
        <w:tab/>
      </w:r>
      <w:r w:rsidRPr="00BD0F56">
        <w:rPr>
          <w:b/>
          <w:bCs/>
          <w:i/>
          <w:iCs/>
        </w:rPr>
        <w:t>popis robnih referentnih vrijednosti koje podliježu Prilogu II. dostupnih za upotrebu u Uniji, uključujući njihove  međunarodne identifikacijske brojeve vrijednosnih papira</w:t>
      </w:r>
      <w:r w:rsidRPr="00BD0F56">
        <w:t>.”;</w:t>
      </w:r>
    </w:p>
    <w:p w:rsidR="007873FC" w:rsidRPr="00BD0F56" w:rsidRDefault="007873FC" w:rsidP="007873FC">
      <w:pPr>
        <w:pStyle w:val="Text1"/>
        <w:spacing w:before="0" w:after="0"/>
        <w:ind w:left="0"/>
        <w:rPr>
          <w:b/>
          <w:i/>
          <w:noProof/>
        </w:rPr>
      </w:pPr>
      <w:r w:rsidRPr="00BD0F56">
        <w:rPr>
          <w:b/>
          <w:i/>
        </w:rPr>
        <w:t>(17a)</w:t>
      </w:r>
      <w:r w:rsidRPr="00BD0F56">
        <w:rPr>
          <w:b/>
          <w:i/>
        </w:rPr>
        <w:tab/>
        <w:t>U članku 40. stavak 1. mijenja se kako slijedi:</w:t>
      </w:r>
    </w:p>
    <w:p w:rsidR="007873FC" w:rsidRPr="00BD0F56" w:rsidRDefault="007873FC" w:rsidP="007873FC">
      <w:pPr>
        <w:pStyle w:val="Text1"/>
        <w:spacing w:before="240" w:after="0"/>
        <w:ind w:left="851" w:hanging="284"/>
        <w:rPr>
          <w:b/>
          <w:i/>
          <w:noProof/>
        </w:rPr>
      </w:pPr>
      <w:r w:rsidRPr="00BD0F56">
        <w:t>„1.</w:t>
      </w:r>
      <w:r w:rsidRPr="00BD0F56">
        <w:rPr>
          <w:b/>
          <w:i/>
        </w:rPr>
        <w:t xml:space="preserve"> Za potrebe ove Uredbe ESMA je nadležno tijelo za:</w:t>
      </w:r>
    </w:p>
    <w:p w:rsidR="007873FC" w:rsidRPr="00BD0F56" w:rsidRDefault="007873FC" w:rsidP="007873FC">
      <w:pPr>
        <w:pStyle w:val="Text1"/>
        <w:spacing w:after="0"/>
        <w:ind w:left="567"/>
        <w:rPr>
          <w:b/>
          <w:i/>
          <w:noProof/>
        </w:rPr>
      </w:pPr>
      <w:r w:rsidRPr="00BD0F56">
        <w:rPr>
          <w:b/>
          <w:i/>
        </w:rPr>
        <w:t>(a) administratore ključnih referentnih vrijednosti iz članka 20. stavka 1. točaka (a) i (c);</w:t>
      </w:r>
    </w:p>
    <w:p w:rsidR="007873FC" w:rsidRPr="00BD0F56" w:rsidRDefault="007873FC" w:rsidP="007873FC">
      <w:pPr>
        <w:pStyle w:val="Text1"/>
        <w:spacing w:after="0"/>
        <w:ind w:left="131" w:firstLine="436"/>
        <w:rPr>
          <w:b/>
          <w:i/>
          <w:noProof/>
        </w:rPr>
      </w:pPr>
      <w:r w:rsidRPr="00BD0F56">
        <w:rPr>
          <w:b/>
          <w:i/>
        </w:rPr>
        <w:t>(b) administratore referentnih vrijednosti iz članka 32.;</w:t>
      </w:r>
    </w:p>
    <w:p w:rsidR="007873FC" w:rsidRPr="00BD0F56" w:rsidRDefault="007873FC" w:rsidP="007873FC">
      <w:pPr>
        <w:pStyle w:val="Text1"/>
        <w:spacing w:after="0"/>
        <w:ind w:left="567"/>
        <w:rPr>
          <w:b/>
          <w:i/>
          <w:noProof/>
        </w:rPr>
      </w:pPr>
      <w:r w:rsidRPr="00BD0F56">
        <w:rPr>
          <w:b/>
          <w:i/>
        </w:rPr>
        <w:t>(c) administratore referentnih vrijednosti koje su značajne unutar Unije kako je navedeno u članku 24. stavcima 2., 5. i 6.;</w:t>
      </w:r>
    </w:p>
    <w:p w:rsidR="007873FC" w:rsidRPr="00BD0F56" w:rsidRDefault="007873FC" w:rsidP="007873FC">
      <w:pPr>
        <w:pStyle w:val="Text1"/>
        <w:spacing w:after="0"/>
        <w:ind w:left="567"/>
        <w:rPr>
          <w:b/>
          <w:i/>
          <w:noProof/>
        </w:rPr>
      </w:pPr>
      <w:r w:rsidRPr="00BD0F56">
        <w:rPr>
          <w:b/>
          <w:i/>
        </w:rPr>
        <w:t>(d) administratore koji prihvaćaju referentne vrijednosti pružene u trećoj zemlji u skladu s člankom 33.;</w:t>
      </w:r>
    </w:p>
    <w:p w:rsidR="007873FC" w:rsidRPr="00BD0F56" w:rsidRDefault="007873FC" w:rsidP="007873FC">
      <w:pPr>
        <w:pStyle w:val="Text1"/>
        <w:spacing w:after="0"/>
        <w:ind w:left="567"/>
        <w:rPr>
          <w:b/>
          <w:i/>
          <w:noProof/>
        </w:rPr>
      </w:pPr>
      <w:r w:rsidRPr="00BD0F56">
        <w:rPr>
          <w:b/>
          <w:i/>
        </w:rPr>
        <w:t xml:space="preserve">(e) </w:t>
      </w:r>
      <w:r w:rsidRPr="00BD0F56">
        <w:rPr>
          <w:b/>
          <w:bCs/>
          <w:i/>
          <w:iCs/>
        </w:rPr>
        <w:t>administratore referentnih vrijednosti EU-a za klimatsku tranziciju i referentnih vrijednosti EU-a usklađenih s Pariškim sporazumom kako je navedeno u članku 3. stavcima 23.a i 23.b.”</w:t>
      </w:r>
      <w:r w:rsidRPr="00BD0F56">
        <w:t>;</w:t>
      </w:r>
    </w:p>
    <w:p w:rsidR="007873FC" w:rsidRPr="00BD0F56" w:rsidRDefault="007873FC" w:rsidP="007873FC">
      <w:pPr>
        <w:pStyle w:val="Text1"/>
        <w:ind w:left="1134" w:hanging="567"/>
        <w:rPr>
          <w:b/>
          <w:i/>
          <w:noProof/>
        </w:rPr>
      </w:pPr>
    </w:p>
    <w:p w:rsidR="007873FC" w:rsidRPr="00BD0F56" w:rsidRDefault="007873FC" w:rsidP="007873FC">
      <w:pPr>
        <w:pStyle w:val="Point0"/>
        <w:rPr>
          <w:noProof/>
        </w:rPr>
      </w:pPr>
      <w:r w:rsidRPr="00BD0F56">
        <w:t>(18)</w:t>
      </w:r>
      <w:r w:rsidRPr="00BD0F56">
        <w:tab/>
        <w:t xml:space="preserve">u članku 41. stavku 1. dodaju se sljedeće točke (k) i (l): </w:t>
      </w:r>
    </w:p>
    <w:p w:rsidR="007873FC" w:rsidRPr="00BD0F56" w:rsidRDefault="007873FC" w:rsidP="007873FC">
      <w:pPr>
        <w:pStyle w:val="Text1"/>
        <w:ind w:left="1134" w:hanging="567"/>
        <w:rPr>
          <w:noProof/>
        </w:rPr>
      </w:pPr>
      <w:r w:rsidRPr="00BD0F56">
        <w:t>„(k)</w:t>
      </w:r>
      <w:r w:rsidRPr="00BD0F56">
        <w:tab/>
        <w:t xml:space="preserve">određuju referentnu vrijednost kao značajnu u skladu s člankom 24. stavkom 3.; </w:t>
      </w:r>
    </w:p>
    <w:p w:rsidR="007873FC" w:rsidRPr="00BD0F56" w:rsidRDefault="007873FC" w:rsidP="007873FC">
      <w:pPr>
        <w:pStyle w:val="Text1"/>
        <w:ind w:left="1134" w:hanging="567"/>
        <w:rPr>
          <w:noProof/>
        </w:rPr>
      </w:pPr>
      <w:r w:rsidRPr="00BD0F56">
        <w:t>(l)</w:t>
      </w:r>
      <w:r w:rsidRPr="00BD0F56">
        <w:tab/>
        <w:t xml:space="preserve">ako postoje opravdani razlozi za sumnju na kršenje bilo kojeg zahtjeva iz poglavlja 3.a, zahtijevaju da administrator na razdoblje od najviše 12 mjeseci prestane: </w:t>
      </w:r>
    </w:p>
    <w:p w:rsidR="007873FC" w:rsidRPr="00BD0F56" w:rsidRDefault="007873FC" w:rsidP="007873FC">
      <w:pPr>
        <w:pStyle w:val="Text1"/>
        <w:ind w:left="2160" w:hanging="1026"/>
        <w:rPr>
          <w:noProof/>
        </w:rPr>
      </w:pPr>
      <w:r w:rsidRPr="00BD0F56">
        <w:t>i.</w:t>
      </w:r>
      <w:r w:rsidRPr="00BD0F56">
        <w:tab/>
        <w:t xml:space="preserve">pružati referentne vrijednosti EU-a za klimatsku tranziciju ili referentne vrijednosti EU-a usklađene s Pariškim sporazumom; </w:t>
      </w:r>
    </w:p>
    <w:p w:rsidR="007873FC" w:rsidRPr="00BD0F56" w:rsidRDefault="007873FC" w:rsidP="007873FC">
      <w:pPr>
        <w:pStyle w:val="Text1"/>
        <w:ind w:left="2160" w:hanging="1026"/>
        <w:rPr>
          <w:noProof/>
        </w:rPr>
      </w:pPr>
      <w:r w:rsidRPr="00BD0F56">
        <w:t>ii.</w:t>
      </w:r>
      <w:r w:rsidRPr="00BD0F56">
        <w:tab/>
        <w:t>upućivati na referentne vrijednosti EU-a za klimatsku tranziciju ili referentne vrijednosti EU-a usklađene s Pariškim sporazumom u nazivu referentnih vrijednosti koje stavlja na raspolaganje za upotrebu u Uniji ili u pravnoj dokumentaciji ili dokumentaciji za stavljanje na tržište za te referentne vrijednosti;</w:t>
      </w:r>
    </w:p>
    <w:p w:rsidR="007873FC" w:rsidRPr="00BD0F56" w:rsidRDefault="007873FC" w:rsidP="007873FC">
      <w:pPr>
        <w:pStyle w:val="Text1"/>
        <w:ind w:left="2160" w:hanging="1026"/>
        <w:rPr>
          <w:noProof/>
        </w:rPr>
      </w:pPr>
      <w:r w:rsidRPr="00BD0F56">
        <w:t>iii.</w:t>
      </w:r>
      <w:r w:rsidRPr="00BD0F56">
        <w:tab/>
        <w:t>upućivati na usklađenost sa zahtjevima koji se primjenjuju na pružanje takvih referentnih vrijednosti u nazivu referentnih vrijednosti koje stavlja na raspolaganje za upotrebu u Uniji ili u pravnoj dokumentaciji ili dokumentaciji za stavljanje na tržište za te referentne vrijednosti.”;</w:t>
      </w:r>
    </w:p>
    <w:p w:rsidR="007873FC" w:rsidRPr="00BD0F56" w:rsidRDefault="007873FC" w:rsidP="007873FC">
      <w:pPr>
        <w:pStyle w:val="Point0"/>
        <w:rPr>
          <w:noProof/>
        </w:rPr>
      </w:pPr>
      <w:r w:rsidRPr="00BD0F56">
        <w:t>(19)</w:t>
      </w:r>
      <w:r w:rsidRPr="00BD0F56">
        <w:tab/>
        <w:t xml:space="preserve">Članak 42. mijenja se kako slijedi: </w:t>
      </w:r>
    </w:p>
    <w:p w:rsidR="007873FC" w:rsidRPr="00BD0F56" w:rsidRDefault="007873FC" w:rsidP="007873FC">
      <w:pPr>
        <w:pStyle w:val="Point1"/>
        <w:rPr>
          <w:noProof/>
        </w:rPr>
      </w:pPr>
      <w:r w:rsidRPr="00BD0F56">
        <w:t>(a)</w:t>
      </w:r>
      <w:r w:rsidRPr="00BD0F56">
        <w:tab/>
        <w:t>u stavku 1. točka (a) zamjenjuje se sljedećim:</w:t>
      </w:r>
    </w:p>
    <w:p w:rsidR="007873FC" w:rsidRPr="00BD0F56" w:rsidRDefault="007873FC" w:rsidP="007873FC">
      <w:pPr>
        <w:ind w:left="1134"/>
        <w:rPr>
          <w:noProof/>
        </w:rPr>
      </w:pPr>
      <w:r w:rsidRPr="00BD0F56">
        <w:t xml:space="preserve">„(a) svako kršenje članaka od 4. do 16., članaka 19.a, 19.b, 19.c i 21., članaka od </w:t>
      </w:r>
      <w:r w:rsidRPr="00BD0F56">
        <w:lastRenderedPageBreak/>
        <w:t>23. do 29. ili članka 34. ako se ti članci primjenjuju; i”;</w:t>
      </w:r>
    </w:p>
    <w:p w:rsidR="007873FC" w:rsidRPr="00BD0F56" w:rsidRDefault="007873FC" w:rsidP="007873FC">
      <w:pPr>
        <w:pStyle w:val="Point1"/>
        <w:rPr>
          <w:noProof/>
        </w:rPr>
      </w:pPr>
      <w:r w:rsidRPr="00BD0F56">
        <w:t>(b)</w:t>
      </w:r>
      <w:r w:rsidRPr="00BD0F56">
        <w:tab/>
        <w:t>stavak 2. mijenja se kako slijedi:</w:t>
      </w:r>
    </w:p>
    <w:p w:rsidR="007873FC" w:rsidRPr="00BD0F56" w:rsidRDefault="007873FC" w:rsidP="007873FC">
      <w:pPr>
        <w:pStyle w:val="Text2"/>
        <w:rPr>
          <w:noProof/>
        </w:rPr>
      </w:pPr>
      <w:r w:rsidRPr="00BD0F56">
        <w:t>i.</w:t>
      </w:r>
      <w:r w:rsidRPr="00BD0F56">
        <w:tab/>
        <w:t xml:space="preserve">u točki (g) </w:t>
      </w:r>
      <w:proofErr w:type="spellStart"/>
      <w:r w:rsidRPr="00BD0F56">
        <w:t>podtočka</w:t>
      </w:r>
      <w:proofErr w:type="spellEnd"/>
      <w:r w:rsidRPr="00BD0F56">
        <w:t> i. zamjenjuje se sljedećim:</w:t>
      </w:r>
    </w:p>
    <w:p w:rsidR="007873FC" w:rsidRPr="00BD0F56" w:rsidRDefault="007873FC" w:rsidP="007873FC">
      <w:pPr>
        <w:pStyle w:val="Text2"/>
        <w:rPr>
          <w:noProof/>
        </w:rPr>
      </w:pPr>
      <w:r w:rsidRPr="00BD0F56">
        <w:t>„i.</w:t>
      </w:r>
      <w:r w:rsidRPr="00BD0F56">
        <w:tab/>
        <w:t>za kršenja članaka od 4. do 10., članka 11. stavka 1. točaka (a), (b), (c) i (e), članka 11. stavaka 2. i 3., članaka od 12. do 16., članka 21., članaka od 23. do 29. i članka 34., 500 000 EUR odnosno, u državama članicama u kojima euro nije službena valuta protuvrijednost u nacionalnoj valuti na dan 31. prosinca 2023.; ili”;</w:t>
      </w:r>
    </w:p>
    <w:p w:rsidR="007873FC" w:rsidRPr="00BD0F56" w:rsidRDefault="007873FC" w:rsidP="007873FC">
      <w:pPr>
        <w:pStyle w:val="Text2"/>
        <w:rPr>
          <w:noProof/>
        </w:rPr>
      </w:pPr>
      <w:r w:rsidRPr="00BD0F56">
        <w:t>ii.</w:t>
      </w:r>
      <w:r w:rsidRPr="00BD0F56">
        <w:tab/>
        <w:t xml:space="preserve">u točki (h) </w:t>
      </w:r>
      <w:proofErr w:type="spellStart"/>
      <w:r w:rsidRPr="00BD0F56">
        <w:t>podtočka</w:t>
      </w:r>
      <w:proofErr w:type="spellEnd"/>
      <w:r w:rsidRPr="00BD0F56">
        <w:t> i. zamjenjuje se sljedećim:</w:t>
      </w:r>
    </w:p>
    <w:p w:rsidR="007873FC" w:rsidRPr="00BD0F56" w:rsidRDefault="007873FC" w:rsidP="007873FC">
      <w:pPr>
        <w:pStyle w:val="Text2"/>
        <w:rPr>
          <w:noProof/>
        </w:rPr>
      </w:pPr>
      <w:r w:rsidRPr="00BD0F56">
        <w:t>„i.</w:t>
      </w:r>
      <w:r w:rsidRPr="00BD0F56">
        <w:tab/>
        <w:t>za kršenja članaka od 4. do 10., članka 11. stavka 1. točaka (a), (b), (c) i (e), članka 11. stavaka 2. i 3., članaka od 12. do 16., članka 21., članaka od 23. do 29. i članka 34., ili 1 000 000 EUR, odnosno, u državama članicama u kojima euro nije službena valuta, protuvrijednost u nacionalnoj valuti na dan 31. prosinca 2023., ili 10 % njezina ukupnog godišnjeg prometa u skladu sa zadnjim dostupnim financijskim izvještajem koji je odobrilo upravljačko tijelo, ovisno o tome koji je iznos veći; ili”;</w:t>
      </w:r>
    </w:p>
    <w:p w:rsidR="007873FC" w:rsidRPr="00BD0F56" w:rsidRDefault="007873FC" w:rsidP="007873FC">
      <w:pPr>
        <w:pStyle w:val="Point0"/>
        <w:rPr>
          <w:b/>
          <w:i/>
        </w:rPr>
      </w:pPr>
      <w:r w:rsidRPr="00BD0F56">
        <w:rPr>
          <w:b/>
          <w:i/>
        </w:rPr>
        <w:t>(19a)</w:t>
      </w:r>
      <w:r w:rsidRPr="00BD0F56">
        <w:rPr>
          <w:b/>
          <w:i/>
        </w:rPr>
        <w:tab/>
        <w:t>U članku 48.e stavku 1. uvodni tekst mijenja se kako slijedi:</w:t>
      </w:r>
    </w:p>
    <w:p w:rsidR="007873FC" w:rsidRPr="00BD0F56" w:rsidRDefault="007873FC" w:rsidP="007873FC">
      <w:pPr>
        <w:pStyle w:val="Point0"/>
        <w:rPr>
          <w:b/>
          <w:i/>
        </w:rPr>
      </w:pPr>
      <w:r w:rsidRPr="00BD0F56">
        <w:rPr>
          <w:b/>
          <w:i/>
        </w:rPr>
        <w:tab/>
      </w:r>
      <w:r w:rsidRPr="00BD0F56">
        <w:t>„</w:t>
      </w:r>
      <w:r w:rsidRPr="00BD0F56">
        <w:rPr>
          <w:b/>
          <w:bCs/>
          <w:i/>
          <w:iCs/>
        </w:rPr>
        <w:t>Ako u skladu s člankom 48.i stavkom 5. utvrdi da je  osoba s namjerom ili iz nehaja počinila jedno ili više od kršenja navedenih u članku 42. stavku 1. točki (a) ili na bilo koji način nije sudjelovala ili surađivala u istrazi ili nadzoru ili zahtjevu iz odjeljka 1. ovog poglavlja, ESMA donosi odluku kojom izriče novčanu kaznu u skladu sa stavkom 2. ovog članka.</w:t>
      </w:r>
      <w:r w:rsidRPr="00BD0F56">
        <w:rPr>
          <w:b/>
          <w:i/>
        </w:rPr>
        <w:t xml:space="preserve"> Smatra se da je povreda počinjena namjerno ako ESMA na temelju objektivnih čimbenika utvrdi da je osoba djelovala s namjerom počinjenja povrede.”</w:t>
      </w:r>
      <w:r w:rsidRPr="00BD0F56">
        <w:t xml:space="preserve"> ;</w:t>
      </w:r>
    </w:p>
    <w:p w:rsidR="007873FC" w:rsidRPr="00BD0F56" w:rsidRDefault="007873FC" w:rsidP="007873FC">
      <w:pPr>
        <w:pStyle w:val="Point0"/>
        <w:rPr>
          <w:b/>
          <w:i/>
        </w:rPr>
      </w:pPr>
      <w:r w:rsidRPr="00BD0F56">
        <w:rPr>
          <w:b/>
          <w:i/>
        </w:rPr>
        <w:t>(19b)</w:t>
      </w:r>
      <w:r w:rsidRPr="00BD0F56">
        <w:rPr>
          <w:b/>
          <w:i/>
        </w:rPr>
        <w:tab/>
        <w:t>U članku 48.f stavku 1. uvodni dio mijenja se kako slijedi:</w:t>
      </w:r>
    </w:p>
    <w:p w:rsidR="007873FC" w:rsidRPr="00BD0F56" w:rsidRDefault="007873FC" w:rsidP="007873FC">
      <w:pPr>
        <w:pStyle w:val="Point0"/>
        <w:rPr>
          <w:b/>
          <w:i/>
        </w:rPr>
      </w:pPr>
      <w:r w:rsidRPr="00BD0F56">
        <w:rPr>
          <w:b/>
          <w:i/>
        </w:rPr>
        <w:tab/>
      </w:r>
      <w:r w:rsidRPr="00BD0F56">
        <w:t>„</w:t>
      </w:r>
      <w:r w:rsidRPr="00BD0F56">
        <w:rPr>
          <w:b/>
          <w:i/>
        </w:rPr>
        <w:t>Ako u skladu s člankom 48.i stavkom 5. utvrdi da je bilo koja osoba s namjerom ili iz nehaja počinila jedno ili više od kršenja navedenih u članku 42. stavku 1. točki (a) ili na bilo koji način nije sudjelovala ili surađivala u istrazi ili nadzoru ili zahtjevu iz odjeljka 1. ovog poglavlja, ESMA donosi odluku kojom izriče novčanu kaznu u skladu sa stavkom 2. ovog članka. Smatra se da je povreda počinjena namjerno ako ESMA na temelju objektivnih čimbenika utvrdi da je osoba djelovala s namjerom počinjenja povrede.”</w:t>
      </w:r>
      <w:r w:rsidRPr="00BD0F56">
        <w:t>;</w:t>
      </w:r>
    </w:p>
    <w:p w:rsidR="007873FC" w:rsidRPr="00BD0F56" w:rsidRDefault="007873FC" w:rsidP="007873FC">
      <w:pPr>
        <w:pStyle w:val="Point0"/>
        <w:rPr>
          <w:b/>
          <w:i/>
        </w:rPr>
      </w:pPr>
      <w:r w:rsidRPr="00BD0F56">
        <w:rPr>
          <w:b/>
          <w:i/>
        </w:rPr>
        <w:t>(19c)</w:t>
      </w:r>
      <w:r w:rsidRPr="00BD0F56">
        <w:rPr>
          <w:b/>
          <w:i/>
        </w:rPr>
        <w:tab/>
        <w:t>U članku 54. dodaje se novi stavak:</w:t>
      </w:r>
    </w:p>
    <w:p w:rsidR="007873FC" w:rsidRPr="00BD0F56" w:rsidRDefault="007873FC" w:rsidP="007873FC">
      <w:pPr>
        <w:pStyle w:val="Point0"/>
        <w:ind w:firstLine="1"/>
        <w:rPr>
          <w:b/>
          <w:i/>
        </w:rPr>
      </w:pPr>
      <w:r w:rsidRPr="00BD0F56">
        <w:t>„</w:t>
      </w:r>
      <w:r w:rsidRPr="00BD0F56">
        <w:rPr>
          <w:b/>
          <w:i/>
        </w:rPr>
        <w:t xml:space="preserve">7.a Komisija do 31. prosinca 2028., nakon savjetovanja s ESMA-om, Europskom parlamentu i Vijeću podnosi izvješće o potrebi za reguliranjem referentnih vrijednosti u kojima se iznose tvrdnje povezane s okolišnim, socijalnim i upravljačkim čimbenicima, povrh referentnih vrijednosti EU-a za klimatsku tranziciju i referentnih vrijednosti EU-a usklađenih s Pariškim sporazumom, uzimajući u obzir položaj i dostupnost okolišnih, socijalnih i upravljačkih referentnih vrijednosti na europskim i globalnim tržištima i njihovu tržišnu prihvaćenost, u kojem se analizira bi li se one smatrale značajnim referentnim vrijednostima te proučavaju troškovi i učinci na dostupnost na tržištu i promjenjivu prirodu pokazatelja održivosti i metoda koje se upotrebljavaju za njihovo mjerenje. U izvješću se uzima u obzir i potreba za dosljednošću i usklađenošću s drugim pravom Unije, posebno s Uredbom (EU) 2019/2088, Direktivom 2011/61/EU i </w:t>
      </w:r>
      <w:r w:rsidRPr="00BD0F56">
        <w:rPr>
          <w:b/>
          <w:i/>
        </w:rPr>
        <w:lastRenderedPageBreak/>
        <w:t xml:space="preserve">Direktivom 2009/65/EZ te smjernicama ESMA-e o nazivima fondova koji upotrebljavaju okolišne, socijalne i upravljačke uvjete ili uvjete povezane s održivošću. </w:t>
      </w:r>
      <w:r w:rsidRPr="00BD0F56">
        <w:rPr>
          <w:b/>
          <w:bCs/>
          <w:i/>
          <w:iCs/>
        </w:rPr>
        <w:t>Tom se izvješću prilaže procjena učinka, a prema potrebi i zakonodavni prijedlog.”</w:t>
      </w:r>
      <w:r w:rsidRPr="00BD0F56">
        <w:t>;</w:t>
      </w:r>
    </w:p>
    <w:p w:rsidR="007873FC" w:rsidRPr="00BD0F56" w:rsidRDefault="007873FC" w:rsidP="007873FC">
      <w:pPr>
        <w:pStyle w:val="Text2"/>
        <w:rPr>
          <w:noProof/>
        </w:rPr>
      </w:pPr>
    </w:p>
    <w:p w:rsidR="007873FC" w:rsidRPr="00BD0F56" w:rsidRDefault="007873FC" w:rsidP="007873FC">
      <w:pPr>
        <w:pStyle w:val="Point0"/>
        <w:rPr>
          <w:noProof/>
        </w:rPr>
      </w:pPr>
      <w:r w:rsidRPr="00BD0F56">
        <w:t>(20)</w:t>
      </w:r>
      <w:r w:rsidRPr="00BD0F56">
        <w:tab/>
        <w:t>Članak 49. mijenja se kako slijedi:</w:t>
      </w:r>
    </w:p>
    <w:p w:rsidR="007873FC" w:rsidRPr="00BD0F56" w:rsidRDefault="007873FC" w:rsidP="007873FC">
      <w:pPr>
        <w:pStyle w:val="Point1"/>
        <w:rPr>
          <w:noProof/>
        </w:rPr>
      </w:pPr>
      <w:r w:rsidRPr="00BD0F56">
        <w:t>(a)</w:t>
      </w:r>
      <w:r w:rsidRPr="00BD0F56">
        <w:tab/>
        <w:t>stavci 2. i 3. zamjenjuju se sljedećim:</w:t>
      </w:r>
    </w:p>
    <w:p w:rsidR="007873FC" w:rsidRPr="00BD0F56" w:rsidRDefault="007873FC" w:rsidP="007873FC">
      <w:pPr>
        <w:ind w:left="1134"/>
        <w:jc w:val="both"/>
        <w:rPr>
          <w:noProof/>
        </w:rPr>
      </w:pPr>
      <w:r w:rsidRPr="00BD0F56">
        <w:t>„2.</w:t>
      </w:r>
      <w:r w:rsidRPr="00BD0F56">
        <w:tab/>
        <w:t>Ovlast za donošenje delegiranih akata iz članka 3. stavka 2., članka 13. stavka 2.a, članka 19.a stavka 2., članka 19.c stavka 1., članka 20. stavka 6., članka 24. stavka 7., članka 27. stavka 2.b, članka 33. stavka 7., članka 51. stavka 6. i članka 54. stavka 3. dodjeljuje se Komisiji na razdoblje od pet godina počevši od 30. lipnja 2024. Komisija izrađuje izvješće o delegiranju ovlasti najkasnije 31. prosinca 2028. Delegiranje ovlasti prešutno se produljuje za razdoblja jednakog trajanja, osim ako se Europski parlament ili Vijeće tom produljenju usprotive najkasnije tri mjeseca prije kraja svakog razdoblja.</w:t>
      </w:r>
    </w:p>
    <w:p w:rsidR="007873FC" w:rsidRPr="00BD0F56" w:rsidRDefault="007873FC" w:rsidP="007873FC">
      <w:pPr>
        <w:ind w:left="1134"/>
        <w:rPr>
          <w:noProof/>
        </w:rPr>
      </w:pPr>
    </w:p>
    <w:p w:rsidR="007873FC" w:rsidRPr="00BD0F56" w:rsidRDefault="007873FC" w:rsidP="007873FC">
      <w:pPr>
        <w:ind w:left="1134"/>
        <w:jc w:val="both"/>
        <w:rPr>
          <w:noProof/>
        </w:rPr>
      </w:pPr>
      <w:r w:rsidRPr="00BD0F56">
        <w:t>3.</w:t>
      </w:r>
      <w:r w:rsidRPr="00BD0F56">
        <w:tab/>
        <w:t xml:space="preserve">Europski parlament ili Vijeće u svakom trenutku mogu opozvati delegiranje ovlasti iz članka 3. stavka 2., članka 13. stavka 2.a, članka 19.a stavka 2., članka 19.c stavka 1., članka 20. stavka 6., članka 24. stavka 7., članka 27. stavka 2.b, članka 30. stavka 2.a, članka 30. stavka 3.a, članka 33. stavka 7., članka 48.i stavka 10., članka 48.l stavka 3., članka 51. stavka 6. i članka 54. stavka 3. Odlukom o opozivu prekida se delegiranje ovlasti koje je u njoj navedeno. Opoziv počinje proizvoditi učinke sljedećeg dana od dana objave spomenute odluke u </w:t>
      </w:r>
      <w:bookmarkStart w:id="11" w:name="_GoBack"/>
      <w:r w:rsidRPr="009D0C28">
        <w:rPr>
          <w:i/>
        </w:rPr>
        <w:t>Službenom listu Europske unije</w:t>
      </w:r>
      <w:bookmarkEnd w:id="11"/>
      <w:r w:rsidRPr="00BD0F56">
        <w:t xml:space="preserve"> ili na kasniji dan naveden u spomenutoj odluci. On ne utječe na valjanost delegiranih akata koji su već na snazi.”;</w:t>
      </w:r>
    </w:p>
    <w:p w:rsidR="007873FC" w:rsidRPr="00BD0F56" w:rsidRDefault="007873FC" w:rsidP="007873FC">
      <w:pPr>
        <w:pStyle w:val="Point1"/>
        <w:rPr>
          <w:noProof/>
        </w:rPr>
      </w:pPr>
      <w:r w:rsidRPr="00BD0F56">
        <w:t>(b)</w:t>
      </w:r>
      <w:r w:rsidRPr="00BD0F56">
        <w:tab/>
        <w:t>stavak 6. zamjenjuje se sljedećim:</w:t>
      </w:r>
    </w:p>
    <w:p w:rsidR="007873FC" w:rsidRPr="00BD0F56" w:rsidRDefault="007873FC" w:rsidP="007873FC">
      <w:pPr>
        <w:ind w:left="1134"/>
        <w:jc w:val="both"/>
        <w:rPr>
          <w:noProof/>
        </w:rPr>
      </w:pPr>
      <w:r w:rsidRPr="00BD0F56">
        <w:t>„6.</w:t>
      </w:r>
      <w:r w:rsidRPr="00BD0F56">
        <w:tab/>
        <w:t>Delegirani akt donesen na temelju članka 3. stavka 2., članka 13. stavka 2.a, članka 19.a stavka 2., članka 19.c stavka 1., članka 20. stavka 6., članka 24. stavka 7., članka 27. stavka 2.b, članka 30. stavka 2.a, članka 30. stavka 3.a, članka 33. stavka 7., članka 48.i stavka 10., članka 48.l stavka 3., članka 51. stavka 6. ili članka 54. stavka 3. stupa na snagu samo ako ni Europski parlament ni Vijeće u roku od tri mjeseca od priopćenja tog akta Europskom parlamentu i Vijeću na njega ne podnesu nikakav prigovor ili ako su prije isteka tog roka i Europski parlament i Vijeće obavijestili Komisiju da neće podnijeti prigovore. Taj se rok produljuje za tri mjeseca na inicijativu Europskog parlamenta ili Vijeća.”;</w:t>
      </w:r>
    </w:p>
    <w:p w:rsidR="007873FC" w:rsidRPr="00BD0F56" w:rsidRDefault="007873FC" w:rsidP="007873FC">
      <w:pPr>
        <w:pStyle w:val="Point0"/>
        <w:rPr>
          <w:noProof/>
        </w:rPr>
      </w:pPr>
      <w:r w:rsidRPr="00BD0F56">
        <w:t>(21)</w:t>
      </w:r>
      <w:r w:rsidRPr="00BD0F56">
        <w:tab/>
        <w:t>u članku 51. umeće se sljedeći stavak:</w:t>
      </w:r>
    </w:p>
    <w:p w:rsidR="007873FC" w:rsidRPr="00BD0F56" w:rsidRDefault="007873FC" w:rsidP="007873FC">
      <w:pPr>
        <w:pStyle w:val="Text1"/>
        <w:ind w:left="567"/>
        <w:rPr>
          <w:noProof/>
        </w:rPr>
      </w:pPr>
      <w:r w:rsidRPr="00BD0F56">
        <w:t xml:space="preserve">„4c. Nadležna </w:t>
      </w:r>
      <w:r w:rsidRPr="00BD0F56">
        <w:rPr>
          <w:b/>
          <w:bCs/>
          <w:i/>
          <w:iCs/>
        </w:rPr>
        <w:t>nacionalna</w:t>
      </w:r>
      <w:r w:rsidRPr="00BD0F56">
        <w:t xml:space="preserve"> tijela </w:t>
      </w:r>
      <w:r w:rsidRPr="00BD0F56">
        <w:rPr>
          <w:b/>
          <w:bCs/>
          <w:i/>
          <w:iCs/>
        </w:rPr>
        <w:t>koja namjeravaju odrediti referentnu vrijednost koju pruža administrator koja je uključena u registar ESMA-e na dan [datum početka primjene ove Uredbe o izmjeni minus 1 dan]</w:t>
      </w:r>
      <w:r w:rsidRPr="00BD0F56">
        <w:t xml:space="preserve"> i ESMA</w:t>
      </w:r>
      <w:r w:rsidRPr="00BD0F56">
        <w:rPr>
          <w:b/>
          <w:bCs/>
          <w:i/>
          <w:iCs/>
        </w:rPr>
        <w:t>, ako namjerava odrediti referentnu vrijednost koja je bila uključena u registar ESMA-e ili čiji je administrator bio uključen u registar ESMA-e na dan [datum početka primjene ove Uredbe o izmjeni minus 1 dan] to čine do [devet mjeseci od datuma početka primjene ove Uredbe o izmjeni].</w:t>
      </w:r>
    </w:p>
    <w:p w:rsidR="007873FC" w:rsidRPr="00BD0F56" w:rsidRDefault="007873FC" w:rsidP="007873FC">
      <w:pPr>
        <w:pStyle w:val="Text1"/>
        <w:ind w:left="567"/>
        <w:rPr>
          <w:b/>
          <w:i/>
          <w:noProof/>
        </w:rPr>
      </w:pPr>
      <w:r w:rsidRPr="00BD0F56">
        <w:rPr>
          <w:b/>
          <w:bCs/>
          <w:i/>
          <w:iCs/>
        </w:rPr>
        <w:t>Administratori</w:t>
      </w:r>
      <w:r w:rsidRPr="00BD0F56">
        <w:t xml:space="preserve"> referentnih vrijednosti koji su odobreni, registrirani, prihvaćeni ili priznati [▌datum početka primjene ove Uredbe o izmjeni] </w:t>
      </w:r>
      <w:r w:rsidRPr="00BD0F56">
        <w:rPr>
          <w:b/>
          <w:bCs/>
          <w:i/>
          <w:iCs/>
        </w:rPr>
        <w:t>zadržavaju taj status devet mjeseci nakon početka primjene ove Uredbe o izmjeni.</w:t>
      </w:r>
      <w:r w:rsidRPr="00BD0F56">
        <w:rPr>
          <w:b/>
          <w:i/>
        </w:rPr>
        <w:t xml:space="preserve"> </w:t>
      </w:r>
      <w:r w:rsidRPr="00BD0F56">
        <w:rPr>
          <w:b/>
          <w:bCs/>
          <w:i/>
          <w:iCs/>
        </w:rPr>
        <w:t xml:space="preserve">Ako je jedna ili više njihovih referentnih </w:t>
      </w:r>
      <w:r w:rsidRPr="00BD0F56">
        <w:rPr>
          <w:b/>
          <w:bCs/>
          <w:i/>
          <w:iCs/>
        </w:rPr>
        <w:lastRenderedPageBreak/>
        <w:t>vrijednosti određena u roku od devet mjeseci nakon [datum početka primjene ove Uredbe o izmjeni], imenovani administratori nisu obvezni ponovno podnijeti</w:t>
      </w:r>
      <w:r w:rsidRPr="00BD0F56">
        <w:t xml:space="preserve"> zahtjev za odobrenje, registraciju, priznanje ili prihvaćanje u skladu s člankom 24.a stavcima 1., 2. ili 3., ovisno o slučaju</w:t>
      </w:r>
      <w:r w:rsidRPr="00BD0F56">
        <w:rPr>
          <w:b/>
          <w:bCs/>
          <w:i/>
          <w:iCs/>
        </w:rPr>
        <w:t>.</w:t>
      </w:r>
    </w:p>
    <w:p w:rsidR="007873FC" w:rsidRPr="00BD0F56" w:rsidRDefault="007873FC" w:rsidP="007873FC">
      <w:pPr>
        <w:pStyle w:val="Text1"/>
        <w:ind w:left="567"/>
        <w:rPr>
          <w:noProof/>
        </w:rPr>
      </w:pPr>
      <w:r w:rsidRPr="00BD0F56">
        <w:rPr>
          <w:b/>
          <w:bCs/>
          <w:i/>
          <w:iCs/>
        </w:rPr>
        <w:t>Administratori značajnih referentnih vrijednosti koji su odobreni, registrirani, prihvaćeni ili priznati na dan [datum početka primjene ove Uredbe o izmjeni] nisu obvezni ponovno podnijeti zahtjev za odobrenje, registraciju, priznavanje ili prihvaćanje u skladu s člankom 24.a stavkom 1. ako su jedna ili više njihovih referentnih vrijednosti značajne u skladu s člankom 24. stavkom 1. točkom (a).</w:t>
      </w:r>
      <w:r w:rsidRPr="00BD0F56">
        <w:t>”</w:t>
      </w:r>
    </w:p>
    <w:p w:rsidR="007873FC" w:rsidRPr="00BD0F56" w:rsidRDefault="007873FC" w:rsidP="007873FC">
      <w:pPr>
        <w:pStyle w:val="Text1"/>
        <w:ind w:left="567"/>
        <w:rPr>
          <w:b/>
          <w:i/>
          <w:noProof/>
        </w:rPr>
      </w:pPr>
      <w:r w:rsidRPr="00BD0F56">
        <w:rPr>
          <w:b/>
          <w:i/>
        </w:rPr>
        <w:t>Administratori referentnih vrijednosti koji su odobreni, registrirani, prihvaćeni ili priznati [datum početka primjene ove Uredbe o izmjeni], koji dobrovoljno sudjeluju u ovoj Uredbi do... [devet mjeseci nakon datuma stupanja na snagu ove Uredbe o izmjeni], nisu obvezni ponovno podnijeti zahtjev za odobrenje, registraciju, priznavanje ili prihvaćanje.</w:t>
      </w:r>
      <w:r w:rsidRPr="00BD0F56">
        <w:t xml:space="preserve"> ;</w:t>
      </w:r>
    </w:p>
    <w:p w:rsidR="007873FC" w:rsidRPr="00BD0F56" w:rsidRDefault="007873FC" w:rsidP="007873FC">
      <w:pPr>
        <w:pStyle w:val="Text1"/>
        <w:ind w:left="567"/>
        <w:rPr>
          <w:b/>
          <w:i/>
          <w:noProof/>
        </w:rPr>
      </w:pPr>
    </w:p>
    <w:p w:rsidR="007873FC" w:rsidRPr="00BD0F56" w:rsidRDefault="007873FC" w:rsidP="007873FC">
      <w:pPr>
        <w:pStyle w:val="Text1"/>
        <w:ind w:left="567"/>
        <w:rPr>
          <w:b/>
          <w:i/>
          <w:noProof/>
        </w:rPr>
      </w:pPr>
      <w:r w:rsidRPr="00BD0F56">
        <w:rPr>
          <w:b/>
          <w:i/>
        </w:rPr>
        <w:t>(21a)</w:t>
      </w:r>
      <w:r w:rsidRPr="00BD0F56">
        <w:rPr>
          <w:b/>
          <w:i/>
        </w:rPr>
        <w:tab/>
        <w:t>Članak 53. stavak 1. briše se;</w:t>
      </w:r>
    </w:p>
    <w:p w:rsidR="007873FC" w:rsidRPr="00BD0F56" w:rsidRDefault="007873FC" w:rsidP="007873FC">
      <w:pPr>
        <w:pStyle w:val="Titrearticle"/>
        <w:rPr>
          <w:noProof/>
        </w:rPr>
      </w:pPr>
      <w:r w:rsidRPr="00BD0F56">
        <w:t>Članak 2.</w:t>
      </w:r>
    </w:p>
    <w:p w:rsidR="007873FC" w:rsidRPr="00BD0F56" w:rsidRDefault="007873FC" w:rsidP="007873FC">
      <w:pPr>
        <w:jc w:val="center"/>
        <w:rPr>
          <w:b/>
          <w:bCs/>
          <w:noProof/>
        </w:rPr>
      </w:pPr>
      <w:r w:rsidRPr="00BD0F56">
        <w:rPr>
          <w:b/>
        </w:rPr>
        <w:t>Stupanje na snagu i primjena</w:t>
      </w:r>
    </w:p>
    <w:p w:rsidR="007873FC" w:rsidRPr="00BD0F56" w:rsidRDefault="007873FC" w:rsidP="007873FC">
      <w:pPr>
        <w:rPr>
          <w:noProof/>
        </w:rPr>
      </w:pPr>
      <w:r w:rsidRPr="00BD0F56">
        <w:t xml:space="preserve">Ova Uredba stupa na snagu dvadesetog dana od dana objave u </w:t>
      </w:r>
      <w:r w:rsidRPr="00BD0F56">
        <w:rPr>
          <w:i/>
        </w:rPr>
        <w:t>Službenom listu Europske unije</w:t>
      </w:r>
      <w:r w:rsidRPr="00BD0F56">
        <w:t>.</w:t>
      </w:r>
    </w:p>
    <w:p w:rsidR="007873FC" w:rsidRPr="00BD0F56" w:rsidRDefault="007873FC" w:rsidP="007873FC">
      <w:pPr>
        <w:rPr>
          <w:noProof/>
        </w:rPr>
      </w:pPr>
      <w:r w:rsidRPr="00BD0F56">
        <w:t xml:space="preserve">Primjenjuje se od 1. siječnja 2026. </w:t>
      </w:r>
    </w:p>
    <w:p w:rsidR="007873FC" w:rsidRPr="00BD0F56" w:rsidRDefault="007873FC" w:rsidP="007873FC">
      <w:pPr>
        <w:pStyle w:val="Applicationdirecte"/>
        <w:rPr>
          <w:noProof/>
        </w:rPr>
      </w:pPr>
      <w:r w:rsidRPr="00BD0F56">
        <w:t>Ova je Uredba u cijelosti obvezujuća i izravno se primjenjuje u svim državama članicama.</w:t>
      </w:r>
    </w:p>
    <w:p w:rsidR="007873FC" w:rsidRPr="00BD0F56" w:rsidRDefault="007873FC" w:rsidP="007873FC">
      <w:pPr>
        <w:pStyle w:val="Fait"/>
        <w:rPr>
          <w:noProof/>
        </w:rPr>
      </w:pPr>
      <w:r w:rsidRPr="00BD0F56">
        <w:t xml:space="preserve">Sastavljeno u </w:t>
      </w:r>
      <w:r w:rsidR="009D0C28">
        <w:t>…</w:t>
      </w:r>
      <w:r w:rsidRPr="00BD0F56">
        <w:t>,</w:t>
      </w:r>
    </w:p>
    <w:p w:rsidR="007873FC" w:rsidRPr="00BD0F56" w:rsidRDefault="007873FC" w:rsidP="007873FC">
      <w:pPr>
        <w:pStyle w:val="Institutionquisigne"/>
        <w:rPr>
          <w:noProof/>
        </w:rPr>
      </w:pPr>
      <w:r w:rsidRPr="00BD0F56">
        <w:t>Za Europski parlament</w:t>
      </w:r>
      <w:r w:rsidRPr="00BD0F56">
        <w:tab/>
        <w:t>Za Vijeće</w:t>
      </w:r>
    </w:p>
    <w:p w:rsidR="007873FC" w:rsidRPr="00BD0F56" w:rsidRDefault="007873FC" w:rsidP="007873FC">
      <w:pPr>
        <w:pStyle w:val="Personnequisigne"/>
        <w:rPr>
          <w:noProof/>
        </w:rPr>
      </w:pPr>
      <w:r w:rsidRPr="00BD0F56">
        <w:t>Predsjednica</w:t>
      </w:r>
      <w:r w:rsidRPr="00BD0F56">
        <w:tab/>
        <w:t>Predsjednik</w:t>
      </w:r>
    </w:p>
    <w:sectPr w:rsidR="007873FC" w:rsidRPr="00BD0F56" w:rsidSect="00365F7E">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81A7C" w:rsidRPr="00365F7E" w:rsidRDefault="00C81A7C">
      <w:r w:rsidRPr="00365F7E">
        <w:separator/>
      </w:r>
    </w:p>
  </w:endnote>
  <w:endnote w:type="continuationSeparator" w:id="0">
    <w:p w:rsidR="00C81A7C" w:rsidRPr="00365F7E" w:rsidRDefault="00C81A7C">
      <w:r w:rsidRPr="00365F7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DengXian Light">
    <w:altName w:val="等线 Light"/>
    <w:panose1 w:val="00000000000000000000"/>
    <w:charset w:val="86"/>
    <w:family w:val="roman"/>
    <w:notTrueType/>
    <w:pitch w:val="default"/>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DengXian">
    <w:altName w:val="等线"/>
    <w:panose1 w:val="02010600030101010101"/>
    <w:charset w:val="86"/>
    <w:family w:val="modern"/>
    <w:pitch w:val="fixed"/>
    <w:sig w:usb0="00000001" w:usb1="080E0000" w:usb2="0000001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65F7E"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65F7E"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65F7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81A7C" w:rsidRPr="00365F7E" w:rsidRDefault="00C81A7C">
      <w:r w:rsidRPr="00365F7E">
        <w:separator/>
      </w:r>
    </w:p>
  </w:footnote>
  <w:footnote w:type="continuationSeparator" w:id="0">
    <w:p w:rsidR="00C81A7C" w:rsidRPr="00365F7E" w:rsidRDefault="00C81A7C">
      <w:r w:rsidRPr="00365F7E">
        <w:continuationSeparator/>
      </w:r>
    </w:p>
  </w:footnote>
  <w:footnote w:id="1">
    <w:p w:rsidR="002451FB" w:rsidRPr="00C93B33" w:rsidRDefault="002451FB" w:rsidP="002451FB">
      <w:pPr>
        <w:pStyle w:val="FootnoteText"/>
        <w:spacing w:line="240" w:lineRule="auto"/>
        <w:ind w:left="709" w:hanging="709"/>
        <w:rPr>
          <w:sz w:val="24"/>
          <w:szCs w:val="24"/>
          <w:lang w:val="hr-HR"/>
        </w:rPr>
      </w:pPr>
      <w:r w:rsidRPr="00C93B33">
        <w:rPr>
          <w:rStyle w:val="FootnoteReference"/>
          <w:sz w:val="24"/>
          <w:szCs w:val="24"/>
        </w:rPr>
        <w:sym w:font="Symbol" w:char="F02A"/>
      </w:r>
      <w:r w:rsidRPr="00C93B33">
        <w:rPr>
          <w:sz w:val="24"/>
          <w:szCs w:val="24"/>
          <w:lang w:val="hr-HR"/>
        </w:rPr>
        <w:t xml:space="preserve"> </w:t>
      </w:r>
      <w:r w:rsidRPr="00C93B33">
        <w:rPr>
          <w:sz w:val="24"/>
          <w:szCs w:val="24"/>
          <w:lang w:val="hr-HR"/>
        </w:rPr>
        <w:tab/>
        <w:t>Promjene u cijelom tekstu proizlaze iz donošenja izmjene 1. Novi ili izmijenjeni tekst označava se podebljanim kurzivom; a brisani tekst oznakom ▌.</w:t>
      </w:r>
    </w:p>
  </w:footnote>
  <w:footnote w:id="2">
    <w:p w:rsidR="007873FC" w:rsidRPr="00365F7E" w:rsidRDefault="007873FC" w:rsidP="002451FB">
      <w:pPr>
        <w:pStyle w:val="FootnoteText"/>
        <w:spacing w:line="240" w:lineRule="auto"/>
        <w:ind w:left="709" w:hanging="709"/>
        <w:rPr>
          <w:sz w:val="24"/>
          <w:lang w:val="hr-HR"/>
        </w:rPr>
      </w:pPr>
      <w:r w:rsidRPr="00365F7E">
        <w:rPr>
          <w:rStyle w:val="FootnoteReference"/>
          <w:sz w:val="24"/>
          <w:lang w:val="hr-HR"/>
        </w:rPr>
        <w:footnoteRef/>
      </w:r>
      <w:r w:rsidR="00365F7E" w:rsidRPr="00365F7E">
        <w:rPr>
          <w:sz w:val="24"/>
          <w:lang w:val="hr-HR"/>
        </w:rPr>
        <w:t xml:space="preserve"> </w:t>
      </w:r>
      <w:r w:rsidR="00365F7E" w:rsidRPr="00365F7E">
        <w:rPr>
          <w:sz w:val="24"/>
          <w:lang w:val="hr-HR"/>
        </w:rPr>
        <w:tab/>
      </w:r>
      <w:r w:rsidRPr="00365F7E">
        <w:rPr>
          <w:sz w:val="24"/>
          <w:lang w:val="hr-HR"/>
        </w:rPr>
        <w:t>SL C , , str. .</w:t>
      </w:r>
    </w:p>
  </w:footnote>
  <w:footnote w:id="3">
    <w:p w:rsidR="007873FC" w:rsidRPr="00365F7E" w:rsidRDefault="007873FC" w:rsidP="002451FB">
      <w:pPr>
        <w:pStyle w:val="FootnoteText"/>
        <w:spacing w:line="240" w:lineRule="auto"/>
        <w:ind w:left="709" w:hanging="709"/>
        <w:rPr>
          <w:sz w:val="24"/>
          <w:lang w:val="hr-HR"/>
        </w:rPr>
      </w:pPr>
      <w:r w:rsidRPr="00365F7E">
        <w:rPr>
          <w:rStyle w:val="FootnoteReference"/>
          <w:sz w:val="24"/>
          <w:lang w:val="hr-HR"/>
        </w:rPr>
        <w:footnoteRef/>
      </w:r>
      <w:r w:rsidR="00365F7E" w:rsidRPr="00365F7E">
        <w:rPr>
          <w:sz w:val="24"/>
          <w:lang w:val="hr-HR"/>
        </w:rPr>
        <w:t xml:space="preserve"> </w:t>
      </w:r>
      <w:r w:rsidR="00365F7E" w:rsidRPr="00365F7E">
        <w:rPr>
          <w:sz w:val="24"/>
          <w:lang w:val="hr-HR"/>
        </w:rPr>
        <w:tab/>
      </w:r>
      <w:r w:rsidRPr="00365F7E">
        <w:rPr>
          <w:sz w:val="24"/>
          <w:lang w:val="hr-HR"/>
        </w:rPr>
        <w:t>SL C , , str. .</w:t>
      </w:r>
    </w:p>
  </w:footnote>
  <w:footnote w:id="4">
    <w:p w:rsidR="007873FC" w:rsidRPr="00365F7E" w:rsidRDefault="007873FC" w:rsidP="002451FB">
      <w:pPr>
        <w:pStyle w:val="FootnoteText"/>
        <w:spacing w:line="240" w:lineRule="auto"/>
        <w:ind w:left="709" w:hanging="709"/>
        <w:rPr>
          <w:sz w:val="24"/>
          <w:lang w:val="hr-HR"/>
        </w:rPr>
      </w:pPr>
      <w:r w:rsidRPr="00365F7E">
        <w:rPr>
          <w:rStyle w:val="FootnoteReference"/>
          <w:sz w:val="24"/>
          <w:lang w:val="hr-HR"/>
        </w:rPr>
        <w:footnoteRef/>
      </w:r>
      <w:r w:rsidR="00365F7E" w:rsidRPr="00365F7E">
        <w:rPr>
          <w:sz w:val="24"/>
          <w:lang w:val="hr-HR"/>
        </w:rPr>
        <w:t xml:space="preserve"> </w:t>
      </w:r>
      <w:r w:rsidR="00365F7E" w:rsidRPr="00365F7E">
        <w:rPr>
          <w:sz w:val="24"/>
          <w:lang w:val="hr-HR"/>
        </w:rPr>
        <w:tab/>
      </w:r>
      <w:r w:rsidRPr="00365F7E">
        <w:rPr>
          <w:sz w:val="24"/>
          <w:lang w:val="hr-HR"/>
        </w:rPr>
        <w:t>SL C , , str. .</w:t>
      </w:r>
    </w:p>
  </w:footnote>
  <w:footnote w:id="5">
    <w:p w:rsidR="007873FC" w:rsidRPr="00365F7E" w:rsidRDefault="007873FC" w:rsidP="002451FB">
      <w:pPr>
        <w:pStyle w:val="FootnoteText"/>
        <w:spacing w:line="240" w:lineRule="auto"/>
        <w:ind w:left="709" w:hanging="709"/>
        <w:rPr>
          <w:sz w:val="24"/>
          <w:lang w:val="hr-HR"/>
        </w:rPr>
      </w:pPr>
      <w:r w:rsidRPr="00365F7E">
        <w:rPr>
          <w:rStyle w:val="FootnoteReference"/>
          <w:sz w:val="24"/>
          <w:lang w:val="hr-HR"/>
        </w:rPr>
        <w:footnoteRef/>
      </w:r>
      <w:r w:rsidR="00365F7E" w:rsidRPr="00365F7E">
        <w:rPr>
          <w:sz w:val="24"/>
          <w:lang w:val="hr-HR"/>
        </w:rPr>
        <w:t xml:space="preserve"> </w:t>
      </w:r>
      <w:r w:rsidR="00365F7E" w:rsidRPr="00365F7E">
        <w:rPr>
          <w:sz w:val="24"/>
          <w:lang w:val="hr-HR"/>
        </w:rPr>
        <w:tab/>
      </w:r>
      <w:r w:rsidRPr="00365F7E">
        <w:rPr>
          <w:sz w:val="24"/>
          <w:lang w:val="hr-HR"/>
        </w:rPr>
        <w:t>Uredba (EU) 2016/1011 Europskog parlamenta i Vijeća od 8. lipnja 2016. o indeksima koji se upotrebljavaju kao referentne vrijednosti u financijskim instrumentima i financijskim ugovorima ili za mjerenje uspješnosti investicijskih fondova i o izmjeni direktiva 2008/48/EZ i 2014/17/EU te Uredbe (EU) br. 596/2014 (SL L 171, 29.6.2016., str. 1.).</w:t>
      </w:r>
    </w:p>
  </w:footnote>
  <w:footnote w:id="6">
    <w:p w:rsidR="007873FC" w:rsidRPr="00365F7E" w:rsidRDefault="007873FC" w:rsidP="002451FB">
      <w:pPr>
        <w:pStyle w:val="FootnoteText"/>
        <w:spacing w:line="240" w:lineRule="auto"/>
        <w:ind w:left="709" w:hanging="709"/>
        <w:rPr>
          <w:sz w:val="24"/>
          <w:lang w:val="hr-HR"/>
        </w:rPr>
      </w:pPr>
      <w:r w:rsidRPr="00365F7E">
        <w:rPr>
          <w:rStyle w:val="FootnoteReference"/>
          <w:sz w:val="24"/>
          <w:lang w:val="hr-HR"/>
        </w:rPr>
        <w:footnoteRef/>
      </w:r>
      <w:r w:rsidR="00365F7E" w:rsidRPr="00365F7E">
        <w:rPr>
          <w:sz w:val="24"/>
          <w:lang w:val="hr-HR"/>
        </w:rPr>
        <w:t xml:space="preserve"> </w:t>
      </w:r>
      <w:r w:rsidR="00365F7E" w:rsidRPr="00365F7E">
        <w:rPr>
          <w:sz w:val="24"/>
          <w:lang w:val="hr-HR"/>
        </w:rPr>
        <w:tab/>
      </w:r>
      <w:r w:rsidRPr="00365F7E">
        <w:rPr>
          <w:sz w:val="24"/>
          <w:lang w:val="hr-HR"/>
        </w:rPr>
        <w:t>Uredba (EU) br. 1095/2010 Europskog parlamenta i Vijeća od 24. studenoga 2010. o osnivanju europskog nadzornog tijela (Europskog nadzornog tijela za vrijednosne papire i tržišta kapitala), izmjeni Odluke br. 716/2009/EZ i stavljanju izvan snage Odluke Komisije 2009/77/EZ (SL L 331, 15.12.2010., str. 84.).</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65F7E"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65F7E"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65F7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76/2024"/>
    <w:docVar w:name="dvlangue" w:val="HR"/>
    <w:docVar w:name="dvnumam" w:val="0"/>
    <w:docVar w:name="dvpe" w:val="757.977"/>
    <w:docVar w:name="dvrapporteur" w:val="Izvjestitelj: "/>
    <w:docVar w:name="dvstar" w:val="***I"/>
    <w:docVar w:name="dvtitre" w:val="Zakonodavna rezolucija Europskog parlamenta od .... 2024. o Prijedlogu uredbe Europskog parlamenta i Vijeća o izmjeni Uredbe (EU) 2016/1011 u pogledu područja primjene pravila za referentne vrijednosti, upotrebe u Uniji referentnih vrijednosti koje pruža administrator smješten u trećoj zemlji i određenih zahtjeva za izvješćivanje(COM(2023)0660 – C9-0389/2023 – 2023/0379(COD))"/>
  </w:docVars>
  <w:rsids>
    <w:rsidRoot w:val="00C81A7C"/>
    <w:rsid w:val="00002272"/>
    <w:rsid w:val="00064002"/>
    <w:rsid w:val="000677B9"/>
    <w:rsid w:val="000831BA"/>
    <w:rsid w:val="000A42CC"/>
    <w:rsid w:val="000E7DD9"/>
    <w:rsid w:val="0010095E"/>
    <w:rsid w:val="00125B37"/>
    <w:rsid w:val="00187494"/>
    <w:rsid w:val="001F32AE"/>
    <w:rsid w:val="002451FB"/>
    <w:rsid w:val="002767FF"/>
    <w:rsid w:val="002B18FE"/>
    <w:rsid w:val="002B5493"/>
    <w:rsid w:val="00343214"/>
    <w:rsid w:val="00361C00"/>
    <w:rsid w:val="00365F7E"/>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873FC"/>
    <w:rsid w:val="007D1690"/>
    <w:rsid w:val="007E22AD"/>
    <w:rsid w:val="00817416"/>
    <w:rsid w:val="00833278"/>
    <w:rsid w:val="00842779"/>
    <w:rsid w:val="00865F67"/>
    <w:rsid w:val="00881A7B"/>
    <w:rsid w:val="008840E5"/>
    <w:rsid w:val="00887B3E"/>
    <w:rsid w:val="008C2AC6"/>
    <w:rsid w:val="00930C23"/>
    <w:rsid w:val="0093193B"/>
    <w:rsid w:val="009509D8"/>
    <w:rsid w:val="00950B64"/>
    <w:rsid w:val="00981893"/>
    <w:rsid w:val="009D0C28"/>
    <w:rsid w:val="00A1687D"/>
    <w:rsid w:val="00A43E52"/>
    <w:rsid w:val="00A4678D"/>
    <w:rsid w:val="00A778C7"/>
    <w:rsid w:val="00AA7B25"/>
    <w:rsid w:val="00AB441E"/>
    <w:rsid w:val="00AB6293"/>
    <w:rsid w:val="00AE0928"/>
    <w:rsid w:val="00AF3B82"/>
    <w:rsid w:val="00B12E95"/>
    <w:rsid w:val="00B22876"/>
    <w:rsid w:val="00B558F0"/>
    <w:rsid w:val="00BD0F56"/>
    <w:rsid w:val="00BD48FE"/>
    <w:rsid w:val="00BD7BD8"/>
    <w:rsid w:val="00BE6ADC"/>
    <w:rsid w:val="00C011DD"/>
    <w:rsid w:val="00C05BFE"/>
    <w:rsid w:val="00C23CD4"/>
    <w:rsid w:val="00C61C0C"/>
    <w:rsid w:val="00C81A7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zh-CN"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2BC3E35"/>
  <w15:chartTrackingRefBased/>
  <w15:docId w15:val="{8BB7A7F8-F243-4A2D-BE75-F3C7DBC0FD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r-H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link w:val="NormalBoldChar"/>
    <w:rsid w:val="007873FC"/>
    <w:rPr>
      <w:b/>
    </w:rPr>
  </w:style>
  <w:style w:type="paragraph" w:customStyle="1" w:styleId="NormalHanging12a">
    <w:name w:val="NormalHanging12a"/>
    <w:basedOn w:val="Normal"/>
    <w:rsid w:val="007873FC"/>
    <w:pPr>
      <w:spacing w:after="240"/>
      <w:ind w:left="567" w:hanging="567"/>
    </w:pPr>
  </w:style>
  <w:style w:type="paragraph" w:customStyle="1" w:styleId="AmNumberTabs">
    <w:name w:val="AmNumberTabs"/>
    <w:basedOn w:val="Normal"/>
    <w:rsid w:val="007873F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EPComma">
    <w:name w:val="EPComma"/>
    <w:basedOn w:val="Normal"/>
    <w:rsid w:val="007873FC"/>
    <w:pPr>
      <w:spacing w:before="480" w:after="240"/>
    </w:pPr>
  </w:style>
  <w:style w:type="character" w:customStyle="1" w:styleId="NormalBoldChar">
    <w:name w:val="NormalBold Char"/>
    <w:basedOn w:val="DefaultParagraphFont"/>
    <w:link w:val="NormalBold"/>
    <w:locked/>
    <w:rsid w:val="007873FC"/>
    <w:rPr>
      <w:b/>
      <w:sz w:val="24"/>
      <w:lang w:val="hr-HR"/>
    </w:rPr>
  </w:style>
  <w:style w:type="paragraph" w:customStyle="1" w:styleId="NormalCenter12a">
    <w:name w:val="NormalCenter12a"/>
    <w:basedOn w:val="Normal"/>
    <w:rsid w:val="007873FC"/>
    <w:pPr>
      <w:spacing w:after="240"/>
      <w:jc w:val="center"/>
    </w:pPr>
  </w:style>
  <w:style w:type="paragraph" w:customStyle="1" w:styleId="AmHeadingConsam">
    <w:name w:val="AmHeadingConsam"/>
    <w:basedOn w:val="Normal"/>
    <w:next w:val="NormalCenter12a"/>
    <w:rsid w:val="007873FC"/>
    <w:pPr>
      <w:spacing w:before="720" w:after="240"/>
      <w:jc w:val="center"/>
    </w:pPr>
  </w:style>
  <w:style w:type="paragraph" w:customStyle="1" w:styleId="Text1">
    <w:name w:val="Text 1"/>
    <w:basedOn w:val="Normal"/>
    <w:rsid w:val="007873FC"/>
    <w:pPr>
      <w:widowControl/>
      <w:spacing w:before="120" w:after="120"/>
      <w:ind w:left="850"/>
      <w:jc w:val="both"/>
    </w:pPr>
    <w:rPr>
      <w:rFonts w:eastAsiaTheme="minorHAnsi"/>
      <w:szCs w:val="22"/>
      <w:lang w:eastAsia="en-US"/>
    </w:rPr>
  </w:style>
  <w:style w:type="paragraph" w:customStyle="1" w:styleId="Text2">
    <w:name w:val="Text 2"/>
    <w:basedOn w:val="Normal"/>
    <w:rsid w:val="007873FC"/>
    <w:pPr>
      <w:widowControl/>
      <w:spacing w:before="120" w:after="120"/>
      <w:ind w:left="1417"/>
      <w:jc w:val="both"/>
    </w:pPr>
    <w:rPr>
      <w:rFonts w:eastAsiaTheme="minorHAnsi"/>
      <w:szCs w:val="22"/>
      <w:lang w:eastAsia="en-US"/>
    </w:rPr>
  </w:style>
  <w:style w:type="paragraph" w:customStyle="1" w:styleId="Point0">
    <w:name w:val="Point 0"/>
    <w:basedOn w:val="Normal"/>
    <w:rsid w:val="007873FC"/>
    <w:pPr>
      <w:widowControl/>
      <w:spacing w:before="120" w:after="120"/>
      <w:ind w:left="850" w:hanging="850"/>
      <w:jc w:val="both"/>
    </w:pPr>
    <w:rPr>
      <w:rFonts w:eastAsiaTheme="minorHAnsi"/>
      <w:szCs w:val="22"/>
      <w:lang w:eastAsia="en-US"/>
    </w:rPr>
  </w:style>
  <w:style w:type="paragraph" w:customStyle="1" w:styleId="Point1">
    <w:name w:val="Point 1"/>
    <w:basedOn w:val="Normal"/>
    <w:rsid w:val="007873FC"/>
    <w:pPr>
      <w:widowControl/>
      <w:spacing w:before="120" w:after="120"/>
      <w:ind w:left="1417" w:hanging="567"/>
      <w:jc w:val="both"/>
    </w:pPr>
    <w:rPr>
      <w:rFonts w:eastAsiaTheme="minorHAnsi"/>
      <w:szCs w:val="22"/>
      <w:lang w:eastAsia="en-US"/>
    </w:rPr>
  </w:style>
  <w:style w:type="paragraph" w:customStyle="1" w:styleId="Point2">
    <w:name w:val="Point 2"/>
    <w:basedOn w:val="Normal"/>
    <w:rsid w:val="007873FC"/>
    <w:pPr>
      <w:widowControl/>
      <w:spacing w:before="120" w:after="120"/>
      <w:ind w:left="1984" w:hanging="567"/>
      <w:jc w:val="both"/>
    </w:pPr>
    <w:rPr>
      <w:rFonts w:eastAsiaTheme="minorHAnsi"/>
      <w:szCs w:val="22"/>
      <w:lang w:eastAsia="en-US"/>
    </w:rPr>
  </w:style>
  <w:style w:type="paragraph" w:customStyle="1" w:styleId="Applicationdirecte">
    <w:name w:val="Application directe"/>
    <w:basedOn w:val="Normal"/>
    <w:next w:val="Fait"/>
    <w:rsid w:val="007873FC"/>
    <w:pPr>
      <w:widowControl/>
      <w:spacing w:before="480" w:after="120"/>
      <w:jc w:val="both"/>
    </w:pPr>
    <w:rPr>
      <w:rFonts w:eastAsiaTheme="minorHAnsi"/>
      <w:szCs w:val="22"/>
      <w:lang w:eastAsia="en-US"/>
    </w:rPr>
  </w:style>
  <w:style w:type="paragraph" w:customStyle="1" w:styleId="Fait">
    <w:name w:val="Fait à"/>
    <w:basedOn w:val="Normal"/>
    <w:next w:val="Institutionquisigne"/>
    <w:rsid w:val="007873FC"/>
    <w:pPr>
      <w:keepNext/>
      <w:widowControl/>
      <w:spacing w:before="120"/>
      <w:jc w:val="both"/>
    </w:pPr>
    <w:rPr>
      <w:rFonts w:eastAsiaTheme="minorHAnsi"/>
      <w:szCs w:val="22"/>
      <w:lang w:eastAsia="en-US"/>
    </w:rPr>
  </w:style>
  <w:style w:type="paragraph" w:customStyle="1" w:styleId="Formuledadoption">
    <w:name w:val="Formule d'adoption"/>
    <w:basedOn w:val="Normal"/>
    <w:next w:val="Titrearticle"/>
    <w:rsid w:val="007873FC"/>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7873FC"/>
    <w:pPr>
      <w:keepNext/>
      <w:widowControl/>
      <w:spacing w:before="600" w:after="120"/>
      <w:jc w:val="both"/>
    </w:pPr>
    <w:rPr>
      <w:rFonts w:eastAsiaTheme="minorHAnsi"/>
      <w:szCs w:val="22"/>
      <w:lang w:eastAsia="en-US"/>
    </w:rPr>
  </w:style>
  <w:style w:type="paragraph" w:customStyle="1" w:styleId="Institutionquisigne">
    <w:name w:val="Institution qui signe"/>
    <w:basedOn w:val="Normal"/>
    <w:next w:val="Personnequisigne"/>
    <w:rsid w:val="007873FC"/>
    <w:pPr>
      <w:keepNext/>
      <w:widowControl/>
      <w:tabs>
        <w:tab w:val="left" w:pos="4252"/>
      </w:tabs>
      <w:spacing w:before="720"/>
      <w:jc w:val="both"/>
    </w:pPr>
    <w:rPr>
      <w:rFonts w:eastAsiaTheme="minorHAnsi"/>
      <w:i/>
      <w:szCs w:val="22"/>
      <w:lang w:eastAsia="en-US"/>
    </w:rPr>
  </w:style>
  <w:style w:type="paragraph" w:customStyle="1" w:styleId="ManualConsidrant">
    <w:name w:val="Manual Considérant"/>
    <w:basedOn w:val="Normal"/>
    <w:rsid w:val="007873FC"/>
    <w:pPr>
      <w:widowControl/>
      <w:spacing w:before="120" w:after="120"/>
      <w:ind w:left="709" w:hanging="709"/>
      <w:jc w:val="both"/>
    </w:pPr>
    <w:rPr>
      <w:rFonts w:eastAsiaTheme="minorHAnsi"/>
      <w:szCs w:val="22"/>
      <w:lang w:eastAsia="en-US"/>
    </w:rPr>
  </w:style>
  <w:style w:type="paragraph" w:customStyle="1" w:styleId="Personnequisigne">
    <w:name w:val="Personne qui signe"/>
    <w:basedOn w:val="Normal"/>
    <w:next w:val="Institutionquisigne"/>
    <w:rsid w:val="007873FC"/>
    <w:pPr>
      <w:widowControl/>
      <w:tabs>
        <w:tab w:val="left" w:pos="4252"/>
      </w:tabs>
    </w:pPr>
    <w:rPr>
      <w:rFonts w:eastAsiaTheme="minorHAnsi"/>
      <w:i/>
      <w:szCs w:val="22"/>
      <w:lang w:eastAsia="en-US"/>
    </w:rPr>
  </w:style>
  <w:style w:type="paragraph" w:customStyle="1" w:styleId="Rfrenceinterinstitutionnelle">
    <w:name w:val="Référence interinstitutionnelle"/>
    <w:basedOn w:val="Normal"/>
    <w:next w:val="Statut"/>
    <w:rsid w:val="007873FC"/>
    <w:pPr>
      <w:widowControl/>
      <w:ind w:left="5103"/>
    </w:pPr>
    <w:rPr>
      <w:rFonts w:eastAsiaTheme="minorHAnsi"/>
      <w:szCs w:val="22"/>
      <w:lang w:eastAsia="en-US"/>
    </w:rPr>
  </w:style>
  <w:style w:type="paragraph" w:customStyle="1" w:styleId="Statut">
    <w:name w:val="Statut"/>
    <w:basedOn w:val="Normal"/>
    <w:next w:val="Typedudocument"/>
    <w:rsid w:val="007873FC"/>
    <w:pPr>
      <w:widowControl/>
      <w:spacing w:before="360"/>
      <w:jc w:val="center"/>
    </w:pPr>
    <w:rPr>
      <w:rFonts w:eastAsiaTheme="minorHAnsi"/>
      <w:szCs w:val="22"/>
      <w:lang w:eastAsia="en-US"/>
    </w:rPr>
  </w:style>
  <w:style w:type="paragraph" w:customStyle="1" w:styleId="Titrearticle">
    <w:name w:val="Titre article"/>
    <w:basedOn w:val="Normal"/>
    <w:next w:val="Normal"/>
    <w:rsid w:val="007873FC"/>
    <w:pPr>
      <w:keepNext/>
      <w:widowControl/>
      <w:spacing w:before="360" w:after="120"/>
      <w:jc w:val="center"/>
    </w:pPr>
    <w:rPr>
      <w:rFonts w:eastAsiaTheme="minorHAnsi"/>
      <w:i/>
      <w:szCs w:val="22"/>
      <w:lang w:eastAsia="en-US"/>
    </w:rPr>
  </w:style>
  <w:style w:type="paragraph" w:customStyle="1" w:styleId="Titreobjet">
    <w:name w:val="Titre objet"/>
    <w:basedOn w:val="Normal"/>
    <w:next w:val="IntrtEEE"/>
    <w:rsid w:val="007873FC"/>
    <w:pPr>
      <w:widowControl/>
      <w:spacing w:before="360" w:after="360"/>
      <w:jc w:val="center"/>
    </w:pPr>
    <w:rPr>
      <w:rFonts w:eastAsiaTheme="minorHAnsi"/>
      <w:b/>
      <w:szCs w:val="22"/>
      <w:lang w:eastAsia="en-US"/>
    </w:rPr>
  </w:style>
  <w:style w:type="paragraph" w:customStyle="1" w:styleId="Typedudocument">
    <w:name w:val="Type du document"/>
    <w:basedOn w:val="Normal"/>
    <w:next w:val="Titreobjet"/>
    <w:rsid w:val="007873FC"/>
    <w:pPr>
      <w:widowControl/>
      <w:spacing w:before="360"/>
      <w:jc w:val="center"/>
    </w:pPr>
    <w:rPr>
      <w:rFonts w:eastAsiaTheme="minorHAnsi"/>
      <w:b/>
      <w:szCs w:val="22"/>
      <w:lang w:eastAsia="en-US"/>
    </w:rPr>
  </w:style>
  <w:style w:type="paragraph" w:customStyle="1" w:styleId="IntrtEEE">
    <w:name w:val="Intérêt EEE"/>
    <w:basedOn w:val="Normal"/>
    <w:next w:val="Normal"/>
    <w:rsid w:val="007873FC"/>
    <w:pPr>
      <w:widowControl/>
      <w:spacing w:before="360" w:after="240"/>
      <w:jc w:val="center"/>
    </w:pPr>
    <w:rPr>
      <w:rFonts w:eastAsiaTheme="minorHAnsi"/>
      <w:szCs w:val="22"/>
      <w:lang w:eastAsia="en-US"/>
    </w:rPr>
  </w:style>
  <w:style w:type="paragraph" w:customStyle="1" w:styleId="CoverReference">
    <w:name w:val="CoverReference"/>
    <w:basedOn w:val="Normal"/>
    <w:rsid w:val="002451FB"/>
    <w:pPr>
      <w:spacing w:before="1080"/>
      <w:jc w:val="right"/>
    </w:pPr>
    <w:rPr>
      <w:rFonts w:ascii="Arial" w:hAnsi="Arial" w:cs="Arial"/>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97588-0C7A-41FC-A40E-E72BA9416A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22</Pages>
  <Words>9084</Words>
  <Characters>54670</Characters>
  <Application>Microsoft Office Word</Application>
  <DocSecurity>0</DocSecurity>
  <Lines>455</Lines>
  <Paragraphs>127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63627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ZOVKO Jadranka</dc:creator>
  <cp:keywords/>
  <cp:lastModifiedBy>LUKSITE Marija</cp:lastModifiedBy>
  <cp:revision>2</cp:revision>
  <cp:lastPrinted>2004-11-19T15:42:00Z</cp:lastPrinted>
  <dcterms:created xsi:type="dcterms:W3CDTF">2024-10-17T09:35:00Z</dcterms:created>
  <dcterms:modified xsi:type="dcterms:W3CDTF">2024-10-17T09:35:00Z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A9-0076/2024</vt:lpwstr>
  </property>
  <property fmtid="{D5CDD505-2E9C-101B-9397-08002B2CF9AE}" pid="4" name="&lt;Type&gt;">
    <vt:lpwstr>RR</vt:lpwstr>
  </property>
</Properties>
</file>