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6B6F" w:rsidTr="0010095E">
        <w:trPr>
          <w:trHeight w:hRule="exact" w:val="1418"/>
        </w:trPr>
        <w:tc>
          <w:tcPr>
            <w:tcW w:w="6804" w:type="dxa"/>
            <w:shd w:val="clear" w:color="auto" w:fill="auto"/>
            <w:vAlign w:val="center"/>
          </w:tcPr>
          <w:p w:rsidR="00751A4A" w:rsidRPr="00B16B6F" w:rsidRDefault="004133B3" w:rsidP="0010095E">
            <w:pPr>
              <w:pStyle w:val="EPName"/>
            </w:pPr>
            <w:r w:rsidRPr="00B16B6F">
              <w:t>Parlament Ewropew</w:t>
            </w:r>
          </w:p>
          <w:p w:rsidR="00751A4A" w:rsidRPr="00B16B6F" w:rsidRDefault="00817416" w:rsidP="00756632">
            <w:pPr>
              <w:pStyle w:val="EPTerm"/>
              <w:rPr>
                <w:rStyle w:val="HideTWBExt"/>
                <w:noProof w:val="0"/>
                <w:vanish w:val="0"/>
                <w:color w:val="auto"/>
              </w:rPr>
            </w:pPr>
            <w:r w:rsidRPr="00B16B6F">
              <w:t>2019-2024</w:t>
            </w:r>
          </w:p>
        </w:tc>
        <w:tc>
          <w:tcPr>
            <w:tcW w:w="2268" w:type="dxa"/>
            <w:shd w:val="clear" w:color="auto" w:fill="auto"/>
          </w:tcPr>
          <w:p w:rsidR="00751A4A" w:rsidRPr="00B16B6F" w:rsidRDefault="00187494" w:rsidP="0010095E">
            <w:pPr>
              <w:pStyle w:val="EPLogo"/>
            </w:pPr>
            <w:r w:rsidRPr="00B16B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6B6F" w:rsidRDefault="00D058B8" w:rsidP="004C5D52">
      <w:pPr>
        <w:pStyle w:val="LineTop"/>
      </w:pPr>
    </w:p>
    <w:p w:rsidR="00680577" w:rsidRPr="00B16B6F" w:rsidRDefault="004133B3" w:rsidP="00680577">
      <w:pPr>
        <w:pStyle w:val="EPBodyTA1"/>
      </w:pPr>
      <w:r w:rsidRPr="00B16B6F">
        <w:t>TESTI ADOTTATI</w:t>
      </w:r>
    </w:p>
    <w:p w:rsidR="00D058B8" w:rsidRPr="00B16B6F" w:rsidRDefault="00D058B8" w:rsidP="00D058B8">
      <w:pPr>
        <w:pStyle w:val="LineBottom"/>
      </w:pPr>
    </w:p>
    <w:p w:rsidR="004133B3" w:rsidRPr="00B16B6F" w:rsidRDefault="004133B3" w:rsidP="004133B3">
      <w:pPr>
        <w:pStyle w:val="ATHeading1"/>
      </w:pPr>
      <w:bookmarkStart w:id="0" w:name="TANumber"/>
      <w:r w:rsidRPr="00B16B6F">
        <w:t>P9_TA(2024)0</w:t>
      </w:r>
      <w:bookmarkEnd w:id="0"/>
      <w:r w:rsidR="003F6A42">
        <w:t>357</w:t>
      </w:r>
    </w:p>
    <w:p w:rsidR="004133B3" w:rsidRPr="00B16B6F" w:rsidRDefault="004133B3" w:rsidP="004133B3">
      <w:pPr>
        <w:pStyle w:val="ATHeading2"/>
      </w:pPr>
      <w:bookmarkStart w:id="1" w:name="title"/>
      <w:r w:rsidRPr="00B16B6F">
        <w:t>Emenda tar-Regolament (UE) 2016/1011 fir-rigward tal-ambitu tar-regoli għall-parametri referenzjarji, l-użu</w:t>
      </w:r>
      <w:r w:rsidR="009B46BD" w:rsidRPr="00B16B6F">
        <w:t xml:space="preserve"> </w:t>
      </w:r>
      <w:r w:rsidRPr="00B16B6F">
        <w:t>fl-Unjoni ta' parametri referenzjarji pprovduti minn amministratur li jinsab f'pajjiż terz, u ċerti rekwiżiti ta'</w:t>
      </w:r>
      <w:r w:rsidR="00A065A1" w:rsidRPr="00B16B6F">
        <w:t xml:space="preserve"> </w:t>
      </w:r>
      <w:r w:rsidRPr="00B16B6F">
        <w:t>rapportar</w:t>
      </w:r>
      <w:bookmarkEnd w:id="1"/>
    </w:p>
    <w:p w:rsidR="004133B3" w:rsidRPr="00B16B6F" w:rsidRDefault="004133B3" w:rsidP="004133B3">
      <w:pPr>
        <w:rPr>
          <w:i/>
          <w:vanish/>
        </w:rPr>
      </w:pPr>
      <w:r w:rsidRPr="00B16B6F">
        <w:rPr>
          <w:i/>
        </w:rPr>
        <w:fldChar w:fldCharType="begin"/>
      </w:r>
      <w:r w:rsidRPr="00B16B6F">
        <w:rPr>
          <w:i/>
        </w:rPr>
        <w:instrText xml:space="preserve"> TC"(</w:instrText>
      </w:r>
      <w:bookmarkStart w:id="2" w:name="DocNumber"/>
      <w:r w:rsidRPr="00B16B6F">
        <w:rPr>
          <w:i/>
        </w:rPr>
        <w:instrText>A9-0076/2024</w:instrText>
      </w:r>
      <w:bookmarkEnd w:id="2"/>
      <w:r w:rsidRPr="00B16B6F">
        <w:rPr>
          <w:i/>
        </w:rPr>
        <w:instrText xml:space="preserve"> - Rapporteur: Jonás Fernández)"\l3 \n&gt; \* MERGEFORMAT </w:instrText>
      </w:r>
      <w:r w:rsidRPr="00B16B6F">
        <w:rPr>
          <w:i/>
        </w:rPr>
        <w:fldChar w:fldCharType="end"/>
      </w:r>
    </w:p>
    <w:p w:rsidR="004133B3" w:rsidRPr="00B16B6F" w:rsidRDefault="004133B3" w:rsidP="004133B3">
      <w:pPr>
        <w:rPr>
          <w:vanish/>
        </w:rPr>
      </w:pPr>
      <w:bookmarkStart w:id="3" w:name="Commission"/>
      <w:r w:rsidRPr="00B16B6F">
        <w:rPr>
          <w:vanish/>
        </w:rPr>
        <w:t>Kumitat għall-Affarijiet Ekonomiċi u Monetarji</w:t>
      </w:r>
      <w:bookmarkEnd w:id="3"/>
    </w:p>
    <w:p w:rsidR="004133B3" w:rsidRPr="00B16B6F" w:rsidRDefault="004133B3" w:rsidP="004133B3">
      <w:pPr>
        <w:rPr>
          <w:vanish/>
        </w:rPr>
      </w:pPr>
      <w:bookmarkStart w:id="4" w:name="PE"/>
      <w:r w:rsidRPr="00B16B6F">
        <w:rPr>
          <w:vanish/>
        </w:rPr>
        <w:t>PE757.977</w:t>
      </w:r>
      <w:bookmarkEnd w:id="4"/>
    </w:p>
    <w:p w:rsidR="004133B3" w:rsidRPr="00B16B6F" w:rsidRDefault="004133B3" w:rsidP="004133B3">
      <w:pPr>
        <w:pStyle w:val="ATHeading3"/>
      </w:pPr>
      <w:bookmarkStart w:id="5" w:name="Sujet"/>
      <w:r w:rsidRPr="00B16B6F">
        <w:t>Riżoluzzjoni leġiżlattiva tal-Parlament Ewropew</w:t>
      </w:r>
      <w:r w:rsidR="0083016B" w:rsidRPr="00B16B6F">
        <w:t xml:space="preserve"> tal-24 ta’ April 2024</w:t>
      </w:r>
      <w:r w:rsidRPr="00B16B6F">
        <w:t xml:space="preserve"> dwar il-proposta għal regolament tal-Parlament Ewropew u tal-Kunsill li jemenda r-Regolament (UE) 2016/1011 fir-rigward tal-ambitu tar-regoli għall-parametri referenzjarji, l-użu fl-Unjoni ta’ parametri referenzjarji pprovduti minn amministratur li jinsab f’pajjiż terz, u ċerti rekwiżiti ta’ rapportar</w:t>
      </w:r>
      <w:bookmarkEnd w:id="5"/>
      <w:r w:rsidRPr="00B16B6F">
        <w:t xml:space="preserve"> </w:t>
      </w:r>
      <w:bookmarkStart w:id="6" w:name="References"/>
      <w:r w:rsidRPr="00B16B6F">
        <w:t>(COM(2023)0660 – C9-0389/2023 – 2023/0379(COD))</w:t>
      </w:r>
      <w:bookmarkEnd w:id="6"/>
    </w:p>
    <w:p w:rsidR="00A065A1" w:rsidRPr="00B16B6F" w:rsidRDefault="00A065A1" w:rsidP="00A065A1">
      <w:pPr>
        <w:pStyle w:val="NormalBold"/>
      </w:pPr>
      <w:r w:rsidRPr="00B16B6F">
        <w:t>(Proċedura leġiżlattiva ordinarja: l-ewwel qari)</w:t>
      </w:r>
    </w:p>
    <w:p w:rsidR="002B334C" w:rsidRPr="00B16B6F" w:rsidRDefault="002B334C" w:rsidP="002B334C">
      <w:pPr>
        <w:pStyle w:val="EPComma"/>
      </w:pPr>
      <w:bookmarkStart w:id="7" w:name="TextBodyBegin"/>
      <w:bookmarkEnd w:id="7"/>
      <w:r w:rsidRPr="00B16B6F">
        <w:rPr>
          <w:i/>
        </w:rPr>
        <w:t>Il-Parlament Ewropew</w:t>
      </w:r>
      <w:r w:rsidRPr="00B16B6F">
        <w:t>,</w:t>
      </w:r>
    </w:p>
    <w:p w:rsidR="002B334C" w:rsidRPr="00B16B6F" w:rsidRDefault="002B334C" w:rsidP="002B334C">
      <w:pPr>
        <w:pStyle w:val="NormalHanging12a"/>
      </w:pPr>
      <w:r w:rsidRPr="00B16B6F">
        <w:t>–</w:t>
      </w:r>
      <w:r w:rsidRPr="00B16B6F">
        <w:tab/>
        <w:t>wara li kkunsidra l-proposta tal-Kummissjoni lill-Parlament Ewropew u lill-Kunsill (COM(2023)0660),</w:t>
      </w:r>
    </w:p>
    <w:p w:rsidR="002B334C" w:rsidRPr="00B16B6F" w:rsidRDefault="002B334C" w:rsidP="002B334C">
      <w:pPr>
        <w:pStyle w:val="NormalHanging12a"/>
      </w:pPr>
      <w:r w:rsidRPr="00B16B6F">
        <w:t>–</w:t>
      </w:r>
      <w:r w:rsidRPr="00B16B6F">
        <w:tab/>
        <w:t>wara li kkunsidra l-Artikolu 294(2) u 114 tat-Trattat dwar il-Funzjonament tal-Unjoni Ewropea, skont liema artikoli l-Kummissjoni ppreżentat il-proposta lill-Parlament (C9</w:t>
      </w:r>
      <w:r w:rsidRPr="00B16B6F">
        <w:noBreakHyphen/>
        <w:t>0389/2023),</w:t>
      </w:r>
    </w:p>
    <w:p w:rsidR="002B334C" w:rsidRPr="00B16B6F" w:rsidRDefault="002B334C" w:rsidP="002B334C">
      <w:pPr>
        <w:pStyle w:val="NormalHanging12a"/>
      </w:pPr>
      <w:r w:rsidRPr="00B16B6F">
        <w:t>–</w:t>
      </w:r>
      <w:r w:rsidRPr="00B16B6F">
        <w:tab/>
        <w:t>wara li kkunsidra l-Artikolu 294(3) tat-Trattat dwar il-Funzjonament tal-Unjoni Ewropea,</w:t>
      </w:r>
    </w:p>
    <w:p w:rsidR="002B334C" w:rsidRPr="00B16B6F" w:rsidRDefault="002B334C" w:rsidP="002B334C">
      <w:pPr>
        <w:pStyle w:val="NormalHanging12a"/>
      </w:pPr>
      <w:r w:rsidRPr="00B16B6F">
        <w:t>–</w:t>
      </w:r>
      <w:r w:rsidRPr="00B16B6F">
        <w:tab/>
        <w:t>wara li kkunsidra l-Artikolu 59 tar-Regoli ta’ Proċedura,</w:t>
      </w:r>
    </w:p>
    <w:p w:rsidR="002B334C" w:rsidRPr="00B16B6F" w:rsidRDefault="002B334C" w:rsidP="002B334C">
      <w:pPr>
        <w:pStyle w:val="NormalHanging12a"/>
      </w:pPr>
      <w:r w:rsidRPr="00B16B6F">
        <w:t>–</w:t>
      </w:r>
      <w:r w:rsidRPr="00B16B6F">
        <w:tab/>
        <w:t>wara li kkunsidra r-rapport tal-Kumitat għall-Affarijiet Ekonomiċi u Monetarji (A9</w:t>
      </w:r>
      <w:r w:rsidRPr="00B16B6F">
        <w:noBreakHyphen/>
        <w:t>0076/2024),</w:t>
      </w:r>
    </w:p>
    <w:p w:rsidR="002B334C" w:rsidRPr="00B16B6F" w:rsidRDefault="002B334C" w:rsidP="002B334C">
      <w:pPr>
        <w:pStyle w:val="NormalHanging12a"/>
      </w:pPr>
      <w:r w:rsidRPr="00B16B6F">
        <w:t>1.</w:t>
      </w:r>
      <w:r w:rsidRPr="00B16B6F">
        <w:tab/>
        <w:t>Jadotta l-pożizzjoni fl-ewwel qari li tidher hawn taħt;</w:t>
      </w:r>
    </w:p>
    <w:p w:rsidR="002B334C" w:rsidRPr="00B16B6F" w:rsidRDefault="002B334C" w:rsidP="002B334C">
      <w:pPr>
        <w:pStyle w:val="NormalHanging12a"/>
      </w:pPr>
      <w:r w:rsidRPr="00B16B6F">
        <w:t>2.</w:t>
      </w:r>
      <w:r w:rsidRPr="00B16B6F">
        <w:tab/>
        <w:t>Jistieden lill-Kummissjoni terġa’ tirreferi l-kwistjoni lill-Parlament jekk tibdel il-proposta tagħha, temendaha b’mod sustanzjali jew ikollha l-ħsieb li temendaha b’mod sustanzjali;</w:t>
      </w:r>
    </w:p>
    <w:p w:rsidR="0075183E" w:rsidRDefault="002B334C" w:rsidP="0075183E">
      <w:pPr>
        <w:pStyle w:val="NormalHanging12a"/>
        <w:sectPr w:rsidR="0075183E" w:rsidSect="00BE25EA">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1134" w:right="1418" w:bottom="1418" w:left="1418" w:header="1134" w:footer="567" w:gutter="0"/>
          <w:cols w:space="720"/>
          <w:noEndnote/>
          <w:docGrid w:linePitch="326"/>
        </w:sectPr>
      </w:pPr>
      <w:r w:rsidRPr="00B16B6F">
        <w:t>3.</w:t>
      </w:r>
      <w:r w:rsidRPr="00B16B6F">
        <w:tab/>
        <w:t xml:space="preserve">Jagħti istruzzjonijiet lill-President tiegħu biex tgħaddi l-pożizzjoni tiegħu lill-Kunsill u </w:t>
      </w:r>
      <w:r w:rsidRPr="00B16B6F">
        <w:lastRenderedPageBreak/>
        <w:t>lill-Kummissjoni kif ukoll lill-parlamenti nazzjonali.</w:t>
      </w:r>
    </w:p>
    <w:p w:rsidR="007D566F" w:rsidRPr="0075183E" w:rsidRDefault="007D566F" w:rsidP="0075183E">
      <w:pPr>
        <w:pStyle w:val="NormalHanging12a"/>
        <w:rPr>
          <w:b/>
        </w:rPr>
      </w:pPr>
      <w:r w:rsidRPr="0075183E">
        <w:rPr>
          <w:b/>
        </w:rPr>
        <w:lastRenderedPageBreak/>
        <w:t>P9_TC1-COD(2023)0379</w:t>
      </w:r>
    </w:p>
    <w:p w:rsidR="002B334C" w:rsidRPr="00B16B6F" w:rsidRDefault="007D566F" w:rsidP="007D566F">
      <w:pPr>
        <w:pStyle w:val="AmNumberTabs"/>
        <w:keepNext/>
        <w:rPr>
          <w:noProof/>
        </w:rPr>
      </w:pPr>
      <w:r w:rsidRPr="007D566F">
        <w:t>Pożizzjoni tal-Parlament Ewropew adottata fl-ewwel qari fl-24 ta' April 2024 bil-ħsieb tal-adozzjoni tar-Regolament (UE) 2024/... tal-Parlament Ewropew u tal-Kunsill</w:t>
      </w:r>
      <w:r w:rsidRPr="00B94B28">
        <w:t xml:space="preserve"> </w:t>
      </w:r>
      <w:r w:rsidR="002B334C" w:rsidRPr="00B16B6F">
        <w:t>li jemenda r-Regolament (UE) 2016/1011 fir-rigward tal-ambitu tar-regoli għall-parametri referenzjarji, l-użu fl-Unjoni ta’ parametri referenzjarji pprovduti minn amministratur li jinsab f’pajjiż terz, u ċerti rekwiżiti ta’ rapportar</w:t>
      </w:r>
      <w:r w:rsidRPr="00E70000">
        <w:rPr>
          <w:rStyle w:val="FootnoteReference"/>
          <w:b w:val="0"/>
          <w:szCs w:val="24"/>
        </w:rPr>
        <w:footnoteReference w:customMarkFollows="1" w:id="1"/>
        <w:t>*</w:t>
      </w:r>
    </w:p>
    <w:p w:rsidR="002B334C" w:rsidRPr="00B16B6F" w:rsidRDefault="002B334C" w:rsidP="002B334C">
      <w:pPr>
        <w:pStyle w:val="IntrtEEE"/>
        <w:rPr>
          <w:noProof/>
        </w:rPr>
      </w:pPr>
      <w:r w:rsidRPr="00B16B6F">
        <w:t>(Test b’rilevanza għaż-ŻEE)</w:t>
      </w:r>
    </w:p>
    <w:p w:rsidR="002B334C" w:rsidRPr="00B16B6F" w:rsidRDefault="002B334C" w:rsidP="002B334C">
      <w:pPr>
        <w:pStyle w:val="Institutionquiagit"/>
        <w:rPr>
          <w:noProof/>
        </w:rPr>
      </w:pPr>
      <w:r w:rsidRPr="00B16B6F">
        <w:t>IL-PARLAMENT EWROPEW U L-KUNSILL TAL-UNJONI EWROPEA,</w:t>
      </w:r>
    </w:p>
    <w:p w:rsidR="002B334C" w:rsidRPr="00B16B6F" w:rsidRDefault="002B334C" w:rsidP="002B334C">
      <w:pPr>
        <w:rPr>
          <w:noProof/>
        </w:rPr>
      </w:pPr>
      <w:r w:rsidRPr="00B16B6F">
        <w:t>Wara li kkunsidraw it-Trattat dwar il-Funzjonament tal-Unjoni Ewropea u, b’mod partikolari, l-Artikolu 114 tiegħu,</w:t>
      </w:r>
    </w:p>
    <w:p w:rsidR="002B334C" w:rsidRPr="00B16B6F" w:rsidRDefault="002B334C" w:rsidP="002B334C">
      <w:pPr>
        <w:rPr>
          <w:noProof/>
        </w:rPr>
      </w:pPr>
      <w:r w:rsidRPr="00B16B6F">
        <w:t>Wara li kkunsidraw il-proposta tal-Kummissjoni Ewropea,</w:t>
      </w:r>
    </w:p>
    <w:p w:rsidR="002B334C" w:rsidRPr="00B16B6F" w:rsidRDefault="002B334C" w:rsidP="002B334C">
      <w:pPr>
        <w:rPr>
          <w:noProof/>
        </w:rPr>
      </w:pPr>
      <w:r w:rsidRPr="00B16B6F">
        <w:t>Wara li l-abbozz tal-att leġiżlattiv intbagħat lill-parlamenti nazzjonali,</w:t>
      </w:r>
    </w:p>
    <w:p w:rsidR="002B334C" w:rsidRPr="00B16B6F" w:rsidRDefault="002B334C" w:rsidP="002B334C">
      <w:pPr>
        <w:rPr>
          <w:noProof/>
        </w:rPr>
      </w:pPr>
      <w:r w:rsidRPr="00B16B6F">
        <w:t>Wara li kkunsidraw l-opinjoni tal-Bank Ċentrali Ewropew</w:t>
      </w:r>
      <w:r w:rsidRPr="00B16B6F">
        <w:rPr>
          <w:rStyle w:val="FootnoteReference"/>
          <w:noProof/>
        </w:rPr>
        <w:footnoteReference w:id="2"/>
      </w:r>
      <w:r w:rsidRPr="00B16B6F">
        <w:t>,</w:t>
      </w:r>
    </w:p>
    <w:p w:rsidR="002B334C" w:rsidRPr="00B16B6F" w:rsidRDefault="002B334C" w:rsidP="002B334C">
      <w:pPr>
        <w:rPr>
          <w:noProof/>
        </w:rPr>
      </w:pPr>
      <w:r w:rsidRPr="00B16B6F">
        <w:t>Wara li kkunsidraw l-opinjoni tal-Kumitat Ekonomiku u Soċjali Ewropew</w:t>
      </w:r>
      <w:r w:rsidRPr="00B16B6F">
        <w:rPr>
          <w:rStyle w:val="FootnoteReference"/>
          <w:noProof/>
        </w:rPr>
        <w:footnoteReference w:id="3"/>
      </w:r>
      <w:r w:rsidRPr="00B16B6F">
        <w:t xml:space="preserve">, </w:t>
      </w:r>
    </w:p>
    <w:p w:rsidR="002B334C" w:rsidRPr="00B16B6F" w:rsidRDefault="002B334C" w:rsidP="002B334C">
      <w:pPr>
        <w:rPr>
          <w:noProof/>
        </w:rPr>
      </w:pPr>
      <w:r w:rsidRPr="00B16B6F">
        <w:t>Filwaqt li jaġixxu skont il-proċedura leġiżlattiva ordinarja</w:t>
      </w:r>
      <w:r w:rsidRPr="00B16B6F">
        <w:rPr>
          <w:rStyle w:val="FootnoteReference"/>
          <w:noProof/>
        </w:rPr>
        <w:footnoteReference w:id="4"/>
      </w:r>
      <w:r w:rsidRPr="00B16B6F">
        <w:t>,</w:t>
      </w:r>
    </w:p>
    <w:p w:rsidR="002B334C" w:rsidRPr="00B16B6F" w:rsidRDefault="002B334C" w:rsidP="002B334C">
      <w:pPr>
        <w:rPr>
          <w:noProof/>
        </w:rPr>
      </w:pPr>
      <w:r w:rsidRPr="00B16B6F">
        <w:t>Billi:</w:t>
      </w:r>
    </w:p>
    <w:p w:rsidR="002B334C" w:rsidRPr="00B16B6F" w:rsidRDefault="002B334C" w:rsidP="002B334C">
      <w:pPr>
        <w:rPr>
          <w:noProof/>
        </w:rPr>
      </w:pPr>
    </w:p>
    <w:p w:rsidR="002B334C" w:rsidRPr="00B16B6F" w:rsidRDefault="002B334C" w:rsidP="002B334C">
      <w:pPr>
        <w:pStyle w:val="ManualConsidrant"/>
        <w:rPr>
          <w:noProof/>
        </w:rPr>
      </w:pPr>
      <w:r w:rsidRPr="00B16B6F">
        <w:t>(1)</w:t>
      </w:r>
      <w:r w:rsidRPr="00B16B6F">
        <w:tab/>
        <w:t>Ir-rekwiżiti ta’ rapportar għandhom rwol ewlieni fl-iżgurar tal-monitoraġġ xieraq u fl-infurzar korrett tal-leġiżlazzjoni. Madankollu, huwa importanti li dawk ir-rekwiżiti jiġu ssimplifikati sabiex jiġi żgurat li jissodisfaw l-iskop li għalih kienu maħsuba u biex jiġi llimitat il-piż amministrattiv.</w:t>
      </w:r>
    </w:p>
    <w:p w:rsidR="002B334C" w:rsidRPr="00B16B6F" w:rsidRDefault="002B334C" w:rsidP="002B334C">
      <w:pPr>
        <w:pStyle w:val="ManualConsidrant"/>
        <w:rPr>
          <w:noProof/>
        </w:rPr>
      </w:pPr>
      <w:r w:rsidRPr="00B16B6F">
        <w:t>(2)</w:t>
      </w:r>
      <w:r w:rsidRPr="00B16B6F">
        <w:tab/>
        <w:t>Skont ir-Regolament (UE) 2016/1011 tal-Parlament Ewropew u tal-Kunsill</w:t>
      </w:r>
      <w:r w:rsidRPr="00B16B6F">
        <w:rPr>
          <w:rStyle w:val="FootnoteReference"/>
          <w:noProof/>
        </w:rPr>
        <w:footnoteReference w:id="5"/>
      </w:r>
      <w:r w:rsidRPr="00B16B6F">
        <w:t xml:space="preserve">, l-amministraturi kollha ta’ parametri referenzjarji, irrispettivament mir-rilevanza sistemika ta’ dawk il-parametri referenzjarji jew mill-ammont ta’ strumenti jew kuntratti finanzjarji li jużaw dawk il-parametri referenzjarji bħala rati ta’ referenza jew bħala parametri referenzjarji tal-prestazzjoni, għandhom jikkonformaw ma’ diversi rekwiżiti dettaljati ħafna, inkluż rekwiżiti dwar l-organizzazzjoni tagħhom, dwar il-governanza u l-kunflitti ta’ interess, dwar il-funzjonijiet ta’ sorveljanza, dwar id-data tal-input, dwar il-kodiċijiet ta’ kondotta, dwar ir-rapportar ta’ ksur, u dwar id-divulgazzjonijiet tad-dikjarazzjonijiet metodoloġiċi u ta’ parametru referenzjarju. Dawk ir-rekwiżiti dettaljati ħafna poġġew piż regolatorju sproporzjonat fuq l-amministraturi ta’ parametri referenzjarji iżgħar fl-Unjoni meta jitqiesu l-għanijiet tar-Regolament (UE) 2016/1011, jiġifieri li tiġi ssalvagwardjata l-istabbiltà finanzjarja u li jiġu evitati konsegwenzi ekonomiċi negattivi li jirriżultaw min-nuqqas ta’ affidabbiltà tal-parametri referenzjarji. </w:t>
      </w:r>
      <w:r w:rsidRPr="00B16B6F">
        <w:lastRenderedPageBreak/>
        <w:t>Għalhekk huwa meħtieġ li jitnaqqas dak il-piż regolatorju billi ssir enfasi fuq dawk il-parametri referenzjarji bl-akbar rilevanza ekonomika għas-suq tal-Unjoni, jiġifieri l-parametri referenzjarji sinifikanti u ta’ importanza kritika, u fuq dawk il-parametri referenzjarji li jikkontribwixxu għall-promozzjoni ta’ politiki ewlenin tal-Unjoni, jiġifieri l-Parametri Referenzjarji tat-Tranżizzjoni Klimatika tal-UE u l-Parametri Referenzjarji tal-UE allinjati mal-Ftehim ta’ Pariġi. Minħabba dik ir-raġuni, il-kamp ta’ applikazzjoni tat-Titoli II, III, IV u VI tar-Regolament (UE) 2016/1011 jenħtieġ li jitnaqqas għal dawk il-parametri referenzjarji speċifiċi.</w:t>
      </w:r>
    </w:p>
    <w:p w:rsidR="002B334C" w:rsidRPr="00B16B6F" w:rsidRDefault="002B334C" w:rsidP="002B334C">
      <w:pPr>
        <w:pStyle w:val="ManualConsidrant"/>
        <w:rPr>
          <w:b/>
          <w:i/>
          <w:noProof/>
        </w:rPr>
      </w:pPr>
      <w:r w:rsidRPr="00B16B6F">
        <w:rPr>
          <w:b/>
          <w:i/>
        </w:rPr>
        <w:t xml:space="preserve">(2a) </w:t>
      </w:r>
      <w:r w:rsidRPr="00B16B6F">
        <w:rPr>
          <w:b/>
          <w:i/>
        </w:rPr>
        <w:tab/>
        <w:t>L-amministraturi tal-parametri referenzjarji li jixtiequ jibqgħu fil-kamp ta’ applikazzjoni tar-Regolament (UE) 2016/1011 jenħtieġ li jkollhom l-għażla li jitolbu superviżjoni volontarja anke jekk il-parametri referenzjarji tagħhom ma jissodisfawx il-limitu ta’ parametru referenzjarju sinifikanti jew ma jkunux iddeżinjati bħala sinifikanti. Bl-istess mod, l-amministraturi tal-parametri referenzjarji li l-parametri referenzjarji tagħhom ma jissodisfawx il-limitu ta’ parametru referenzjarju sinifikanti u li jixtiequ jiksbu liċenzja regolatorja skont ir-Regolament (UE) 2016/1011 jenħtieġ li ma jiġux ipprojbiti milli jagħmlu dan.</w:t>
      </w:r>
    </w:p>
    <w:p w:rsidR="002B334C" w:rsidRPr="00B16B6F" w:rsidRDefault="002B334C" w:rsidP="002B334C">
      <w:pPr>
        <w:pStyle w:val="ManualConsidrant"/>
        <w:rPr>
          <w:noProof/>
        </w:rPr>
      </w:pPr>
      <w:r w:rsidRPr="00B16B6F">
        <w:t>(3)</w:t>
      </w:r>
      <w:r w:rsidRPr="00B16B6F">
        <w:tab/>
        <w:t>Skont l-Artikolu 18a tar-Regolament (UE) 2016/1011, il-Kummissjoni tista’ teżenta ċerti parametri referenzjarji tal-kambju spot mill-kamp ta’ applikazzjoni ta’ dak ir-Regolament biex tiżgura t-tkomplija tad-disponibbiltà tagħhom għall-użu fl-Unjoni. Fid-dawl tal-ħtieġa ta’ enfasi riveduta u aktar ristretta tar-Regolament (UE) 2016/1011 dwar parametri referenzjarji ta’ importanza kritika, parametri referenzjarji sinifikanti, Parametri Referenzjarji tat-Tranżizzjoni Klimatika tal-UE u Parametri Referenzjarji tal-UE allinjati mal-Ftehim ta’ Pariġi, ma għadx hemm ħtieġa tar-reġim ta’ eżenzjoni speċifiku għall-parametri referenzjarji tal-kambju spot.</w:t>
      </w:r>
    </w:p>
    <w:p w:rsidR="002B334C" w:rsidRPr="00B16B6F" w:rsidRDefault="002B334C" w:rsidP="002B334C">
      <w:pPr>
        <w:pStyle w:val="ManualConsidrant"/>
        <w:rPr>
          <w:noProof/>
        </w:rPr>
      </w:pPr>
      <w:r w:rsidRPr="00B16B6F">
        <w:t>(4)</w:t>
      </w:r>
      <w:r w:rsidRPr="00B16B6F">
        <w:tab/>
        <w:t>Skont l-Artikolu 19d tar-Regolament (UE) 2016/1011, l-amministraturi ta’ parametri referenzjarji sinifikanti huma meħtieġa jagħmlu ħilithom biex jipprovdu Parametru Referenzjarju tat-Tranżizzjoni Klimatika tal-UE jew Parametru Referenzjarju tal-UE allinjat mal-Ftehim ta’ Pariġi</w:t>
      </w:r>
      <w:r w:rsidRPr="00B16B6F">
        <w:rPr>
          <w:b/>
          <w:bCs/>
          <w:i/>
          <w:iCs/>
        </w:rPr>
        <w:t xml:space="preserve"> biex jistabbilixxu standards minimi għall-parametri referenzjarji tal-klima u jipprovdu provvista komprensiva ta’ indiċijiet klimatiċi fl-Unjon</w:t>
      </w:r>
      <w:r w:rsidRPr="00B16B6F">
        <w:t>i.</w:t>
      </w:r>
    </w:p>
    <w:p w:rsidR="002B334C" w:rsidRPr="00B16B6F" w:rsidRDefault="002B334C" w:rsidP="002B334C">
      <w:pPr>
        <w:pStyle w:val="ManualConsidrant"/>
        <w:rPr>
          <w:noProof/>
        </w:rPr>
      </w:pPr>
      <w:r w:rsidRPr="00B16B6F">
        <w:t>(5)</w:t>
      </w:r>
      <w:r w:rsidRPr="00B16B6F">
        <w:tab/>
        <w:t>Il-kriterji għall-valutazzjoni ta’ jekk parametru referenzjarju huwiex parametru referenzjarju sinifikanti bħalissa huma stabbiliti fl-Artikolu 24 tar-Regolament (UE) 2016/1011. Il-parametri referenzjarji se jitqiesu bħala sinifikanti, fost l-oħrajn, meta jissodisfaw il-limitu stabbilit fl-Artikolu 24(1), il-punt (a), ta’ dak ir-Regolament.</w:t>
      </w:r>
      <w:bookmarkStart w:id="8" w:name="_Hlk147412513"/>
    </w:p>
    <w:p w:rsidR="002B334C" w:rsidRPr="00B16B6F" w:rsidRDefault="002B334C" w:rsidP="002B334C">
      <w:pPr>
        <w:pStyle w:val="ManualConsidrant"/>
        <w:rPr>
          <w:noProof/>
        </w:rPr>
      </w:pPr>
      <w:r w:rsidRPr="00B16B6F">
        <w:t>(6)</w:t>
      </w:r>
      <w:r w:rsidRPr="00B16B6F">
        <w:tab/>
        <w:t>L-amministraturi ta’ parametri referenzjarji</w:t>
      </w:r>
      <w:r w:rsidRPr="00B16B6F">
        <w:rPr>
          <w:b/>
          <w:bCs/>
          <w:i/>
          <w:iCs/>
        </w:rPr>
        <w:t xml:space="preserve"> jenħtieġ li</w:t>
      </w:r>
      <w:r w:rsidRPr="00B16B6F">
        <w:t xml:space="preserve"> jimmonitorjaw l-użu fl-Unjoni tal-parametri referenzjarji li jipprovdu </w:t>
      </w:r>
      <w:r w:rsidRPr="00B16B6F">
        <w:rPr>
          <w:b/>
          <w:bCs/>
          <w:i/>
          <w:iCs/>
        </w:rPr>
        <w:t>u</w:t>
      </w:r>
      <w:r w:rsidRPr="00B16B6F">
        <w:t xml:space="preserve"> jinnotifikaw lill-awtorità kompetenti kkonċernata jew lill-Awtorità Ewropea tat-Titoli u s-Swieq (ESMA), skont fejn jinsab dak l-amministratur, li l-użu aggregat ta’ wieħed mill-parametri referenzjarji tagħhom qabeż il-limitu stabbilit fl-Artikolu 24(1), il-punt (a), tar-Regolament (UE) 2016/1011. </w:t>
      </w:r>
      <w:r w:rsidRPr="00B16B6F">
        <w:rPr>
          <w:b/>
          <w:i/>
        </w:rPr>
        <w:t>Madankollu, huwa diffiċli li jiġi kkalkulat tali limitu, speċjalment fil-livell tal-Unjoni. Sabiex tiġi żgurata implimentazzjoni konsistenti ta’ dak il-limiti, l-ESMA jenħtieġ li tiżviluppa abbozzi ta’ standards tekniċi regolatorji biex tispeċifika aktar il-metodu ta’ kalkolu. Barra minn hekk, jenħtieġ li l-amministraturi tal-parametri referenzjarji użati fl-Unjoni jagħmlu ħilithom biex jiksbu kodiċi ta’ identifikazzjoni maqbul globalment biex jidentifikaw il-parametri referenzjarji tagħhom.</w:t>
      </w:r>
    </w:p>
    <w:p w:rsidR="002B334C" w:rsidRPr="00B16B6F" w:rsidRDefault="002B334C" w:rsidP="002B334C">
      <w:pPr>
        <w:pStyle w:val="ManualConsidrant"/>
        <w:rPr>
          <w:noProof/>
        </w:rPr>
      </w:pPr>
      <w:r w:rsidRPr="00B16B6F">
        <w:rPr>
          <w:b/>
          <w:i/>
        </w:rPr>
        <w:t>(6a)</w:t>
      </w:r>
      <w:r w:rsidRPr="00B16B6F">
        <w:rPr>
          <w:b/>
          <w:i/>
        </w:rPr>
        <w:tab/>
        <w:t>Sabiex jiġi żgurat li l-amministraturi ta’ parametri referenzjarji jkollhom biżżejjed żmien biex jadattaw għar-rekwiżiti li japplikaw għal parametri referenzjarji sinifikanti, jenħtieġ li jkunu soġġetti biss għal dawk ir-rekwiżiti fi żmien 60 jum tax-</w:t>
      </w:r>
      <w:r w:rsidRPr="00B16B6F">
        <w:rPr>
          <w:b/>
          <w:i/>
        </w:rPr>
        <w:lastRenderedPageBreak/>
        <w:t>xogħol wara li jkunu ppreżentaw tali notifika. Barra minn hekk, jenħtieġ li l-amministraturi ta’ parametri referenzjarji jipprovdu lill-awtoritajiet kompetenti kkonċernati jew lill-ESMA, fuq talba, l-informazzjoni kollha meħtieġa biex jivvalutaw l-użu aggregat ta’ dak il-parametru referenzjarju fl-Unjoni.</w:t>
      </w:r>
      <w:r w:rsidRPr="00B16B6F">
        <w:t xml:space="preserve"> </w:t>
      </w:r>
    </w:p>
    <w:p w:rsidR="002B334C" w:rsidRPr="00B16B6F" w:rsidRDefault="002B334C" w:rsidP="002B334C">
      <w:pPr>
        <w:pStyle w:val="ManualConsidrant"/>
        <w:rPr>
          <w:b/>
          <w:i/>
          <w:noProof/>
        </w:rPr>
      </w:pPr>
      <w:r w:rsidRPr="00B16B6F">
        <w:rPr>
          <w:b/>
          <w:i/>
        </w:rPr>
        <w:t>(6b)</w:t>
      </w:r>
      <w:r w:rsidRPr="00B16B6F">
        <w:rPr>
          <w:b/>
          <w:i/>
        </w:rPr>
        <w:tab/>
      </w:r>
      <w:r w:rsidRPr="00B16B6F">
        <w:rPr>
          <w:b/>
          <w:bCs/>
          <w:i/>
          <w:iCs/>
        </w:rPr>
        <w:t>Meta amministratur ta’ parametru referenzjarju</w:t>
      </w:r>
      <w:r w:rsidRPr="00B16B6F">
        <w:t xml:space="preserve"> jonqos jew jirrifjuta </w:t>
      </w:r>
      <w:r w:rsidRPr="00B16B6F">
        <w:rPr>
          <w:b/>
          <w:bCs/>
          <w:i/>
          <w:iCs/>
        </w:rPr>
        <w:t xml:space="preserve">li jinnotifika lill-awtoritajiet kompetenti li l-użu ta’ wieħed mill-parametri referenzjarji tiegħu jkun qabeż il-limitu stabbilit fl-Artikolu 24(1), il-punt (a), tar-Regolament (UE) 2016/1011, </w:t>
      </w:r>
      <w:r w:rsidRPr="00B16B6F">
        <w:t>u</w:t>
      </w:r>
      <w:r w:rsidRPr="00B16B6F">
        <w:rPr>
          <w:b/>
          <w:bCs/>
          <w:i/>
          <w:iCs/>
        </w:rPr>
        <w:t xml:space="preserve"> meta l-awtoritajiet kompetenti jkollhom raġunijiet ċari u dimostrabbli biex iqisu li l-limitu jkun inqabeż, l-awtoritajiet kompetenti kkonċernati jew l-ESMA, kif xieraq, jenħtieġ li jkunu jistgħu jiddikjaraw li l-limitu jkun inqabeż, wara li l-ewwel ikunu taw lill-amministratur l-opportunità li jinstema’.</w:t>
      </w:r>
      <w:r w:rsidRPr="00B16B6F">
        <w:rPr>
          <w:b/>
          <w:i/>
        </w:rPr>
        <w:t xml:space="preserve"> Tali dikjarazzjoni jenħtieġ li tiskatta l-istess obbligi għall-amministratur tal-parametru referenzjarju bħal notifika mill-amministratur tal-parametru referenzjarju. Dan jenħtieġ li jkun mingħajr preġudizzju għall-kapaċità tal-awtoritajiet kompetenti jew tal-ESMA li jimponu sanzjonijiet amministrattivi fuq dawk l-amministraturi li jonqsu milli jinnotifikaw li wieħed mill-parametri referenzjarji tagħhom ikun qabeż il-limitu applikabbli.</w:t>
      </w:r>
    </w:p>
    <w:bookmarkEnd w:id="8"/>
    <w:p w:rsidR="002B334C" w:rsidRPr="00B16B6F" w:rsidRDefault="002B334C" w:rsidP="002B334C">
      <w:pPr>
        <w:pStyle w:val="ManualConsidrant"/>
        <w:rPr>
          <w:noProof/>
        </w:rPr>
      </w:pPr>
      <w:r w:rsidRPr="00B16B6F">
        <w:t>(7)</w:t>
      </w:r>
      <w:r w:rsidRPr="00B16B6F">
        <w:tab/>
        <w:t>Is-swieq, il-prezzijiet u l-ambjent regolatorju jevolvu maż-żmien. Sabiex jitqiesu dawk l-evoluzzjonijiet, il-Kummissjoni jenħtieġ li tingħata s-setgħa li tispeċifika ulterjorment il-metodoloġija li għandha tintuża mill-amministraturi u mill-awtoritajiet kompetenti biex jiġi kkalkolat il-valur totali tal-istrumenti finanzjarji, tal-kuntratti finanzjarji jew tal-fondi ta’ investiment li jirreferu għal parametru referenzjarju.</w:t>
      </w:r>
    </w:p>
    <w:p w:rsidR="002B334C" w:rsidRPr="00B16B6F" w:rsidRDefault="002B334C" w:rsidP="002B334C">
      <w:pPr>
        <w:pStyle w:val="ManualConsidrant"/>
        <w:rPr>
          <w:noProof/>
        </w:rPr>
      </w:pPr>
      <w:r w:rsidRPr="00B16B6F">
        <w:t>(8)</w:t>
      </w:r>
      <w:r w:rsidRPr="00B16B6F">
        <w:tab/>
        <w:t>Madankollu, f’każijiet eċċezzjonali, jista’ jkun hemm parametri referenzjarji b’użu aggregat taħt il-limitu stabbilit fl-Artikolu 24(1), il-punt (a), tar-Regolament (UE) 2016/1011 li, minħabba s-sitwazzjoni speċifika fis-suq ta’ Stat Membru, madankollu, huma ta’ tali importanza għal dak l-Istat Membru li kwalunkwe nuqqas ta’ affidabbiltà jkun ta’ impatt komparabbli bħal dak ta’ parametru referenzjarju li l-użu tiegħu jaqbeż dak il-limitu. Minħabba dik ir-raġuni, jenħtieġ li l-awtorità kompetenti ta’ dak l-Istat Membru tkun tista’ tiddeżinja tali parametru referenzjarju, meta dak il-parametru referenzjarju jiġi pprovdut minn amministratur tal-UE, bħala sinifikanti abbażi ta’ sett ta’ kriterji kwalitattivi. Għall-parametri referenzjarji pprovduti minn amministratur mhux tal-UE, jenħtieġ li tkun l-ESMA li, fuq talba ta’ awtorità kompetenti waħda jew aktar, tiddeżinja tali parametru referenzjarju bħala parametru referenzjarju sinifikanti.</w:t>
      </w:r>
    </w:p>
    <w:p w:rsidR="002B334C" w:rsidRPr="00B16B6F" w:rsidRDefault="002B334C" w:rsidP="002B334C">
      <w:pPr>
        <w:pStyle w:val="ManualConsidrant"/>
        <w:rPr>
          <w:noProof/>
        </w:rPr>
      </w:pPr>
      <w:bookmarkStart w:id="9" w:name="_Hlk147415000"/>
      <w:r w:rsidRPr="00B16B6F">
        <w:t>(9)</w:t>
      </w:r>
      <w:r w:rsidRPr="00B16B6F">
        <w:tab/>
        <w:t>Sabiex jiġu żgurati l-konsistenza u l-koordinazzjoni tad-deżinjazzjonijiet nazzjonali tal-parametri referenzjarji bħala parametri referenzjarji sinifikanti, jenħtieġ li l-awtoritajiet kompetenti li jkollhom il-ħsieb li jiddeżinjaw parametru referenzjarju bħala sinifikanti jikkonsultaw lill-ESMA. Minħabba l-istess raġuni, awtorità kompetenti ta’ Stat Membru li jkollha l-ħsieb li tiddeżinja bħala sinifikanti parametru referenzjarju li jiġi pprovdut minn amministratur li jkun jinsab fi Stat Membru ieħor jenħtieġ li tikkonsulta wkoll lill-awtorità kompetenti ta’ dak l-Istat Membru l-ieħor. Meta l-awtoritajiet kompetenti ma jaqblux bejniethom dwar min jenħtieġ li jiddeżinja u jissorvelja parametru referenzjarju, l-ESMA jenħtieġ li ssolvi dak in-nuqqas ta’ qbil f’konformità mal-Artikolu 19 tar-Regolament (UE) Nru 1095/2010 tal-Parlament Ewropew u tal-Kunsill</w:t>
      </w:r>
      <w:r w:rsidRPr="00B16B6F">
        <w:rPr>
          <w:rStyle w:val="FootnoteReference"/>
          <w:noProof/>
        </w:rPr>
        <w:footnoteReference w:id="6"/>
      </w:r>
      <w:r w:rsidRPr="00B16B6F">
        <w:t>.</w:t>
      </w:r>
    </w:p>
    <w:bookmarkEnd w:id="9"/>
    <w:p w:rsidR="002B334C" w:rsidRPr="00B16B6F" w:rsidRDefault="002B334C" w:rsidP="002B334C">
      <w:pPr>
        <w:pStyle w:val="ManualConsidrant"/>
        <w:rPr>
          <w:noProof/>
        </w:rPr>
      </w:pPr>
      <w:r w:rsidRPr="00B16B6F">
        <w:lastRenderedPageBreak/>
        <w:t>(10)</w:t>
      </w:r>
      <w:r w:rsidRPr="00B16B6F">
        <w:tab/>
        <w:t>Sabiex jiġi rrispettat id-dritt li wieħed jinstema’, jenħtieġ li awtorità kompetenti jew l-ESMA, qabel ma tiddeżinja parametru referenzjarju bħala sinifikanti, tippermetti lill-amministratur ta’ dak il-parametru referenzjarju jipprovdi kwalunkwe informazzjoni utli li hija rilevanti għad-deżinjazzjoni tiegħu.</w:t>
      </w:r>
    </w:p>
    <w:p w:rsidR="002B334C" w:rsidRPr="00B16B6F" w:rsidRDefault="002B334C" w:rsidP="002B334C">
      <w:pPr>
        <w:pStyle w:val="ManualConsidrant"/>
        <w:rPr>
          <w:noProof/>
        </w:rPr>
      </w:pPr>
      <w:r w:rsidRPr="00B16B6F">
        <w:t>(11)</w:t>
      </w:r>
      <w:r w:rsidRPr="00B16B6F">
        <w:tab/>
        <w:t>Sabiex id-deżinjazzjoni ta’ parametru referenzjarju bħala sinifikanti tkun trasparenti kemm jista’ jkun, l-awtoritajiet kompetenti jew l-ESMA jenħtieġ li joħorġu deċiżjoni dwar id-deżinjazzjoni li jkun fiha r-raġunijiet għaliex dak il-parametru referenzjarju jitqies bħala sinifikanti. Jenħtieġ li l-awtoritajiet kompetenti jippubblikaw id-deċiżjoni dwar id-deżinjazzjoni fuq is-sit web tagħhom u jenħtieġ li jinnotifikaw dik id-deċiżjoni lill-ESMA. Minħabba l-istess raġunijiet, meta l-ESMA tiddeżinja parametru referenzjarju bħala sinifikanti fuq talba ta’ awtorità kompetenti, l-ESMA jenħtieġ li tippubblika d-deċiżjoni dwar id-deżinjazzjoni fuq is-sit web tagħha u jenħtieġ li tinnotifika lill-awtorità kompetenti rikjedenti b’dan.</w:t>
      </w:r>
    </w:p>
    <w:p w:rsidR="002B334C" w:rsidRPr="00B16B6F" w:rsidRDefault="002B334C" w:rsidP="002B334C">
      <w:pPr>
        <w:pStyle w:val="ManualConsidrant"/>
        <w:rPr>
          <w:noProof/>
        </w:rPr>
      </w:pPr>
      <w:r w:rsidRPr="00B16B6F">
        <w:t>(12)</w:t>
      </w:r>
      <w:r w:rsidRPr="00B16B6F">
        <w:tab/>
        <w:t xml:space="preserve">Il-Parametri Referenzjarji tat-Tranżizzjoni Klimatika tal-UE </w:t>
      </w:r>
      <w:r w:rsidRPr="00B16B6F">
        <w:rPr>
          <w:b/>
          <w:bCs/>
          <w:i/>
          <w:iCs/>
        </w:rPr>
        <w:t>(EU CTB)</w:t>
      </w:r>
      <w:r w:rsidRPr="00B16B6F">
        <w:t xml:space="preserve"> ul-Parametri Referenzjarji tal-UE allinjati mal-Ftehim ta’ Pariġi </w:t>
      </w:r>
      <w:r w:rsidRPr="00B16B6F">
        <w:rPr>
          <w:b/>
          <w:bCs/>
          <w:i/>
          <w:iCs/>
        </w:rPr>
        <w:t>(EU PAB)</w:t>
      </w:r>
      <w:r w:rsidRPr="00B16B6F">
        <w:t xml:space="preserve">huma kategoriji speċifiċi ta’ parametri referenzjarji, definiti mill-konformità tagħhom ma’ regoli li jirregolaw il-metodoloġija tagħhom u </w:t>
      </w:r>
      <w:r w:rsidRPr="00B16B6F">
        <w:rPr>
          <w:b/>
          <w:bCs/>
          <w:i/>
          <w:iCs/>
        </w:rPr>
        <w:t>r-rekwiżiti ta’ divulgazzjoni tal-amministraturi</w:t>
      </w:r>
      <w:r w:rsidRPr="00B16B6F">
        <w:t xml:space="preserve"> tagħhom. Minħabba dik ir-raġuni, u biex jiġu pprevenuti asserzjonijiet li jistgħu jwasslu lill-utenti biex jaħsbu li tali parametri referenzjarji huma konformi mal-istandards marbuta ma’ dawk it-tikketti, huwa meħtieġ li dawk il-parametri referenzjarji jiġu soġġetti għal reġistrazzjoni</w:t>
      </w:r>
      <w:r w:rsidRPr="00B16B6F">
        <w:rPr>
          <w:b/>
          <w:bCs/>
          <w:i/>
          <w:iCs/>
        </w:rPr>
        <w:t>,</w:t>
      </w:r>
      <w:r w:rsidRPr="00B16B6F">
        <w:t xml:space="preserve"> </w:t>
      </w:r>
      <w:r w:rsidRPr="007D566F">
        <w:rPr>
          <w:b/>
          <w:i/>
        </w:rPr>
        <w:t>awtorizzazzjoni</w:t>
      </w:r>
      <w:r w:rsidRPr="007D566F">
        <w:rPr>
          <w:b/>
          <w:bCs/>
          <w:i/>
          <w:iCs/>
        </w:rPr>
        <w:t>,</w:t>
      </w:r>
      <w:r w:rsidRPr="00B16B6F">
        <w:rPr>
          <w:b/>
          <w:bCs/>
          <w:i/>
          <w:iCs/>
        </w:rPr>
        <w:t xml:space="preserve"> rikonoxximent jew approvazzjoni</w:t>
      </w:r>
      <w:r w:rsidRPr="00B16B6F">
        <w:t xml:space="preserve"> obbligatorja, kif xieraq, u għal superviżjoni. </w:t>
      </w:r>
    </w:p>
    <w:p w:rsidR="002B334C" w:rsidRPr="00B16B6F" w:rsidRDefault="002B334C" w:rsidP="002B334C">
      <w:pPr>
        <w:pStyle w:val="ManualConsidrant"/>
        <w:rPr>
          <w:b/>
          <w:i/>
          <w:noProof/>
        </w:rPr>
      </w:pPr>
      <w:r w:rsidRPr="00B16B6F">
        <w:rPr>
          <w:b/>
          <w:i/>
        </w:rPr>
        <w:t>(12a)</w:t>
      </w:r>
      <w:r w:rsidRPr="00B16B6F">
        <w:rPr>
          <w:b/>
          <w:i/>
        </w:rPr>
        <w:tab/>
        <w:t>It-trattament regolatorju tal-parametri referenzjarji tal-komoditajiet jenħtieġ li jitfassal skont il-karatteristiċi speċifiċi tagħhom. Il-parametri referenzjarji tal-komoditajiet li huma soġġetti għar-regoli ġenerali għall-parametri referenzjarji finanzjarji jenħtieġ li jiġu ttrattati b’mod identiku bħal parametri referenzjarji finanzjarji oħra u jenħtieġ li jkunu koperti mir-Regolament (UE) 2016/1011 biss jekk ikunu parametri referenzjarji sinifikanti jew ta’ importanza kritika u ma jkunux ġew eżentati mill-kamp ta’ applikazzjoni ta’ dan ir-Regolament. Il-parametri referenzjarji tal-komoditajiet soġġetti għar-reġim speċifiku fl-Anness II tar-Regolament (UE) 2016/1011 jenħtieġ li dejjem ikunu koperti minn dak ir-Regolament sabiex jiġu żgurati r-robustezza u l-affidabbiltà tal-valutazzjonijiet tagħhom.</w:t>
      </w:r>
    </w:p>
    <w:p w:rsidR="002B334C" w:rsidRPr="00B16B6F" w:rsidRDefault="002B334C" w:rsidP="002B334C">
      <w:pPr>
        <w:pStyle w:val="ManualConsidrant"/>
        <w:rPr>
          <w:noProof/>
        </w:rPr>
      </w:pPr>
      <w:r w:rsidRPr="00B16B6F">
        <w:t>(13)</w:t>
      </w:r>
      <w:r w:rsidRPr="00B16B6F">
        <w:tab/>
        <w:t>Sabiex jiġi żgurat il-bidu f’waqtu tas-superviżjoni ta’ parametri referenzjarji sinifikanti, jenħtieġ li l-amministraturi ta’ parametri referenzjarji li jkunu saru sinifikanti jew billi jilħqu l-limitu kwantitattiv applikabbli jew permezz ta’ deżinjazzjoni, jkunu meħtieġa li jitolbu, fi żmien 60 jum tax-xogħol, awtorizzazzjoni jew reġistrazzjoni jew, fil-każ ta’ parametri referenzjarji pprovduti minn amministratur li jinsab f’pajjiż terz, approvazzjoni jew rikonoxximent.</w:t>
      </w:r>
    </w:p>
    <w:p w:rsidR="002B334C" w:rsidRPr="00B16B6F" w:rsidRDefault="002B334C" w:rsidP="002B334C">
      <w:pPr>
        <w:pStyle w:val="ManualConsidrant"/>
        <w:rPr>
          <w:noProof/>
        </w:rPr>
      </w:pPr>
      <w:r w:rsidRPr="00B16B6F">
        <w:t>(14)</w:t>
      </w:r>
      <w:r w:rsidRPr="00B16B6F">
        <w:tab/>
        <w:t xml:space="preserve">Sabiex jiġu mmitigati r-riskji marbuta mal-użu ta’ parametri referenzjarji li potenzjalment ma humiex sikuri għall-użu fl-Unjoni, u biex iwissu lil utenti potenzjali, l-awtoritajiet kompetenti u l-ESMA jenħtieġ li jkunu jistgħu joħorġu twissija fil-forma ta’ avviż pubbliku li l-amministratur ta’ parametru referenzjarju sinifikanti ma jikkonformax mar-rekwiżiti applikabbli, b’mod partikolari fir-rigward tal-konformità mal-obbligu li l-amministratur tal-parametru referenzjarju jkun awtorizzat, irreġistrat, approvat jew rikonoxxut, kif applikabbli. Ladarba tkun inħarġet tali twissija, l-entitajiet taħt superviżjoni jenħtieġ li ma jibqgħux ikunu jistgħu jżidu referenzi ġodda għal tali parametri referenzjarji jew kombinazzjoni ta’ parametri referenzjarji. Bl-istess mod, biex jiġu pprevenuti r-riskji li jirriżultaw mill-użu ta’ parametri referenzjarji li jsostnu </w:t>
      </w:r>
      <w:r w:rsidRPr="00B16B6F">
        <w:lastRenderedPageBreak/>
        <w:t xml:space="preserve">l-konformità mat-tikketti tat-Tranżizzjoni Klimatika tal-UE u mat-tikketti tal-UE allinjati mal-Ftehim ta’ Pariġi mingħajr ma jkunu soġġetti għal superviżjoni adegwata, l-entitajiet taħt superviżjoni jenħtieġ li la jkunu jistgħu jżidu referenzi ġodda għal Parametru Referenzjarju tat-Tranżizzjoni Klimatika tal-UE jew Parametru Referenzjarju tal-UE allinjat mal-Ftehim ta’ Pariġi jew kombinazzjoni ta’ tali parametri referenzjarji fl-Unjoni meta l-amministratur ta’ dawk il-parametri referenzjarji ma jkunx inkluż fir-reġistru tal-ESMA tal-amministraturi u tal-parametri referenzjarji. </w:t>
      </w:r>
    </w:p>
    <w:p w:rsidR="002B334C" w:rsidRPr="00B16B6F" w:rsidRDefault="002B334C" w:rsidP="002B334C">
      <w:pPr>
        <w:pStyle w:val="ManualConsidrant"/>
        <w:rPr>
          <w:noProof/>
        </w:rPr>
      </w:pPr>
      <w:r w:rsidRPr="00B16B6F">
        <w:t>(15)</w:t>
      </w:r>
      <w:r w:rsidRPr="00B16B6F">
        <w:tab/>
        <w:t>Sabiex jiġi evitat tfixkil potenzjalment eċċessiv fis-suq wara l-projbizzjoni tal-użu ta’ parametru referenzjarju, jenħtieġ li l-awtoritajiet kompetenti jew l-ESMA jkunu jistgħu jippermettu t-tkomplija tal-użu temporanju ta’ tali parametru referenzjarju. Sabiex jiġi żgurat livell suffiċjenti ta’ trasparenza u protezzjoni fir-rigward tal-investituri finali, l-utenti ta’ dawk il-parametri referenzjarji li huma soġġetti għal twissija fil-forma ta’ avviż pubbliku jenħtieġ li jidentifikaw alternattiva xierqa biex jissostitwixxu dawk il-parametri referenzjarji fi żmien 6 xhur wara l-pubblikazzjoni ta’ dak l-avviż pubbliku, jew inkella jiżguraw li l-klijenti jiġu infurmati kif xieraq dwar in-nuqqas ta’ parametru referenzjarju alternattiv.</w:t>
      </w:r>
    </w:p>
    <w:p w:rsidR="002B334C" w:rsidRPr="00B16B6F" w:rsidRDefault="002B334C" w:rsidP="002B334C">
      <w:pPr>
        <w:pStyle w:val="ManualConsidrant"/>
        <w:rPr>
          <w:noProof/>
        </w:rPr>
      </w:pPr>
      <w:r w:rsidRPr="00B16B6F">
        <w:t>(16)</w:t>
      </w:r>
      <w:r w:rsidRPr="00B16B6F">
        <w:tab/>
        <w:t>Skont l-Artikolu 32 tar-Regolament (UE) 2016/1011, ir-rikonoxximent ta’ amministraturi ta’ parametri referenzjarji li jinsabu f’pajjiż terz iservi bħala mezz temporanju ta’ aċċess għas-suq tal-Unjoni sakemm tiġi adottata deċiżjoni dwar l-ekwivalenza mill-Kummissjoni. Madankollu, minħabba n-numru limitat ħafna ta’ parametri referenzjarji ta’ pajjiżi terzi koperti minn deċiżjonijiet dwar l-ekwivalenza, tali rikonoxximent jenħtieġ li jsir mezz permanenti ta’ aċċess għas-suq tal-Unjoni għal tali amministraturi ta’ parametri referenzjarji.</w:t>
      </w:r>
    </w:p>
    <w:p w:rsidR="002B334C" w:rsidRPr="00B16B6F" w:rsidRDefault="002B334C" w:rsidP="002B334C">
      <w:pPr>
        <w:pStyle w:val="ManualConsidrant"/>
        <w:rPr>
          <w:noProof/>
        </w:rPr>
      </w:pPr>
      <w:r w:rsidRPr="00B16B6F">
        <w:t>(17)</w:t>
      </w:r>
      <w:r w:rsidRPr="00B16B6F">
        <w:tab/>
        <w:t>Il-parametri referenzjarji koperti minn deċiżjoni dwar l-ekwivalenza jitqiesu li huma rregolati u ssorveljati b’mod ekwivalenti għall-parametri referenzjarji tal-Unjoni. Għalhekk, jenħtieġ li l-obbligu li jintalbu approvazzjoni jew rikonoxximent ma japplikax għall-amministraturi ta’ parametri referenzjarji sinifikanti li jinsabu f’pajjiż terz li jibbenefikaw minn deċiżjoni dwar l-ekwivalenza.</w:t>
      </w:r>
    </w:p>
    <w:p w:rsidR="002B334C" w:rsidRPr="00B16B6F" w:rsidRDefault="002B334C" w:rsidP="002B334C">
      <w:pPr>
        <w:pStyle w:val="ManualConsidrant"/>
        <w:rPr>
          <w:noProof/>
        </w:rPr>
      </w:pPr>
      <w:r w:rsidRPr="00B16B6F">
        <w:t>(18)</w:t>
      </w:r>
      <w:r w:rsidRPr="00B16B6F">
        <w:tab/>
        <w:t xml:space="preserve">Fl-interess tat-trasparenza u biex tiġi żgurata ċ-ċertezza legali, l-awtoritajiet kompetenti li jiddeżinjaw parametru referenzjarju bħala sinifikanti jenħtieġ li jispeċifikaw ir-restrizzjonijiet potenzjali fuq l-użu li jirriżultaw meta l-amministratur ta’ tali parametru referenzjarju jonqos milli jiġi awtorizzat jew irreġistrat jew jonqos milli jikkonforma mar-rekwiżiti ta’ approvazzjoni jew rikonoxximent, kif applikabbli. </w:t>
      </w:r>
    </w:p>
    <w:p w:rsidR="002B334C" w:rsidRPr="00B16B6F" w:rsidRDefault="002B334C" w:rsidP="002B334C">
      <w:pPr>
        <w:pStyle w:val="ManualConsidrant"/>
        <w:rPr>
          <w:noProof/>
        </w:rPr>
      </w:pPr>
      <w:r w:rsidRPr="00B16B6F">
        <w:t>(19)</w:t>
      </w:r>
      <w:r w:rsidRPr="00B16B6F">
        <w:tab/>
        <w:t xml:space="preserve">Sabiex jiġu mmitigati r-riskji marbuta mal-użu ta’ parametri referenzjarji sinifikanti taħt superviżjoni mhux adegwata, meta l-amministratur ta’ parametru referenzjarju li jsir sinifikanti ma jitlobx awtorizzazzjoni, reġistrazzjoni, rikonoxximent jew approvazzjoni fit-terminu mogħti, jew meta l-awtorizzazzjoni, ir-reġistrazzjoni, ir-rikonoxximent jew l-approvazzjoni għal tali amministratur ta’ parametru referenzjarju jfallu, jew meta amministratur jirtira l-awtorizzazzjoni, ir-reġistrazzjoni, l-approvazzjoni jew ir-rikonoxximent tiegħu, l-awtorità kompetenti jew l-ESMA, kif applikabbli, jenħtieġ li toħroġ avviż pubbliku li jiddikjara li l-parametri referenzjarji sinifikanti pprovduti minn dak l-amministratur ma humiex adatti għall-użu fl-Unjoni. </w:t>
      </w:r>
    </w:p>
    <w:p w:rsidR="002B334C" w:rsidRPr="00B16B6F" w:rsidRDefault="002B334C" w:rsidP="002B334C">
      <w:pPr>
        <w:pStyle w:val="ManualConsidrant"/>
        <w:rPr>
          <w:noProof/>
        </w:rPr>
      </w:pPr>
      <w:r w:rsidRPr="00B16B6F">
        <w:t>(20)</w:t>
      </w:r>
      <w:r w:rsidRPr="00B16B6F">
        <w:tab/>
        <w:t xml:space="preserve">L-utenti ta’ parametri referenzjarji jibbażaw fuq it-trasparenza fir-rigward tal-istatus regolatorju tal-parametri referenzjarji li jużaw jew li għandhom il-ħsieb li jużaw. Minħabba dik ir-raġuni, jenħtieġ li l-ESMA telenka fir-reġistru tal-amministraturi u tal-parametri referenzjarji dawk il-parametri referenzjarji li huma soġġetti għall-aktar rekwiżiti dettaljati stabbiliti fir-Regolament (UE) 2016/1011, jew minħabba li l-użu tagħhom fl-Unjoni jaqbeż il-limitu stabbilit għal parametri referenzjarji sinifikanti, </w:t>
      </w:r>
      <w:r w:rsidRPr="00B16B6F">
        <w:lastRenderedPageBreak/>
        <w:t>minħabba li jiġu ddeżinjati bħala sinifikanti minn superviżur nazzjonali jew mill-ESMA, jew minħabba li huma parametri referenzjarji ta’ importanza kritika. Minħabba l-istess raġuni, jenħtieġ li l-ESMA telenka wkoll f’dak ir-reġistru l-Parametri Referenzjarji tat-Tranżizzjoni Klimatika tal-UE u l-Parametri Referenzjarji tal-UE allinjati mal-Ftehim ta’ Pariġi pprovduti minn amministraturi li huma awtorizzati jew irreġistrati. Fl-aħħar nett, jenħtieġ li l-ESMA telenka wkoll fir-reġistru l-parametri referenzjarji li għalihom awtorità kompetenti jew l-ESMA tkun ħarġet avviż pubbliku li jipprojbixxi l-użu ulterjuri ta’ dak il-parametru referenzjarju. Sabiex jitnaqqas ulterjorment il-piż fuq l-utenti, jenħtieġ li din l-informazzjoni kollha ssir disponibbli faċilment fuq il-Punt ta’ Aċċess Uniku Ewropew (ESAP).</w:t>
      </w:r>
    </w:p>
    <w:p w:rsidR="002B334C" w:rsidRPr="00B16B6F" w:rsidRDefault="002B334C" w:rsidP="002B334C">
      <w:pPr>
        <w:pStyle w:val="ManualConsidrant"/>
        <w:rPr>
          <w:b/>
          <w:i/>
          <w:noProof/>
        </w:rPr>
      </w:pPr>
      <w:r w:rsidRPr="00B16B6F">
        <w:rPr>
          <w:b/>
          <w:i/>
        </w:rPr>
        <w:t>(20a)</w:t>
      </w:r>
      <w:r w:rsidRPr="00B16B6F">
        <w:rPr>
          <w:b/>
          <w:i/>
        </w:rPr>
        <w:tab/>
        <w:t>Żewġ kategoriji ta’ parametri referenzjarji relatati mal-ESG huma soġġetti għall-konformità mal-istandards minimi stabbiliti mid-dritt tal-Unjoni, jiġifieri l-Parametri Referenzjarji tat-Tranżizzjoni Klimatika tal-UE (EU CTB) u l-Parametri Referenzjarji tal-UE allinjati mal-Ftehim ta’ Pariġi (EU PAB). Ir-Regolament (UE) 2019/2089 introduċa regoli fir-rigward tat-trasparenza tal-parametri referenzjarji li, fid-dokumentazzjoni legali jew tal-kummerċjalizzazzjoni tagħhom, jasserixxu li qed iqisu l-fatturi ambjentali, soċjali jew ta’ governanza (ESG) fit-tfassil tagħhom. Sabiex jinżamm livell għoli ta’ trasparenza fir-rigward tal-pretensjonijiet relatati mal-ESG u livell adegwat ta’ protezzjoni għall-utenti, huwa xieraq li jkun meħtieġ li l-utenti ma jużawx parametri referenzjarji li jagħmlu asserzjonijiet relatati mal-ESG meta tali parametri referenzjarji meta ma jipprovdux lill-utenti l-informazzjoni msemmija fl-Artikolu 13(1), il-punt d, u fl-Artikolu 27(2a) tar-Regolament (UE) 2016/1011. Dan jenħtieġ li japplika għall-użu ta’ kwalunkwe parametru referenzjarju li jasserixxi li jqis il-fatturi ESG fit-tfassil tiegħu, irrispettivament minn jekk tali parametru referenzjarju huwiex amministrat fl-Unjoni jew f’pajjiż terz.</w:t>
      </w:r>
    </w:p>
    <w:p w:rsidR="002B334C" w:rsidRPr="00B16B6F" w:rsidRDefault="002B334C" w:rsidP="002B334C">
      <w:pPr>
        <w:pStyle w:val="ManualConsidrant"/>
        <w:rPr>
          <w:b/>
          <w:i/>
          <w:noProof/>
        </w:rPr>
      </w:pPr>
      <w:r w:rsidRPr="00B16B6F">
        <w:tab/>
      </w:r>
      <w:r w:rsidRPr="00B16B6F">
        <w:rPr>
          <w:b/>
          <w:i/>
        </w:rPr>
        <w:t>Madankollu, kategoriji oħra ta’ parametri referenzjarji li jagħmlu asserzjonijiet relatati mal-ESG, mhux ikkunsidrati bħala Parametri Referenzjarji tat-Tranżizzjoni Klimatika tal-UE u Parametri Referenzjarji tal-UE allinjati mal-Ftehim ta’ Pariġi, jistgħu jikkontribwixxu, jew inkella joħolqu riskji, għall-promozzjoni ta’ politiki ewlenin tal-Unjoni dwar il-finanzi sostenibbli u l-kisba tal-objettivi relatati jew l-implimentazzjoni tal-Patt Ekoloġiku Ewropew.</w:t>
      </w:r>
    </w:p>
    <w:p w:rsidR="002B334C" w:rsidRPr="00B16B6F" w:rsidRDefault="002B334C" w:rsidP="002B334C">
      <w:pPr>
        <w:pStyle w:val="ManualConsidrant"/>
        <w:ind w:firstLine="0"/>
        <w:rPr>
          <w:b/>
          <w:i/>
          <w:noProof/>
        </w:rPr>
      </w:pPr>
      <w:r w:rsidRPr="00B16B6F">
        <w:rPr>
          <w:b/>
          <w:i/>
        </w:rPr>
        <w:t>Għalhekk, huwa xieraq li sal-31 ta’ Diċembru 2028, il-Kummissjoni tippreżenta rapport, abbażi tal-input mill-ESMA, li jivvaluta d-disponibbiltà tal-parametri referenzjarji tal-ESG fis-swieq Ewropej u globali u l-adozzjoni tagħhom fis-suq, li janalizza jekk dawn jitqisux bħala parametri referenzjarji sinifikanti, u jistudja l-kostijiet u l-effetti fuq id-disponibbiltà tas-suq u n-natura li qed tevolvi tal-indikaturi sostenibbli u l-metodi użati biex dawn jitkejlu. Barra minn hekk, jenħtieġ li jivvaluta l-ħtieġa li jiġu rregolati l-parametri referenzjarji li jagħmlu asserzjonijiet relatati mal-ESG, bil-għan li jinżamm livell adegwat ta’ protezzjoni tal-utenti ta’ dawk il-parametri referenzjarji kif ukoll livell għoli ta’ trasparenza, jitnaqqas ir-riskju ta’ greenwashing u tiġi żgurata l-koerenza ma’ leġiżlazzjoni oħra tal-UE dwar ir-rekwiżiti ta’ divulgazzjoni dwar is-sostenibbiltà. Jenħtieġ li dak ir-rapport ikun akkumpanjat b’valutazzjoni tal-impatt u, meta jkun xieraq, bi proposta leġiżlattiva.</w:t>
      </w:r>
    </w:p>
    <w:p w:rsidR="002B334C" w:rsidRPr="00B16B6F" w:rsidRDefault="002B334C" w:rsidP="002B334C">
      <w:pPr>
        <w:pStyle w:val="ManualConsidrant"/>
        <w:rPr>
          <w:noProof/>
        </w:rPr>
      </w:pPr>
      <w:r w:rsidRPr="00B16B6F">
        <w:t>(21)</w:t>
      </w:r>
      <w:r w:rsidRPr="00B16B6F">
        <w:tab/>
        <w:t>Sabiex tiġi żgurata tranżizzjoni bla xkiel għa</w:t>
      </w:r>
      <w:r w:rsidR="007D566F" w:rsidRPr="007D566F">
        <w:t xml:space="preserve">l </w:t>
      </w:r>
      <w:r w:rsidR="007D566F" w:rsidRPr="007D566F">
        <w:rPr>
          <w:b/>
          <w:i/>
        </w:rPr>
        <w:t>applikazzjoni ta</w:t>
      </w:r>
      <w:r w:rsidRPr="007D566F">
        <w:rPr>
          <w:b/>
          <w:i/>
        </w:rPr>
        <w:t>r-</w:t>
      </w:r>
      <w:r w:rsidRPr="00B16B6F">
        <w:t>regoli introdotti skont dan ir-Regolam</w:t>
      </w:r>
      <w:r w:rsidR="007D566F">
        <w:t xml:space="preserve">ent </w:t>
      </w:r>
      <w:r w:rsidRPr="007D566F">
        <w:rPr>
          <w:b/>
          <w:i/>
        </w:rPr>
        <w:t>l-amministraturi</w:t>
      </w:r>
      <w:r w:rsidRPr="00B16B6F">
        <w:t xml:space="preserve"> </w:t>
      </w:r>
      <w:r w:rsidRPr="00B16B6F">
        <w:rPr>
          <w:b/>
          <w:bCs/>
          <w:i/>
          <w:iCs/>
        </w:rPr>
        <w:t>li qabel kienu taħt superviżjoni skont ir-Regolament (UE) 2019/2089 jenħtieġ li jżommu r-reġistrazzjonijiet, l-awtorizzazzjonijiet, ir-rikonoxximenti jew l-approvazzjonijiet eżistenti għal disa’ xhur wara d-dħul fis-seħħ ta’ dan ir-Regolament emendatorju</w:t>
      </w:r>
      <w:r w:rsidRPr="00B16B6F">
        <w:t>.</w:t>
      </w:r>
      <w:r w:rsidRPr="00B16B6F">
        <w:rPr>
          <w:b/>
          <w:i/>
        </w:rPr>
        <w:t xml:space="preserve"> </w:t>
      </w:r>
      <w:r w:rsidRPr="00B16B6F">
        <w:rPr>
          <w:b/>
          <w:bCs/>
          <w:i/>
          <w:iCs/>
        </w:rPr>
        <w:t>Dak il-perjodu ta’ żmien huwa maħsub biex jagħti</w:t>
      </w:r>
      <w:r w:rsidRPr="00B16B6F">
        <w:t xml:space="preserve"> lill-awtoritajiet kompetenti jew lill-ESMA </w:t>
      </w:r>
      <w:r w:rsidRPr="00B16B6F">
        <w:rPr>
          <w:b/>
          <w:bCs/>
          <w:i/>
          <w:iCs/>
        </w:rPr>
        <w:t xml:space="preserve">żmien biżżejjed </w:t>
      </w:r>
      <w:r w:rsidRPr="00B16B6F">
        <w:rPr>
          <w:b/>
          <w:bCs/>
          <w:i/>
          <w:iCs/>
        </w:rPr>
        <w:lastRenderedPageBreak/>
        <w:t>biex jiddeċiedu jekk jenħtieġ li kwalunkwe wieħed mill-amministraturi li qabel kienu taħt superviżjoni jiġix iddeżinjat f’konformità ma’ dan ir-Regolament emendatorju</w:t>
      </w:r>
      <w:r w:rsidRPr="00B16B6F">
        <w:t xml:space="preserve">. </w:t>
      </w:r>
      <w:r w:rsidRPr="00B16B6F">
        <w:rPr>
          <w:b/>
          <w:bCs/>
          <w:i/>
          <w:iCs/>
        </w:rPr>
        <w:t>Jekk iddeżinjati,</w:t>
      </w:r>
      <w:r w:rsidRPr="00B16B6F">
        <w:t xml:space="preserve"> l-amministraturi </w:t>
      </w:r>
      <w:r w:rsidRPr="00B16B6F">
        <w:rPr>
          <w:b/>
          <w:bCs/>
          <w:i/>
          <w:iCs/>
        </w:rPr>
        <w:t>li qabel kienu</w:t>
      </w:r>
      <w:r w:rsidRPr="00B16B6F">
        <w:t xml:space="preserve"> awtorizzati, irreġistrati, approvati jew rikonoxxuti </w:t>
      </w:r>
      <w:r w:rsidRPr="00B16B6F">
        <w:rPr>
          <w:b/>
          <w:bCs/>
          <w:i/>
          <w:iCs/>
        </w:rPr>
        <w:t>jew l-amministraturi li volontarjament jagħżlu li jipparteċipaw f’dan ir-Regolament, jenħtieġ li jitħallew iżommu l-istatus preċedenti tagħhom mingħajr ma jkollhom għalfejn japplikaw mill-ġdid</w:t>
      </w:r>
      <w:r w:rsidRPr="00B16B6F">
        <w:t>.</w:t>
      </w:r>
      <w:r w:rsidRPr="00B16B6F">
        <w:rPr>
          <w:b/>
          <w:i/>
        </w:rPr>
        <w:t xml:space="preserve"> </w:t>
      </w:r>
      <w:r w:rsidRPr="00B16B6F">
        <w:rPr>
          <w:b/>
          <w:bCs/>
          <w:i/>
          <w:iCs/>
        </w:rPr>
        <w:t>L-amministraturi ta’ parametri referenzjarji sinifikanti jenħtieġ li, fi kwalunkwe każ, jitħallew iżommu l-istatus tagħhom bħala amministraturi ta’ parametri referenzjarji awtorizzati, irreġistrati, approvati jew rikonoxxuti</w:t>
      </w:r>
      <w:r w:rsidRPr="00B16B6F">
        <w:t>.</w:t>
      </w:r>
    </w:p>
    <w:p w:rsidR="002B334C" w:rsidRPr="00B16B6F" w:rsidRDefault="002B334C" w:rsidP="002B334C">
      <w:pPr>
        <w:pStyle w:val="ManualConsidrant"/>
        <w:rPr>
          <w:noProof/>
        </w:rPr>
      </w:pPr>
      <w:r w:rsidRPr="00B16B6F">
        <w:t>(22)</w:t>
      </w:r>
      <w:r w:rsidRPr="00B16B6F">
        <w:tab/>
        <w:t>Sabiex l-awtoritajiet kompetenti u l-ESMA jingħataw iż-żmien meħtieġ biex jiġbru informazzjoni dwar parametri referenzjarji sinifikanti potenzjali u biex jadattaw l-infrastruttura eżistenti għall-qafas il-ġdid propost skont dan ir-Regolament emendatorju, id-data tal-applikazzjoni ta’ dan ir-Regolament jenħtieġ li tiġi differita.</w:t>
      </w:r>
    </w:p>
    <w:p w:rsidR="002B334C" w:rsidRPr="00B16B6F" w:rsidRDefault="002B334C" w:rsidP="002B334C">
      <w:pPr>
        <w:pStyle w:val="ManualConsidrant"/>
        <w:rPr>
          <w:noProof/>
        </w:rPr>
      </w:pPr>
      <w:r w:rsidRPr="00B16B6F">
        <w:t>(23)</w:t>
      </w:r>
      <w:r w:rsidRPr="00B16B6F">
        <w:tab/>
        <w:t>Għalhekk, jenħtieġ li r-Regolament (UE) 2016/1011 jiġi emendat kif xieraq,</w:t>
      </w:r>
    </w:p>
    <w:p w:rsidR="002B334C" w:rsidRPr="00B16B6F" w:rsidRDefault="002B334C" w:rsidP="002B334C">
      <w:pPr>
        <w:pStyle w:val="Formuledadoption"/>
        <w:rPr>
          <w:noProof/>
        </w:rPr>
      </w:pPr>
      <w:r w:rsidRPr="00B16B6F">
        <w:t>ADOTTAW DAN IR-REGOLAMENT:</w:t>
      </w:r>
    </w:p>
    <w:p w:rsidR="002B334C" w:rsidRPr="00B16B6F" w:rsidRDefault="002B334C" w:rsidP="002B334C">
      <w:pPr>
        <w:pStyle w:val="Titrearticle"/>
        <w:rPr>
          <w:noProof/>
        </w:rPr>
      </w:pPr>
      <w:r w:rsidRPr="00B16B6F">
        <w:t>Artikolu 1</w:t>
      </w:r>
    </w:p>
    <w:p w:rsidR="002B334C" w:rsidRPr="00B16B6F" w:rsidRDefault="002B334C" w:rsidP="002B334C">
      <w:pPr>
        <w:jc w:val="center"/>
        <w:rPr>
          <w:b/>
          <w:bCs/>
          <w:noProof/>
        </w:rPr>
      </w:pPr>
      <w:r w:rsidRPr="00B16B6F">
        <w:rPr>
          <w:b/>
        </w:rPr>
        <w:t>Emendi għar-Regolament (UE) 2016/1011</w:t>
      </w:r>
    </w:p>
    <w:p w:rsidR="002B334C" w:rsidRPr="00B16B6F" w:rsidRDefault="002B334C" w:rsidP="002B334C">
      <w:pPr>
        <w:rPr>
          <w:noProof/>
        </w:rPr>
      </w:pPr>
      <w:r w:rsidRPr="00B16B6F">
        <w:t>Ir-Regolament (UE) 2016/1011 huwa emendat kif ġej:</w:t>
      </w:r>
    </w:p>
    <w:p w:rsidR="002B334C" w:rsidRPr="00B16B6F" w:rsidRDefault="002B334C" w:rsidP="002B334C">
      <w:pPr>
        <w:pStyle w:val="Point0"/>
        <w:rPr>
          <w:noProof/>
        </w:rPr>
      </w:pPr>
      <w:r w:rsidRPr="00B16B6F">
        <w:t>(1)</w:t>
      </w:r>
      <w:r w:rsidRPr="00B16B6F">
        <w:tab/>
        <w:t>l-Artikolu 2 huwa emendat kif ġej:</w:t>
      </w:r>
    </w:p>
    <w:p w:rsidR="002B334C" w:rsidRPr="00B16B6F" w:rsidRDefault="002B334C" w:rsidP="002B334C">
      <w:pPr>
        <w:pStyle w:val="Point1"/>
        <w:rPr>
          <w:noProof/>
        </w:rPr>
      </w:pPr>
      <w:r w:rsidRPr="00B16B6F">
        <w:t>(a)</w:t>
      </w:r>
      <w:r w:rsidRPr="00B16B6F">
        <w:tab/>
        <w:t xml:space="preserve">jiddaħħal il-paragrafu li ġej: </w:t>
      </w:r>
    </w:p>
    <w:p w:rsidR="002B334C" w:rsidRPr="00B16B6F" w:rsidRDefault="002B334C" w:rsidP="002B334C">
      <w:pPr>
        <w:pStyle w:val="Text2"/>
        <w:tabs>
          <w:tab w:val="left" w:pos="1701"/>
        </w:tabs>
        <w:ind w:left="1134"/>
        <w:rPr>
          <w:noProof/>
        </w:rPr>
      </w:pPr>
      <w:r w:rsidRPr="00B16B6F">
        <w:t>“1a.</w:t>
      </w:r>
      <w:r w:rsidRPr="00B16B6F">
        <w:tab/>
        <w:t xml:space="preserve">It-Titoli II, III, </w:t>
      </w:r>
      <w:r w:rsidRPr="00B16B6F">
        <w:rPr>
          <w:b/>
          <w:bCs/>
          <w:i/>
          <w:iCs/>
        </w:rPr>
        <w:t>bl-eċċezzjoni tal-Artikoli 23a sa 23c,</w:t>
      </w:r>
      <w:r w:rsidRPr="00B16B6F">
        <w:t xml:space="preserve"> IV u VI japplikaw biss fir-rigward ta’ parametri referenzjarji ta’ importanza kritika, parametri referenzjarji sinifikanti, Parametri Referenzjarji tat-Tranżizzjoni Klimatika tal-UE u Parametri Referenzjarji tal-UE allinjati mal-Ftehim ta’ Pariġi. </w:t>
      </w:r>
      <w:r w:rsidRPr="00B16B6F">
        <w:rPr>
          <w:b/>
          <w:bCs/>
          <w:i/>
          <w:iCs/>
        </w:rPr>
        <w:t>L-Artikolu 10 fit-Titolu II u t-Titoli III, IV u VI japplikaw għall-parametri referenzjarji tal-komoditajiet soġġetti għall-Anness II”</w:t>
      </w:r>
      <w:r w:rsidRPr="00B16B6F">
        <w:t>;</w:t>
      </w:r>
    </w:p>
    <w:p w:rsidR="002B334C" w:rsidRPr="00B16B6F" w:rsidRDefault="002B334C" w:rsidP="002B334C">
      <w:pPr>
        <w:pStyle w:val="Point1"/>
        <w:rPr>
          <w:noProof/>
        </w:rPr>
      </w:pPr>
      <w:r w:rsidRPr="00B16B6F">
        <w:t>(b)</w:t>
      </w:r>
      <w:r w:rsidRPr="00B16B6F">
        <w:tab/>
        <w:t xml:space="preserve">fil-paragrafu 2, </w:t>
      </w:r>
      <w:r w:rsidRPr="007D566F">
        <w:rPr>
          <w:bCs/>
          <w:iCs/>
        </w:rPr>
        <w:t>jitħassar</w:t>
      </w:r>
      <w:r w:rsidRPr="00B16B6F">
        <w:t xml:space="preserve"> </w:t>
      </w:r>
      <w:r w:rsidRPr="00B16B6F">
        <w:rPr>
          <w:b/>
          <w:bCs/>
          <w:i/>
          <w:iCs/>
        </w:rPr>
        <w:t>il-punt</w:t>
      </w:r>
      <w:r w:rsidRPr="007D566F">
        <w:rPr>
          <w:b/>
          <w:i/>
        </w:rPr>
        <w:t xml:space="preserve"> (g)</w:t>
      </w:r>
      <w:r w:rsidRPr="007D566F">
        <w:rPr>
          <w:b/>
          <w:bCs/>
          <w:i/>
          <w:iCs/>
        </w:rPr>
        <w:t>(i)</w:t>
      </w:r>
      <w:r w:rsidRPr="00B16B6F">
        <w:t>;</w:t>
      </w:r>
    </w:p>
    <w:p w:rsidR="002B334C" w:rsidRPr="00B16B6F" w:rsidRDefault="002B334C" w:rsidP="002B334C">
      <w:pPr>
        <w:pStyle w:val="Point0"/>
        <w:rPr>
          <w:noProof/>
        </w:rPr>
      </w:pPr>
      <w:r w:rsidRPr="00B16B6F">
        <w:t>(2)</w:t>
      </w:r>
      <w:r w:rsidRPr="00B16B6F">
        <w:tab/>
        <w:t>fl-Artikolu 3, il-paragrafu 1 huwa emendat kif ġej:</w:t>
      </w:r>
    </w:p>
    <w:p w:rsidR="002B334C" w:rsidRPr="00B16B6F" w:rsidRDefault="002B334C" w:rsidP="002B334C">
      <w:pPr>
        <w:pStyle w:val="Point1"/>
        <w:rPr>
          <w:b/>
          <w:i/>
          <w:noProof/>
        </w:rPr>
      </w:pPr>
      <w:r w:rsidRPr="00B16B6F">
        <w:t>(-</w:t>
      </w:r>
      <w:r w:rsidRPr="00B16B6F">
        <w:rPr>
          <w:b/>
          <w:i/>
        </w:rPr>
        <w:t>a)</w:t>
      </w:r>
      <w:r w:rsidRPr="00B16B6F">
        <w:rPr>
          <w:b/>
          <w:i/>
        </w:rPr>
        <w:tab/>
        <w:t>fil-punt (17), il-punt (m) huwa sostitwit b’dan li ġej:</w:t>
      </w:r>
    </w:p>
    <w:p w:rsidR="002B334C" w:rsidRPr="00B16B6F" w:rsidRDefault="002B334C" w:rsidP="002B334C">
      <w:pPr>
        <w:pStyle w:val="Point1"/>
        <w:ind w:firstLine="0"/>
        <w:rPr>
          <w:b/>
          <w:i/>
          <w:noProof/>
        </w:rPr>
      </w:pPr>
      <w:r w:rsidRPr="00B16B6F">
        <w:rPr>
          <w:b/>
          <w:i/>
        </w:rPr>
        <w:t>“(m)</w:t>
      </w:r>
      <w:r w:rsidRPr="00B16B6F">
        <w:rPr>
          <w:b/>
          <w:i/>
        </w:rPr>
        <w:tab/>
      </w:r>
      <w:r w:rsidRPr="00B16B6F">
        <w:rPr>
          <w:b/>
          <w:bCs/>
          <w:i/>
          <w:iCs/>
        </w:rPr>
        <w:t>amministratur awtorizzat jew irreġistrat skont l-Artikolu 34”</w:t>
      </w:r>
      <w:r w:rsidRPr="00B16B6F">
        <w:t>;</w:t>
      </w:r>
    </w:p>
    <w:p w:rsidR="002B334C" w:rsidRPr="00B16B6F" w:rsidRDefault="002B334C" w:rsidP="002B334C">
      <w:pPr>
        <w:pStyle w:val="Point1"/>
        <w:rPr>
          <w:noProof/>
        </w:rPr>
      </w:pPr>
      <w:r w:rsidRPr="00B16B6F">
        <w:t>(a)</w:t>
      </w:r>
      <w:r w:rsidRPr="00B16B6F">
        <w:tab/>
        <w:t>jitħassar il-punt (22a);</w:t>
      </w:r>
    </w:p>
    <w:p w:rsidR="002B334C" w:rsidRPr="00B16B6F" w:rsidRDefault="002B334C" w:rsidP="002B334C">
      <w:pPr>
        <w:pStyle w:val="Point1"/>
        <w:rPr>
          <w:noProof/>
        </w:rPr>
      </w:pPr>
      <w:r w:rsidRPr="00B16B6F">
        <w:t>(b)</w:t>
      </w:r>
      <w:r w:rsidRPr="00B16B6F">
        <w:tab/>
        <w:t>jitħassar il-punt (27);</w:t>
      </w:r>
    </w:p>
    <w:p w:rsidR="002B334C" w:rsidRPr="00B16B6F" w:rsidRDefault="002B334C" w:rsidP="002B334C">
      <w:pPr>
        <w:pStyle w:val="Point0"/>
        <w:rPr>
          <w:noProof/>
        </w:rPr>
      </w:pPr>
      <w:r w:rsidRPr="00B16B6F">
        <w:t>(3)</w:t>
      </w:r>
      <w:r w:rsidRPr="00B16B6F">
        <w:tab/>
        <w:t>l-Artikolu 5 huwa emendat kif ġej:</w:t>
      </w:r>
    </w:p>
    <w:p w:rsidR="002B334C" w:rsidRPr="00B16B6F" w:rsidRDefault="002B334C" w:rsidP="002B334C">
      <w:pPr>
        <w:pStyle w:val="Point1"/>
        <w:rPr>
          <w:noProof/>
        </w:rPr>
      </w:pPr>
      <w:r w:rsidRPr="00B16B6F">
        <w:t>(a)</w:t>
      </w:r>
      <w:r w:rsidRPr="00B16B6F">
        <w:tab/>
        <w:t>fil-paragrafu 5, it-tieni subparagrafu, titħassar l-aħħar sentenza;</w:t>
      </w:r>
    </w:p>
    <w:p w:rsidR="002B334C" w:rsidRPr="00B16B6F" w:rsidRDefault="002B334C" w:rsidP="002B334C">
      <w:pPr>
        <w:pStyle w:val="Point1"/>
        <w:rPr>
          <w:noProof/>
        </w:rPr>
      </w:pPr>
      <w:r w:rsidRPr="00B16B6F">
        <w:t>(b)</w:t>
      </w:r>
      <w:r w:rsidRPr="00B16B6F">
        <w:tab/>
        <w:t>jitħassar il-paragrafu 6;</w:t>
      </w:r>
    </w:p>
    <w:p w:rsidR="002B334C" w:rsidRPr="00B16B6F" w:rsidRDefault="002B334C" w:rsidP="002B334C">
      <w:pPr>
        <w:pStyle w:val="Point0"/>
        <w:rPr>
          <w:noProof/>
        </w:rPr>
      </w:pPr>
      <w:r w:rsidRPr="00B16B6F">
        <w:t>(4)</w:t>
      </w:r>
      <w:r w:rsidRPr="00B16B6F">
        <w:tab/>
        <w:t>l-Artikolu 11 huwa emendat kif ġej:</w:t>
      </w:r>
    </w:p>
    <w:p w:rsidR="002B334C" w:rsidRPr="00B16B6F" w:rsidRDefault="002B334C" w:rsidP="002B334C">
      <w:pPr>
        <w:pStyle w:val="Point1"/>
        <w:rPr>
          <w:noProof/>
        </w:rPr>
      </w:pPr>
      <w:r w:rsidRPr="00B16B6F">
        <w:t>(a)</w:t>
      </w:r>
      <w:r w:rsidRPr="00B16B6F">
        <w:tab/>
        <w:t>fil-paragrafu 5, l-ewwel subparagrafu, titħassar l-aħħar sentenza;</w:t>
      </w:r>
    </w:p>
    <w:p w:rsidR="002B334C" w:rsidRPr="00B16B6F" w:rsidRDefault="002B334C" w:rsidP="002B334C">
      <w:pPr>
        <w:pStyle w:val="Point1"/>
        <w:rPr>
          <w:noProof/>
        </w:rPr>
      </w:pPr>
      <w:r w:rsidRPr="00B16B6F">
        <w:t>(b)</w:t>
      </w:r>
      <w:r w:rsidRPr="00B16B6F">
        <w:tab/>
        <w:t>jitħassar il-paragrafu 6;</w:t>
      </w:r>
    </w:p>
    <w:p w:rsidR="002B334C" w:rsidRPr="00B16B6F" w:rsidRDefault="002B334C" w:rsidP="002B334C">
      <w:pPr>
        <w:pStyle w:val="Point0"/>
        <w:rPr>
          <w:noProof/>
        </w:rPr>
      </w:pPr>
      <w:r w:rsidRPr="00B16B6F">
        <w:t>(5)</w:t>
      </w:r>
      <w:r w:rsidRPr="00B16B6F">
        <w:tab/>
        <w:t>l-Artikolu 13 huwa emendat kif ġej:</w:t>
      </w:r>
    </w:p>
    <w:p w:rsidR="002B334C" w:rsidRPr="00B16B6F" w:rsidRDefault="002B334C" w:rsidP="002B334C">
      <w:pPr>
        <w:pStyle w:val="Point1"/>
        <w:rPr>
          <w:noProof/>
        </w:rPr>
      </w:pPr>
      <w:r w:rsidRPr="00B16B6F">
        <w:t>(a)</w:t>
      </w:r>
      <w:r w:rsidRPr="00B16B6F">
        <w:tab/>
        <w:t>fil-paragrafu 3, l-ewwel subparagrafu, titħassar l-aħħar sentenza;</w:t>
      </w:r>
    </w:p>
    <w:p w:rsidR="002B334C" w:rsidRPr="00B16B6F" w:rsidRDefault="002B334C" w:rsidP="002B334C">
      <w:pPr>
        <w:pStyle w:val="Point1"/>
        <w:rPr>
          <w:noProof/>
        </w:rPr>
      </w:pPr>
      <w:r w:rsidRPr="00B16B6F">
        <w:lastRenderedPageBreak/>
        <w:t>(b)</w:t>
      </w:r>
      <w:r w:rsidRPr="00B16B6F">
        <w:tab/>
        <w:t>jitħassar il-paragrafu 4;</w:t>
      </w:r>
    </w:p>
    <w:p w:rsidR="002B334C" w:rsidRPr="00B16B6F" w:rsidRDefault="002B334C" w:rsidP="002B334C">
      <w:pPr>
        <w:pStyle w:val="Point0"/>
        <w:rPr>
          <w:noProof/>
        </w:rPr>
      </w:pPr>
      <w:r w:rsidRPr="00B16B6F">
        <w:t>(6)</w:t>
      </w:r>
      <w:r w:rsidRPr="00B16B6F">
        <w:tab/>
        <w:t>l-Artikolu 16 huwa emendat kif ġej:</w:t>
      </w:r>
    </w:p>
    <w:p w:rsidR="002B334C" w:rsidRPr="00B16B6F" w:rsidRDefault="002B334C" w:rsidP="002B334C">
      <w:pPr>
        <w:pStyle w:val="Point1"/>
        <w:rPr>
          <w:noProof/>
        </w:rPr>
      </w:pPr>
      <w:r w:rsidRPr="00B16B6F">
        <w:t>(a)</w:t>
      </w:r>
      <w:r w:rsidRPr="00B16B6F">
        <w:tab/>
        <w:t>fil-paragrafu 5, it-tieni subparagrafu, titħassar l-aħħar sentenza;</w:t>
      </w:r>
    </w:p>
    <w:p w:rsidR="002B334C" w:rsidRPr="00B16B6F" w:rsidRDefault="002B334C" w:rsidP="002B334C">
      <w:pPr>
        <w:pStyle w:val="Point1"/>
        <w:rPr>
          <w:noProof/>
        </w:rPr>
      </w:pPr>
      <w:r w:rsidRPr="00B16B6F">
        <w:t>(b)</w:t>
      </w:r>
      <w:r w:rsidRPr="00B16B6F">
        <w:tab/>
        <w:t>jitħassar il-paragrafu 6;</w:t>
      </w:r>
    </w:p>
    <w:p w:rsidR="002B334C" w:rsidRPr="00B16B6F" w:rsidRDefault="002B334C" w:rsidP="002B334C">
      <w:pPr>
        <w:pStyle w:val="Point0"/>
        <w:rPr>
          <w:noProof/>
        </w:rPr>
      </w:pPr>
      <w:r w:rsidRPr="00B16B6F">
        <w:t>(7)</w:t>
      </w:r>
      <w:r w:rsidRPr="00B16B6F">
        <w:tab/>
        <w:t>fit-Titolu III, it-titolu tal-Kapitolu 2 huwa sostitwit b’dan li ġej:</w:t>
      </w:r>
    </w:p>
    <w:p w:rsidR="002B334C" w:rsidRPr="00B16B6F" w:rsidRDefault="002B334C" w:rsidP="002B334C">
      <w:pPr>
        <w:pStyle w:val="Text1"/>
        <w:tabs>
          <w:tab w:val="left" w:pos="1134"/>
        </w:tabs>
        <w:ind w:left="567"/>
        <w:rPr>
          <w:noProof/>
        </w:rPr>
      </w:pPr>
      <w:r w:rsidRPr="00B16B6F">
        <w:t>“</w:t>
      </w:r>
      <w:r w:rsidRPr="00B16B6F">
        <w:rPr>
          <w:b/>
          <w:bCs/>
        </w:rPr>
        <w:t>Parametri referenzjarji tar-rati tal-imgħax</w:t>
      </w:r>
      <w:r w:rsidRPr="00B16B6F">
        <w:t>”;</w:t>
      </w:r>
    </w:p>
    <w:p w:rsidR="002B334C" w:rsidRPr="00B16B6F" w:rsidRDefault="002B334C" w:rsidP="002B334C">
      <w:pPr>
        <w:pStyle w:val="Text1"/>
        <w:tabs>
          <w:tab w:val="left" w:pos="1134"/>
        </w:tabs>
        <w:ind w:left="851" w:hanging="851"/>
        <w:rPr>
          <w:b/>
          <w:i/>
          <w:noProof/>
        </w:rPr>
      </w:pPr>
      <w:r w:rsidRPr="00B16B6F">
        <w:rPr>
          <w:b/>
          <w:i/>
        </w:rPr>
        <w:t>(7a)</w:t>
      </w:r>
      <w:r w:rsidRPr="00B16B6F">
        <w:rPr>
          <w:b/>
          <w:i/>
        </w:rPr>
        <w:tab/>
        <w:t>fl-Artikolu 18(1), it-tieni subparagrafu huwa sostitwit b’dan li ġej:</w:t>
      </w:r>
    </w:p>
    <w:p w:rsidR="002B334C" w:rsidRPr="00B16B6F" w:rsidRDefault="002B334C" w:rsidP="002B334C">
      <w:pPr>
        <w:pStyle w:val="Text1"/>
        <w:tabs>
          <w:tab w:val="left" w:pos="1134"/>
        </w:tabs>
        <w:ind w:left="720"/>
        <w:rPr>
          <w:b/>
          <w:i/>
          <w:noProof/>
        </w:rPr>
      </w:pPr>
      <w:r w:rsidRPr="00B16B6F">
        <w:rPr>
          <w:b/>
          <w:bCs/>
          <w:i/>
          <w:iCs/>
        </w:rPr>
        <w:t>“L-Artikolu 25 ma għandux japplika għall-forniment ta’ parametri referenzjarji tar-rati tal-imgħax u għall-kontribuzzjoni għalihom.”</w:t>
      </w:r>
      <w:r w:rsidRPr="00B16B6F">
        <w:t>;</w:t>
      </w:r>
    </w:p>
    <w:p w:rsidR="002B334C" w:rsidRPr="00B16B6F" w:rsidRDefault="002B334C" w:rsidP="002B334C">
      <w:pPr>
        <w:pStyle w:val="Point0"/>
        <w:rPr>
          <w:noProof/>
        </w:rPr>
      </w:pPr>
      <w:r w:rsidRPr="00B16B6F">
        <w:t>(8)</w:t>
      </w:r>
      <w:r w:rsidRPr="00B16B6F">
        <w:tab/>
        <w:t>jitħassar l-Artikolu 18a;</w:t>
      </w:r>
    </w:p>
    <w:p w:rsidR="002B334C" w:rsidRPr="00B16B6F" w:rsidRDefault="002B334C" w:rsidP="002B334C">
      <w:pPr>
        <w:pStyle w:val="Point0"/>
        <w:rPr>
          <w:b/>
          <w:i/>
          <w:noProof/>
        </w:rPr>
      </w:pPr>
      <w:r w:rsidRPr="00B16B6F">
        <w:rPr>
          <w:b/>
          <w:i/>
        </w:rPr>
        <w:t>(8a)</w:t>
      </w:r>
      <w:r w:rsidRPr="00B16B6F">
        <w:rPr>
          <w:b/>
          <w:i/>
        </w:rPr>
        <w:tab/>
        <w:t>fl-Artikolu 19(1), it-tieni subparagrafu huwa sostitwit b’dan li ġej:</w:t>
      </w:r>
    </w:p>
    <w:p w:rsidR="002B334C" w:rsidRPr="00B16B6F" w:rsidRDefault="002B334C" w:rsidP="002B334C">
      <w:pPr>
        <w:pStyle w:val="Text1"/>
        <w:tabs>
          <w:tab w:val="left" w:pos="1134"/>
        </w:tabs>
        <w:ind w:left="720"/>
        <w:rPr>
          <w:b/>
          <w:i/>
          <w:noProof/>
        </w:rPr>
      </w:pPr>
      <w:r w:rsidRPr="00B16B6F">
        <w:rPr>
          <w:b/>
          <w:bCs/>
          <w:i/>
          <w:iCs/>
        </w:rPr>
        <w:t>“L-Artikolu 25 ma għandux japplika għall-forniment tal-parametri referenzjarji tal-komoditajiet u għall-kontribuzzjoni għalihom.”</w:t>
      </w:r>
      <w:r w:rsidRPr="00B16B6F">
        <w:t>;</w:t>
      </w:r>
    </w:p>
    <w:p w:rsidR="002B334C" w:rsidRPr="00B16B6F" w:rsidRDefault="002B334C" w:rsidP="002B334C">
      <w:pPr>
        <w:pStyle w:val="Point0"/>
        <w:rPr>
          <w:noProof/>
        </w:rPr>
      </w:pPr>
      <w:r w:rsidRPr="00B16B6F">
        <w:t>(9)</w:t>
      </w:r>
      <w:r w:rsidRPr="00B16B6F">
        <w:tab/>
        <w:t xml:space="preserve">fl-Artikolu 19a, </w:t>
      </w:r>
      <w:r w:rsidRPr="00B16B6F">
        <w:rPr>
          <w:b/>
          <w:bCs/>
          <w:i/>
          <w:iCs/>
        </w:rPr>
        <w:t>jiżdiedu l-paragrafi li ġejjin</w:t>
      </w:r>
      <w:r w:rsidRPr="00B16B6F">
        <w:t xml:space="preserve">: </w:t>
      </w:r>
    </w:p>
    <w:p w:rsidR="002B334C" w:rsidRPr="00B16B6F" w:rsidRDefault="002B334C" w:rsidP="002B334C">
      <w:pPr>
        <w:pStyle w:val="Text1"/>
        <w:tabs>
          <w:tab w:val="left" w:pos="1134"/>
        </w:tabs>
        <w:ind w:left="567"/>
        <w:rPr>
          <w:noProof/>
        </w:rPr>
      </w:pPr>
      <w:r w:rsidRPr="00B16B6F">
        <w:t>“4.</w:t>
      </w:r>
      <w:r w:rsidRPr="00B16B6F">
        <w:tab/>
        <w:t xml:space="preserve">L-amministraturi li ma humiex </w:t>
      </w:r>
      <w:r w:rsidRPr="00B16B6F">
        <w:rPr>
          <w:b/>
          <w:bCs/>
          <w:i/>
          <w:iCs/>
        </w:rPr>
        <w:t>inklużi fir-reġistru tal-ESMA msemmi fl-Artikolu 36</w:t>
      </w:r>
      <w:r w:rsidRPr="00B16B6F">
        <w:t xml:space="preserve"> ma għandhomx:</w:t>
      </w:r>
    </w:p>
    <w:p w:rsidR="002B334C" w:rsidRPr="00B16B6F" w:rsidRDefault="002B334C" w:rsidP="002B334C">
      <w:pPr>
        <w:pStyle w:val="Text1"/>
        <w:ind w:left="720"/>
        <w:rPr>
          <w:noProof/>
        </w:rPr>
      </w:pPr>
      <w:r w:rsidRPr="00B16B6F">
        <w:t xml:space="preserve">(a) jipprovdu </w:t>
      </w:r>
      <w:r w:rsidRPr="00B16B6F">
        <w:rPr>
          <w:b/>
          <w:bCs/>
          <w:i/>
          <w:iCs/>
        </w:rPr>
        <w:t>jew japprovaw</w:t>
      </w:r>
      <w:r w:rsidRPr="00B16B6F">
        <w:t xml:space="preserve"> Parametri Referenzjarji tat-Tranżizzjoni Klimatika tal-UE jew Parametri Referenzjarji tal-UE allinjati mal-Ftehim ta’ Pariġi; </w:t>
      </w:r>
    </w:p>
    <w:p w:rsidR="002B334C" w:rsidRPr="00B16B6F" w:rsidRDefault="002B334C" w:rsidP="002B334C">
      <w:pPr>
        <w:pStyle w:val="Text1"/>
        <w:ind w:left="720"/>
        <w:rPr>
          <w:noProof/>
        </w:rPr>
      </w:pPr>
      <w:r w:rsidRPr="00B16B6F">
        <w:t>(b) jindikaw jew jissuġġerixxu, f’isem il-parametri referenzjarji li jagħmlu disponibbli għall-użu fl-Unjoni jew fid-dokumentazzjoni legali jew tal-kummerċjalizzazzjoni għal dawk il-parametri referenzjarji, li l-parametri referenzjarji li jagħmlu disponibbli jikkonformaw mar-rekwiżiti applikabbli għall-forniment ta’ Parametri Referenzjarji tat-Tranżizzjoni Klimatika tal-UE jew ta’ Parametri Referenzjarji tal-UE allinjati mal-Ftehim ta’ Pariġi.”</w:t>
      </w:r>
    </w:p>
    <w:p w:rsidR="002B334C" w:rsidRPr="00B16B6F" w:rsidRDefault="002B334C" w:rsidP="002B334C">
      <w:pPr>
        <w:pStyle w:val="Text1"/>
        <w:tabs>
          <w:tab w:val="left" w:pos="1134"/>
        </w:tabs>
        <w:ind w:left="567"/>
        <w:rPr>
          <w:b/>
          <w:i/>
          <w:noProof/>
        </w:rPr>
      </w:pPr>
      <w:r w:rsidRPr="00B16B6F">
        <w:rPr>
          <w:b/>
          <w:i/>
        </w:rPr>
        <w:t>4a.</w:t>
      </w:r>
      <w:r w:rsidRPr="00B16B6F">
        <w:rPr>
          <w:b/>
          <w:i/>
        </w:rPr>
        <w:tab/>
      </w:r>
      <w:r w:rsidRPr="00B16B6F">
        <w:rPr>
          <w:b/>
          <w:bCs/>
          <w:i/>
          <w:iCs/>
        </w:rPr>
        <w:t>L-amministraturi għandhom jinkludu t-terminu “EU CTB” fl-isem tal-Parametri Referenzjarji tat-Tranżizzjoni Klimatika tal-UE u t-terminu “EU PAB” fl-isem tal-Parametri Referenzjarji tal-UE Allinjati mal-Ftehim ta’ Pariġi.</w:t>
      </w:r>
      <w:r w:rsidRPr="00B16B6F">
        <w:t>;</w:t>
      </w:r>
    </w:p>
    <w:p w:rsidR="002B334C" w:rsidRPr="00B16B6F" w:rsidRDefault="002B334C" w:rsidP="002B334C">
      <w:pPr>
        <w:pStyle w:val="Point0"/>
        <w:rPr>
          <w:b/>
          <w:i/>
          <w:noProof/>
        </w:rPr>
      </w:pPr>
      <w:r w:rsidRPr="00B16B6F">
        <w:t>(10)</w:t>
      </w:r>
      <w:r w:rsidRPr="00B16B6F">
        <w:tab/>
        <w:t xml:space="preserve">▌l-Artikolu 19d </w:t>
      </w:r>
      <w:r w:rsidRPr="00B16B6F">
        <w:rPr>
          <w:b/>
          <w:bCs/>
          <w:i/>
          <w:iCs/>
        </w:rPr>
        <w:t>huwa sostitwit b’dan li ġej:</w:t>
      </w:r>
    </w:p>
    <w:p w:rsidR="002B334C" w:rsidRPr="00B16B6F" w:rsidRDefault="002B334C" w:rsidP="002B334C">
      <w:pPr>
        <w:pStyle w:val="Point0"/>
        <w:ind w:left="709" w:firstLine="1"/>
        <w:jc w:val="center"/>
        <w:rPr>
          <w:b/>
          <w:i/>
          <w:noProof/>
        </w:rPr>
      </w:pPr>
      <w:r w:rsidRPr="00B16B6F">
        <w:rPr>
          <w:b/>
          <w:bCs/>
          <w:i/>
          <w:iCs/>
        </w:rPr>
        <w:t>“Artikolu 19d</w:t>
      </w:r>
    </w:p>
    <w:p w:rsidR="002B334C" w:rsidRPr="00B16B6F" w:rsidRDefault="002B334C" w:rsidP="002B334C">
      <w:pPr>
        <w:pStyle w:val="Point0"/>
        <w:ind w:left="709" w:firstLine="1"/>
        <w:rPr>
          <w:b/>
          <w:i/>
          <w:noProof/>
        </w:rPr>
      </w:pPr>
      <w:r w:rsidRPr="00B16B6F">
        <w:rPr>
          <w:b/>
          <w:i/>
        </w:rPr>
        <w:t>Sforz sabiex jiġu pprovduti Parametri Referenzjarji tat-Tranżizzjoni Klimatika tal-UE u Parametri Referenzjarji tal-UE allinjati mal-Ftehim ta’ Pariġi.</w:t>
      </w:r>
    </w:p>
    <w:p w:rsidR="002B334C" w:rsidRPr="00B16B6F" w:rsidRDefault="002B334C" w:rsidP="002B334C">
      <w:pPr>
        <w:pStyle w:val="Point0"/>
        <w:ind w:left="709" w:firstLine="1"/>
        <w:rPr>
          <w:noProof/>
        </w:rPr>
      </w:pPr>
      <w:r w:rsidRPr="00B16B6F">
        <w:rPr>
          <w:b/>
          <w:bCs/>
          <w:i/>
          <w:iCs/>
        </w:rPr>
        <w:t>L-amministraturi li jinsabu fl-Unjoni u li jipprovdu parametri referenzjarji sinifikanti determinati abbażi tal-valur ta’ assi jew prezz sottostanti wieħed jew aktar għandhom jagħmlu ħilithom biex jipprovdu Parametru Referenzjarju tat-Tranżizzjoni Klimatika tal-UE wieħed jew aktar jew Parametru Referenzjarju tal-UE allinjati mal-Ftehim ta’ Pariġi wieħed jew aktar</w:t>
      </w:r>
      <w:r w:rsidRPr="00B16B6F">
        <w:t>.”;</w:t>
      </w:r>
    </w:p>
    <w:p w:rsidR="002B334C" w:rsidRPr="00B16B6F" w:rsidRDefault="002B334C" w:rsidP="002B334C">
      <w:pPr>
        <w:pStyle w:val="Point0"/>
        <w:rPr>
          <w:noProof/>
        </w:rPr>
      </w:pPr>
      <w:r w:rsidRPr="00B16B6F">
        <w:t>(11)</w:t>
      </w:r>
      <w:r w:rsidRPr="00B16B6F">
        <w:tab/>
        <w:t xml:space="preserve">l-Artikolu 24 huwa sostitwit b’dan li ġej: </w:t>
      </w:r>
    </w:p>
    <w:p w:rsidR="002B334C" w:rsidRPr="00B16B6F" w:rsidRDefault="002B334C" w:rsidP="002B334C">
      <w:pPr>
        <w:pStyle w:val="Text1"/>
        <w:ind w:left="567"/>
        <w:jc w:val="center"/>
        <w:rPr>
          <w:noProof/>
        </w:rPr>
      </w:pPr>
      <w:r w:rsidRPr="00B16B6F">
        <w:t>“</w:t>
      </w:r>
      <w:r w:rsidRPr="00B16B6F">
        <w:rPr>
          <w:i/>
          <w:iCs/>
        </w:rPr>
        <w:t>Artikolu 24</w:t>
      </w:r>
    </w:p>
    <w:p w:rsidR="002B334C" w:rsidRPr="00B16B6F" w:rsidRDefault="002B334C" w:rsidP="002B334C">
      <w:pPr>
        <w:pStyle w:val="Text1"/>
        <w:ind w:left="567"/>
        <w:jc w:val="center"/>
        <w:rPr>
          <w:b/>
          <w:bCs/>
          <w:noProof/>
        </w:rPr>
      </w:pPr>
      <w:r w:rsidRPr="00B16B6F">
        <w:rPr>
          <w:b/>
        </w:rPr>
        <w:t>Parametri referenzjarji sinifikanti</w:t>
      </w:r>
    </w:p>
    <w:p w:rsidR="002B334C" w:rsidRPr="00B16B6F" w:rsidRDefault="002B334C" w:rsidP="002B334C">
      <w:pPr>
        <w:pStyle w:val="Text1"/>
        <w:tabs>
          <w:tab w:val="left" w:pos="1134"/>
        </w:tabs>
        <w:ind w:left="1127" w:hanging="560"/>
        <w:rPr>
          <w:noProof/>
        </w:rPr>
      </w:pPr>
      <w:r w:rsidRPr="00B16B6F">
        <w:lastRenderedPageBreak/>
        <w:t>1.</w:t>
      </w:r>
      <w:r w:rsidRPr="00B16B6F">
        <w:tab/>
        <w:t>Parametru referenzjarju li ma huwiex parametru referenzjarju ta’ importanza kritika għandu jkun sinifikanti meta tiġi ssodisfata waħda mill-kundizzjonijiet li ġejjin:</w:t>
      </w:r>
    </w:p>
    <w:p w:rsidR="002B334C" w:rsidRPr="00B16B6F" w:rsidRDefault="002B334C" w:rsidP="002B334C">
      <w:pPr>
        <w:pStyle w:val="Text1"/>
        <w:ind w:left="1440"/>
        <w:rPr>
          <w:b/>
          <w:i/>
          <w:noProof/>
        </w:rPr>
      </w:pPr>
      <w:r w:rsidRPr="00B16B6F">
        <w:t xml:space="preserve">(a) il-parametru referenzjarju jintuża direttament jew indirettament f’kombinazzjoni ta’ parametri referenzjarji fl-Unjoni bħala referenza għal strumenti finanzjarji jew kuntratti finanzjarji jew għall-kejl tal-prestazzjoni ta’ fondi ta’ investiment, li jkollhom valur medju totali ta’ mill-inqas EUR 50 biljun abbażi </w:t>
      </w:r>
      <w:r w:rsidRPr="00B16B6F">
        <w:rPr>
          <w:b/>
          <w:bCs/>
          <w:i/>
          <w:iCs/>
        </w:rPr>
        <w:t>tal-karatteristiċi tal-parametru referenzjarju, inklużi:</w:t>
      </w:r>
    </w:p>
    <w:p w:rsidR="002B334C" w:rsidRPr="00B16B6F" w:rsidRDefault="002B334C" w:rsidP="002B334C">
      <w:pPr>
        <w:pStyle w:val="Text1"/>
        <w:ind w:left="1440"/>
        <w:rPr>
          <w:noProof/>
        </w:rPr>
      </w:pPr>
      <w:r w:rsidRPr="00B16B6F">
        <w:rPr>
          <w:b/>
          <w:i/>
        </w:rPr>
        <w:t xml:space="preserve">(i) </w:t>
      </w:r>
      <w:r w:rsidRPr="00B16B6F">
        <w:t>il-firxa kollha ta’ maturitajiet jew termini tal-parametru referenzjarju, meta jkun applikabbli, fuq perjodu ta’ 6 xhur;</w:t>
      </w:r>
    </w:p>
    <w:p w:rsidR="002B334C" w:rsidRPr="00B16B6F" w:rsidRDefault="002B334C" w:rsidP="002B334C">
      <w:pPr>
        <w:pStyle w:val="Text1"/>
        <w:ind w:left="1440"/>
        <w:rPr>
          <w:b/>
          <w:i/>
          <w:noProof/>
        </w:rPr>
      </w:pPr>
      <w:r w:rsidRPr="00B16B6F">
        <w:rPr>
          <w:b/>
          <w:i/>
        </w:rPr>
        <w:t>(ii) il-muniti kollha jew unitajiet oħra ta’ kejl tal-parametru referenzjarju, meta applikabbli, fuq perjodu ta’ sitt xhur; u</w:t>
      </w:r>
    </w:p>
    <w:p w:rsidR="002B334C" w:rsidRPr="00B16B6F" w:rsidRDefault="002B334C" w:rsidP="002B334C">
      <w:pPr>
        <w:pStyle w:val="Text1"/>
        <w:ind w:left="1440"/>
        <w:rPr>
          <w:b/>
          <w:i/>
          <w:noProof/>
        </w:rPr>
      </w:pPr>
      <w:r w:rsidRPr="00B16B6F">
        <w:rPr>
          <w:b/>
          <w:i/>
        </w:rPr>
        <w:t>(iii) il-metodoloġiji kollha tal-kalkolu tar-redditu, meta applikabbli, fuq perjodu ta’ sitt xhur;</w:t>
      </w:r>
    </w:p>
    <w:p w:rsidR="002B334C" w:rsidRPr="00B16B6F" w:rsidRDefault="002B334C" w:rsidP="002B334C">
      <w:pPr>
        <w:pStyle w:val="Text1"/>
        <w:ind w:left="1440"/>
        <w:rPr>
          <w:noProof/>
        </w:rPr>
      </w:pPr>
      <w:r w:rsidRPr="00B16B6F">
        <w:t>(b) il-parametru referenzjarju jiġi ddeżinjat bħala sinifikanti f’konformità mal-proċedura stabbilita fil-paragrafi 3, 4 u 5 jew il-proċedura stabbilita fil-paragrafu 6.</w:t>
      </w:r>
    </w:p>
    <w:p w:rsidR="002B334C" w:rsidRPr="00B16B6F" w:rsidRDefault="002B334C" w:rsidP="002B334C">
      <w:pPr>
        <w:pStyle w:val="Text1"/>
        <w:tabs>
          <w:tab w:val="left" w:pos="1134"/>
        </w:tabs>
        <w:ind w:left="1127" w:hanging="560"/>
        <w:rPr>
          <w:noProof/>
        </w:rPr>
      </w:pPr>
      <w:r w:rsidRPr="00B16B6F">
        <w:t>2.</w:t>
      </w:r>
      <w:r w:rsidRPr="00B16B6F">
        <w:tab/>
        <w:t xml:space="preserve">Amministratur għandu jinnotifika minnufih </w:t>
      </w:r>
      <w:r w:rsidRPr="00B16B6F">
        <w:rPr>
          <w:b/>
          <w:bCs/>
          <w:i/>
          <w:iCs/>
        </w:rPr>
        <w:t>lill-ESMA u, jekk jinsab fi Stat Membru tal-UE</w:t>
      </w:r>
      <w:r w:rsidRPr="00B16B6F">
        <w:t xml:space="preserve"> lill-awtorità kompetenti </w:t>
      </w:r>
      <w:r w:rsidRPr="00B16B6F">
        <w:rPr>
          <w:b/>
          <w:bCs/>
          <w:i/>
          <w:iCs/>
        </w:rPr>
        <w:t>ta’ dak</w:t>
      </w:r>
      <w:r w:rsidRPr="00B16B6F">
        <w:t xml:space="preserve"> </w:t>
      </w:r>
      <w:r w:rsidRPr="00B16B6F">
        <w:rPr>
          <w:b/>
          <w:bCs/>
          <w:i/>
          <w:iCs/>
        </w:rPr>
        <w:t>l-Istat</w:t>
      </w:r>
      <w:r w:rsidRPr="00B16B6F">
        <w:t xml:space="preserve"> Membru▌, meta parametru referenzjarju wieħed jew aktar ta’ dak l-amministratur jaqbżu l-limitu msemmi fil-paragrafu 1, il-punt (a). Wara li tirċievi dik in-notifika, ▌l-ESMA ▌għandha tippubblika dikjarazzjoni fuq is-sit web tagħha li tiddikjara li dak il-parametru referenzjarju huwa sinifikanti</w:t>
      </w:r>
      <w:r w:rsidRPr="00B16B6F">
        <w:rPr>
          <w:b/>
          <w:bCs/>
          <w:i/>
          <w:iCs/>
        </w:rPr>
        <w:t xml:space="preserve"> jew fi Stat Membru wieħed jew fl-Unjoni</w:t>
      </w:r>
      <w:r w:rsidRPr="00B16B6F">
        <w:t>.</w:t>
      </w:r>
    </w:p>
    <w:p w:rsidR="002B334C" w:rsidRPr="00B16B6F" w:rsidRDefault="002B334C" w:rsidP="002B334C">
      <w:pPr>
        <w:pStyle w:val="Text1"/>
        <w:tabs>
          <w:tab w:val="left" w:pos="1134"/>
        </w:tabs>
        <w:ind w:left="1127"/>
        <w:rPr>
          <w:noProof/>
        </w:rPr>
      </w:pPr>
      <w:r w:rsidRPr="00B16B6F">
        <w:t xml:space="preserve">Amministratur għandu, fuq talba, jipprovdi </w:t>
      </w:r>
      <w:r w:rsidRPr="00B16B6F">
        <w:rPr>
          <w:b/>
          <w:bCs/>
          <w:i/>
          <w:iCs/>
        </w:rPr>
        <w:t>lill-ESMA u</w:t>
      </w:r>
      <w:r w:rsidRPr="00B16B6F">
        <w:t xml:space="preserve"> lill-awtorità kompetenti tal-Istat Membru fejn ikun jinsab ▌b’informazzjoni dwar jekk il-limitu msemmi fil-paragrafu 1, il-punt (a) ikunx inqabeż b’mod effettiv.</w:t>
      </w:r>
    </w:p>
    <w:p w:rsidR="002B334C" w:rsidRPr="00B16B6F" w:rsidRDefault="002B334C" w:rsidP="002B334C">
      <w:pPr>
        <w:pStyle w:val="Text1"/>
        <w:tabs>
          <w:tab w:val="left" w:pos="1134"/>
        </w:tabs>
        <w:ind w:left="1127"/>
        <w:rPr>
          <w:noProof/>
        </w:rPr>
      </w:pPr>
      <w:r w:rsidRPr="00B16B6F">
        <w:t xml:space="preserve">Meta awtorità kompetenti jew ▌l-ESMA, ikollha raġunijiet ċari u dimostrabbli biex tikkunsidra li parametru referenzjarju jaqbeż il-limitu msemmi fil-paragrafu 1, il-punt (a), l-awtorità kompetenti jew l-ESMA tista’ toħroġ avviż li jiddikjara dak il-fatt. Tali avviż għandu jiskatta l-istess obbligi għall-amministratur tal-parametru referenzjarju bħal notifika </w:t>
      </w:r>
      <w:bookmarkStart w:id="10" w:name="_Hlk147499634"/>
      <w:r w:rsidRPr="00B16B6F">
        <w:t>kif imsemmi fil-paragrafu 2.</w:t>
      </w:r>
      <w:bookmarkEnd w:id="10"/>
      <w:r w:rsidRPr="00B16B6F">
        <w:t xml:space="preserve"> Mill-inqas 10 ijiem tax-xogħol qabel ma toħroġ tali avviż, l-awtorità kompetenti jew l-ESMA għandha tinforma lill-amministratur tal-parametru referenzjarju kkonċernat bis-sejbiet tagħha, u tistieden lil dak l-amministratur jissottometti kwalunkwe osservazzjoni.</w:t>
      </w:r>
    </w:p>
    <w:p w:rsidR="002B334C" w:rsidRPr="00B16B6F" w:rsidRDefault="002B334C" w:rsidP="002B334C">
      <w:pPr>
        <w:pStyle w:val="Text1"/>
        <w:tabs>
          <w:tab w:val="left" w:pos="1134"/>
        </w:tabs>
        <w:ind w:left="1127" w:hanging="560"/>
        <w:rPr>
          <w:noProof/>
        </w:rPr>
      </w:pPr>
      <w:r w:rsidRPr="00B16B6F">
        <w:t>3.</w:t>
      </w:r>
      <w:r w:rsidRPr="00B16B6F">
        <w:tab/>
        <w:t>Awtorità kompetenti tista’, wara li tkun ikkonsultat lill-ESMA f’konformità mal-paragrafu 4 u filwaqt li tqis il-parir tagħha, tiddeżinja parametru referenzjarju pprovdut minn amministratur li jinsab fl-Unjoni li ma jissodisfax il-kundizzjoni stabbilita fil-paragrafu 1, il-punt (a), bħala sinifikanti meta dak il-parametru referenzjarju jissodisfa l-kundizzjonijiet kollha li ġejjin:</w:t>
      </w:r>
    </w:p>
    <w:p w:rsidR="002B334C" w:rsidRPr="00B16B6F" w:rsidRDefault="002B334C" w:rsidP="007D566F">
      <w:pPr>
        <w:pStyle w:val="Text1"/>
        <w:ind w:left="2160"/>
        <w:rPr>
          <w:noProof/>
        </w:rPr>
      </w:pPr>
      <w:r w:rsidRPr="00B16B6F">
        <w:t xml:space="preserve">(a) il-parametru referenzjarju ma għandu l-ebda sostitut jew ftit li xejn sostituti xierqa mmexxija mis-suq; </w:t>
      </w:r>
    </w:p>
    <w:p w:rsidR="002B334C" w:rsidRPr="00B16B6F" w:rsidRDefault="002B334C" w:rsidP="002B334C">
      <w:pPr>
        <w:pStyle w:val="Text1"/>
        <w:ind w:left="1440"/>
        <w:rPr>
          <w:noProof/>
        </w:rPr>
      </w:pPr>
      <w:r w:rsidRPr="00B16B6F">
        <w:t>(b) fil-każ li l-parametru referenzjarju ma jibqax jiġi pprovdut, jew jiġi pprovdut abbażi ta’ data tal-input li ma tibqax rappreżentattiva b’mod sħiħ tas-suq jew tar-realtà ekonomika sottostanti jew abbażi ta’ data tal-input mhux affidabbli, ikun hemm impatti sinifikanti u avversi fuq ▌l-istabbiltà finanzjarja, il-</w:t>
      </w:r>
      <w:r w:rsidRPr="00B16B6F">
        <w:lastRenderedPageBreak/>
        <w:t>konsumaturi, l-ekonomija reali, jew il-finanzjament ta’ unitajiet domestiċi u negozji fl-Istat Membru tiegħu</w:t>
      </w:r>
      <w:r w:rsidRPr="00B16B6F">
        <w:rPr>
          <w:b/>
          <w:bCs/>
          <w:i/>
          <w:iCs/>
        </w:rPr>
        <w:t xml:space="preserve"> jew fl-Unjoni</w:t>
      </w:r>
      <w:r w:rsidRPr="00B16B6F">
        <w:t>;</w:t>
      </w:r>
    </w:p>
    <w:p w:rsidR="002B334C" w:rsidRPr="00B16B6F" w:rsidRDefault="002B334C" w:rsidP="002B334C">
      <w:pPr>
        <w:pStyle w:val="Text1"/>
        <w:ind w:left="1440"/>
        <w:rPr>
          <w:noProof/>
        </w:rPr>
      </w:pPr>
      <w:r w:rsidRPr="00B16B6F">
        <w:t>(c) il-parametru referenzjarju ma jkunx ġie ddeżinjat minn awtorità kompetenti ta’ Stat Membru ieħor</w:t>
      </w:r>
      <w:r w:rsidRPr="00B16B6F">
        <w:rPr>
          <w:b/>
          <w:bCs/>
          <w:i/>
          <w:iCs/>
        </w:rPr>
        <w:t xml:space="preserve"> jew mill-ESMA</w:t>
      </w:r>
      <w:r w:rsidRPr="00B16B6F">
        <w:t>.</w:t>
      </w:r>
    </w:p>
    <w:p w:rsidR="002B334C" w:rsidRPr="00B16B6F" w:rsidRDefault="002B334C" w:rsidP="002B334C">
      <w:pPr>
        <w:pStyle w:val="Text1"/>
        <w:ind w:left="1127"/>
        <w:rPr>
          <w:noProof/>
        </w:rPr>
      </w:pPr>
      <w:r w:rsidRPr="00B16B6F">
        <w:t>Meta awtorità kompetenti tikkonkludi li parametru referenzjarju jissodisfa l-kriterji stabbiliti fl-ewwel subparagrafu, l-awtorità kompetenti għandha tħejji abbozz ta’ deċiżjoni biex il-parametru referenzjarju jiġi ddeżinjat bħala sinifikanti u tinnotifika dak l-abbozz ta’ deċiżjoni lill-amministratur ikkonċernat u lill-awtorità kompetenti tal-Istat Membru domiċiljari tal-amministratur, meta dan ikun rilevanti. L-awtorità kompetenti kkonċernata għandha tikkonsulta wkoll lill-ESMA dwar l-abbozz ta’ deċiżjoni.</w:t>
      </w:r>
    </w:p>
    <w:p w:rsidR="002B334C" w:rsidRPr="00B16B6F" w:rsidRDefault="002B334C" w:rsidP="002B334C">
      <w:pPr>
        <w:pStyle w:val="Text1"/>
        <w:ind w:left="1127"/>
        <w:rPr>
          <w:noProof/>
        </w:rPr>
      </w:pPr>
      <w:r w:rsidRPr="00B16B6F">
        <w:t xml:space="preserve">L-amministraturi kkonċernati u l-awtorità kompetenti tal-Istat Membru domiċiljari tal-amministratur għandu jkollhom 15-il jum tax-xogħol mid-data tan-notifika tal-abbozz tad-deċiżjoni tal-awtorità kompetenti deżinjanti kkonċernata biex jipprovdu osservazzjonijiet u kummenti bil-miktub. L-awtorità kompetenti deżinjanti kkonċernata għandha tinforma lill-ESMA dwar l-osservazzjonijiet u l-kummenti li tirċievi u għandha tikkunsidra kif xieraq dawk l-osservazzjonijiet u l-kummenti qabel ma tadotta deċiżjoni finali. </w:t>
      </w:r>
    </w:p>
    <w:p w:rsidR="002B334C" w:rsidRPr="00B16B6F" w:rsidRDefault="002B334C" w:rsidP="002B334C">
      <w:pPr>
        <w:pStyle w:val="Text1"/>
        <w:ind w:left="1127"/>
        <w:rPr>
          <w:noProof/>
        </w:rPr>
      </w:pPr>
      <w:r w:rsidRPr="00B16B6F">
        <w:t>L-awtorità kompetenti deżinjanti għandha tinnotifika lill-ESMA bid-deċiżjoni tagħha, u tippubblika d-deċiżjoni, inklużi r-raġunijiet li għalihom tkun ittieħdet u l-konsegwenzi ta’ din id-deżinjazzjoni, fuq is-sit web tagħha mingħajr dewmien żejjed.”;</w:t>
      </w:r>
    </w:p>
    <w:p w:rsidR="002B334C" w:rsidRPr="00B16B6F" w:rsidRDefault="002B334C" w:rsidP="002B334C">
      <w:pPr>
        <w:pStyle w:val="Text1"/>
        <w:tabs>
          <w:tab w:val="left" w:pos="1134"/>
        </w:tabs>
        <w:ind w:left="1127" w:hanging="560"/>
        <w:rPr>
          <w:noProof/>
        </w:rPr>
      </w:pPr>
      <w:r w:rsidRPr="00B16B6F">
        <w:t xml:space="preserve">4. </w:t>
      </w:r>
      <w:r w:rsidRPr="00B16B6F">
        <w:tab/>
        <w:t>Meta tiġi kkonsultata minn awtorità kompetenti dwar id-deżinjazzjoni maħsuba ta’ parametru referenzjarju bħala sinifikanti f’konformità mal-paragrafu 3, l-ewwel subparagrafu, l-ESMA għandha, fi żmien 3 xhur, toħroġ parir li jqis il-fatturi li ġejjin, fid-dawl tal-karatteristiċi speċifiċi tal-parametru referenzjarju kkonċernat:</w:t>
      </w:r>
    </w:p>
    <w:p w:rsidR="002B334C" w:rsidRPr="00B16B6F" w:rsidRDefault="002B334C" w:rsidP="002B334C">
      <w:pPr>
        <w:pStyle w:val="Text1"/>
        <w:ind w:left="1440"/>
        <w:rPr>
          <w:noProof/>
        </w:rPr>
      </w:pPr>
      <w:r w:rsidRPr="00B16B6F">
        <w:t>(a) jekk l-awtorità kompetenti ta’ konsultazzjoni tkunx issostanzjat biżżejjed il-valutazzjoni tagħha li l-kundizzjonijiet imsemmija fil-paragrafu 3, l-ewwel subparagrafu, huma ssodisfati;</w:t>
      </w:r>
    </w:p>
    <w:p w:rsidR="002B334C" w:rsidRPr="00B16B6F" w:rsidRDefault="002B334C" w:rsidP="002B334C">
      <w:pPr>
        <w:pStyle w:val="Text1"/>
        <w:ind w:left="1440"/>
        <w:rPr>
          <w:noProof/>
        </w:rPr>
      </w:pPr>
      <w:r w:rsidRPr="00B16B6F">
        <w:t>(b) jekk, fil-każ li l-parametru referenzjarju ma jibqax jiġi pprovdut, jew jiġi pprovdut abbażi ta’ data tal-input li ma tibqax rappreżentattiva b’mod sħiħ tas-suq jew tar-realtà ekonomika sottostanti jew li ma tkunx affidabbli, ikunx hemm impatti sinifikanti u avversi fuq ▌l-istabbiltà finanzjarja, il-konsumaturi, l-ekonomija reali, jew il-finanzjament ta’ unitajiet domestiċi u negozji</w:t>
      </w:r>
      <w:r w:rsidRPr="00B16B6F">
        <w:rPr>
          <w:b/>
          <w:bCs/>
          <w:i/>
          <w:iCs/>
        </w:rPr>
        <w:t xml:space="preserve"> fl-Unjoni jew</w:t>
      </w:r>
      <w:r w:rsidRPr="00B16B6F">
        <w:t xml:space="preserve"> fi Stati Membri għajr l-Istat Membru tal-awtorità kompetenti ta’ konsultazzjoni. </w:t>
      </w:r>
    </w:p>
    <w:p w:rsidR="002B334C" w:rsidRPr="00B16B6F" w:rsidRDefault="002B334C" w:rsidP="002B334C">
      <w:pPr>
        <w:pStyle w:val="Text1"/>
        <w:tabs>
          <w:tab w:val="left" w:pos="1134"/>
        </w:tabs>
        <w:ind w:left="1127"/>
        <w:rPr>
          <w:noProof/>
        </w:rPr>
      </w:pPr>
      <w:r w:rsidRPr="00B16B6F">
        <w:t>Għall-finijiet tal-punt (b), l-ESMA għandha tqis kif xieraq, meta rilevanti, l-informazzjoni pprovduta mill-awtorità ta’ konsultazzjoni skont it-tielet subparagrafu tal-paragrafu 3.</w:t>
      </w:r>
    </w:p>
    <w:p w:rsidR="002B334C" w:rsidRPr="00B16B6F" w:rsidRDefault="002B334C" w:rsidP="002B334C">
      <w:pPr>
        <w:pStyle w:val="Text1"/>
        <w:tabs>
          <w:tab w:val="left" w:pos="1134"/>
        </w:tabs>
        <w:ind w:left="1127" w:hanging="560"/>
        <w:rPr>
          <w:noProof/>
        </w:rPr>
      </w:pPr>
      <w:r w:rsidRPr="00B16B6F">
        <w:t xml:space="preserve">5. </w:t>
      </w:r>
      <w:r w:rsidRPr="00B16B6F">
        <w:tab/>
        <w:t xml:space="preserve">Meta l-ESMA ssib li parametru referenzjarju jissodisfa l-kundizzjonijiet skont il-paragrafu 3, </w:t>
      </w:r>
      <w:r w:rsidRPr="00B16B6F">
        <w:rPr>
          <w:b/>
          <w:bCs/>
          <w:i/>
          <w:iCs/>
        </w:rPr>
        <w:t>l-ewwel subparagrafu</w:t>
      </w:r>
      <w:r w:rsidRPr="00B16B6F">
        <w:t xml:space="preserve">, il-punti (a) </w:t>
      </w:r>
      <w:r w:rsidRPr="00B16B6F">
        <w:rPr>
          <w:b/>
          <w:bCs/>
          <w:i/>
          <w:iCs/>
        </w:rPr>
        <w:t>u (b)</w:t>
      </w:r>
      <w:r w:rsidRPr="00B16B6F">
        <w:t xml:space="preserve">, </w:t>
      </w:r>
      <w:r w:rsidRPr="00B16B6F">
        <w:rPr>
          <w:b/>
          <w:bCs/>
          <w:i/>
          <w:iCs/>
        </w:rPr>
        <w:t>fl-Unjoni jew</w:t>
      </w:r>
      <w:r w:rsidRPr="00B16B6F">
        <w:t xml:space="preserve"> f’aktar minn Stat Membru wieħed, hija għandha tinforma lill-awtoritajiet kompetenti tal-Istati Membri kkonċernati b’dan. ▌</w:t>
      </w:r>
    </w:p>
    <w:p w:rsidR="002B334C" w:rsidRPr="00B16B6F" w:rsidRDefault="002B334C" w:rsidP="002B334C">
      <w:pPr>
        <w:pStyle w:val="Text1"/>
        <w:tabs>
          <w:tab w:val="left" w:pos="1134"/>
        </w:tabs>
        <w:ind w:left="1127"/>
        <w:rPr>
          <w:noProof/>
        </w:rPr>
      </w:pPr>
      <w:r w:rsidRPr="00B16B6F">
        <w:rPr>
          <w:b/>
          <w:bCs/>
          <w:i/>
          <w:iCs/>
        </w:rPr>
        <w:t>L-ESMA għandha tħejji abbozz ta’ deċiżjoni biex tiddeżinja l-parametru referenzjarju bħala sinifikanti fl-Unjoni u tinnotifika dak l-abbozz ta’ deċiżjoni lill-amministratur ikkonċernat u</w:t>
      </w:r>
      <w:r w:rsidRPr="00B16B6F">
        <w:t xml:space="preserve"> lill-awtoritajiet kompetenti </w:t>
      </w:r>
      <w:r w:rsidRPr="00B16B6F">
        <w:rPr>
          <w:b/>
          <w:bCs/>
          <w:i/>
          <w:iCs/>
        </w:rPr>
        <w:t xml:space="preserve">rilevanti fejn japplika </w:t>
      </w:r>
      <w:r w:rsidRPr="00B16B6F">
        <w:rPr>
          <w:b/>
          <w:bCs/>
          <w:i/>
          <w:iCs/>
        </w:rPr>
        <w:lastRenderedPageBreak/>
        <w:t>l-punt (b).</w:t>
      </w:r>
      <w:r w:rsidRPr="00B16B6F">
        <w:rPr>
          <w:b/>
          <w:i/>
        </w:rPr>
        <w:t xml:space="preserve"> </w:t>
      </w:r>
      <w:r w:rsidRPr="00B16B6F">
        <w:rPr>
          <w:b/>
          <w:bCs/>
          <w:i/>
          <w:iCs/>
        </w:rPr>
        <w:t>L-amministraturi kkonċernati u l-awtoritajiet kompetenti rilevanti għandu jkollhom 15-il jum tax-xogħol mid-data tan-notifika tal-abbozz tad-deċiżjoni tal-ESMA biex jipprovdu osservazzjonijiet u kummenti bil-miktub.</w:t>
      </w:r>
      <w:r w:rsidRPr="00B16B6F">
        <w:t xml:space="preserve"> L-ESMA għandha</w:t>
      </w:r>
      <w:r w:rsidRPr="00B16B6F">
        <w:rPr>
          <w:b/>
          <w:bCs/>
          <w:i/>
          <w:iCs/>
        </w:rPr>
        <w:t xml:space="preserve"> tqis dawk l-osservazzjonijiet u l-kummenti qabel ma tadotta deċiżjoni finali</w:t>
      </w:r>
      <w:r w:rsidRPr="00B16B6F">
        <w:t xml:space="preserve">. </w:t>
      </w:r>
    </w:p>
    <w:p w:rsidR="002B334C" w:rsidRPr="00B16B6F" w:rsidRDefault="002B334C" w:rsidP="002B334C">
      <w:pPr>
        <w:pStyle w:val="Text1"/>
        <w:tabs>
          <w:tab w:val="left" w:pos="1134"/>
        </w:tabs>
        <w:ind w:left="1127" w:hanging="560"/>
        <w:rPr>
          <w:noProof/>
        </w:rPr>
      </w:pPr>
      <w:r w:rsidRPr="00B16B6F">
        <w:t xml:space="preserve">6. </w:t>
      </w:r>
      <w:r w:rsidRPr="00B16B6F">
        <w:tab/>
        <w:t xml:space="preserve">L-ESMA tista’, fuq talba ta’ awtorità kompetenti, </w:t>
      </w:r>
      <w:r w:rsidRPr="00B16B6F">
        <w:rPr>
          <w:b/>
          <w:bCs/>
          <w:i/>
          <w:iCs/>
        </w:rPr>
        <w:t>jew fuq inizjattiva proprja,</w:t>
      </w:r>
      <w:r w:rsidRPr="00B16B6F">
        <w:t xml:space="preserve"> tiddeżinja parametru referenzjarju pprovdut minn amministratur li jinsab f’pajjiż terz li ma jissodisfax il-limitu stabbilit fil-paragrafu 1, il-punt (a), bħala sinifikanti meta dak il-parametru referenzjarju jissodisfa l-kundizzjonijiet kollha li ġejjin:</w:t>
      </w:r>
    </w:p>
    <w:p w:rsidR="002B334C" w:rsidRPr="00B16B6F" w:rsidRDefault="002B334C" w:rsidP="002B334C">
      <w:pPr>
        <w:pStyle w:val="Text1"/>
        <w:ind w:left="1440"/>
        <w:rPr>
          <w:noProof/>
        </w:rPr>
      </w:pPr>
      <w:r w:rsidRPr="00B16B6F">
        <w:t xml:space="preserve">(a) il-parametru referenzjarju ma għandu l-ebda sostitut jew ftit li xejn sostituti xierqa mmexxija mis-suq; </w:t>
      </w:r>
    </w:p>
    <w:p w:rsidR="002B334C" w:rsidRPr="00B16B6F" w:rsidRDefault="002B334C" w:rsidP="002B334C">
      <w:pPr>
        <w:pStyle w:val="Text1"/>
        <w:ind w:left="1440"/>
        <w:rPr>
          <w:noProof/>
        </w:rPr>
      </w:pPr>
      <w:r w:rsidRPr="00B16B6F">
        <w:t>(b) fil-każ li l-parametru referenzjarju ma jibqax jiġi pprovdut, jew jiġi pprovdut abbażi ta’ data tal-input li ma tibqax rappreżentattiva b’mod sħiħ tas-suq jew tar-realtà ekonomika sottostanti jew li ma tkunx affidabbli, ikun hemm impatti sinifikanti u avversi fuq ▌l-istabbiltà finanzjarja, il-konsumaturi, l-ekonomija reali, jew il-finanzjament ta’ unitajiet domestiċi u negozji</w:t>
      </w:r>
      <w:r w:rsidRPr="00B16B6F">
        <w:rPr>
          <w:b/>
          <w:bCs/>
          <w:i/>
          <w:iCs/>
        </w:rPr>
        <w:t xml:space="preserve"> fl-Unjoni jew</w:t>
      </w:r>
      <w:r w:rsidRPr="00B16B6F">
        <w:t xml:space="preserve"> fi Stat Membru wieħed jew aktar.</w:t>
      </w:r>
    </w:p>
    <w:p w:rsidR="002B334C" w:rsidRPr="00B16B6F" w:rsidRDefault="002B334C" w:rsidP="002B334C">
      <w:pPr>
        <w:pStyle w:val="Text1"/>
        <w:ind w:left="1127"/>
        <w:rPr>
          <w:noProof/>
        </w:rPr>
      </w:pPr>
      <w:r w:rsidRPr="00B16B6F">
        <w:t xml:space="preserve">L-ESMA għandha, qabel id-deċiżjoni dwar id-deżinjazzjoni u mill-aktar fis possibbli, tinforma lill-amministratur tal-parametru referenzjarju bl-intenzjoni tagħha, u tistieden lil dak l-amministratur jipprovdi lill-ESMA fi żmien 15-il jum tax-xogħol dikjarazzjoni motivata li jkun fiha kwalunkwe informazzjoni rilevanti għall-finijiet tal-valutazzjoni relatata mad-deżinjazzjoni tal-parametru referenzjarju bħala sinifikanti. </w:t>
      </w:r>
    </w:p>
    <w:p w:rsidR="002B334C" w:rsidRPr="00B16B6F" w:rsidRDefault="002B334C" w:rsidP="002B334C">
      <w:pPr>
        <w:pStyle w:val="Text1"/>
        <w:ind w:left="1127"/>
        <w:rPr>
          <w:noProof/>
        </w:rPr>
      </w:pPr>
      <w:r w:rsidRPr="00B16B6F">
        <w:t>Meta jkun applikabbli, l-ESMA għandha tistieden, mill-aktar fis possibbli, lill-awtorità kompetenti tal-ġuriżdizzjoni fejn jinsab l-amministratur biex tipprovdi kwalunkwe informazzjoni rilevanti għall-finijiet tal-valutazzjoni relatata mad-deżinjazzjoni tal-parametru referenzjarju.</w:t>
      </w:r>
    </w:p>
    <w:p w:rsidR="002B334C" w:rsidRPr="00B16B6F" w:rsidRDefault="002B334C" w:rsidP="002B334C">
      <w:pPr>
        <w:pStyle w:val="Text1"/>
        <w:tabs>
          <w:tab w:val="left" w:pos="1134"/>
        </w:tabs>
        <w:ind w:left="1127"/>
        <w:rPr>
          <w:noProof/>
        </w:rPr>
      </w:pPr>
      <w:r w:rsidRPr="00B16B6F">
        <w:t>L-ESMA għandha timmotiva kwalunkwe deċiżjoni dwar id-deżinjazzjoni, filwaqt li tqis jekk hemmx biżżejjed evidenza li l-kundizzjonijiet imsemmija fl-ewwel subparagrafu ta’ dan il-paragrafu huma ssodisfati, fid-dawl tal-karatteristiċi speċifiċi tal-parametru referenzjarju kkonċernat.</w:t>
      </w:r>
    </w:p>
    <w:p w:rsidR="002B334C" w:rsidRPr="00B16B6F" w:rsidRDefault="002B334C" w:rsidP="002B334C">
      <w:pPr>
        <w:pStyle w:val="Text1"/>
        <w:tabs>
          <w:tab w:val="left" w:pos="1134"/>
        </w:tabs>
        <w:ind w:left="1127"/>
        <w:rPr>
          <w:noProof/>
        </w:rPr>
      </w:pPr>
      <w:r w:rsidRPr="00B16B6F">
        <w:t>L-ESMA għandha tippubblika d-deċiżjoni motivata tagħha fuq is-sit web tagħha u għandha tinnotifika lill-awtorità jew lill-awtoritajiet kompetenti rikjedenti mingħajr dewmien żejjed.</w:t>
      </w:r>
    </w:p>
    <w:p w:rsidR="002B334C" w:rsidRPr="00B16B6F" w:rsidRDefault="002B334C" w:rsidP="002B334C">
      <w:pPr>
        <w:pStyle w:val="Text1"/>
        <w:tabs>
          <w:tab w:val="left" w:pos="567"/>
        </w:tabs>
        <w:ind w:left="1134" w:hanging="567"/>
        <w:rPr>
          <w:b/>
          <w:i/>
          <w:noProof/>
        </w:rPr>
      </w:pPr>
      <w:r w:rsidRPr="00B16B6F">
        <w:rPr>
          <w:b/>
          <w:i/>
        </w:rPr>
        <w:t>6a.</w:t>
      </w:r>
      <w:r w:rsidRPr="00B16B6F">
        <w:rPr>
          <w:b/>
          <w:i/>
        </w:rPr>
        <w:tab/>
        <w:t>L-amministraturi ta’ parametri referenzjarji li ma jissodisfawx ir-rekwiżiti biex jitqiesu bħala parametri referenzjarji ta’ importanza kritika, sinifikanti, tal-komoditajiet soġġetti għall-Anness II, Parametri Referenzjarji tat-Tranżizzjoni Klimatika tal-UE jew Parametri Referenzjarji tal-UE allinjati mal-Ftehim ta’ Pariġi jistgħu japplikaw volontarjament għal aċċess għar-reġistru previst fl-Artikolu 36 permezz ta’ awtorizzazzjoni, reġistrazzjoni, rikonoxximent jew approvazzjoni.</w:t>
      </w:r>
    </w:p>
    <w:p w:rsidR="002B334C" w:rsidRPr="00B16B6F" w:rsidRDefault="002B334C" w:rsidP="002B334C">
      <w:pPr>
        <w:pStyle w:val="Text1"/>
        <w:tabs>
          <w:tab w:val="left" w:pos="567"/>
        </w:tabs>
        <w:ind w:left="1134" w:hanging="1134"/>
        <w:rPr>
          <w:b/>
          <w:i/>
          <w:noProof/>
        </w:rPr>
      </w:pPr>
      <w:r w:rsidRPr="00B16B6F">
        <w:rPr>
          <w:b/>
          <w:i/>
        </w:rPr>
        <w:tab/>
      </w:r>
      <w:r w:rsidRPr="00B16B6F">
        <w:rPr>
          <w:b/>
          <w:i/>
        </w:rPr>
        <w:tab/>
        <w:t xml:space="preserve">L-amministraturi li volontarjament jagħżlu li jipparteċipaw f’dan ir-Regolament għandhom jagħmlu dan, bil-miktub mal-awtorità superviżorja attwali tagħhom, għal kull parametru referenzjarju u kull wieħed minn dawk il-parametri referenzjarji għandu jitqies bħala sinifikanti skont dan ir-Regolament. </w:t>
      </w:r>
    </w:p>
    <w:p w:rsidR="002B334C" w:rsidRPr="00B16B6F" w:rsidRDefault="002B334C" w:rsidP="002B334C">
      <w:pPr>
        <w:pStyle w:val="Text1"/>
        <w:tabs>
          <w:tab w:val="left" w:pos="1134"/>
        </w:tabs>
        <w:ind w:left="1127"/>
        <w:rPr>
          <w:i/>
          <w:noProof/>
        </w:rPr>
      </w:pPr>
      <w:r w:rsidRPr="00B16B6F">
        <w:rPr>
          <w:b/>
          <w:i/>
        </w:rPr>
        <w:lastRenderedPageBreak/>
        <w:tab/>
        <w:t>Ir-rinunzja volontarja ta’ dan ir-reġim ma għandhiex tipprevjeni l-impożizzjoni tar-responsabbiltajiet amministrattivi korrispondenti fil-każ ta’ nuqqas ta’ konformità mar-Regolament (UE) 2016/1011 jew ksur tiegħu matul l-inklużjoni volontarja tagħhom fir-reġistru previst fl-Artikolu 36.</w:t>
      </w:r>
      <w:r w:rsidRPr="00B16B6F">
        <w:t xml:space="preserve"> </w:t>
      </w:r>
      <w:r w:rsidRPr="00B16B6F">
        <w:rPr>
          <w:i/>
        </w:rPr>
        <w:t xml:space="preserve"> </w:t>
      </w:r>
    </w:p>
    <w:p w:rsidR="002B334C" w:rsidRPr="00B16B6F" w:rsidRDefault="002B334C" w:rsidP="002B334C">
      <w:pPr>
        <w:pStyle w:val="Text1"/>
        <w:tabs>
          <w:tab w:val="left" w:pos="1134"/>
        </w:tabs>
        <w:ind w:left="1127" w:hanging="560"/>
        <w:rPr>
          <w:noProof/>
        </w:rPr>
      </w:pPr>
      <w:r w:rsidRPr="00B16B6F">
        <w:t xml:space="preserve">7. </w:t>
      </w:r>
      <w:r w:rsidRPr="00B16B6F">
        <w:tab/>
      </w:r>
      <w:r w:rsidRPr="00B16B6F">
        <w:rPr>
          <w:b/>
          <w:bCs/>
          <w:i/>
          <w:iCs/>
        </w:rPr>
        <w:t>L-ESMA</w:t>
      </w:r>
      <w:r w:rsidRPr="00B16B6F">
        <w:t xml:space="preserve"> għandha</w:t>
      </w:r>
      <w:r w:rsidRPr="00B16B6F">
        <w:rPr>
          <w:b/>
          <w:bCs/>
          <w:i/>
          <w:iCs/>
        </w:rPr>
        <w:t xml:space="preserve"> tiżviluppa abbozzi ta’ standards tekniċi regolatorji biex</w:t>
      </w:r>
      <w:r w:rsidRPr="00B16B6F">
        <w:t xml:space="preserve"> tispeċifika:</w:t>
      </w:r>
    </w:p>
    <w:p w:rsidR="002B334C" w:rsidRPr="00B16B6F" w:rsidRDefault="002B334C" w:rsidP="002B334C">
      <w:pPr>
        <w:pStyle w:val="Text1"/>
        <w:tabs>
          <w:tab w:val="left" w:pos="1134"/>
        </w:tabs>
        <w:ind w:left="1127" w:hanging="560"/>
        <w:rPr>
          <w:noProof/>
        </w:rPr>
      </w:pPr>
      <w:r w:rsidRPr="00B16B6F">
        <w:tab/>
      </w:r>
      <w:r w:rsidRPr="00B16B6F">
        <w:rPr>
          <w:b/>
          <w:i/>
        </w:rPr>
        <w:t>(i)</w:t>
      </w:r>
      <w:r w:rsidRPr="00B16B6F">
        <w:t xml:space="preserve"> il-metodu ta’ kalkolu,</w:t>
      </w:r>
      <w:r w:rsidRPr="00B16B6F">
        <w:rPr>
          <w:b/>
          <w:bCs/>
          <w:i/>
          <w:iCs/>
        </w:rPr>
        <w:t xml:space="preserve"> inklużi sorsi potenzjali ta’ data,</w:t>
      </w:r>
      <w:r w:rsidRPr="00B16B6F">
        <w:t xml:space="preserve"> li </w:t>
      </w:r>
      <w:r w:rsidRPr="00B16B6F">
        <w:rPr>
          <w:b/>
          <w:bCs/>
          <w:i/>
          <w:iCs/>
        </w:rPr>
        <w:t>għandhom jintużaw</w:t>
      </w:r>
      <w:r w:rsidRPr="00B16B6F">
        <w:t xml:space="preserve"> biex jiġi ddeterminat il-limitu msemmi fil-paragrafu 1, il-punt (a), ta’ dan l-Artikolu</w:t>
      </w:r>
      <w:r w:rsidRPr="00B16B6F">
        <w:rPr>
          <w:b/>
          <w:bCs/>
          <w:i/>
          <w:iCs/>
        </w:rPr>
        <w:t>;</w:t>
      </w:r>
      <w:r w:rsidRPr="00B16B6F">
        <w:t xml:space="preserve"> </w:t>
      </w:r>
    </w:p>
    <w:p w:rsidR="002B334C" w:rsidRPr="00B16B6F" w:rsidRDefault="002B334C" w:rsidP="002B334C">
      <w:pPr>
        <w:pStyle w:val="Text1"/>
        <w:tabs>
          <w:tab w:val="left" w:pos="1134"/>
        </w:tabs>
        <w:ind w:left="1127" w:hanging="560"/>
        <w:rPr>
          <w:b/>
          <w:i/>
          <w:noProof/>
        </w:rPr>
      </w:pPr>
      <w:r w:rsidRPr="00B16B6F">
        <w:tab/>
      </w:r>
      <w:r w:rsidRPr="00B16B6F">
        <w:rPr>
          <w:b/>
          <w:i/>
        </w:rPr>
        <w:t>(ii) il-kriterji biex jiġi vvalutat meta parametru referenzjarju jaqbeż il-limitu msemmi fl-Artikolu 24, il-paragrafu (1), il-punt (a), fi Stat Membru wieħed jew madwar l-Unjoni;</w:t>
      </w:r>
    </w:p>
    <w:p w:rsidR="002B334C" w:rsidRPr="00B16B6F" w:rsidRDefault="002B334C" w:rsidP="002B334C">
      <w:pPr>
        <w:pStyle w:val="Text1"/>
        <w:tabs>
          <w:tab w:val="left" w:pos="1134"/>
        </w:tabs>
        <w:ind w:left="1127" w:hanging="560"/>
        <w:rPr>
          <w:b/>
          <w:i/>
          <w:noProof/>
        </w:rPr>
      </w:pPr>
      <w:r w:rsidRPr="00B16B6F">
        <w:rPr>
          <w:b/>
          <w:i/>
        </w:rPr>
        <w:tab/>
        <w:t>(iii) l-informazzjoni li l-awtoritajiet kompetenti għandhom jipprovdu meta jikkonsultaw lill-ESMA kif meħtieġ fl-Artikolu 24, il-paragrafu 3;</w:t>
      </w:r>
    </w:p>
    <w:p w:rsidR="002B334C" w:rsidRPr="00B16B6F" w:rsidRDefault="002B334C" w:rsidP="002B334C">
      <w:pPr>
        <w:pStyle w:val="Text1"/>
        <w:tabs>
          <w:tab w:val="left" w:pos="1134"/>
        </w:tabs>
        <w:ind w:left="1127" w:hanging="560"/>
        <w:rPr>
          <w:b/>
          <w:i/>
          <w:noProof/>
        </w:rPr>
      </w:pPr>
      <w:r w:rsidRPr="00B16B6F">
        <w:rPr>
          <w:b/>
          <w:i/>
        </w:rPr>
        <w:tab/>
        <w:t>(iv) il-kriterji msemmija fl-Artikolu 24, il-paragrafu 4, il-punt (b), filwaqt li titqies kwalunkwe data li tgħin fil-valutazzjoni tal-impatt sinifikanti u avvers tal-waqfien jew in-nuqqas ta’ affidabbiltà tal-parametru referenzjarju fuq l-integrità tas-suq, l-istabbiltà finanzjarja, il-konsumaturi, l-ekonomija reali, jew il-finanzjament ta’ unitajiet domestiċi u negozji fi Stat Membru wieħed jew aktar;</w:t>
      </w:r>
    </w:p>
    <w:p w:rsidR="002B334C" w:rsidRPr="00B16B6F" w:rsidRDefault="002B334C" w:rsidP="002B334C">
      <w:pPr>
        <w:pStyle w:val="Text1"/>
        <w:tabs>
          <w:tab w:val="left" w:pos="1134"/>
        </w:tabs>
        <w:ind w:left="1127" w:hanging="560"/>
        <w:rPr>
          <w:b/>
          <w:i/>
          <w:noProof/>
        </w:rPr>
      </w:pPr>
      <w:r w:rsidRPr="00B16B6F">
        <w:rPr>
          <w:b/>
          <w:i/>
        </w:rPr>
        <w:tab/>
        <w:t>L-ESMA għandha tissottometti dawk l-abbozzi ta’ standards tekniċi regolatorji lill-Kummissjoni sa ... [12-il xahar wara d-dħul fis-seħħ ta’ dan ir-Regolament].</w:t>
      </w:r>
    </w:p>
    <w:p w:rsidR="002B334C" w:rsidRPr="00B16B6F" w:rsidRDefault="002B334C" w:rsidP="002B334C">
      <w:pPr>
        <w:pStyle w:val="Text1"/>
        <w:tabs>
          <w:tab w:val="left" w:pos="1134"/>
        </w:tabs>
        <w:ind w:left="1127" w:hanging="560"/>
        <w:rPr>
          <w:b/>
          <w:i/>
          <w:noProof/>
        </w:rPr>
      </w:pPr>
      <w:r w:rsidRPr="00B16B6F">
        <w:tab/>
      </w:r>
      <w:r w:rsidRPr="00B16B6F">
        <w:rPr>
          <w:b/>
          <w:i/>
        </w:rPr>
        <w:t xml:space="preserve">Is-setgħa hija delegata lill-Kummissjoni biex tissupplimenta dan ir-Regolament billi tadotta l-istandards tekniċi regolatorji msemmija fl-ewwel subparagrafu f’konformità mal-Artikoli 10 sa 14 tar-Regolament (UE) Nru 1095/2010. </w:t>
      </w:r>
    </w:p>
    <w:p w:rsidR="002B334C" w:rsidRPr="00B16B6F" w:rsidRDefault="002B334C" w:rsidP="002B334C">
      <w:pPr>
        <w:pStyle w:val="Text1"/>
        <w:tabs>
          <w:tab w:val="left" w:pos="1134"/>
        </w:tabs>
        <w:ind w:left="1127" w:hanging="560"/>
        <w:rPr>
          <w:b/>
          <w:i/>
          <w:noProof/>
        </w:rPr>
      </w:pPr>
      <w:r w:rsidRPr="00B16B6F">
        <w:rPr>
          <w:b/>
          <w:i/>
        </w:rPr>
        <w:t xml:space="preserve">7a. </w:t>
      </w:r>
      <w:r w:rsidRPr="00B16B6F">
        <w:rPr>
          <w:b/>
          <w:i/>
        </w:rPr>
        <w:tab/>
        <w:t xml:space="preserve">Sa ... [sentejn wara d-data tad-dħul fis-seħħ ta’ dan ir-Regolament emendatorju] il-Kummissjoni għandha, f’kooperazzjoni mill-qrib mal-ESMA, tippreżenta rapport lill-Parlament Ewropew u lill-Kunsill dwar l-adegwatezza tal-limitu msemmi fil-paragrafu 1, il-punt (a), ta’ dan l-Artikolu fid-dawl tal-iżviluppi tas-suq, tal-prezzijiet u regolatorji. Dak ir-rapport, meta jkun xieraq, għandu jkun akkumpanjat bi proposta leġiżlattiva. Tali rieżami għandu jsir mill-inqas kull tliet snin. </w:t>
      </w:r>
    </w:p>
    <w:p w:rsidR="002B334C" w:rsidRPr="00B16B6F" w:rsidRDefault="002B334C" w:rsidP="002B334C">
      <w:pPr>
        <w:pStyle w:val="Text1"/>
        <w:tabs>
          <w:tab w:val="left" w:pos="1134"/>
        </w:tabs>
        <w:ind w:left="1127" w:hanging="560"/>
        <w:rPr>
          <w:noProof/>
        </w:rPr>
      </w:pPr>
      <w:r w:rsidRPr="00B16B6F">
        <w:rPr>
          <w:b/>
          <w:i/>
        </w:rPr>
        <w:t xml:space="preserve">7b. </w:t>
      </w:r>
      <w:r w:rsidRPr="00B16B6F">
        <w:rPr>
          <w:b/>
          <w:i/>
        </w:rPr>
        <w:tab/>
        <w:t xml:space="preserve">Meta l-ESMA tqis li jkun xieraq li l-limitu msemmi fil-paragrafu 1, il-punt (a), jiġi rieżaminat aktar kmieni fid-dawl tal-iżviluppi tas-suq, tal-prezzijiet u regolatorji, hija għandha tissottometti talba lill-Kummissjoni biex tirrieżamina l-limitu. </w:t>
      </w:r>
      <w:r w:rsidRPr="00B16B6F">
        <w:rPr>
          <w:b/>
          <w:bCs/>
          <w:i/>
          <w:iCs/>
        </w:rPr>
        <w:t>Malli tirċievi dik it-talba, il-Kummissjoni għandha tirrieżamina l-ħtieġa li tivvaluta mill-ġdid il-limitu u taġixxi f’konformità mal-paragrafu 7a.</w:t>
      </w:r>
      <w:r w:rsidRPr="00B16B6F">
        <w:t>;</w:t>
      </w:r>
      <w:r w:rsidRPr="00B16B6F">
        <w:rPr>
          <w:b/>
          <w:i/>
        </w:rPr>
        <w:tab/>
      </w:r>
    </w:p>
    <w:p w:rsidR="002B334C" w:rsidRPr="00B16B6F" w:rsidRDefault="002B334C" w:rsidP="002B334C">
      <w:pPr>
        <w:rPr>
          <w:noProof/>
        </w:rPr>
      </w:pPr>
    </w:p>
    <w:p w:rsidR="002B334C" w:rsidRPr="00B16B6F" w:rsidRDefault="002B334C" w:rsidP="002B334C">
      <w:pPr>
        <w:pStyle w:val="Point0"/>
        <w:rPr>
          <w:noProof/>
        </w:rPr>
      </w:pPr>
      <w:r w:rsidRPr="00B16B6F">
        <w:t>(12)</w:t>
      </w:r>
      <w:r w:rsidRPr="00B16B6F">
        <w:tab/>
        <w:t xml:space="preserve">jiddaħħal l-Artikolu li ġej: </w:t>
      </w:r>
    </w:p>
    <w:p w:rsidR="002B334C" w:rsidRPr="00B16B6F" w:rsidRDefault="002B334C" w:rsidP="002B334C">
      <w:pPr>
        <w:pStyle w:val="Text1"/>
        <w:tabs>
          <w:tab w:val="left" w:pos="1134"/>
        </w:tabs>
        <w:ind w:left="567"/>
        <w:jc w:val="center"/>
        <w:rPr>
          <w:noProof/>
        </w:rPr>
      </w:pPr>
      <w:r w:rsidRPr="00B16B6F">
        <w:t>“</w:t>
      </w:r>
      <w:r w:rsidRPr="00B16B6F">
        <w:rPr>
          <w:i/>
          <w:iCs/>
        </w:rPr>
        <w:t>Artikolu 24a</w:t>
      </w:r>
    </w:p>
    <w:p w:rsidR="002B334C" w:rsidRPr="00B16B6F" w:rsidRDefault="002B334C" w:rsidP="002B334C">
      <w:pPr>
        <w:pStyle w:val="Text1"/>
        <w:tabs>
          <w:tab w:val="left" w:pos="1134"/>
        </w:tabs>
        <w:ind w:left="567"/>
        <w:jc w:val="center"/>
        <w:rPr>
          <w:b/>
          <w:bCs/>
          <w:noProof/>
        </w:rPr>
      </w:pPr>
      <w:r w:rsidRPr="00B16B6F">
        <w:rPr>
          <w:b/>
        </w:rPr>
        <w:t>Rekwiżiti għall-amministraturi ta’ parametri referenzjarji sinifikanti</w:t>
      </w:r>
    </w:p>
    <w:p w:rsidR="002B334C" w:rsidRPr="00B16B6F" w:rsidRDefault="002B334C" w:rsidP="002B334C">
      <w:pPr>
        <w:pStyle w:val="Point1"/>
        <w:rPr>
          <w:noProof/>
        </w:rPr>
      </w:pPr>
      <w:r w:rsidRPr="00B16B6F">
        <w:t>(1)</w:t>
      </w:r>
      <w:r w:rsidRPr="00B16B6F">
        <w:tab/>
        <w:t xml:space="preserve">Fi żmien 60 jum tax-xogħol wara n-notifika msemmija fl-Artikolu 24(2), l-amministratur ta’ parametru referenzjarju li jissodisfa l-kriterju msemmi fil-paragrafu (1), il-punt (a), ta’ dak l-Artikolu, għandu jitlob awtorizzazzjoni jew reġistrazzjoni mill-awtorità kompetenti tal-Istat Membru fejn ikun </w:t>
      </w:r>
      <w:r w:rsidRPr="00B16B6F">
        <w:rPr>
          <w:b/>
          <w:bCs/>
          <w:i/>
          <w:iCs/>
        </w:rPr>
        <w:t xml:space="preserve">sinifikanti </w:t>
      </w:r>
      <w:r w:rsidRPr="00B16B6F">
        <w:rPr>
          <w:b/>
          <w:bCs/>
          <w:i/>
          <w:iCs/>
        </w:rPr>
        <w:lastRenderedPageBreak/>
        <w:t>f’dak l-Istat Membru jew mill-ESMA meta l-parametru referenzjarju jkun sinifikanti fl-Unjoni</w:t>
      </w:r>
      <w:r w:rsidRPr="00B16B6F">
        <w:t xml:space="preserve">. Meta dak l-amministratur ikun jinsab f’pajjiż terz u sakemm il-parametru referenzjarju kkonċernat ma jkunx kopert minn deċiżjoni dwar l-ekwivalenza adottata skont l-Artikolu 30, dak l-amministratur għandu, fi żmien 60 jum tax-xogħol wara n-notifika msemmija fl-Artikolu 24(2), </w:t>
      </w:r>
      <w:r w:rsidRPr="00B16B6F">
        <w:rPr>
          <w:b/>
          <w:bCs/>
          <w:i/>
          <w:iCs/>
        </w:rPr>
        <w:t>japplika mal-ESMA għal</w:t>
      </w:r>
      <w:r w:rsidRPr="00B16B6F">
        <w:t xml:space="preserve"> waħda minn dawn li ġejjin: </w:t>
      </w:r>
    </w:p>
    <w:p w:rsidR="002B334C" w:rsidRPr="00B16B6F" w:rsidRDefault="002B334C" w:rsidP="002B334C">
      <w:pPr>
        <w:pStyle w:val="Point2"/>
        <w:rPr>
          <w:noProof/>
        </w:rPr>
      </w:pPr>
      <w:r w:rsidRPr="00B16B6F">
        <w:t>(a)</w:t>
      </w:r>
      <w:r w:rsidRPr="00B16B6F">
        <w:tab/>
        <w:t>rikonoxximent ▌skont il-proċedura stabbilita fl-Artikolu 32.</w:t>
      </w:r>
    </w:p>
    <w:p w:rsidR="002B334C" w:rsidRPr="00B16B6F" w:rsidRDefault="002B334C" w:rsidP="002B334C">
      <w:pPr>
        <w:pStyle w:val="Point2"/>
        <w:rPr>
          <w:noProof/>
        </w:rPr>
      </w:pPr>
      <w:r w:rsidRPr="00B16B6F">
        <w:t>(b)</w:t>
      </w:r>
      <w:r w:rsidRPr="00B16B6F">
        <w:tab/>
        <w:t>approvazzjoni skont il-proċedura stabbilita fl-Artikolu 33.</w:t>
      </w:r>
    </w:p>
    <w:p w:rsidR="002B334C" w:rsidRPr="00B16B6F" w:rsidRDefault="002B334C" w:rsidP="002B334C">
      <w:pPr>
        <w:pStyle w:val="Point1"/>
        <w:rPr>
          <w:noProof/>
        </w:rPr>
      </w:pPr>
      <w:r w:rsidRPr="00B16B6F">
        <w:t>(2)</w:t>
      </w:r>
      <w:r w:rsidRPr="00B16B6F">
        <w:tab/>
        <w:t>Fi żmien 60 jum tax-xogħol wara deżinjazzjoni msemmija fl-Artikolu 24(3), l-amministratur tal-parametru referenzjarju kkonċernat, sakemm dak l-amministratur ma jkunx diġà awtorizzat jew irreġistrat</w:t>
      </w:r>
      <w:r w:rsidRPr="00B16B6F">
        <w:rPr>
          <w:b/>
          <w:bCs/>
          <w:i/>
          <w:iCs/>
        </w:rPr>
        <w:t xml:space="preserve"> minn awtorità nazzjonali kompetenti</w:t>
      </w:r>
      <w:r w:rsidRPr="00B16B6F">
        <w:t>, għandu jitlob awtorizzazzjoni jew reġistrazzjoni mill-awtorità kompetenti deżinjanti f’konformità mal-Artikolu 34.</w:t>
      </w:r>
    </w:p>
    <w:p w:rsidR="002B334C" w:rsidRPr="00B16B6F" w:rsidRDefault="002B334C" w:rsidP="002B334C">
      <w:pPr>
        <w:pStyle w:val="Point1"/>
        <w:rPr>
          <w:b/>
          <w:i/>
          <w:noProof/>
        </w:rPr>
      </w:pPr>
      <w:r w:rsidRPr="00B16B6F">
        <w:rPr>
          <w:b/>
          <w:i/>
        </w:rPr>
        <w:t>(2a)</w:t>
      </w:r>
      <w:r w:rsidRPr="00B16B6F">
        <w:rPr>
          <w:b/>
          <w:i/>
        </w:rPr>
        <w:tab/>
        <w:t>Fi żmien 60 jum tax-xogħol mid-deżinjazzjoni kif imsemmi fl-Artikolu 24(5), l-amministratur tal-parametru referenzjarju kkonċernat għandu jitlob awtorizzazzjoni jew reġistrazzjoni mill-ESMA f’konformità mal-Artikolu 34 sakemm dak l-amministratur mhuwiex diġà awtorizzat jew irreġistrat. Jekk dak l-amministratur ikun diġà awtorizzat jew irreġistrat fi Stat Membru, tali awtorizzazzjoni jew reġistrazzjoni għandha tiġi ttrasferita lill-ESMA.</w:t>
      </w:r>
    </w:p>
    <w:p w:rsidR="002B334C" w:rsidRPr="00B16B6F" w:rsidRDefault="002B334C" w:rsidP="002B334C">
      <w:pPr>
        <w:pStyle w:val="Point1"/>
        <w:rPr>
          <w:noProof/>
        </w:rPr>
      </w:pPr>
      <w:r w:rsidRPr="00B16B6F">
        <w:t>(3)</w:t>
      </w:r>
      <w:r w:rsidRPr="00B16B6F">
        <w:tab/>
        <w:t xml:space="preserve">Fi żmien 60 jum tax-xogħol wara deżinjazzjoni msemmija fl-Artikolu 24(6), l-amministratur tal-parametru referenzjarju kkonċernat ▌għandu </w:t>
      </w:r>
      <w:r w:rsidRPr="00B16B6F">
        <w:rPr>
          <w:b/>
          <w:bCs/>
          <w:i/>
          <w:iCs/>
        </w:rPr>
        <w:t>japplika mal-ESMA għal</w:t>
      </w:r>
      <w:r w:rsidRPr="00B16B6F">
        <w:t xml:space="preserve"> waħda minn dawn li ġejjin:</w:t>
      </w:r>
    </w:p>
    <w:p w:rsidR="002B334C" w:rsidRPr="00B16B6F" w:rsidRDefault="002B334C" w:rsidP="002B334C">
      <w:pPr>
        <w:pStyle w:val="Point2"/>
        <w:rPr>
          <w:noProof/>
        </w:rPr>
      </w:pPr>
      <w:r w:rsidRPr="00B16B6F">
        <w:t>(a)</w:t>
      </w:r>
      <w:r w:rsidRPr="00B16B6F">
        <w:tab/>
        <w:t xml:space="preserve"> rikonoxximent ▌skont il-proċedura stabbilita fl-Artikolu 32;</w:t>
      </w:r>
    </w:p>
    <w:p w:rsidR="002B334C" w:rsidRPr="00B16B6F" w:rsidRDefault="002B334C" w:rsidP="002B334C">
      <w:pPr>
        <w:pStyle w:val="Point2"/>
        <w:rPr>
          <w:noProof/>
        </w:rPr>
      </w:pPr>
      <w:r w:rsidRPr="00B16B6F">
        <w:t>(b)</w:t>
      </w:r>
      <w:r w:rsidRPr="00B16B6F">
        <w:tab/>
        <w:t>approvazzjoni skont il-proċedura stabbilita fl-Artikolu 33.</w:t>
      </w:r>
    </w:p>
    <w:p w:rsidR="002B334C" w:rsidRPr="00B16B6F" w:rsidRDefault="002B334C" w:rsidP="002B334C">
      <w:pPr>
        <w:pStyle w:val="Point2"/>
        <w:ind w:left="1418" w:firstLine="0"/>
        <w:rPr>
          <w:b/>
          <w:i/>
          <w:noProof/>
        </w:rPr>
      </w:pPr>
      <w:r w:rsidRPr="00B16B6F">
        <w:t xml:space="preserve"> </w:t>
      </w:r>
      <w:r w:rsidRPr="00B16B6F">
        <w:rPr>
          <w:b/>
          <w:i/>
        </w:rPr>
        <w:t>L-amministraturi tal-parametri referenzjarji ta’ pajjiżi terzi għandhom jagħżlu amministratur li jagħti l-approvazzjoni fl-Unjoni.</w:t>
      </w:r>
    </w:p>
    <w:p w:rsidR="002B334C" w:rsidRPr="00B16B6F" w:rsidRDefault="002B334C" w:rsidP="002B334C">
      <w:pPr>
        <w:pStyle w:val="Point1"/>
        <w:rPr>
          <w:noProof/>
        </w:rPr>
      </w:pPr>
      <w:r w:rsidRPr="00B16B6F">
        <w:t>(4)</w:t>
      </w:r>
      <w:r w:rsidRPr="00B16B6F">
        <w:tab/>
        <w:t>L-ESMA jew l-awtoritajiet kompetenti għandhom jagħmlu użu mis-setgħat superviżorji u ta’ sanzjoni li huma fdati lilhom skont dan ir-Regolament biex jiżguraw li l-amministraturi rilevanti jikkonformaw mal-obbligi tagħhom.</w:t>
      </w:r>
    </w:p>
    <w:p w:rsidR="002B334C" w:rsidRPr="00B16B6F" w:rsidRDefault="002B334C" w:rsidP="002B334C">
      <w:pPr>
        <w:pStyle w:val="Point1"/>
        <w:rPr>
          <w:noProof/>
        </w:rPr>
      </w:pPr>
      <w:r w:rsidRPr="00B16B6F">
        <w:t>(5)</w:t>
      </w:r>
      <w:r w:rsidRPr="00B16B6F">
        <w:tab/>
        <w:t xml:space="preserve">L-awtorità kompetenti jew l-ESMA għandha toħroġ avviż pubbliku li jiddikjara li parametru referenzjarju sinifikanti pprovdut minn amministratur ma jikkonformax ma’ dan ir-Regolament u li l-utenti </w:t>
      </w:r>
      <w:r w:rsidRPr="007D566F">
        <w:rPr>
          <w:b/>
          <w:i/>
        </w:rPr>
        <w:t xml:space="preserve">għandhom </w:t>
      </w:r>
      <w:r w:rsidRPr="00B16B6F">
        <w:t xml:space="preserve">joqogħdu lura milli jużaw dak il-parametru referenzjarju meta tiġi ssodisfata kwalunkwe waħda mill-kundizzjonijiet li ġejjin: </w:t>
      </w:r>
    </w:p>
    <w:p w:rsidR="002B334C" w:rsidRPr="00B16B6F" w:rsidRDefault="002B334C" w:rsidP="002B334C">
      <w:pPr>
        <w:pStyle w:val="Point2"/>
        <w:rPr>
          <w:noProof/>
        </w:rPr>
      </w:pPr>
      <w:r w:rsidRPr="00B16B6F">
        <w:t>(a)</w:t>
      </w:r>
      <w:r w:rsidRPr="00B16B6F">
        <w:tab/>
        <w:t>fi żmien 60 jum tax-xogħol wara n-notifika msemmija fl-Artikolu 24(2), id-deżinjazzjoni msemmija fl-Artikolu 24(3) jew id-deżinjazzjoni msemmija fl-Artikolu 24(6), l-amministratur ikkonċernat ma jkunx beda proċeduri biex jikkonforma mal-paragrafu 2 ta’ dan l-Artikolu;</w:t>
      </w:r>
    </w:p>
    <w:p w:rsidR="002B334C" w:rsidRPr="00B16B6F" w:rsidRDefault="002B334C" w:rsidP="002B334C">
      <w:pPr>
        <w:pStyle w:val="Point2"/>
        <w:rPr>
          <w:noProof/>
        </w:rPr>
      </w:pPr>
      <w:r w:rsidRPr="00B16B6F">
        <w:t>(b)</w:t>
      </w:r>
      <w:r w:rsidRPr="00B16B6F">
        <w:tab/>
        <w:t>il-proċeduri ta’ awtorizzazzjoni, reġistrazzjoni, rikonoxximent jew approvazzjoni jkunu fallew;</w:t>
      </w:r>
    </w:p>
    <w:p w:rsidR="002B334C" w:rsidRPr="00B16B6F" w:rsidRDefault="002B334C" w:rsidP="002B334C">
      <w:pPr>
        <w:pStyle w:val="Point2"/>
        <w:rPr>
          <w:noProof/>
        </w:rPr>
      </w:pPr>
      <w:r w:rsidRPr="00B16B6F">
        <w:t>(c)</w:t>
      </w:r>
      <w:r w:rsidRPr="00B16B6F">
        <w:tab/>
        <w:t>l-ESMA tkun irtirat ir-reġistrazzjoni tal-amministratur f’konformità mal-Artikolu 31;</w:t>
      </w:r>
    </w:p>
    <w:p w:rsidR="002B334C" w:rsidRPr="00B16B6F" w:rsidRDefault="002B334C" w:rsidP="002B334C">
      <w:pPr>
        <w:pStyle w:val="Point2"/>
        <w:rPr>
          <w:noProof/>
        </w:rPr>
      </w:pPr>
      <w:r w:rsidRPr="00B16B6F">
        <w:t>(d)</w:t>
      </w:r>
      <w:r w:rsidRPr="00B16B6F">
        <w:tab/>
        <w:t xml:space="preserve">l-ESMA tkun irtirat jew issospendiet ir-rikonoxximent tal-amministratur ikkonċernat f’konformità mal-Artikolu </w:t>
      </w:r>
      <w:r w:rsidRPr="00B16B6F">
        <w:rPr>
          <w:b/>
          <w:bCs/>
          <w:i/>
          <w:iCs/>
        </w:rPr>
        <w:t>32(8)</w:t>
      </w:r>
      <w:r w:rsidRPr="00B16B6F">
        <w:t>;</w:t>
      </w:r>
    </w:p>
    <w:p w:rsidR="002B334C" w:rsidRPr="00B16B6F" w:rsidRDefault="002B334C" w:rsidP="002B334C">
      <w:pPr>
        <w:pStyle w:val="Point2"/>
        <w:rPr>
          <w:noProof/>
        </w:rPr>
      </w:pPr>
      <w:r w:rsidRPr="00B16B6F">
        <w:lastRenderedPageBreak/>
        <w:t>(e)</w:t>
      </w:r>
      <w:r w:rsidRPr="00B16B6F">
        <w:tab/>
        <w:t xml:space="preserve">l-approvazzjoni tal-amministratur ikkonċernat tkun waqfet; </w:t>
      </w:r>
    </w:p>
    <w:p w:rsidR="002B334C" w:rsidRPr="00B16B6F" w:rsidRDefault="002B334C" w:rsidP="002B334C">
      <w:pPr>
        <w:pStyle w:val="Point2"/>
        <w:rPr>
          <w:noProof/>
        </w:rPr>
      </w:pPr>
      <w:r w:rsidRPr="00B16B6F">
        <w:t>(f)</w:t>
      </w:r>
      <w:r w:rsidRPr="00B16B6F">
        <w:tab/>
        <w:t>l-awtorità kompetenti tkun irtirat jew issospendiet l-awtorizzazzjoni jew ir-reġistrazzjoni tal-amministratur ikkonċernat.</w:t>
      </w:r>
    </w:p>
    <w:p w:rsidR="002B334C" w:rsidRPr="00B16B6F" w:rsidRDefault="002B334C" w:rsidP="002B334C">
      <w:pPr>
        <w:pStyle w:val="Text1"/>
        <w:tabs>
          <w:tab w:val="left" w:pos="1134"/>
        </w:tabs>
        <w:ind w:left="1134"/>
        <w:rPr>
          <w:noProof/>
        </w:rPr>
      </w:pPr>
      <w:r w:rsidRPr="00B16B6F">
        <w:t>L-awtoritajiet kompetenti għandhom jinnotifikaw lill-ESMA bl-avviżi pubbliċi kollha maħruġa mingħajr dewmien żejjed. L-ESMA għandha tippubblika l-avviżi pubbliċi kollha maħruġa fuq is-sit web tagħha. L-ESMA jew l-awtorità kompetenti għandha tneħħi l-avviż pubbliku mingħajr dewmien żejjed malli r-raġuni li għaliha jkun inħareġ ma tibqax valida.;</w:t>
      </w:r>
    </w:p>
    <w:p w:rsidR="002B334C" w:rsidRPr="00B16B6F" w:rsidRDefault="002B334C" w:rsidP="002B334C">
      <w:pPr>
        <w:pStyle w:val="Point0"/>
        <w:rPr>
          <w:noProof/>
        </w:rPr>
      </w:pPr>
      <w:r w:rsidRPr="00B16B6F">
        <w:t>(13)</w:t>
      </w:r>
      <w:r w:rsidRPr="00B16B6F">
        <w:tab/>
        <w:t>fit-Titolu III, jitħassar il-Kapitolu 6;</w:t>
      </w:r>
    </w:p>
    <w:p w:rsidR="002B334C" w:rsidRPr="00B16B6F" w:rsidRDefault="002B334C" w:rsidP="002B334C">
      <w:pPr>
        <w:pStyle w:val="Point0"/>
        <w:rPr>
          <w:b/>
          <w:i/>
        </w:rPr>
      </w:pPr>
      <w:r w:rsidRPr="00B16B6F">
        <w:rPr>
          <w:b/>
          <w:i/>
        </w:rPr>
        <w:t>(13a)</w:t>
      </w:r>
      <w:r w:rsidRPr="00B16B6F">
        <w:rPr>
          <w:b/>
          <w:i/>
        </w:rPr>
        <w:tab/>
        <w:t>fl-Artikolu 28, il-paragrafu 2 huwa emendat kif ġej:</w:t>
      </w:r>
    </w:p>
    <w:p w:rsidR="002B334C" w:rsidRPr="00B16B6F" w:rsidRDefault="002B334C" w:rsidP="002B334C">
      <w:pPr>
        <w:pStyle w:val="Text1"/>
        <w:tabs>
          <w:tab w:val="left" w:pos="1134"/>
        </w:tabs>
        <w:ind w:left="1134"/>
        <w:rPr>
          <w:noProof/>
        </w:rPr>
      </w:pPr>
      <w:r w:rsidRPr="00B16B6F">
        <w:t>“</w:t>
      </w:r>
      <w:r w:rsidRPr="00B16B6F">
        <w:rPr>
          <w:b/>
          <w:i/>
        </w:rPr>
        <w:t>2.</w:t>
      </w:r>
      <w:r w:rsidRPr="00B16B6F">
        <w:rPr>
          <w:b/>
          <w:i/>
        </w:rPr>
        <w:tab/>
        <w:t xml:space="preserve">L-entitajiet taħt superviżjoni, li mhumiex amministraturi kif imsemmi fil-paragrafu 1, li jużaw parametru referenzjarju għandhom jipproduċu u jżommu pjanijiet robusti bil-miktub li jistipulaw l-azzjonijiet li jieħdu f’każ li parametru referenzjarju jinbidel materjalment jew ma jibqax jiġi pprovdut. Meta jkun fattibbli u xieraq, tali pjanijiet għandhom jiddeżinjaw parametru referenzjarju alternattiv wieħed jew aktar li tista’ ssir referenza għalihom biex jiġu sostitwiti l-parametri referenzjarji li ma jkunux se jibqgħu jiġu pprovduti, filwaqt li jiġu indikati r-raġunijiet għall-adegwatezza ta’ tali parametri referenzjarji alternattivi. </w:t>
      </w:r>
      <w:r w:rsidRPr="00B16B6F">
        <w:rPr>
          <w:b/>
          <w:bCs/>
          <w:i/>
          <w:iCs/>
        </w:rPr>
        <w:t>L-entitajiet taħt superviżjoni għandhom jipprovdu, fuq talba u mingħajr dewmien żejjed, lill-awtorità kompetenti rilevanti dawk il-pjanijiet u kwalunkwe aġġornament u għandhom jirriflettuhom fid-dispożizzjonijiet kuntrattwali ta’ riżerva applikabbli għal kuntratti finanzjarji, strumenti finanzjarji u fondi ta’ investiment</w:t>
      </w:r>
      <w:r w:rsidRPr="00B16B6F">
        <w:t>.;</w:t>
      </w:r>
    </w:p>
    <w:p w:rsidR="002B334C" w:rsidRPr="00B16B6F" w:rsidRDefault="002B334C" w:rsidP="002B334C">
      <w:pPr>
        <w:pStyle w:val="Point0"/>
        <w:rPr>
          <w:noProof/>
        </w:rPr>
      </w:pPr>
      <w:r w:rsidRPr="00B16B6F">
        <w:t>(14)</w:t>
      </w:r>
      <w:r w:rsidRPr="00B16B6F">
        <w:tab/>
        <w:t>l-Artikolu 29 huwa emendat kif ġej:</w:t>
      </w:r>
    </w:p>
    <w:p w:rsidR="002B334C" w:rsidRPr="00B16B6F" w:rsidRDefault="002B334C" w:rsidP="002B334C">
      <w:pPr>
        <w:pStyle w:val="Point1"/>
        <w:rPr>
          <w:noProof/>
        </w:rPr>
      </w:pPr>
      <w:r w:rsidRPr="00B16B6F">
        <w:t>(a)</w:t>
      </w:r>
      <w:r w:rsidRPr="00B16B6F">
        <w:tab/>
        <w:t xml:space="preserve">it-titolu huwa sostitwit b’dan li ġej: </w:t>
      </w:r>
    </w:p>
    <w:p w:rsidR="002B334C" w:rsidRPr="00B16B6F" w:rsidRDefault="002B334C" w:rsidP="002B334C">
      <w:pPr>
        <w:pStyle w:val="Text1"/>
        <w:ind w:left="1134"/>
        <w:rPr>
          <w:noProof/>
        </w:rPr>
      </w:pPr>
      <w:r w:rsidRPr="00B16B6F">
        <w:t>“</w:t>
      </w:r>
      <w:r w:rsidRPr="00B16B6F">
        <w:rPr>
          <w:b/>
          <w:bCs/>
        </w:rPr>
        <w:t xml:space="preserve">Użu ta’ </w:t>
      </w:r>
      <w:r w:rsidRPr="00B16B6F">
        <w:rPr>
          <w:b/>
          <w:bCs/>
          <w:i/>
          <w:iCs/>
        </w:rPr>
        <w:t>parametri referenzjarji ta’ importanza kritika,</w:t>
      </w:r>
      <w:r w:rsidRPr="00B16B6F">
        <w:rPr>
          <w:b/>
          <w:bCs/>
        </w:rPr>
        <w:t xml:space="preserve"> parametri referenzjarji sinifikanti,</w:t>
      </w:r>
      <w:r w:rsidRPr="00B16B6F">
        <w:rPr>
          <w:b/>
          <w:bCs/>
          <w:i/>
          <w:iCs/>
        </w:rPr>
        <w:t xml:space="preserve"> parametri referenzjarji tal-komoditajiet soġġetti għall-Anness II</w:t>
      </w:r>
      <w:r w:rsidRPr="00B16B6F">
        <w:rPr>
          <w:b/>
          <w:bCs/>
        </w:rPr>
        <w:t>, Parametri Referenzjarji tat-Tranżizzjoni Klimatika tal-UE u Parametri Referenzjarji tal-UE allinjati mal-Ftehim ta’ Pariġi</w:t>
      </w:r>
      <w:r w:rsidRPr="00B16B6F">
        <w:t>”;</w:t>
      </w:r>
    </w:p>
    <w:p w:rsidR="002B334C" w:rsidRPr="00B16B6F" w:rsidRDefault="002B334C" w:rsidP="002B334C">
      <w:pPr>
        <w:pStyle w:val="Point1"/>
        <w:rPr>
          <w:noProof/>
        </w:rPr>
      </w:pPr>
      <w:r w:rsidRPr="00B16B6F">
        <w:t>(b)</w:t>
      </w:r>
      <w:r w:rsidRPr="00B16B6F">
        <w:tab/>
        <w:t xml:space="preserve">il-paragrafu 1 huwa sostitwit b’dan li ġej: </w:t>
      </w:r>
    </w:p>
    <w:p w:rsidR="002B334C" w:rsidRPr="00B16B6F" w:rsidRDefault="002B334C" w:rsidP="002B334C">
      <w:pPr>
        <w:pStyle w:val="Text1"/>
        <w:tabs>
          <w:tab w:val="left" w:pos="1134"/>
        </w:tabs>
        <w:ind w:left="1134" w:hanging="567"/>
        <w:rPr>
          <w:noProof/>
        </w:rPr>
      </w:pPr>
      <w:r w:rsidRPr="00B16B6F">
        <w:tab/>
        <w:t>‘‘1.</w:t>
      </w:r>
      <w:r w:rsidRPr="00B16B6F">
        <w:tab/>
        <w:t xml:space="preserve">Entità taħt superviżjoni ma għandhiex iżżid referenzi ġodda għal </w:t>
      </w:r>
      <w:r w:rsidRPr="00B16B6F">
        <w:rPr>
          <w:b/>
          <w:bCs/>
          <w:i/>
          <w:iCs/>
        </w:rPr>
        <w:t>parametru referenzjarju ta’ importanza kritika</w:t>
      </w:r>
      <w:r w:rsidRPr="00B16B6F">
        <w:t xml:space="preserve">, parametru referenzjarju sinifikanti jew kombinazzjoni ta’ tali parametri referenzjarji fl-Unjoni meta dak il-parametru referenzjarju jew dik il-kombinazzjoni ta’ parametri referenzjarji jkunu is-suġġett ta’ avviż pubbliku maħruġ mill-ESMA jew minn awtorità kompetenti f’konformità mal-Artikolu 24a(5). Entità taħt superviżjoni ma għandhiex iżżid referenzi ġodda għal </w:t>
      </w:r>
      <w:r w:rsidRPr="00B16B6F">
        <w:rPr>
          <w:b/>
          <w:bCs/>
          <w:i/>
          <w:iCs/>
        </w:rPr>
        <w:t>parametru referenzjarju ta’ importanza kritika, parametru referenzjarju tal-komoditajiet soġġett għall-Anness II</w:t>
      </w:r>
      <w:r w:rsidRPr="00B16B6F">
        <w:t>, Parametru Referenzjarju tat-Tranżizzjoni Klimatika tal-UE jew għal Parametru Referenzjarju tal-UE allinjat mal-Ftehim ta’ Pariġi jew kombinazzjoni ta’ tali parametri referenzjarji fl-Unjoni meta l-amministratur ta’ dawk il-parametri referenzjarji ma jkunx inkluż fir-reġistru msemmi fl-Artikolu 36.</w:t>
      </w:r>
    </w:p>
    <w:p w:rsidR="002B334C" w:rsidRPr="00B16B6F" w:rsidRDefault="002B334C" w:rsidP="002B334C">
      <w:pPr>
        <w:pStyle w:val="Text1"/>
        <w:ind w:left="1134"/>
        <w:rPr>
          <w:noProof/>
        </w:rPr>
      </w:pPr>
      <w:r w:rsidRPr="00B16B6F">
        <w:t>L-entitajiet taħt superviżjoni għandhom jikkonsultaw b’mod regolari mal-Punt ta’ Aċċess Uniku Ewropew (ESAP) kif imsemmi fl-Artikolu 28a, jew mar-reġistru tal-ESMA kif imsemmi fl-Artikolu 36, biex jivverifikaw l-istatus regolatorju tal-</w:t>
      </w:r>
      <w:r w:rsidRPr="00B16B6F">
        <w:lastRenderedPageBreak/>
        <w:t xml:space="preserve">amministraturi ta’ </w:t>
      </w:r>
      <w:r w:rsidRPr="00B16B6F">
        <w:rPr>
          <w:b/>
          <w:bCs/>
          <w:i/>
          <w:iCs/>
        </w:rPr>
        <w:t>parametri referenzjarji ta’ importanza kritika,</w:t>
      </w:r>
      <w:r w:rsidRPr="00B16B6F">
        <w:t xml:space="preserve"> parametri referenzjarji sinifikanti,</w:t>
      </w:r>
      <w:r w:rsidRPr="00B16B6F">
        <w:rPr>
          <w:b/>
          <w:bCs/>
          <w:i/>
          <w:iCs/>
        </w:rPr>
        <w:t xml:space="preserve"> parametri referenzjarji tal-komoditajiet soġġetti għall-Anness II,</w:t>
      </w:r>
      <w:r w:rsidRPr="00B16B6F">
        <w:t xml:space="preserve"> Parametri Referenzjarji tat-Tranżizzjoni Klimatika tal-UE jew Parametri Referenzjarji tal-UE allinjati mal-Ftehim ta’ Pariġi li jkollhom il-ħsieb li jużaw. </w:t>
      </w:r>
    </w:p>
    <w:p w:rsidR="002B334C" w:rsidRPr="00B16B6F" w:rsidRDefault="002B334C" w:rsidP="002B334C">
      <w:pPr>
        <w:ind w:left="1134"/>
        <w:jc w:val="both"/>
        <w:rPr>
          <w:b/>
          <w:i/>
          <w:noProof/>
        </w:rPr>
      </w:pPr>
      <w:r w:rsidRPr="00B16B6F">
        <w:t xml:space="preserve">B’deroga mill-ewwel subparagrafu, l-ESMA jew l-awtorità kompetenti, kif xieraq, jistgħu jippermettu l-użu ta’ parametru referenzjarju soġġett għal avviż pubbliku maħruġ f’konformità mal-Artikolu 24a(5) għal perjodu ta’ 6 xhur wara l-pubblikazzjoni tal-avviż pubbliku, li jista’ jiġġedded darba, meta meħtieġ biex jiġi evitat tfixkil serju fis-suq, </w:t>
      </w:r>
      <w:r w:rsidRPr="00B16B6F">
        <w:rPr>
          <w:b/>
          <w:bCs/>
          <w:i/>
          <w:iCs/>
        </w:rPr>
        <w:t>jew għal perjodu ta’ 24 xahar, li ma jistax jiġġedded, għal dan li ġej:</w:t>
      </w:r>
    </w:p>
    <w:p w:rsidR="002B334C" w:rsidRPr="00B16B6F" w:rsidRDefault="002B334C" w:rsidP="002B334C">
      <w:pPr>
        <w:pStyle w:val="Point2"/>
        <w:rPr>
          <w:b/>
          <w:i/>
          <w:noProof/>
        </w:rPr>
      </w:pPr>
      <w:r w:rsidRPr="00B16B6F">
        <w:rPr>
          <w:b/>
          <w:i/>
        </w:rPr>
        <w:t>(a)</w:t>
      </w:r>
      <w:r w:rsidRPr="00B16B6F">
        <w:rPr>
          <w:b/>
          <w:i/>
        </w:rPr>
        <w:tab/>
        <w:t>il-ġenerazzjoni tas-suq b’appoġġ għall-attività tal-klijent relatata mat-tranżazzjonijiet eżegwiti qabel id-data effettiva tal-projbizzjoni;</w:t>
      </w:r>
    </w:p>
    <w:p w:rsidR="002B334C" w:rsidRPr="00B16B6F" w:rsidRDefault="002B334C" w:rsidP="002B334C">
      <w:pPr>
        <w:pStyle w:val="Point2"/>
        <w:rPr>
          <w:b/>
          <w:i/>
          <w:noProof/>
        </w:rPr>
      </w:pPr>
      <w:r w:rsidRPr="00B16B6F">
        <w:rPr>
          <w:b/>
          <w:i/>
        </w:rPr>
        <w:t>(b)</w:t>
      </w:r>
      <w:r w:rsidRPr="00B16B6F">
        <w:rPr>
          <w:b/>
          <w:i/>
        </w:rPr>
        <w:tab/>
        <w:t>it-tranżazzjonijiet jew attivitajiet oħra li jnaqqsu jew jiħħeġġjaw l-iskopertura tal-entità taħt superviżjoni jew ta’ kwalunkwe klijent tal-entità taħt superviżjoni għall-parametru referenzjarju pprojbit;</w:t>
      </w:r>
    </w:p>
    <w:p w:rsidR="002B334C" w:rsidRPr="00B16B6F" w:rsidRDefault="002B334C" w:rsidP="002B334C">
      <w:pPr>
        <w:pStyle w:val="Point2"/>
        <w:rPr>
          <w:b/>
          <w:i/>
          <w:noProof/>
        </w:rPr>
      </w:pPr>
      <w:r w:rsidRPr="00B16B6F">
        <w:rPr>
          <w:b/>
          <w:i/>
        </w:rPr>
        <w:t>(c)</w:t>
      </w:r>
      <w:r w:rsidRPr="00B16B6F">
        <w:rPr>
          <w:b/>
          <w:i/>
        </w:rPr>
        <w:tab/>
        <w:t>in-novazzjonijiet tat-tranżazzjonijiet;</w:t>
      </w:r>
    </w:p>
    <w:p w:rsidR="002B334C" w:rsidRPr="00B16B6F" w:rsidRDefault="002B334C" w:rsidP="002B334C">
      <w:pPr>
        <w:pStyle w:val="Point2"/>
        <w:rPr>
          <w:b/>
          <w:i/>
          <w:noProof/>
        </w:rPr>
      </w:pPr>
      <w:r w:rsidRPr="00B16B6F">
        <w:rPr>
          <w:b/>
          <w:i/>
        </w:rPr>
        <w:t>(d)</w:t>
      </w:r>
      <w:r w:rsidRPr="00B16B6F">
        <w:rPr>
          <w:b/>
          <w:i/>
        </w:rPr>
        <w:tab/>
        <w:t>it-tranżazzjonijiet eżegwiti għall-finijiet ta’ parteċipazzjoni fi proċedura ta’ rkant ta’ kontroparti ċentrali fil-każ ta’ inadempjenza ta’ membru, inklużi tranżazzjonijiet biex tiġi ħħeġġjata l-iskopertura li tirriżulta;</w:t>
      </w:r>
    </w:p>
    <w:p w:rsidR="002B334C" w:rsidRPr="00B16B6F" w:rsidRDefault="002B334C" w:rsidP="002B334C">
      <w:pPr>
        <w:pStyle w:val="Point2"/>
        <w:rPr>
          <w:noProof/>
        </w:rPr>
      </w:pPr>
      <w:r w:rsidRPr="00B16B6F">
        <w:rPr>
          <w:b/>
          <w:i/>
        </w:rPr>
        <w:t>(e)</w:t>
      </w:r>
      <w:r w:rsidRPr="00B16B6F">
        <w:rPr>
          <w:b/>
          <w:i/>
        </w:rPr>
        <w:tab/>
      </w:r>
      <w:r w:rsidRPr="00B16B6F">
        <w:rPr>
          <w:b/>
          <w:bCs/>
          <w:i/>
          <w:iCs/>
        </w:rPr>
        <w:t>l-interpolazzjoni jew użu ieħor previst f’arranġamenti kuntrattwali ta’ riżerva b’rabta mal-parametru referenzjarju pprojbit.</w:t>
      </w:r>
      <w:r w:rsidRPr="00B16B6F">
        <w:t>”;</w:t>
      </w:r>
    </w:p>
    <w:p w:rsidR="002B334C" w:rsidRPr="00B16B6F" w:rsidRDefault="002B334C" w:rsidP="002B334C">
      <w:pPr>
        <w:pStyle w:val="Point1"/>
        <w:rPr>
          <w:noProof/>
        </w:rPr>
      </w:pPr>
      <w:r w:rsidRPr="00B16B6F">
        <w:t>(c)</w:t>
      </w:r>
      <w:r w:rsidRPr="00B16B6F">
        <w:tab/>
      </w:r>
      <w:r w:rsidRPr="00B16B6F">
        <w:rPr>
          <w:b/>
          <w:bCs/>
          <w:i/>
          <w:iCs/>
        </w:rPr>
        <w:t>jiddaħħlu l-paragrafi 1b, 1ba, 1bb u 1bc ġodda li ġejjin:</w:t>
      </w:r>
    </w:p>
    <w:p w:rsidR="002B334C" w:rsidRPr="00B16B6F" w:rsidRDefault="002B334C" w:rsidP="002B334C">
      <w:pPr>
        <w:pStyle w:val="Text1"/>
        <w:tabs>
          <w:tab w:val="left" w:pos="1701"/>
        </w:tabs>
        <w:ind w:left="1701" w:hanging="567"/>
        <w:rPr>
          <w:noProof/>
        </w:rPr>
      </w:pPr>
      <w:r w:rsidRPr="00B16B6F">
        <w:t>“1</w:t>
      </w:r>
      <w:r w:rsidRPr="00B16B6F">
        <w:rPr>
          <w:b/>
          <w:i/>
        </w:rPr>
        <w:t>b</w:t>
      </w:r>
      <w:r w:rsidRPr="00B16B6F">
        <w:t>.</w:t>
      </w:r>
      <w:r w:rsidRPr="00B16B6F">
        <w:tab/>
        <w:t>Entità taħt superviżjoni li tuża parametru referenzjarju f’kuntratti finanzjarji eżistenti</w:t>
      </w:r>
      <w:r w:rsidRPr="00B16B6F">
        <w:rPr>
          <w:b/>
          <w:bCs/>
          <w:i/>
          <w:iCs/>
        </w:rPr>
        <w:t xml:space="preserve"> jew biex tkejjel il-prestazzjoni ta’ fondi ta’ investiment</w:t>
      </w:r>
      <w:r w:rsidRPr="00B16B6F">
        <w:t xml:space="preserve"> jew strumenti finanzjarji li huwa soġġett għal avviż pubbliku skont l-Artikolu 24a(5) għandha tissostitwixxi dak il-parametru referenzjarju b’alternattiva xierqa fi żmien 6 xhur wara l-pubblikazzjoni ta’ dak l-avviż, jew toħroġ u tippubblika dikjarazzjoni fuq is-sit web tagħha li </w:t>
      </w:r>
      <w:r w:rsidRPr="00B16B6F">
        <w:rPr>
          <w:b/>
          <w:bCs/>
          <w:i/>
          <w:iCs/>
        </w:rPr>
        <w:t>tipprovdi</w:t>
      </w:r>
      <w:r w:rsidRPr="00B16B6F">
        <w:t xml:space="preserve"> lill-klijenti </w:t>
      </w:r>
      <w:r w:rsidRPr="00B16B6F">
        <w:rPr>
          <w:b/>
          <w:bCs/>
          <w:i/>
          <w:iCs/>
        </w:rPr>
        <w:t>bi spjegazzjoni motivata għaliex ma tistax tagħmel dan</w:t>
      </w:r>
      <w:r w:rsidRPr="00B16B6F">
        <w:t xml:space="preserve">.”; </w:t>
      </w:r>
    </w:p>
    <w:p w:rsidR="002B334C" w:rsidRPr="00B16B6F" w:rsidRDefault="002B334C" w:rsidP="002B334C">
      <w:pPr>
        <w:pStyle w:val="Text1"/>
        <w:tabs>
          <w:tab w:val="left" w:pos="1701"/>
        </w:tabs>
        <w:ind w:left="1701" w:hanging="567"/>
        <w:rPr>
          <w:b/>
          <w:i/>
          <w:noProof/>
        </w:rPr>
      </w:pPr>
      <w:r w:rsidRPr="00B16B6F">
        <w:rPr>
          <w:b/>
          <w:i/>
        </w:rPr>
        <w:t>1ba.</w:t>
      </w:r>
      <w:r w:rsidRPr="00B16B6F">
        <w:rPr>
          <w:b/>
          <w:i/>
        </w:rPr>
        <w:tab/>
        <w:t>Entità taħt superviżjoni tista’ tuża parametru referenzjarju u tasserixxi, fid-dokumentazzjoni legali jew ta’ kummerċjalizzazzjoni tagħha, jew fid-denominazzjoni, li tqis il-fatturi ESG fil-metodoloġija tagħha, biss meta l-amministratur tagħha jiddivulga l-informazzjoni msemmija fl-Artikolu 13(1), il-punt (d), u fl-Artikolu 27(2a). Ir-rekwiżiti kollha ta’ divulgazzjoni tal-metodoloġija għandhom ifittxu koerenza mal-Artikolu 10 tar-Regolament UE 2019/2088.</w:t>
      </w:r>
    </w:p>
    <w:p w:rsidR="002B334C" w:rsidRPr="00B16B6F" w:rsidRDefault="002B334C" w:rsidP="002B334C">
      <w:pPr>
        <w:pStyle w:val="Text1"/>
        <w:ind w:left="1395" w:firstLine="306"/>
        <w:rPr>
          <w:b/>
          <w:i/>
          <w:noProof/>
        </w:rPr>
      </w:pPr>
      <w:r w:rsidRPr="00B16B6F">
        <w:rPr>
          <w:b/>
          <w:i/>
        </w:rPr>
        <w:t>Dan il-paragrafu għandu japplika kemm għall-parametri referenzjarji tal-UE kif ukoll għal dawk mhux tal-UE.</w:t>
      </w:r>
    </w:p>
    <w:p w:rsidR="002B334C" w:rsidRPr="00B16B6F" w:rsidRDefault="002B334C" w:rsidP="002B334C">
      <w:pPr>
        <w:pStyle w:val="Text1"/>
        <w:rPr>
          <w:b/>
          <w:i/>
          <w:noProof/>
        </w:rPr>
      </w:pPr>
      <w:r w:rsidRPr="00B16B6F">
        <w:rPr>
          <w:b/>
          <w:i/>
        </w:rPr>
        <w:t>(ca)</w:t>
      </w:r>
      <w:r w:rsidRPr="00B16B6F">
        <w:rPr>
          <w:b/>
          <w:i/>
        </w:rPr>
        <w:tab/>
        <w:t>il-paragrafu 2 huwa emendat kif ġej:</w:t>
      </w:r>
    </w:p>
    <w:p w:rsidR="002B334C" w:rsidRPr="00B16B6F" w:rsidRDefault="002B334C" w:rsidP="002B334C">
      <w:pPr>
        <w:pStyle w:val="Text1"/>
        <w:tabs>
          <w:tab w:val="left" w:pos="1701"/>
        </w:tabs>
        <w:ind w:left="1701" w:hanging="567"/>
        <w:rPr>
          <w:b/>
          <w:i/>
          <w:noProof/>
        </w:rPr>
      </w:pPr>
      <w:r w:rsidRPr="00B16B6F">
        <w:rPr>
          <w:b/>
          <w:i/>
        </w:rPr>
        <w:t>2.</w:t>
      </w:r>
      <w:r w:rsidRPr="00B16B6F">
        <w:rPr>
          <w:b/>
          <w:i/>
        </w:rPr>
        <w:tab/>
        <w:t xml:space="preserve">Meta l-oġġett ta’ prospett li għandu jiġi ppubblikat skont id-Direttiva 2003/71/KE jew id-Direttiva 2009/65/KE jkun titoli trasferibbli jew prodotti ta’ investiment oħra li jirreferenzjaw </w:t>
      </w:r>
      <w:r w:rsidRPr="00B16B6F">
        <w:rPr>
          <w:b/>
          <w:bCs/>
          <w:i/>
          <w:iCs/>
        </w:rPr>
        <w:t>parametru referenzjarju ta’ importanza kritika,</w:t>
      </w:r>
      <w:r w:rsidRPr="00B16B6F">
        <w:rPr>
          <w:b/>
          <w:i/>
        </w:rPr>
        <w:t xml:space="preserve"> parametru referenzjarju sinifikanti,</w:t>
      </w:r>
      <w:r w:rsidRPr="00B16B6F">
        <w:rPr>
          <w:b/>
          <w:bCs/>
          <w:i/>
          <w:iCs/>
        </w:rPr>
        <w:t xml:space="preserve"> parametru referenzjarju tal-komoditajiet soġġett għall-Anness II</w:t>
      </w:r>
      <w:r w:rsidRPr="00B16B6F">
        <w:rPr>
          <w:b/>
          <w:i/>
        </w:rPr>
        <w:t xml:space="preserve">, </w:t>
      </w:r>
      <w:r w:rsidRPr="00B16B6F">
        <w:rPr>
          <w:b/>
          <w:bCs/>
          <w:i/>
        </w:rPr>
        <w:t xml:space="preserve">Parametru Referenzjarju tat-Tranżizzjoni Klimatika tal-UE jew Parametru </w:t>
      </w:r>
      <w:r w:rsidRPr="00B16B6F">
        <w:rPr>
          <w:b/>
          <w:bCs/>
          <w:i/>
        </w:rPr>
        <w:lastRenderedPageBreak/>
        <w:t>Referenzjarju tal-UE allinjat mal-Ftehim ta’ Pariġi</w:t>
      </w:r>
      <w:r w:rsidRPr="00B16B6F">
        <w:rPr>
          <w:b/>
          <w:i/>
        </w:rPr>
        <w:t>, l-emittent, l-offerent jew il-persuna li titlob ammissjoni għall-kummerċ f’suq regolat għandhom jiżguraw li meta avviż pubbliku dwar il-parametru referenzjarju użat huwa inkluż fir-reġistru msemmi fl-Artikolu 36 ta’ dan ir-Regolament, fi żmien 9 xhur wara l-pubblikazzjoni ta’ tali avviż pubbliku, il-prospett jinkludi wkoll din l-informazzjoni b’mod ċar u prominenti.</w:t>
      </w:r>
    </w:p>
    <w:p w:rsidR="002B334C" w:rsidRPr="00B16B6F" w:rsidRDefault="002B334C" w:rsidP="002B334C">
      <w:pPr>
        <w:pStyle w:val="Text1"/>
        <w:rPr>
          <w:b/>
          <w:i/>
          <w:noProof/>
        </w:rPr>
      </w:pPr>
      <w:r w:rsidRPr="00B16B6F">
        <w:rPr>
          <w:b/>
          <w:i/>
        </w:rPr>
        <w:t>(cb)</w:t>
      </w:r>
      <w:r w:rsidRPr="00B16B6F">
        <w:rPr>
          <w:b/>
          <w:i/>
        </w:rPr>
        <w:tab/>
        <w:t>jiddaħħal paragrafu 2a ġdid:</w:t>
      </w:r>
    </w:p>
    <w:p w:rsidR="002B334C" w:rsidRPr="00B16B6F" w:rsidRDefault="002B334C" w:rsidP="002B334C">
      <w:pPr>
        <w:pStyle w:val="Text1"/>
        <w:tabs>
          <w:tab w:val="left" w:pos="1701"/>
        </w:tabs>
        <w:ind w:left="1701" w:hanging="567"/>
        <w:rPr>
          <w:b/>
          <w:i/>
          <w:noProof/>
        </w:rPr>
      </w:pPr>
      <w:r w:rsidRPr="00B16B6F">
        <w:rPr>
          <w:b/>
          <w:i/>
        </w:rPr>
        <w:t>2a.</w:t>
      </w:r>
      <w:r w:rsidRPr="00B16B6F">
        <w:rPr>
          <w:b/>
          <w:i/>
        </w:rPr>
        <w:tab/>
      </w:r>
      <w:r w:rsidRPr="00B16B6F">
        <w:rPr>
          <w:b/>
          <w:bCs/>
          <w:i/>
          <w:iCs/>
        </w:rPr>
        <w:t>L-amministraturi tal-parametri referenzjarji użati fl-UE għandhom jagħmlu ħilithom biex jitolbu kodiċi ta’ identifikazzjoni maqbul globalment għal kull wieħed mill-parametri referenzjarji li huma jipprovdu għall-użu fl-Unjoni.”</w:t>
      </w:r>
      <w:r w:rsidRPr="00B16B6F">
        <w:t>;</w:t>
      </w:r>
    </w:p>
    <w:p w:rsidR="002B334C" w:rsidRPr="00B16B6F" w:rsidRDefault="002B334C" w:rsidP="002B334C">
      <w:pPr>
        <w:pStyle w:val="Point0"/>
        <w:rPr>
          <w:noProof/>
        </w:rPr>
      </w:pPr>
      <w:r w:rsidRPr="00B16B6F">
        <w:t>(15)</w:t>
      </w:r>
      <w:r w:rsidRPr="00B16B6F">
        <w:tab/>
        <w:t xml:space="preserve">l-Artikolu 32 huwa emendat kif ġej: </w:t>
      </w:r>
    </w:p>
    <w:p w:rsidR="002B334C" w:rsidRPr="00B16B6F" w:rsidRDefault="002B334C" w:rsidP="002B334C">
      <w:pPr>
        <w:pStyle w:val="Point1"/>
        <w:rPr>
          <w:noProof/>
        </w:rPr>
      </w:pPr>
      <w:r w:rsidRPr="00B16B6F">
        <w:t>(a)</w:t>
      </w:r>
      <w:r w:rsidRPr="00B16B6F">
        <w:tab/>
        <w:t>jitħassar il-paragrafu 1;</w:t>
      </w:r>
    </w:p>
    <w:p w:rsidR="002B334C" w:rsidRPr="00B16B6F" w:rsidRDefault="002B334C" w:rsidP="002B334C">
      <w:pPr>
        <w:pStyle w:val="Point1"/>
        <w:rPr>
          <w:noProof/>
        </w:rPr>
      </w:pPr>
      <w:r w:rsidRPr="00B16B6F">
        <w:t>(b)</w:t>
      </w:r>
      <w:r w:rsidRPr="00B16B6F">
        <w:tab/>
        <w:t>il-paragrafi 2 u 3 huma sostitwiti b’dan li ġej:</w:t>
      </w:r>
    </w:p>
    <w:p w:rsidR="002B334C" w:rsidRPr="00B16B6F" w:rsidRDefault="002B334C" w:rsidP="002B334C">
      <w:pPr>
        <w:pStyle w:val="Text1"/>
        <w:tabs>
          <w:tab w:val="left" w:pos="1701"/>
        </w:tabs>
        <w:ind w:left="1701" w:hanging="567"/>
        <w:rPr>
          <w:noProof/>
        </w:rPr>
      </w:pPr>
      <w:r w:rsidRPr="00B16B6F">
        <w:t>“2.</w:t>
      </w:r>
      <w:r w:rsidRPr="00B16B6F">
        <w:tab/>
        <w:t xml:space="preserve">Amministratur li jinsab f’pajjiż terz li jkollu l-ħsieb li jikseb rikonoxximent kif imsemmi fl-Artikolu 24a(1) u (3) għandu jikkonforma ma’ dan ir-Regolament, bl-eċċezzjoni tal-Artikolu 11(4) u l-Artikoli 16, 20, 21 u 23. L-amministratur li jinsab f’pajjiż terz jista’ jissodisfa dik il-kundizzjoni billi japplika l-prinċipji tal-IOSCO għall-parametri referenzjarji finanzjarji jew il-prinċipji tal-IOSCO għall-PRAs, kif applikabbli, dment li tali applikazzjoni tkun ekwivalenti għall-konformità ma’ dan ir-Regolament, bl-eċċezzjoni tal-Artikolu 11(4), u l-Artikoli 16, 20, 21 u 23. </w:t>
      </w:r>
    </w:p>
    <w:p w:rsidR="002B334C" w:rsidRPr="00B16B6F" w:rsidRDefault="002B334C" w:rsidP="002B334C">
      <w:pPr>
        <w:pStyle w:val="Text1"/>
        <w:tabs>
          <w:tab w:val="left" w:pos="1701"/>
        </w:tabs>
        <w:ind w:left="1701" w:hanging="567"/>
        <w:rPr>
          <w:noProof/>
        </w:rPr>
      </w:pPr>
      <w:r w:rsidRPr="00B16B6F">
        <w:tab/>
        <w:t>Meta tiddetermina jekk il-kundizzjoni msemmija fl-ewwel subparagrafu hijiex issodisfata u tivvaluta l-konformità mal-prinċipji tal-IOSCO għall-parametri referenzjarji finanzjarji jew mal-prinċipji tal-IOSCO għall-PRAs, kif applikabbli, l-ESMA tista’ tqis:</w:t>
      </w:r>
    </w:p>
    <w:p w:rsidR="002B334C" w:rsidRPr="00B16B6F" w:rsidRDefault="002B334C" w:rsidP="002B334C">
      <w:pPr>
        <w:pStyle w:val="Point2"/>
        <w:rPr>
          <w:noProof/>
        </w:rPr>
      </w:pPr>
      <w:r w:rsidRPr="00B16B6F">
        <w:t>(a)</w:t>
      </w:r>
      <w:r w:rsidRPr="00B16B6F">
        <w:tab/>
        <w:t>valutazzjoni tal-amministratur li jinsab f’pajjiż terz minn awditur estern indipendenti;</w:t>
      </w:r>
    </w:p>
    <w:p w:rsidR="002B334C" w:rsidRPr="00B16B6F" w:rsidRDefault="002B334C" w:rsidP="002B334C">
      <w:pPr>
        <w:pStyle w:val="Point2"/>
        <w:rPr>
          <w:noProof/>
        </w:rPr>
      </w:pPr>
      <w:r w:rsidRPr="00B16B6F">
        <w:t>(b)</w:t>
      </w:r>
      <w:r w:rsidRPr="00B16B6F">
        <w:tab/>
        <w:t xml:space="preserve">ċertifikazzjoni pprovduta mill-awtorità kompetenti tal-pajjiż terz fejn jinsab dak l-amministratur. </w:t>
      </w:r>
    </w:p>
    <w:p w:rsidR="002B334C" w:rsidRPr="00B16B6F" w:rsidRDefault="002B334C" w:rsidP="002B334C">
      <w:pPr>
        <w:pStyle w:val="Text1"/>
        <w:tabs>
          <w:tab w:val="left" w:pos="1701"/>
        </w:tabs>
        <w:ind w:left="1701" w:hanging="567"/>
        <w:rPr>
          <w:noProof/>
        </w:rPr>
      </w:pPr>
      <w:r w:rsidRPr="00B16B6F">
        <w:tab/>
        <w:t>Meta, u sal-punt li, amministratur ta’ pajjiż terz ikun jista’ juri li parametru referenzjarju li jipprovdi jkun parametru referenzjarju ta’ data regolata jew parametru referenzjarju ta’ komodità li ma jkunx ibbażat fuq sottomissjonijiet minn kontributuri li l-maġġoranza tagħhom ikunu entitajiet taħt superviżjoni, l-amministratur ma għandux ikun obbligat jikkonforma mar-rekwiżiti li, skont l-Artikolu 17 u l-Artikolu 19(1), ma humiex applikabbli għall-forniment ta’ parametri referenzjarji ta’ data regolata u ta’ parametri referenzjarji ta’ komodità.</w:t>
      </w:r>
    </w:p>
    <w:p w:rsidR="002B334C" w:rsidRPr="00B16B6F" w:rsidRDefault="002B334C" w:rsidP="002B334C">
      <w:pPr>
        <w:pStyle w:val="Text1"/>
        <w:tabs>
          <w:tab w:val="left" w:pos="1701"/>
        </w:tabs>
        <w:ind w:left="1701" w:hanging="567"/>
        <w:rPr>
          <w:noProof/>
        </w:rPr>
      </w:pPr>
      <w:r w:rsidRPr="00B16B6F">
        <w:t>3.</w:t>
      </w:r>
      <w:r w:rsidRPr="00B16B6F">
        <w:tab/>
        <w:t xml:space="preserve">Amministratur li jinsab f’pajjiż terz li jkollu l-ħsieb li jikseb rikonoxximent għandu jkollu rappreżentant legali. Ir-rappreżentant legali għandu jkun persuna ▌ġuridika li tinsab fl-Unjoni u espressament maħtura minn dak l-amministratur biex taġixxi f’isem dak l-amministratur fir-rigward tal-obbligi tal-amministratur taħt dan ir-Regolament. Ir-rappreżentant legali għandu, flimkien mal-amministratur, iwettaq il-funzjoni ta’ sorveljanza relatata mal-forniment ta’ parametri referenzjarji mwettqa mill-amministratur fl-ambitu </w:t>
      </w:r>
      <w:r w:rsidRPr="00B16B6F">
        <w:lastRenderedPageBreak/>
        <w:t xml:space="preserve">ta’ dan ir-Regolament u ▌jkun responsabbli lejn l-ESMA. </w:t>
      </w:r>
      <w:r w:rsidRPr="00B16B6F">
        <w:rPr>
          <w:b/>
          <w:bCs/>
          <w:i/>
          <w:iCs/>
        </w:rPr>
        <w:t>L-ESMA tista’ timponi miżura superviżorja f’konformità mal-Artikolu 48e fuq ir-rappreżentant legali u l-amministratur għal wieħed mit-tipi ta’ ksur elenkati fl-Artikolu 42(1), il-punt (a), jew fir-rigward ta’ kwalunkwe nuqqas ta’ kooperazzjoni jew konformità f’investigazzjoni jew ma’ spezzjoni jew talba koperta mit-Taqsima 1 tal-Kapitolu 4.</w:t>
      </w:r>
      <w:r w:rsidRPr="00B16B6F">
        <w:t>”;</w:t>
      </w:r>
    </w:p>
    <w:p w:rsidR="002B334C" w:rsidRPr="00B16B6F" w:rsidRDefault="002B334C" w:rsidP="002B334C">
      <w:pPr>
        <w:pStyle w:val="Point1"/>
        <w:rPr>
          <w:noProof/>
        </w:rPr>
      </w:pPr>
      <w:r w:rsidRPr="00B16B6F">
        <w:t>(c)</w:t>
      </w:r>
      <w:r w:rsidRPr="00B16B6F">
        <w:tab/>
        <w:t>fil-paragrafu 5, l-ewwel subparagrafu huwa sostitwit b’dan li ġej:</w:t>
      </w:r>
    </w:p>
    <w:p w:rsidR="002B334C" w:rsidRPr="00B16B6F" w:rsidRDefault="002B334C" w:rsidP="002B334C">
      <w:pPr>
        <w:pStyle w:val="Text1"/>
        <w:tabs>
          <w:tab w:val="left" w:pos="1701"/>
        </w:tabs>
        <w:ind w:left="1701" w:hanging="567"/>
        <w:rPr>
          <w:noProof/>
        </w:rPr>
      </w:pPr>
      <w:r w:rsidRPr="00B16B6F">
        <w:tab/>
        <w:t>“Amministratur li jinsab f’pajjiż terz li jkollu l-ħsieb li jikseb rikonoxximent kif imsemmi fil-paragrafu 2 għandu japplika għal rikonoxximent mal-ESMA. L-amministratur applikant għandu jipprovdi l-informazzjoni kollha meħtieġa biex jissodisfa lill-ESMA li jkun stabbilixxa, fiż-żmien tar-rikonoxximent, l-arranġamenti kollha meħtieġa biex jissodisfa r-rekwiżiti stabbiliti fil-paragrafu 2 fir-rigward tal-parametru referenzjarju jew tal-parametri referenzjarji tiegħu li jkunu ġew iddeżinjati f’konformità mal-Artikolu 24. Meta jkun applikabbli, l-amministratur applikant għandu jiddeżinja l-awtorità kompetenti fil-pajjiż terz responsabbli mis-superviżjoni tiegħu.</w:t>
      </w:r>
    </w:p>
    <w:p w:rsidR="002B334C" w:rsidRPr="00B16B6F" w:rsidRDefault="002B334C" w:rsidP="002B334C">
      <w:pPr>
        <w:pStyle w:val="Text1"/>
        <w:tabs>
          <w:tab w:val="left" w:pos="1701"/>
        </w:tabs>
        <w:ind w:left="1701"/>
        <w:rPr>
          <w:noProof/>
        </w:rPr>
      </w:pPr>
      <w:r w:rsidRPr="00B16B6F">
        <w:t>Fi żmien 15-il jum tax-xogħol minn meta tasal l-applikazzjoni, l-ESMA għandha tivvaluta jekk l-applikazzjoni hijiex kompluta u għandha tinnotifika lill-applikant kif xieraq. Meta l-applikazzjoni ma tkunx kompluta, l-applikant għandu jissottometti l-informazzjoni addizzjonali meħtieġa mill-ESMA. Il-limitu ta’ żmien imsemmi f’dan is-subparagrafu għandu japplika mid-data li fiha l-applikant ikun ipprovda tali informazzjoni addizzjonali.”;</w:t>
      </w:r>
    </w:p>
    <w:p w:rsidR="002B334C" w:rsidRPr="00B16B6F" w:rsidRDefault="002B334C" w:rsidP="002B334C">
      <w:pPr>
        <w:pStyle w:val="Point0"/>
        <w:ind w:left="851" w:hanging="851"/>
        <w:rPr>
          <w:b/>
          <w:i/>
        </w:rPr>
      </w:pPr>
      <w:r w:rsidRPr="00B16B6F">
        <w:rPr>
          <w:b/>
          <w:i/>
        </w:rPr>
        <w:t>(15a)</w:t>
      </w:r>
      <w:r w:rsidRPr="00B16B6F">
        <w:rPr>
          <w:b/>
          <w:i/>
        </w:rPr>
        <w:tab/>
      </w:r>
      <w:r w:rsidRPr="00B16B6F">
        <w:rPr>
          <w:b/>
          <w:i/>
        </w:rPr>
        <w:tab/>
        <w:t>fl-Artikolu 33(1), il-formulazzjoni introduttorja hija emendata kif ġej:</w:t>
      </w:r>
    </w:p>
    <w:p w:rsidR="002B334C" w:rsidRPr="00B16B6F" w:rsidRDefault="002B334C" w:rsidP="002B334C">
      <w:pPr>
        <w:pStyle w:val="Text1"/>
        <w:tabs>
          <w:tab w:val="left" w:pos="1560"/>
        </w:tabs>
        <w:ind w:left="1922" w:hanging="360"/>
        <w:rPr>
          <w:b/>
          <w:i/>
        </w:rPr>
      </w:pPr>
      <w:r w:rsidRPr="00B16B6F">
        <w:t>“</w:t>
      </w:r>
      <w:r w:rsidRPr="00B16B6F">
        <w:rPr>
          <w:b/>
          <w:i/>
        </w:rPr>
        <w:t>1.</w:t>
      </w:r>
      <w:r w:rsidRPr="00B16B6F">
        <w:rPr>
          <w:b/>
          <w:i/>
        </w:rPr>
        <w:tab/>
        <w:t>Amministratur li jkun jinsab fl-Unjoni u jkun awtorizzat jew irreġistrat skont l-Artikolu 34, bi rwol ċar u definit sew fil-qafas ta’ kontroll jew responsabbiltà tal-amministratur ta’ pajjiż terz, li tkun tista’ timmonitorja b’mod effettiv il-forniment ta’ parametru referenzjarju, jista’ japplika mal-ESMA għall-approvazzjoni ta’ parametru referenzjarju jew familja ta’ parametri referenzjarji pprovduti f’pajjiż terz għall-użu tagħhom fl-Unjoni, dment li jiġu ssodisfati l-kundizzjonijiet kollha li ġejjin:</w:t>
      </w:r>
    </w:p>
    <w:p w:rsidR="002B334C" w:rsidRPr="00B16B6F" w:rsidRDefault="002B334C" w:rsidP="002B334C">
      <w:pPr>
        <w:pStyle w:val="Point0"/>
        <w:tabs>
          <w:tab w:val="left" w:pos="567"/>
        </w:tabs>
        <w:rPr>
          <w:b/>
          <w:i/>
        </w:rPr>
      </w:pPr>
      <w:r w:rsidRPr="00B16B6F">
        <w:rPr>
          <w:b/>
          <w:i/>
        </w:rPr>
        <w:t>(15b)</w:t>
      </w:r>
      <w:r w:rsidRPr="00B16B6F">
        <w:rPr>
          <w:b/>
          <w:i/>
        </w:rPr>
        <w:tab/>
      </w:r>
      <w:r w:rsidRPr="00B16B6F">
        <w:rPr>
          <w:b/>
          <w:i/>
        </w:rPr>
        <w:tab/>
      </w:r>
      <w:r w:rsidRPr="00B16B6F">
        <w:rPr>
          <w:b/>
          <w:i/>
        </w:rPr>
        <w:tab/>
        <w:t>fl-Artikolu 33, il-paragrafu 3 huwa emendat kif ġej:</w:t>
      </w:r>
    </w:p>
    <w:p w:rsidR="002B334C" w:rsidRPr="00B16B6F" w:rsidRDefault="002B334C" w:rsidP="002B334C">
      <w:pPr>
        <w:pStyle w:val="Text1"/>
        <w:tabs>
          <w:tab w:val="left" w:pos="1418"/>
        </w:tabs>
        <w:ind w:left="1985" w:hanging="425"/>
        <w:rPr>
          <w:b/>
          <w:i/>
        </w:rPr>
      </w:pPr>
      <w:r w:rsidRPr="00B16B6F">
        <w:rPr>
          <w:b/>
          <w:i/>
        </w:rPr>
        <w:t>3.</w:t>
      </w:r>
      <w:r w:rsidRPr="00B16B6F">
        <w:rPr>
          <w:b/>
          <w:i/>
        </w:rPr>
        <w:tab/>
        <w:t>Fi żmien 90 jum ta’ xogħol minn meta tasal l-applikazzjoni għal approvazzjoni msemmija fil-paragrafu 1, l-ESMA għandha teżamina l-applikazzjoni u tadotta deċiżjoni jew biex tawtorizza l-approvazzjoni jew biex tirrifjutaha.</w:t>
      </w:r>
    </w:p>
    <w:p w:rsidR="002B334C" w:rsidRPr="00B16B6F" w:rsidRDefault="002B334C" w:rsidP="002B334C">
      <w:pPr>
        <w:pStyle w:val="Text1"/>
        <w:tabs>
          <w:tab w:val="left" w:pos="851"/>
        </w:tabs>
        <w:ind w:left="0"/>
        <w:rPr>
          <w:b/>
          <w:i/>
          <w:noProof/>
        </w:rPr>
      </w:pPr>
      <w:r w:rsidRPr="00B16B6F">
        <w:rPr>
          <w:b/>
          <w:i/>
        </w:rPr>
        <w:t>(15c)</w:t>
      </w:r>
      <w:r w:rsidRPr="00B16B6F">
        <w:rPr>
          <w:b/>
          <w:i/>
        </w:rPr>
        <w:tab/>
      </w:r>
      <w:r w:rsidRPr="00B16B6F">
        <w:rPr>
          <w:b/>
          <w:i/>
        </w:rPr>
        <w:tab/>
        <w:t>l-Artikolu 33, il-paragrafu 6 huwa emendat kif ġej:</w:t>
      </w:r>
    </w:p>
    <w:p w:rsidR="002B334C" w:rsidRPr="00B16B6F" w:rsidRDefault="002B334C" w:rsidP="002B334C">
      <w:pPr>
        <w:pStyle w:val="Text1"/>
        <w:ind w:left="1985" w:hanging="425"/>
        <w:rPr>
          <w:b/>
          <w:i/>
        </w:rPr>
      </w:pPr>
      <w:r w:rsidRPr="00B16B6F">
        <w:rPr>
          <w:b/>
          <w:i/>
        </w:rPr>
        <w:t>6.   Meta l-awtorità kompetenti tal-amministratur li jagħti l-approvazzjoni jkollha raġunijiet ġustifikati biex tqis li l-kundizzjonijiet stabbiliti skont il-paragrafu 1 ta’ dan l-Artikolu ma għadhomx jiġu ssodisfati, hi għandu jkollha s-setgħa li tirrikjedi li l-amministratur li jagħti l-approvazzjoni jtemm l-approvazzjoni, u għandha tinforma lill-ESMA b’dan. L-Artikolu 28 għandu japplika fil-każ ta’ waqfien tal-approvazzjoni.</w:t>
      </w:r>
    </w:p>
    <w:p w:rsidR="002B334C" w:rsidRPr="00B16B6F" w:rsidRDefault="002B334C" w:rsidP="002B334C">
      <w:pPr>
        <w:pStyle w:val="Point0"/>
        <w:rPr>
          <w:noProof/>
        </w:rPr>
      </w:pPr>
      <w:r w:rsidRPr="00B16B6F">
        <w:t>(16)</w:t>
      </w:r>
      <w:r w:rsidRPr="00B16B6F">
        <w:tab/>
        <w:t xml:space="preserve">l-Artikolu 34 huwa emendat kif ġej, </w:t>
      </w:r>
    </w:p>
    <w:p w:rsidR="002B334C" w:rsidRPr="00B16B6F" w:rsidRDefault="002B334C" w:rsidP="002B334C">
      <w:pPr>
        <w:pStyle w:val="Point1"/>
        <w:rPr>
          <w:noProof/>
        </w:rPr>
      </w:pPr>
      <w:r w:rsidRPr="00B16B6F">
        <w:lastRenderedPageBreak/>
        <w:t>(a)</w:t>
      </w:r>
      <w:r w:rsidRPr="00B16B6F">
        <w:tab/>
        <w:t>il-paragrafu 1 huwa sostitwit b’dan li ġej:</w:t>
      </w:r>
    </w:p>
    <w:p w:rsidR="002B334C" w:rsidRPr="00B16B6F" w:rsidRDefault="002B334C" w:rsidP="002B334C">
      <w:pPr>
        <w:pStyle w:val="Text1"/>
        <w:tabs>
          <w:tab w:val="left" w:pos="1134"/>
        </w:tabs>
        <w:ind w:left="1134" w:hanging="567"/>
        <w:rPr>
          <w:noProof/>
        </w:rPr>
      </w:pPr>
      <w:r w:rsidRPr="00B16B6F">
        <w:tab/>
        <w:t>‘‘1.</w:t>
      </w:r>
      <w:r w:rsidRPr="00B16B6F">
        <w:tab/>
        <w:t>Persuna fiżika jew ġuridika li tinsab fl-Unjoni li taġixxi jew li jkollha l-ħsieb li taġixxi bħala amministratur għandha tapplika mal-awtorità kompetenti ddeżinjata skont l-Artikolu 40 tal-Istat Membru fejn tkun tinsab dik il-persuna</w:t>
      </w:r>
      <w:r w:rsidRPr="00B16B6F">
        <w:rPr>
          <w:b/>
          <w:bCs/>
          <w:i/>
          <w:iCs/>
        </w:rPr>
        <w:t xml:space="preserve"> jew mal-ESMA</w:t>
      </w:r>
      <w:r w:rsidRPr="00B16B6F">
        <w:t>, sabiex tirċievi:</w:t>
      </w:r>
    </w:p>
    <w:p w:rsidR="002B334C" w:rsidRPr="00B16B6F" w:rsidRDefault="002B334C" w:rsidP="002B334C">
      <w:pPr>
        <w:pStyle w:val="Point2"/>
        <w:rPr>
          <w:noProof/>
        </w:rPr>
      </w:pPr>
      <w:r w:rsidRPr="00B16B6F">
        <w:t>(a)</w:t>
      </w:r>
      <w:r w:rsidRPr="00B16B6F">
        <w:tab/>
        <w:t xml:space="preserve">awtorizzazzjoni meta tipprovdi jew ikollha l-ħsieb li tipprovdi indiċijiet li jintużaw jew li huma maħsuba biex jintużaw bħala parametri referenzjarji ta’ importanza kritika, bħala parametri referenzjarji sinifikanti, </w:t>
      </w:r>
      <w:r w:rsidRPr="00B16B6F">
        <w:rPr>
          <w:b/>
          <w:bCs/>
          <w:i/>
          <w:iCs/>
        </w:rPr>
        <w:t>bħala parametri referenzjarji tal-komoditajiet soġġetti għall-Anness II,</w:t>
      </w:r>
      <w:r w:rsidRPr="00B16B6F">
        <w:t xml:space="preserve"> bħala Parametri Referenzjarji tat-Tranżizzjoni Klimatika tal-UE jew bħala Parametri Referenzjarji tal-UE allinjati mal-Ftehim ta’ Pariġi;</w:t>
      </w:r>
    </w:p>
    <w:p w:rsidR="002B334C" w:rsidRPr="00B16B6F" w:rsidRDefault="002B334C" w:rsidP="002B334C">
      <w:pPr>
        <w:pStyle w:val="Point2"/>
        <w:rPr>
          <w:noProof/>
        </w:rPr>
      </w:pPr>
      <w:r w:rsidRPr="00B16B6F">
        <w:t>(b)</w:t>
      </w:r>
      <w:r w:rsidRPr="00B16B6F">
        <w:tab/>
        <w:t>reġistrazzjoni meta tkun entità taħt superviżjoni, għajr l-amministratur, li tipprovdi jew ikollha l-ħsieb li tipprovdi indiċijiet li jintużaw jew li huma maħsuba biex jintużaw bħala parametri referenzjarji sinifikanti, bħala Parametri Referenzjarji tat-Tranżizzjoni Klimatika tal-UE jew bħala Parametri Referenzjarji tal-UE allinjati mal-Ftehim ta’ Pariġi, dment li l-attività tal-forniment ta’ parametru referenzjarju ma tiġix ipprevenuta mid-dixxiplina settorjali li tapplika għall-entità taħt superviżjoni u li l-ebda wieħed mill-indiċijiet ipprovduti ma jikkwalifika bħala parametru referenzjarju ta’ importanza kritika.”;</w:t>
      </w:r>
    </w:p>
    <w:p w:rsidR="002B334C" w:rsidRPr="00B16B6F" w:rsidRDefault="002B334C" w:rsidP="002B334C">
      <w:pPr>
        <w:pStyle w:val="Point1"/>
        <w:rPr>
          <w:b/>
          <w:i/>
        </w:rPr>
      </w:pPr>
      <w:r w:rsidRPr="00B16B6F">
        <w:rPr>
          <w:b/>
          <w:i/>
        </w:rPr>
        <w:t>(aa)</w:t>
      </w:r>
      <w:r w:rsidRPr="00B16B6F">
        <w:rPr>
          <w:b/>
          <w:i/>
        </w:rPr>
        <w:tab/>
        <w:t>l-Artikolu 34, il-paragrafu 1a huwa emendat kif ġej:</w:t>
      </w:r>
    </w:p>
    <w:p w:rsidR="002B334C" w:rsidRPr="00B16B6F" w:rsidRDefault="002B334C" w:rsidP="002B334C">
      <w:pPr>
        <w:pStyle w:val="Point2"/>
        <w:ind w:left="1134" w:firstLine="0"/>
        <w:rPr>
          <w:b/>
          <w:i/>
          <w:noProof/>
        </w:rPr>
      </w:pPr>
      <w:r w:rsidRPr="00B16B6F">
        <w:rPr>
          <w:b/>
          <w:i/>
        </w:rPr>
        <w:t>1a. Meta wieħed jew aktar mill-indiċijiet ipprovduti mill-persuna msemmija fil-paragrafu 1 ikunu jikkwalifikaw bħala parametri referenzjarji ta’ importanza kritika kif imsemmi fl-Artikolu 20(1), il-punti (a) u (c), jew bħala parametri referenzjarji sinifikanti kif imsemmi fl-Artikolu 24(2), (5) u (6), jew jekk il-persuna tipprevedi li tapprova parametri referenzjarji kif imsemmi fl-Artikolu 33, l-applikazzjoni għandha tiġi indirizzata lill-ESMA.</w:t>
      </w:r>
    </w:p>
    <w:p w:rsidR="002B334C" w:rsidRPr="00B16B6F" w:rsidRDefault="002B334C" w:rsidP="002B334C">
      <w:pPr>
        <w:pStyle w:val="Point1"/>
        <w:jc w:val="left"/>
        <w:rPr>
          <w:noProof/>
        </w:rPr>
      </w:pPr>
      <w:r w:rsidRPr="00B16B6F">
        <w:t>(b)</w:t>
      </w:r>
      <w:r w:rsidRPr="00B16B6F">
        <w:tab/>
        <w:t>il-paragrafu 3 huwa sostitwit b’dan li ġej:</w:t>
      </w:r>
    </w:p>
    <w:p w:rsidR="002B334C" w:rsidRPr="00B16B6F" w:rsidRDefault="002B334C" w:rsidP="002B334C">
      <w:pPr>
        <w:ind w:left="1134"/>
        <w:jc w:val="both"/>
        <w:rPr>
          <w:noProof/>
        </w:rPr>
      </w:pPr>
      <w:r w:rsidRPr="00B16B6F">
        <w:t xml:space="preserve">“3 L-applikazzjoni msemmija fil-paragrafu 1 għandha ssir fi żmien 30 jum tax-xogħol minn kwalunkwe ftehim li tagħmel entità taħt superviżjoni biex tuża indiċi pprovdut mill-applikant bħala referenza </w:t>
      </w:r>
      <w:r w:rsidRPr="00B16B6F">
        <w:rPr>
          <w:b/>
          <w:bCs/>
          <w:i/>
          <w:iCs/>
        </w:rPr>
        <w:t>fi</w:t>
      </w:r>
      <w:r w:rsidRPr="00B16B6F">
        <w:t xml:space="preserve"> strument finanzjarju jew kuntratt finanzjarju jew biex titkejjel il-prestazzjoni ta’ fond ta’ investiment, jew fil-limiti taż-żmien stabbiliti fl-Artikolu 24a(2) u (3), kif applikabbli.”;</w:t>
      </w:r>
    </w:p>
    <w:p w:rsidR="002B334C" w:rsidRPr="00B16B6F" w:rsidRDefault="002B334C" w:rsidP="002B334C">
      <w:pPr>
        <w:ind w:left="1134"/>
        <w:rPr>
          <w:noProof/>
        </w:rPr>
      </w:pPr>
    </w:p>
    <w:p w:rsidR="002B334C" w:rsidRPr="00B16B6F" w:rsidRDefault="002B334C" w:rsidP="002B334C">
      <w:pPr>
        <w:rPr>
          <w:b/>
          <w:i/>
          <w:noProof/>
        </w:rPr>
      </w:pPr>
      <w:r w:rsidRPr="00B16B6F">
        <w:rPr>
          <w:b/>
          <w:i/>
        </w:rPr>
        <w:t>(16a)</w:t>
      </w:r>
      <w:r w:rsidRPr="00B16B6F">
        <w:rPr>
          <w:b/>
          <w:i/>
        </w:rPr>
        <w:tab/>
        <w:t xml:space="preserve"> fl-Artikolu 36(1), il-punt (a) sa (d) huma sostitwiti b’dan li ġej:</w:t>
      </w:r>
    </w:p>
    <w:p w:rsidR="002B334C" w:rsidRPr="00B16B6F" w:rsidRDefault="002B334C" w:rsidP="002B334C">
      <w:pPr>
        <w:ind w:left="1080" w:hanging="360"/>
        <w:rPr>
          <w:rFonts w:eastAsiaTheme="minorHAnsi"/>
          <w:b/>
          <w:i/>
          <w:noProof/>
        </w:rPr>
      </w:pPr>
      <w:r w:rsidRPr="00B16B6F">
        <w:t>“</w:t>
      </w:r>
      <w:r w:rsidRPr="00B16B6F">
        <w:rPr>
          <w:b/>
          <w:i/>
        </w:rPr>
        <w:t>1.</w:t>
      </w:r>
      <w:r w:rsidRPr="00B16B6F">
        <w:rPr>
          <w:b/>
          <w:i/>
        </w:rPr>
        <w:tab/>
        <w:t>L-ESMA għandha tistabbilixxi u żżomm reġistru pubbliku li jkun fih l-informazzjoni li ġejja:</w:t>
      </w:r>
    </w:p>
    <w:p w:rsidR="002B334C" w:rsidRPr="00B16B6F" w:rsidRDefault="002B334C" w:rsidP="002B334C">
      <w:pPr>
        <w:ind w:left="720"/>
        <w:rPr>
          <w:b/>
          <w:i/>
          <w:noProof/>
        </w:rPr>
      </w:pPr>
    </w:p>
    <w:p w:rsidR="002B334C" w:rsidRPr="00B16B6F" w:rsidRDefault="002B334C" w:rsidP="002B334C">
      <w:pPr>
        <w:ind w:left="851"/>
        <w:jc w:val="both"/>
        <w:rPr>
          <w:b/>
          <w:i/>
          <w:noProof/>
        </w:rPr>
      </w:pPr>
      <w:r w:rsidRPr="00B16B6F">
        <w:rPr>
          <w:b/>
          <w:i/>
        </w:rPr>
        <w:t>(a) l-identitajiet, inkluż, meta disponibbli, l-Identifikatur ta’ Entità Ġuridika (LEI), tal-amministraturi awtorizzati jew irreġistrati skont l-Artikolu 34 u, l-awtoritajiet kompetenti responsabbli għas-superviżjoni tagħhom;</w:t>
      </w:r>
    </w:p>
    <w:p w:rsidR="002B334C" w:rsidRPr="00B16B6F" w:rsidRDefault="002B334C" w:rsidP="002B334C">
      <w:pPr>
        <w:ind w:left="720"/>
        <w:jc w:val="both"/>
        <w:rPr>
          <w:noProof/>
        </w:rPr>
      </w:pPr>
    </w:p>
    <w:p w:rsidR="002B334C" w:rsidRPr="00B16B6F" w:rsidRDefault="002B334C" w:rsidP="002B334C">
      <w:pPr>
        <w:ind w:left="851"/>
        <w:jc w:val="both"/>
        <w:rPr>
          <w:b/>
          <w:i/>
          <w:noProof/>
        </w:rPr>
      </w:pPr>
      <w:r w:rsidRPr="00B16B6F">
        <w:rPr>
          <w:b/>
          <w:i/>
        </w:rPr>
        <w:t>(b) l-identitajiet, inklużi, meta disponibbli, il-LEI ta’ amministraturi li jikkonformaw mal-kundizzjonijiet stabbiliti fl-Artikolu 30(1), il-lista ta’ parametri referenzjarji inklużi, meta disponibbli, in-Numri Internazzjonali għall-Identifikazzjoni tat-Titoli (ISINs) tagħhom, imsemmija fl-Artikolu 30(1), il-punt (c), u l-awtoritajiet kompetenti tal-pajjiż terz responsabbli għas-superviżjoni tagħhom;</w:t>
      </w:r>
    </w:p>
    <w:p w:rsidR="002B334C" w:rsidRPr="00B16B6F" w:rsidRDefault="002B334C" w:rsidP="002B334C">
      <w:pPr>
        <w:ind w:left="720"/>
        <w:jc w:val="both"/>
        <w:rPr>
          <w:noProof/>
        </w:rPr>
      </w:pPr>
    </w:p>
    <w:p w:rsidR="002B334C" w:rsidRPr="00B16B6F" w:rsidRDefault="002B334C" w:rsidP="002B334C">
      <w:pPr>
        <w:ind w:left="851"/>
        <w:jc w:val="both"/>
        <w:rPr>
          <w:b/>
          <w:i/>
          <w:noProof/>
        </w:rPr>
      </w:pPr>
      <w:r w:rsidRPr="00B16B6F">
        <w:rPr>
          <w:b/>
          <w:i/>
        </w:rPr>
        <w:t>(c) l-identitajiet, inklużi, meta disponibbli, il-LEI tal-amministraturi li jkunu akkwistaw ir-rikonoxximent f’konformità mal-Artikolu 32, il-lista ta’ parametri referenzjarji, inklużi, meta disponibbli, l-ISINs tagħhom, imsemmija fl-Artikolu 32(7) u, meta applikabbli, l-awtoritajiet kompetenti tal-pajjiż terz responsabbli għas-superviżjoni tagħhom;</w:t>
      </w:r>
    </w:p>
    <w:p w:rsidR="002B334C" w:rsidRPr="00B16B6F" w:rsidRDefault="002B334C" w:rsidP="002B334C">
      <w:pPr>
        <w:ind w:left="720"/>
        <w:rPr>
          <w:noProof/>
        </w:rPr>
      </w:pPr>
    </w:p>
    <w:p w:rsidR="002B334C" w:rsidRPr="00B16B6F" w:rsidRDefault="002B334C" w:rsidP="002B334C">
      <w:pPr>
        <w:ind w:left="850"/>
        <w:jc w:val="both"/>
        <w:rPr>
          <w:b/>
          <w:i/>
          <w:noProof/>
        </w:rPr>
      </w:pPr>
      <w:r w:rsidRPr="00B16B6F">
        <w:rPr>
          <w:b/>
          <w:i/>
        </w:rPr>
        <w:t xml:space="preserve">(d) </w:t>
      </w:r>
      <w:r w:rsidRPr="00B16B6F">
        <w:rPr>
          <w:b/>
          <w:bCs/>
          <w:i/>
          <w:iCs/>
        </w:rPr>
        <w:t>il-parametri referenzjarji li huma approvati f’konformità mal-proċedura stabbilita fl-Artikolu 33, l-identitajiet tal-amministraturi tagħhom, u l-identitajiet tal-amministraturi li jagħtu l-approvazzjoni jew tal-entitajiet taħt superviżjoni li jagħtu l-approvazzjoni</w:t>
      </w:r>
      <w:r w:rsidRPr="00B16B6F">
        <w:t>.”</w:t>
      </w:r>
    </w:p>
    <w:p w:rsidR="002B334C" w:rsidRPr="00B16B6F" w:rsidRDefault="002B334C" w:rsidP="002B334C">
      <w:pPr>
        <w:ind w:left="1134"/>
        <w:rPr>
          <w:noProof/>
        </w:rPr>
      </w:pPr>
    </w:p>
    <w:p w:rsidR="002B334C" w:rsidRPr="00B16B6F" w:rsidRDefault="002B334C" w:rsidP="002B334C">
      <w:pPr>
        <w:pStyle w:val="Point0"/>
        <w:rPr>
          <w:noProof/>
        </w:rPr>
      </w:pPr>
      <w:r w:rsidRPr="00B16B6F">
        <w:t>(17)</w:t>
      </w:r>
      <w:r w:rsidRPr="00B16B6F">
        <w:tab/>
        <w:t>fl-Artikolu 36(1)</w:t>
      </w:r>
      <w:r w:rsidRPr="006B066B">
        <w:rPr>
          <w:b/>
          <w:i/>
        </w:rPr>
        <w:t>:</w:t>
      </w:r>
      <w:r w:rsidRPr="00B16B6F">
        <w:t xml:space="preserve"> </w:t>
      </w:r>
    </w:p>
    <w:p w:rsidR="002B334C" w:rsidRPr="00B16B6F" w:rsidRDefault="002B334C" w:rsidP="002B334C">
      <w:pPr>
        <w:pStyle w:val="Point0"/>
        <w:rPr>
          <w:noProof/>
        </w:rPr>
      </w:pPr>
      <w:r w:rsidRPr="007D566F">
        <w:rPr>
          <w:b/>
          <w:i/>
        </w:rPr>
        <w:t>(a)</w:t>
      </w:r>
      <w:r w:rsidRPr="00B16B6F">
        <w:t xml:space="preserve"> il-punt (e) sa (j) huma</w:t>
      </w:r>
      <w:r w:rsidRPr="007D566F">
        <w:rPr>
          <w:b/>
          <w:i/>
        </w:rPr>
        <w:t xml:space="preserve"> emendati: </w:t>
      </w:r>
    </w:p>
    <w:p w:rsidR="002B334C" w:rsidRPr="00B16B6F" w:rsidRDefault="002B334C" w:rsidP="002B334C">
      <w:pPr>
        <w:pStyle w:val="Text1"/>
        <w:ind w:left="1134" w:hanging="567"/>
        <w:rPr>
          <w:noProof/>
        </w:rPr>
      </w:pPr>
      <w:r w:rsidRPr="00B16B6F">
        <w:t>“(e)</w:t>
      </w:r>
      <w:r w:rsidRPr="00B16B6F">
        <w:tab/>
        <w:t>il-parametri referenzjarji</w:t>
      </w:r>
      <w:r w:rsidRPr="00B16B6F">
        <w:rPr>
          <w:b/>
          <w:bCs/>
          <w:i/>
          <w:iCs/>
        </w:rPr>
        <w:t>, inklużi, meta disponibbli, l-ISINs tagħhom,</w:t>
      </w:r>
      <w:r w:rsidRPr="00B16B6F">
        <w:t xml:space="preserve"> soġġetti għal dikjarazzjoni ppubblikata mill-ESMA jew minn awtorità kompetenti skont l-Artikolu 24(2), u l-iperlinks għal tali dikjarazzjonijiet;</w:t>
      </w:r>
    </w:p>
    <w:p w:rsidR="002B334C" w:rsidRPr="00B16B6F" w:rsidRDefault="002B334C" w:rsidP="002B334C">
      <w:pPr>
        <w:pStyle w:val="Text1"/>
        <w:ind w:left="1134" w:hanging="567"/>
        <w:rPr>
          <w:noProof/>
        </w:rPr>
      </w:pPr>
      <w:r w:rsidRPr="00B16B6F">
        <w:t>(f)</w:t>
      </w:r>
      <w:r w:rsidRPr="00B16B6F">
        <w:tab/>
        <w:t>il-parametri referenzjarji</w:t>
      </w:r>
      <w:r w:rsidRPr="00B16B6F">
        <w:rPr>
          <w:b/>
          <w:bCs/>
          <w:i/>
          <w:iCs/>
        </w:rPr>
        <w:t>, inklużi, meta disponibbli, l-ISINs tagħhom,</w:t>
      </w:r>
      <w:r w:rsidRPr="00B16B6F">
        <w:t xml:space="preserve"> soġġetti għal deżinjazzjonijiet mill-awtoritajiet kompetenti nnotifikati lill-ESMA skont l-Artikolu 24(4), u l-iperlinks għal tali deżinjazzjonijiet;</w:t>
      </w:r>
    </w:p>
    <w:p w:rsidR="002B334C" w:rsidRPr="00B16B6F" w:rsidRDefault="002B334C" w:rsidP="002B334C">
      <w:pPr>
        <w:pStyle w:val="Text1"/>
        <w:ind w:left="1134" w:hanging="567"/>
        <w:rPr>
          <w:noProof/>
        </w:rPr>
      </w:pPr>
      <w:r w:rsidRPr="00B16B6F">
        <w:t>(g)</w:t>
      </w:r>
      <w:r w:rsidRPr="00B16B6F">
        <w:tab/>
        <w:t>il-parametri referenzjarji</w:t>
      </w:r>
      <w:r w:rsidRPr="00B16B6F">
        <w:rPr>
          <w:b/>
          <w:bCs/>
          <w:i/>
          <w:iCs/>
        </w:rPr>
        <w:t>, inklużi, meta disponibbli, l-ISINs tagħhom,</w:t>
      </w:r>
      <w:r w:rsidRPr="00B16B6F">
        <w:t xml:space="preserve"> soġġetti għal deżinjazzjonijiet mill-ESMA, u l-iperlinks għal tali deżinjazzjonijiet; </w:t>
      </w:r>
    </w:p>
    <w:p w:rsidR="002B334C" w:rsidRPr="00B16B6F" w:rsidRDefault="002B334C" w:rsidP="002B334C">
      <w:pPr>
        <w:pStyle w:val="Text1"/>
        <w:ind w:left="1134" w:hanging="567"/>
        <w:rPr>
          <w:noProof/>
        </w:rPr>
      </w:pPr>
      <w:r w:rsidRPr="00B16B6F">
        <w:t>(h)</w:t>
      </w:r>
      <w:r w:rsidRPr="00B16B6F">
        <w:tab/>
        <w:t>il-parametri referenzjarji</w:t>
      </w:r>
      <w:r w:rsidRPr="00B16B6F">
        <w:rPr>
          <w:b/>
          <w:bCs/>
          <w:i/>
          <w:iCs/>
        </w:rPr>
        <w:t>, inklużi, meta disponibbli, l-ISINs tagħhom,</w:t>
      </w:r>
      <w:r w:rsidRPr="00B16B6F">
        <w:t xml:space="preserve"> soġġetti għal avviżi pubbliċi maħruġa mill-ESMA u mill-awtoritajiet kompetenti skont l-Artikolu 24a(5), u l-iperlinks għal tali avviżi pubbliċi.;</w:t>
      </w:r>
    </w:p>
    <w:p w:rsidR="002B334C" w:rsidRPr="00B16B6F" w:rsidRDefault="002B334C" w:rsidP="002B334C">
      <w:pPr>
        <w:pStyle w:val="Text1"/>
        <w:ind w:left="1134" w:hanging="567"/>
        <w:rPr>
          <w:noProof/>
        </w:rPr>
      </w:pPr>
      <w:r w:rsidRPr="00B16B6F">
        <w:t>(i)</w:t>
      </w:r>
      <w:r w:rsidRPr="00B16B6F">
        <w:tab/>
        <w:t>il-lista ta’ Parametri Referenzjarji tat-Tranżizzjoni Klimatika tal-UE u Parametri Referenzjarji tal-UE allinjati mal-Ftehim ta’ Pariġi</w:t>
      </w:r>
      <w:r w:rsidRPr="00B16B6F">
        <w:rPr>
          <w:b/>
          <w:bCs/>
          <w:i/>
          <w:iCs/>
        </w:rPr>
        <w:t>, inklużi, meta disponibbli, l-ISINs tagħhom,</w:t>
      </w:r>
      <w:r w:rsidRPr="00B16B6F">
        <w:t xml:space="preserve"> disponibbli għall-użu fl-Unjoni;</w:t>
      </w:r>
    </w:p>
    <w:p w:rsidR="002B334C" w:rsidRPr="00B16B6F" w:rsidRDefault="002B334C" w:rsidP="002B334C">
      <w:pPr>
        <w:pStyle w:val="Text1"/>
        <w:ind w:left="1134" w:hanging="567"/>
        <w:rPr>
          <w:noProof/>
        </w:rPr>
      </w:pPr>
      <w:r w:rsidRPr="00B16B6F">
        <w:t>(j)</w:t>
      </w:r>
      <w:r w:rsidRPr="00B16B6F">
        <w:tab/>
        <w:t>il-lista ta’ parametri referenzjarji ta’ importanza kritika</w:t>
      </w:r>
      <w:r w:rsidRPr="00B16B6F">
        <w:rPr>
          <w:b/>
          <w:bCs/>
          <w:i/>
          <w:iCs/>
        </w:rPr>
        <w:t>, inklużi, meta disponibbli, l-ISINs tagħhom</w:t>
      </w:r>
      <w:r w:rsidRPr="00B16B6F">
        <w:t>.”;</w:t>
      </w:r>
    </w:p>
    <w:p w:rsidR="002B334C" w:rsidRPr="007D566F" w:rsidRDefault="002B334C" w:rsidP="002B334C">
      <w:pPr>
        <w:pStyle w:val="Text1"/>
        <w:ind w:left="0"/>
        <w:rPr>
          <w:b/>
          <w:i/>
          <w:noProof/>
        </w:rPr>
      </w:pPr>
      <w:r w:rsidRPr="007D566F">
        <w:rPr>
          <w:b/>
          <w:i/>
        </w:rPr>
        <w:t>(b) jiżdied il-punt (ja);</w:t>
      </w:r>
    </w:p>
    <w:p w:rsidR="002B334C" w:rsidRPr="00B16B6F" w:rsidRDefault="002B334C" w:rsidP="002B334C">
      <w:pPr>
        <w:pStyle w:val="Text1"/>
        <w:ind w:left="567" w:hanging="567"/>
        <w:rPr>
          <w:noProof/>
        </w:rPr>
      </w:pPr>
    </w:p>
    <w:p w:rsidR="002B334C" w:rsidRPr="00B16B6F" w:rsidRDefault="002B334C" w:rsidP="002B334C">
      <w:pPr>
        <w:pStyle w:val="Text1"/>
        <w:ind w:left="1134" w:hanging="567"/>
        <w:rPr>
          <w:b/>
          <w:i/>
          <w:noProof/>
        </w:rPr>
      </w:pPr>
      <w:r w:rsidRPr="00B16B6F">
        <w:t>“</w:t>
      </w:r>
      <w:r w:rsidRPr="00B16B6F">
        <w:rPr>
          <w:b/>
          <w:i/>
        </w:rPr>
        <w:t>(ja)</w:t>
      </w:r>
      <w:r w:rsidRPr="00B16B6F">
        <w:rPr>
          <w:b/>
          <w:i/>
        </w:rPr>
        <w:tab/>
      </w:r>
      <w:r w:rsidRPr="00B16B6F">
        <w:rPr>
          <w:b/>
          <w:bCs/>
          <w:i/>
          <w:iCs/>
        </w:rPr>
        <w:t>il-lista ta’ parametri referenzjarji tal-komoditajiet soġġetti għall-Anness II, inklużi, meta disponibbli, l-ISINs tagħhom, disponibbli għall-użu fl-Unjoni.</w:t>
      </w:r>
      <w:r w:rsidRPr="00B16B6F">
        <w:t>;</w:t>
      </w:r>
    </w:p>
    <w:p w:rsidR="002B334C" w:rsidRPr="00B16B6F" w:rsidRDefault="002B334C" w:rsidP="002B334C">
      <w:pPr>
        <w:pStyle w:val="Text1"/>
        <w:spacing w:before="0" w:after="0"/>
        <w:ind w:left="0"/>
        <w:rPr>
          <w:b/>
          <w:i/>
          <w:noProof/>
        </w:rPr>
      </w:pPr>
      <w:r w:rsidRPr="00B16B6F">
        <w:rPr>
          <w:b/>
          <w:i/>
        </w:rPr>
        <w:t>(17a)</w:t>
      </w:r>
      <w:r w:rsidRPr="00B16B6F">
        <w:rPr>
          <w:b/>
          <w:i/>
        </w:rPr>
        <w:tab/>
        <w:t>l-Artikolu 40, il-paragrafu 1, huwa emendat kif ġej:</w:t>
      </w:r>
    </w:p>
    <w:p w:rsidR="002B334C" w:rsidRPr="00B16B6F" w:rsidRDefault="002B334C" w:rsidP="002B334C">
      <w:pPr>
        <w:pStyle w:val="Text1"/>
        <w:spacing w:before="240" w:after="0"/>
        <w:ind w:left="851" w:hanging="284"/>
        <w:rPr>
          <w:b/>
          <w:i/>
          <w:noProof/>
        </w:rPr>
      </w:pPr>
      <w:r w:rsidRPr="00B16B6F">
        <w:t>“</w:t>
      </w:r>
      <w:r w:rsidRPr="00B16B6F">
        <w:rPr>
          <w:b/>
          <w:i/>
        </w:rPr>
        <w:t>1. Għall-finijiet ta’ dan ir-Regolament, l-ESMA għandha tkun l-awtorità kompetenti għal:</w:t>
      </w:r>
    </w:p>
    <w:p w:rsidR="002B334C" w:rsidRPr="00B16B6F" w:rsidRDefault="002B334C" w:rsidP="002B334C">
      <w:pPr>
        <w:pStyle w:val="Text1"/>
        <w:spacing w:after="0"/>
        <w:ind w:left="567"/>
        <w:rPr>
          <w:b/>
          <w:i/>
          <w:noProof/>
        </w:rPr>
      </w:pPr>
      <w:r w:rsidRPr="00B16B6F">
        <w:rPr>
          <w:b/>
          <w:i/>
        </w:rPr>
        <w:t>(a) amministraturi ta’ parametri referenzjarji ta’ importanza kritika kif imsemmi fl-Artikolu 20(1), il-punti (a) u (c);</w:t>
      </w:r>
    </w:p>
    <w:p w:rsidR="002B334C" w:rsidRPr="00B16B6F" w:rsidRDefault="002B334C" w:rsidP="002B334C">
      <w:pPr>
        <w:pStyle w:val="Text1"/>
        <w:spacing w:after="0"/>
        <w:ind w:left="131" w:firstLine="436"/>
        <w:rPr>
          <w:b/>
          <w:i/>
          <w:noProof/>
        </w:rPr>
      </w:pPr>
      <w:r w:rsidRPr="00B16B6F">
        <w:rPr>
          <w:b/>
          <w:i/>
        </w:rPr>
        <w:t>(b) amministraturi tal-parametri referenzjarji kif imsemmi fl-Artikolu 32;</w:t>
      </w:r>
    </w:p>
    <w:p w:rsidR="002B334C" w:rsidRPr="00B16B6F" w:rsidRDefault="002B334C" w:rsidP="002B334C">
      <w:pPr>
        <w:pStyle w:val="Text1"/>
        <w:spacing w:after="0"/>
        <w:ind w:left="567"/>
        <w:rPr>
          <w:b/>
          <w:i/>
          <w:noProof/>
        </w:rPr>
      </w:pPr>
      <w:r w:rsidRPr="00B16B6F">
        <w:rPr>
          <w:b/>
          <w:i/>
        </w:rPr>
        <w:t>(c) amministraturi tal-parametri referenzjarji li huma sinifikanti fl-Unjoni kif imsemmi fl-Artikolu 24(2), (5) u (6);</w:t>
      </w:r>
    </w:p>
    <w:p w:rsidR="002B334C" w:rsidRPr="00B16B6F" w:rsidRDefault="002B334C" w:rsidP="002B334C">
      <w:pPr>
        <w:pStyle w:val="Text1"/>
        <w:spacing w:after="0"/>
        <w:ind w:left="567"/>
        <w:rPr>
          <w:b/>
          <w:i/>
          <w:noProof/>
        </w:rPr>
      </w:pPr>
      <w:r w:rsidRPr="00B16B6F">
        <w:rPr>
          <w:b/>
          <w:i/>
        </w:rPr>
        <w:lastRenderedPageBreak/>
        <w:t>(d) amministraturi li japprovaw parametri referenzjarji pprovduti f’pajjiż terz f’konformità mal-Artikolu 33;</w:t>
      </w:r>
    </w:p>
    <w:p w:rsidR="002B334C" w:rsidRPr="00B16B6F" w:rsidRDefault="002B334C" w:rsidP="002B334C">
      <w:pPr>
        <w:pStyle w:val="Text1"/>
        <w:spacing w:after="0"/>
        <w:ind w:left="567"/>
        <w:rPr>
          <w:b/>
          <w:i/>
          <w:noProof/>
        </w:rPr>
      </w:pPr>
      <w:r w:rsidRPr="00B16B6F">
        <w:rPr>
          <w:b/>
          <w:i/>
        </w:rPr>
        <w:t xml:space="preserve">(e) </w:t>
      </w:r>
      <w:r w:rsidRPr="00B16B6F">
        <w:rPr>
          <w:b/>
          <w:bCs/>
          <w:i/>
          <w:iCs/>
        </w:rPr>
        <w:t>amministraturi ta’ Parametri Referenzjarji tat-Tranżizzjoni Klimatika tal-UE u ta’ Parametri Referenzjarji tal-UE allinjati mal-Ftehim ta’ Pariġi kif imsemmi fl-Artikolu 3(23a) u (23b).</w:t>
      </w:r>
      <w:r w:rsidRPr="00B16B6F">
        <w:t>;</w:t>
      </w:r>
    </w:p>
    <w:p w:rsidR="002B334C" w:rsidRPr="00B16B6F" w:rsidRDefault="002B334C" w:rsidP="002B334C">
      <w:pPr>
        <w:pStyle w:val="Text1"/>
        <w:ind w:left="1134" w:hanging="567"/>
        <w:rPr>
          <w:b/>
          <w:i/>
          <w:noProof/>
        </w:rPr>
      </w:pPr>
    </w:p>
    <w:p w:rsidR="002B334C" w:rsidRPr="00B16B6F" w:rsidRDefault="002B334C" w:rsidP="002B334C">
      <w:pPr>
        <w:pStyle w:val="Point0"/>
        <w:rPr>
          <w:noProof/>
        </w:rPr>
      </w:pPr>
      <w:r w:rsidRPr="00B16B6F">
        <w:t>(18)</w:t>
      </w:r>
      <w:r w:rsidRPr="00B16B6F">
        <w:tab/>
        <w:t xml:space="preserve">fl-Artikolu 41(1), jiżdiedu l-punti (k) u (l) li ġejjin: </w:t>
      </w:r>
    </w:p>
    <w:p w:rsidR="002B334C" w:rsidRPr="00B16B6F" w:rsidRDefault="002B334C" w:rsidP="002B334C">
      <w:pPr>
        <w:pStyle w:val="Text1"/>
        <w:ind w:left="1134" w:hanging="567"/>
        <w:rPr>
          <w:noProof/>
        </w:rPr>
      </w:pPr>
      <w:r w:rsidRPr="00B16B6F">
        <w:t>“(k)</w:t>
      </w:r>
      <w:r w:rsidRPr="00B16B6F">
        <w:tab/>
        <w:t xml:space="preserve">jiddeżinjaw parametru referenzjarju bħala sinifikanti skont l-Artikolu 24(3); </w:t>
      </w:r>
    </w:p>
    <w:p w:rsidR="002B334C" w:rsidRPr="00B16B6F" w:rsidRDefault="002B334C" w:rsidP="002B334C">
      <w:pPr>
        <w:pStyle w:val="Text1"/>
        <w:ind w:left="1134" w:hanging="567"/>
        <w:rPr>
          <w:noProof/>
        </w:rPr>
      </w:pPr>
      <w:r w:rsidRPr="00B16B6F">
        <w:t>(l)</w:t>
      </w:r>
      <w:r w:rsidRPr="00B16B6F">
        <w:tab/>
        <w:t xml:space="preserve">f’każ ta’ raġunijiet raġonevoli biex wieħed jissuspetta ksur ta’ kwalunkwe wieħed mir-rekwiżiti stabbiliti fil-Kapitolu 3A, jirrikjedu li amministratur jieqaf, għal perjodu massimu ta’ 12-il xahar: </w:t>
      </w:r>
    </w:p>
    <w:p w:rsidR="002B334C" w:rsidRPr="00B16B6F" w:rsidRDefault="002B334C" w:rsidP="002B334C">
      <w:pPr>
        <w:pStyle w:val="Text1"/>
        <w:ind w:left="2160" w:hanging="1026"/>
        <w:rPr>
          <w:noProof/>
        </w:rPr>
      </w:pPr>
      <w:r w:rsidRPr="00B16B6F">
        <w:t>(i)</w:t>
      </w:r>
      <w:r w:rsidRPr="00B16B6F">
        <w:tab/>
        <w:t xml:space="preserve">li jipprovdi Parametri Referenzjarji tat-Tranżizzjoni Klimatika tal-UE jew Parametri Referenzjarji tal-UE allinjati mal-Ftehim ta’ Pariġi; </w:t>
      </w:r>
    </w:p>
    <w:p w:rsidR="002B334C" w:rsidRPr="00B16B6F" w:rsidRDefault="002B334C" w:rsidP="002B334C">
      <w:pPr>
        <w:pStyle w:val="Text1"/>
        <w:ind w:left="2160" w:hanging="1026"/>
        <w:rPr>
          <w:noProof/>
        </w:rPr>
      </w:pPr>
      <w:r w:rsidRPr="00B16B6F">
        <w:t>(ii)</w:t>
      </w:r>
      <w:r w:rsidRPr="00B16B6F">
        <w:tab/>
        <w:t>li jirreferi għall-Parametri Referenzjarji tat-Tranżizzjoni Klimatika tal-UE jew għall-Parametri Referenzjarji tal-UE allinjati mal-Ftehim ta’ Pariġi f’isem il-parametri referenzjarji li jagħmel disponibbli għall-użu fl-Unjoni, jew fid-dokumentazzjoni legali jew tal-kummerċjalizzazzjoni għal dawk il-parametri referenzjarji;</w:t>
      </w:r>
    </w:p>
    <w:p w:rsidR="002B334C" w:rsidRPr="00B16B6F" w:rsidRDefault="002B334C" w:rsidP="002B334C">
      <w:pPr>
        <w:pStyle w:val="Text1"/>
        <w:ind w:left="2160" w:hanging="1026"/>
        <w:rPr>
          <w:noProof/>
        </w:rPr>
      </w:pPr>
      <w:r w:rsidRPr="00B16B6F">
        <w:t>(iii)</w:t>
      </w:r>
      <w:r w:rsidRPr="00B16B6F">
        <w:tab/>
        <w:t>li jirreferi għall-konformità mar-rekwiżiti applikabbli għall-forniment ta’ tali parametri referenzjarji f’isem il-parametri referenzjarji li jagħmel disponibbli għall-użu fl-Unjoni, jew fid-dokumentazzjoni legali jew tal-kummerċjalizzazzjoni għal dawk il-parametri referenzjarji;”;</w:t>
      </w:r>
    </w:p>
    <w:p w:rsidR="002B334C" w:rsidRPr="00B16B6F" w:rsidRDefault="002B334C" w:rsidP="002B334C">
      <w:pPr>
        <w:pStyle w:val="Point0"/>
        <w:rPr>
          <w:noProof/>
        </w:rPr>
      </w:pPr>
      <w:r w:rsidRPr="00B16B6F">
        <w:t>(19)</w:t>
      </w:r>
      <w:r w:rsidRPr="00B16B6F">
        <w:tab/>
        <w:t xml:space="preserve">l-Artikolu 42 huwa emendat kif ġej: </w:t>
      </w:r>
    </w:p>
    <w:p w:rsidR="002B334C" w:rsidRPr="00B16B6F" w:rsidRDefault="002B334C" w:rsidP="002B334C">
      <w:pPr>
        <w:pStyle w:val="Point1"/>
        <w:rPr>
          <w:noProof/>
        </w:rPr>
      </w:pPr>
      <w:r w:rsidRPr="00B16B6F">
        <w:t>(a)</w:t>
      </w:r>
      <w:r w:rsidRPr="00B16B6F">
        <w:tab/>
        <w:t>fil-paragrafu 1, il-punt (a) huwa sostitwit b’dan li ġej:</w:t>
      </w:r>
    </w:p>
    <w:p w:rsidR="002B334C" w:rsidRPr="00B16B6F" w:rsidRDefault="002B334C" w:rsidP="002B334C">
      <w:pPr>
        <w:ind w:left="1134"/>
        <w:rPr>
          <w:noProof/>
        </w:rPr>
      </w:pPr>
      <w:r w:rsidRPr="00B16B6F">
        <w:t>“(a) kwalunkwe ksur tal-Artikoli 4 sa 16, tal-Artikoli 19a, 19b, 19c u 21, tal-Artikoli 23 sa 29 jew tal-Artikolu 34 meta japplikaw dawk l-Artikoli; u”;</w:t>
      </w:r>
    </w:p>
    <w:p w:rsidR="002B334C" w:rsidRPr="00B16B6F" w:rsidRDefault="002B334C" w:rsidP="002B334C">
      <w:pPr>
        <w:pStyle w:val="Point1"/>
        <w:rPr>
          <w:noProof/>
        </w:rPr>
      </w:pPr>
      <w:r w:rsidRPr="00B16B6F">
        <w:t>(b)</w:t>
      </w:r>
      <w:r w:rsidRPr="00B16B6F">
        <w:tab/>
        <w:t>il-paragrafu 2 huwa emendat kif ġej</w:t>
      </w:r>
    </w:p>
    <w:p w:rsidR="002B334C" w:rsidRPr="00B16B6F" w:rsidRDefault="002B334C" w:rsidP="002B334C">
      <w:pPr>
        <w:pStyle w:val="Text2"/>
        <w:rPr>
          <w:noProof/>
        </w:rPr>
      </w:pPr>
      <w:r w:rsidRPr="00B16B6F">
        <w:t>(i)</w:t>
      </w:r>
      <w:r w:rsidRPr="00B16B6F">
        <w:tab/>
        <w:t>fil-punt (g), il-punt (i) huwa sostitwit b’dan li ġej:</w:t>
      </w:r>
    </w:p>
    <w:p w:rsidR="002B334C" w:rsidRPr="00B16B6F" w:rsidRDefault="002B334C" w:rsidP="002B334C">
      <w:pPr>
        <w:pStyle w:val="Text2"/>
        <w:rPr>
          <w:noProof/>
        </w:rPr>
      </w:pPr>
      <w:r w:rsidRPr="00B16B6F">
        <w:t>“(i)</w:t>
      </w:r>
      <w:r w:rsidRPr="00B16B6F">
        <w:tab/>
        <w:t>għall-ksur tal-Artikoli 4 sa 10, tal-Artikolu 11(1), il-punti (a), (b), (c) u (e), tal-Artikolu 11(2) u (3), tal-Artikoli 12 sa 16, tal-Artikolu 21, tal-Artikoli 23 sa 29 u tal-Artikolu 34, EUR 500 000 jew fl-Istati Membri li l-munita uffiċjali tagħhom ma hijiex l-euro, il-valur korrispondenti fil-munita nazzjonali fil-31 ta’ Diċembru 2023; jew”;</w:t>
      </w:r>
    </w:p>
    <w:p w:rsidR="002B334C" w:rsidRPr="00B16B6F" w:rsidRDefault="002B334C" w:rsidP="002B334C">
      <w:pPr>
        <w:pStyle w:val="Text2"/>
        <w:rPr>
          <w:noProof/>
        </w:rPr>
      </w:pPr>
      <w:r w:rsidRPr="00B16B6F">
        <w:t>(ii)</w:t>
      </w:r>
      <w:r w:rsidRPr="00B16B6F">
        <w:tab/>
        <w:t>fil-punt (h), il-punt (i) huwa sostitwit b’li ġej:</w:t>
      </w:r>
    </w:p>
    <w:p w:rsidR="002B334C" w:rsidRPr="00B16B6F" w:rsidRDefault="002B334C" w:rsidP="002B334C">
      <w:pPr>
        <w:pStyle w:val="Text2"/>
        <w:rPr>
          <w:noProof/>
        </w:rPr>
      </w:pPr>
      <w:r w:rsidRPr="00B16B6F">
        <w:t>“(i)</w:t>
      </w:r>
      <w:r w:rsidRPr="00B16B6F">
        <w:tab/>
        <w:t>għall-ksur tal-Artikoli 4 sa 10, tal-Artikolu 11(1), il-punti (a), (b), (c) u (e), tal-Artikolu 11(2) u (3), tal-Artikoli 12 sa 16, tal-Artikolu 21, tal-Artikoli 23 sa 29 u tal-Artikolu 34, jew EUR 1 000 000 jew, fl-Istati Membri li l-munita uffiċjali tagħhom ma hijiex l-euro, il-valur korrispondenti fil-munita nazzjonali fil-31 ta’ Diċembru 2023, jew 10 % tal-fatturat annwali totali tiegħu skont l-aħħar kontijiet disponibbli approvati mill-korp maniġerjali, liema waħda tkun l-ogħla; jew”;</w:t>
      </w:r>
    </w:p>
    <w:p w:rsidR="002B334C" w:rsidRPr="00B16B6F" w:rsidRDefault="002B334C" w:rsidP="002B334C">
      <w:pPr>
        <w:pStyle w:val="Point0"/>
        <w:rPr>
          <w:b/>
          <w:i/>
        </w:rPr>
      </w:pPr>
      <w:r w:rsidRPr="00B16B6F">
        <w:rPr>
          <w:b/>
          <w:i/>
        </w:rPr>
        <w:t>(19a)</w:t>
      </w:r>
      <w:r w:rsidRPr="00B16B6F">
        <w:rPr>
          <w:b/>
          <w:i/>
        </w:rPr>
        <w:tab/>
        <w:t>fl-Artikolu 48e(1), il-formulazzjoni introduttorja hija emendata kif ġej:</w:t>
      </w:r>
    </w:p>
    <w:p w:rsidR="002B334C" w:rsidRPr="00B16B6F" w:rsidRDefault="002B334C" w:rsidP="002B334C">
      <w:pPr>
        <w:pStyle w:val="Point0"/>
        <w:rPr>
          <w:b/>
          <w:i/>
        </w:rPr>
      </w:pPr>
      <w:r w:rsidRPr="00B16B6F">
        <w:rPr>
          <w:b/>
          <w:i/>
        </w:rPr>
        <w:lastRenderedPageBreak/>
        <w:tab/>
      </w:r>
      <w:r w:rsidRPr="00B16B6F">
        <w:rPr>
          <w:b/>
          <w:bCs/>
          <w:i/>
          <w:iCs/>
        </w:rPr>
        <w:t>“Fejn, f’konformità mal-Artikolu 48i(5), l-ESMA ssib li persuna wettqet, intenzjonalment jew b’mod negliġenti, wieħed jew aktar mit-tipi ta’ ksur elenkati fl-Artikolu 42(1), il-punt (a), jew naqqset milli tikkoopera f’investigazzjoni jew fi spezzjoni jew f’talba koperta mit-Taqsima 1 ta’ dan il-Kapitolu jew li tikkonforma magħhom, hija għandha tadotta deċiżjoni li timponi multa f’konformità mal-paragrafu 2 ta’ dan l-Artikolu.</w:t>
      </w:r>
      <w:r w:rsidRPr="00B16B6F">
        <w:rPr>
          <w:b/>
          <w:i/>
        </w:rPr>
        <w:t xml:space="preserve"> Ksur għandu jitqies bħala li twettaq intenzjonalment jekk l-ESMA ssib fatturi oġġettivi li juru li persuna aġixxiet deliberatament biex twettaq il-ksur.</w:t>
      </w:r>
      <w:r w:rsidRPr="00B16B6F">
        <w:t xml:space="preserve"> ;</w:t>
      </w:r>
    </w:p>
    <w:p w:rsidR="002B334C" w:rsidRPr="00B16B6F" w:rsidRDefault="002B334C" w:rsidP="002B334C">
      <w:pPr>
        <w:pStyle w:val="Point0"/>
        <w:rPr>
          <w:b/>
          <w:i/>
        </w:rPr>
      </w:pPr>
      <w:r w:rsidRPr="00B16B6F">
        <w:rPr>
          <w:b/>
          <w:i/>
        </w:rPr>
        <w:t>(19b)</w:t>
      </w:r>
      <w:r w:rsidRPr="00B16B6F">
        <w:rPr>
          <w:b/>
          <w:i/>
        </w:rPr>
        <w:tab/>
        <w:t>fl-Artikolu 48f, il-paragrafu 1, il-formulazzjoni introduttorja hija emendata kif ġej:</w:t>
      </w:r>
    </w:p>
    <w:p w:rsidR="002B334C" w:rsidRPr="00B16B6F" w:rsidRDefault="002B334C" w:rsidP="002B334C">
      <w:pPr>
        <w:pStyle w:val="Point0"/>
        <w:rPr>
          <w:b/>
          <w:i/>
        </w:rPr>
      </w:pPr>
      <w:r w:rsidRPr="00B16B6F">
        <w:rPr>
          <w:b/>
          <w:i/>
        </w:rPr>
        <w:tab/>
      </w:r>
      <w:r w:rsidRPr="00B16B6F">
        <w:t>“</w:t>
      </w:r>
      <w:r w:rsidRPr="00B16B6F">
        <w:rPr>
          <w:b/>
          <w:bCs/>
          <w:i/>
          <w:iCs/>
        </w:rPr>
        <w:t>Fejn, f’konformità mal-Artikolu 48i(5), l-ESMA ssib li kwalunkwe persuna wettqet, intenzjonalment jew b’mod negliġenti, wieħed jew aktar mit-tipi ta’ ksur elenkati fl-Artikolu 42(1), il-punt (a), jew kwalunkwe nuqqas ta’ kooperazzjoni f’investigazzjoni jew fi spezzjoni jew f’talba koperta mit-Taqsima 1 ta’ dan il-Kapitolu jew kwalunkwe nuqqas ta’ konformità magħhom, hija għandha tadotta deċiżjoni li timponi multa f’konformità mal-paragrafu 2 ta’ dan l-Artikolu.</w:t>
      </w:r>
      <w:r w:rsidRPr="00B16B6F">
        <w:rPr>
          <w:b/>
          <w:i/>
        </w:rPr>
        <w:t xml:space="preserve"> </w:t>
      </w:r>
      <w:r w:rsidRPr="00B16B6F">
        <w:rPr>
          <w:b/>
          <w:bCs/>
          <w:i/>
          <w:iCs/>
        </w:rPr>
        <w:t>Ksur għandu jitqies bħala li twettaq intenzjonalment jekk l-ESMA ssib fatturi oġġettivi li juru li persuna aġixxiet deliberatament biex twettaq il-ksur.</w:t>
      </w:r>
      <w:r w:rsidRPr="00B16B6F">
        <w:t>;</w:t>
      </w:r>
    </w:p>
    <w:p w:rsidR="002B334C" w:rsidRPr="00B16B6F" w:rsidRDefault="002B334C" w:rsidP="002B334C">
      <w:pPr>
        <w:pStyle w:val="Point0"/>
        <w:rPr>
          <w:b/>
          <w:i/>
        </w:rPr>
      </w:pPr>
      <w:r w:rsidRPr="00B16B6F">
        <w:rPr>
          <w:b/>
          <w:i/>
        </w:rPr>
        <w:t>(19c)</w:t>
      </w:r>
      <w:r w:rsidRPr="00B16B6F">
        <w:rPr>
          <w:b/>
          <w:i/>
        </w:rPr>
        <w:tab/>
        <w:t>fl-Artikolu 54, jiżdied paragrafu ġdid:</w:t>
      </w:r>
    </w:p>
    <w:p w:rsidR="002B334C" w:rsidRPr="00B16B6F" w:rsidRDefault="002B334C" w:rsidP="002B334C">
      <w:pPr>
        <w:pStyle w:val="Point0"/>
        <w:ind w:firstLine="1"/>
        <w:rPr>
          <w:b/>
          <w:i/>
        </w:rPr>
      </w:pPr>
      <w:r w:rsidRPr="00B16B6F">
        <w:t>“</w:t>
      </w:r>
      <w:r w:rsidRPr="00B16B6F">
        <w:rPr>
          <w:b/>
          <w:i/>
        </w:rPr>
        <w:t xml:space="preserve">7a. Sal-31 ta’ Diċembru 2028, il-Kummissjoni għandha, wara li tikkonsulta mal-ESMA, tippreżenta rapport lill-Parlament Ewropew u lill-Kunsill dwar il-ħtieġa li jiġu rregolati l-parametri referenzjarji li jagħmlu asserzjonijiet relatati mal-ESG, minbarra l-Parametri Referenzjarji tat-Tranżizzjoni Klimatika tal-UE u l-Parametri Referenzjarji tal-UE allinjati mal-Ftehim ta’ Pariġi, filwaqt li tqis is-sitwazzjoni u d-disponibbiltà tal-parametri referenzjarji tal-ESG fis-swieq Ewropej u globali u l-adozzjoni tagħhom fis-suq, filwaqt li tanalizza jekk dawn jitqisux bħala parametri referenzjarji sinifikanti, u tistudja l-kostijiet u l-effetti fuq id-disponibbiltà tas-suq u n-natura li qed tevolvi tal-indikaturi tas-sostenibbiltà u l-metodi użati biex dawn jitkejlu. Ir-rapport għandu jqis ukoll il-ħtieġa għal koerenza u konsistenza mad-dritt tal-Unjoni ieħor, b’mod partikolari r-Regolament (UE) 2019/2088, id-Direttiva 2011/61/UE u d-Direttiva 2009/65/KE kif ukoll il-Linji Gwida tal-ESMA dwar l-ismijiet tal-fondi bl-użu ta’ termini tal-ESG jew relatati mas-sostenibbiltà. </w:t>
      </w:r>
      <w:r w:rsidRPr="00B16B6F">
        <w:rPr>
          <w:b/>
          <w:bCs/>
          <w:i/>
          <w:iCs/>
        </w:rPr>
        <w:t>Dak ir-rapport għandu jkun akkumpanjat b’valutazzjoni tal-impatt u, meta jkun xieraq, bi proposta leġiżlattiva.</w:t>
      </w:r>
      <w:r w:rsidRPr="00B16B6F">
        <w:t>;</w:t>
      </w:r>
    </w:p>
    <w:p w:rsidR="002B334C" w:rsidRPr="00B16B6F" w:rsidRDefault="002B334C" w:rsidP="002B334C">
      <w:pPr>
        <w:pStyle w:val="Text2"/>
        <w:rPr>
          <w:noProof/>
        </w:rPr>
      </w:pPr>
    </w:p>
    <w:p w:rsidR="002B334C" w:rsidRPr="00B16B6F" w:rsidRDefault="002B334C" w:rsidP="002B334C">
      <w:pPr>
        <w:pStyle w:val="Point0"/>
        <w:rPr>
          <w:noProof/>
        </w:rPr>
      </w:pPr>
      <w:r w:rsidRPr="00B16B6F">
        <w:t>(20)</w:t>
      </w:r>
      <w:r w:rsidRPr="00B16B6F">
        <w:tab/>
        <w:t>l-Artikolu 49 huwa emendat kif ġej:</w:t>
      </w:r>
    </w:p>
    <w:p w:rsidR="002B334C" w:rsidRPr="00B16B6F" w:rsidRDefault="002B334C" w:rsidP="002B334C">
      <w:pPr>
        <w:pStyle w:val="Point1"/>
        <w:rPr>
          <w:noProof/>
        </w:rPr>
      </w:pPr>
      <w:r w:rsidRPr="00B16B6F">
        <w:t>(a)</w:t>
      </w:r>
      <w:r w:rsidRPr="00B16B6F">
        <w:tab/>
        <w:t>il-paragrafi 2 u 3 huma sostitwiti b’dan li ġej:</w:t>
      </w:r>
    </w:p>
    <w:p w:rsidR="002B334C" w:rsidRPr="00B16B6F" w:rsidRDefault="002B334C" w:rsidP="002B334C">
      <w:pPr>
        <w:ind w:left="1134"/>
        <w:jc w:val="both"/>
        <w:rPr>
          <w:noProof/>
        </w:rPr>
      </w:pPr>
      <w:r w:rsidRPr="00B16B6F">
        <w:t>“2.</w:t>
      </w:r>
      <w:r w:rsidRPr="00B16B6F">
        <w:tab/>
        <w:t>Is-setgħa ta’ adozzjoni ta’ atti delegati msemmija fl-Artikoli 3(2), 13(2a), 19a(2), 19c(1), 20(6), 24(7), 27(2b), 33(7), 51(6) u 54(3) għandha tingħata lill-Kummissjoni għal perjodu ta’ ħames snin mit-30 ta’ Ġunju 2024. Il-Kummissjoni għandha tfassal rapport fir-rigward tad-delega ta’ setgħa mhux aktar tard mill-31 ta’ Diċembru 2028. Id-delega ta’ setgħa għandha tiġi estiża awtomatikament għal perjodi ta’ żmien identiċi, ħlief jekk il-Parlament Ewropew jew il-Kunsill joġġezzjonaw għal tali estensjoni mhux iktar tard minn tliet xhur qabel it-tmiem ta’ kull perjodu.</w:t>
      </w:r>
    </w:p>
    <w:p w:rsidR="002B334C" w:rsidRPr="00B16B6F" w:rsidRDefault="002B334C" w:rsidP="002B334C">
      <w:pPr>
        <w:ind w:left="1134"/>
        <w:rPr>
          <w:noProof/>
        </w:rPr>
      </w:pPr>
    </w:p>
    <w:p w:rsidR="002B334C" w:rsidRPr="00B16B6F" w:rsidRDefault="002B334C" w:rsidP="002B334C">
      <w:pPr>
        <w:ind w:left="1134"/>
        <w:jc w:val="both"/>
        <w:rPr>
          <w:noProof/>
        </w:rPr>
      </w:pPr>
      <w:r w:rsidRPr="00B16B6F">
        <w:t>“3.</w:t>
      </w:r>
      <w:r w:rsidRPr="00B16B6F">
        <w:tab/>
        <w:t xml:space="preserve">Id-delega ta’ setgħa msemmija fl-Artikoli 3(2), 13(2a), 19a(2), 19c(1), 20(6), 24(7), 27(2b), 30(2a), 30(3a), 33(7), 48i(10), 48l(3), 51(6) u 54(3) tista’ tiġi </w:t>
      </w:r>
      <w:r w:rsidRPr="00B16B6F">
        <w:lastRenderedPageBreak/>
        <w:t>revokata fi kwalunkwe mument mill-Parlament Ewropew jew mill-Kunsill. Deċiżjoni li tirrevoka għandha ttemm id-delega ta’ setgħa speċifikata f’dik id-deċiżjoni. Għandha ssir effettiva fil-jum wara l-pubblikazzjoni tad-deċiżjoni f’</w:t>
      </w:r>
      <w:r w:rsidRPr="00B16B6F">
        <w:rPr>
          <w:i/>
          <w:iCs/>
        </w:rPr>
        <w:t>Il-Ġurnal Uffiċjali tal-Unjoni Ewropea</w:t>
      </w:r>
      <w:r w:rsidRPr="00B16B6F">
        <w:t xml:space="preserve"> jew f’data aktar tard speċifikata fih.  Ma għandha taffettwa l-validità tal-ebda att delegat li jkun diġà fis-seħħ.”;</w:t>
      </w:r>
    </w:p>
    <w:p w:rsidR="002B334C" w:rsidRPr="00B16B6F" w:rsidRDefault="002B334C" w:rsidP="002B334C">
      <w:pPr>
        <w:pStyle w:val="Point1"/>
        <w:rPr>
          <w:noProof/>
        </w:rPr>
      </w:pPr>
      <w:r w:rsidRPr="00B16B6F">
        <w:t>(b)</w:t>
      </w:r>
      <w:r w:rsidRPr="00B16B6F">
        <w:tab/>
        <w:t>il-paragrafu 6 huwa sostitwit b’dan li ġej:</w:t>
      </w:r>
    </w:p>
    <w:p w:rsidR="002B334C" w:rsidRPr="00B16B6F" w:rsidRDefault="002B334C" w:rsidP="002B334C">
      <w:pPr>
        <w:ind w:left="1134"/>
        <w:jc w:val="both"/>
        <w:rPr>
          <w:noProof/>
        </w:rPr>
      </w:pPr>
      <w:r w:rsidRPr="00B16B6F">
        <w:t>“6.</w:t>
      </w:r>
      <w:r w:rsidRPr="00B16B6F">
        <w:tab/>
        <w:t>Att delegat adottat skont l-Artikolu 3(2), 13(2a), 19a(2), 19c(1), 20(6), 24(7), 27(2b), 30(2a), 30(3a), 33(7), 48i(10), 48l(3), 51(6) jew 54(3) għandu jidħol fis-seħħ biss jekk ma tiġix espressa oġġezzjoni mill-Parlament Ewropew jew mill-Kunsill fi żmien ta’ tliet xhur min-notifika ta’ dak l-att lill-Parlament Ewropew u lill-Kunsill jew jekk, qabel ma jiskadi dak il-perjodu, il-Parlament Ewropew u l-Kunsill ikunu t-tnejn infurmaw lill-Kummissjoni li ma humiex se joġġezzjonaw. Dak il-perjodu għandu jiġi estiż bi tliet xhur fuq inizjattiva tal-Parlament Ewropew jew tal-Kunsill.”.</w:t>
      </w:r>
    </w:p>
    <w:p w:rsidR="002B334C" w:rsidRPr="00B16B6F" w:rsidRDefault="002B334C" w:rsidP="002B334C">
      <w:pPr>
        <w:pStyle w:val="Point0"/>
        <w:rPr>
          <w:noProof/>
        </w:rPr>
      </w:pPr>
      <w:r w:rsidRPr="00B16B6F">
        <w:t>(21)</w:t>
      </w:r>
      <w:r w:rsidRPr="00B16B6F">
        <w:tab/>
        <w:t>fl-Artikolu 51, jiddaħħal il-paragrafu li ġej:</w:t>
      </w:r>
    </w:p>
    <w:p w:rsidR="002B334C" w:rsidRPr="00B16B6F" w:rsidRDefault="002B334C" w:rsidP="002B334C">
      <w:pPr>
        <w:pStyle w:val="Text1"/>
        <w:ind w:left="567"/>
        <w:rPr>
          <w:noProof/>
        </w:rPr>
      </w:pPr>
      <w:r w:rsidRPr="00B16B6F">
        <w:t xml:space="preserve">“4c. L-awtoritajiet </w:t>
      </w:r>
      <w:r w:rsidRPr="00B16B6F">
        <w:rPr>
          <w:b/>
          <w:bCs/>
          <w:i/>
          <w:iCs/>
        </w:rPr>
        <w:t>nazzjonali</w:t>
      </w:r>
      <w:r w:rsidRPr="00B16B6F">
        <w:t xml:space="preserve"> kompetenti </w:t>
      </w:r>
      <w:r w:rsidRPr="00B16B6F">
        <w:rPr>
          <w:b/>
          <w:bCs/>
          <w:i/>
          <w:iCs/>
        </w:rPr>
        <w:t>li jkun biħsiebhom jiddeżinjaw parametru referenzjarju pprovdut minn amministratur li ġie inkluż fir-reġistru tal-ESMA fi [id-data tad-dħul fis-seħħ ta’ dan ir-Regolament emendatorju nieqes jum]</w:t>
      </w:r>
      <w:r w:rsidRPr="00B16B6F">
        <w:t xml:space="preserve"> u l-ESMA </w:t>
      </w:r>
      <w:r w:rsidRPr="00B16B6F">
        <w:rPr>
          <w:b/>
          <w:bCs/>
          <w:i/>
          <w:iCs/>
        </w:rPr>
        <w:t>li jkun biħsiebha tiddeżinja parametru referenzjarju li kien inkluż fir-reġistru tal-ESMA jew li l-amministratur li kien inkluż fir-reġistru tal-ESMA fi...[id-data tad-dħul fis-seħħ ta’ dan ir-Regolament emendatorju nieqes jum] għandhom jagħmlu dan sa ...[disa’ xhur mid-data tad-dħul fis-seħħ ta’ dan ir-Regolament emendatorju].</w:t>
      </w:r>
    </w:p>
    <w:p w:rsidR="002B334C" w:rsidRPr="00B16B6F" w:rsidRDefault="002B334C" w:rsidP="002B334C">
      <w:pPr>
        <w:pStyle w:val="Text1"/>
        <w:ind w:left="567"/>
        <w:rPr>
          <w:b/>
          <w:i/>
          <w:noProof/>
        </w:rPr>
      </w:pPr>
      <w:r w:rsidRPr="00B16B6F">
        <w:t xml:space="preserve">L-amministraturi ta’ parametri referenzjarji li kienu awtorizzati, irreġistrati, approvati jew rikonoxxuti fi ...[id-data </w:t>
      </w:r>
      <w:r w:rsidRPr="00B16B6F">
        <w:rPr>
          <w:b/>
          <w:bCs/>
          <w:i/>
          <w:iCs/>
        </w:rPr>
        <w:t>tad-dħul fis-seħħ</w:t>
      </w:r>
      <w:r w:rsidRPr="00B16B6F">
        <w:t xml:space="preserve"> ta’ dan ir-Regolament emendatorju] </w:t>
      </w:r>
      <w:r w:rsidRPr="00B16B6F">
        <w:rPr>
          <w:b/>
          <w:bCs/>
          <w:i/>
          <w:iCs/>
        </w:rPr>
        <w:t>għandhom iżommu dan l-istatus għal disa’ xhur wara d-dħul fis-seħħ ta’ dan ir-Regolament emendatorju.</w:t>
      </w:r>
      <w:r w:rsidRPr="00B16B6F">
        <w:rPr>
          <w:b/>
          <w:i/>
        </w:rPr>
        <w:t xml:space="preserve"> </w:t>
      </w:r>
      <w:r w:rsidRPr="00B16B6F">
        <w:rPr>
          <w:b/>
          <w:bCs/>
          <w:i/>
          <w:iCs/>
        </w:rPr>
        <w:t>Meta parametru referenzjarju wieħed jew aktar tagħhom huma ddeżinjati fi żmien disa’ xhur minn [id-data tad-dħul fis-seħħ ta’ dan ir-Regolament emendatorju], l-amministraturi ddeżinjati ma għandhomx ikunu obbligati japplikaw mill-ġdid</w:t>
      </w:r>
      <w:r w:rsidRPr="00B16B6F">
        <w:rPr>
          <w:b/>
          <w:bCs/>
        </w:rPr>
        <w:t xml:space="preserve"> </w:t>
      </w:r>
      <w:r w:rsidRPr="00B16B6F">
        <w:t>għall-awtorizzazzjoni, għar-reġistrazzjoni, għar-rikonoxximent, jew għall-approvazzjoni skont l-Artikolu 24a(1), (2), jew (3), kif applikabbli</w:t>
      </w:r>
      <w:r w:rsidRPr="00B16B6F">
        <w:rPr>
          <w:b/>
          <w:bCs/>
          <w:i/>
          <w:iCs/>
        </w:rPr>
        <w:t>.</w:t>
      </w:r>
    </w:p>
    <w:p w:rsidR="002B334C" w:rsidRPr="00B16B6F" w:rsidRDefault="002B334C" w:rsidP="002B334C">
      <w:pPr>
        <w:pStyle w:val="Text1"/>
        <w:ind w:left="567"/>
        <w:rPr>
          <w:noProof/>
        </w:rPr>
      </w:pPr>
      <w:r w:rsidRPr="00B16B6F">
        <w:rPr>
          <w:b/>
          <w:bCs/>
          <w:i/>
          <w:iCs/>
        </w:rPr>
        <w:t>L-amministraturi ta’ parametri referenzjarji sinifikanti li ġew awtorizzati, irreġistrati, approvati jew rikonoxxuti fi</w:t>
      </w:r>
      <w:r w:rsidRPr="00B16B6F">
        <w:t xml:space="preserve"> [ id-data </w:t>
      </w:r>
      <w:r w:rsidRPr="00B16B6F">
        <w:rPr>
          <w:b/>
          <w:bCs/>
          <w:i/>
          <w:iCs/>
        </w:rPr>
        <w:t>tad-dħul fis-seħħ</w:t>
      </w:r>
      <w:r w:rsidRPr="00B16B6F">
        <w:t xml:space="preserve"> ta’ dan ir-Regolament emendatorju] </w:t>
      </w:r>
      <w:r w:rsidRPr="00B16B6F">
        <w:rPr>
          <w:b/>
          <w:bCs/>
          <w:i/>
          <w:iCs/>
        </w:rPr>
        <w:t>ma għandhomx ikunu obbligati jerġgħu japplikaw għall-awtorizzazzjoni, għar-reġistrazzjoni, għar-rikonoxximent, jew għall-approvazzjoni skont l-Artikolu 24a(1) meta parametru referenzjarju wieħed jew aktar tagħhom ikunu sinifikanti skont l-Artikolu 24(1)(a).</w:t>
      </w:r>
      <w:r w:rsidRPr="00B16B6F">
        <w:t>”</w:t>
      </w:r>
    </w:p>
    <w:p w:rsidR="002B334C" w:rsidRPr="00B16B6F" w:rsidRDefault="002B334C" w:rsidP="002B334C">
      <w:pPr>
        <w:pStyle w:val="Text1"/>
        <w:ind w:left="567"/>
        <w:rPr>
          <w:b/>
          <w:i/>
          <w:noProof/>
        </w:rPr>
      </w:pPr>
      <w:r w:rsidRPr="00B16B6F">
        <w:rPr>
          <w:b/>
          <w:i/>
        </w:rPr>
        <w:t>L-amministraturi ta’ parametri referenzjarji li kienu awtorizzati, irreġistrati, approvati jew rikonoxxuti fi ...[id-data tad-dħul fis-seħħ ta’ dan ir-Regolament emendatorju] li volontarjament jagħżlu li jipparteċipaw f’dan ir-Regolament sa ...[disa’ xhur mid-data tad-dħul fis-seħħ ta’ dan ir-Regolament emendatorju] ma għandhomx ikunu obbligati li japplikaw mill-ġdid għall-awtorizzazzjoni, għar-reġistrazzjoni, għar-rikonoxximent jew għall-approvazzjoni.</w:t>
      </w:r>
      <w:r w:rsidRPr="00B16B6F">
        <w:t xml:space="preserve"> ;</w:t>
      </w:r>
    </w:p>
    <w:p w:rsidR="002B334C" w:rsidRPr="00B16B6F" w:rsidRDefault="002B334C" w:rsidP="002B334C">
      <w:pPr>
        <w:pStyle w:val="Text1"/>
        <w:ind w:left="567"/>
        <w:rPr>
          <w:b/>
          <w:i/>
          <w:noProof/>
        </w:rPr>
      </w:pPr>
    </w:p>
    <w:p w:rsidR="002B334C" w:rsidRPr="00B16B6F" w:rsidRDefault="002B334C" w:rsidP="002B334C">
      <w:pPr>
        <w:pStyle w:val="Text1"/>
        <w:ind w:left="567"/>
        <w:rPr>
          <w:b/>
          <w:i/>
          <w:noProof/>
        </w:rPr>
      </w:pPr>
      <w:r w:rsidRPr="00B16B6F">
        <w:rPr>
          <w:b/>
          <w:i/>
        </w:rPr>
        <w:t>(21a)</w:t>
      </w:r>
      <w:r w:rsidRPr="00B16B6F">
        <w:rPr>
          <w:b/>
          <w:i/>
        </w:rPr>
        <w:tab/>
        <w:t>jitħassar l-Artikolu 53, il-paragrafu 1;</w:t>
      </w:r>
    </w:p>
    <w:p w:rsidR="002B334C" w:rsidRPr="00B16B6F" w:rsidRDefault="002B334C" w:rsidP="002B334C">
      <w:pPr>
        <w:pStyle w:val="Titrearticle"/>
        <w:rPr>
          <w:noProof/>
        </w:rPr>
      </w:pPr>
      <w:r w:rsidRPr="00B16B6F">
        <w:lastRenderedPageBreak/>
        <w:t>Artikolu 2</w:t>
      </w:r>
    </w:p>
    <w:p w:rsidR="002B334C" w:rsidRPr="00B16B6F" w:rsidRDefault="002B334C" w:rsidP="002B334C">
      <w:pPr>
        <w:jc w:val="center"/>
        <w:rPr>
          <w:b/>
          <w:bCs/>
          <w:noProof/>
        </w:rPr>
      </w:pPr>
      <w:r w:rsidRPr="00B16B6F">
        <w:rPr>
          <w:b/>
        </w:rPr>
        <w:t>Dħul fis-seħħ u applikazzjoni</w:t>
      </w:r>
    </w:p>
    <w:p w:rsidR="002B334C" w:rsidRPr="00B16B6F" w:rsidRDefault="002B334C" w:rsidP="002B334C">
      <w:pPr>
        <w:rPr>
          <w:noProof/>
        </w:rPr>
      </w:pPr>
      <w:r w:rsidRPr="00B16B6F">
        <w:t>Dan ir-Regolament għandu jidħol fis-seħħ fl-għoxrin jum wara dak tal-pubblikazzjoni tiegħu f’</w:t>
      </w:r>
      <w:r w:rsidRPr="00B16B6F">
        <w:rPr>
          <w:i/>
          <w:iCs/>
        </w:rPr>
        <w:t>Il-Ġurnal Uffiċjali tal-Unjoni Ewropea</w:t>
      </w:r>
      <w:r w:rsidRPr="00B16B6F">
        <w:t>.</w:t>
      </w:r>
    </w:p>
    <w:p w:rsidR="002B334C" w:rsidRPr="00B16B6F" w:rsidRDefault="002B334C" w:rsidP="002B334C">
      <w:pPr>
        <w:rPr>
          <w:noProof/>
        </w:rPr>
      </w:pPr>
      <w:r w:rsidRPr="00B16B6F">
        <w:t xml:space="preserve">Għandu japplika mill-1 ta’ Jannar 2026. </w:t>
      </w:r>
    </w:p>
    <w:p w:rsidR="002B334C" w:rsidRPr="00B16B6F" w:rsidRDefault="002B334C" w:rsidP="002B334C">
      <w:pPr>
        <w:pStyle w:val="Applicationdirecte"/>
        <w:rPr>
          <w:noProof/>
        </w:rPr>
      </w:pPr>
      <w:r w:rsidRPr="00B16B6F">
        <w:t>Dan ir-Regolament għandu jorbot fl-intier tiegħu u japplika direttament fl-Istati Membri kollha.</w:t>
      </w:r>
    </w:p>
    <w:p w:rsidR="002B334C" w:rsidRPr="00B16B6F" w:rsidRDefault="002B334C" w:rsidP="002B334C">
      <w:pPr>
        <w:pStyle w:val="Fait"/>
        <w:rPr>
          <w:noProof/>
        </w:rPr>
      </w:pPr>
      <w:r w:rsidRPr="00B16B6F">
        <w:t xml:space="preserve">Magħmul fi </w:t>
      </w:r>
      <w:r w:rsidR="0075183E">
        <w:rPr>
          <w:lang w:val="en-GB"/>
        </w:rPr>
        <w:t>…</w:t>
      </w:r>
      <w:bookmarkStart w:id="11" w:name="_GoBack"/>
      <w:bookmarkEnd w:id="11"/>
      <w:r w:rsidRPr="00B16B6F">
        <w:t>,</w:t>
      </w:r>
    </w:p>
    <w:p w:rsidR="002B334C" w:rsidRPr="00B16B6F" w:rsidRDefault="002B334C" w:rsidP="002B334C">
      <w:pPr>
        <w:pStyle w:val="Institutionquisigne"/>
        <w:rPr>
          <w:noProof/>
        </w:rPr>
      </w:pPr>
      <w:r w:rsidRPr="00B16B6F">
        <w:t>Għall-Parlament Ewropew</w:t>
      </w:r>
      <w:r w:rsidRPr="00B16B6F">
        <w:tab/>
        <w:t>Għall-Kunsill</w:t>
      </w:r>
    </w:p>
    <w:p w:rsidR="002B334C" w:rsidRPr="00B16B6F" w:rsidRDefault="002B334C" w:rsidP="00B16B6F">
      <w:pPr>
        <w:tabs>
          <w:tab w:val="left" w:pos="4253"/>
        </w:tabs>
        <w:rPr>
          <w:i/>
        </w:rPr>
      </w:pPr>
      <w:r w:rsidRPr="00B16B6F">
        <w:rPr>
          <w:i/>
        </w:rPr>
        <w:t>Il-President</w:t>
      </w:r>
      <w:r w:rsidRPr="00B16B6F">
        <w:rPr>
          <w:i/>
        </w:rPr>
        <w:tab/>
        <w:t>Il-President</w:t>
      </w:r>
    </w:p>
    <w:sectPr w:rsidR="002B334C" w:rsidRPr="00B16B6F" w:rsidSect="0075183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3B3" w:rsidRPr="00105621" w:rsidRDefault="004133B3">
      <w:r w:rsidRPr="00105621">
        <w:separator/>
      </w:r>
    </w:p>
  </w:endnote>
  <w:endnote w:type="continuationSeparator" w:id="0">
    <w:p w:rsidR="004133B3" w:rsidRPr="00105621" w:rsidRDefault="004133B3">
      <w:r w:rsidRPr="001056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6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6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6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3B3" w:rsidRPr="00105621" w:rsidRDefault="004133B3">
      <w:r w:rsidRPr="00105621">
        <w:separator/>
      </w:r>
    </w:p>
  </w:footnote>
  <w:footnote w:type="continuationSeparator" w:id="0">
    <w:p w:rsidR="004133B3" w:rsidRPr="00105621" w:rsidRDefault="004133B3">
      <w:r w:rsidRPr="00105621">
        <w:continuationSeparator/>
      </w:r>
    </w:p>
  </w:footnote>
  <w:footnote w:id="1">
    <w:p w:rsidR="007D566F" w:rsidRPr="00D13202" w:rsidRDefault="007D566F" w:rsidP="007D566F">
      <w:pPr>
        <w:pStyle w:val="FootnoteText"/>
        <w:ind w:left="567" w:hanging="567"/>
        <w:rPr>
          <w:lang w:val="en-GB"/>
        </w:rPr>
      </w:pPr>
      <w:r w:rsidRPr="00D13202">
        <w:rPr>
          <w:rStyle w:val="FootnoteReference"/>
          <w:lang w:val="en-GB"/>
        </w:rPr>
        <w:t>*</w:t>
      </w:r>
      <w:r w:rsidRPr="00D13202">
        <w:rPr>
          <w:lang w:val="en-GB"/>
        </w:rPr>
        <w:t xml:space="preserve"> </w:t>
      </w:r>
      <w:r w:rsidRPr="00D13202">
        <w:rPr>
          <w:lang w:val="en-GB"/>
        </w:rPr>
        <w:tab/>
      </w:r>
      <w:r w:rsidRPr="007D566F">
        <w:rPr>
          <w:lang w:val="en-GB"/>
        </w:rPr>
        <w:t xml:space="preserve">Il-bidliet fit-test kollu jirriżultaw mill-adozzjoni tal-emenda 1. It-test ġdid </w:t>
      </w:r>
      <w:proofErr w:type="gramStart"/>
      <w:r w:rsidRPr="007D566F">
        <w:rPr>
          <w:lang w:val="en-GB"/>
        </w:rPr>
        <w:t>jew</w:t>
      </w:r>
      <w:proofErr w:type="gramEnd"/>
      <w:r w:rsidRPr="007D566F">
        <w:rPr>
          <w:lang w:val="en-GB"/>
        </w:rPr>
        <w:t xml:space="preserve"> modifikat huwa indikat permezz tat-tipa korsiva u grassa; it-tħassir huwa indikat permezz tas-simbolu ▌.</w:t>
      </w:r>
    </w:p>
  </w:footnote>
  <w:footnote w:id="2">
    <w:p w:rsidR="002B334C" w:rsidRPr="00B16B6F" w:rsidRDefault="002B334C" w:rsidP="00105621">
      <w:pPr>
        <w:pStyle w:val="FootnoteText"/>
        <w:ind w:left="567" w:hanging="567"/>
        <w:rPr>
          <w:sz w:val="24"/>
          <w:lang w:val="mt-MT"/>
        </w:rPr>
      </w:pPr>
      <w:r w:rsidRPr="00B16B6F">
        <w:rPr>
          <w:rStyle w:val="FootnoteReference"/>
          <w:sz w:val="24"/>
          <w:lang w:val="mt-MT"/>
        </w:rPr>
        <w:footnoteRef/>
      </w:r>
      <w:r w:rsidR="00105621" w:rsidRPr="00B16B6F">
        <w:rPr>
          <w:sz w:val="24"/>
          <w:lang w:val="mt-MT"/>
        </w:rPr>
        <w:t xml:space="preserve"> </w:t>
      </w:r>
      <w:r w:rsidR="00105621" w:rsidRPr="00B16B6F">
        <w:rPr>
          <w:sz w:val="24"/>
          <w:lang w:val="mt-MT"/>
        </w:rPr>
        <w:tab/>
      </w:r>
      <w:r w:rsidRPr="00B16B6F">
        <w:rPr>
          <w:sz w:val="24"/>
          <w:lang w:val="mt-MT"/>
        </w:rPr>
        <w:t>ĠU C , , p. .</w:t>
      </w:r>
    </w:p>
  </w:footnote>
  <w:footnote w:id="3">
    <w:p w:rsidR="002B334C" w:rsidRPr="00B16B6F" w:rsidRDefault="002B334C" w:rsidP="00105621">
      <w:pPr>
        <w:pStyle w:val="FootnoteText"/>
        <w:ind w:left="567" w:hanging="567"/>
        <w:rPr>
          <w:sz w:val="24"/>
          <w:lang w:val="mt-MT"/>
        </w:rPr>
      </w:pPr>
      <w:r w:rsidRPr="00B16B6F">
        <w:rPr>
          <w:rStyle w:val="FootnoteReference"/>
          <w:sz w:val="24"/>
          <w:lang w:val="mt-MT"/>
        </w:rPr>
        <w:footnoteRef/>
      </w:r>
      <w:r w:rsidR="00105621" w:rsidRPr="00B16B6F">
        <w:rPr>
          <w:sz w:val="24"/>
          <w:lang w:val="mt-MT"/>
        </w:rPr>
        <w:t xml:space="preserve"> </w:t>
      </w:r>
      <w:r w:rsidR="00105621" w:rsidRPr="00B16B6F">
        <w:rPr>
          <w:sz w:val="24"/>
          <w:lang w:val="mt-MT"/>
        </w:rPr>
        <w:tab/>
      </w:r>
      <w:r w:rsidRPr="00B16B6F">
        <w:rPr>
          <w:sz w:val="24"/>
          <w:lang w:val="mt-MT"/>
        </w:rPr>
        <w:t>ĠU C , , p. .</w:t>
      </w:r>
    </w:p>
  </w:footnote>
  <w:footnote w:id="4">
    <w:p w:rsidR="002B334C" w:rsidRPr="00B16B6F" w:rsidRDefault="002B334C" w:rsidP="00105621">
      <w:pPr>
        <w:pStyle w:val="FootnoteText"/>
        <w:ind w:left="567" w:hanging="567"/>
        <w:rPr>
          <w:sz w:val="24"/>
          <w:lang w:val="mt-MT"/>
        </w:rPr>
      </w:pPr>
      <w:r w:rsidRPr="00B16B6F">
        <w:rPr>
          <w:rStyle w:val="FootnoteReference"/>
          <w:sz w:val="24"/>
          <w:lang w:val="mt-MT"/>
        </w:rPr>
        <w:footnoteRef/>
      </w:r>
      <w:r w:rsidR="00105621" w:rsidRPr="00B16B6F">
        <w:rPr>
          <w:sz w:val="24"/>
          <w:lang w:val="mt-MT"/>
        </w:rPr>
        <w:t xml:space="preserve"> </w:t>
      </w:r>
      <w:r w:rsidR="00105621" w:rsidRPr="00B16B6F">
        <w:rPr>
          <w:sz w:val="24"/>
          <w:lang w:val="mt-MT"/>
        </w:rPr>
        <w:tab/>
      </w:r>
      <w:r w:rsidRPr="00B16B6F">
        <w:rPr>
          <w:sz w:val="24"/>
          <w:lang w:val="mt-MT"/>
        </w:rPr>
        <w:t>ĠU C , , p. .</w:t>
      </w:r>
    </w:p>
  </w:footnote>
  <w:footnote w:id="5">
    <w:p w:rsidR="002B334C" w:rsidRPr="00B16B6F" w:rsidRDefault="002B334C" w:rsidP="00105621">
      <w:pPr>
        <w:pStyle w:val="FootnoteText"/>
        <w:ind w:left="567" w:hanging="567"/>
        <w:rPr>
          <w:sz w:val="24"/>
          <w:lang w:val="mt-MT"/>
        </w:rPr>
      </w:pPr>
      <w:r w:rsidRPr="00B16B6F">
        <w:rPr>
          <w:rStyle w:val="FootnoteReference"/>
          <w:sz w:val="24"/>
          <w:lang w:val="mt-MT"/>
        </w:rPr>
        <w:footnoteRef/>
      </w:r>
      <w:r w:rsidR="00105621" w:rsidRPr="00B16B6F">
        <w:rPr>
          <w:sz w:val="24"/>
          <w:lang w:val="mt-MT"/>
        </w:rPr>
        <w:t xml:space="preserve"> </w:t>
      </w:r>
      <w:r w:rsidR="00105621" w:rsidRPr="00B16B6F">
        <w:rPr>
          <w:sz w:val="24"/>
          <w:lang w:val="mt-MT"/>
        </w:rPr>
        <w:tab/>
      </w:r>
      <w:r w:rsidRPr="00B16B6F">
        <w:rPr>
          <w:sz w:val="24"/>
          <w:lang w:val="mt-MT"/>
        </w:rPr>
        <w:t>Ir-Regolament (UE) 2016/1011 tal-Parlament Ewropew u tal-Kunsill tat-8 ta’ Ġunju 2016 dwar l-indiċi użati bħala parametri referenzjarji fi strumenti finanzjarji u kuntratti finanzjarji jew dwar il-kejl tal-prestazzjoni ta’ fondi ta’ investiment u li jemenda d-Direttivi 2008/48/KE u 2014/17/UE u r-Regolament (UE) Nru 596/2014 (ĠU L 171, 29.6.2016, p. 1).</w:t>
      </w:r>
    </w:p>
  </w:footnote>
  <w:footnote w:id="6">
    <w:p w:rsidR="002B334C" w:rsidRPr="00105621" w:rsidRDefault="002B334C" w:rsidP="00105621">
      <w:pPr>
        <w:pStyle w:val="FootnoteText"/>
        <w:ind w:left="567" w:hanging="567"/>
        <w:rPr>
          <w:sz w:val="24"/>
          <w:lang w:val="mt-MT"/>
        </w:rPr>
      </w:pPr>
      <w:r w:rsidRPr="00B16B6F">
        <w:rPr>
          <w:rStyle w:val="FootnoteReference"/>
          <w:sz w:val="24"/>
          <w:lang w:val="mt-MT"/>
        </w:rPr>
        <w:footnoteRef/>
      </w:r>
      <w:r w:rsidR="00105621" w:rsidRPr="00B16B6F">
        <w:rPr>
          <w:sz w:val="24"/>
          <w:lang w:val="mt-MT"/>
        </w:rPr>
        <w:t xml:space="preserve"> </w:t>
      </w:r>
      <w:r w:rsidR="00105621" w:rsidRPr="00B16B6F">
        <w:rPr>
          <w:sz w:val="24"/>
          <w:lang w:val="mt-MT"/>
        </w:rPr>
        <w:tab/>
      </w:r>
      <w:r w:rsidRPr="00B16B6F">
        <w:rPr>
          <w:sz w:val="24"/>
          <w:lang w:val="mt-MT"/>
        </w:rPr>
        <w:t>Ir-Regolament (UE) Nru 1095/2010 tal-Parlament Ewropew u tal-Kunsill tal-24 ta’ Novembru 2010 li jistabbilixxi Awtorità Superviżorja Ewropea (Awtorità Ewropea tat-Titoli u s-Swieq) u li jemenda d-Deċiżjoni Nru 716/2009/KE u jħassar id-Deċiżjoni tal-Kummissjoni 2009/77/KE (ĠU L 331, 15.12.2010,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6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6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6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MT"/>
    <w:docVar w:name="dvnumam" w:val="0"/>
    <w:docVar w:name="dvpe" w:val="757.977"/>
    <w:docVar w:name="dvrapporteur" w:val="Rapporteur: "/>
    <w:docVar w:name="dvstar" w:val="***I"/>
    <w:docVar w:name="dvtitre" w:val="Riżoluzzjoni leġiżlattiva tal-Parlament Ewropew dwar il-proposta għal regolament tal-Parlament Ewropew u tal-Kunsill li jemenda r-Regolament (UE) 2016/1011 fir-rigward tal-ambitu tar-regoli għall-parametri referenzjarji, l-użu fl-Unjoni ta’ parametri referenzjarji pprovduti minn amministratur li jinsab f’pajjiż terz, u ċerti rekwiżiti ta’ rapportar(COM(2023)0660 – C9-0389/2023 – 2023/0379(COD))"/>
  </w:docVars>
  <w:rsids>
    <w:rsidRoot w:val="004133B3"/>
    <w:rsid w:val="00002272"/>
    <w:rsid w:val="00064002"/>
    <w:rsid w:val="000677B9"/>
    <w:rsid w:val="000831BA"/>
    <w:rsid w:val="000A42CC"/>
    <w:rsid w:val="000E7DD9"/>
    <w:rsid w:val="0010095E"/>
    <w:rsid w:val="00105621"/>
    <w:rsid w:val="00125B37"/>
    <w:rsid w:val="00187494"/>
    <w:rsid w:val="001F32AE"/>
    <w:rsid w:val="002767FF"/>
    <w:rsid w:val="002B18FE"/>
    <w:rsid w:val="002B334C"/>
    <w:rsid w:val="002B5493"/>
    <w:rsid w:val="00343214"/>
    <w:rsid w:val="00361C00"/>
    <w:rsid w:val="00395FA1"/>
    <w:rsid w:val="003E15D4"/>
    <w:rsid w:val="003F6A42"/>
    <w:rsid w:val="00411CCE"/>
    <w:rsid w:val="004133B3"/>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066B"/>
    <w:rsid w:val="006F74FA"/>
    <w:rsid w:val="00731ADD"/>
    <w:rsid w:val="00734777"/>
    <w:rsid w:val="00747932"/>
    <w:rsid w:val="0075183E"/>
    <w:rsid w:val="00751A4A"/>
    <w:rsid w:val="00756632"/>
    <w:rsid w:val="00762C74"/>
    <w:rsid w:val="00786EC0"/>
    <w:rsid w:val="007D1690"/>
    <w:rsid w:val="007D566F"/>
    <w:rsid w:val="007E22AD"/>
    <w:rsid w:val="00817416"/>
    <w:rsid w:val="0083016B"/>
    <w:rsid w:val="00842779"/>
    <w:rsid w:val="00865F67"/>
    <w:rsid w:val="00881A7B"/>
    <w:rsid w:val="008840E5"/>
    <w:rsid w:val="00887B3E"/>
    <w:rsid w:val="008C2AC6"/>
    <w:rsid w:val="00930C23"/>
    <w:rsid w:val="0093193B"/>
    <w:rsid w:val="009509D8"/>
    <w:rsid w:val="00950B64"/>
    <w:rsid w:val="00981893"/>
    <w:rsid w:val="009B46BD"/>
    <w:rsid w:val="00A065A1"/>
    <w:rsid w:val="00A1687D"/>
    <w:rsid w:val="00A43E52"/>
    <w:rsid w:val="00A4678D"/>
    <w:rsid w:val="00A778C7"/>
    <w:rsid w:val="00AB441E"/>
    <w:rsid w:val="00AB6293"/>
    <w:rsid w:val="00AE0928"/>
    <w:rsid w:val="00AF3B82"/>
    <w:rsid w:val="00B12E95"/>
    <w:rsid w:val="00B16B6F"/>
    <w:rsid w:val="00B22876"/>
    <w:rsid w:val="00B558F0"/>
    <w:rsid w:val="00BD48FE"/>
    <w:rsid w:val="00BD7BD8"/>
    <w:rsid w:val="00BE25EA"/>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45AD4"/>
  <w15:chartTrackingRefBased/>
  <w15:docId w15:val="{468C88CD-12D7-48A8-9DA0-1C7B2648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334C"/>
    <w:pPr>
      <w:spacing w:before="480" w:after="240"/>
    </w:pPr>
  </w:style>
  <w:style w:type="paragraph" w:customStyle="1" w:styleId="NormalHanging12a">
    <w:name w:val="NormalHanging12a"/>
    <w:basedOn w:val="Normal"/>
    <w:rsid w:val="002B334C"/>
    <w:pPr>
      <w:spacing w:after="240"/>
      <w:ind w:left="567" w:hanging="567"/>
    </w:pPr>
  </w:style>
  <w:style w:type="paragraph" w:customStyle="1" w:styleId="NormalCenter12a">
    <w:name w:val="NormalCenter12a"/>
    <w:basedOn w:val="Normal"/>
    <w:rsid w:val="002B334C"/>
    <w:pPr>
      <w:spacing w:after="240"/>
      <w:jc w:val="center"/>
    </w:pPr>
  </w:style>
  <w:style w:type="paragraph" w:customStyle="1" w:styleId="AmNumberTabs">
    <w:name w:val="AmNumberTabs"/>
    <w:basedOn w:val="Normal"/>
    <w:rsid w:val="002B33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B334C"/>
    <w:pPr>
      <w:spacing w:before="720" w:after="240"/>
      <w:jc w:val="center"/>
    </w:pPr>
  </w:style>
  <w:style w:type="paragraph" w:customStyle="1" w:styleId="Text1">
    <w:name w:val="Text 1"/>
    <w:basedOn w:val="Normal"/>
    <w:rsid w:val="002B334C"/>
    <w:pPr>
      <w:widowControl/>
      <w:spacing w:before="120" w:after="120"/>
      <w:ind w:left="850"/>
      <w:jc w:val="both"/>
    </w:pPr>
    <w:rPr>
      <w:rFonts w:eastAsiaTheme="minorHAnsi"/>
      <w:szCs w:val="22"/>
      <w:lang w:eastAsia="en-US"/>
    </w:rPr>
  </w:style>
  <w:style w:type="paragraph" w:customStyle="1" w:styleId="Text2">
    <w:name w:val="Text 2"/>
    <w:basedOn w:val="Normal"/>
    <w:rsid w:val="002B334C"/>
    <w:pPr>
      <w:widowControl/>
      <w:spacing w:before="120" w:after="120"/>
      <w:ind w:left="1417"/>
      <w:jc w:val="both"/>
    </w:pPr>
    <w:rPr>
      <w:rFonts w:eastAsiaTheme="minorHAnsi"/>
      <w:szCs w:val="22"/>
      <w:lang w:eastAsia="en-US"/>
    </w:rPr>
  </w:style>
  <w:style w:type="paragraph" w:customStyle="1" w:styleId="Point0">
    <w:name w:val="Point 0"/>
    <w:basedOn w:val="Normal"/>
    <w:rsid w:val="002B334C"/>
    <w:pPr>
      <w:widowControl/>
      <w:spacing w:before="120" w:after="120"/>
      <w:ind w:left="850" w:hanging="850"/>
      <w:jc w:val="both"/>
    </w:pPr>
    <w:rPr>
      <w:rFonts w:eastAsiaTheme="minorHAnsi"/>
      <w:szCs w:val="22"/>
      <w:lang w:eastAsia="en-US"/>
    </w:rPr>
  </w:style>
  <w:style w:type="paragraph" w:customStyle="1" w:styleId="Point1">
    <w:name w:val="Point 1"/>
    <w:basedOn w:val="Normal"/>
    <w:rsid w:val="002B334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B334C"/>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2B334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B334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B334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B334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2B334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B334C"/>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2B334C"/>
    <w:pPr>
      <w:widowControl/>
      <w:ind w:left="5103"/>
    </w:pPr>
    <w:rPr>
      <w:rFonts w:eastAsiaTheme="minorHAnsi"/>
      <w:szCs w:val="22"/>
      <w:lang w:eastAsia="en-US"/>
    </w:rPr>
  </w:style>
  <w:style w:type="paragraph" w:customStyle="1" w:styleId="Statut">
    <w:name w:val="Statut"/>
    <w:basedOn w:val="Normal"/>
    <w:next w:val="Typedudocument"/>
    <w:rsid w:val="002B334C"/>
    <w:pPr>
      <w:widowControl/>
      <w:spacing w:before="360"/>
      <w:jc w:val="center"/>
    </w:pPr>
    <w:rPr>
      <w:rFonts w:eastAsiaTheme="minorHAnsi"/>
      <w:szCs w:val="22"/>
      <w:lang w:eastAsia="en-US"/>
    </w:rPr>
  </w:style>
  <w:style w:type="paragraph" w:customStyle="1" w:styleId="Titrearticle">
    <w:name w:val="Titre article"/>
    <w:basedOn w:val="Normal"/>
    <w:next w:val="Normal"/>
    <w:rsid w:val="002B334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B334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B334C"/>
    <w:pPr>
      <w:widowControl/>
      <w:spacing w:before="360"/>
      <w:jc w:val="center"/>
    </w:pPr>
    <w:rPr>
      <w:rFonts w:eastAsiaTheme="minorHAnsi"/>
      <w:b/>
      <w:szCs w:val="22"/>
      <w:lang w:eastAsia="en-US"/>
    </w:rPr>
  </w:style>
  <w:style w:type="paragraph" w:customStyle="1" w:styleId="IntrtEEE">
    <w:name w:val="Intérêt EEE"/>
    <w:basedOn w:val="Normal"/>
    <w:next w:val="Normal"/>
    <w:rsid w:val="002B334C"/>
    <w:pPr>
      <w:widowControl/>
      <w:spacing w:before="360" w:after="240"/>
      <w:jc w:val="center"/>
    </w:pPr>
    <w:rPr>
      <w:rFonts w:eastAsiaTheme="minorHAnsi"/>
      <w:szCs w:val="22"/>
      <w:lang w:eastAsia="en-US"/>
    </w:rPr>
  </w:style>
  <w:style w:type="paragraph" w:customStyle="1" w:styleId="NormalBold">
    <w:name w:val="NormalBold"/>
    <w:basedOn w:val="Normal"/>
    <w:link w:val="NormalBoldChar"/>
    <w:rsid w:val="00A065A1"/>
    <w:rPr>
      <w:b/>
    </w:rPr>
  </w:style>
  <w:style w:type="character" w:customStyle="1" w:styleId="NormalBoldChar">
    <w:name w:val="NormalBold Char"/>
    <w:basedOn w:val="DefaultParagraphFont"/>
    <w:link w:val="NormalBold"/>
    <w:locked/>
    <w:rsid w:val="00A065A1"/>
    <w:rPr>
      <w:b/>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8B4FD-2F13-4F95-B0C3-CEFE3B6A7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8533</Words>
  <Characters>63266</Characters>
  <Application>Microsoft Office Word</Application>
  <DocSecurity>0</DocSecurity>
  <Lines>527</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LUKSITE Marija</cp:lastModifiedBy>
  <cp:revision>2</cp:revision>
  <cp:lastPrinted>2004-11-19T15:42:00Z</cp:lastPrinted>
  <dcterms:created xsi:type="dcterms:W3CDTF">2024-10-17T09:41:00Z</dcterms:created>
  <dcterms:modified xsi:type="dcterms:W3CDTF">2024-10-17T09:41:00Z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A9-0076/2024</vt:lpwstr>
  </property>
  <property fmtid="{D5CDD505-2E9C-101B-9397-08002B2CF9AE}" pid="4" name="&lt;Type&gt;">
    <vt:lpwstr>RR</vt:lpwstr>
  </property>
</Properties>
</file>