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1C9B" w14:paraId="5BBD8A5B" w14:textId="77777777" w:rsidTr="0010095E">
        <w:trPr>
          <w:trHeight w:hRule="exact" w:val="1418"/>
        </w:trPr>
        <w:tc>
          <w:tcPr>
            <w:tcW w:w="6804" w:type="dxa"/>
            <w:shd w:val="clear" w:color="auto" w:fill="auto"/>
            <w:vAlign w:val="center"/>
          </w:tcPr>
          <w:p w14:paraId="5552BCBA" w14:textId="77777777" w:rsidR="00751A4A" w:rsidRPr="00921C9B" w:rsidRDefault="003345CB" w:rsidP="0010095E">
            <w:pPr>
              <w:pStyle w:val="EPName"/>
            </w:pPr>
            <w:r w:rsidRPr="00921C9B">
              <w:t>Европейски</w:t>
            </w:r>
            <w:r w:rsidR="008F3A8D" w:rsidRPr="00921C9B">
              <w:t xml:space="preserve"> парламент</w:t>
            </w:r>
          </w:p>
          <w:p w14:paraId="621EFDD7" w14:textId="77777777" w:rsidR="00751A4A" w:rsidRPr="00921C9B" w:rsidRDefault="00817416" w:rsidP="00756632">
            <w:pPr>
              <w:pStyle w:val="EPTerm"/>
              <w:rPr>
                <w:rStyle w:val="HideTWBExt"/>
                <w:noProof w:val="0"/>
                <w:vanish w:val="0"/>
                <w:color w:val="auto"/>
              </w:rPr>
            </w:pPr>
            <w:r w:rsidRPr="00921C9B">
              <w:t>2019</w:t>
            </w:r>
            <w:r w:rsidR="003345CB" w:rsidRPr="00921C9B">
              <w:t> – </w:t>
            </w:r>
            <w:r w:rsidRPr="00921C9B">
              <w:t>2024</w:t>
            </w:r>
          </w:p>
        </w:tc>
        <w:tc>
          <w:tcPr>
            <w:tcW w:w="2268" w:type="dxa"/>
            <w:shd w:val="clear" w:color="auto" w:fill="auto"/>
          </w:tcPr>
          <w:p w14:paraId="59FD0BE1" w14:textId="77777777" w:rsidR="00751A4A" w:rsidRPr="00921C9B" w:rsidRDefault="00187494" w:rsidP="0010095E">
            <w:pPr>
              <w:pStyle w:val="EPLogo"/>
            </w:pPr>
            <w:r w:rsidRPr="00921C9B">
              <w:rPr>
                <w:noProof/>
                <w:lang w:val="en-GB"/>
              </w:rPr>
              <w:drawing>
                <wp:inline distT="0" distB="0" distL="0" distR="0" wp14:anchorId="38564341" wp14:editId="605EED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71BA2D" w14:textId="77777777" w:rsidR="00D058B8" w:rsidRPr="00921C9B" w:rsidRDefault="00D058B8" w:rsidP="004C5D52">
      <w:pPr>
        <w:pStyle w:val="LineTop"/>
      </w:pPr>
    </w:p>
    <w:p w14:paraId="53000027" w14:textId="77777777" w:rsidR="00680577" w:rsidRPr="00921C9B" w:rsidRDefault="008F3A8D" w:rsidP="00680577">
      <w:pPr>
        <w:pStyle w:val="EPBodyTA1"/>
      </w:pPr>
      <w:r w:rsidRPr="00921C9B">
        <w:t>ПРИЕТИ ТЕКСТОВЕ</w:t>
      </w:r>
    </w:p>
    <w:p w14:paraId="4212ADA9" w14:textId="77777777" w:rsidR="00D058B8" w:rsidRPr="00921C9B" w:rsidRDefault="00D058B8" w:rsidP="00D058B8">
      <w:pPr>
        <w:pStyle w:val="LineBottom"/>
      </w:pPr>
    </w:p>
    <w:p w14:paraId="619D0FE6" w14:textId="4D2F8689" w:rsidR="008F3A8D" w:rsidRPr="00921C9B" w:rsidRDefault="008F3A8D" w:rsidP="008F3A8D">
      <w:pPr>
        <w:pStyle w:val="ATHeading1"/>
      </w:pPr>
      <w:bookmarkStart w:id="0" w:name="TANumber"/>
      <w:r w:rsidRPr="00921C9B">
        <w:t>P9_TA(2024)0</w:t>
      </w:r>
      <w:r w:rsidR="0091249B" w:rsidRPr="00921C9B">
        <w:t>358</w:t>
      </w:r>
      <w:bookmarkEnd w:id="0"/>
    </w:p>
    <w:p w14:paraId="6177CCC9" w14:textId="77777777" w:rsidR="008F3A8D" w:rsidRPr="00921C9B" w:rsidRDefault="008F3A8D" w:rsidP="008F3A8D">
      <w:pPr>
        <w:pStyle w:val="ATHeading2"/>
      </w:pPr>
      <w:bookmarkStart w:id="1" w:name="title"/>
      <w:r w:rsidRPr="00921C9B">
        <w:t>Замърсители на повърхностните и подземните води</w:t>
      </w:r>
      <w:bookmarkEnd w:id="1"/>
    </w:p>
    <w:p w14:paraId="4BF819E1" w14:textId="77777777" w:rsidR="008F3A8D" w:rsidRPr="00921C9B" w:rsidRDefault="008F3A8D" w:rsidP="008F3A8D">
      <w:pPr>
        <w:rPr>
          <w:i/>
          <w:vanish/>
        </w:rPr>
      </w:pPr>
      <w:r w:rsidRPr="00921C9B">
        <w:rPr>
          <w:i/>
        </w:rPr>
        <w:fldChar w:fldCharType="begin"/>
      </w:r>
      <w:r w:rsidRPr="00921C9B">
        <w:rPr>
          <w:i/>
        </w:rPr>
        <w:instrText xml:space="preserve"> TC"(</w:instrText>
      </w:r>
      <w:bookmarkStart w:id="2" w:name="DocNumber"/>
      <w:r w:rsidRPr="00921C9B">
        <w:rPr>
          <w:i/>
        </w:rPr>
        <w:instrText>A9-0238/2023</w:instrText>
      </w:r>
      <w:bookmarkEnd w:id="2"/>
      <w:r w:rsidRPr="00921C9B">
        <w:rPr>
          <w:i/>
        </w:rPr>
        <w:instrText xml:space="preserve"> - Докладчик: Милан Бръглез)"\l3 \n&gt; \* MERGEFORMAT </w:instrText>
      </w:r>
      <w:r w:rsidRPr="00921C9B">
        <w:rPr>
          <w:i/>
        </w:rPr>
        <w:fldChar w:fldCharType="end"/>
      </w:r>
    </w:p>
    <w:p w14:paraId="0805A4EF" w14:textId="77777777" w:rsidR="008F3A8D" w:rsidRPr="00921C9B" w:rsidRDefault="008F3A8D" w:rsidP="008F3A8D">
      <w:pPr>
        <w:rPr>
          <w:vanish/>
        </w:rPr>
      </w:pPr>
      <w:bookmarkStart w:id="3" w:name="Commission"/>
      <w:r w:rsidRPr="00921C9B">
        <w:rPr>
          <w:vanish/>
        </w:rPr>
        <w:t>Комисия по околна среда, обществено здраве и безопасност на храните</w:t>
      </w:r>
      <w:bookmarkEnd w:id="3"/>
    </w:p>
    <w:p w14:paraId="5B951048" w14:textId="77777777" w:rsidR="008F3A8D" w:rsidRPr="00921C9B" w:rsidRDefault="008F3A8D" w:rsidP="008F3A8D">
      <w:pPr>
        <w:rPr>
          <w:vanish/>
        </w:rPr>
      </w:pPr>
      <w:bookmarkStart w:id="4" w:name="PE"/>
      <w:r w:rsidRPr="00921C9B">
        <w:rPr>
          <w:vanish/>
        </w:rPr>
        <w:t>PE740.884</w:t>
      </w:r>
      <w:bookmarkEnd w:id="4"/>
    </w:p>
    <w:p w14:paraId="009E817D" w14:textId="19D9C2A2" w:rsidR="008F3A8D" w:rsidRPr="00921C9B" w:rsidRDefault="008F3A8D" w:rsidP="008F3A8D">
      <w:pPr>
        <w:pStyle w:val="ATHeading3"/>
      </w:pPr>
      <w:bookmarkStart w:id="5" w:name="Sujet"/>
      <w:r w:rsidRPr="00921C9B">
        <w:t xml:space="preserve">Законодателна резолюция на Европейския парламент от </w:t>
      </w:r>
      <w:r w:rsidR="004B59D2" w:rsidRPr="00921C9B">
        <w:t>2</w:t>
      </w:r>
      <w:r w:rsidR="0091249B" w:rsidRPr="00921C9B">
        <w:t>4</w:t>
      </w:r>
      <w:r w:rsidRPr="00921C9B">
        <w:t xml:space="preserve"> </w:t>
      </w:r>
      <w:r w:rsidR="003345CB" w:rsidRPr="00921C9B">
        <w:t xml:space="preserve">април </w:t>
      </w:r>
      <w:r w:rsidRPr="00921C9B">
        <w:t>2024 г. относно предложението за директива на Европейския парламент и на Съвета за изменение на Директива 2000/60/ЕО за установяване на рамка за действията на Общността в областта на политиката за водите, Директива 2006/118/ЕО за опазване на подземните води от замърсяване и влошаване на състоянието им и Директива 2008/105/ЕО за определяне на стандарти за качество на околната среда в областта на политиката за водите</w:t>
      </w:r>
      <w:bookmarkEnd w:id="5"/>
      <w:r w:rsidRPr="00921C9B">
        <w:t xml:space="preserve"> </w:t>
      </w:r>
      <w:bookmarkStart w:id="6" w:name="References"/>
      <w:r w:rsidRPr="00921C9B">
        <w:t>(COM(2022)0540 – C9-0361/2022 – 2022/0344(COD))</w:t>
      </w:r>
      <w:bookmarkEnd w:id="6"/>
    </w:p>
    <w:p w14:paraId="5DA45768" w14:textId="77777777" w:rsidR="006B6B15" w:rsidRPr="00921C9B" w:rsidRDefault="006B6B15" w:rsidP="006B6B15">
      <w:pPr>
        <w:pStyle w:val="NormalBold"/>
      </w:pPr>
      <w:bookmarkStart w:id="7" w:name="TextBodyBegin"/>
      <w:bookmarkEnd w:id="7"/>
      <w:r w:rsidRPr="00921C9B">
        <w:t>(Обикновена законодателна процедура: първо четене)</w:t>
      </w:r>
    </w:p>
    <w:p w14:paraId="04BA278C" w14:textId="77777777" w:rsidR="006B6B15" w:rsidRPr="00921C9B" w:rsidRDefault="006B6B15" w:rsidP="006B6B15">
      <w:pPr>
        <w:pStyle w:val="EPComma"/>
      </w:pPr>
      <w:r w:rsidRPr="00921C9B">
        <w:rPr>
          <w:i/>
        </w:rPr>
        <w:t>Европейският парламент</w:t>
      </w:r>
      <w:r w:rsidRPr="00921C9B">
        <w:t>,</w:t>
      </w:r>
    </w:p>
    <w:p w14:paraId="748BD583" w14:textId="33CD1347" w:rsidR="006B6B15" w:rsidRPr="00921C9B" w:rsidRDefault="006B6B15" w:rsidP="003345CB">
      <w:pPr>
        <w:pStyle w:val="NormalHanging12a"/>
      </w:pPr>
      <w:r w:rsidRPr="00921C9B">
        <w:t>–</w:t>
      </w:r>
      <w:r w:rsidRPr="00921C9B">
        <w:tab/>
        <w:t xml:space="preserve">като взе предвид предложението на Комисията до </w:t>
      </w:r>
      <w:r w:rsidR="003345CB" w:rsidRPr="00921C9B">
        <w:t>П</w:t>
      </w:r>
      <w:r w:rsidRPr="00921C9B">
        <w:t>арламент</w:t>
      </w:r>
      <w:r w:rsidR="003345CB" w:rsidRPr="00921C9B">
        <w:t>а</w:t>
      </w:r>
      <w:r w:rsidRPr="00921C9B">
        <w:t xml:space="preserve"> и до Съвета (COM(2022)0540),</w:t>
      </w:r>
    </w:p>
    <w:p w14:paraId="338AF083" w14:textId="5D6956D8" w:rsidR="006B6B15" w:rsidRPr="00921C9B" w:rsidRDefault="006B6B15" w:rsidP="006B6B15">
      <w:pPr>
        <w:pStyle w:val="NormalHanging12a"/>
      </w:pPr>
      <w:r w:rsidRPr="00921C9B">
        <w:t>–</w:t>
      </w:r>
      <w:r w:rsidRPr="00921C9B">
        <w:tab/>
        <w:t>като взе предвид член 294, параграф 2 и член </w:t>
      </w:r>
      <w:r w:rsidR="004B59D2" w:rsidRPr="00921C9B">
        <w:t>192, параграф 1</w:t>
      </w:r>
      <w:r w:rsidRPr="00921C9B">
        <w:t xml:space="preserve"> от Договора за функционирането на Европейския съюз, съгласно които Комисията е внесла предложението в Парламента (C9</w:t>
      </w:r>
      <w:r w:rsidRPr="00921C9B">
        <w:noBreakHyphen/>
        <w:t>0361/2022),</w:t>
      </w:r>
    </w:p>
    <w:p w14:paraId="7439970C" w14:textId="77777777" w:rsidR="006B6B15" w:rsidRPr="00921C9B" w:rsidRDefault="006B6B15" w:rsidP="006B6B15">
      <w:pPr>
        <w:pStyle w:val="NormalHanging12a"/>
      </w:pPr>
      <w:r w:rsidRPr="00921C9B">
        <w:t>–</w:t>
      </w:r>
      <w:r w:rsidRPr="00921C9B">
        <w:tab/>
        <w:t>като взе предвид член 294, параграф 3 от Договора за функционирането на Европейския съюз,</w:t>
      </w:r>
    </w:p>
    <w:p w14:paraId="60648FCF" w14:textId="2D358452" w:rsidR="006B6B15" w:rsidRPr="00921C9B" w:rsidRDefault="006B6B15" w:rsidP="004B59D2">
      <w:pPr>
        <w:pStyle w:val="NormalHanging12a"/>
      </w:pPr>
      <w:r w:rsidRPr="00921C9B">
        <w:t>–</w:t>
      </w:r>
      <w:r w:rsidRPr="00921C9B">
        <w:tab/>
        <w:t xml:space="preserve">като взе предвид становището на Икономическия и социален комитет от </w:t>
      </w:r>
      <w:r w:rsidR="004B59D2" w:rsidRPr="00921C9B">
        <w:t>22 февруари 2023 г.</w:t>
      </w:r>
      <w:r w:rsidRPr="00921C9B">
        <w:rPr>
          <w:rStyle w:val="FootnoteReference"/>
        </w:rPr>
        <w:footnoteReference w:id="1"/>
      </w:r>
      <w:r w:rsidRPr="00921C9B">
        <w:t>,</w:t>
      </w:r>
    </w:p>
    <w:p w14:paraId="0CEDDA22" w14:textId="1C81D910" w:rsidR="006B6B15" w:rsidRPr="00921C9B" w:rsidRDefault="006B6B15" w:rsidP="004B59D2">
      <w:pPr>
        <w:pStyle w:val="NormalHanging12a"/>
      </w:pPr>
      <w:r w:rsidRPr="00921C9B">
        <w:t>–</w:t>
      </w:r>
      <w:r w:rsidRPr="00921C9B">
        <w:tab/>
      </w:r>
      <w:r w:rsidR="004B59D2" w:rsidRPr="00921C9B">
        <w:t>след консултация с</w:t>
      </w:r>
      <w:r w:rsidRPr="00921C9B">
        <w:t xml:space="preserve"> Комитета на регионите,</w:t>
      </w:r>
    </w:p>
    <w:p w14:paraId="1BD60D57" w14:textId="77777777" w:rsidR="006B6B15" w:rsidRPr="00921C9B" w:rsidRDefault="006B6B15" w:rsidP="006B6B15">
      <w:pPr>
        <w:pStyle w:val="NormalHanging12a"/>
      </w:pPr>
      <w:r w:rsidRPr="00921C9B">
        <w:t>–</w:t>
      </w:r>
      <w:r w:rsidRPr="00921C9B">
        <w:tab/>
        <w:t>като взе предвид член 59 от своя Правилник за дейността,</w:t>
      </w:r>
    </w:p>
    <w:p w14:paraId="7DCA84EA" w14:textId="77777777" w:rsidR="006B6B15" w:rsidRPr="00921C9B" w:rsidRDefault="006B6B15" w:rsidP="006B6B15">
      <w:pPr>
        <w:pStyle w:val="NormalHanging12a"/>
      </w:pPr>
      <w:r w:rsidRPr="00921C9B">
        <w:t>–</w:t>
      </w:r>
      <w:r w:rsidRPr="00921C9B">
        <w:tab/>
        <w:t>като взе предвид становищата на комисията по земеделие и развитие на селските райони, комисията по промишленост, изследвания и енергетика и на комисията по рибно стопанство,</w:t>
      </w:r>
    </w:p>
    <w:p w14:paraId="5D59FBB1" w14:textId="77777777" w:rsidR="006B6B15" w:rsidRPr="00921C9B" w:rsidRDefault="006B6B15" w:rsidP="006B6B15">
      <w:pPr>
        <w:pStyle w:val="NormalHanging12a"/>
      </w:pPr>
      <w:r w:rsidRPr="00921C9B">
        <w:t>–</w:t>
      </w:r>
      <w:r w:rsidRPr="00921C9B">
        <w:tab/>
        <w:t xml:space="preserve">като взе предвид доклада на комисията по околна среда, обществено здраве и </w:t>
      </w:r>
      <w:r w:rsidRPr="00921C9B">
        <w:lastRenderedPageBreak/>
        <w:t>безопасност на храните (A9</w:t>
      </w:r>
      <w:r w:rsidRPr="00921C9B">
        <w:noBreakHyphen/>
        <w:t>0238/2023),</w:t>
      </w:r>
    </w:p>
    <w:p w14:paraId="6019AAB6" w14:textId="77777777" w:rsidR="006B6B15" w:rsidRPr="00921C9B" w:rsidRDefault="006B6B15" w:rsidP="006B6B15">
      <w:pPr>
        <w:pStyle w:val="NormalHanging12a"/>
      </w:pPr>
      <w:r w:rsidRPr="00921C9B">
        <w:t>1.</w:t>
      </w:r>
      <w:r w:rsidRPr="00921C9B">
        <w:tab/>
        <w:t>приема изложената по-долу позиция на първо четене</w:t>
      </w:r>
      <w:r w:rsidR="004B59D2" w:rsidRPr="00921C9B">
        <w:rPr>
          <w:rStyle w:val="FootnoteReference"/>
        </w:rPr>
        <w:footnoteReference w:id="2"/>
      </w:r>
      <w:r w:rsidRPr="00921C9B">
        <w:t>;</w:t>
      </w:r>
    </w:p>
    <w:p w14:paraId="53B6FA28" w14:textId="3C710032" w:rsidR="006B6B15" w:rsidRPr="00921C9B" w:rsidRDefault="006B6B15" w:rsidP="006B6B15">
      <w:pPr>
        <w:pStyle w:val="NormalHanging12a"/>
      </w:pPr>
      <w:r w:rsidRPr="00921C9B">
        <w:t>2.</w:t>
      </w:r>
      <w:r w:rsidRPr="00921C9B">
        <w:tab/>
        <w:t>приканва Комисията да се отнесе до него отново, в случай че замени своето предложение с друг текст</w:t>
      </w:r>
      <w:r w:rsidR="003345CB" w:rsidRPr="00921C9B">
        <w:t>,</w:t>
      </w:r>
      <w:r w:rsidRPr="00921C9B">
        <w:t xml:space="preserve"> внесе или възнамерява да внесе съществени промени в това предложение;</w:t>
      </w:r>
    </w:p>
    <w:p w14:paraId="2DA7BBE8" w14:textId="77777777" w:rsidR="006B6B15" w:rsidRPr="00921C9B" w:rsidRDefault="006B6B15" w:rsidP="006B6B15">
      <w:pPr>
        <w:pStyle w:val="NormalHanging12a"/>
      </w:pPr>
      <w:r w:rsidRPr="00921C9B">
        <w:t>3.</w:t>
      </w:r>
      <w:r w:rsidRPr="00921C9B">
        <w:tab/>
        <w:t>възлага на своя председател да предаде позицията на Парламента съответно на Съвета и на Комисията, както и на националните парламенти.</w:t>
      </w:r>
    </w:p>
    <w:p w14:paraId="02DD0976" w14:textId="77777777" w:rsidR="000D29CC" w:rsidRPr="00921C9B" w:rsidRDefault="000D29CC" w:rsidP="000D29CC">
      <w:pPr>
        <w:pStyle w:val="Rfrenceinstitutionnelle"/>
        <w:rPr>
          <w:lang w:val="bg-BG"/>
        </w:rPr>
        <w:sectPr w:rsidR="000D29CC" w:rsidRPr="00921C9B">
          <w:footerReference w:type="even" r:id="rId9"/>
          <w:footerReference w:type="first" r:id="rId10"/>
          <w:footnotePr>
            <w:numRestart w:val="eachSect"/>
          </w:footnotePr>
          <w:pgSz w:w="11909" w:h="16834"/>
          <w:pgMar w:top="1134" w:right="1417" w:bottom="1417" w:left="1417" w:header="1134" w:footer="567" w:gutter="0"/>
          <w:cols w:space="720"/>
        </w:sectPr>
      </w:pPr>
    </w:p>
    <w:p w14:paraId="46726AB4" w14:textId="2E745D19" w:rsidR="00723523" w:rsidRPr="00921C9B" w:rsidRDefault="00723523" w:rsidP="00723523">
      <w:pPr>
        <w:autoSpaceDE w:val="0"/>
        <w:autoSpaceDN w:val="0"/>
        <w:adjustRightInd w:val="0"/>
        <w:spacing w:after="240" w:line="260" w:lineRule="exact"/>
        <w:ind w:left="567" w:hanging="567"/>
        <w:rPr>
          <w:rFonts w:eastAsia="Calibri"/>
          <w:b/>
          <w:bCs/>
          <w:color w:val="000000"/>
        </w:rPr>
      </w:pPr>
      <w:r w:rsidRPr="00921C9B">
        <w:rPr>
          <w:rFonts w:eastAsia="Calibri"/>
          <w:b/>
          <w:bCs/>
          <w:color w:val="000000"/>
        </w:rPr>
        <w:lastRenderedPageBreak/>
        <w:t>P9_TC1-COD(2022)0344</w:t>
      </w:r>
    </w:p>
    <w:p w14:paraId="6262B086" w14:textId="034E9465" w:rsidR="000D29CC" w:rsidRPr="00921C9B" w:rsidRDefault="00723523" w:rsidP="00723523">
      <w:pPr>
        <w:autoSpaceDE w:val="0"/>
        <w:autoSpaceDN w:val="0"/>
        <w:adjustRightInd w:val="0"/>
        <w:spacing w:after="240" w:line="260" w:lineRule="exact"/>
        <w:rPr>
          <w:b/>
          <w:szCs w:val="24"/>
          <w:lang w:eastAsia="en-US"/>
        </w:rPr>
      </w:pPr>
      <w:r w:rsidRPr="00921C9B">
        <w:rPr>
          <w:b/>
          <w:szCs w:val="24"/>
        </w:rPr>
        <w:t xml:space="preserve">Позиция на Европейския парламент, приета на първо четене на 24 април 2024 г. с оглед на приемането на Директива (ЕС) 2024/... на Европейския парламент и на Съвета </w:t>
      </w:r>
      <w:r w:rsidR="000D29CC" w:rsidRPr="00921C9B">
        <w:rPr>
          <w:b/>
          <w:szCs w:val="24"/>
          <w:lang w:eastAsia="en-US"/>
        </w:rPr>
        <w:t>за изменение на Директива 2000/60/ЕО за установяване на рамка за действията на Общността в областта на политиката за водите, Директива 2006/118/ЕО за опазване на подземните води от замърсяване и влошаване на състоянието им и Директива 2008/105/ЕО за определяне на стандарти за качество на околната среда в областта на политиката за водите</w:t>
      </w:r>
    </w:p>
    <w:p w14:paraId="7F1AF033" w14:textId="77777777" w:rsidR="000D29CC" w:rsidRPr="00921C9B" w:rsidRDefault="000D29CC" w:rsidP="000D29CC">
      <w:pPr>
        <w:widowControl/>
        <w:spacing w:before="360" w:after="240" w:line="360" w:lineRule="auto"/>
        <w:jc w:val="center"/>
        <w:rPr>
          <w:szCs w:val="24"/>
          <w:lang w:eastAsia="en-US"/>
        </w:rPr>
      </w:pPr>
      <w:r w:rsidRPr="00921C9B">
        <w:rPr>
          <w:szCs w:val="24"/>
          <w:lang w:eastAsia="en-US"/>
        </w:rPr>
        <w:t>(текст от значение за ЕИП)</w:t>
      </w:r>
    </w:p>
    <w:p w14:paraId="477DC778" w14:textId="77777777" w:rsidR="000D29CC" w:rsidRPr="00921C9B" w:rsidRDefault="000D29CC" w:rsidP="000D29CC">
      <w:pPr>
        <w:keepNext/>
        <w:spacing w:before="600" w:after="120" w:line="360" w:lineRule="auto"/>
        <w:rPr>
          <w:szCs w:val="24"/>
          <w:lang w:eastAsia="en-US"/>
        </w:rPr>
      </w:pPr>
      <w:r w:rsidRPr="00921C9B">
        <w:rPr>
          <w:szCs w:val="24"/>
          <w:lang w:eastAsia="en-US"/>
        </w:rPr>
        <w:t>ЕВРОПЕЙСКИЯТ ПАРЛАМЕНТ И СЪВЕТЪТ НА ЕВРОПЕЙСКИЯ СЪЮЗ,</w:t>
      </w:r>
    </w:p>
    <w:p w14:paraId="3F5A12A5" w14:textId="77777777" w:rsidR="000D29CC" w:rsidRPr="00921C9B" w:rsidRDefault="000D29CC" w:rsidP="000D29CC">
      <w:pPr>
        <w:spacing w:before="120" w:after="120" w:line="360" w:lineRule="auto"/>
        <w:rPr>
          <w:lang w:eastAsia="en-US"/>
        </w:rPr>
      </w:pPr>
      <w:r w:rsidRPr="00921C9B">
        <w:rPr>
          <w:lang w:eastAsia="en-US"/>
        </w:rPr>
        <w:t>като взеха предвид Договора за функционирането на Европейския съюз, и по-специално член 192, параграф 1 от него,</w:t>
      </w:r>
    </w:p>
    <w:p w14:paraId="7D8A2BCA" w14:textId="77777777" w:rsidR="000D29CC" w:rsidRPr="00921C9B" w:rsidRDefault="000D29CC" w:rsidP="000D29CC">
      <w:pPr>
        <w:spacing w:before="120" w:after="120" w:line="360" w:lineRule="auto"/>
        <w:rPr>
          <w:lang w:eastAsia="en-US"/>
        </w:rPr>
      </w:pPr>
      <w:r w:rsidRPr="00921C9B">
        <w:rPr>
          <w:lang w:eastAsia="en-US"/>
        </w:rPr>
        <w:t>като взеха предвид предложението на Европейската комисия,</w:t>
      </w:r>
    </w:p>
    <w:p w14:paraId="38BEDB25" w14:textId="77777777" w:rsidR="000D29CC" w:rsidRPr="00921C9B" w:rsidRDefault="000D29CC" w:rsidP="000D29CC">
      <w:pPr>
        <w:spacing w:before="120" w:after="120" w:line="360" w:lineRule="auto"/>
        <w:rPr>
          <w:lang w:eastAsia="en-US"/>
        </w:rPr>
      </w:pPr>
      <w:r w:rsidRPr="00921C9B">
        <w:rPr>
          <w:lang w:eastAsia="en-US"/>
        </w:rPr>
        <w:t>след предаване на проекта на законодателния акт на националните парламенти,</w:t>
      </w:r>
    </w:p>
    <w:p w14:paraId="0CE9F08A" w14:textId="77777777" w:rsidR="000D29CC" w:rsidRPr="00921C9B" w:rsidRDefault="000D29CC" w:rsidP="000D29CC">
      <w:pPr>
        <w:spacing w:before="120" w:after="120" w:line="360" w:lineRule="auto"/>
        <w:rPr>
          <w:lang w:eastAsia="en-US"/>
        </w:rPr>
      </w:pPr>
      <w:r w:rsidRPr="00921C9B">
        <w:rPr>
          <w:lang w:eastAsia="en-US"/>
        </w:rPr>
        <w:t>като взеха предвид становището на Европейския икономически и социален комитет</w:t>
      </w:r>
      <w:r w:rsidRPr="00921C9B">
        <w:rPr>
          <w:vertAlign w:val="superscript"/>
          <w:lang w:eastAsia="en-US"/>
        </w:rPr>
        <w:footnoteReference w:id="3"/>
      </w:r>
      <w:r w:rsidRPr="00921C9B">
        <w:rPr>
          <w:lang w:eastAsia="en-US"/>
        </w:rPr>
        <w:t>,</w:t>
      </w:r>
    </w:p>
    <w:p w14:paraId="05BD864C" w14:textId="77777777" w:rsidR="000D29CC" w:rsidRPr="00921C9B" w:rsidRDefault="000D29CC" w:rsidP="000D29CC">
      <w:pPr>
        <w:spacing w:before="120" w:after="120" w:line="360" w:lineRule="auto"/>
        <w:rPr>
          <w:lang w:eastAsia="en-US"/>
        </w:rPr>
      </w:pPr>
      <w:r w:rsidRPr="00921C9B">
        <w:rPr>
          <w:lang w:eastAsia="en-US"/>
        </w:rPr>
        <w:t>като взеха предвид становището на Комитета на регионите</w:t>
      </w:r>
      <w:r w:rsidRPr="00921C9B">
        <w:rPr>
          <w:vertAlign w:val="superscript"/>
          <w:lang w:eastAsia="en-US"/>
        </w:rPr>
        <w:footnoteReference w:id="4"/>
      </w:r>
      <w:r w:rsidRPr="00921C9B">
        <w:rPr>
          <w:lang w:eastAsia="en-US"/>
        </w:rPr>
        <w:t>,</w:t>
      </w:r>
    </w:p>
    <w:p w14:paraId="52D5D2DF" w14:textId="77777777" w:rsidR="000D29CC" w:rsidRPr="00921C9B" w:rsidRDefault="000D29CC" w:rsidP="000D29CC">
      <w:pPr>
        <w:spacing w:before="120" w:after="120" w:line="360" w:lineRule="auto"/>
        <w:rPr>
          <w:lang w:eastAsia="en-US"/>
        </w:rPr>
      </w:pPr>
      <w:r w:rsidRPr="00921C9B">
        <w:rPr>
          <w:lang w:eastAsia="en-US"/>
        </w:rPr>
        <w:t>в съответствие с обикновената законодателна процедура,</w:t>
      </w:r>
    </w:p>
    <w:p w14:paraId="1F9F21A4" w14:textId="77777777" w:rsidR="00723523" w:rsidRPr="00921C9B" w:rsidRDefault="00723523">
      <w:pPr>
        <w:widowControl/>
        <w:rPr>
          <w:lang w:eastAsia="en-US"/>
        </w:rPr>
      </w:pPr>
      <w:r w:rsidRPr="00921C9B">
        <w:rPr>
          <w:lang w:eastAsia="en-US"/>
        </w:rPr>
        <w:br w:type="page"/>
      </w:r>
    </w:p>
    <w:p w14:paraId="700796DE" w14:textId="789FA58E" w:rsidR="000D29CC" w:rsidRPr="00921C9B" w:rsidRDefault="000D29CC" w:rsidP="000D29CC">
      <w:pPr>
        <w:spacing w:before="120" w:after="120" w:line="360" w:lineRule="auto"/>
        <w:rPr>
          <w:lang w:eastAsia="en-US"/>
        </w:rPr>
      </w:pPr>
      <w:r w:rsidRPr="00921C9B">
        <w:rPr>
          <w:lang w:eastAsia="en-US"/>
        </w:rPr>
        <w:lastRenderedPageBreak/>
        <w:t>като имат предвид, че:</w:t>
      </w:r>
    </w:p>
    <w:p w14:paraId="6E33A507" w14:textId="6BCE9020" w:rsidR="000D29CC" w:rsidRPr="00921C9B" w:rsidRDefault="000D29CC" w:rsidP="000D29CC">
      <w:pPr>
        <w:spacing w:before="120" w:after="120" w:line="360" w:lineRule="auto"/>
        <w:ind w:left="850" w:hanging="850"/>
        <w:rPr>
          <w:b/>
          <w:szCs w:val="24"/>
          <w:lang w:eastAsia="en-US"/>
        </w:rPr>
      </w:pPr>
      <w:r w:rsidRPr="00921C9B">
        <w:rPr>
          <w:b/>
          <w:i/>
          <w:szCs w:val="24"/>
          <w:lang w:eastAsia="en-US"/>
        </w:rPr>
        <w:t>(-1)</w:t>
      </w:r>
      <w:r w:rsidRPr="00921C9B">
        <w:rPr>
          <w:szCs w:val="24"/>
          <w:lang w:eastAsia="en-US"/>
        </w:rPr>
        <w:tab/>
      </w:r>
      <w:r w:rsidRPr="00921C9B">
        <w:rPr>
          <w:b/>
          <w:i/>
          <w:szCs w:val="24"/>
          <w:lang w:eastAsia="en-US"/>
        </w:rPr>
        <w:t>Водата не е търговски продукт като всеки друг, а по-скоро общо благо и наследство, което трябва да бъде защитено и разглеждано като такова, за да се опазят екосистемите и да се осигури всеобщ достъп до чиста вода.</w:t>
      </w:r>
      <w:r w:rsidR="004C279A" w:rsidRPr="00921C9B">
        <w:rPr>
          <w:b/>
          <w:szCs w:val="24"/>
          <w:lang w:eastAsia="en-US"/>
        </w:rPr>
        <w:t xml:space="preserve"> [Изм</w:t>
      </w:r>
      <w:r w:rsidR="00701E89" w:rsidRPr="00921C9B">
        <w:rPr>
          <w:b/>
          <w:szCs w:val="24"/>
          <w:lang w:eastAsia="en-US"/>
        </w:rPr>
        <w:t>. 1]</w:t>
      </w:r>
    </w:p>
    <w:p w14:paraId="4E4EEA6A" w14:textId="486FBDF0" w:rsidR="000D29CC" w:rsidRPr="00921C9B" w:rsidRDefault="000D29CC" w:rsidP="000D29CC">
      <w:pPr>
        <w:spacing w:before="120" w:after="120" w:line="360" w:lineRule="auto"/>
        <w:ind w:left="850" w:hanging="850"/>
        <w:rPr>
          <w:b/>
          <w:szCs w:val="24"/>
          <w:lang w:eastAsia="en-US"/>
        </w:rPr>
      </w:pPr>
      <w:r w:rsidRPr="00921C9B">
        <w:rPr>
          <w:b/>
          <w:i/>
          <w:szCs w:val="24"/>
          <w:lang w:eastAsia="en-US"/>
        </w:rPr>
        <w:t>(-1а)</w:t>
      </w:r>
      <w:r w:rsidRPr="00921C9B">
        <w:rPr>
          <w:szCs w:val="24"/>
          <w:lang w:eastAsia="en-US"/>
        </w:rPr>
        <w:tab/>
      </w:r>
      <w:r w:rsidRPr="00921C9B">
        <w:rPr>
          <w:b/>
          <w:i/>
          <w:szCs w:val="24"/>
          <w:lang w:eastAsia="en-US"/>
        </w:rPr>
        <w:t>Общото събрание на ООН на 28 юли 2010 г. призна правото на безопасна и чиста питейна вода и добри санитарни условия като право на човека, което е от съществено значение за пълноценното упражняване на правото на живот и на всички права на човека. След успеха на европейската гражданска инициатива от 2014 г., озаглавена „Право на вода“ (Right2Water), през 2018 г. Комисията прие предложение за преразглеждане на Директивата за питейната вода, а съответната изменена директива влезе в сила на 12 януари 2021 г. В нея се определя задължение за държавите членки да подобрят достъпа до вода, предназначена за консумация от човека, въз основа, наред с другото, на натрупаните знания и на действията, осъществени съгласно Директива 2000/60/ЕО. Освен това държавите членки следва да гарантират ефективността на правото на чиста вода и добри санитарни условия, като подобрят качеството както на повърхностните, така и на подземните води.</w:t>
      </w:r>
      <w:r w:rsidR="004C279A" w:rsidRPr="00921C9B">
        <w:rPr>
          <w:b/>
          <w:szCs w:val="24"/>
          <w:lang w:eastAsia="en-US"/>
        </w:rPr>
        <w:t xml:space="preserve"> [Изм. 2]</w:t>
      </w:r>
    </w:p>
    <w:p w14:paraId="6FF2CD6D" w14:textId="77777777" w:rsidR="00723523" w:rsidRPr="00921C9B" w:rsidRDefault="00723523">
      <w:pPr>
        <w:widowControl/>
        <w:rPr>
          <w:szCs w:val="24"/>
          <w:lang w:eastAsia="en-US"/>
        </w:rPr>
      </w:pPr>
      <w:r w:rsidRPr="00921C9B">
        <w:rPr>
          <w:szCs w:val="24"/>
          <w:lang w:eastAsia="en-US"/>
        </w:rPr>
        <w:br w:type="page"/>
      </w:r>
    </w:p>
    <w:p w14:paraId="4483BB80" w14:textId="36DA4E18" w:rsidR="000D29CC" w:rsidRPr="00921C9B" w:rsidRDefault="000D29CC" w:rsidP="000D29CC">
      <w:pPr>
        <w:spacing w:before="120" w:after="120" w:line="360" w:lineRule="auto"/>
        <w:ind w:left="850" w:hanging="850"/>
        <w:rPr>
          <w:b/>
          <w:szCs w:val="24"/>
          <w:lang w:eastAsia="en-US"/>
        </w:rPr>
      </w:pPr>
      <w:r w:rsidRPr="00921C9B">
        <w:rPr>
          <w:szCs w:val="24"/>
          <w:lang w:eastAsia="en-US"/>
        </w:rPr>
        <w:lastRenderedPageBreak/>
        <w:t>(1)</w:t>
      </w:r>
      <w:r w:rsidRPr="00921C9B">
        <w:rPr>
          <w:szCs w:val="24"/>
          <w:lang w:eastAsia="en-US"/>
        </w:rPr>
        <w:tab/>
        <w:t>Химическото замърсяване на повърхностните и подземните води представлява заплаха за водната среда, чиито последици включват остра и хронична токсичност във водните организми, натрупване на замърсители в екосистемата и загуба на местообитания и биологично разнообразие, както и за човешкото здраве. Определянето на стандарти за качество на околната среда спомага за осъществяването на амбицията за нулево замърсяване с цел постигането на околна среда без токсични вещества</w:t>
      </w:r>
      <w:r w:rsidRPr="00921C9B">
        <w:rPr>
          <w:b/>
          <w:i/>
          <w:szCs w:val="24"/>
          <w:lang w:eastAsia="en-US"/>
        </w:rPr>
        <w:t xml:space="preserve"> – една от приоритетните цели на Осмата програма за действие за околната среда</w:t>
      </w:r>
      <w:r w:rsidRPr="00921C9B">
        <w:rPr>
          <w:szCs w:val="24"/>
          <w:vertAlign w:val="superscript"/>
          <w:lang w:eastAsia="en-US"/>
        </w:rPr>
        <w:footnoteReference w:id="5"/>
      </w:r>
      <w:r w:rsidRPr="00921C9B">
        <w:rPr>
          <w:szCs w:val="24"/>
          <w:lang w:eastAsia="en-US"/>
        </w:rPr>
        <w:t>.</w:t>
      </w:r>
      <w:r w:rsidR="004C279A" w:rsidRPr="00921C9B">
        <w:rPr>
          <w:b/>
          <w:szCs w:val="24"/>
          <w:lang w:eastAsia="en-US"/>
        </w:rPr>
        <w:t xml:space="preserve"> [Изм. 3]</w:t>
      </w:r>
    </w:p>
    <w:p w14:paraId="0CBCF2EC" w14:textId="482BF9F1" w:rsidR="000D29CC" w:rsidRPr="00921C9B" w:rsidRDefault="000D29CC" w:rsidP="000D29CC">
      <w:pPr>
        <w:spacing w:before="120" w:after="120" w:line="360" w:lineRule="auto"/>
        <w:ind w:left="850" w:hanging="850"/>
        <w:rPr>
          <w:b/>
          <w:szCs w:val="24"/>
          <w:lang w:eastAsia="en-US"/>
        </w:rPr>
      </w:pPr>
      <w:r w:rsidRPr="00921C9B">
        <w:rPr>
          <w:b/>
          <w:i/>
          <w:szCs w:val="24"/>
          <w:lang w:eastAsia="en-US"/>
        </w:rPr>
        <w:t>(1a)</w:t>
      </w:r>
      <w:r w:rsidRPr="00921C9B">
        <w:rPr>
          <w:szCs w:val="24"/>
          <w:lang w:eastAsia="en-US"/>
        </w:rPr>
        <w:tab/>
      </w:r>
      <w:r w:rsidRPr="00921C9B">
        <w:rPr>
          <w:b/>
          <w:i/>
          <w:szCs w:val="24"/>
          <w:lang w:eastAsia="en-US"/>
        </w:rPr>
        <w:t>Според Европейската агенция за околна среда около 90% от площта на подземните водни обекти е в добро количествено състояние, около 75% от площта на подземните водни обекти е в добро химично състояние, 40% от повърхностните водни обекти са в добро или високо екологично състояние, а 38% от повърхностните водни обекти са в добро химично състояние, като в доклада на Европейската агенция за околна среда от 4 декември 2019 г., озаглавен „Европейската околна среда – състояние и перспективи за 2020 г.: Знания за прехода към устойчива Европа“, се установява, че намаленото замърсяване е подобрило качеството на водите, но Съюзът далеч не е постигнал добро екологично състояние за всички водни обекти до 2020 г.</w:t>
      </w:r>
      <w:r w:rsidR="004C279A" w:rsidRPr="00921C9B">
        <w:rPr>
          <w:b/>
          <w:szCs w:val="24"/>
          <w:lang w:eastAsia="en-US"/>
        </w:rPr>
        <w:t xml:space="preserve"> [Изм. 4]</w:t>
      </w:r>
    </w:p>
    <w:p w14:paraId="67177B1E" w14:textId="77777777" w:rsidR="00723523" w:rsidRPr="00921C9B" w:rsidRDefault="00723523">
      <w:pPr>
        <w:widowControl/>
        <w:rPr>
          <w:b/>
          <w:i/>
          <w:szCs w:val="24"/>
          <w:lang w:eastAsia="en-US"/>
        </w:rPr>
      </w:pPr>
      <w:r w:rsidRPr="00921C9B">
        <w:rPr>
          <w:b/>
          <w:i/>
          <w:szCs w:val="24"/>
          <w:lang w:eastAsia="en-US"/>
        </w:rPr>
        <w:br w:type="page"/>
      </w:r>
    </w:p>
    <w:p w14:paraId="47BFFDE8" w14:textId="50BFBF37"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(1б)</w:t>
      </w:r>
      <w:r w:rsidRPr="00921C9B">
        <w:rPr>
          <w:szCs w:val="24"/>
          <w:lang w:eastAsia="en-US"/>
        </w:rPr>
        <w:tab/>
      </w:r>
      <w:r w:rsidRPr="00921C9B">
        <w:rPr>
          <w:b/>
          <w:i/>
          <w:szCs w:val="24"/>
          <w:lang w:eastAsia="en-US"/>
        </w:rPr>
        <w:t>В проверката за пригодността на Рамковата директива за водите от 2019 г. („проверката за пригодност“) се заключава, че следващият кръг от програми с мерки ще играе ключова роля за осигуряване на необходимия напредък към постигане на екологичните цели на Директива 2000/60/ЕО до крайния срок 2027 г., и се посочва, че понастоящем повече от половината от всички европейски водни обекти са освободени съгласно Директива 2000/60/ЕО, което прави предизвикателствата пред държавите членки да постигнат стандартите за качество на околната среда за приоритетните вещества в рамките на определения срок повече от значителни. Освен това проверката за пригодност показа, че целите в областта на околната среда не са постигнати изцяло главно поради недостатъчно финансиране, бавно изпълнение и недостатъчното им интегриране в секторните политики, а не поради пропуски в законодателството.</w:t>
      </w:r>
      <w:r w:rsidR="004C279A" w:rsidRPr="00921C9B">
        <w:rPr>
          <w:b/>
          <w:szCs w:val="24"/>
          <w:lang w:eastAsia="en-US"/>
        </w:rPr>
        <w:t xml:space="preserve"> [Изм. 5]</w:t>
      </w:r>
    </w:p>
    <w:p w14:paraId="12B8AD53" w14:textId="77777777" w:rsidR="00723523" w:rsidRPr="00921C9B" w:rsidRDefault="00723523">
      <w:pPr>
        <w:widowControl/>
        <w:rPr>
          <w:b/>
          <w:i/>
          <w:szCs w:val="24"/>
          <w:lang w:eastAsia="en-US"/>
        </w:rPr>
      </w:pPr>
      <w:r w:rsidRPr="00921C9B">
        <w:rPr>
          <w:b/>
          <w:i/>
          <w:szCs w:val="24"/>
          <w:lang w:eastAsia="en-US"/>
        </w:rPr>
        <w:br w:type="page"/>
      </w:r>
    </w:p>
    <w:p w14:paraId="2B7C93A3" w14:textId="0ADB1B72"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(1в)</w:t>
      </w:r>
      <w:r w:rsidRPr="00921C9B">
        <w:rPr>
          <w:szCs w:val="24"/>
          <w:lang w:eastAsia="en-US"/>
        </w:rPr>
        <w:tab/>
      </w:r>
      <w:r w:rsidRPr="00921C9B">
        <w:rPr>
          <w:b/>
          <w:i/>
          <w:szCs w:val="24"/>
          <w:lang w:eastAsia="en-US"/>
        </w:rPr>
        <w:t>Поради географски и социалноикономически фактори някои групи от населението, включително коренното население, са по-уязвими от замърсяването на водите. Очаква се минните дейности в Европейския съюз да се увеличат, за да се гарантира развитието на промишленост с нулеви нетни емисии. Както се посочва в доклад 09/2021 на Европейската агенция за околна среда</w:t>
      </w:r>
      <w:r w:rsidRPr="00921C9B">
        <w:rPr>
          <w:szCs w:val="24"/>
          <w:vertAlign w:val="superscript"/>
          <w:lang w:eastAsia="en-US"/>
        </w:rPr>
        <w:footnoteReference w:id="6"/>
      </w:r>
      <w:r w:rsidRPr="00921C9B">
        <w:rPr>
          <w:b/>
          <w:i/>
          <w:szCs w:val="24"/>
          <w:lang w:eastAsia="en-US"/>
        </w:rPr>
        <w:t>, минният сектор оказва пряко въздействие върху качеството и количеството на водите. Поради това е необходимо да се подобри прилагането на съществуващите законодателни рамки и да се планира и контролира използването и заустването на водите при извършването на миньорски дейности.</w:t>
      </w:r>
      <w:r w:rsidR="004C279A" w:rsidRPr="00921C9B">
        <w:rPr>
          <w:b/>
          <w:szCs w:val="24"/>
          <w:lang w:eastAsia="en-US"/>
        </w:rPr>
        <w:t xml:space="preserve"> [Изм. 6]</w:t>
      </w:r>
    </w:p>
    <w:p w14:paraId="65388C56" w14:textId="2B0CB603" w:rsidR="000D29CC" w:rsidRPr="00921C9B" w:rsidRDefault="000D29CC" w:rsidP="000D29CC">
      <w:pPr>
        <w:spacing w:before="120" w:after="120" w:line="360" w:lineRule="auto"/>
        <w:ind w:left="850" w:hanging="850"/>
        <w:rPr>
          <w:b/>
          <w:szCs w:val="24"/>
          <w:lang w:eastAsia="en-US"/>
        </w:rPr>
      </w:pPr>
      <w:r w:rsidRPr="00921C9B">
        <w:rPr>
          <w:b/>
          <w:i/>
          <w:szCs w:val="24"/>
          <w:lang w:eastAsia="en-US"/>
        </w:rPr>
        <w:t>(1г)</w:t>
      </w:r>
      <w:r w:rsidRPr="00921C9B">
        <w:rPr>
          <w:szCs w:val="24"/>
          <w:lang w:eastAsia="en-US"/>
        </w:rPr>
        <w:tab/>
      </w:r>
      <w:r w:rsidRPr="00921C9B">
        <w:rPr>
          <w:b/>
          <w:i/>
          <w:szCs w:val="24"/>
          <w:lang w:eastAsia="en-US"/>
        </w:rPr>
        <w:t>Много територии в Съюза са подложени на големи и нарастващи водни ограничения. Значителните и продължителни засушавания през последните години, особено в средиземноморските региони, излагат на риск селскостопанското производство и причиняват сериозен спад на запасите от повърхностни и подземни води</w:t>
      </w:r>
      <w:r w:rsidRPr="00921C9B">
        <w:rPr>
          <w:szCs w:val="24"/>
          <w:vertAlign w:val="superscript"/>
          <w:lang w:eastAsia="en-US"/>
        </w:rPr>
        <w:footnoteReference w:id="7"/>
      </w:r>
      <w:r w:rsidRPr="00921C9B">
        <w:rPr>
          <w:b/>
          <w:i/>
          <w:szCs w:val="24"/>
          <w:lang w:eastAsia="en-US"/>
        </w:rPr>
        <w:t>.</w:t>
      </w:r>
      <w:r w:rsidR="004C279A" w:rsidRPr="00921C9B">
        <w:rPr>
          <w:b/>
          <w:szCs w:val="24"/>
          <w:lang w:eastAsia="en-US"/>
        </w:rPr>
        <w:t xml:space="preserve"> [Изм. 7]</w:t>
      </w:r>
    </w:p>
    <w:p w14:paraId="456C9AF4" w14:textId="03C0412A" w:rsidR="000D29CC" w:rsidRPr="00921C9B" w:rsidRDefault="000D29CC" w:rsidP="000D29CC">
      <w:pPr>
        <w:spacing w:before="120" w:after="120" w:line="360" w:lineRule="auto"/>
        <w:ind w:left="850" w:hanging="850"/>
        <w:rPr>
          <w:b/>
          <w:szCs w:val="24"/>
          <w:lang w:eastAsia="en-US"/>
        </w:rPr>
      </w:pPr>
      <w:r w:rsidRPr="00921C9B">
        <w:rPr>
          <w:b/>
          <w:i/>
          <w:szCs w:val="24"/>
          <w:lang w:eastAsia="en-US"/>
        </w:rPr>
        <w:t>(1д)</w:t>
      </w:r>
      <w:r w:rsidRPr="00921C9B">
        <w:rPr>
          <w:szCs w:val="24"/>
          <w:lang w:eastAsia="en-US"/>
        </w:rPr>
        <w:tab/>
      </w:r>
      <w:r w:rsidRPr="00921C9B">
        <w:rPr>
          <w:b/>
          <w:i/>
          <w:szCs w:val="24"/>
          <w:lang w:eastAsia="en-US"/>
        </w:rPr>
        <w:t>Водата е обществено благо, от което се възползват всички, и като незаменим и жизненоважен природен ресурс тя трябва да се разглежда внимателно с оглед на нейните социални, икономически и екологични измерения. Изменението на климата, включително увеличената честота на природните бедствия и екстремните метеорологични явления, както и влошаването на биоразнообразието, оказват отрицателно въздействие върху качеството и количеството на водите, което води до натиск върху секторите, зависими от наличието на вода, по-специално селското стопанство.</w:t>
      </w:r>
      <w:r w:rsidR="004C279A" w:rsidRPr="00921C9B">
        <w:rPr>
          <w:b/>
          <w:szCs w:val="24"/>
          <w:lang w:eastAsia="en-US"/>
        </w:rPr>
        <w:t xml:space="preserve"> [Изм. 8]</w:t>
      </w:r>
    </w:p>
    <w:p w14:paraId="4AAD6F9E" w14:textId="77777777" w:rsidR="00723523" w:rsidRPr="00921C9B" w:rsidRDefault="00723523">
      <w:pPr>
        <w:widowControl/>
        <w:rPr>
          <w:b/>
          <w:i/>
          <w:szCs w:val="24"/>
          <w:lang w:eastAsia="en-US"/>
        </w:rPr>
      </w:pPr>
      <w:r w:rsidRPr="00921C9B">
        <w:rPr>
          <w:b/>
          <w:i/>
          <w:szCs w:val="24"/>
          <w:lang w:eastAsia="en-US"/>
        </w:rPr>
        <w:br w:type="page"/>
      </w:r>
    </w:p>
    <w:p w14:paraId="72816911" w14:textId="51DDF283"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(1е)</w:t>
      </w:r>
      <w:r w:rsidRPr="00921C9B">
        <w:rPr>
          <w:szCs w:val="24"/>
          <w:lang w:eastAsia="en-US"/>
        </w:rPr>
        <w:tab/>
      </w:r>
      <w:r w:rsidRPr="00921C9B">
        <w:rPr>
          <w:b/>
          <w:i/>
          <w:szCs w:val="24"/>
          <w:lang w:eastAsia="en-US"/>
        </w:rPr>
        <w:t>Въпреки че в своя доклад от 2018 г. „Европейските води – оценка на състоянието и натиска“ Европейската агенция за околна среда (ЕАОС) определи някои селскостопански практики като пречка за постигането на добро химично състояние на подземните води в Съюза, тъй като причиняват замърсяване с нитрати и пестициди, през последните десетилетия в Съюза се наблюдава постоянно намаляване на употребата на минерални торове и на излишъците от хранителни вещества</w:t>
      </w:r>
      <w:r w:rsidRPr="00921C9B">
        <w:rPr>
          <w:szCs w:val="24"/>
          <w:vertAlign w:val="superscript"/>
          <w:lang w:eastAsia="en-US"/>
        </w:rPr>
        <w:footnoteReference w:id="8"/>
      </w:r>
      <w:r w:rsidRPr="00921C9B">
        <w:rPr>
          <w:b/>
          <w:i/>
          <w:szCs w:val="24"/>
          <w:lang w:eastAsia="en-US"/>
        </w:rPr>
        <w:t>. Други значими източници на замърсяване са заустванията, които не са свързани с канализационна система, замърсените терени или изоставените промишлени обекти.</w:t>
      </w:r>
      <w:r w:rsidR="004C279A" w:rsidRPr="00921C9B">
        <w:rPr>
          <w:b/>
          <w:szCs w:val="24"/>
          <w:lang w:eastAsia="en-US"/>
        </w:rPr>
        <w:t xml:space="preserve"> [Изм. 9]</w:t>
      </w:r>
    </w:p>
    <w:p w14:paraId="69A896A0" w14:textId="7B287B30" w:rsidR="000D29CC" w:rsidRPr="00921C9B" w:rsidRDefault="000D29CC" w:rsidP="000D29CC">
      <w:pPr>
        <w:spacing w:before="120" w:after="120" w:line="360" w:lineRule="auto"/>
        <w:ind w:left="850" w:hanging="850"/>
        <w:rPr>
          <w:b/>
          <w:szCs w:val="24"/>
          <w:lang w:eastAsia="en-US"/>
        </w:rPr>
      </w:pPr>
      <w:r w:rsidRPr="00921C9B">
        <w:rPr>
          <w:b/>
          <w:i/>
          <w:szCs w:val="24"/>
          <w:lang w:eastAsia="en-US"/>
        </w:rPr>
        <w:t>(1ж)</w:t>
      </w:r>
      <w:r w:rsidRPr="00921C9B">
        <w:rPr>
          <w:szCs w:val="24"/>
          <w:lang w:eastAsia="en-US"/>
        </w:rPr>
        <w:tab/>
      </w:r>
      <w:r w:rsidRPr="00921C9B">
        <w:rPr>
          <w:b/>
          <w:i/>
          <w:szCs w:val="24"/>
          <w:lang w:eastAsia="en-US"/>
        </w:rPr>
        <w:t>Доброто състояние на водните обекти и ефективното управление на водните ресурси са приоритет за селското стопанство, тъй като дейността на земеделските стопани зависи от водата и следователно те имат пряк интерес от устойчивото използване на тези ресурси.</w:t>
      </w:r>
      <w:r w:rsidR="004C279A" w:rsidRPr="00921C9B">
        <w:rPr>
          <w:b/>
          <w:szCs w:val="24"/>
          <w:lang w:eastAsia="en-US"/>
        </w:rPr>
        <w:t xml:space="preserve"> [Изм. 10]</w:t>
      </w:r>
    </w:p>
    <w:p w14:paraId="03A7763C" w14:textId="4EBBEADC" w:rsidR="000D29CC" w:rsidRPr="00921C9B" w:rsidRDefault="000D29CC" w:rsidP="000D29CC">
      <w:pPr>
        <w:spacing w:before="120" w:after="120" w:line="360" w:lineRule="auto"/>
        <w:ind w:left="850" w:hanging="850"/>
        <w:rPr>
          <w:b/>
          <w:szCs w:val="24"/>
          <w:lang w:eastAsia="en-US"/>
        </w:rPr>
      </w:pPr>
      <w:r w:rsidRPr="00921C9B">
        <w:rPr>
          <w:b/>
          <w:i/>
          <w:szCs w:val="24"/>
          <w:lang w:eastAsia="en-US"/>
        </w:rPr>
        <w:t>(1з)</w:t>
      </w:r>
      <w:r w:rsidRPr="00921C9B">
        <w:rPr>
          <w:szCs w:val="24"/>
          <w:lang w:eastAsia="en-US"/>
        </w:rPr>
        <w:tab/>
      </w:r>
      <w:r w:rsidRPr="00921C9B">
        <w:rPr>
          <w:b/>
          <w:i/>
          <w:szCs w:val="24"/>
          <w:lang w:eastAsia="en-US"/>
        </w:rPr>
        <w:t>За да се улесни преходът към по-устойчив и по-продуктивен селскостопански сектор, който е устойчив по отношение на водните ограничения, следва да се въведат стимули за земеделските стопани за подобряване на управлението на водите и модернизиране на напоителните системи и техники.</w:t>
      </w:r>
      <w:r w:rsidR="004C279A" w:rsidRPr="00921C9B">
        <w:rPr>
          <w:b/>
          <w:szCs w:val="24"/>
          <w:lang w:eastAsia="en-US"/>
        </w:rPr>
        <w:t xml:space="preserve"> [Изм. 11]</w:t>
      </w:r>
    </w:p>
    <w:p w14:paraId="6455A75F" w14:textId="77777777" w:rsidR="00723523" w:rsidRPr="00921C9B" w:rsidRDefault="00723523">
      <w:pPr>
        <w:widowControl/>
        <w:rPr>
          <w:b/>
          <w:i/>
          <w:szCs w:val="24"/>
          <w:lang w:eastAsia="en-US"/>
        </w:rPr>
      </w:pPr>
      <w:r w:rsidRPr="00921C9B">
        <w:rPr>
          <w:b/>
          <w:i/>
          <w:szCs w:val="24"/>
          <w:lang w:eastAsia="en-US"/>
        </w:rPr>
        <w:br w:type="page"/>
      </w:r>
    </w:p>
    <w:p w14:paraId="4A6F83CF" w14:textId="7A9FED0B"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(1и)</w:t>
      </w:r>
      <w:r w:rsidRPr="00921C9B">
        <w:rPr>
          <w:szCs w:val="24"/>
          <w:lang w:eastAsia="en-US"/>
        </w:rPr>
        <w:tab/>
      </w:r>
      <w:r w:rsidRPr="00921C9B">
        <w:rPr>
          <w:b/>
          <w:i/>
          <w:szCs w:val="24"/>
          <w:lang w:eastAsia="en-US"/>
        </w:rPr>
        <w:t>Използването на пестициди може сериозно да повлияе на качеството и количеството на водите, използвани за селскостопански цели, и да доведе до отрицателно въздействие върху водното и сухоземното биологично разнообразие. Поради това е целесъобразно да се наблюдават въздействието и екотоксикологичният ефект на пестицидите и техните метаболити във водните обекти.</w:t>
      </w:r>
      <w:r w:rsidR="004C279A" w:rsidRPr="00921C9B">
        <w:rPr>
          <w:b/>
          <w:szCs w:val="24"/>
          <w:lang w:eastAsia="en-US"/>
        </w:rPr>
        <w:t xml:space="preserve"> [Изм. 12]</w:t>
      </w:r>
    </w:p>
    <w:p w14:paraId="332075E4" w14:textId="2DDA3D7F" w:rsidR="000D29CC" w:rsidRPr="00921C9B" w:rsidRDefault="000D29CC" w:rsidP="000D29CC">
      <w:pPr>
        <w:spacing w:before="120" w:after="120" w:line="360" w:lineRule="auto"/>
        <w:ind w:left="850" w:hanging="850"/>
        <w:rPr>
          <w:b/>
          <w:szCs w:val="24"/>
          <w:lang w:eastAsia="en-US"/>
        </w:rPr>
      </w:pPr>
      <w:r w:rsidRPr="00921C9B">
        <w:rPr>
          <w:b/>
          <w:i/>
          <w:szCs w:val="24"/>
          <w:lang w:eastAsia="en-US"/>
        </w:rPr>
        <w:t>(1</w:t>
      </w:r>
      <w:r w:rsidR="004C279A" w:rsidRPr="00921C9B">
        <w:rPr>
          <w:b/>
          <w:i/>
          <w:szCs w:val="24"/>
          <w:lang w:eastAsia="en-US"/>
        </w:rPr>
        <w:t>й</w:t>
      </w:r>
      <w:r w:rsidRPr="00921C9B">
        <w:rPr>
          <w:b/>
          <w:i/>
          <w:szCs w:val="24"/>
          <w:lang w:eastAsia="en-US"/>
        </w:rPr>
        <w:t>)</w:t>
      </w:r>
      <w:r w:rsidRPr="00921C9B">
        <w:rPr>
          <w:szCs w:val="24"/>
          <w:lang w:eastAsia="en-US"/>
        </w:rPr>
        <w:tab/>
      </w:r>
      <w:r w:rsidRPr="00921C9B">
        <w:rPr>
          <w:b/>
          <w:i/>
          <w:szCs w:val="24"/>
          <w:lang w:eastAsia="en-US"/>
        </w:rPr>
        <w:t>От съществено значение е да се разгледат усилията, положени до момента в сектори като селското стопанство, където вече е възможно да се намали фитосанитарното замърсяване с 14% в сравнение с периода 2015 – 2017 г., и с 26%, ако се вземат предвид най-вредните замърсители. Поради това цифрите показват непрекъснато намаляване на употребата и риска от химикали, като 2020 г. е втората поредна година, през която е налице значително намаляване на употребата на пестициди, особено на най-опасните</w:t>
      </w:r>
      <w:r w:rsidRPr="00921C9B">
        <w:rPr>
          <w:szCs w:val="24"/>
          <w:vertAlign w:val="superscript"/>
          <w:lang w:eastAsia="en-US"/>
        </w:rPr>
        <w:footnoteReference w:id="9"/>
      </w:r>
      <w:r w:rsidRPr="00921C9B">
        <w:rPr>
          <w:b/>
          <w:i/>
          <w:szCs w:val="24"/>
          <w:lang w:eastAsia="en-US"/>
        </w:rPr>
        <w:t>.</w:t>
      </w:r>
      <w:r w:rsidR="004C279A" w:rsidRPr="00921C9B">
        <w:rPr>
          <w:b/>
          <w:szCs w:val="24"/>
          <w:lang w:eastAsia="en-US"/>
        </w:rPr>
        <w:t xml:space="preserve"> [Изм. 13]</w:t>
      </w:r>
    </w:p>
    <w:p w14:paraId="15E8A98F" w14:textId="77777777" w:rsidR="00723523" w:rsidRPr="00921C9B" w:rsidRDefault="00723523">
      <w:pPr>
        <w:widowControl/>
        <w:rPr>
          <w:b/>
          <w:i/>
          <w:szCs w:val="24"/>
          <w:lang w:eastAsia="en-US"/>
        </w:rPr>
      </w:pPr>
      <w:r w:rsidRPr="00921C9B">
        <w:rPr>
          <w:b/>
          <w:i/>
          <w:szCs w:val="24"/>
          <w:lang w:eastAsia="en-US"/>
        </w:rPr>
        <w:br w:type="page"/>
      </w:r>
    </w:p>
    <w:p w14:paraId="7F576F8F" w14:textId="4502C266"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(1</w:t>
      </w:r>
      <w:r w:rsidR="004C279A" w:rsidRPr="00921C9B">
        <w:rPr>
          <w:b/>
          <w:i/>
          <w:szCs w:val="24"/>
          <w:lang w:eastAsia="en-US"/>
        </w:rPr>
        <w:t>к</w:t>
      </w:r>
      <w:r w:rsidRPr="00921C9B">
        <w:rPr>
          <w:b/>
          <w:i/>
          <w:szCs w:val="24"/>
          <w:lang w:eastAsia="en-US"/>
        </w:rPr>
        <w:t>)</w:t>
      </w:r>
      <w:r w:rsidRPr="00921C9B">
        <w:rPr>
          <w:szCs w:val="24"/>
          <w:lang w:eastAsia="en-US"/>
        </w:rPr>
        <w:tab/>
      </w:r>
      <w:r w:rsidRPr="00921C9B">
        <w:rPr>
          <w:b/>
          <w:i/>
          <w:szCs w:val="24"/>
          <w:lang w:eastAsia="en-US"/>
        </w:rPr>
        <w:t>Химическото замърсяване на повърхностните и подпочвените води също представлява заплаха за селското стопанство, като ограничава наличието на вода за напояване на културите и допълнително задълбочава недостига на вода. Поради това Съюзът и държавите членки следва да увеличат подкрепата за научните изследвания и иновациите с цел бързо внедряване на решения за справяне с недостига и замърсяването на повърхностните и подпочвените води, включително цифровизация, прецизно земеделие, оптимизирано напояване, модернизация на напояването и кръгово използване на ресурсите, по-добро управление на водите по устойчив на климата начин и по-целенасочено използване на пестициди и торове за растителните култури, намиране на по-малко замърсяващи и по-безопасни алтернативи на селскостопанските средства, разработване на по-устойчиви и по-ефективни по отношение на хранителните вещества сортове култури и по-широко използване на пречистени отпадъчни води за напояване в селското стопанство. Това следва да допринесе за постигането на устойчива и издръжлива продоволствена система на Съюза, като същевременно се намали дифузното замърсяване от селското стопанство и необходимостта от водочерпене в селското стопанство.</w:t>
      </w:r>
      <w:r w:rsidR="004C279A" w:rsidRPr="00921C9B">
        <w:rPr>
          <w:b/>
          <w:szCs w:val="24"/>
          <w:lang w:eastAsia="en-US"/>
        </w:rPr>
        <w:t xml:space="preserve"> [Изм. 14]</w:t>
      </w:r>
    </w:p>
    <w:p w14:paraId="19A3B533" w14:textId="77777777" w:rsidR="00723523" w:rsidRPr="00921C9B" w:rsidRDefault="00723523">
      <w:pPr>
        <w:widowControl/>
        <w:rPr>
          <w:szCs w:val="24"/>
          <w:lang w:eastAsia="en-US"/>
        </w:rPr>
      </w:pPr>
      <w:r w:rsidRPr="00921C9B">
        <w:rPr>
          <w:szCs w:val="24"/>
          <w:lang w:eastAsia="en-US"/>
        </w:rPr>
        <w:br w:type="page"/>
      </w:r>
    </w:p>
    <w:p w14:paraId="585FC8F1" w14:textId="19BD9903"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(2)</w:t>
      </w:r>
      <w:r w:rsidRPr="00921C9B">
        <w:rPr>
          <w:szCs w:val="24"/>
          <w:lang w:eastAsia="en-US"/>
        </w:rPr>
        <w:tab/>
        <w:t>Съгласно член 191, параграф 2, второ изречение от Договора за функционирането на Европейския съюз (ДФЕС) политиката на Съюза в областта на околната среда се основава на принципите на предпазните мерки и превантивните действия, на принципа на приоритетното отстраняване още при източника на замърсяване на околната среда и на принципа „замърсителят плаща“.</w:t>
      </w:r>
    </w:p>
    <w:p w14:paraId="6DACB976" w14:textId="33E3B3C4" w:rsidR="000D29CC" w:rsidRPr="00921C9B" w:rsidRDefault="000D29CC" w:rsidP="000D29CC">
      <w:pPr>
        <w:spacing w:before="120" w:after="120" w:line="360" w:lineRule="auto"/>
        <w:ind w:left="850" w:hanging="850"/>
        <w:rPr>
          <w:b/>
          <w:szCs w:val="24"/>
          <w:lang w:eastAsia="en-US"/>
        </w:rPr>
      </w:pPr>
      <w:r w:rsidRPr="00921C9B">
        <w:rPr>
          <w:b/>
          <w:i/>
          <w:szCs w:val="24"/>
          <w:lang w:eastAsia="en-US"/>
        </w:rPr>
        <w:t>(2a)</w:t>
      </w:r>
      <w:r w:rsidRPr="00921C9B">
        <w:rPr>
          <w:szCs w:val="24"/>
          <w:lang w:eastAsia="en-US"/>
        </w:rPr>
        <w:tab/>
      </w:r>
      <w:r w:rsidRPr="00921C9B">
        <w:rPr>
          <w:b/>
          <w:i/>
          <w:szCs w:val="24"/>
          <w:lang w:eastAsia="en-US"/>
        </w:rPr>
        <w:t>В стремежа си към високо ниво на опазване на околната среда и при изпълнението на Плана за действие за нулево замърсяване Съюзът следва да вземе предвид разнообразието от ситуации в различните региони на Съюза, въздействието върху продоволствената сигурност, производството на храни и достъпността на храните, както и здравословното и устойчиво хранене.</w:t>
      </w:r>
      <w:r w:rsidR="004C279A" w:rsidRPr="00921C9B">
        <w:rPr>
          <w:b/>
          <w:szCs w:val="24"/>
          <w:lang w:eastAsia="en-US"/>
        </w:rPr>
        <w:t xml:space="preserve"> [Изм. 15]</w:t>
      </w:r>
    </w:p>
    <w:p w14:paraId="01AAB605" w14:textId="77777777" w:rsidR="00723523" w:rsidRPr="00921C9B" w:rsidRDefault="00723523">
      <w:pPr>
        <w:widowControl/>
        <w:rPr>
          <w:szCs w:val="24"/>
          <w:lang w:eastAsia="en-US"/>
        </w:rPr>
      </w:pPr>
      <w:r w:rsidRPr="00921C9B">
        <w:rPr>
          <w:szCs w:val="24"/>
          <w:lang w:eastAsia="en-US"/>
        </w:rPr>
        <w:br w:type="page"/>
      </w:r>
    </w:p>
    <w:p w14:paraId="1653E3FF" w14:textId="386B2657"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(3)</w:t>
      </w:r>
      <w:r w:rsidRPr="00921C9B">
        <w:rPr>
          <w:szCs w:val="24"/>
          <w:lang w:eastAsia="en-US"/>
        </w:rPr>
        <w:tab/>
        <w:t>Европейският зелен пакт</w:t>
      </w:r>
      <w:r w:rsidRPr="00921C9B">
        <w:rPr>
          <w:szCs w:val="24"/>
          <w:vertAlign w:val="superscript"/>
          <w:lang w:eastAsia="en-US"/>
        </w:rPr>
        <w:footnoteReference w:id="10"/>
      </w:r>
      <w:r w:rsidRPr="00921C9B">
        <w:rPr>
          <w:szCs w:val="24"/>
          <w:lang w:eastAsia="en-US"/>
        </w:rPr>
        <w:t xml:space="preserve"> е стратегията на Съюза, насочена към постигане до 2050 г. на неутрална по отношение на климата, чиста и кръгова икономика чрез оптимизиране на управлението на ресурсите и свеждане на замърсяването до минимум. Стратегията на ЕС за устойчивост в областта на химикалите</w:t>
      </w:r>
      <w:r w:rsidRPr="00921C9B">
        <w:rPr>
          <w:szCs w:val="24"/>
          <w:vertAlign w:val="superscript"/>
          <w:lang w:eastAsia="en-US"/>
        </w:rPr>
        <w:footnoteReference w:id="11"/>
      </w:r>
      <w:r w:rsidRPr="00921C9B">
        <w:rPr>
          <w:szCs w:val="24"/>
          <w:lang w:eastAsia="en-US"/>
        </w:rPr>
        <w:t xml:space="preserve"> и планът за действие за нулево замърсяване</w:t>
      </w:r>
      <w:r w:rsidRPr="00921C9B">
        <w:rPr>
          <w:szCs w:val="24"/>
          <w:vertAlign w:val="superscript"/>
          <w:lang w:eastAsia="en-US"/>
        </w:rPr>
        <w:footnoteReference w:id="12"/>
      </w:r>
      <w:r w:rsidRPr="00921C9B">
        <w:rPr>
          <w:szCs w:val="24"/>
          <w:lang w:eastAsia="en-US"/>
        </w:rPr>
        <w:t xml:space="preserve"> са насочени конкретно към свързаните със замърсяването аспекти на Европейския зелен пакт. Други особено важни и допълващи политики включват Стратегията на ЕС за пластмасите от 2018 г.</w:t>
      </w:r>
      <w:r w:rsidRPr="00921C9B">
        <w:rPr>
          <w:szCs w:val="24"/>
          <w:vertAlign w:val="superscript"/>
          <w:lang w:eastAsia="en-US"/>
        </w:rPr>
        <w:footnoteReference w:id="13"/>
      </w:r>
      <w:r w:rsidRPr="00921C9B">
        <w:rPr>
          <w:szCs w:val="24"/>
          <w:lang w:eastAsia="en-US"/>
        </w:rPr>
        <w:t>, Фармацевтичната стратегия за Европа от 2021 г.</w:t>
      </w:r>
      <w:r w:rsidRPr="00921C9B">
        <w:rPr>
          <w:szCs w:val="24"/>
          <w:vertAlign w:val="superscript"/>
          <w:lang w:eastAsia="en-US"/>
        </w:rPr>
        <w:footnoteReference w:id="14"/>
      </w:r>
      <w:r w:rsidRPr="00921C9B">
        <w:rPr>
          <w:szCs w:val="24"/>
          <w:lang w:eastAsia="en-US"/>
        </w:rPr>
        <w:t>, Стратегията на ЕС за биологичното разнообразие</w:t>
      </w:r>
      <w:r w:rsidRPr="00921C9B">
        <w:rPr>
          <w:szCs w:val="24"/>
          <w:vertAlign w:val="superscript"/>
          <w:lang w:eastAsia="en-US"/>
        </w:rPr>
        <w:footnoteReference w:id="15"/>
      </w:r>
      <w:r w:rsidRPr="00921C9B">
        <w:rPr>
          <w:szCs w:val="24"/>
          <w:lang w:eastAsia="en-US"/>
        </w:rPr>
        <w:t>, стратегията „От фермата до трапезата“</w:t>
      </w:r>
      <w:r w:rsidRPr="00921C9B">
        <w:rPr>
          <w:szCs w:val="24"/>
          <w:vertAlign w:val="superscript"/>
          <w:lang w:eastAsia="en-US"/>
        </w:rPr>
        <w:footnoteReference w:id="16"/>
      </w:r>
      <w:r w:rsidRPr="00921C9B">
        <w:rPr>
          <w:szCs w:val="24"/>
          <w:lang w:eastAsia="en-US"/>
        </w:rPr>
        <w:t>, Стратегията на ЕС за почвите за 2030 г.</w:t>
      </w:r>
      <w:r w:rsidRPr="00921C9B">
        <w:rPr>
          <w:szCs w:val="24"/>
          <w:vertAlign w:val="superscript"/>
          <w:lang w:eastAsia="en-US"/>
        </w:rPr>
        <w:footnoteReference w:id="17"/>
      </w:r>
      <w:r w:rsidRPr="00921C9B">
        <w:rPr>
          <w:szCs w:val="24"/>
          <w:lang w:eastAsia="en-US"/>
        </w:rPr>
        <w:t xml:space="preserve">, стратегията в </w:t>
      </w:r>
      <w:r w:rsidRPr="00921C9B">
        <w:rPr>
          <w:szCs w:val="24"/>
          <w:lang w:eastAsia="en-US"/>
        </w:rPr>
        <w:lastRenderedPageBreak/>
        <w:t>областта на цифровите технологии</w:t>
      </w:r>
      <w:r w:rsidRPr="00921C9B">
        <w:rPr>
          <w:szCs w:val="24"/>
          <w:vertAlign w:val="superscript"/>
          <w:lang w:eastAsia="en-US"/>
        </w:rPr>
        <w:footnoteReference w:id="18"/>
      </w:r>
      <w:r w:rsidRPr="00921C9B">
        <w:rPr>
          <w:szCs w:val="24"/>
          <w:lang w:eastAsia="en-US"/>
        </w:rPr>
        <w:t xml:space="preserve"> и Стратегията на ЕС за данните</w:t>
      </w:r>
      <w:r w:rsidRPr="00921C9B">
        <w:rPr>
          <w:szCs w:val="24"/>
          <w:vertAlign w:val="superscript"/>
          <w:lang w:eastAsia="en-US"/>
        </w:rPr>
        <w:footnoteReference w:id="19"/>
      </w:r>
      <w:r w:rsidRPr="00921C9B">
        <w:rPr>
          <w:szCs w:val="24"/>
          <w:lang w:eastAsia="en-US"/>
        </w:rPr>
        <w:t>.</w:t>
      </w:r>
    </w:p>
    <w:p w14:paraId="2B5E787E" w14:textId="3AAB6C18" w:rsidR="000D29CC" w:rsidRPr="00921C9B" w:rsidRDefault="000D29CC" w:rsidP="000D29CC">
      <w:pPr>
        <w:spacing w:before="120" w:after="120" w:line="360" w:lineRule="auto"/>
        <w:ind w:left="850" w:hanging="850"/>
        <w:rPr>
          <w:b/>
          <w:szCs w:val="24"/>
          <w:lang w:eastAsia="en-US"/>
        </w:rPr>
      </w:pPr>
      <w:r w:rsidRPr="00921C9B">
        <w:rPr>
          <w:b/>
          <w:i/>
          <w:szCs w:val="24"/>
          <w:lang w:eastAsia="en-US"/>
        </w:rPr>
        <w:t>(3a)</w:t>
      </w:r>
      <w:r w:rsidRPr="00921C9B">
        <w:rPr>
          <w:szCs w:val="24"/>
          <w:lang w:eastAsia="en-US"/>
        </w:rPr>
        <w:tab/>
      </w:r>
      <w:r w:rsidRPr="00921C9B">
        <w:rPr>
          <w:b/>
          <w:i/>
          <w:szCs w:val="24"/>
          <w:lang w:eastAsia="en-US"/>
        </w:rPr>
        <w:t>Целите за постигане на „добро състояние на водните обекти“ и гарантиране на наличието на вода са междусекторни и за тях често не се работи по достатъчно съгласуван начин. Доброто управление на водите следва да бъде включено във всички политики на Съюза, отнасящи се до секторите, които използват вода.</w:t>
      </w:r>
      <w:r w:rsidR="004C279A" w:rsidRPr="00921C9B">
        <w:rPr>
          <w:b/>
          <w:szCs w:val="24"/>
          <w:lang w:eastAsia="en-US"/>
        </w:rPr>
        <w:t xml:space="preserve"> [Изм. 16]</w:t>
      </w:r>
    </w:p>
    <w:p w14:paraId="62413EDB" w14:textId="1292CB4F" w:rsidR="000D29CC" w:rsidRPr="00921C9B" w:rsidRDefault="000D29CC" w:rsidP="000D29CC">
      <w:pPr>
        <w:spacing w:before="120" w:after="120" w:line="360" w:lineRule="auto"/>
        <w:ind w:left="850" w:hanging="850"/>
        <w:rPr>
          <w:b/>
          <w:szCs w:val="24"/>
          <w:lang w:eastAsia="en-US"/>
        </w:rPr>
      </w:pPr>
      <w:r w:rsidRPr="00921C9B">
        <w:rPr>
          <w:b/>
          <w:i/>
          <w:szCs w:val="24"/>
          <w:lang w:eastAsia="en-US"/>
        </w:rPr>
        <w:t>(3б)</w:t>
      </w:r>
      <w:r w:rsidRPr="00921C9B">
        <w:rPr>
          <w:szCs w:val="24"/>
          <w:lang w:eastAsia="en-US"/>
        </w:rPr>
        <w:tab/>
      </w:r>
      <w:r w:rsidRPr="00921C9B">
        <w:rPr>
          <w:b/>
          <w:i/>
          <w:szCs w:val="24"/>
          <w:lang w:eastAsia="en-US"/>
        </w:rPr>
        <w:t>В проверката за пригодност се посочва, че е необходимо по-добро интегриране на целите в областта на водите в селскостопанската политика. С новата ОСП се въвеждат мерки за по-устойчиво управление на водите. За да се постигне по-голяма съгласуваност между политиките за селското стопанство и водите, държавите членки следва да се възползват пълноценно от възможностите, предоставени в новата ОСП, и да включат изцяло въпросите, свързани с водите, в стратегическите си планове, включително използването на системите за знания и иновации в селското стопанство (AKIS), както и да подкрепят разработването на консултантски услуги за насърчаване на най-добрите практики в областта на управлението на водите.</w:t>
      </w:r>
      <w:r w:rsidR="004C279A" w:rsidRPr="00921C9B">
        <w:rPr>
          <w:b/>
          <w:szCs w:val="24"/>
          <w:lang w:eastAsia="en-US"/>
        </w:rPr>
        <w:t xml:space="preserve"> [Изм. 17]</w:t>
      </w:r>
    </w:p>
    <w:p w14:paraId="0EB044B8" w14:textId="77777777" w:rsidR="00723523" w:rsidRPr="00921C9B" w:rsidRDefault="00723523">
      <w:pPr>
        <w:widowControl/>
        <w:rPr>
          <w:szCs w:val="24"/>
          <w:lang w:eastAsia="en-US"/>
        </w:rPr>
      </w:pPr>
      <w:r w:rsidRPr="00921C9B">
        <w:rPr>
          <w:szCs w:val="24"/>
          <w:lang w:eastAsia="en-US"/>
        </w:rPr>
        <w:br w:type="page"/>
      </w:r>
    </w:p>
    <w:p w14:paraId="7C154387" w14:textId="0D158C33" w:rsidR="000D29CC" w:rsidRPr="00921C9B" w:rsidRDefault="000D29CC" w:rsidP="000D29CC">
      <w:pPr>
        <w:spacing w:before="120" w:after="120" w:line="360" w:lineRule="auto"/>
        <w:ind w:left="850" w:hanging="850"/>
        <w:rPr>
          <w:b/>
          <w:szCs w:val="24"/>
          <w:lang w:eastAsia="en-US"/>
        </w:rPr>
      </w:pPr>
      <w:r w:rsidRPr="00921C9B">
        <w:rPr>
          <w:szCs w:val="24"/>
          <w:lang w:eastAsia="en-US"/>
        </w:rPr>
        <w:lastRenderedPageBreak/>
        <w:t>(4)</w:t>
      </w:r>
      <w:r w:rsidRPr="00921C9B">
        <w:rPr>
          <w:szCs w:val="24"/>
          <w:lang w:eastAsia="en-US"/>
        </w:rPr>
        <w:tab/>
        <w:t>С Директива 2000/60/ЕО на Европейския парламент и на Съвета</w:t>
      </w:r>
      <w:r w:rsidRPr="00921C9B">
        <w:rPr>
          <w:szCs w:val="24"/>
          <w:vertAlign w:val="superscript"/>
          <w:lang w:eastAsia="en-US"/>
        </w:rPr>
        <w:footnoteReference w:id="20"/>
      </w:r>
      <w:r w:rsidRPr="00921C9B">
        <w:rPr>
          <w:szCs w:val="24"/>
          <w:lang w:eastAsia="en-US"/>
        </w:rPr>
        <w:t xml:space="preserve"> беше създадена рамка за защита на вътрешнотериториалните повърхностни води, преходните води, крайбрежните води и подземните води. Рамката включва определянето на приоритетни вещества сред тези, които представляват съществен риск за водната среда на равнището на Съюза или посредством нея. С Директива 2008/105/ЕО на Европейския парламент и на Съвета</w:t>
      </w:r>
      <w:r w:rsidRPr="00921C9B">
        <w:rPr>
          <w:szCs w:val="24"/>
          <w:vertAlign w:val="superscript"/>
          <w:lang w:eastAsia="en-US"/>
        </w:rPr>
        <w:footnoteReference w:id="21"/>
      </w:r>
      <w:r w:rsidRPr="00921C9B">
        <w:rPr>
          <w:szCs w:val="24"/>
          <w:lang w:eastAsia="en-US"/>
        </w:rPr>
        <w:t xml:space="preserve"> се определят стандарти за качество на околната среда (СКОС) за целия Съюз за 45-те приоритетни вещества, изброени в приложение X към Директива 2000/60/ЕО, и за осем други замърсители, които вече са били регулирани на равнището на Съюза преди въвеждането на приложение X с Решение № 2455/2001/ЕО на Европейския парламент и на Съвета</w:t>
      </w:r>
      <w:r w:rsidRPr="00921C9B">
        <w:rPr>
          <w:szCs w:val="24"/>
          <w:vertAlign w:val="superscript"/>
          <w:lang w:eastAsia="en-US"/>
        </w:rPr>
        <w:footnoteReference w:id="22"/>
      </w:r>
      <w:r w:rsidRPr="00921C9B">
        <w:rPr>
          <w:szCs w:val="24"/>
          <w:lang w:eastAsia="en-US"/>
        </w:rPr>
        <w:t>. С Директива 2006/118/ЕО на Европейския парламент и на Съвета</w:t>
      </w:r>
      <w:r w:rsidRPr="00921C9B">
        <w:rPr>
          <w:szCs w:val="24"/>
          <w:vertAlign w:val="superscript"/>
          <w:lang w:eastAsia="en-US"/>
        </w:rPr>
        <w:footnoteReference w:id="23"/>
      </w:r>
      <w:r w:rsidRPr="00921C9B">
        <w:rPr>
          <w:szCs w:val="24"/>
          <w:lang w:eastAsia="en-US"/>
        </w:rPr>
        <w:t xml:space="preserve"> се определят стандарти за качество на подземните води за целия Съюз по отношение на нитратите и активните вещества в пестицидите, както и критерии за определяне на национални прагови стойности за други замърсители на подземните води. В нея се съдържа също минимален списък от 12 замърсители и техните показатели, за които държавите членки трябва да </w:t>
      </w:r>
      <w:r w:rsidRPr="00921C9B">
        <w:rPr>
          <w:strike/>
          <w:szCs w:val="24"/>
          <w:lang w:eastAsia="en-US"/>
        </w:rPr>
        <w:t>предвидят установяване на</w:t>
      </w:r>
      <w:r w:rsidRPr="00921C9B">
        <w:rPr>
          <w:b/>
          <w:i/>
          <w:szCs w:val="24"/>
          <w:lang w:eastAsia="en-US"/>
        </w:rPr>
        <w:t>установят</w:t>
      </w:r>
      <w:r w:rsidRPr="00921C9B">
        <w:rPr>
          <w:szCs w:val="24"/>
          <w:lang w:eastAsia="en-US"/>
        </w:rPr>
        <w:t xml:space="preserve"> такива национални прагови стойности. Стандартите за качество на подземните води са посочени в приложение I към Директива 2006/118/ЕО.</w:t>
      </w:r>
      <w:r w:rsidR="004C279A" w:rsidRPr="00921C9B">
        <w:rPr>
          <w:b/>
          <w:szCs w:val="24"/>
          <w:lang w:eastAsia="en-US"/>
        </w:rPr>
        <w:t xml:space="preserve"> [Изм. 18]</w:t>
      </w:r>
    </w:p>
    <w:p w14:paraId="59197899" w14:textId="77777777" w:rsidR="00723523" w:rsidRPr="00921C9B" w:rsidRDefault="00723523">
      <w:pPr>
        <w:widowControl/>
        <w:rPr>
          <w:b/>
          <w:i/>
          <w:szCs w:val="24"/>
          <w:lang w:eastAsia="en-US"/>
        </w:rPr>
      </w:pPr>
      <w:r w:rsidRPr="00921C9B">
        <w:rPr>
          <w:b/>
          <w:i/>
          <w:szCs w:val="24"/>
          <w:lang w:eastAsia="en-US"/>
        </w:rPr>
        <w:br w:type="page"/>
      </w:r>
    </w:p>
    <w:p w14:paraId="56CC886E" w14:textId="1B48F631"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(4a)</w:t>
      </w:r>
      <w:r w:rsidRPr="00921C9B">
        <w:rPr>
          <w:szCs w:val="24"/>
          <w:lang w:eastAsia="en-US"/>
        </w:rPr>
        <w:tab/>
      </w:r>
      <w:r w:rsidRPr="00921C9B">
        <w:rPr>
          <w:b/>
          <w:i/>
          <w:szCs w:val="24"/>
          <w:lang w:eastAsia="en-US"/>
        </w:rPr>
        <w:t>Държавите членки следва да гарантират, че замърсяването, причинено от зауствания, емисии или загуба на приоритетни опасни вещества, е преустановено или премахнато поетапно в рамките на подходящ срок и във всеки случай не по-късно от 20 години след включването на дадено приоритетно вещество като опасно в част А от приложение I към Директива 2008/105/ЕО. Този график следва да се прилага, без да се засяга прилагането на по-строги срокове в което и да е друго приложимо законодателство на Съюза.</w:t>
      </w:r>
      <w:r w:rsidR="004C279A" w:rsidRPr="00921C9B">
        <w:rPr>
          <w:b/>
          <w:szCs w:val="24"/>
          <w:lang w:eastAsia="en-US"/>
        </w:rPr>
        <w:t xml:space="preserve"> [Изм. 19]</w:t>
      </w:r>
    </w:p>
    <w:p w14:paraId="7F9ABD7F" w14:textId="53768D0D" w:rsidR="000D29CC" w:rsidRPr="00921C9B" w:rsidRDefault="000D29CC" w:rsidP="000D29CC">
      <w:pPr>
        <w:spacing w:before="120" w:after="120" w:line="360" w:lineRule="auto"/>
        <w:ind w:left="850" w:hanging="850"/>
        <w:rPr>
          <w:b/>
          <w:szCs w:val="24"/>
          <w:lang w:eastAsia="en-US"/>
        </w:rPr>
      </w:pPr>
      <w:r w:rsidRPr="00921C9B">
        <w:rPr>
          <w:szCs w:val="24"/>
          <w:lang w:eastAsia="en-US"/>
        </w:rPr>
        <w:t>(5)</w:t>
      </w:r>
      <w:r w:rsidRPr="00921C9B">
        <w:rPr>
          <w:szCs w:val="24"/>
          <w:lang w:eastAsia="en-US"/>
        </w:rPr>
        <w:tab/>
        <w:t xml:space="preserve">Веществата се разглеждат за включване в приложение X към Директива 2000/60/ЕО или в приложение I или приложение II към Директива 2006/118/ЕО въз основа на оценка на риска, който те представляват за хората и водната среда. Ключовите компоненти на тази оценка са познанията за концентрациите на веществата в околната среда, включително информацията, събрана от мониторинга на списъка за наблюдение, и за (еко)токсикологията на веществата, както и за тяхната устойчивост, биоакумулация, </w:t>
      </w:r>
      <w:r w:rsidRPr="00921C9B">
        <w:rPr>
          <w:b/>
          <w:i/>
          <w:szCs w:val="24"/>
          <w:lang w:eastAsia="en-US"/>
        </w:rPr>
        <w:t xml:space="preserve">токсичност, мобилност, </w:t>
      </w:r>
      <w:r w:rsidRPr="00921C9B">
        <w:rPr>
          <w:szCs w:val="24"/>
          <w:lang w:eastAsia="en-US"/>
        </w:rPr>
        <w:t>канцерогенност, мутагенност, токсичност за репродукцията и потенциал за нарушаване на функциите на ендокринната система.</w:t>
      </w:r>
      <w:r w:rsidR="004C279A" w:rsidRPr="00921C9B">
        <w:rPr>
          <w:b/>
          <w:szCs w:val="24"/>
          <w:lang w:eastAsia="en-US"/>
        </w:rPr>
        <w:t xml:space="preserve"> [Изм. 20]</w:t>
      </w:r>
    </w:p>
    <w:p w14:paraId="13BA374D" w14:textId="77777777" w:rsidR="00723523" w:rsidRPr="00921C9B" w:rsidRDefault="00723523">
      <w:pPr>
        <w:widowControl/>
        <w:rPr>
          <w:szCs w:val="24"/>
          <w:lang w:eastAsia="en-US"/>
        </w:rPr>
      </w:pPr>
      <w:r w:rsidRPr="00921C9B">
        <w:rPr>
          <w:szCs w:val="24"/>
          <w:lang w:eastAsia="en-US"/>
        </w:rPr>
        <w:br w:type="page"/>
      </w:r>
    </w:p>
    <w:p w14:paraId="6E64B3A9" w14:textId="41347005"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(6)</w:t>
      </w:r>
      <w:r w:rsidRPr="00921C9B">
        <w:rPr>
          <w:szCs w:val="24"/>
          <w:lang w:eastAsia="en-US"/>
        </w:rPr>
        <w:tab/>
        <w:t>Комисията извърши преглед на списъка на приоритетните вещества в приложение X към Директива 2000/60/ЕО в съответствие с член 16, параграф 4 от посочената директива и с член 8 от Директива 2008/105/ЕО, както и преглед на списъците на веществата в приложения I и II към Директива 2006/118/ЕО в съответствие с член 10 от посочената директива и стигна до заключението, че с оглед на новите научни познания е целесъобразно тези списъци да бъдат изменени чрез добавяне на нови вещества, определяне на СКОС или на стандарти за качество на подземните води за тези новодобавени вещества, преразглеждане на СКОС за някои съществуващи вещества в съответствие с научния прогрес и определяне на СКОС за биотата за някои съществуващи и новодобавени вещества. Тя също така определи кои допълнителни вещества има вероятност да се натрупват в седимента или в биотата и поясни, че следва да се извършва мониторинг на тенденциите за тези вещества в седимента или в биотата. Прегледът на списъците на веществата е подкрепен от широкообхватни консултации с експерти от службите на Комисията, държавите членки, групите на заинтересованите страни и Научния комитет по здравни, екологични и възникващи рискове.</w:t>
      </w:r>
    </w:p>
    <w:p w14:paraId="0E6E1292" w14:textId="77777777" w:rsidR="00723523" w:rsidRPr="00921C9B" w:rsidRDefault="00723523">
      <w:pPr>
        <w:widowControl/>
        <w:rPr>
          <w:szCs w:val="24"/>
          <w:lang w:eastAsia="en-US"/>
        </w:rPr>
      </w:pPr>
      <w:r w:rsidRPr="00921C9B">
        <w:rPr>
          <w:szCs w:val="24"/>
          <w:lang w:eastAsia="en-US"/>
        </w:rPr>
        <w:br w:type="page"/>
      </w:r>
    </w:p>
    <w:p w14:paraId="284D446B" w14:textId="69E84363" w:rsidR="000D29CC" w:rsidRPr="00921C9B" w:rsidRDefault="000D29CC" w:rsidP="000D29CC">
      <w:pPr>
        <w:spacing w:before="120" w:after="120" w:line="360" w:lineRule="auto"/>
        <w:ind w:left="850" w:hanging="850"/>
        <w:rPr>
          <w:b/>
          <w:szCs w:val="24"/>
          <w:lang w:eastAsia="en-US"/>
        </w:rPr>
      </w:pPr>
      <w:r w:rsidRPr="00921C9B">
        <w:rPr>
          <w:szCs w:val="24"/>
          <w:lang w:eastAsia="en-US"/>
        </w:rPr>
        <w:lastRenderedPageBreak/>
        <w:t>(7)</w:t>
      </w:r>
      <w:r w:rsidRPr="00921C9B">
        <w:rPr>
          <w:szCs w:val="24"/>
          <w:lang w:eastAsia="en-US"/>
        </w:rPr>
        <w:tab/>
        <w:t xml:space="preserve">С оглед на ефективното справяне с повечето замърсители през целия им жизнен цикъл е необходима комбинация от мерки за контрол при източника и </w:t>
      </w:r>
      <w:r w:rsidRPr="00921C9B">
        <w:rPr>
          <w:strike/>
          <w:szCs w:val="24"/>
          <w:lang w:eastAsia="en-US"/>
        </w:rPr>
        <w:t xml:space="preserve">крайни </w:t>
      </w:r>
      <w:r w:rsidRPr="00921C9B">
        <w:rPr>
          <w:szCs w:val="24"/>
          <w:lang w:eastAsia="en-US"/>
        </w:rPr>
        <w:t>мерки</w:t>
      </w:r>
      <w:r w:rsidRPr="00921C9B">
        <w:rPr>
          <w:b/>
          <w:i/>
          <w:szCs w:val="24"/>
          <w:lang w:eastAsia="en-US"/>
        </w:rPr>
        <w:t xml:space="preserve"> в крайната фаза</w:t>
      </w:r>
      <w:r w:rsidRPr="00921C9B">
        <w:rPr>
          <w:szCs w:val="24"/>
          <w:lang w:eastAsia="en-US"/>
        </w:rPr>
        <w:t xml:space="preserve">, включително, ако е уместно, химическо проектиране, разрешение или одобрение, контрол на емисиите по време на производството и употребата или други процеси, както и обработка на отпадъците. Следователно определянето на нови или по-строги стандарти за качество във водните обекти допълва и е съгласувано с друго законодателство на Съюза, в което се разглежда или </w:t>
      </w:r>
      <w:r w:rsidRPr="00921C9B">
        <w:rPr>
          <w:strike/>
          <w:szCs w:val="24"/>
          <w:lang w:eastAsia="en-US"/>
        </w:rPr>
        <w:t>може</w:t>
      </w:r>
      <w:r w:rsidRPr="00921C9B">
        <w:rPr>
          <w:b/>
          <w:i/>
          <w:szCs w:val="24"/>
          <w:lang w:eastAsia="en-US"/>
        </w:rPr>
        <w:t>следва</w:t>
      </w:r>
      <w:r w:rsidRPr="00921C9B">
        <w:rPr>
          <w:szCs w:val="24"/>
          <w:lang w:eastAsia="en-US"/>
        </w:rPr>
        <w:t xml:space="preserve"> да бъде разгледан проблемът със замърсяването на един или повече от тези етапи, включително Регламент (ЕО) № 1907/2006 на Европейския парламент и на Съвета</w:t>
      </w:r>
      <w:r w:rsidRPr="00921C9B">
        <w:rPr>
          <w:szCs w:val="24"/>
          <w:vertAlign w:val="superscript"/>
          <w:lang w:eastAsia="en-US"/>
        </w:rPr>
        <w:footnoteReference w:id="24"/>
      </w:r>
      <w:r w:rsidRPr="00921C9B">
        <w:rPr>
          <w:szCs w:val="24"/>
          <w:lang w:eastAsia="en-US"/>
        </w:rPr>
        <w:t>, Регламент (ЕО) № 1107/2009 на Европейския парламент и на Съвета</w:t>
      </w:r>
      <w:r w:rsidRPr="00921C9B">
        <w:rPr>
          <w:szCs w:val="24"/>
          <w:vertAlign w:val="superscript"/>
          <w:lang w:eastAsia="en-US"/>
        </w:rPr>
        <w:footnoteReference w:id="25"/>
      </w:r>
      <w:r w:rsidRPr="00921C9B">
        <w:rPr>
          <w:szCs w:val="24"/>
          <w:lang w:eastAsia="en-US"/>
        </w:rPr>
        <w:t>, Регламент (ЕС) № 528/2012 на Европейския парламент и на Съвета</w:t>
      </w:r>
      <w:r w:rsidRPr="00921C9B">
        <w:rPr>
          <w:szCs w:val="24"/>
          <w:vertAlign w:val="superscript"/>
          <w:lang w:eastAsia="en-US"/>
        </w:rPr>
        <w:footnoteReference w:id="26"/>
      </w:r>
      <w:r w:rsidRPr="00921C9B">
        <w:rPr>
          <w:szCs w:val="24"/>
          <w:lang w:eastAsia="en-US"/>
        </w:rPr>
        <w:t>, Регламент (ЕС) 2019/6 на Европейския парламент и на Съвета</w:t>
      </w:r>
      <w:r w:rsidRPr="00921C9B">
        <w:rPr>
          <w:szCs w:val="24"/>
          <w:vertAlign w:val="superscript"/>
          <w:lang w:eastAsia="en-US"/>
        </w:rPr>
        <w:footnoteReference w:id="27"/>
      </w:r>
      <w:r w:rsidRPr="00921C9B">
        <w:rPr>
          <w:szCs w:val="24"/>
          <w:lang w:eastAsia="en-US"/>
        </w:rPr>
        <w:t>, Директива 2001/83/ЕО на Европейския парламент и на Съвета</w:t>
      </w:r>
      <w:r w:rsidRPr="00921C9B">
        <w:rPr>
          <w:szCs w:val="24"/>
          <w:vertAlign w:val="superscript"/>
          <w:lang w:eastAsia="en-US"/>
        </w:rPr>
        <w:footnoteReference w:id="28"/>
      </w:r>
      <w:r w:rsidRPr="00921C9B">
        <w:rPr>
          <w:szCs w:val="24"/>
          <w:lang w:eastAsia="en-US"/>
        </w:rPr>
        <w:t>, Директива 2009/128/ЕО на Европейския парламент и на Съвета</w:t>
      </w:r>
      <w:r w:rsidRPr="00921C9B">
        <w:rPr>
          <w:szCs w:val="24"/>
          <w:vertAlign w:val="superscript"/>
          <w:lang w:eastAsia="en-US"/>
        </w:rPr>
        <w:footnoteReference w:id="29"/>
      </w:r>
      <w:r w:rsidRPr="00921C9B">
        <w:rPr>
          <w:szCs w:val="24"/>
          <w:lang w:eastAsia="en-US"/>
        </w:rPr>
        <w:t>, Директива 2010/75/ЕС на Европейския парламент и на Съвета</w:t>
      </w:r>
      <w:r w:rsidRPr="00921C9B">
        <w:rPr>
          <w:szCs w:val="24"/>
          <w:vertAlign w:val="superscript"/>
          <w:lang w:eastAsia="en-US"/>
        </w:rPr>
        <w:footnoteReference w:id="30"/>
      </w:r>
      <w:r w:rsidRPr="00921C9B">
        <w:rPr>
          <w:szCs w:val="24"/>
          <w:lang w:eastAsia="en-US"/>
        </w:rPr>
        <w:t xml:space="preserve"> и Директива 91/271/ЕИО на Съвета</w:t>
      </w:r>
      <w:r w:rsidRPr="00921C9B">
        <w:rPr>
          <w:szCs w:val="24"/>
          <w:vertAlign w:val="superscript"/>
          <w:lang w:eastAsia="en-US"/>
        </w:rPr>
        <w:footnoteReference w:id="31"/>
      </w:r>
      <w:r w:rsidRPr="00921C9B">
        <w:rPr>
          <w:szCs w:val="24"/>
          <w:lang w:eastAsia="en-US"/>
        </w:rPr>
        <w:t>.</w:t>
      </w:r>
      <w:r w:rsidRPr="00921C9B">
        <w:rPr>
          <w:b/>
          <w:i/>
          <w:szCs w:val="24"/>
          <w:lang w:eastAsia="en-US"/>
        </w:rPr>
        <w:t xml:space="preserve"> За да могат държавите членки да постигнат по най-добрия и най-ефективен от гледна точка на разходите </w:t>
      </w:r>
      <w:r w:rsidRPr="00921C9B">
        <w:rPr>
          <w:b/>
          <w:i/>
          <w:szCs w:val="24"/>
          <w:lang w:eastAsia="en-US"/>
        </w:rPr>
        <w:lastRenderedPageBreak/>
        <w:t>начин целите в областта на околната среда, определени в член 4 от Директива 2000/60/ЕО, при изготвянето на своите програми от мерки те следва да гарантират, че се дава приоритет на мерките за контрол при източника пред мерките в крайната фаза, както и че тези мерки са в съгласие със съответното секторно законодателство на Съюза в областта на замърсяването. Когато има риск да не се постигне добро състояние на водните обекти чрез мерките за контрол при източника, следва да се приложат мерки в крайната фаза. Комисията следва да разработи насоки за най-добри практики по отношение на мерките за контрол при източника и допълването на мерките в крайната фаза.</w:t>
      </w:r>
      <w:r w:rsidR="004C279A" w:rsidRPr="00921C9B">
        <w:rPr>
          <w:b/>
          <w:szCs w:val="24"/>
          <w:lang w:eastAsia="en-US"/>
        </w:rPr>
        <w:t xml:space="preserve"> [Изм. 21]</w:t>
      </w:r>
    </w:p>
    <w:p w14:paraId="201EEB74" w14:textId="77777777" w:rsidR="00723523" w:rsidRPr="00921C9B" w:rsidRDefault="00723523">
      <w:pPr>
        <w:widowControl/>
        <w:rPr>
          <w:b/>
          <w:i/>
          <w:szCs w:val="24"/>
          <w:lang w:eastAsia="en-US"/>
        </w:rPr>
      </w:pPr>
      <w:r w:rsidRPr="00921C9B">
        <w:rPr>
          <w:b/>
          <w:i/>
          <w:szCs w:val="24"/>
          <w:lang w:eastAsia="en-US"/>
        </w:rPr>
        <w:br w:type="page"/>
      </w:r>
    </w:p>
    <w:p w14:paraId="3746979C" w14:textId="2FCB2A34"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(7a)</w:t>
      </w:r>
      <w:r w:rsidRPr="00921C9B">
        <w:rPr>
          <w:szCs w:val="24"/>
          <w:lang w:eastAsia="en-US"/>
        </w:rPr>
        <w:tab/>
      </w:r>
      <w:r w:rsidRPr="00921C9B">
        <w:rPr>
          <w:b/>
          <w:i/>
          <w:szCs w:val="24"/>
          <w:lang w:eastAsia="en-US"/>
        </w:rPr>
        <w:t>Замърсяването на водите се дължи главно на промишлени и селскостопански дейности, заустване на отпадъчни води и градски отток, включително дъждовни води. В действията си Комисията и държавите членки следва да поставят приоритет върху мерките за намаляване на замърсяването при източника, както и върху тяхното изпълнение. С оглед на това, за да се намали замърсяването до нива, които вече не се считат за вредни за здравето и природните екосистеми, следва да се осигури съгласуваност между всички законодателни актове на Съюза и националните законодателства, свързани с емисиите на замърсители при източника.</w:t>
      </w:r>
      <w:r w:rsidR="004C279A" w:rsidRPr="00921C9B">
        <w:rPr>
          <w:b/>
          <w:szCs w:val="24"/>
          <w:lang w:eastAsia="en-US"/>
        </w:rPr>
        <w:t xml:space="preserve"> [Изм. 22]</w:t>
      </w:r>
    </w:p>
    <w:p w14:paraId="4E48D3CF" w14:textId="77777777" w:rsidR="00723523" w:rsidRPr="00921C9B" w:rsidRDefault="00723523">
      <w:pPr>
        <w:widowControl/>
        <w:rPr>
          <w:b/>
          <w:i/>
          <w:szCs w:val="24"/>
          <w:lang w:eastAsia="en-US"/>
        </w:rPr>
      </w:pPr>
      <w:r w:rsidRPr="00921C9B">
        <w:rPr>
          <w:b/>
          <w:i/>
          <w:szCs w:val="24"/>
          <w:lang w:eastAsia="en-US"/>
        </w:rPr>
        <w:br w:type="page"/>
      </w:r>
    </w:p>
    <w:p w14:paraId="2A33143D" w14:textId="5D3B7D75"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(7б)</w:t>
      </w:r>
      <w:r w:rsidRPr="00921C9B">
        <w:rPr>
          <w:szCs w:val="24"/>
          <w:lang w:eastAsia="en-US"/>
        </w:rPr>
        <w:tab/>
      </w:r>
      <w:r w:rsidRPr="00921C9B">
        <w:rPr>
          <w:b/>
          <w:i/>
          <w:szCs w:val="24"/>
          <w:lang w:eastAsia="en-US"/>
        </w:rPr>
        <w:t>За да се гарантира, че законодателството, целящо предотвратяване на замърсяването на повърхностните и подземните води, е актуално по отношение на бързото развитие на нови и нововъзникващи химикали, които като замърсители могат да представляват значителен риск за човешкото здраве и водната среда, следва да се укрепят механизмите на политиките за откриване и оценяване на такива вещества, пораждащи нови безпокойства. В тази връзка следва да се разработи подход, позволяващ мониторинг и анализ на допълнителни вещества или групи от вещества, включени в списъците за наблюдение на повърхностните и подземните води. Веществата или групите от вещества, които трябва да бъдат включени в списъка за наблюдение, следва да бъдат избрани измежду веществата, за които наличната информация сочи, че могат да представляват съществен риск на равнището на Съюза за водната среда или посредством нея, и за които данните от мониторинга не са достатъчни. Броят на тези вещества или групи от вещества, които трябва да бъдат проследявани и анализирани в рамките на списъците за наблюдение на повърхностните и подземните води, не следва да бъде ограничен.</w:t>
      </w:r>
      <w:r w:rsidR="004C279A" w:rsidRPr="00921C9B">
        <w:rPr>
          <w:b/>
          <w:szCs w:val="24"/>
          <w:lang w:eastAsia="en-US"/>
        </w:rPr>
        <w:t xml:space="preserve"> [Изм. 23]</w:t>
      </w:r>
    </w:p>
    <w:p w14:paraId="26D8EA9D" w14:textId="77777777" w:rsidR="00723523" w:rsidRPr="00921C9B" w:rsidRDefault="00723523">
      <w:pPr>
        <w:widowControl/>
        <w:rPr>
          <w:szCs w:val="24"/>
          <w:lang w:eastAsia="en-US"/>
        </w:rPr>
      </w:pPr>
      <w:r w:rsidRPr="00921C9B">
        <w:rPr>
          <w:szCs w:val="24"/>
          <w:lang w:eastAsia="en-US"/>
        </w:rPr>
        <w:br w:type="page"/>
      </w:r>
    </w:p>
    <w:p w14:paraId="049C3677" w14:textId="5AF29207" w:rsidR="000D29CC" w:rsidRPr="00921C9B" w:rsidRDefault="000D29CC" w:rsidP="000D29CC">
      <w:pPr>
        <w:spacing w:before="120" w:after="120" w:line="360" w:lineRule="auto"/>
        <w:ind w:left="850" w:hanging="850"/>
        <w:rPr>
          <w:b/>
          <w:szCs w:val="24"/>
          <w:lang w:eastAsia="en-US"/>
        </w:rPr>
      </w:pPr>
      <w:r w:rsidRPr="00921C9B">
        <w:rPr>
          <w:szCs w:val="24"/>
          <w:lang w:eastAsia="en-US"/>
        </w:rPr>
        <w:lastRenderedPageBreak/>
        <w:t>(8)</w:t>
      </w:r>
      <w:r w:rsidRPr="00921C9B">
        <w:rPr>
          <w:szCs w:val="24"/>
          <w:lang w:eastAsia="en-US"/>
        </w:rPr>
        <w:tab/>
        <w:t>Новите научни познания сочат значителен риск от няколко други замърсители, открити във водните басейни, в допълнение към вече регулираните.</w:t>
      </w:r>
      <w:r w:rsidR="004C279A" w:rsidRPr="00921C9B">
        <w:rPr>
          <w:szCs w:val="24"/>
          <w:lang w:eastAsia="en-US"/>
        </w:rPr>
        <w:t xml:space="preserve"> </w:t>
      </w:r>
      <w:r w:rsidRPr="00921C9B">
        <w:rPr>
          <w:szCs w:val="24"/>
          <w:lang w:eastAsia="en-US"/>
        </w:rPr>
        <w:t xml:space="preserve">В подземните води е установен особен проблем чрез доброволен мониторинг на пер- и полифлуороалкилни вещества (PFAS) и на фармацевтични продукти. PFAS са открити в повече от </w:t>
      </w:r>
      <w:r w:rsidRPr="00921C9B">
        <w:rPr>
          <w:strike/>
          <w:szCs w:val="24"/>
          <w:lang w:eastAsia="en-US"/>
        </w:rPr>
        <w:t>70 %</w:t>
      </w:r>
      <w:r w:rsidRPr="00921C9B">
        <w:rPr>
          <w:b/>
          <w:i/>
          <w:szCs w:val="24"/>
          <w:lang w:eastAsia="en-US"/>
        </w:rPr>
        <w:t>70%</w:t>
      </w:r>
      <w:r w:rsidRPr="00921C9B">
        <w:rPr>
          <w:szCs w:val="24"/>
          <w:lang w:eastAsia="en-US"/>
        </w:rPr>
        <w:t xml:space="preserve"> от пунктовете за измерване на подземни води в Съюза и съществуващите национални прагове са явно надвишени на значителен брой места, а фармацевтичните вещества също са широко разпространени. </w:t>
      </w:r>
      <w:r w:rsidRPr="00921C9B">
        <w:rPr>
          <w:b/>
          <w:i/>
          <w:szCs w:val="24"/>
          <w:lang w:eastAsia="en-US"/>
        </w:rPr>
        <w:t xml:space="preserve">Поради това към списъка на замърсителите на подземни води следва да се добавят и подгрупа от специфични PFAS, както и общо PFAS. </w:t>
      </w:r>
      <w:r w:rsidRPr="00921C9B">
        <w:rPr>
          <w:szCs w:val="24"/>
          <w:lang w:eastAsia="en-US"/>
        </w:rPr>
        <w:t xml:space="preserve">В повърхностните води перфлуорооктан сулфоновата киселина и нейните производни вече са включени в списъка на приоритетните вещества, но се признава, че и други PFAS представляват риск. </w:t>
      </w:r>
      <w:r w:rsidRPr="00921C9B">
        <w:rPr>
          <w:b/>
          <w:i/>
          <w:szCs w:val="24"/>
          <w:lang w:eastAsia="en-US"/>
        </w:rPr>
        <w:t xml:space="preserve">Поради това към списъка на приоритетните вещества следва да се добавят и подгрупа от специфични PFAS, както и общо PFAS. За да се гарантира хармонизиран подход и равнопоставеност в Съюза, на Комисията следва да бъде делегирано правомощието да приема актове в съответствие с член 290 от ДФЕС за изменение на приложение I към Директива 2006/118/ЕО чрез установяване на стандарт за качество общо за PFAS. </w:t>
      </w:r>
      <w:r w:rsidRPr="00921C9B">
        <w:rPr>
          <w:szCs w:val="24"/>
          <w:lang w:eastAsia="en-US"/>
        </w:rPr>
        <w:t>Мониторингът на списъка за наблюдение съгласно член 8б от Директива 2008/105/ЕО</w:t>
      </w:r>
      <w:r w:rsidRPr="00921C9B">
        <w:rPr>
          <w:b/>
          <w:i/>
          <w:szCs w:val="24"/>
          <w:lang w:eastAsia="en-US"/>
        </w:rPr>
        <w:t xml:space="preserve"> също</w:t>
      </w:r>
      <w:r w:rsidRPr="00921C9B">
        <w:rPr>
          <w:szCs w:val="24"/>
          <w:lang w:eastAsia="en-US"/>
        </w:rPr>
        <w:t xml:space="preserve"> потвърди риска от редица фармацевтични вещества в повърхностните води, поради което те следва да бъдат добавени към списъка на приоритетните вещества.</w:t>
      </w:r>
      <w:r w:rsidR="004C279A" w:rsidRPr="00921C9B">
        <w:rPr>
          <w:b/>
          <w:szCs w:val="24"/>
          <w:lang w:eastAsia="en-US"/>
        </w:rPr>
        <w:t xml:space="preserve"> [Изм. 24]</w:t>
      </w:r>
    </w:p>
    <w:p w14:paraId="1791CA3E" w14:textId="77777777" w:rsidR="00723523" w:rsidRPr="00921C9B" w:rsidRDefault="00723523">
      <w:pPr>
        <w:widowControl/>
        <w:rPr>
          <w:b/>
          <w:i/>
          <w:szCs w:val="24"/>
          <w:lang w:eastAsia="en-US"/>
        </w:rPr>
      </w:pPr>
      <w:r w:rsidRPr="00921C9B">
        <w:rPr>
          <w:b/>
          <w:i/>
          <w:szCs w:val="24"/>
          <w:lang w:eastAsia="en-US"/>
        </w:rPr>
        <w:br w:type="page"/>
      </w:r>
    </w:p>
    <w:p w14:paraId="77E21F96" w14:textId="6AAD5B3B"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(8a)</w:t>
      </w:r>
      <w:r w:rsidRPr="00921C9B">
        <w:rPr>
          <w:szCs w:val="24"/>
          <w:lang w:eastAsia="en-US"/>
        </w:rPr>
        <w:tab/>
      </w:r>
      <w:r w:rsidRPr="00921C9B">
        <w:rPr>
          <w:b/>
          <w:i/>
          <w:szCs w:val="24"/>
          <w:lang w:eastAsia="en-US"/>
        </w:rPr>
        <w:t>Глифосатът е най-често използваният хербицид в Съюза за селскостопански цели. Като активно вещество той породи сериозни безпокойства по отношение на въздействието си върху човешкото здраве и токсичността за водната среда. През декември 2022 г. Комисията реши да предостави временно удължаване с още една година на срока на разрешението за търговия с глифосат, докато бъде изготвена новата оценка на активното вещество от страна на Европейския орган за безопасност на храните, която се очаква през юли 2023 г. Същевременно различни неотдавнашни научни изследвания</w:t>
      </w:r>
      <w:r w:rsidRPr="00921C9B">
        <w:rPr>
          <w:szCs w:val="24"/>
          <w:vertAlign w:val="superscript"/>
          <w:lang w:eastAsia="en-US"/>
        </w:rPr>
        <w:footnoteReference w:id="32"/>
      </w:r>
      <w:r w:rsidRPr="00921C9B">
        <w:rPr>
          <w:b/>
          <w:i/>
          <w:szCs w:val="24"/>
          <w:lang w:eastAsia="en-US"/>
        </w:rPr>
        <w:t xml:space="preserve"> показват, че въз основа на токсичността за водната среда на глифосата, аминометиловата фосфониева киселина и хербицидите на основата на глифосат следва да се обмисли стандарт за качество на околната среда (СКОС), по-нисък от 0,1 μg/L за всички повърхностни водни обекти. С оглед на текущите оценки от компетентните регулаторни органи на Съюза и научните констатации от съответните проучвания относно въздействието на глифосата върху водните организми, както и за да се гарантира добро химично състояние на по-голямата част от водите на Съюза, въз основа на принципа на предпазливост, по отношение на глифосата следва да се приеме обща и единна средна годишна стойност (СГС) за СКОС за вътрешните повърхностни води и отделна за други повъхностни води.</w:t>
      </w:r>
      <w:r w:rsidR="004C279A" w:rsidRPr="00921C9B">
        <w:rPr>
          <w:b/>
          <w:szCs w:val="24"/>
          <w:lang w:eastAsia="en-US"/>
        </w:rPr>
        <w:t xml:space="preserve"> [Изм. 25]</w:t>
      </w:r>
    </w:p>
    <w:p w14:paraId="0F07354C" w14:textId="77777777" w:rsidR="00723523" w:rsidRPr="00921C9B" w:rsidRDefault="00723523">
      <w:pPr>
        <w:widowControl/>
        <w:rPr>
          <w:b/>
          <w:i/>
          <w:szCs w:val="24"/>
          <w:lang w:eastAsia="en-US"/>
        </w:rPr>
      </w:pPr>
      <w:r w:rsidRPr="00921C9B">
        <w:rPr>
          <w:b/>
          <w:i/>
          <w:szCs w:val="24"/>
          <w:lang w:eastAsia="en-US"/>
        </w:rPr>
        <w:br w:type="page"/>
      </w:r>
    </w:p>
    <w:p w14:paraId="38E2ABB6" w14:textId="4F085DE7"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(8б)</w:t>
      </w:r>
      <w:r w:rsidRPr="00921C9B">
        <w:rPr>
          <w:szCs w:val="24"/>
          <w:lang w:eastAsia="en-US"/>
        </w:rPr>
        <w:tab/>
      </w:r>
      <w:r w:rsidRPr="00921C9B">
        <w:rPr>
          <w:b/>
          <w:i/>
          <w:szCs w:val="24"/>
          <w:lang w:eastAsia="en-US"/>
        </w:rPr>
        <w:t>Атразинът е хербицид, използван върху едногодишни широколистни плевели и едногодишни треви в посевите със зърнени култури. Използването на атразин в продуктите за растителна защита вече не е разрешено в Съюза, съгласно Решение на Комисията 2004/248/ЕО</w:t>
      </w:r>
      <w:r w:rsidRPr="00921C9B">
        <w:rPr>
          <w:szCs w:val="24"/>
          <w:vertAlign w:val="superscript"/>
          <w:lang w:eastAsia="en-US"/>
        </w:rPr>
        <w:footnoteReference w:id="33"/>
      </w:r>
      <w:r w:rsidRPr="00921C9B">
        <w:rPr>
          <w:b/>
          <w:i/>
          <w:szCs w:val="24"/>
          <w:lang w:eastAsia="en-US"/>
        </w:rPr>
        <w:t>. Доказано е, че атразинът е нарушител на функциите на ендокринната система, като са налице доказателства, че въздейства върху репродуктивността и развитието, и може да причини рак. В своята оценка на пестицидите във връзка с праговете за въздействие или качество между 2013 и 2020 г. Европейската агенция за околна среда установи, че в 4 до 11% от обектите за мониторинг на подземни води са налице завишени нива на един или повече пестициди, главно на атразин и неговите метаболити. Предвид постоянното му присъствие в повърхностните и подземните води на Съюза и за да се гарантира, че праговите му стойности не надвишават общите СКОС за пестициди и метаболити, праговата стойност за атразина в приложение I към Директива 2008/105/ ЕО следва да бъде коригирана, включително в съответствие с праговата стойност за същото вещество, определена в Директива (ЕС) 2020/2184</w:t>
      </w:r>
      <w:r w:rsidRPr="00921C9B">
        <w:rPr>
          <w:szCs w:val="24"/>
          <w:vertAlign w:val="superscript"/>
          <w:lang w:eastAsia="en-US"/>
        </w:rPr>
        <w:footnoteReference w:id="34"/>
      </w:r>
      <w:r w:rsidRPr="00921C9B">
        <w:rPr>
          <w:b/>
          <w:i/>
          <w:szCs w:val="24"/>
          <w:lang w:eastAsia="en-US"/>
        </w:rPr>
        <w:t>.</w:t>
      </w:r>
      <w:r w:rsidR="004C279A" w:rsidRPr="00921C9B">
        <w:rPr>
          <w:b/>
          <w:szCs w:val="24"/>
          <w:lang w:eastAsia="en-US"/>
        </w:rPr>
        <w:t xml:space="preserve"> [Изм. 26]</w:t>
      </w:r>
    </w:p>
    <w:p w14:paraId="6AE24672" w14:textId="302E376F"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(8в)</w:t>
      </w:r>
      <w:r w:rsidRPr="00921C9B">
        <w:rPr>
          <w:szCs w:val="24"/>
          <w:lang w:eastAsia="en-US"/>
        </w:rPr>
        <w:tab/>
      </w:r>
      <w:r w:rsidRPr="00921C9B">
        <w:rPr>
          <w:b/>
          <w:i/>
          <w:szCs w:val="24"/>
          <w:lang w:eastAsia="en-US"/>
        </w:rPr>
        <w:t>По данни на НКЗЕВР</w:t>
      </w:r>
      <w:r w:rsidRPr="00921C9B">
        <w:rPr>
          <w:szCs w:val="24"/>
          <w:vertAlign w:val="superscript"/>
          <w:lang w:eastAsia="en-US"/>
        </w:rPr>
        <w:footnoteReference w:id="35"/>
      </w:r>
      <w:r w:rsidRPr="00921C9B">
        <w:rPr>
          <w:b/>
          <w:i/>
          <w:szCs w:val="24"/>
          <w:lang w:eastAsia="en-US"/>
        </w:rPr>
        <w:t xml:space="preserve"> и EMA</w:t>
      </w:r>
      <w:r w:rsidRPr="00921C9B">
        <w:rPr>
          <w:szCs w:val="24"/>
          <w:vertAlign w:val="superscript"/>
          <w:lang w:eastAsia="en-US"/>
        </w:rPr>
        <w:footnoteReference w:id="36"/>
      </w:r>
      <w:r w:rsidRPr="00921C9B">
        <w:rPr>
          <w:b/>
          <w:i/>
          <w:szCs w:val="24"/>
          <w:lang w:eastAsia="en-US"/>
        </w:rPr>
        <w:t xml:space="preserve"> генеричните стандарти за качество 0,1 μg/L и 0,5 µg/L за подземните води, предложени съответно за отделните пестициди и за съвкупността от всички пестициди, съгласно определеното в Директива 2006/118/ЕО, са били въведени през 80-те години на ХХ век, и се основават на възможностите за химичен анализ, налични към тогавашния момент. Не е доказано, че зададената по подразбиране стойност от 0,1 μg/L за отделните пестициди е достатъчна за защита на човешкото здраве и екосистемата на подземните води, като тази стойност понякога е значително по-висока в сравнение с праговите стойности за много от пестицидите и фунгицидите от списъка на приоритетните вещества в приложение I към Директива 2008/105/ЕО. Като се вземе предвид също становището на НКЗЕВР, че никоя прагова стойност за подземни води не следва да надвишава СКОС за повърхностните води, Комисията следа да прегледа праговите стойности за отделните пестициди и общо за всички пестициди, включително съответните им метаболити, в приложение I към Директива 2006/118/ЕО чрез прилагане на модерни аналитични методи и съобразяването им с най-добрите налични познания в областта на токсикологията. До изготвянето на прегледа и в съгласие с подхода на предпазливост, заявен от доставчиците на питейна вода в Европейския меморандум относно подземните води</w:t>
      </w:r>
      <w:r w:rsidRPr="00921C9B">
        <w:rPr>
          <w:szCs w:val="24"/>
          <w:vertAlign w:val="superscript"/>
          <w:lang w:eastAsia="en-US"/>
        </w:rPr>
        <w:footnoteReference w:id="37"/>
      </w:r>
      <w:r w:rsidRPr="00921C9B">
        <w:rPr>
          <w:b/>
          <w:i/>
          <w:szCs w:val="24"/>
          <w:lang w:eastAsia="en-US"/>
        </w:rPr>
        <w:t xml:space="preserve">, следва да бъдат въведени временни прагови стойности </w:t>
      </w:r>
      <w:r w:rsidRPr="00921C9B">
        <w:rPr>
          <w:b/>
          <w:i/>
          <w:szCs w:val="24"/>
          <w:lang w:eastAsia="en-US"/>
        </w:rPr>
        <w:lastRenderedPageBreak/>
        <w:t>въз основа на най-добрите налични научни познания.</w:t>
      </w:r>
      <w:r w:rsidR="004C279A" w:rsidRPr="00921C9B">
        <w:rPr>
          <w:b/>
          <w:szCs w:val="24"/>
          <w:lang w:eastAsia="en-US"/>
        </w:rPr>
        <w:t xml:space="preserve"> [Изм. 27]</w:t>
      </w:r>
    </w:p>
    <w:p w14:paraId="05B581BF" w14:textId="67C96663" w:rsidR="000D29CC" w:rsidRPr="00921C9B" w:rsidRDefault="000D29CC" w:rsidP="000D29CC">
      <w:pPr>
        <w:spacing w:before="120" w:after="120" w:line="360" w:lineRule="auto"/>
        <w:ind w:left="850" w:hanging="850"/>
        <w:rPr>
          <w:b/>
          <w:szCs w:val="24"/>
          <w:lang w:eastAsia="en-US"/>
        </w:rPr>
      </w:pPr>
      <w:r w:rsidRPr="00921C9B">
        <w:rPr>
          <w:b/>
          <w:i/>
          <w:szCs w:val="24"/>
          <w:lang w:eastAsia="en-US"/>
        </w:rPr>
        <w:t>(8г)</w:t>
      </w:r>
      <w:r w:rsidRPr="00921C9B">
        <w:rPr>
          <w:szCs w:val="24"/>
          <w:lang w:eastAsia="en-US"/>
        </w:rPr>
        <w:tab/>
      </w:r>
      <w:r w:rsidRPr="00921C9B">
        <w:rPr>
          <w:b/>
          <w:i/>
          <w:szCs w:val="24"/>
          <w:lang w:eastAsia="en-US"/>
        </w:rPr>
        <w:t>Бисфенол А следва да бъде разглеждан като приоритетно опасно вещество и следва да бъде добавен към списъка в приложение I към Директива 2008/105/ЕО. Научните доклади показват, че и бисфенолите, различни от бисфенол А, имат доказан потенциал да нарушават функциите на ендокринната система, а смесите от такива бисфеноли представляват екотиоскикологичен риск. Предвид факта, че тези научни констатации пораждат безпокойство относно безопасната употреба на алтернативи на бисфенолите, които биха могли да оказват отрицателно въздействие върху човешкото здраве и върху околната среда, Комисията следва да въведе параметър „общо за бисфенолите“, както и подходящ СКОС общо за бисфенолните вещества.</w:t>
      </w:r>
      <w:r w:rsidR="004C279A" w:rsidRPr="00921C9B">
        <w:rPr>
          <w:b/>
          <w:szCs w:val="24"/>
          <w:lang w:eastAsia="en-US"/>
        </w:rPr>
        <w:t xml:space="preserve"> [Изм. 28]</w:t>
      </w:r>
    </w:p>
    <w:p w14:paraId="1F3F3975" w14:textId="636C28EA" w:rsidR="000D29CC" w:rsidRPr="00921C9B" w:rsidRDefault="000D29CC" w:rsidP="000D29CC">
      <w:pPr>
        <w:spacing w:before="120" w:after="120" w:line="360" w:lineRule="auto"/>
        <w:ind w:left="850" w:hanging="850"/>
        <w:rPr>
          <w:b/>
          <w:szCs w:val="24"/>
          <w:lang w:eastAsia="en-US"/>
        </w:rPr>
      </w:pPr>
      <w:r w:rsidRPr="00921C9B">
        <w:rPr>
          <w:b/>
          <w:i/>
          <w:szCs w:val="24"/>
          <w:lang w:eastAsia="en-US"/>
        </w:rPr>
        <w:t>(8</w:t>
      </w:r>
      <w:r w:rsidR="004C279A" w:rsidRPr="00921C9B">
        <w:rPr>
          <w:b/>
          <w:i/>
          <w:szCs w:val="24"/>
          <w:lang w:eastAsia="en-US"/>
        </w:rPr>
        <w:t>д</w:t>
      </w:r>
      <w:r w:rsidRPr="00921C9B">
        <w:rPr>
          <w:b/>
          <w:i/>
          <w:szCs w:val="24"/>
          <w:lang w:eastAsia="en-US"/>
        </w:rPr>
        <w:t>)</w:t>
      </w:r>
      <w:r w:rsidRPr="00921C9B">
        <w:rPr>
          <w:szCs w:val="24"/>
          <w:lang w:eastAsia="en-US"/>
        </w:rPr>
        <w:tab/>
      </w:r>
      <w:r w:rsidRPr="00921C9B">
        <w:rPr>
          <w:b/>
          <w:i/>
          <w:szCs w:val="24"/>
          <w:lang w:eastAsia="en-US"/>
        </w:rPr>
        <w:t>Според Европейската агенция по лекарствата (EMA)</w:t>
      </w:r>
      <w:r w:rsidRPr="00921C9B">
        <w:rPr>
          <w:szCs w:val="24"/>
          <w:vertAlign w:val="superscript"/>
          <w:lang w:eastAsia="en-US"/>
        </w:rPr>
        <w:footnoteReference w:id="38"/>
      </w:r>
      <w:r w:rsidRPr="00921C9B">
        <w:rPr>
          <w:b/>
          <w:i/>
          <w:szCs w:val="24"/>
          <w:lang w:eastAsia="en-US"/>
        </w:rPr>
        <w:t xml:space="preserve"> екосистемите на подземните води са коренно различни и поради това могат да бъдат по-уязвими на стресови фактори, отколкото екосистемите на повърхностните води, тъй като не могат да се възстановяват от смущенията. Поради това при определянето на прагови стойности за подземните води следва да се приложи предпазлив подход с цел защита на човешкото здраве, екосистемите на подземните води и зависимите от подземните води екосистеми. В съответствие със съветите на EMA, поради тази уязвимост праговите стойности, приложими за подземните води, обикновено следва да бъдат 10 пъти по-ниски от съответните прагови стойности за повърхностните води. Същевременно, когато може да се установи действителният риск за екосистемите на подземните води, може да се окаже подходящо праговите стойности за подземните води да се определят на различно ниво.</w:t>
      </w:r>
      <w:r w:rsidR="004C279A" w:rsidRPr="00921C9B">
        <w:rPr>
          <w:b/>
          <w:szCs w:val="24"/>
          <w:lang w:eastAsia="en-US"/>
        </w:rPr>
        <w:t xml:space="preserve"> [Изм. 29]</w:t>
      </w:r>
    </w:p>
    <w:p w14:paraId="69260215" w14:textId="77777777" w:rsidR="00723523" w:rsidRPr="00921C9B" w:rsidRDefault="00723523">
      <w:pPr>
        <w:widowControl/>
        <w:rPr>
          <w:szCs w:val="24"/>
          <w:lang w:eastAsia="en-US"/>
        </w:rPr>
      </w:pPr>
      <w:r w:rsidRPr="00921C9B">
        <w:rPr>
          <w:szCs w:val="24"/>
          <w:lang w:eastAsia="en-US"/>
        </w:rPr>
        <w:br w:type="page"/>
      </w:r>
    </w:p>
    <w:p w14:paraId="578BF267" w14:textId="3589238F"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(9)</w:t>
      </w:r>
      <w:r w:rsidRPr="00921C9B">
        <w:rPr>
          <w:szCs w:val="24"/>
          <w:lang w:eastAsia="en-US"/>
        </w:rPr>
        <w:tab/>
        <w:t>В съответствие с Директива 2000/60/ЕО държавите членки са длъжни да определят водните обекти, използвани за черпене на вода, предназначена за консумация от човека, да извършват мониторинг на тези обекти и да предприемат необходимите мерки с цел да се предотврати влошаването на тяхното качество и да се намали нивото на пречистване, изисквано при добиването на води, годни за консумация от човека. В този контекст пластмасовите микрочастици са определени като потенциален риск за човешкото здраве, но са необходими повече данни от мониторинга, за да се потвърди необходимостта от определяне на стандарт за качество на околната среда за пластмасовите микрочастици в повърхностните и подземните води. Поради това пластмасовите микрочастици следва да бъдат включени в списъците за наблюдение на повърхностните и подземните води и да бъдат предмет на мониторинг веднага щом Комисията определи подходящи методи за мониторинг. В този контекст следва да се вземат предвид методиките за мониторинг и оценка на рисковете от пластмасови микрочастици в питейната вода, разработени съгласно Директива (ЕС) 2020/2184 на Европейския парламент и на Съвета</w:t>
      </w:r>
      <w:r w:rsidRPr="00921C9B">
        <w:rPr>
          <w:szCs w:val="24"/>
          <w:vertAlign w:val="superscript"/>
          <w:lang w:eastAsia="en-US"/>
        </w:rPr>
        <w:footnoteReference w:id="39"/>
      </w:r>
      <w:r w:rsidRPr="00921C9B">
        <w:rPr>
          <w:szCs w:val="24"/>
          <w:lang w:eastAsia="en-US"/>
        </w:rPr>
        <w:t>.</w:t>
      </w:r>
    </w:p>
    <w:p w14:paraId="13C47BCC" w14:textId="77777777" w:rsidR="00297094" w:rsidRPr="00921C9B" w:rsidRDefault="00297094">
      <w:pPr>
        <w:widowControl/>
        <w:rPr>
          <w:b/>
          <w:i/>
          <w:szCs w:val="24"/>
          <w:lang w:eastAsia="en-US"/>
        </w:rPr>
      </w:pPr>
      <w:r w:rsidRPr="00921C9B">
        <w:rPr>
          <w:b/>
          <w:i/>
          <w:szCs w:val="24"/>
          <w:lang w:eastAsia="en-US"/>
        </w:rPr>
        <w:br w:type="page"/>
      </w:r>
    </w:p>
    <w:p w14:paraId="2EDF3C66" w14:textId="1C94CE8B"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(9a)</w:t>
      </w:r>
      <w:r w:rsidRPr="00921C9B">
        <w:rPr>
          <w:szCs w:val="24"/>
          <w:lang w:eastAsia="en-US"/>
        </w:rPr>
        <w:tab/>
      </w:r>
      <w:r w:rsidRPr="00921C9B">
        <w:rPr>
          <w:b/>
          <w:i/>
          <w:szCs w:val="24"/>
          <w:lang w:eastAsia="en-US"/>
        </w:rPr>
        <w:t>Съгласно приложимото законодателство на Съюза държавите членки са задължени да идентифицират засегнатите и изложените на риск води, да определят уязвимите на нитрати зони, да разработват програми за действие и да прилагат съответните мерки. В това отношение все още е необходимо да се подобри хармонизирането на мерките за контрол и системите за измерване на качеството на водата между държавите членки, така че да могат да се приемат единни стандарти в целия Съюз, които да позволяват съпоставимост между държавите членки и по този начин да се избягват проблеми с конкуренцията в европейския селскостопански сектор, водещи до смущения на вътрешния пазар.</w:t>
      </w:r>
      <w:r w:rsidR="004C279A" w:rsidRPr="00921C9B">
        <w:rPr>
          <w:b/>
          <w:szCs w:val="24"/>
          <w:lang w:eastAsia="en-US"/>
        </w:rPr>
        <w:t xml:space="preserve"> [Изм. 30]</w:t>
      </w:r>
    </w:p>
    <w:p w14:paraId="451CECDF" w14:textId="04684387" w:rsidR="000D29CC" w:rsidRPr="00921C9B" w:rsidRDefault="000D29CC" w:rsidP="000D29CC">
      <w:pPr>
        <w:spacing w:before="120" w:after="120" w:line="360" w:lineRule="auto"/>
        <w:ind w:left="850" w:hanging="850"/>
        <w:rPr>
          <w:b/>
          <w:szCs w:val="24"/>
          <w:lang w:eastAsia="en-US"/>
        </w:rPr>
      </w:pPr>
      <w:r w:rsidRPr="00921C9B">
        <w:rPr>
          <w:szCs w:val="24"/>
          <w:lang w:eastAsia="en-US"/>
        </w:rPr>
        <w:t>(10)</w:t>
      </w:r>
      <w:r w:rsidRPr="00921C9B">
        <w:rPr>
          <w:szCs w:val="24"/>
          <w:lang w:eastAsia="en-US"/>
        </w:rPr>
        <w:tab/>
      </w:r>
      <w:r w:rsidRPr="00921C9B">
        <w:rPr>
          <w:b/>
          <w:i/>
          <w:szCs w:val="24"/>
          <w:lang w:eastAsia="en-US"/>
        </w:rPr>
        <w:t>Смята се, че през 2019 г. между 900 000 и 1,7 милиона смъртни случая по света се дължат на инфекции, причинени от антимикробна резистентност (АМР)</w:t>
      </w:r>
      <w:r w:rsidRPr="00921C9B">
        <w:rPr>
          <w:szCs w:val="24"/>
          <w:vertAlign w:val="superscript"/>
          <w:lang w:eastAsia="en-US"/>
        </w:rPr>
        <w:footnoteReference w:id="40"/>
      </w:r>
      <w:r w:rsidRPr="00921C9B">
        <w:rPr>
          <w:b/>
          <w:i/>
          <w:szCs w:val="24"/>
          <w:lang w:eastAsia="en-US"/>
        </w:rPr>
        <w:t xml:space="preserve">. В същото време е </w:t>
      </w:r>
      <w:r w:rsidRPr="00921C9B">
        <w:rPr>
          <w:szCs w:val="24"/>
          <w:lang w:eastAsia="en-US"/>
        </w:rPr>
        <w:t>изразена</w:t>
      </w:r>
      <w:r w:rsidRPr="00921C9B">
        <w:rPr>
          <w:strike/>
          <w:szCs w:val="24"/>
          <w:lang w:eastAsia="en-US"/>
        </w:rPr>
        <w:t xml:space="preserve"> е</w:t>
      </w:r>
      <w:r w:rsidRPr="00921C9B">
        <w:rPr>
          <w:szCs w:val="24"/>
          <w:lang w:eastAsia="en-US"/>
        </w:rPr>
        <w:t xml:space="preserve"> загриженост относно риска от развитие на антимикробна резистентност поради наличието на микроорганизми с антимикробна резистентност и гени за антимикробна резистентност във водната среда, но не е извършен достатъчен мониторинг. Съответните гени за антимикробна резистентност също следва да бъдат включени в списъците за наблюдение на повърхностните и подземните води и да бъдат предмет на мониторинг веднага след разработването на подходящи методи за мониторинг. Това е в съответствие с Европейския план за действие „Едно здраве“ срещу антимикробната резистентност, приет от Комисията през юни 2017 г., и с Фармацевтичната стратегия за Европа, в която също е разгледан този проблем.</w:t>
      </w:r>
      <w:r w:rsidR="004C279A" w:rsidRPr="00921C9B">
        <w:rPr>
          <w:b/>
          <w:szCs w:val="24"/>
          <w:lang w:eastAsia="en-US"/>
        </w:rPr>
        <w:t xml:space="preserve"> [Изм. 31]</w:t>
      </w:r>
    </w:p>
    <w:p w14:paraId="3FA2CADD" w14:textId="77777777" w:rsidR="00297094" w:rsidRPr="00921C9B" w:rsidRDefault="00297094">
      <w:pPr>
        <w:widowControl/>
        <w:rPr>
          <w:b/>
          <w:i/>
          <w:szCs w:val="24"/>
          <w:lang w:eastAsia="en-US"/>
        </w:rPr>
      </w:pPr>
      <w:r w:rsidRPr="00921C9B">
        <w:rPr>
          <w:b/>
          <w:i/>
          <w:szCs w:val="24"/>
          <w:lang w:eastAsia="en-US"/>
        </w:rPr>
        <w:br w:type="page"/>
      </w:r>
    </w:p>
    <w:p w14:paraId="01B7FC5C" w14:textId="73CDF7A8"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(10a)</w:t>
      </w:r>
      <w:r w:rsidRPr="00921C9B">
        <w:rPr>
          <w:szCs w:val="24"/>
          <w:lang w:eastAsia="en-US"/>
        </w:rPr>
        <w:tab/>
      </w:r>
      <w:r w:rsidRPr="00921C9B">
        <w:rPr>
          <w:b/>
          <w:i/>
          <w:szCs w:val="24"/>
          <w:lang w:eastAsia="en-US"/>
        </w:rPr>
        <w:t>С Решение за изпълнение (ЕС) 2020/1729 на Комисията за отмяна на Решение за изпълнение 2013/652/EU се определя рамката за получаване на съпоставими и надеждни данни за антимикробната резистентност в Европейския съюз, включително чрез мониторинг на отпадъчните води в кланиците като потенциален носител на резистентни към антибиотици бактерии и следователно като възможен път на замърсяване на околната среда. Резистентни към антибиотици бактерии са откривани във водата, изхвърляна от кланиците.</w:t>
      </w:r>
      <w:r w:rsidR="004C279A" w:rsidRPr="00921C9B">
        <w:rPr>
          <w:b/>
          <w:szCs w:val="24"/>
          <w:lang w:eastAsia="en-US"/>
        </w:rPr>
        <w:t xml:space="preserve"> [Изм. 32]</w:t>
      </w:r>
    </w:p>
    <w:p w14:paraId="0A5904A1" w14:textId="0D31962A" w:rsidR="000D29CC" w:rsidRPr="00921C9B" w:rsidRDefault="000D29CC" w:rsidP="000D29CC">
      <w:pPr>
        <w:spacing w:before="120" w:after="120" w:line="360" w:lineRule="auto"/>
        <w:ind w:left="850" w:hanging="850"/>
        <w:rPr>
          <w:b/>
          <w:szCs w:val="24"/>
          <w:lang w:eastAsia="en-US"/>
        </w:rPr>
      </w:pPr>
      <w:r w:rsidRPr="00921C9B">
        <w:rPr>
          <w:b/>
          <w:i/>
          <w:szCs w:val="24"/>
          <w:lang w:eastAsia="en-US"/>
        </w:rPr>
        <w:t>(10б)</w:t>
      </w:r>
      <w:r w:rsidRPr="00921C9B">
        <w:rPr>
          <w:szCs w:val="24"/>
          <w:lang w:eastAsia="en-US"/>
        </w:rPr>
        <w:tab/>
      </w:r>
      <w:r w:rsidRPr="00921C9B">
        <w:rPr>
          <w:b/>
          <w:i/>
          <w:szCs w:val="24"/>
          <w:lang w:eastAsia="en-US"/>
        </w:rPr>
        <w:t>Изразени са опасения по отношение на риска от сулфати и ксантати във водната среда. Сулфатите не само влошават качеството на питейната вода, но и влияят на циклите на материалите въглерод, азот и фосфор. Наред с другото, това увеличава съдържанието на хранителни вещества във водните обекти, а оттам и растежа на растенията и водораслите и предлагането на храна за водните организми, което води до намаляване на кислорода във водата. Сулфатите и техните продукти на разграждане, особено сулфидът, при определени условия могат да имат токсичен ефект върху водните организми. Резултатите от стандартните изпитвания показват, че някои ксантати и продуктите от тяхното разграждане са токсични за водните безгръбначни и рибите и че могат да се биоакумулират. Сулфатите вече са включени в списъка на замърсителите на подземните води, но извършванията досега мониторинг е недостатъчен. Поради това сулфатите следва да бъдат включени в списъците за наблюдение на повърхностните и подземните води. Ксантатите следва да бъдат включени в списъците за наблюдение на повърхностните води.</w:t>
      </w:r>
      <w:r w:rsidR="004C279A" w:rsidRPr="00921C9B">
        <w:rPr>
          <w:b/>
          <w:szCs w:val="24"/>
          <w:lang w:eastAsia="en-US"/>
        </w:rPr>
        <w:t xml:space="preserve"> [Изм. 33]</w:t>
      </w:r>
    </w:p>
    <w:p w14:paraId="288B6899" w14:textId="77777777" w:rsidR="00297094" w:rsidRPr="00921C9B" w:rsidRDefault="00297094">
      <w:pPr>
        <w:widowControl/>
        <w:rPr>
          <w:b/>
          <w:i/>
          <w:szCs w:val="24"/>
          <w:lang w:eastAsia="en-US"/>
        </w:rPr>
      </w:pPr>
      <w:r w:rsidRPr="00921C9B">
        <w:rPr>
          <w:b/>
          <w:i/>
          <w:szCs w:val="24"/>
          <w:lang w:eastAsia="en-US"/>
        </w:rPr>
        <w:br w:type="page"/>
      </w:r>
    </w:p>
    <w:p w14:paraId="1413589A" w14:textId="4246933D"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(10</w:t>
      </w:r>
      <w:r w:rsidR="004C279A" w:rsidRPr="00921C9B">
        <w:rPr>
          <w:b/>
          <w:i/>
          <w:szCs w:val="24"/>
          <w:lang w:eastAsia="en-US"/>
        </w:rPr>
        <w:t>в</w:t>
      </w:r>
      <w:r w:rsidRPr="00921C9B">
        <w:rPr>
          <w:b/>
          <w:i/>
          <w:szCs w:val="24"/>
          <w:lang w:eastAsia="en-US"/>
        </w:rPr>
        <w:t>)</w:t>
      </w:r>
      <w:r w:rsidRPr="00921C9B">
        <w:rPr>
          <w:szCs w:val="24"/>
          <w:lang w:eastAsia="en-US"/>
        </w:rPr>
        <w:tab/>
      </w:r>
      <w:r w:rsidRPr="00921C9B">
        <w:rPr>
          <w:b/>
          <w:i/>
          <w:szCs w:val="24"/>
          <w:lang w:eastAsia="en-US"/>
        </w:rPr>
        <w:t>Вещества като пластмасовите микрочастици представляват очевиден риск за общественото здраве и околната среда, но също така за основни дейности като развитието на селското стопанство. Наличието на тези вещества и други частици може да окаже въздействие не само върху водата, която се доставя на добитъка и културите, но и върху плодородието на почвата, което застрашава здравето и доброто развитие на настоящите и бъдещите култури</w:t>
      </w:r>
      <w:r w:rsidRPr="00921C9B">
        <w:rPr>
          <w:szCs w:val="24"/>
          <w:vertAlign w:val="superscript"/>
          <w:lang w:eastAsia="en-US"/>
        </w:rPr>
        <w:footnoteReference w:id="41"/>
      </w:r>
      <w:r w:rsidRPr="00921C9B">
        <w:rPr>
          <w:b/>
          <w:i/>
          <w:szCs w:val="24"/>
          <w:lang w:eastAsia="en-US"/>
        </w:rPr>
        <w:t>.</w:t>
      </w:r>
      <w:r w:rsidR="004C279A" w:rsidRPr="00921C9B">
        <w:rPr>
          <w:b/>
          <w:szCs w:val="24"/>
          <w:lang w:eastAsia="en-US"/>
        </w:rPr>
        <w:t xml:space="preserve"> [Изм. 34]</w:t>
      </w:r>
    </w:p>
    <w:p w14:paraId="1D0BB4A1" w14:textId="77777777" w:rsidR="00297094" w:rsidRPr="00921C9B" w:rsidRDefault="00297094">
      <w:pPr>
        <w:widowControl/>
        <w:rPr>
          <w:szCs w:val="24"/>
          <w:lang w:eastAsia="en-US"/>
        </w:rPr>
      </w:pPr>
      <w:r w:rsidRPr="00921C9B">
        <w:rPr>
          <w:szCs w:val="24"/>
          <w:lang w:eastAsia="en-US"/>
        </w:rPr>
        <w:br w:type="page"/>
      </w:r>
    </w:p>
    <w:p w14:paraId="453ADAB0" w14:textId="07387C78" w:rsidR="000D29CC" w:rsidRPr="00921C9B" w:rsidRDefault="000D29CC" w:rsidP="000D29CC">
      <w:pPr>
        <w:spacing w:before="120" w:after="120" w:line="360" w:lineRule="auto"/>
        <w:ind w:left="850" w:hanging="850"/>
        <w:rPr>
          <w:b/>
          <w:szCs w:val="24"/>
          <w:lang w:eastAsia="en-US"/>
        </w:rPr>
      </w:pPr>
      <w:r w:rsidRPr="00921C9B">
        <w:rPr>
          <w:szCs w:val="24"/>
          <w:lang w:eastAsia="en-US"/>
        </w:rPr>
        <w:lastRenderedPageBreak/>
        <w:t>(11)</w:t>
      </w:r>
      <w:r w:rsidRPr="00921C9B">
        <w:rPr>
          <w:szCs w:val="24"/>
          <w:lang w:eastAsia="en-US"/>
        </w:rPr>
        <w:tab/>
      </w:r>
      <w:r w:rsidRPr="00921C9B">
        <w:rPr>
          <w:b/>
          <w:i/>
          <w:szCs w:val="24"/>
          <w:lang w:eastAsia="en-US"/>
        </w:rPr>
        <w:t xml:space="preserve">Настоящите и конвенционалните методи за мониторинг на химичното състояние на водните обекти като цяло не могат да определят въздействието на сложни смеси от химически вещества върху качеството на водата. </w:t>
      </w:r>
      <w:r w:rsidRPr="00921C9B">
        <w:rPr>
          <w:szCs w:val="24"/>
          <w:lang w:eastAsia="en-US"/>
        </w:rPr>
        <w:t xml:space="preserve">С оглед на все по-голямото осъзнаване на значението на смесите и следователно на мониторинга, основан на ефекта, за определяне на химичното състояние, и като се има предвид, че вече съществуват достатъчно надеждни методи за мониторинг, основан на ефекта, за естрогенни вещества, държавите членки следва да прилагат такива методи за оценка на кумулативните ефекти на естрогенните вещества в повърхностните води за период от най-малко две години. Това ще позволи сравняването на резултатите, основани на ефекта, с резултатите, получени чрез конвенционалните методи за мониторинг на трите естрогенни вещества, изброени в приложение I към Директива 2008/105/ЕО. Това сравнение </w:t>
      </w:r>
      <w:r w:rsidRPr="00921C9B">
        <w:rPr>
          <w:strike/>
          <w:szCs w:val="24"/>
          <w:lang w:eastAsia="en-US"/>
        </w:rPr>
        <w:t>ще се използва, за да се оцени</w:t>
      </w:r>
      <w:r w:rsidRPr="00921C9B">
        <w:rPr>
          <w:b/>
          <w:i/>
          <w:szCs w:val="24"/>
          <w:lang w:eastAsia="en-US"/>
        </w:rPr>
        <w:t>следва да бъде включено в доклад за оценка, публикуван от Комисията, в който се оценява</w:t>
      </w:r>
      <w:r w:rsidRPr="00921C9B">
        <w:rPr>
          <w:szCs w:val="24"/>
          <w:lang w:eastAsia="en-US"/>
        </w:rPr>
        <w:t xml:space="preserve"> дали методите за мониторинг, основани на ефекта, </w:t>
      </w:r>
      <w:r w:rsidRPr="00921C9B">
        <w:rPr>
          <w:b/>
          <w:i/>
          <w:szCs w:val="24"/>
          <w:lang w:eastAsia="en-US"/>
        </w:rPr>
        <w:t xml:space="preserve">осигуряват надеждни и точни данни и </w:t>
      </w:r>
      <w:r w:rsidRPr="00921C9B">
        <w:rPr>
          <w:szCs w:val="24"/>
          <w:lang w:eastAsia="en-US"/>
        </w:rPr>
        <w:t xml:space="preserve">могат да се използват като надеждни </w:t>
      </w:r>
      <w:r w:rsidRPr="00921C9B">
        <w:rPr>
          <w:b/>
          <w:i/>
          <w:szCs w:val="24"/>
          <w:lang w:eastAsia="en-US"/>
        </w:rPr>
        <w:t xml:space="preserve">методи за </w:t>
      </w:r>
      <w:r w:rsidRPr="00921C9B">
        <w:rPr>
          <w:szCs w:val="24"/>
          <w:lang w:eastAsia="en-US"/>
        </w:rPr>
        <w:t>скрининг</w:t>
      </w:r>
      <w:r w:rsidRPr="00921C9B">
        <w:rPr>
          <w:strike/>
          <w:szCs w:val="24"/>
          <w:lang w:eastAsia="en-US"/>
        </w:rPr>
        <w:t xml:space="preserve"> методи</w:t>
      </w:r>
      <w:r w:rsidRPr="00921C9B">
        <w:rPr>
          <w:szCs w:val="24"/>
          <w:lang w:eastAsia="en-US"/>
        </w:rPr>
        <w:t xml:space="preserve">. Предимството на използването на такива </w:t>
      </w:r>
      <w:r w:rsidRPr="00921C9B">
        <w:rPr>
          <w:b/>
          <w:i/>
          <w:szCs w:val="24"/>
          <w:lang w:eastAsia="en-US"/>
        </w:rPr>
        <w:t xml:space="preserve">методи за </w:t>
      </w:r>
      <w:r w:rsidRPr="00921C9B">
        <w:rPr>
          <w:szCs w:val="24"/>
          <w:lang w:eastAsia="en-US"/>
        </w:rPr>
        <w:t>скрининг</w:t>
      </w:r>
      <w:r w:rsidRPr="00921C9B">
        <w:rPr>
          <w:strike/>
          <w:szCs w:val="24"/>
          <w:lang w:eastAsia="en-US"/>
        </w:rPr>
        <w:t xml:space="preserve"> методи</w:t>
      </w:r>
      <w:r w:rsidRPr="00921C9B">
        <w:rPr>
          <w:szCs w:val="24"/>
          <w:lang w:eastAsia="en-US"/>
        </w:rPr>
        <w:t xml:space="preserve"> е, че те ще позволят да се обхванат ефектите на всички естрогенни вещества със сходни ефекти, а не само на изброените в приложение I към Директива 2008/105/ЕО</w:t>
      </w:r>
      <w:r w:rsidRPr="00921C9B">
        <w:rPr>
          <w:b/>
          <w:i/>
          <w:szCs w:val="24"/>
          <w:lang w:eastAsia="en-US"/>
        </w:rPr>
        <w:t>. На Комисията следва да се предоставя правомощие да приема делегирани актове за допълване на Директива 2008/105/ЕО, за да определи условията за използване на основани на ефекта методи от страна на държавите членки с цел мониторинг за оценка на наличието и на други вещества във водните обекти, в очакване на евентуално бъдещо определяне на прагови стойности, основавани на ефекта</w:t>
      </w:r>
      <w:r w:rsidRPr="00921C9B">
        <w:rPr>
          <w:szCs w:val="24"/>
          <w:lang w:eastAsia="en-US"/>
        </w:rPr>
        <w:t>. Определението за СКОС в Директива 2000/60/ЕО следва да бъде изменено, за да се гарантира, че в бъдеще то може да обхваща и прагови стойности, които могат да бъдат определени за оценка на резултатите от мониторинга, основан на ефекта.</w:t>
      </w:r>
      <w:r w:rsidR="004C279A" w:rsidRPr="00921C9B">
        <w:rPr>
          <w:b/>
          <w:szCs w:val="24"/>
          <w:lang w:eastAsia="en-US"/>
        </w:rPr>
        <w:t xml:space="preserve"> [Изм. 35]</w:t>
      </w:r>
    </w:p>
    <w:p w14:paraId="2DED2569" w14:textId="77777777" w:rsidR="00297094" w:rsidRPr="00921C9B" w:rsidRDefault="00297094">
      <w:pPr>
        <w:widowControl/>
        <w:rPr>
          <w:b/>
          <w:i/>
          <w:szCs w:val="24"/>
          <w:lang w:eastAsia="en-US"/>
        </w:rPr>
      </w:pPr>
      <w:r w:rsidRPr="00921C9B">
        <w:rPr>
          <w:b/>
          <w:i/>
          <w:szCs w:val="24"/>
          <w:lang w:eastAsia="en-US"/>
        </w:rPr>
        <w:br w:type="page"/>
      </w:r>
    </w:p>
    <w:p w14:paraId="7DE458DB" w14:textId="651D3E55"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(11a)</w:t>
      </w:r>
      <w:r w:rsidRPr="00921C9B">
        <w:rPr>
          <w:szCs w:val="24"/>
          <w:lang w:eastAsia="en-US"/>
        </w:rPr>
        <w:tab/>
      </w:r>
      <w:r w:rsidRPr="00921C9B">
        <w:rPr>
          <w:b/>
          <w:i/>
          <w:szCs w:val="24"/>
          <w:lang w:eastAsia="en-US"/>
        </w:rPr>
        <w:t>Следва да се установят по-строги прагови стойности, когато стандартите за качество на подземните води биха могли да доведат до непостигане на целите на Директива 2000/60/ЕО в областта на околната среда за свързаните водни обекти, както се изисква съгласно Директива 2006/118/ЕО. Това изискване съгласно Директива 2006/118/ЕО следва да бъде допълнително разширено, за да се защитят по-добре от замърсяване уязвимите обекти.</w:t>
      </w:r>
      <w:r w:rsidR="004C279A" w:rsidRPr="00921C9B">
        <w:rPr>
          <w:b/>
          <w:szCs w:val="24"/>
          <w:lang w:eastAsia="en-US"/>
        </w:rPr>
        <w:t xml:space="preserve"> [Изм. 36]</w:t>
      </w:r>
    </w:p>
    <w:p w14:paraId="7063ECA8" w14:textId="77777777" w:rsidR="00297094" w:rsidRPr="00921C9B" w:rsidRDefault="00297094">
      <w:pPr>
        <w:widowControl/>
        <w:rPr>
          <w:szCs w:val="24"/>
          <w:lang w:eastAsia="en-US"/>
        </w:rPr>
      </w:pPr>
      <w:r w:rsidRPr="00921C9B">
        <w:rPr>
          <w:szCs w:val="24"/>
          <w:lang w:eastAsia="en-US"/>
        </w:rPr>
        <w:br w:type="page"/>
      </w:r>
    </w:p>
    <w:p w14:paraId="3C31B3A8" w14:textId="7DC10183" w:rsidR="000D29CC" w:rsidRPr="00921C9B" w:rsidRDefault="000D29CC" w:rsidP="000D29CC">
      <w:pPr>
        <w:spacing w:before="120" w:after="120" w:line="360" w:lineRule="auto"/>
        <w:ind w:left="850" w:hanging="850"/>
        <w:rPr>
          <w:b/>
          <w:szCs w:val="24"/>
          <w:lang w:eastAsia="en-US"/>
        </w:rPr>
      </w:pPr>
      <w:r w:rsidRPr="00921C9B">
        <w:rPr>
          <w:szCs w:val="24"/>
          <w:lang w:eastAsia="en-US"/>
        </w:rPr>
        <w:lastRenderedPageBreak/>
        <w:t>(12)</w:t>
      </w:r>
      <w:r w:rsidRPr="00921C9B">
        <w:rPr>
          <w:szCs w:val="24"/>
          <w:lang w:eastAsia="en-US"/>
        </w:rPr>
        <w:tab/>
        <w:t>В оценката на законодателството на Съюза в областта на водите</w:t>
      </w:r>
      <w:r w:rsidRPr="00921C9B">
        <w:rPr>
          <w:szCs w:val="24"/>
          <w:vertAlign w:val="superscript"/>
          <w:lang w:eastAsia="en-US"/>
        </w:rPr>
        <w:footnoteReference w:id="42"/>
      </w:r>
      <w:r w:rsidRPr="00921C9B">
        <w:rPr>
          <w:szCs w:val="24"/>
          <w:lang w:eastAsia="en-US"/>
        </w:rPr>
        <w:t xml:space="preserve"> („оценката“) се стигна до заключението, че процесът на установяване и включване в списъци на замърсителите, които оказват влияние върху повърхностните и подземните води, и на определяне или преразглеждане на стандартите за качество за тях, като се вземат предвид новите научни познания, може да бъде ускорен. </w:t>
      </w:r>
      <w:r w:rsidRPr="00921C9B">
        <w:rPr>
          <w:strike/>
          <w:szCs w:val="24"/>
          <w:lang w:eastAsia="en-US"/>
        </w:rPr>
        <w:t>Ако тези задачи се изпълняват от Комисията, а не</w:t>
      </w:r>
      <w:r w:rsidRPr="00921C9B">
        <w:rPr>
          <w:b/>
          <w:i/>
          <w:szCs w:val="24"/>
          <w:lang w:eastAsia="en-US"/>
        </w:rPr>
        <w:t>Поради това</w:t>
      </w:r>
      <w:r w:rsidRPr="00921C9B">
        <w:rPr>
          <w:szCs w:val="24"/>
          <w:lang w:eastAsia="en-US"/>
        </w:rPr>
        <w:t xml:space="preserve"> в рамките на </w:t>
      </w:r>
      <w:r w:rsidRPr="00921C9B">
        <w:rPr>
          <w:strike/>
          <w:szCs w:val="24"/>
          <w:lang w:eastAsia="en-US"/>
        </w:rPr>
        <w:t>обикновената законодателна процедура, както е предвидено понастоящем в членове 16 и 17 от</w:t>
      </w:r>
      <w:r w:rsidRPr="00921C9B">
        <w:rPr>
          <w:b/>
          <w:i/>
          <w:szCs w:val="24"/>
          <w:lang w:eastAsia="en-US"/>
        </w:rPr>
        <w:t>евентуално бъдещо преразглеждане на приложение I към</w:t>
      </w:r>
      <w:r w:rsidRPr="00921C9B">
        <w:rPr>
          <w:szCs w:val="24"/>
          <w:lang w:eastAsia="en-US"/>
        </w:rPr>
        <w:t xml:space="preserve"> Директива </w:t>
      </w:r>
      <w:r w:rsidRPr="00921C9B">
        <w:rPr>
          <w:strike/>
          <w:szCs w:val="24"/>
          <w:lang w:eastAsia="en-US"/>
        </w:rPr>
        <w:t>2000/60/ЕО и в член 10 от</w:t>
      </w:r>
      <w:r w:rsidRPr="00921C9B">
        <w:rPr>
          <w:b/>
          <w:i/>
          <w:szCs w:val="24"/>
          <w:lang w:eastAsia="en-US"/>
        </w:rPr>
        <w:t>2008/105/EО по отношение на списъка на приоритетните вещества и на съответните СКОС, определени в част А от посоченото приложение, и на приложение I към</w:t>
      </w:r>
      <w:r w:rsidRPr="00921C9B">
        <w:rPr>
          <w:szCs w:val="24"/>
          <w:lang w:eastAsia="en-US"/>
        </w:rPr>
        <w:t xml:space="preserve"> Директива 2006/118/ЕО</w:t>
      </w:r>
      <w:r w:rsidRPr="00921C9B">
        <w:rPr>
          <w:strike/>
          <w:szCs w:val="24"/>
          <w:lang w:eastAsia="en-US"/>
        </w:rPr>
        <w:t>, би могло</w:t>
      </w:r>
      <w:r w:rsidRPr="00921C9B">
        <w:rPr>
          <w:b/>
          <w:i/>
          <w:szCs w:val="24"/>
          <w:lang w:eastAsia="en-US"/>
        </w:rPr>
        <w:t xml:space="preserve"> следва</w:t>
      </w:r>
      <w:r w:rsidRPr="00921C9B">
        <w:rPr>
          <w:szCs w:val="24"/>
          <w:lang w:eastAsia="en-US"/>
        </w:rPr>
        <w:t xml:space="preserve"> да се подобри функционирането на механизмите на списъците за наблюдение на повърхностните и подземните води, по-специално по отношение на сроковете и последователността на изготвяне на списъците, мониторинга и оценката на резултатите, </w:t>
      </w:r>
      <w:r w:rsidRPr="00921C9B">
        <w:rPr>
          <w:b/>
          <w:i/>
          <w:szCs w:val="24"/>
          <w:lang w:eastAsia="en-US"/>
        </w:rPr>
        <w:t xml:space="preserve">следва </w:t>
      </w:r>
      <w:r w:rsidRPr="00921C9B">
        <w:rPr>
          <w:szCs w:val="24"/>
          <w:lang w:eastAsia="en-US"/>
        </w:rPr>
        <w:t xml:space="preserve">да се укрепят връзките между механизма на списъците за наблюдение и прегледите на списъците на замърсителите, а </w:t>
      </w:r>
      <w:r w:rsidRPr="00921C9B">
        <w:rPr>
          <w:strike/>
          <w:szCs w:val="24"/>
          <w:lang w:eastAsia="en-US"/>
        </w:rPr>
        <w:t>промените в списъците на замърсителите да се съобразяват по-бързо с научния прогрес. Поради това и предвид необходимостта от бързо изменение</w:t>
      </w:r>
      <w:r w:rsidRPr="00921C9B">
        <w:rPr>
          <w:b/>
          <w:i/>
          <w:szCs w:val="24"/>
          <w:lang w:eastAsia="en-US"/>
        </w:rPr>
        <w:t>периодът на преразглеждане</w:t>
      </w:r>
      <w:r w:rsidRPr="00921C9B">
        <w:rPr>
          <w:szCs w:val="24"/>
          <w:lang w:eastAsia="en-US"/>
        </w:rPr>
        <w:t xml:space="preserve"> на списъците на замърсителите </w:t>
      </w:r>
      <w:r w:rsidRPr="00921C9B">
        <w:rPr>
          <w:strike/>
          <w:szCs w:val="24"/>
          <w:lang w:eastAsia="en-US"/>
        </w:rPr>
        <w:t xml:space="preserve">и СКОС за тях с оглед на новите научни и технически познания на Комисията </w:t>
      </w:r>
      <w:r w:rsidRPr="00921C9B">
        <w:rPr>
          <w:szCs w:val="24"/>
          <w:lang w:eastAsia="en-US"/>
        </w:rPr>
        <w:t xml:space="preserve">следва да </w:t>
      </w:r>
      <w:r w:rsidRPr="00921C9B">
        <w:rPr>
          <w:strike/>
          <w:szCs w:val="24"/>
          <w:lang w:eastAsia="en-US"/>
        </w:rPr>
        <w:t>бъде делегирано правомощието да приема актове в съответствие с член 290 от ДФЕС за изменение на приложение I към Директива 2008/105/ЕО по отношение на списъка на приоритетните вещества и на съответните СКОС, определени в част А от посоченото приложение, и за изменение на приложение I към Директива 2006/118/ЕО по отношение на списъка на замърсителите на подземните води и стандартите за качество, определени в същото приложение</w:t>
      </w:r>
      <w:r w:rsidRPr="00921C9B">
        <w:rPr>
          <w:b/>
          <w:i/>
          <w:szCs w:val="24"/>
          <w:lang w:eastAsia="en-US"/>
        </w:rPr>
        <w:t>се коригира, за да се отчита по-бързо научният прогрес</w:t>
      </w:r>
      <w:r w:rsidRPr="00921C9B">
        <w:rPr>
          <w:szCs w:val="24"/>
          <w:lang w:eastAsia="en-US"/>
        </w:rPr>
        <w:t xml:space="preserve">. В този контекст Комисията следва да вземе предвид резултатите от мониторинга на веществата, включени в списъците за наблюдение на повърхностните и подземните води. Вследствие на това членове 16 и 17 от Директива 2000/60/ЕО и приложение X към нея, както </w:t>
      </w:r>
      <w:r w:rsidRPr="00921C9B">
        <w:rPr>
          <w:szCs w:val="24"/>
          <w:lang w:eastAsia="en-US"/>
        </w:rPr>
        <w:lastRenderedPageBreak/>
        <w:t>и член 10 от Директива 2006/118/ЕО следва да бъдат заличени</w:t>
      </w:r>
      <w:r w:rsidRPr="00921C9B">
        <w:rPr>
          <w:b/>
          <w:i/>
          <w:szCs w:val="24"/>
          <w:lang w:eastAsia="en-US"/>
        </w:rPr>
        <w:t>, като същевременно се запази задължението да се предприемат мерки, целящи преустановяване или поетапно премахване на заустванията, емисиите и загубите от приоритетни опасни вещества</w:t>
      </w:r>
      <w:r w:rsidRPr="00921C9B">
        <w:rPr>
          <w:szCs w:val="24"/>
          <w:lang w:eastAsia="en-US"/>
        </w:rPr>
        <w:t>.</w:t>
      </w:r>
      <w:r w:rsidR="004C279A" w:rsidRPr="00921C9B">
        <w:rPr>
          <w:b/>
          <w:szCs w:val="24"/>
          <w:lang w:eastAsia="en-US"/>
        </w:rPr>
        <w:t xml:space="preserve"> [Изм. 37]</w:t>
      </w:r>
    </w:p>
    <w:p w14:paraId="395B3FAB" w14:textId="77777777" w:rsidR="00297094" w:rsidRPr="00921C9B" w:rsidRDefault="00297094">
      <w:pPr>
        <w:widowControl/>
        <w:rPr>
          <w:b/>
          <w:i/>
          <w:szCs w:val="24"/>
          <w:lang w:eastAsia="en-US"/>
        </w:rPr>
      </w:pPr>
      <w:r w:rsidRPr="00921C9B">
        <w:rPr>
          <w:b/>
          <w:i/>
          <w:szCs w:val="24"/>
          <w:lang w:eastAsia="en-US"/>
        </w:rPr>
        <w:br w:type="page"/>
      </w:r>
    </w:p>
    <w:p w14:paraId="59C615A9" w14:textId="447AE2CA"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(12a)</w:t>
      </w:r>
      <w:r w:rsidRPr="00921C9B">
        <w:rPr>
          <w:szCs w:val="24"/>
          <w:lang w:eastAsia="en-US"/>
        </w:rPr>
        <w:tab/>
      </w:r>
      <w:r w:rsidRPr="00921C9B">
        <w:rPr>
          <w:b/>
          <w:i/>
          <w:szCs w:val="24"/>
          <w:lang w:eastAsia="en-US"/>
        </w:rPr>
        <w:t>Като цяло заключенията от проверката за пригодност показват, че директивите в голяма степен са подходящи за целта, с възможности за подобрение, включително ускоряване на правилното изпълнение на техните цели, което може да бъде постигнато чрез повече финансиране от Съюза. Оценката показва, че досега директивите са довели като цяло до по-високо равнище на защита на водните обекти и управление на риска от наводнения.</w:t>
      </w:r>
      <w:r w:rsidR="004C279A" w:rsidRPr="00921C9B">
        <w:rPr>
          <w:b/>
          <w:szCs w:val="24"/>
          <w:lang w:eastAsia="en-US"/>
        </w:rPr>
        <w:t xml:space="preserve"> [Изм. 38]</w:t>
      </w:r>
    </w:p>
    <w:p w14:paraId="11E2223A" w14:textId="77777777" w:rsidR="00297094" w:rsidRPr="00921C9B" w:rsidRDefault="00297094">
      <w:pPr>
        <w:widowControl/>
        <w:rPr>
          <w:szCs w:val="24"/>
          <w:lang w:eastAsia="en-US"/>
        </w:rPr>
      </w:pPr>
      <w:r w:rsidRPr="00921C9B">
        <w:rPr>
          <w:szCs w:val="24"/>
          <w:lang w:eastAsia="en-US"/>
        </w:rPr>
        <w:br w:type="page"/>
      </w:r>
    </w:p>
    <w:p w14:paraId="1F39E83C" w14:textId="7CA64641"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(13)</w:t>
      </w:r>
      <w:r w:rsidRPr="00921C9B">
        <w:rPr>
          <w:szCs w:val="24"/>
          <w:lang w:eastAsia="en-US"/>
        </w:rPr>
        <w:tab/>
        <w:t>В оценката се стигна и до заключението, че съществуват твърде големи различия между държавите членки по отношение на стандартите за качество и праговите стойности, определени на национално равнище съответно за специфичните замърсители на речните басейни и за замърсителите на подземните води. Досега специфичните замърсители на речните басейни, които не са установени като приоритетни вещества съгласно Директива 2000/60/ЕО, са били предмет на национални СКОС и са се отчитали като физикохимични качествени елементи, подпомагащи оценката на екологичното състояние на повърхностните води. По отношение на подземните води беше възможно също държавите членки да определят свои собствени прагови стойности, дори за синтетични вещества, създадени от човека. Тази гъвкавост не доведе до оптимални резултати по отношение на сравнимостта на състоянието на водните обекти между държавите членки и по отношение на опазването на околната среда. Поради това е необходимо да се предвиди процедура, която дава възможност да се постигне споразумение на равнището на Съюза относно СКОС и праговите стойности, които да се прилагат за тези вещества, ако те пораждат безпокойство на национално равнище, и да се създадат регистри на приложимите СКОС и прагови стойности.</w:t>
      </w:r>
    </w:p>
    <w:p w14:paraId="7D7F2ED5" w14:textId="77777777" w:rsidR="00297094" w:rsidRPr="00921C9B" w:rsidRDefault="00297094">
      <w:pPr>
        <w:widowControl/>
        <w:rPr>
          <w:b/>
          <w:i/>
          <w:szCs w:val="24"/>
          <w:lang w:eastAsia="en-US"/>
        </w:rPr>
      </w:pPr>
      <w:r w:rsidRPr="00921C9B">
        <w:rPr>
          <w:b/>
          <w:i/>
          <w:szCs w:val="24"/>
          <w:lang w:eastAsia="en-US"/>
        </w:rPr>
        <w:br w:type="page"/>
      </w:r>
    </w:p>
    <w:p w14:paraId="0B8F1899" w14:textId="2B47D33A"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(13a)</w:t>
      </w:r>
      <w:r w:rsidRPr="00921C9B">
        <w:rPr>
          <w:szCs w:val="24"/>
          <w:lang w:eastAsia="en-US"/>
        </w:rPr>
        <w:tab/>
      </w:r>
      <w:r w:rsidRPr="00921C9B">
        <w:rPr>
          <w:b/>
          <w:i/>
          <w:szCs w:val="24"/>
          <w:lang w:eastAsia="en-US"/>
        </w:rPr>
        <w:t>Всяко решение относно подбора, преразглеждането на веществата и определянето на СКОС следва да се основава на оценка на риска и да спазва пропорционален, прозрачен и научно обоснован подход, като се вземат предвид препоръките на Европейския парламент, държавите членки и съответните заинтересовани страни.</w:t>
      </w:r>
      <w:r w:rsidR="004C279A" w:rsidRPr="00921C9B">
        <w:rPr>
          <w:b/>
          <w:szCs w:val="24"/>
          <w:lang w:eastAsia="en-US"/>
        </w:rPr>
        <w:t xml:space="preserve"> [Изм. 39]</w:t>
      </w:r>
    </w:p>
    <w:p w14:paraId="0BAF4E0C" w14:textId="515B9455" w:rsidR="000D29CC" w:rsidRPr="00921C9B" w:rsidRDefault="000D29CC" w:rsidP="000D29CC">
      <w:pPr>
        <w:spacing w:before="120" w:after="120" w:line="360" w:lineRule="auto"/>
        <w:ind w:left="850" w:hanging="850"/>
        <w:rPr>
          <w:b/>
          <w:szCs w:val="24"/>
          <w:lang w:eastAsia="en-US"/>
        </w:rPr>
      </w:pPr>
      <w:r w:rsidRPr="00921C9B">
        <w:rPr>
          <w:b/>
          <w:i/>
          <w:szCs w:val="24"/>
          <w:lang w:eastAsia="en-US"/>
        </w:rPr>
        <w:t>(13</w:t>
      </w:r>
      <w:r w:rsidR="004C279A" w:rsidRPr="00921C9B">
        <w:rPr>
          <w:b/>
          <w:i/>
          <w:szCs w:val="24"/>
          <w:lang w:eastAsia="en-US"/>
        </w:rPr>
        <w:t>б</w:t>
      </w:r>
      <w:r w:rsidRPr="00921C9B">
        <w:rPr>
          <w:b/>
          <w:i/>
          <w:szCs w:val="24"/>
          <w:lang w:eastAsia="en-US"/>
        </w:rPr>
        <w:t>)</w:t>
      </w:r>
      <w:r w:rsidRPr="00921C9B">
        <w:rPr>
          <w:szCs w:val="24"/>
          <w:lang w:eastAsia="en-US"/>
        </w:rPr>
        <w:tab/>
      </w:r>
      <w:r w:rsidRPr="00921C9B">
        <w:rPr>
          <w:b/>
          <w:i/>
          <w:szCs w:val="24"/>
          <w:lang w:eastAsia="en-US"/>
        </w:rPr>
        <w:t>Въпреки че Директива 2000/60/ЕО определя правилата, необходими за постигане на напредък по отношение на количеството и качеството на водата, проверката за пригодност показва, че бавният напредък, постигнат по отношение на целите на настоящата директива, може, наред с другото, да се дължи на липсата на достатъчно финансови ресурси, както и на регулаторната и екологичната сложност, включително евентуални забавяния в реакцията на подпочвените води на мерките и в сроковете за докладване. Мерките, които подобряват състоянието на водните обекти чрез възстановяване на реките и екосистемните услуги, осигуряват финансови ползи, които надвишават разходите и биха могли да намалят ненужните разходи за държавите членки. Освен това в оценката се посочва липса на изпълнение, недостатъчен обхват и недостатъчни или неподходящи мерки за възстановяване, които да осигуряват хидроложка и екологична свързаност</w:t>
      </w:r>
      <w:r w:rsidRPr="00921C9B">
        <w:rPr>
          <w:szCs w:val="24"/>
          <w:vertAlign w:val="superscript"/>
          <w:lang w:eastAsia="en-US"/>
        </w:rPr>
        <w:footnoteReference w:id="43"/>
      </w:r>
      <w:r w:rsidRPr="00921C9B">
        <w:rPr>
          <w:b/>
          <w:i/>
          <w:szCs w:val="24"/>
          <w:lang w:eastAsia="en-US"/>
        </w:rPr>
        <w:t>.</w:t>
      </w:r>
      <w:r w:rsidR="004C279A" w:rsidRPr="00921C9B">
        <w:rPr>
          <w:b/>
          <w:szCs w:val="24"/>
          <w:lang w:eastAsia="en-US"/>
        </w:rPr>
        <w:t xml:space="preserve"> [Изм. 40]</w:t>
      </w:r>
    </w:p>
    <w:p w14:paraId="671BCC5F" w14:textId="77777777" w:rsidR="00297094" w:rsidRPr="00921C9B" w:rsidRDefault="00297094">
      <w:pPr>
        <w:widowControl/>
        <w:rPr>
          <w:szCs w:val="24"/>
          <w:lang w:eastAsia="en-US"/>
        </w:rPr>
      </w:pPr>
      <w:r w:rsidRPr="00921C9B">
        <w:rPr>
          <w:szCs w:val="24"/>
          <w:lang w:eastAsia="en-US"/>
        </w:rPr>
        <w:br w:type="page"/>
      </w:r>
    </w:p>
    <w:p w14:paraId="5F51D921" w14:textId="1334AE9F"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(14)</w:t>
      </w:r>
      <w:r w:rsidRPr="00921C9B">
        <w:rPr>
          <w:szCs w:val="24"/>
          <w:lang w:eastAsia="en-US"/>
        </w:rPr>
        <w:tab/>
        <w:t>Освен това включването на специфични замърсители на речните басейни в определението за химично състояние на повърхностните води осигурява по-координиран, съгласуван и прозрачен подход по отношение на мониторинга и оценката на химичното състояние на повърхностните водни обекти и на свързаната с това информация за обществеността. Също така се улеснява по-целенасоченият подход за определяне и прилагане на мерки за решаване на всички „свързани с химикалите“ проблеми по по-цялостен, ефективен и ефикасен начин. Поради това определенията за „екологично състояние“ и „химично състояние“ следва да бъдат променени, а обхватът на „химичното състояние“ следва да бъде разширен, за да бъдат включени и специфичните замърсители на речните басейни, които досега бяха част от определението за „екологично състояние“ в приложение V към Директива 2000/60/ЕО. В резултат на това концепцията за СКОС за специфични замърсители на речните басейни и свързаните с нея процедури следва да бъдат включени в Директива 2008/105/ЕО.</w:t>
      </w:r>
    </w:p>
    <w:p w14:paraId="6203BEB9" w14:textId="7BE5A0D2" w:rsidR="000D29CC" w:rsidRPr="00921C9B" w:rsidRDefault="000D29CC" w:rsidP="000D29CC">
      <w:pPr>
        <w:spacing w:before="120" w:after="120" w:line="360" w:lineRule="auto"/>
        <w:ind w:left="850" w:hanging="850"/>
        <w:rPr>
          <w:b/>
          <w:szCs w:val="24"/>
          <w:lang w:eastAsia="en-US"/>
        </w:rPr>
      </w:pPr>
      <w:r w:rsidRPr="00921C9B">
        <w:rPr>
          <w:szCs w:val="24"/>
          <w:lang w:eastAsia="en-US"/>
        </w:rPr>
        <w:t>(15)</w:t>
      </w:r>
      <w:r w:rsidRPr="00921C9B">
        <w:rPr>
          <w:szCs w:val="24"/>
          <w:lang w:eastAsia="en-US"/>
        </w:rPr>
        <w:tab/>
        <w:t xml:space="preserve">За да се гарантира хармонизиран подход и равнопоставеност в Съюза, на Комисията следва да бъде делегирано правомощието да приема актове в съответствие с член 290 от ДФЕС за изменение на част Б от приложение II към Директива 2006/118/ЕО чрез адаптиране на списъка на замърсителите, за които държавите членки трябва да </w:t>
      </w:r>
      <w:r w:rsidRPr="00921C9B">
        <w:rPr>
          <w:strike/>
          <w:szCs w:val="24"/>
          <w:lang w:eastAsia="en-US"/>
        </w:rPr>
        <w:t>предвидят установяването на</w:t>
      </w:r>
      <w:r w:rsidRPr="00921C9B">
        <w:rPr>
          <w:b/>
          <w:i/>
          <w:szCs w:val="24"/>
          <w:lang w:eastAsia="en-US"/>
        </w:rPr>
        <w:t>установят</w:t>
      </w:r>
      <w:r w:rsidRPr="00921C9B">
        <w:rPr>
          <w:szCs w:val="24"/>
          <w:lang w:eastAsia="en-US"/>
        </w:rPr>
        <w:t xml:space="preserve"> национални прагови стойности.</w:t>
      </w:r>
      <w:r w:rsidR="004C279A" w:rsidRPr="00921C9B">
        <w:rPr>
          <w:b/>
          <w:szCs w:val="24"/>
          <w:lang w:eastAsia="en-US"/>
        </w:rPr>
        <w:t xml:space="preserve"> [Изм. 41]</w:t>
      </w:r>
    </w:p>
    <w:p w14:paraId="2A64B8AF" w14:textId="77777777" w:rsidR="00297094" w:rsidRPr="00921C9B" w:rsidRDefault="00297094">
      <w:pPr>
        <w:widowControl/>
        <w:rPr>
          <w:szCs w:val="24"/>
          <w:lang w:eastAsia="en-US"/>
        </w:rPr>
      </w:pPr>
      <w:r w:rsidRPr="00921C9B">
        <w:rPr>
          <w:szCs w:val="24"/>
          <w:lang w:eastAsia="en-US"/>
        </w:rPr>
        <w:br w:type="page"/>
      </w:r>
    </w:p>
    <w:p w14:paraId="44B8A316" w14:textId="307C44B6"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(16)</w:t>
      </w:r>
      <w:r w:rsidRPr="00921C9B">
        <w:rPr>
          <w:szCs w:val="24"/>
          <w:lang w:eastAsia="en-US"/>
        </w:rPr>
        <w:tab/>
        <w:t>Предвид необходимостта от бързо адаптиране към научно-техническите познания и от осигуряване на хармонизиран подход и равнопоставеност в Съюза по отношение на специфичните замърсители на речните басейни, на Комисията следва да бъде делегирано правомощието да приема актове в съответствие с член 290 от ДФЕС за адаптиране на приложение II към Директива 2008/105/ЕО по отношение на списъка на категориите замърсители, включен в част А от посоченото приложение, и за адаптиране на част В от приложение II по отношение на хармонизираните СКОС за специфичните замърсители на речните басейни или групи от тях. Тези хармонизирани СКОС следва да се прилагат от държавите членки при оценката на състоянието на техните повърхностни водни обекти, когато е установен риск от тези замърсители.</w:t>
      </w:r>
    </w:p>
    <w:p w14:paraId="7A5561B3"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(17)</w:t>
      </w:r>
      <w:r w:rsidRPr="00921C9B">
        <w:rPr>
          <w:szCs w:val="24"/>
          <w:lang w:eastAsia="en-US"/>
        </w:rPr>
        <w:tab/>
        <w:t>При прегледа на списъка на приоритетните вещества в част А от приложение I към Директива 2008/105/ЕО се стигна до заключението, че няколко приоритетни вещества вече не пораждат безпокойство в целия Съюз и поради това не следва да бъдат включени в част А от приложение I към посочената директива. Поради това тези вещества следва да се разглеждат като специфични замърсители на речните басейни и да се включат в част В от приложение II към Директива 2008/105/ЕО заедно със съответните им СКОС. Като се има предвид, че тези замърсители вече не се считат за засягащи целия Съюз, СКОС трябва да се прилагат само когато тези замърсители все още могат да пораждат безпокойство на национално, регионално или местно равнище.</w:t>
      </w:r>
    </w:p>
    <w:p w14:paraId="30274909" w14:textId="77777777" w:rsidR="00297094" w:rsidRPr="00921C9B" w:rsidRDefault="00297094">
      <w:pPr>
        <w:widowControl/>
        <w:rPr>
          <w:szCs w:val="24"/>
          <w:lang w:eastAsia="en-US"/>
        </w:rPr>
      </w:pPr>
      <w:r w:rsidRPr="00921C9B">
        <w:rPr>
          <w:szCs w:val="24"/>
          <w:lang w:eastAsia="en-US"/>
        </w:rPr>
        <w:br w:type="page"/>
      </w:r>
    </w:p>
    <w:p w14:paraId="389200A5" w14:textId="750DDEBF"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(18)</w:t>
      </w:r>
      <w:r w:rsidRPr="00921C9B">
        <w:rPr>
          <w:szCs w:val="24"/>
          <w:lang w:eastAsia="en-US"/>
        </w:rPr>
        <w:tab/>
        <w:t>За да се осигурят равнопоставени условия и да се даде възможност за съпоставимост на състоянието на водните обекти между държавите членки, е необходимо да се хармонизират националните прагови стойности за някои замърсители на подземните води. Поради това следва да се въведе регистър на хармонизираните прагови стойности за замърсители на подземните води, които пораждат безпокойство на национално, регионално или местно равнище, като нова част Г в приложение II към Директива 2006/118/ЕО. Хармонизираните прагове, посочени в този регистър, трябва да се прилагат само в онези държави членки, в които замърсителите, за които се отнасят праговете, засягат състоянието на подземните води. Националните прагови стойности за сбора от двата синтетични замърсителя трихлороетилен и тетрахлороетилен трябва да се хармонизират, тъй като не всички държави членки, в които замърсителите са от значение, прилагат прагова стойност за сбора от тези замърсители, а определените национални прагови стойности не са еднакви. Хармонизираната прагова стойност следва да съответства на параметричната стойност, определена за сбора от тези замърсители в питейната вода съгласно Директива (ЕС) 2020/2184.</w:t>
      </w:r>
    </w:p>
    <w:p w14:paraId="542F9414"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(19)</w:t>
      </w:r>
      <w:r w:rsidRPr="00921C9B">
        <w:rPr>
          <w:szCs w:val="24"/>
          <w:lang w:eastAsia="en-US"/>
        </w:rPr>
        <w:tab/>
        <w:t>За да се гарантира хармонизиран подход и равнопоставеност в Съюза, на Комисията следва да бъде делегирано правомощието да приема актове в съответствие с член 290 от ДФЕС за изменение на част Г от приложение II към Директива 2006/118/ЕО с цел адаптиране на регистъра на хармонизираните прагови стойности по отношение на включените замърсители и хармонизираните прагови стойности към научния и техническия прогрес.</w:t>
      </w:r>
    </w:p>
    <w:p w14:paraId="525D9246" w14:textId="77777777" w:rsidR="00297094" w:rsidRPr="00921C9B" w:rsidRDefault="00297094">
      <w:pPr>
        <w:widowControl/>
        <w:rPr>
          <w:szCs w:val="24"/>
          <w:lang w:eastAsia="en-US"/>
        </w:rPr>
      </w:pPr>
      <w:r w:rsidRPr="00921C9B">
        <w:rPr>
          <w:szCs w:val="24"/>
          <w:lang w:eastAsia="en-US"/>
        </w:rPr>
        <w:br w:type="page"/>
      </w:r>
    </w:p>
    <w:p w14:paraId="4050B0D0" w14:textId="6E29BDA7"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(20)</w:t>
      </w:r>
      <w:r w:rsidRPr="00921C9B">
        <w:rPr>
          <w:szCs w:val="24"/>
          <w:lang w:eastAsia="en-US"/>
        </w:rPr>
        <w:tab/>
        <w:t>Всички разпоредби на Директива 2006/118/ЕО, свързани с оценката на химичното състояние на подземните води, следва да бъдат адаптирани към въвеждането на третата категория хармонизирани прагови стойности в част Г от приложение II към посочената директива, в допълнение към стандартите за качество, определени в приложение I към посочената директива, и към националните прагови стойности, определени в съответствие с методиката, посочена в част А от приложение II към посочената директива.</w:t>
      </w:r>
    </w:p>
    <w:p w14:paraId="729BE477" w14:textId="5BD83065" w:rsidR="000D29CC" w:rsidRPr="00921C9B" w:rsidRDefault="000D29CC" w:rsidP="000D29CC">
      <w:pPr>
        <w:spacing w:before="120" w:after="120" w:line="360" w:lineRule="auto"/>
        <w:ind w:left="850" w:hanging="850"/>
        <w:rPr>
          <w:b/>
          <w:szCs w:val="24"/>
          <w:lang w:eastAsia="en-US"/>
        </w:rPr>
      </w:pPr>
      <w:r w:rsidRPr="00921C9B">
        <w:rPr>
          <w:b/>
          <w:i/>
          <w:szCs w:val="24"/>
          <w:lang w:eastAsia="en-US"/>
        </w:rPr>
        <w:t>(20a)</w:t>
      </w:r>
      <w:r w:rsidRPr="00921C9B">
        <w:rPr>
          <w:szCs w:val="24"/>
          <w:lang w:eastAsia="en-US"/>
        </w:rPr>
        <w:tab/>
      </w:r>
      <w:r w:rsidRPr="00921C9B">
        <w:rPr>
          <w:b/>
          <w:i/>
          <w:szCs w:val="24"/>
          <w:lang w:eastAsia="en-US"/>
        </w:rPr>
        <w:t>За да се осигурят подходящи стандарти за защита на зони с висока екологична стойност, уязвимост или замърсяване, като например пещери и карстови райони, съдържащи екосистеми, които са сред най-уязвимите от замърсяване и представляват важен източник на питейна вода, както и на бивши промишлени обекти и други зони с установено замърсяване в миналото, Комисията следва да публикува оценка на химичното състояние на такива зони и когато е целесъобразно, да представи законодателно предложение за съответното преразглеждане на Директива 2006/118/ЕО.</w:t>
      </w:r>
      <w:r w:rsidR="004C279A" w:rsidRPr="00921C9B">
        <w:rPr>
          <w:b/>
          <w:szCs w:val="24"/>
          <w:lang w:eastAsia="en-US"/>
        </w:rPr>
        <w:t xml:space="preserve"> [Изм. 42]</w:t>
      </w:r>
    </w:p>
    <w:p w14:paraId="17F6E328" w14:textId="77777777" w:rsidR="00297094" w:rsidRPr="00921C9B" w:rsidRDefault="00297094">
      <w:pPr>
        <w:widowControl/>
        <w:rPr>
          <w:szCs w:val="24"/>
          <w:lang w:eastAsia="en-US"/>
        </w:rPr>
      </w:pPr>
      <w:r w:rsidRPr="00921C9B">
        <w:rPr>
          <w:szCs w:val="24"/>
          <w:lang w:eastAsia="en-US"/>
        </w:rPr>
        <w:br w:type="page"/>
      </w:r>
    </w:p>
    <w:p w14:paraId="61989F51" w14:textId="6AC162C4" w:rsidR="000D29CC" w:rsidRPr="00921C9B" w:rsidRDefault="000D29CC" w:rsidP="000D29CC">
      <w:pPr>
        <w:spacing w:before="120" w:after="120" w:line="360" w:lineRule="auto"/>
        <w:ind w:left="850" w:hanging="850"/>
        <w:rPr>
          <w:b/>
          <w:szCs w:val="24"/>
          <w:lang w:eastAsia="en-US"/>
        </w:rPr>
      </w:pPr>
      <w:r w:rsidRPr="00921C9B">
        <w:rPr>
          <w:szCs w:val="24"/>
          <w:lang w:eastAsia="en-US"/>
        </w:rPr>
        <w:lastRenderedPageBreak/>
        <w:t>(21)</w:t>
      </w:r>
      <w:r w:rsidRPr="00921C9B">
        <w:rPr>
          <w:szCs w:val="24"/>
          <w:lang w:eastAsia="en-US"/>
        </w:rPr>
        <w:tab/>
        <w:t>За да се гарантира ефективното и съгласувано вземане на решения и да се развият полезни взаимодействия с работата, извършвана в рамките на други законодателни актове на Съюза относно химикалите, на Европейската агенция по химикали („ECHA“) следва да се отреди постоянна и ясно очертана роля при определяне на приоритетните вещества, които да бъдат включени в списъците за наблюдение и в списъците на веществата в приложения I и II към Директива 2008/105/ЕО и в приложения I и II към Директива 2006/118/ЕО, както и при извеждането на подходящи научнообосновани стандарти за качество. Комитетът за оценка на риска (КОР) и Комитетът за социално-икономически анализ (КСИА) на ECHA следва да улеснят изпълнението на някои задачи, възложени на ECHA, като предоставят становища. ECHA следва също така да осигури по-добра координация между различните законодателни актове в областта на околната среда чрез по-голяма прозрачност по отношение на замърсителите, включени в списъка за наблюдение, или на разработването на стандарти за качество на околната среда или прагови стойности за целия Съюз или на национално равнище, като предостави публичен достъп до съответните научни доклади.</w:t>
      </w:r>
      <w:r w:rsidRPr="00921C9B">
        <w:rPr>
          <w:b/>
          <w:i/>
          <w:szCs w:val="24"/>
          <w:lang w:eastAsia="en-US"/>
        </w:rPr>
        <w:t xml:space="preserve"> Що се отнася до оценката на праговите стойности за фармацевтичните вещества, ECHA следва да си сътрудничи с Европейската агенция по лекарствата (EMA).</w:t>
      </w:r>
      <w:r w:rsidR="004C279A" w:rsidRPr="00921C9B">
        <w:rPr>
          <w:b/>
          <w:szCs w:val="24"/>
          <w:lang w:eastAsia="en-US"/>
        </w:rPr>
        <w:t xml:space="preserve"> [Изм. 43]</w:t>
      </w:r>
    </w:p>
    <w:p w14:paraId="29C74E01" w14:textId="77777777" w:rsidR="00297094" w:rsidRPr="00921C9B" w:rsidRDefault="00297094">
      <w:pPr>
        <w:widowControl/>
        <w:rPr>
          <w:szCs w:val="24"/>
          <w:lang w:eastAsia="en-US"/>
        </w:rPr>
      </w:pPr>
      <w:r w:rsidRPr="00921C9B">
        <w:rPr>
          <w:szCs w:val="24"/>
          <w:lang w:eastAsia="en-US"/>
        </w:rPr>
        <w:br w:type="page"/>
      </w:r>
    </w:p>
    <w:p w14:paraId="3724CA75" w14:textId="757522DC"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(22)</w:t>
      </w:r>
      <w:r w:rsidRPr="00921C9B">
        <w:rPr>
          <w:szCs w:val="24"/>
          <w:lang w:eastAsia="en-US"/>
        </w:rPr>
        <w:tab/>
        <w:t>В оценката се стигна до заключението, че е необходимо по-често и рационализирано електронно докладване, за да се насърчи по-доброто изпълнение и прилагане на законодателството на Съюза в областта на водите. С оглед на ролята си и за по-редовно наблюдение на състоянието на замърсяването, както е описано в плана за действие за нулево замърсяване, Европейската агенция за околна среда (ЕАОС) следва да улесни това по-често и по-рационализирано докладване от страна на държавите членки. Важно е екологичната информация за състоянието на повърхностните и подземните води в Съюза да се предоставя своевременно на обществеността и на Комисията. Поради това от държавите членки следва да се изисква да предоставят на Комисията и на ЕАОС данните от мониторинга, събрани в рамките на Директива 2000/60/ЕО, като използват автоматизирани механизми за докладване и предоставяне на данни чрез интерфейс за програмиране на приложения или еквивалентни механизми. Очаква се административната тежест да бъде ограничена, доколкото от държавите членки вече се изисква да предоставят публичен достъп до темите на пространствените данни в обхвата на Директива 2007/2/ЕО</w:t>
      </w:r>
      <w:r w:rsidRPr="00921C9B">
        <w:rPr>
          <w:szCs w:val="24"/>
          <w:vertAlign w:val="superscript"/>
          <w:lang w:eastAsia="en-US"/>
        </w:rPr>
        <w:footnoteReference w:id="44"/>
      </w:r>
      <w:r w:rsidRPr="00921C9B">
        <w:rPr>
          <w:szCs w:val="24"/>
          <w:lang w:eastAsia="en-US"/>
        </w:rPr>
        <w:t xml:space="preserve"> на Европейския парламент и на Съвета, както и съгласно Директива (ЕС) 2019/1024 на Европейския парламент и на Съвета</w:t>
      </w:r>
      <w:r w:rsidRPr="00921C9B">
        <w:rPr>
          <w:szCs w:val="24"/>
          <w:vertAlign w:val="superscript"/>
          <w:lang w:eastAsia="en-US"/>
        </w:rPr>
        <w:footnoteReference w:id="45"/>
      </w:r>
      <w:r w:rsidRPr="00921C9B">
        <w:rPr>
          <w:szCs w:val="24"/>
          <w:lang w:eastAsia="en-US"/>
        </w:rPr>
        <w:t>. Тези теми на пространствените данни включват местоположението и функционирането на съоръженията за мониторинг на околната среда, свързаните с тях измервания на емисиите и състоянието на околната среда.</w:t>
      </w:r>
    </w:p>
    <w:p w14:paraId="7FB4E802" w14:textId="77777777" w:rsidR="00297094" w:rsidRPr="00921C9B" w:rsidRDefault="00297094">
      <w:pPr>
        <w:widowControl/>
        <w:rPr>
          <w:strike/>
          <w:szCs w:val="24"/>
          <w:lang w:eastAsia="en-US"/>
        </w:rPr>
      </w:pPr>
      <w:r w:rsidRPr="00921C9B">
        <w:rPr>
          <w:strike/>
          <w:szCs w:val="24"/>
          <w:lang w:eastAsia="en-US"/>
        </w:rPr>
        <w:br w:type="page"/>
      </w:r>
    </w:p>
    <w:p w14:paraId="1977B0CA" w14:textId="5E084E69" w:rsidR="000D29CC" w:rsidRPr="00921C9B" w:rsidRDefault="000D29CC" w:rsidP="000D29CC">
      <w:pPr>
        <w:spacing w:before="120" w:after="120" w:line="360" w:lineRule="auto"/>
        <w:ind w:left="850" w:hanging="850"/>
        <w:rPr>
          <w:b/>
          <w:szCs w:val="24"/>
          <w:lang w:eastAsia="en-US"/>
        </w:rPr>
      </w:pPr>
      <w:r w:rsidRPr="00921C9B">
        <w:rPr>
          <w:strike/>
          <w:szCs w:val="24"/>
          <w:lang w:eastAsia="en-US"/>
        </w:rPr>
        <w:lastRenderedPageBreak/>
        <w:t>(23)</w:t>
      </w:r>
      <w:r w:rsidRPr="00921C9B">
        <w:rPr>
          <w:szCs w:val="24"/>
          <w:lang w:eastAsia="en-US"/>
        </w:rPr>
        <w:tab/>
      </w:r>
      <w:r w:rsidRPr="00921C9B">
        <w:rPr>
          <w:strike/>
          <w:szCs w:val="24"/>
          <w:lang w:eastAsia="en-US"/>
        </w:rPr>
        <w:t>По-доброто интегриране на потоците от данни, докладвани на ЕАОС съгласно законодателството на Съюза в областта на водите, и по-специално на инвентаризациите на емисиите, изисквани съгласно Директива 2008/105/ЕО, с потоците от данни, докладвани на портала за емисиите от промишлеността съгласно Директива 2010/75/ЕС и Регламент (ЕО) № 166/2006 на Европейския парламент и на Съвета</w:t>
      </w:r>
      <w:r w:rsidRPr="00921C9B">
        <w:rPr>
          <w:szCs w:val="24"/>
          <w:vertAlign w:val="superscript"/>
          <w:lang w:eastAsia="en-US"/>
        </w:rPr>
        <w:footnoteReference w:id="46"/>
      </w:r>
      <w:r w:rsidRPr="00921C9B">
        <w:rPr>
          <w:strike/>
          <w:szCs w:val="24"/>
          <w:lang w:eastAsia="en-US"/>
        </w:rPr>
        <w:t>, ще опрости докладването на инвентаризациите в съответствие с член 5 от Директива 2008/105/ЕО и ще го направи по-ефективно. Същевременно това ще намали административната тежест и върховото работно натоварване при подготовката на плановете за управление на речните басейни. В съчетание с премахването на междинните доклади за напредъка на програмите от мерки, които не са ефективни, опростеното докладване ще позволи на държавите членки да положат повече усилия за докладване на емисиите, които не са обхванати от законодателството за емисиите от промишлеността, но които са обхванати от докладването на емисиите съгласно член 5 от Директива 2008/105/ЕО.</w:t>
      </w:r>
      <w:r w:rsidR="004C279A" w:rsidRPr="00921C9B">
        <w:rPr>
          <w:b/>
          <w:szCs w:val="24"/>
          <w:lang w:eastAsia="en-US"/>
        </w:rPr>
        <w:t xml:space="preserve"> [Изм. 44]</w:t>
      </w:r>
    </w:p>
    <w:p w14:paraId="558AF59A" w14:textId="77777777" w:rsidR="00297094" w:rsidRPr="00921C9B" w:rsidRDefault="00297094">
      <w:pPr>
        <w:widowControl/>
        <w:rPr>
          <w:szCs w:val="24"/>
          <w:lang w:eastAsia="en-US"/>
        </w:rPr>
      </w:pPr>
      <w:r w:rsidRPr="00921C9B">
        <w:rPr>
          <w:szCs w:val="24"/>
          <w:lang w:eastAsia="en-US"/>
        </w:rPr>
        <w:br w:type="page"/>
      </w:r>
    </w:p>
    <w:p w14:paraId="1FC5F766" w14:textId="5A359B12"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(24)</w:t>
      </w:r>
      <w:r w:rsidRPr="00921C9B">
        <w:rPr>
          <w:szCs w:val="24"/>
          <w:lang w:eastAsia="en-US"/>
        </w:rPr>
        <w:tab/>
        <w:t>В Договора от Лисабон се въвежда разграничение между правомощията, делегирани на Комисията за приемане на незаконодателни актове от общ характер, които допълват или изменят определени несъществени елементи на законодателен акт (делегирани актове), и правомощията, предоставени на Комисията за приемане на актове, с които се осигуряват единни условия за изпълнението на правно обвързващи актове на Съюза (актове за изпълнение). Директиви 2000/60/ЕО и 2006/118/ЕО следва да бъдат приведени в съответствие с правната рамка, въведена с Договора от Лисабон.</w:t>
      </w:r>
    </w:p>
    <w:p w14:paraId="08B0B882"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(25)</w:t>
      </w:r>
      <w:r w:rsidRPr="00921C9B">
        <w:rPr>
          <w:szCs w:val="24"/>
          <w:lang w:eastAsia="en-US"/>
        </w:rPr>
        <w:tab/>
        <w:t>Предоставянето на правомощия по член 20, параграф 1, първа алинея от Директива 2000/60/ЕО и по точка 1.4.1, подточка ix) от приложение V към същата директива, с което се предвижда използването на процедурата по регулиране с контрол, отговаря на критериите по член 290, параграф 1 от ДФЕС, тъй като се отнася до адаптиране на приложенията към посочената директива и до приемането на правила, които я допълват. Поради това те следва да бъдат преобразувани в правомощия на Комисията да приема делегирани актове.</w:t>
      </w:r>
    </w:p>
    <w:p w14:paraId="5A752EC4" w14:textId="77777777" w:rsidR="00297094" w:rsidRPr="00921C9B" w:rsidRDefault="00297094">
      <w:pPr>
        <w:widowControl/>
        <w:rPr>
          <w:szCs w:val="24"/>
          <w:lang w:eastAsia="en-US"/>
        </w:rPr>
      </w:pPr>
      <w:r w:rsidRPr="00921C9B">
        <w:rPr>
          <w:szCs w:val="24"/>
          <w:lang w:eastAsia="en-US"/>
        </w:rPr>
        <w:br w:type="page"/>
      </w:r>
    </w:p>
    <w:p w14:paraId="7EA30C65" w14:textId="4EFCFCA5"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(26)</w:t>
      </w:r>
      <w:r w:rsidRPr="00921C9B">
        <w:rPr>
          <w:szCs w:val="24"/>
          <w:lang w:eastAsia="en-US"/>
        </w:rPr>
        <w:tab/>
        <w:t>Предоставянето на правомощия по член 8 от Директива 2006/118/ЕО, с което се предвижда използването на процедурата по регулиране с контрол, отговаря на критериите по член 290, параграф 1 от ДФЕС, тъй като се отнася до адаптиране на приложенията към посочената директива. Поради това то следва да бъде преобразувано в правомощия на Комисията да приема делегирани актове.</w:t>
      </w:r>
    </w:p>
    <w:p w14:paraId="501F6F3C"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(27)</w:t>
      </w:r>
      <w:r w:rsidRPr="00921C9B">
        <w:rPr>
          <w:szCs w:val="24"/>
          <w:lang w:eastAsia="en-US"/>
        </w:rPr>
        <w:tab/>
        <w:t>От особена важност е по време на подготвителната си работа по делегираните актове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за по-добро законотворчество от 13 април 2016 г.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p w14:paraId="197BE30A" w14:textId="77777777" w:rsidR="00297094" w:rsidRPr="00921C9B" w:rsidRDefault="00297094">
      <w:pPr>
        <w:widowControl/>
        <w:rPr>
          <w:szCs w:val="24"/>
          <w:lang w:eastAsia="en-US"/>
        </w:rPr>
      </w:pPr>
      <w:r w:rsidRPr="00921C9B">
        <w:rPr>
          <w:szCs w:val="24"/>
          <w:lang w:eastAsia="en-US"/>
        </w:rPr>
        <w:br w:type="page"/>
      </w:r>
    </w:p>
    <w:p w14:paraId="60FB240A" w14:textId="5C8FF376"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(28)</w:t>
      </w:r>
      <w:r w:rsidRPr="00921C9B">
        <w:rPr>
          <w:szCs w:val="24"/>
          <w:lang w:eastAsia="en-US"/>
        </w:rPr>
        <w:tab/>
        <w:t>Предоставянето на правомощия по член 8, параграф 3 от Директива 2000/60/ЕО, с което се предвижда използването на процедурата по регулиране с контрол, отговаря на критериите по член 290, параграф 2 от ДФЕС, тъй като се отнася до приемането на технически спецификации и стандартизирани методи за анализ и мониторинг на състоянието на водите и следователно има за цел да се осигурят еднакви условия за хармонизирано прилагане на посочената директива. Поради това то следва да бъде преобразувано в правомощия на Комисията да приема актове за изпълнение.  За да се осигури съпоставимост, предоставянето на правомощия следва да бъде разширено, така че да включва и установяването на формати за докладване на данни за мониторинга и състоянието в съответствие с член 8, параграф 4. Правомощията, предоставени на Комисията, следва да бъдат упражнявани в съответствие с Регламент (ЕС) № 182/2011 на Европейския парламент и на Съвета</w:t>
      </w:r>
      <w:r w:rsidRPr="00921C9B">
        <w:rPr>
          <w:szCs w:val="24"/>
          <w:vertAlign w:val="superscript"/>
          <w:lang w:eastAsia="en-US"/>
        </w:rPr>
        <w:footnoteReference w:id="47"/>
      </w:r>
      <w:r w:rsidRPr="00921C9B">
        <w:rPr>
          <w:szCs w:val="24"/>
          <w:lang w:eastAsia="en-US"/>
        </w:rPr>
        <w:t>.</w:t>
      </w:r>
    </w:p>
    <w:p w14:paraId="1DA28C45"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(29)</w:t>
      </w:r>
      <w:r w:rsidRPr="00921C9B">
        <w:rPr>
          <w:szCs w:val="24"/>
          <w:lang w:eastAsia="en-US"/>
        </w:rPr>
        <w:tab/>
        <w:t>За да се осигурят еднакви условия за прилагането на Директива 2000/60/ЕО, на Комисията следва да бъдат предоставени изпълнителни правомощия за приемане на технически формати за докладване на данните от мониторинга и състоянието на водите в съответствие с член 8, параграф 3 от Директива 2000/60/ЕО. Тези правомощия следва да се упражняват в съответствие с Регламент (ЕС) № 182/2011.</w:t>
      </w:r>
    </w:p>
    <w:p w14:paraId="6464FAC7" w14:textId="77777777" w:rsidR="00297094" w:rsidRPr="00921C9B" w:rsidRDefault="00297094">
      <w:pPr>
        <w:widowControl/>
        <w:rPr>
          <w:szCs w:val="24"/>
          <w:lang w:eastAsia="en-US"/>
        </w:rPr>
      </w:pPr>
      <w:r w:rsidRPr="00921C9B">
        <w:rPr>
          <w:szCs w:val="24"/>
          <w:lang w:eastAsia="en-US"/>
        </w:rPr>
        <w:br w:type="page"/>
      </w:r>
    </w:p>
    <w:p w14:paraId="7FEBF779" w14:textId="40C1C30F"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(30)</w:t>
      </w:r>
      <w:r w:rsidRPr="00921C9B">
        <w:rPr>
          <w:szCs w:val="24"/>
          <w:lang w:eastAsia="en-US"/>
        </w:rPr>
        <w:tab/>
        <w:t>За да се осигурят еднакви условия за прилагането на Директива 2008/105/ЕО, на Комисията следва да бъдат предоставени изпълнителни правомощия за приемане на стандартизирани формати за докладване на емисиите от точкови източници, които не са обхванати от Регламент (ЕС) .../... на Европейския парламент и на Съвета</w:t>
      </w:r>
      <w:r w:rsidRPr="00921C9B">
        <w:rPr>
          <w:szCs w:val="24"/>
          <w:vertAlign w:val="superscript"/>
          <w:lang w:eastAsia="en-US"/>
        </w:rPr>
        <w:footnoteReference w:id="48"/>
      </w:r>
      <w:r w:rsidRPr="00921C9B">
        <w:rPr>
          <w:szCs w:val="24"/>
          <w:lang w:eastAsia="en-US"/>
        </w:rPr>
        <w:t>, към ЕАОС. Тези правомощия следва да се упражняват в съответствие с Регламент (ЕС) № 182/2011.</w:t>
      </w:r>
    </w:p>
    <w:p w14:paraId="1A81D6F1" w14:textId="064F60D5" w:rsidR="000D29CC" w:rsidRPr="00921C9B" w:rsidRDefault="000D29CC" w:rsidP="000D29CC">
      <w:pPr>
        <w:spacing w:before="120" w:after="120" w:line="360" w:lineRule="auto"/>
        <w:ind w:left="850" w:hanging="850"/>
        <w:rPr>
          <w:b/>
          <w:szCs w:val="24"/>
          <w:lang w:eastAsia="en-US"/>
        </w:rPr>
      </w:pPr>
      <w:r w:rsidRPr="00921C9B">
        <w:rPr>
          <w:szCs w:val="24"/>
          <w:lang w:eastAsia="en-US"/>
        </w:rPr>
        <w:t>(31)</w:t>
      </w:r>
      <w:r w:rsidRPr="00921C9B">
        <w:rPr>
          <w:szCs w:val="24"/>
          <w:lang w:eastAsia="en-US"/>
        </w:rPr>
        <w:tab/>
        <w:t xml:space="preserve">Необходимо е да се </w:t>
      </w:r>
      <w:r w:rsidRPr="00921C9B">
        <w:rPr>
          <w:strike/>
          <w:szCs w:val="24"/>
          <w:lang w:eastAsia="en-US"/>
        </w:rPr>
        <w:t>вземе</w:t>
      </w:r>
      <w:r w:rsidRPr="00921C9B">
        <w:rPr>
          <w:b/>
          <w:i/>
          <w:szCs w:val="24"/>
          <w:lang w:eastAsia="en-US"/>
        </w:rPr>
        <w:t>вземат</w:t>
      </w:r>
      <w:r w:rsidRPr="00921C9B">
        <w:rPr>
          <w:szCs w:val="24"/>
          <w:lang w:eastAsia="en-US"/>
        </w:rPr>
        <w:t xml:space="preserve"> предвид научният и техническият прогрес</w:t>
      </w:r>
      <w:r w:rsidRPr="00921C9B">
        <w:rPr>
          <w:b/>
          <w:i/>
          <w:szCs w:val="24"/>
          <w:lang w:eastAsia="en-US"/>
        </w:rPr>
        <w:t xml:space="preserve"> и най-добрите налични методи</w:t>
      </w:r>
      <w:r w:rsidRPr="00921C9B">
        <w:rPr>
          <w:szCs w:val="24"/>
          <w:lang w:eastAsia="en-US"/>
        </w:rPr>
        <w:t xml:space="preserve"> в областта на мониторинга на състоянието на водните обекти в съответствие с изискванията за мониторинг, определени в приложение V към Директива 2000/60/ЕО. Ето защо държавите членки следва да могат да използват данни и услуги от технологии за дистанционно наблюдение, наблюдение на Земята (услуги по програма „Коперник“), датчици и устройства на място или данни от гражданската наука, като използват възможностите, предлагани от изкуствения интелект, усъвършенствания анализ и обработка на данни.</w:t>
      </w:r>
      <w:r w:rsidR="004C279A" w:rsidRPr="00921C9B">
        <w:rPr>
          <w:b/>
          <w:szCs w:val="24"/>
          <w:lang w:eastAsia="en-US"/>
        </w:rPr>
        <w:t xml:space="preserve"> [Изм. 45]</w:t>
      </w:r>
    </w:p>
    <w:p w14:paraId="3633C1AB" w14:textId="77777777" w:rsidR="00297094" w:rsidRPr="00921C9B" w:rsidRDefault="00297094">
      <w:pPr>
        <w:widowControl/>
        <w:rPr>
          <w:b/>
          <w:i/>
          <w:szCs w:val="24"/>
          <w:lang w:eastAsia="en-US"/>
        </w:rPr>
      </w:pPr>
      <w:r w:rsidRPr="00921C9B">
        <w:rPr>
          <w:b/>
          <w:i/>
          <w:szCs w:val="24"/>
          <w:lang w:eastAsia="en-US"/>
        </w:rPr>
        <w:br w:type="page"/>
      </w:r>
    </w:p>
    <w:p w14:paraId="021FAA4E" w14:textId="10F58674"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(31a)</w:t>
      </w:r>
      <w:r w:rsidRPr="00921C9B">
        <w:rPr>
          <w:szCs w:val="24"/>
          <w:lang w:eastAsia="en-US"/>
        </w:rPr>
        <w:tab/>
      </w:r>
      <w:r w:rsidRPr="00921C9B">
        <w:rPr>
          <w:b/>
          <w:i/>
          <w:szCs w:val="24"/>
          <w:lang w:eastAsia="en-US"/>
        </w:rPr>
        <w:t>Промишлените дейности, свързани с енергийния преход, могат да увеличат неблагоприятните въздействия върху качеството на водите. За да се смекчат подобни бъдещи въздействия, като например промени в естествените модели на потока и температурата, както и замърсяване на водите, се изисква оценка на пълния набор от потенциални фактори и на мерките, които трябва да бъдат предприети за постигане и поддържане на добро качество на водите. Затова държавите членки следва редовно да оценяват въздействието на промишлените дейности, свързани с енергийния преход, върху качеството на водите и да информират Комисията за новоустановени заплахи с цел актуализиране на списъка за наблюдение. Оценката следва да бъде лесно достъпна за обществеността, а актуализирането – да може да се извършва извън общите цикли на актуализация, за да се гарантира непрекъснато подобряване на оценката на качеството на водите.</w:t>
      </w:r>
      <w:r w:rsidR="004C279A" w:rsidRPr="00921C9B">
        <w:rPr>
          <w:b/>
          <w:szCs w:val="24"/>
          <w:lang w:eastAsia="en-US"/>
        </w:rPr>
        <w:t xml:space="preserve"> [Изм. 46]</w:t>
      </w:r>
    </w:p>
    <w:p w14:paraId="71A008C5" w14:textId="77777777" w:rsidR="00297094" w:rsidRPr="00921C9B" w:rsidRDefault="00297094">
      <w:pPr>
        <w:widowControl/>
        <w:rPr>
          <w:b/>
          <w:i/>
          <w:szCs w:val="24"/>
          <w:lang w:eastAsia="en-US"/>
        </w:rPr>
      </w:pPr>
      <w:r w:rsidRPr="00921C9B">
        <w:rPr>
          <w:b/>
          <w:i/>
          <w:szCs w:val="24"/>
          <w:lang w:eastAsia="en-US"/>
        </w:rPr>
        <w:br w:type="page"/>
      </w:r>
    </w:p>
    <w:p w14:paraId="13D52225" w14:textId="7A99996E"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(31б)</w:t>
      </w:r>
      <w:r w:rsidRPr="00921C9B">
        <w:rPr>
          <w:szCs w:val="24"/>
          <w:lang w:eastAsia="en-US"/>
        </w:rPr>
        <w:tab/>
      </w:r>
      <w:r w:rsidRPr="00921C9B">
        <w:rPr>
          <w:b/>
          <w:i/>
          <w:szCs w:val="24"/>
          <w:lang w:eastAsia="en-US"/>
        </w:rPr>
        <w:t>В своето съобщение от 11 декември 2019 г. относно Европейския зелен пакт и в съобщението си от 14 октомври 2020 г. относно подобряване на достъпа до правосъдие по въпроси на околната среда Комисията се ангажира да предприеме действия за подобряване на достъпа до правосъдие пред националните съдилища във всички държави членки за гражданите и екологичните неправителствени организации, които имат конкретни безпокойства относно съвместимостта на административни актове, засягащи околната среда, със законодателството в областта на околната среда. В последното съобщение Комисията потвърждава, че „достъпът до правосъдие по въпросите на околната среда – както чрез Съда на Европейския съюз (наричан по-нататък „Съда на ЕС“), така и чрез националните съдилища в качеството им на съдилища на Съюза – е важна мярка за подкрепа при осъществяването на прехода към Европейския зелен пакт и средство за засилване на ролята на гражданското общество като пазител на демократичното измерение“. Тези ангажименти следва да се изпълняват и съгласно Директива 2000/60/ЕО.</w:t>
      </w:r>
      <w:r w:rsidR="004C279A" w:rsidRPr="00921C9B">
        <w:rPr>
          <w:b/>
          <w:szCs w:val="24"/>
          <w:lang w:eastAsia="en-US"/>
        </w:rPr>
        <w:t xml:space="preserve"> [Изм. 47]</w:t>
      </w:r>
    </w:p>
    <w:p w14:paraId="1AB8950B" w14:textId="77777777" w:rsidR="00297094" w:rsidRPr="00921C9B" w:rsidRDefault="00297094">
      <w:pPr>
        <w:widowControl/>
        <w:rPr>
          <w:b/>
          <w:i/>
          <w:szCs w:val="24"/>
          <w:lang w:eastAsia="en-US"/>
        </w:rPr>
      </w:pPr>
      <w:r w:rsidRPr="00921C9B">
        <w:rPr>
          <w:b/>
          <w:i/>
          <w:szCs w:val="24"/>
          <w:lang w:eastAsia="en-US"/>
        </w:rPr>
        <w:br w:type="page"/>
      </w:r>
    </w:p>
    <w:p w14:paraId="728B9492" w14:textId="237D587E"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(31</w:t>
      </w:r>
      <w:r w:rsidR="004C279A" w:rsidRPr="00921C9B">
        <w:rPr>
          <w:b/>
          <w:i/>
          <w:szCs w:val="24"/>
          <w:lang w:eastAsia="en-US"/>
        </w:rPr>
        <w:t>в</w:t>
      </w:r>
      <w:r w:rsidRPr="00921C9B">
        <w:rPr>
          <w:b/>
          <w:i/>
          <w:szCs w:val="24"/>
          <w:lang w:eastAsia="en-US"/>
        </w:rPr>
        <w:t>)</w:t>
      </w:r>
      <w:r w:rsidRPr="00921C9B">
        <w:rPr>
          <w:szCs w:val="24"/>
          <w:lang w:eastAsia="en-US"/>
        </w:rPr>
        <w:tab/>
      </w:r>
      <w:r w:rsidRPr="00921C9B">
        <w:rPr>
          <w:b/>
          <w:i/>
          <w:szCs w:val="24"/>
          <w:lang w:eastAsia="en-US"/>
        </w:rPr>
        <w:t>Както се потвърждава от съдебната практика на Съда на ЕС</w:t>
      </w:r>
      <w:r w:rsidRPr="00921C9B">
        <w:rPr>
          <w:szCs w:val="24"/>
          <w:vertAlign w:val="superscript"/>
          <w:lang w:eastAsia="en-US"/>
        </w:rPr>
        <w:footnoteReference w:id="49"/>
      </w:r>
      <w:r w:rsidRPr="00921C9B">
        <w:rPr>
          <w:b/>
          <w:i/>
          <w:szCs w:val="24"/>
          <w:lang w:eastAsia="en-US"/>
        </w:rPr>
        <w:t>, на екологичните неправителствени организации и на пряко засегнатите физически лица следва да се даде право да оспорват решение, взето от публичен орган, което е в нарушение на целите в областта на околната среда, посочени в член 4 от Директива 2000/60/ЕО. С цел подобряване на достъпа до правосъдие по съответните въпроси пред националните съдилища в целия Съюз и за да могат екологичните неправителствени организации и пряко засегнатите лица да се позовават на националното законодателство при оспорване на решения, които са в нарушение на Директива 2000/60/ЕО, в Директива 2000/60/ЕО следва да бъдат установени разпоредби за гарантиране на достъпа до правосъдие.</w:t>
      </w:r>
      <w:r w:rsidR="004C279A" w:rsidRPr="00921C9B">
        <w:rPr>
          <w:b/>
          <w:szCs w:val="24"/>
          <w:lang w:eastAsia="en-US"/>
        </w:rPr>
        <w:t xml:space="preserve"> [Изм. 48]</w:t>
      </w:r>
    </w:p>
    <w:p w14:paraId="005EB8C2" w14:textId="77777777" w:rsidR="00297094" w:rsidRPr="00921C9B" w:rsidRDefault="00297094">
      <w:pPr>
        <w:widowControl/>
        <w:rPr>
          <w:szCs w:val="24"/>
          <w:lang w:eastAsia="en-US"/>
        </w:rPr>
      </w:pPr>
      <w:r w:rsidRPr="00921C9B">
        <w:rPr>
          <w:szCs w:val="24"/>
          <w:lang w:eastAsia="en-US"/>
        </w:rPr>
        <w:br w:type="page"/>
      </w:r>
    </w:p>
    <w:p w14:paraId="6FCF9F8B" w14:textId="363A9479" w:rsidR="000D29CC" w:rsidRPr="00921C9B" w:rsidRDefault="000D29CC" w:rsidP="000D29CC">
      <w:pPr>
        <w:spacing w:before="120" w:after="120" w:line="360" w:lineRule="auto"/>
        <w:ind w:left="850" w:hanging="850"/>
        <w:rPr>
          <w:b/>
          <w:szCs w:val="24"/>
          <w:lang w:eastAsia="en-US"/>
        </w:rPr>
      </w:pPr>
      <w:r w:rsidRPr="00921C9B">
        <w:rPr>
          <w:szCs w:val="24"/>
          <w:lang w:eastAsia="en-US"/>
        </w:rPr>
        <w:lastRenderedPageBreak/>
        <w:t>(32)</w:t>
      </w:r>
      <w:r w:rsidRPr="00921C9B">
        <w:rPr>
          <w:szCs w:val="24"/>
          <w:lang w:eastAsia="en-US"/>
        </w:rPr>
        <w:tab/>
        <w:t>Предвид увеличаването на броя на непредвидимите метеорологични явления, по-специално силни наводнения и продължителни засушавания, както и на значителните инциденти, свързани със замърсяване, които водят до трансгранично</w:t>
      </w:r>
      <w:r w:rsidRPr="00921C9B">
        <w:rPr>
          <w:strike/>
          <w:szCs w:val="24"/>
          <w:lang w:eastAsia="en-US"/>
        </w:rPr>
        <w:t xml:space="preserve"> случайно</w:t>
      </w:r>
      <w:r w:rsidRPr="00921C9B">
        <w:rPr>
          <w:szCs w:val="24"/>
          <w:lang w:eastAsia="en-US"/>
        </w:rPr>
        <w:t xml:space="preserve"> замърсяване или го задълбочават, от държавите членки следва да се изисква да гарантират, че на другите потенциално засегнати държави членки се предоставя незабавна информация за такива инциденти, и да си сътрудничат ефективно с потенциално засегнатите държави членки за смекчаване на последиците от явлението или инцидента. Необходимо е също така да се укрепи сътрудничеството между държавите членки и да се рационализират процедурите за трансгранично сътрудничество в случай на по-структурни, т.е. неслучайни и по-дългосрочни трансгранични проблеми, които не могат да бъдат решени на равнището на държавите членки, в съответствие с член 12 от Директива 2000/60/ЕО. В случай че е необходима европейска помощ, компетентните национални органи могат да изпращат искания за помощ до Координационния център за реагиране при извънредни ситуации на Комисията, който ще координира евентуалните предложения за помощ и тяхното разгръщане чрез механизма за гражданска защита на Съюза в съответствие с член 15 от Решение 1313/2013</w:t>
      </w:r>
      <w:r w:rsidRPr="00921C9B">
        <w:rPr>
          <w:b/>
          <w:i/>
          <w:szCs w:val="24"/>
          <w:lang w:eastAsia="en-US"/>
        </w:rPr>
        <w:t>/ЕС</w:t>
      </w:r>
      <w:r w:rsidRPr="00921C9B">
        <w:rPr>
          <w:szCs w:val="24"/>
          <w:lang w:eastAsia="en-US"/>
        </w:rPr>
        <w:t xml:space="preserve"> на Европейския парламент и на Съвета</w:t>
      </w:r>
      <w:r w:rsidRPr="00921C9B">
        <w:rPr>
          <w:szCs w:val="24"/>
          <w:vertAlign w:val="superscript"/>
          <w:lang w:eastAsia="en-US"/>
        </w:rPr>
        <w:footnoteReference w:id="50"/>
      </w:r>
      <w:r w:rsidRPr="00921C9B">
        <w:rPr>
          <w:szCs w:val="24"/>
          <w:lang w:eastAsia="en-US"/>
        </w:rPr>
        <w:t>.</w:t>
      </w:r>
      <w:r w:rsidRPr="00921C9B">
        <w:rPr>
          <w:b/>
          <w:i/>
          <w:szCs w:val="24"/>
          <w:lang w:eastAsia="en-US"/>
        </w:rPr>
        <w:t xml:space="preserve"> Като се има предвид, че районите на речните басейни могат да се простират извън територията на Съюза, осигуряването на ефективно прилагане на съответните разпоредби за опазване на водите съгласно Директива 2000/60/ЕО, както и на подходяща координация със съответните държави, които не са членки на ЕС, също би допринесло за постигане на целите, определени в Директива 2000/60/ЕО за тези специфични райони на речните басейни, както е посочено в член 3, параграф 5 от Директива 2000/60/ЕО. Освен това въоръжените конфликти, които протичат в непосредствена географска близост със Съюза, също следва да се считат за извънредни събития поради значителното им отрицателно трансгранично въздействие върху околната среда, включително замърсяване на въздуха, почвата и водите. Тъй като речните басейни, засегнати от тези конфликти, могат да се </w:t>
      </w:r>
      <w:r w:rsidRPr="00921C9B">
        <w:rPr>
          <w:b/>
          <w:i/>
          <w:szCs w:val="24"/>
          <w:lang w:eastAsia="en-US"/>
        </w:rPr>
        <w:lastRenderedPageBreak/>
        <w:t>простират и в границите на Съюза, Комисията и държавите членки следва да увеличат усилията си за създаване на подходяща координация със съответните държави, които не са членки на ЕС, както е посочено в член 3, параграф 5 от Директива 2000/60/ЕО.</w:t>
      </w:r>
      <w:r w:rsidR="004C279A" w:rsidRPr="00921C9B">
        <w:rPr>
          <w:b/>
          <w:szCs w:val="24"/>
          <w:lang w:eastAsia="en-US"/>
        </w:rPr>
        <w:t xml:space="preserve"> [Изм. 49]</w:t>
      </w:r>
    </w:p>
    <w:p w14:paraId="098E5C46" w14:textId="77777777" w:rsidR="00753EC5" w:rsidRPr="00921C9B" w:rsidRDefault="00753EC5">
      <w:pPr>
        <w:widowControl/>
        <w:rPr>
          <w:b/>
          <w:i/>
          <w:szCs w:val="24"/>
          <w:lang w:eastAsia="en-US"/>
        </w:rPr>
      </w:pPr>
      <w:r w:rsidRPr="00921C9B">
        <w:rPr>
          <w:b/>
          <w:i/>
          <w:szCs w:val="24"/>
          <w:lang w:eastAsia="en-US"/>
        </w:rPr>
        <w:br w:type="page"/>
      </w:r>
    </w:p>
    <w:p w14:paraId="0B28971A" w14:textId="55431520"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(32a)</w:t>
      </w:r>
      <w:r w:rsidRPr="00921C9B">
        <w:rPr>
          <w:szCs w:val="24"/>
          <w:lang w:eastAsia="en-US"/>
        </w:rPr>
        <w:tab/>
      </w:r>
      <w:r w:rsidRPr="00921C9B">
        <w:rPr>
          <w:b/>
          <w:i/>
          <w:szCs w:val="24"/>
          <w:lang w:eastAsia="en-US"/>
        </w:rPr>
        <w:t>В своят доклад от 19 май 2021 г., озаглавен „Принципът „замърсителят плаща“ се прилага по непоследователен начин в политиките и действията на ЕС в областта на околната среда“, Европейската сметна палата отбелязва, че държавите членки вече изразходват около 100 милиарда евро годишно за водоснабдяване и канализация и че увеличението на тези разходи се очаква да надхвърли 25%, за да се постигнат целите на законодателството на Съюза в областта на пречистването на отпадъчните води и питейната вода, без да се включват инвестициите, необходими за обновяване на съществуващата инфраструктура или за постигане на целите на Рамковата директива за водите и Директивата за наводненията. Освен това в Съюза потребителите заплащат средно около 70% от разходите за предоставяне на услуги за водоснабдяване чрез тарифите за водоснабдяване, докато публичният бюджет финансира останалите 30%, въпреки че има значителни разлики между регионите и държавите членки. Домакинствата в Съюза обикновено плащат по-голямата част от разходите за услуги за водоснабдяване и канализация, въпреки че потребяват само 10% от водата, докато икономическите сектори, които упражняват най-голям натиск върху възобновяемите сладководни ресурси, допринасят в най-малка степен за покриването на тези разходи.</w:t>
      </w:r>
      <w:r w:rsidR="004C279A" w:rsidRPr="00921C9B">
        <w:rPr>
          <w:b/>
          <w:szCs w:val="24"/>
          <w:lang w:eastAsia="en-US"/>
        </w:rPr>
        <w:t xml:space="preserve"> [Изм. 50]</w:t>
      </w:r>
    </w:p>
    <w:p w14:paraId="2063197E" w14:textId="77777777" w:rsidR="00753EC5" w:rsidRPr="00921C9B" w:rsidRDefault="00753EC5">
      <w:pPr>
        <w:widowControl/>
        <w:rPr>
          <w:b/>
          <w:i/>
          <w:szCs w:val="24"/>
          <w:lang w:eastAsia="en-US"/>
        </w:rPr>
      </w:pPr>
      <w:r w:rsidRPr="00921C9B">
        <w:rPr>
          <w:b/>
          <w:i/>
          <w:szCs w:val="24"/>
          <w:lang w:eastAsia="en-US"/>
        </w:rPr>
        <w:br w:type="page"/>
      </w:r>
    </w:p>
    <w:p w14:paraId="2F3980CF" w14:textId="35768F45"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(32б)</w:t>
      </w:r>
      <w:r w:rsidRPr="00921C9B">
        <w:rPr>
          <w:szCs w:val="24"/>
          <w:lang w:eastAsia="en-US"/>
        </w:rPr>
        <w:tab/>
      </w:r>
      <w:r w:rsidRPr="00921C9B">
        <w:rPr>
          <w:b/>
          <w:i/>
          <w:szCs w:val="24"/>
          <w:lang w:eastAsia="en-US"/>
        </w:rPr>
        <w:t>Разходите за програмите за мониторинг за определяне на състоянието на повърхностните и подземните води се финансират единствено от бюджетите на държавите членки. Като се има предвид, че броят на химикалите, открити във водната среда, непрекъснато се променя, че има все повече нови замърсители, които едва наскоро са започнали да се появяват във водната среда, че методите за химичен анализ трябва постоянно да се усъвършенстват, за да се откриват тези нови и нововъзникващи замърсители и да се оценява правилно екологичното им въздействие, както и че трябва да се разработват нови методи за мониторинг, за да се оцени по-добре въздействието на химическите смеси, тези разходи за мониторинг вероятно ще нараснат още повече. За да се покрият тези разходи и в съответствие с принципа „замърсителят плаща“, залегнал в член 191, параграф 2 от Договора за функционирането на Европейския съюз (ДФЕС), от съществено значение е производителите, които пускат на пазара на Съюза продукти, съдържащи вещества, които имат доказано или потенциално отрицателно въздействие върху човешкото здраве и водната среда, да поемат финансова отговорност за мерките, необходими за контрол на веществата, генерирани във връзка с тяхната търговска дейност и открити в повърхностните и подземните води. Система за разширена отговорност на производителя е вероятно най-подходящото средство за постигането на тази цел, тъй като тя би ограничила финансовата тежест за данъкоплатците, като същевременно би осигурила стимул за разработване на по-екологосъобразни продукти. Поради това Комисията следва да изготви оценка на въздействието, в която да се проучи дали в Директива 2006/118/ЕО и Директива 2008/105/ЕО да се включи механизъм за разширена отговорност на производителя, приложим за приоритетните вещества, определени в Директива 2006/118/ЕО и в Директива 2008/105/ЕО, както и за новите и нововъзникващите замърсители, определени в списъците за наблюдение съгласно Директива 2006/118/ЕО и Директива 2008/105/ЕО. Оценката на въздействието следва да бъде придружена, когато е целесъобразно, от законодателно предложение за преразглеждане на директиви 2006/118/ЕО и 2008/105/ЕО.</w:t>
      </w:r>
      <w:r w:rsidR="004C279A" w:rsidRPr="00921C9B">
        <w:rPr>
          <w:b/>
          <w:szCs w:val="24"/>
          <w:lang w:eastAsia="en-US"/>
        </w:rPr>
        <w:t xml:space="preserve"> [Изм. 51]</w:t>
      </w:r>
    </w:p>
    <w:p w14:paraId="670A873A" w14:textId="77777777" w:rsidR="00753EC5" w:rsidRPr="00921C9B" w:rsidRDefault="00753EC5">
      <w:pPr>
        <w:widowControl/>
        <w:rPr>
          <w:b/>
          <w:i/>
          <w:szCs w:val="24"/>
          <w:lang w:eastAsia="en-US"/>
        </w:rPr>
      </w:pPr>
      <w:r w:rsidRPr="00921C9B">
        <w:rPr>
          <w:b/>
          <w:i/>
          <w:szCs w:val="24"/>
          <w:lang w:eastAsia="en-US"/>
        </w:rPr>
        <w:br w:type="page"/>
      </w:r>
    </w:p>
    <w:p w14:paraId="4C0F6029" w14:textId="14D5BEEF"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(32в)</w:t>
      </w:r>
      <w:r w:rsidRPr="00921C9B">
        <w:rPr>
          <w:szCs w:val="24"/>
          <w:lang w:eastAsia="en-US"/>
        </w:rPr>
        <w:tab/>
      </w:r>
      <w:r w:rsidRPr="00921C9B">
        <w:rPr>
          <w:b/>
          <w:i/>
          <w:szCs w:val="24"/>
          <w:lang w:eastAsia="en-US"/>
        </w:rPr>
        <w:t>Мониторингът на по-голям брой вещества или групи от вещества е свързан с по-големи разходи, но също така с необходимостта от укрепване на административния капацитет на държавите членки, особено на тези с по-ограничени ресурси. С оглед на гореизложеното Комисията следва да създаде съвместен европейски механизъм за мониторинг, който да управлява изискванията за мониторинг по искане на държавите членки, с което да се облекчи финансовата и административната тежест за тях. Комисията следва да определи методите за функциониране на механизма за мониторинг. Използването на този механизъм следва да бъде доброволно и да не засяга организацията, която вече е въведена от държавите членки.</w:t>
      </w:r>
      <w:r w:rsidR="004C279A" w:rsidRPr="00921C9B">
        <w:rPr>
          <w:b/>
          <w:szCs w:val="24"/>
          <w:lang w:eastAsia="en-US"/>
        </w:rPr>
        <w:t xml:space="preserve"> [Изм. 52]</w:t>
      </w:r>
    </w:p>
    <w:p w14:paraId="0C6206D1" w14:textId="77777777" w:rsidR="00753EC5" w:rsidRPr="00921C9B" w:rsidRDefault="00753EC5">
      <w:pPr>
        <w:widowControl/>
        <w:rPr>
          <w:b/>
          <w:i/>
          <w:szCs w:val="24"/>
          <w:lang w:eastAsia="en-US"/>
        </w:rPr>
      </w:pPr>
      <w:r w:rsidRPr="00921C9B">
        <w:rPr>
          <w:b/>
          <w:i/>
          <w:szCs w:val="24"/>
          <w:lang w:eastAsia="en-US"/>
        </w:rPr>
        <w:br w:type="page"/>
      </w:r>
    </w:p>
    <w:p w14:paraId="04E8F25E" w14:textId="10E62C93"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(32г)</w:t>
      </w:r>
      <w:r w:rsidRPr="00921C9B">
        <w:rPr>
          <w:szCs w:val="24"/>
          <w:lang w:eastAsia="en-US"/>
        </w:rPr>
        <w:tab/>
      </w:r>
      <w:r w:rsidRPr="00921C9B">
        <w:rPr>
          <w:b/>
          <w:i/>
          <w:szCs w:val="24"/>
          <w:lang w:eastAsia="en-US"/>
        </w:rPr>
        <w:t>Наличните данни сочат, че са необходими инвестиции във водния сектор и че финансирането от Съюза е от ключово значение за някои държави членки, така че да изпълнят правните си задължения, определени в Директива 2000/60/ЕО, Директива 2008/105/ЕО и Директива 2006/118/ЕО. Всички държави членки трябва да увеличат разходите си с най-малко 20%, за да постигнат стандартите на Съюза по отношение на водите, като общият недостиг на финансиране е в размер на 289 милиар</w:t>
      </w:r>
      <w:r w:rsidR="00700E04" w:rsidRPr="00921C9B">
        <w:rPr>
          <w:b/>
          <w:i/>
          <w:szCs w:val="24"/>
          <w:lang w:eastAsia="en-US"/>
        </w:rPr>
        <w:t>да евро до 2030 </w:t>
      </w:r>
      <w:r w:rsidRPr="00921C9B">
        <w:rPr>
          <w:b/>
          <w:i/>
          <w:szCs w:val="24"/>
          <w:lang w:eastAsia="en-US"/>
        </w:rPr>
        <w:t>г.</w:t>
      </w:r>
      <w:r w:rsidRPr="00921C9B">
        <w:rPr>
          <w:szCs w:val="24"/>
          <w:vertAlign w:val="superscript"/>
          <w:lang w:eastAsia="en-US"/>
        </w:rPr>
        <w:footnoteReference w:id="51"/>
      </w:r>
      <w:r w:rsidRPr="00921C9B">
        <w:rPr>
          <w:b/>
          <w:i/>
          <w:szCs w:val="24"/>
          <w:lang w:eastAsia="en-US"/>
        </w:rPr>
        <w:t>. Поради това е необходимо да се гарантира, че са осигурени достатъчно финансови и човешки ресурси за целите на мониторинга и инспекциите на водните обекти във всички държави членки, включително чрез съответните структурни фондове и програми на Съюза, както и чрез вноски от частния сектор, включително в рамките на механизма за разширена отговорност на производителя, след като бъде въведен.</w:t>
      </w:r>
      <w:r w:rsidR="004C279A" w:rsidRPr="00921C9B">
        <w:rPr>
          <w:b/>
          <w:szCs w:val="24"/>
          <w:lang w:eastAsia="en-US"/>
        </w:rPr>
        <w:t xml:space="preserve"> [Изм. 53]</w:t>
      </w:r>
    </w:p>
    <w:p w14:paraId="77A6C215"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(33)</w:t>
      </w:r>
      <w:r w:rsidRPr="00921C9B">
        <w:rPr>
          <w:szCs w:val="24"/>
          <w:lang w:eastAsia="en-US"/>
        </w:rPr>
        <w:tab/>
        <w:t>Поради това директиви 2000/60/ЕО и 2006/118/ЕО и 2008/105/ЕО следва да бъдат съответно изменени.</w:t>
      </w:r>
    </w:p>
    <w:p w14:paraId="15F1B46F" w14:textId="77777777" w:rsidR="00753EC5" w:rsidRPr="00921C9B" w:rsidRDefault="00753EC5">
      <w:pPr>
        <w:widowControl/>
        <w:rPr>
          <w:szCs w:val="24"/>
          <w:lang w:eastAsia="en-US"/>
        </w:rPr>
      </w:pPr>
      <w:r w:rsidRPr="00921C9B">
        <w:rPr>
          <w:szCs w:val="24"/>
          <w:lang w:eastAsia="en-US"/>
        </w:rPr>
        <w:br w:type="page"/>
      </w:r>
    </w:p>
    <w:p w14:paraId="537099D6" w14:textId="27AC3ECB"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(34)</w:t>
      </w:r>
      <w:r w:rsidRPr="00921C9B">
        <w:rPr>
          <w:szCs w:val="24"/>
          <w:lang w:eastAsia="en-US"/>
        </w:rPr>
        <w:tab/>
        <w:t>Доколкото целите на настоящата директива, а именно осигуряване на висока степен на опазване на околната среда и подобряване на екологичното качество на европейските сладки води, не могат да бъдат постигнати самостоятелно от държавите членки и, следователно, поради трансграничния характер на замърсяването на водите, могат да бъдат постигнати по-добре на равнището на ЕС, Съюзът може да приеме мерки в съответствие с принципа на субсидиарност, уреден в член 5 от Договора за Европейския съюз. В съответствие с принципа на пропорционалност, уреден в същия член, настоящата директива не надхвърля необходимото за постигането на тези цели,</w:t>
      </w:r>
    </w:p>
    <w:p w14:paraId="21CA8A79" w14:textId="14892823" w:rsidR="000D29CC" w:rsidRPr="00921C9B" w:rsidRDefault="000D29CC" w:rsidP="000D29CC">
      <w:pPr>
        <w:spacing w:before="120" w:after="120" w:line="360" w:lineRule="auto"/>
        <w:ind w:left="850" w:hanging="850"/>
        <w:rPr>
          <w:b/>
          <w:szCs w:val="24"/>
          <w:lang w:eastAsia="en-US"/>
        </w:rPr>
      </w:pPr>
      <w:r w:rsidRPr="00921C9B">
        <w:rPr>
          <w:b/>
          <w:i/>
          <w:szCs w:val="24"/>
          <w:lang w:eastAsia="en-US"/>
        </w:rPr>
        <w:t>(34a)</w:t>
      </w:r>
      <w:r w:rsidRPr="00921C9B">
        <w:rPr>
          <w:szCs w:val="24"/>
          <w:lang w:eastAsia="en-US"/>
        </w:rPr>
        <w:tab/>
      </w:r>
      <w:r w:rsidRPr="00921C9B">
        <w:rPr>
          <w:b/>
          <w:i/>
          <w:szCs w:val="24"/>
          <w:lang w:eastAsia="en-US"/>
        </w:rPr>
        <w:t>Държавите членки следва да насърчават полезни взаимодействия между изискванията на съответните директиви, отнасящи се както до събирането на данни, така и до внедряването на цифрови инструменти, като например технологиите за дистанционно наблюдение или наблюдение на Земята (услуги по програма „Коперник“).</w:t>
      </w:r>
      <w:r w:rsidR="004C279A" w:rsidRPr="00921C9B">
        <w:rPr>
          <w:b/>
          <w:szCs w:val="24"/>
          <w:lang w:eastAsia="en-US"/>
        </w:rPr>
        <w:t xml:space="preserve"> [Изм. 54]</w:t>
      </w:r>
    </w:p>
    <w:p w14:paraId="4BE7536F" w14:textId="77777777" w:rsidR="00753EC5" w:rsidRPr="00921C9B" w:rsidRDefault="00753EC5">
      <w:pPr>
        <w:widowControl/>
        <w:rPr>
          <w:b/>
          <w:i/>
          <w:szCs w:val="24"/>
          <w:lang w:eastAsia="en-US"/>
        </w:rPr>
      </w:pPr>
      <w:r w:rsidRPr="00921C9B">
        <w:rPr>
          <w:b/>
          <w:i/>
          <w:szCs w:val="24"/>
          <w:lang w:eastAsia="en-US"/>
        </w:rPr>
        <w:br w:type="page"/>
      </w:r>
    </w:p>
    <w:p w14:paraId="722F14BA" w14:textId="74A3D31F" w:rsidR="000D29CC" w:rsidRPr="00921C9B" w:rsidRDefault="000D29CC" w:rsidP="000D29CC">
      <w:pPr>
        <w:spacing w:before="120" w:after="120" w:line="360" w:lineRule="auto"/>
        <w:ind w:left="850" w:hanging="850"/>
        <w:rPr>
          <w:b/>
          <w:szCs w:val="24"/>
          <w:lang w:eastAsia="en-US"/>
        </w:rPr>
      </w:pPr>
      <w:r w:rsidRPr="00921C9B">
        <w:rPr>
          <w:b/>
          <w:i/>
          <w:szCs w:val="24"/>
          <w:lang w:eastAsia="en-US"/>
        </w:rPr>
        <w:lastRenderedPageBreak/>
        <w:t>(34б)</w:t>
      </w:r>
      <w:r w:rsidRPr="00921C9B">
        <w:rPr>
          <w:szCs w:val="24"/>
          <w:lang w:eastAsia="en-US"/>
        </w:rPr>
        <w:tab/>
      </w:r>
      <w:r w:rsidRPr="00921C9B">
        <w:rPr>
          <w:b/>
          <w:i/>
          <w:szCs w:val="24"/>
          <w:lang w:eastAsia="en-US"/>
        </w:rPr>
        <w:t>Компетентните органи следва да подкрепят обучения, програми за развитие на умения и инвестиции в човешки капитал с цел подкрепа на ефективното прилагане на най-добри технологии и иновативни решения в рамките на директивите. Информацията следва да бъде достъпна на различните национални езици, за да се подобри достъпността на съответните данни в цяла Европа за съответните местни организации и граждани.</w:t>
      </w:r>
      <w:r w:rsidR="004C279A" w:rsidRPr="00921C9B">
        <w:rPr>
          <w:b/>
          <w:szCs w:val="24"/>
          <w:lang w:eastAsia="en-US"/>
        </w:rPr>
        <w:t xml:space="preserve"> [Изм. 55]</w:t>
      </w:r>
    </w:p>
    <w:p w14:paraId="133B1C6F" w14:textId="77777777" w:rsidR="000D29CC" w:rsidRPr="00921C9B" w:rsidRDefault="000D29CC" w:rsidP="000D29CC">
      <w:pPr>
        <w:keepNext/>
        <w:widowControl/>
        <w:spacing w:before="120" w:after="120" w:line="360" w:lineRule="auto"/>
        <w:rPr>
          <w:szCs w:val="24"/>
          <w:lang w:eastAsia="en-US"/>
        </w:rPr>
      </w:pPr>
      <w:r w:rsidRPr="00921C9B">
        <w:rPr>
          <w:szCs w:val="24"/>
          <w:lang w:eastAsia="en-US"/>
        </w:rPr>
        <w:t>ПРИЕХА НАСТОЯЩАТА ДИРЕКТИВА:</w:t>
      </w:r>
    </w:p>
    <w:p w14:paraId="30E03E61" w14:textId="77777777" w:rsidR="004C279A" w:rsidRPr="00921C9B" w:rsidRDefault="004C279A">
      <w:pPr>
        <w:widowControl/>
        <w:rPr>
          <w:szCs w:val="24"/>
          <w:lang w:eastAsia="en-US"/>
        </w:rPr>
      </w:pPr>
      <w:r w:rsidRPr="00921C9B">
        <w:rPr>
          <w:szCs w:val="24"/>
          <w:lang w:eastAsia="en-US"/>
        </w:rPr>
        <w:br w:type="page"/>
      </w:r>
    </w:p>
    <w:p w14:paraId="5DBE8159" w14:textId="15F9F2B1" w:rsidR="000D29CC" w:rsidRPr="00921C9B" w:rsidRDefault="000D29CC" w:rsidP="000D29CC">
      <w:pPr>
        <w:spacing w:before="120" w:after="120" w:line="360" w:lineRule="auto"/>
        <w:jc w:val="center"/>
        <w:rPr>
          <w:szCs w:val="24"/>
          <w:lang w:eastAsia="en-US"/>
        </w:rPr>
      </w:pPr>
      <w:r w:rsidRPr="00921C9B">
        <w:rPr>
          <w:szCs w:val="24"/>
          <w:lang w:eastAsia="en-US"/>
        </w:rPr>
        <w:lastRenderedPageBreak/>
        <w:t>Член 1</w:t>
      </w:r>
      <w:r w:rsidRPr="00921C9B">
        <w:rPr>
          <w:szCs w:val="24"/>
          <w:lang w:eastAsia="en-US"/>
        </w:rPr>
        <w:br/>
        <w:t>Изменения на Директива 2000/60/ЕО</w:t>
      </w:r>
    </w:p>
    <w:p w14:paraId="707527EB" w14:textId="77777777" w:rsidR="000D29CC" w:rsidRPr="00921C9B" w:rsidRDefault="000D29CC" w:rsidP="000D29CC">
      <w:pPr>
        <w:spacing w:before="120" w:after="120" w:line="360" w:lineRule="auto"/>
        <w:rPr>
          <w:szCs w:val="24"/>
          <w:lang w:eastAsia="en-US"/>
        </w:rPr>
      </w:pPr>
      <w:r w:rsidRPr="00921C9B">
        <w:rPr>
          <w:szCs w:val="24"/>
          <w:lang w:eastAsia="en-US"/>
        </w:rPr>
        <w:t>Директива 2000/60/ЕО се изменя, както следва:</w:t>
      </w:r>
    </w:p>
    <w:p w14:paraId="5989547C" w14:textId="75340005" w:rsidR="000D29CC" w:rsidRPr="00921C9B" w:rsidRDefault="000D29CC" w:rsidP="000D29CC">
      <w:pPr>
        <w:spacing w:before="120" w:after="120" w:line="360" w:lineRule="auto"/>
        <w:ind w:left="850" w:hanging="850"/>
        <w:rPr>
          <w:b/>
          <w:szCs w:val="24"/>
          <w:lang w:eastAsia="en-US"/>
        </w:rPr>
      </w:pPr>
      <w:r w:rsidRPr="00921C9B">
        <w:rPr>
          <w:szCs w:val="24"/>
          <w:lang w:eastAsia="en-US"/>
        </w:rPr>
        <w:t>1)</w:t>
      </w:r>
      <w:r w:rsidRPr="00921C9B">
        <w:rPr>
          <w:szCs w:val="24"/>
          <w:lang w:eastAsia="en-US"/>
        </w:rPr>
        <w:tab/>
        <w:t xml:space="preserve">В член 1, </w:t>
      </w:r>
      <w:r w:rsidRPr="00921C9B">
        <w:rPr>
          <w:strike/>
          <w:szCs w:val="24"/>
          <w:lang w:eastAsia="en-US"/>
        </w:rPr>
        <w:t>параграф 3</w:t>
      </w:r>
      <w:r w:rsidRPr="00921C9B">
        <w:rPr>
          <w:b/>
          <w:i/>
          <w:szCs w:val="24"/>
          <w:lang w:eastAsia="en-US"/>
        </w:rPr>
        <w:t>буква д)</w:t>
      </w:r>
      <w:r w:rsidRPr="00921C9B">
        <w:rPr>
          <w:szCs w:val="24"/>
          <w:lang w:eastAsia="en-US"/>
        </w:rPr>
        <w:t>, четвъртото тире се заменя със следното:</w:t>
      </w:r>
      <w:r w:rsidR="004C279A" w:rsidRPr="00921C9B">
        <w:rPr>
          <w:b/>
          <w:szCs w:val="24"/>
          <w:lang w:eastAsia="en-US"/>
        </w:rPr>
        <w:t xml:space="preserve"> [Изм. 56]</w:t>
      </w:r>
    </w:p>
    <w:p w14:paraId="047B0B77" w14:textId="77777777" w:rsidR="000D29CC" w:rsidRPr="00921C9B" w:rsidRDefault="000D29CC" w:rsidP="000D29CC">
      <w:pPr>
        <w:spacing w:before="120" w:after="120" w:line="360" w:lineRule="auto"/>
        <w:ind w:left="850"/>
        <w:rPr>
          <w:szCs w:val="24"/>
          <w:lang w:eastAsia="en-US"/>
        </w:rPr>
      </w:pPr>
      <w:r w:rsidRPr="00921C9B">
        <w:rPr>
          <w:szCs w:val="24"/>
          <w:lang w:eastAsia="en-US"/>
        </w:rPr>
        <w:t>„— достигане на целите на съответните международни споразумения, включително на тези, целящи предотвратяване и елиминиране на замърсяването на морската среда, посредством действия на Съюза за пълно или поетапно прекратяване на заустванията, емисиите и загубите от приоритетни опасни вещества с единствената цел за достигане на концентрации в морската среда, близки до фоновите нива за естествено намиращите се вещества и близки до нулата за произведени от човека синтетични вещества.;“</w:t>
      </w:r>
    </w:p>
    <w:p w14:paraId="2140E924" w14:textId="77777777" w:rsidR="00753EC5" w:rsidRPr="00921C9B" w:rsidRDefault="00753EC5">
      <w:pPr>
        <w:widowControl/>
        <w:rPr>
          <w:szCs w:val="24"/>
          <w:lang w:eastAsia="en-US"/>
        </w:rPr>
      </w:pPr>
      <w:r w:rsidRPr="00921C9B">
        <w:rPr>
          <w:szCs w:val="24"/>
          <w:lang w:eastAsia="en-US"/>
        </w:rPr>
        <w:br w:type="page"/>
      </w:r>
    </w:p>
    <w:p w14:paraId="7F7395B7" w14:textId="047896E1"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2)</w:t>
      </w:r>
      <w:r w:rsidRPr="00921C9B">
        <w:rPr>
          <w:szCs w:val="24"/>
          <w:lang w:eastAsia="en-US"/>
        </w:rPr>
        <w:tab/>
        <w:t>член 2 се изменя, както следва:</w:t>
      </w:r>
    </w:p>
    <w:p w14:paraId="1043843F"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а)</w:t>
      </w:r>
      <w:r w:rsidRPr="00921C9B">
        <w:rPr>
          <w:szCs w:val="24"/>
          <w:lang w:eastAsia="en-US"/>
        </w:rPr>
        <w:tab/>
        <w:t>точка 24 се заменя със следния текст:</w:t>
      </w:r>
    </w:p>
    <w:p w14:paraId="0935149F" w14:textId="79FA3BB4" w:rsidR="000D29CC" w:rsidRPr="00921C9B" w:rsidRDefault="000D29CC" w:rsidP="000D29CC">
      <w:pPr>
        <w:spacing w:before="120" w:after="120" w:line="360" w:lineRule="auto"/>
        <w:ind w:left="1982" w:hanging="566"/>
        <w:rPr>
          <w:szCs w:val="24"/>
          <w:lang w:eastAsia="en-US"/>
        </w:rPr>
      </w:pPr>
      <w:r w:rsidRPr="00921C9B">
        <w:rPr>
          <w:szCs w:val="24"/>
          <w:lang w:eastAsia="en-US"/>
        </w:rPr>
        <w:t>„24</w:t>
      </w:r>
      <w:r w:rsidR="004C279A" w:rsidRPr="00921C9B">
        <w:rPr>
          <w:szCs w:val="24"/>
          <w:lang w:eastAsia="en-US"/>
        </w:rPr>
        <w:t>)</w:t>
      </w:r>
      <w:r w:rsidRPr="00921C9B">
        <w:rPr>
          <w:szCs w:val="24"/>
          <w:lang w:eastAsia="en-US"/>
        </w:rPr>
        <w:tab/>
        <w:t>„Добро химично състояние на повърхностните води“ означава химичното състояние, което се изисква за постигане на екологичните цели за повърхностните води, определени в член 4, параграф 1, буква a) от  настоящата директива, което е химичното състояние, постигнато от повърхностен воден обект, в който концентрациите на замърсителите не надвишават стандартите за качество на околната среда, установени в част А от приложение I към Директива 2008/105/ЕО на Европейския парламент и на Съвета*, и стандартите за качество на околната среда за специфичните замърсители на речните басейни, определени в съответствие с член 8, параграф 2, буква в) и член 8г, параграф 1 от посочената директива.;“</w:t>
      </w:r>
      <w:r w:rsidR="004C279A" w:rsidRPr="00921C9B">
        <w:rPr>
          <w:szCs w:val="24"/>
          <w:lang w:eastAsia="en-US"/>
        </w:rPr>
        <w:t>;</w:t>
      </w:r>
    </w:p>
    <w:p w14:paraId="5464BFEC"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б)</w:t>
      </w:r>
      <w:r w:rsidRPr="00921C9B">
        <w:rPr>
          <w:szCs w:val="24"/>
          <w:lang w:eastAsia="en-US"/>
        </w:rPr>
        <w:tab/>
        <w:t>точка 30 се заменя със следния текст:</w:t>
      </w:r>
    </w:p>
    <w:p w14:paraId="3823A85C" w14:textId="6C17E1D1" w:rsidR="000D29CC" w:rsidRPr="00921C9B" w:rsidRDefault="004C279A" w:rsidP="000D29CC">
      <w:pPr>
        <w:spacing w:before="120" w:after="120" w:line="360" w:lineRule="auto"/>
        <w:ind w:left="1982" w:hanging="566"/>
        <w:rPr>
          <w:szCs w:val="24"/>
          <w:lang w:eastAsia="en-US"/>
        </w:rPr>
      </w:pPr>
      <w:r w:rsidRPr="00921C9B">
        <w:rPr>
          <w:szCs w:val="24"/>
          <w:lang w:eastAsia="en-US"/>
        </w:rPr>
        <w:t>„30)</w:t>
      </w:r>
      <w:r w:rsidR="000D29CC" w:rsidRPr="00921C9B">
        <w:rPr>
          <w:szCs w:val="24"/>
          <w:lang w:eastAsia="en-US"/>
        </w:rPr>
        <w:tab/>
        <w:t>„Приоритетни вещества“ означава веществата, посочени в част А от приложение I към Директива 2008/105/ЕО, т.е. веществата, които представляват значителен риск за или чрез водната среда в голяма част от държавите членки.;“</w:t>
      </w:r>
      <w:r w:rsidRPr="00921C9B">
        <w:rPr>
          <w:szCs w:val="24"/>
          <w:lang w:eastAsia="en-US"/>
        </w:rPr>
        <w:t>;</w:t>
      </w:r>
    </w:p>
    <w:p w14:paraId="02BBDA2C" w14:textId="77777777" w:rsidR="00753EC5" w:rsidRPr="00921C9B" w:rsidRDefault="00753EC5">
      <w:pPr>
        <w:widowControl/>
        <w:rPr>
          <w:szCs w:val="24"/>
          <w:lang w:eastAsia="en-US"/>
        </w:rPr>
      </w:pPr>
      <w:r w:rsidRPr="00921C9B">
        <w:rPr>
          <w:szCs w:val="24"/>
          <w:lang w:eastAsia="en-US"/>
        </w:rPr>
        <w:br w:type="page"/>
      </w:r>
    </w:p>
    <w:p w14:paraId="4AFEB347" w14:textId="523CD4C8"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в)</w:t>
      </w:r>
      <w:r w:rsidRPr="00921C9B">
        <w:rPr>
          <w:szCs w:val="24"/>
          <w:lang w:eastAsia="en-US"/>
        </w:rPr>
        <w:tab/>
        <w:t>вмъкват се точки 30а и 30б, както следва:</w:t>
      </w:r>
    </w:p>
    <w:p w14:paraId="28308D2D" w14:textId="7364D054" w:rsidR="000D29CC" w:rsidRPr="00921C9B" w:rsidRDefault="004C279A" w:rsidP="000D29CC">
      <w:pPr>
        <w:spacing w:before="120" w:after="120" w:line="360" w:lineRule="auto"/>
        <w:ind w:left="1982" w:hanging="566"/>
        <w:rPr>
          <w:b/>
          <w:szCs w:val="24"/>
          <w:lang w:eastAsia="en-US"/>
        </w:rPr>
      </w:pPr>
      <w:r w:rsidRPr="00921C9B">
        <w:rPr>
          <w:szCs w:val="24"/>
          <w:lang w:eastAsia="en-US"/>
        </w:rPr>
        <w:t>„30а)</w:t>
      </w:r>
      <w:r w:rsidR="000D29CC" w:rsidRPr="00921C9B">
        <w:rPr>
          <w:szCs w:val="24"/>
          <w:lang w:eastAsia="en-US"/>
        </w:rPr>
        <w:tab/>
        <w:t xml:space="preserve">„Приоритетни опасни вещества“ означава приоритетни вещества, които са обозначени като „опасни“ въз основа на това, че са признати в научни доклади, в съответното законодателство на Съюза или в съответните международни споразумения като токсични, устойчиви и склонни към биоакумулиране </w:t>
      </w:r>
      <w:r w:rsidR="000D29CC" w:rsidRPr="00921C9B">
        <w:rPr>
          <w:b/>
          <w:i/>
          <w:szCs w:val="24"/>
          <w:lang w:eastAsia="en-US"/>
        </w:rPr>
        <w:t xml:space="preserve">(PBT), много устойчиви и много акумулативни (vPvB), устойчиви, мобилни и токсични (PMT), много устойчиви и много мобилни (vPvM) </w:t>
      </w:r>
      <w:r w:rsidR="000D29CC" w:rsidRPr="00921C9B">
        <w:rPr>
          <w:szCs w:val="24"/>
          <w:lang w:eastAsia="en-US"/>
        </w:rPr>
        <w:t>или като пораждащи еквивалентно ниво на безпокойство, когато това безпокойство е от значение за водната среда</w:t>
      </w:r>
      <w:r w:rsidR="000D29CC" w:rsidRPr="00921C9B">
        <w:rPr>
          <w:b/>
          <w:i/>
          <w:szCs w:val="24"/>
          <w:lang w:eastAsia="en-US"/>
        </w:rPr>
        <w:t>, и за които трябва да се предприемат мерки в съответствие с член 4, параграф 1, буква а), точка iv)</w:t>
      </w:r>
      <w:r w:rsidR="000D29CC" w:rsidRPr="00921C9B">
        <w:rPr>
          <w:szCs w:val="24"/>
          <w:lang w:eastAsia="en-US"/>
        </w:rPr>
        <w:t>.</w:t>
      </w:r>
      <w:r w:rsidRPr="00921C9B">
        <w:rPr>
          <w:b/>
          <w:szCs w:val="24"/>
          <w:lang w:eastAsia="en-US"/>
        </w:rPr>
        <w:t xml:space="preserve"> [Изм. 57]</w:t>
      </w:r>
    </w:p>
    <w:p w14:paraId="69A4BDC7" w14:textId="7CA35796" w:rsidR="000D29CC" w:rsidRPr="00921C9B" w:rsidRDefault="000D29CC" w:rsidP="000D29CC">
      <w:pPr>
        <w:spacing w:before="120" w:after="120" w:line="360" w:lineRule="auto"/>
        <w:ind w:left="1982" w:hanging="566"/>
        <w:rPr>
          <w:szCs w:val="24"/>
          <w:lang w:eastAsia="en-US"/>
        </w:rPr>
      </w:pPr>
      <w:r w:rsidRPr="00921C9B">
        <w:rPr>
          <w:szCs w:val="24"/>
          <w:lang w:eastAsia="en-US"/>
        </w:rPr>
        <w:t>30б</w:t>
      </w:r>
      <w:r w:rsidR="004C279A" w:rsidRPr="00921C9B">
        <w:rPr>
          <w:szCs w:val="24"/>
          <w:lang w:eastAsia="en-US"/>
        </w:rPr>
        <w:t>)</w:t>
      </w:r>
      <w:r w:rsidRPr="00921C9B">
        <w:rPr>
          <w:szCs w:val="24"/>
          <w:lang w:eastAsia="en-US"/>
        </w:rPr>
        <w:tab/>
        <w:t>„Специфични замърсители на речните басейни“ означава замърсители, които не са или вече не са определени като приоритетни вещества, но които държавите членки са определили въз основа на оценката на натиска и въздействието върху повърхностните водни обекти, извършена в съответствие с приложение II към настоящата директива, като представляващи значителен риск за или чрез водната среда на тяхна територия.;“</w:t>
      </w:r>
      <w:r w:rsidR="004C279A" w:rsidRPr="00921C9B">
        <w:rPr>
          <w:szCs w:val="24"/>
          <w:lang w:eastAsia="en-US"/>
        </w:rPr>
        <w:t>;</w:t>
      </w:r>
    </w:p>
    <w:p w14:paraId="47E6FE3C" w14:textId="77777777" w:rsidR="00753EC5" w:rsidRPr="00921C9B" w:rsidRDefault="00753EC5">
      <w:pPr>
        <w:widowControl/>
        <w:rPr>
          <w:szCs w:val="24"/>
          <w:lang w:eastAsia="en-US"/>
        </w:rPr>
      </w:pPr>
      <w:r w:rsidRPr="00921C9B">
        <w:rPr>
          <w:szCs w:val="24"/>
          <w:lang w:eastAsia="en-US"/>
        </w:rPr>
        <w:br w:type="page"/>
      </w:r>
    </w:p>
    <w:p w14:paraId="7011719A" w14:textId="7BAD7178"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г)</w:t>
      </w:r>
      <w:r w:rsidRPr="00921C9B">
        <w:rPr>
          <w:szCs w:val="24"/>
          <w:lang w:eastAsia="en-US"/>
        </w:rPr>
        <w:tab/>
        <w:t>точка 35 се заменя със следния текст:</w:t>
      </w:r>
    </w:p>
    <w:p w14:paraId="684019E1" w14:textId="42A5E477" w:rsidR="000D29CC" w:rsidRPr="00921C9B" w:rsidRDefault="004C279A" w:rsidP="000D29CC">
      <w:pPr>
        <w:spacing w:before="120" w:after="120" w:line="360" w:lineRule="auto"/>
        <w:ind w:left="1982" w:hanging="566"/>
        <w:rPr>
          <w:b/>
          <w:szCs w:val="24"/>
          <w:lang w:eastAsia="en-US"/>
        </w:rPr>
      </w:pPr>
      <w:r w:rsidRPr="00921C9B">
        <w:rPr>
          <w:szCs w:val="24"/>
          <w:lang w:eastAsia="en-US"/>
        </w:rPr>
        <w:t>„35)</w:t>
      </w:r>
      <w:r w:rsidR="000D29CC" w:rsidRPr="00921C9B">
        <w:rPr>
          <w:szCs w:val="24"/>
          <w:lang w:eastAsia="en-US"/>
        </w:rPr>
        <w:tab/>
        <w:t xml:space="preserve">„Стандарт за качество на околната среда“ означава концентрацията на определени замърсители или група замърсители във водите, седимента или биотата, която не трябва да бъде превишавана, за да не се застрашат човешкото здраве и околната среда, или прагова стойност за неблагоприятното въздействие върху човешкото здраве или околната среда на такъв замърсител или група замърсители, измерена чрез подходящ </w:t>
      </w:r>
      <w:r w:rsidR="000D29CC" w:rsidRPr="00921C9B">
        <w:rPr>
          <w:b/>
          <w:i/>
          <w:szCs w:val="24"/>
          <w:lang w:eastAsia="en-US"/>
        </w:rPr>
        <w:t xml:space="preserve">научно обоснован </w:t>
      </w:r>
      <w:r w:rsidR="000D29CC" w:rsidRPr="00921C9B">
        <w:rPr>
          <w:szCs w:val="24"/>
          <w:lang w:eastAsia="en-US"/>
        </w:rPr>
        <w:t>метод, основан на ефекта.“;</w:t>
      </w:r>
      <w:r w:rsidRPr="00921C9B">
        <w:rPr>
          <w:b/>
          <w:szCs w:val="24"/>
          <w:lang w:eastAsia="en-US"/>
        </w:rPr>
        <w:t xml:space="preserve"> [Изм. 58]</w:t>
      </w:r>
    </w:p>
    <w:p w14:paraId="7E2DAD2B" w14:textId="77777777" w:rsidR="000D29CC" w:rsidRPr="00921C9B" w:rsidRDefault="000D29CC" w:rsidP="000D29CC">
      <w:pPr>
        <w:spacing w:before="120" w:after="120" w:line="360" w:lineRule="auto"/>
        <w:ind w:left="1982"/>
        <w:rPr>
          <w:szCs w:val="24"/>
          <w:lang w:eastAsia="en-US"/>
        </w:rPr>
      </w:pPr>
      <w:r w:rsidRPr="00921C9B">
        <w:rPr>
          <w:szCs w:val="24"/>
          <w:lang w:eastAsia="en-US"/>
        </w:rPr>
        <w:t>* Директива 2008/105/ЕО на Европейския парламент и на Съвета за предотвратяване и контрол на замърсяването на повърхностните води, за изменение и последваща отмяна на директиви 82/176/ЕИО, 83/513/ЕИО, 84/156/ЕИО, 84/491/ЕИО, 86/280/ЕИО и за изменение на Директива 2000/60/ЕО на Европейския парламент и на Съвета (ОВ L 348, 24.12.2008 г., стр. 84).;“</w:t>
      </w:r>
    </w:p>
    <w:p w14:paraId="3959420F" w14:textId="77777777" w:rsidR="000D29CC" w:rsidRPr="00921C9B" w:rsidRDefault="000D29CC" w:rsidP="000D29CC">
      <w:pPr>
        <w:spacing w:before="120" w:after="120" w:line="360" w:lineRule="auto"/>
        <w:ind w:left="1416" w:hanging="566"/>
        <w:rPr>
          <w:szCs w:val="24"/>
          <w:lang w:eastAsia="en-US"/>
        </w:rPr>
      </w:pPr>
      <w:r w:rsidRPr="00921C9B">
        <w:rPr>
          <w:b/>
          <w:i/>
          <w:szCs w:val="24"/>
          <w:lang w:eastAsia="en-US"/>
        </w:rPr>
        <w:t>гa)</w:t>
      </w:r>
      <w:r w:rsidRPr="00921C9B">
        <w:rPr>
          <w:szCs w:val="24"/>
          <w:lang w:eastAsia="en-US"/>
        </w:rPr>
        <w:tab/>
      </w:r>
      <w:r w:rsidRPr="00921C9B">
        <w:rPr>
          <w:b/>
          <w:i/>
          <w:szCs w:val="24"/>
          <w:lang w:eastAsia="en-US"/>
        </w:rPr>
        <w:t>точка 37 се заменя със следното:</w:t>
      </w:r>
    </w:p>
    <w:p w14:paraId="3048019B" w14:textId="46A50F72" w:rsidR="000D29CC" w:rsidRPr="00921C9B" w:rsidRDefault="000D29CC" w:rsidP="000D29CC">
      <w:pPr>
        <w:spacing w:before="120" w:after="120" w:line="360" w:lineRule="auto"/>
        <w:ind w:left="1982" w:hanging="566"/>
        <w:rPr>
          <w:b/>
          <w:szCs w:val="24"/>
          <w:lang w:eastAsia="en-US"/>
        </w:rPr>
      </w:pPr>
      <w:r w:rsidRPr="00921C9B">
        <w:rPr>
          <w:szCs w:val="24"/>
          <w:lang w:eastAsia="en-US"/>
        </w:rPr>
        <w:t>„</w:t>
      </w:r>
      <w:r w:rsidR="004C279A" w:rsidRPr="00921C9B">
        <w:rPr>
          <w:b/>
          <w:i/>
          <w:szCs w:val="24"/>
          <w:lang w:eastAsia="en-US"/>
        </w:rPr>
        <w:t>37</w:t>
      </w:r>
      <w:r w:rsidRPr="00921C9B">
        <w:rPr>
          <w:b/>
          <w:i/>
          <w:szCs w:val="24"/>
          <w:lang w:eastAsia="en-US"/>
        </w:rPr>
        <w:t>)</w:t>
      </w:r>
      <w:r w:rsidRPr="00921C9B">
        <w:rPr>
          <w:szCs w:val="24"/>
          <w:lang w:eastAsia="en-US"/>
        </w:rPr>
        <w:tab/>
      </w:r>
      <w:r w:rsidRPr="00921C9B">
        <w:rPr>
          <w:b/>
          <w:i/>
          <w:szCs w:val="24"/>
          <w:lang w:eastAsia="en-US"/>
        </w:rPr>
        <w:t>Вода, използвана за употреба от човека“ има същото значение както в Директива (ЕС) 2020/2184.</w:t>
      </w:r>
      <w:r w:rsidRPr="00921C9B">
        <w:rPr>
          <w:szCs w:val="24"/>
          <w:lang w:eastAsia="en-US"/>
        </w:rPr>
        <w:t>“</w:t>
      </w:r>
      <w:r w:rsidR="004C279A" w:rsidRPr="00921C9B">
        <w:rPr>
          <w:szCs w:val="24"/>
          <w:lang w:eastAsia="en-US"/>
        </w:rPr>
        <w:t>;</w:t>
      </w:r>
      <w:r w:rsidR="004C279A" w:rsidRPr="00921C9B">
        <w:rPr>
          <w:b/>
          <w:szCs w:val="24"/>
          <w:lang w:eastAsia="en-US"/>
        </w:rPr>
        <w:t xml:space="preserve"> [Изм. 59]</w:t>
      </w:r>
    </w:p>
    <w:p w14:paraId="2E9A16A2" w14:textId="77777777" w:rsidR="00753EC5" w:rsidRPr="00921C9B" w:rsidRDefault="00753EC5">
      <w:pPr>
        <w:widowControl/>
        <w:rPr>
          <w:b/>
          <w:i/>
          <w:szCs w:val="24"/>
          <w:lang w:eastAsia="en-US"/>
        </w:rPr>
      </w:pPr>
      <w:r w:rsidRPr="00921C9B">
        <w:rPr>
          <w:b/>
          <w:i/>
          <w:szCs w:val="24"/>
          <w:lang w:eastAsia="en-US"/>
        </w:rPr>
        <w:br w:type="page"/>
      </w:r>
    </w:p>
    <w:p w14:paraId="55726E13" w14:textId="028F88FF" w:rsidR="000D29CC" w:rsidRPr="00921C9B" w:rsidRDefault="000D29CC" w:rsidP="000D29CC">
      <w:pPr>
        <w:spacing w:before="120" w:after="120" w:line="360" w:lineRule="auto"/>
        <w:ind w:left="1416" w:hanging="566"/>
        <w:rPr>
          <w:szCs w:val="24"/>
          <w:lang w:eastAsia="en-US"/>
        </w:rPr>
      </w:pPr>
      <w:r w:rsidRPr="00921C9B">
        <w:rPr>
          <w:b/>
          <w:i/>
          <w:szCs w:val="24"/>
          <w:lang w:eastAsia="en-US"/>
        </w:rPr>
        <w:lastRenderedPageBreak/>
        <w:t>г</w:t>
      </w:r>
      <w:r w:rsidR="004C279A" w:rsidRPr="00921C9B">
        <w:rPr>
          <w:b/>
          <w:i/>
          <w:szCs w:val="24"/>
          <w:lang w:eastAsia="en-US"/>
        </w:rPr>
        <w:t>б</w:t>
      </w:r>
      <w:r w:rsidRPr="00921C9B">
        <w:rPr>
          <w:b/>
          <w:i/>
          <w:szCs w:val="24"/>
          <w:lang w:eastAsia="en-US"/>
        </w:rPr>
        <w:t>)</w:t>
      </w:r>
      <w:r w:rsidRPr="00921C9B">
        <w:rPr>
          <w:szCs w:val="24"/>
          <w:lang w:eastAsia="en-US"/>
        </w:rPr>
        <w:tab/>
      </w:r>
      <w:r w:rsidRPr="00921C9B">
        <w:rPr>
          <w:b/>
          <w:i/>
          <w:szCs w:val="24"/>
          <w:lang w:eastAsia="en-US"/>
        </w:rPr>
        <w:t xml:space="preserve">в </w:t>
      </w:r>
      <w:r w:rsidR="00753EC5" w:rsidRPr="00921C9B">
        <w:rPr>
          <w:b/>
          <w:i/>
          <w:szCs w:val="24"/>
          <w:lang w:eastAsia="en-US"/>
        </w:rPr>
        <w:t>точка 40 първа</w:t>
      </w:r>
      <w:r w:rsidRPr="00921C9B">
        <w:rPr>
          <w:b/>
          <w:i/>
          <w:szCs w:val="24"/>
          <w:lang w:eastAsia="en-US"/>
        </w:rPr>
        <w:t xml:space="preserve"> алинея се заменя със следното:</w:t>
      </w:r>
    </w:p>
    <w:p w14:paraId="21F5B5C8" w14:textId="7B8C0B93" w:rsidR="000D29CC" w:rsidRPr="00921C9B" w:rsidRDefault="000D29CC" w:rsidP="000D29CC">
      <w:pPr>
        <w:spacing w:before="120" w:after="120" w:line="360" w:lineRule="auto"/>
        <w:ind w:left="1982" w:hanging="566"/>
        <w:rPr>
          <w:b/>
          <w:szCs w:val="24"/>
          <w:lang w:eastAsia="en-US"/>
        </w:rPr>
      </w:pPr>
      <w:r w:rsidRPr="00921C9B">
        <w:rPr>
          <w:szCs w:val="24"/>
          <w:lang w:eastAsia="en-US"/>
        </w:rPr>
        <w:t>„</w:t>
      </w:r>
      <w:r w:rsidR="004C279A" w:rsidRPr="00921C9B">
        <w:rPr>
          <w:szCs w:val="24"/>
          <w:lang w:eastAsia="en-US"/>
        </w:rPr>
        <w:t>40</w:t>
      </w:r>
      <w:r w:rsidRPr="00921C9B">
        <w:rPr>
          <w:b/>
          <w:i/>
          <w:szCs w:val="24"/>
          <w:lang w:eastAsia="en-US"/>
        </w:rPr>
        <w:t>)</w:t>
      </w:r>
      <w:r w:rsidRPr="00921C9B">
        <w:rPr>
          <w:szCs w:val="24"/>
          <w:lang w:eastAsia="en-US"/>
        </w:rPr>
        <w:tab/>
      </w:r>
      <w:r w:rsidRPr="00921C9B">
        <w:rPr>
          <w:b/>
          <w:i/>
          <w:szCs w:val="24"/>
          <w:lang w:eastAsia="en-US"/>
        </w:rPr>
        <w:t>„норма за допустими емисии“ е масата, изразена посредством определени конкретни показатели, концентрацията и/или нивото на дадени емисии, които не може да бъдат превишавани по време на един или повече периоди от време; Емисионните ограничения могат също да бъдат определени за някои групи, семейства или категории вещества, особено за определените в приложение I към Директива 2008/105/EО.</w:t>
      </w:r>
      <w:r w:rsidRPr="00921C9B">
        <w:rPr>
          <w:szCs w:val="24"/>
          <w:lang w:eastAsia="en-US"/>
        </w:rPr>
        <w:t>“</w:t>
      </w:r>
      <w:r w:rsidR="004C279A" w:rsidRPr="00921C9B">
        <w:rPr>
          <w:b/>
          <w:szCs w:val="24"/>
          <w:lang w:eastAsia="en-US"/>
        </w:rPr>
        <w:t xml:space="preserve"> [Изм. 60]</w:t>
      </w:r>
    </w:p>
    <w:p w14:paraId="6A4B7C31" w14:textId="454E6ACB" w:rsidR="000D29CC" w:rsidRPr="00921C9B" w:rsidRDefault="000D29CC" w:rsidP="000D29CC">
      <w:pPr>
        <w:spacing w:before="120" w:after="120" w:line="360" w:lineRule="auto"/>
        <w:ind w:left="850" w:hanging="850"/>
        <w:rPr>
          <w:szCs w:val="24"/>
          <w:lang w:eastAsia="en-US"/>
        </w:rPr>
      </w:pPr>
      <w:r w:rsidRPr="00921C9B">
        <w:rPr>
          <w:szCs w:val="24"/>
          <w:lang w:eastAsia="en-US"/>
        </w:rPr>
        <w:t>3)</w:t>
      </w:r>
      <w:r w:rsidRPr="00921C9B">
        <w:rPr>
          <w:szCs w:val="24"/>
          <w:lang w:eastAsia="en-US"/>
        </w:rPr>
        <w:tab/>
        <w:t>в член 3 се добавя параграф 4а, както следва:</w:t>
      </w:r>
    </w:p>
    <w:p w14:paraId="6CE84907" w14:textId="3CE7DD6A" w:rsidR="000D29CC" w:rsidRPr="00921C9B" w:rsidRDefault="000D29CC" w:rsidP="000D29CC">
      <w:pPr>
        <w:spacing w:before="120" w:after="120" w:line="360" w:lineRule="auto"/>
        <w:ind w:left="1416" w:hanging="566"/>
        <w:rPr>
          <w:szCs w:val="24"/>
          <w:lang w:eastAsia="en-US"/>
        </w:rPr>
      </w:pPr>
      <w:r w:rsidRPr="00921C9B">
        <w:rPr>
          <w:szCs w:val="24"/>
          <w:lang w:eastAsia="en-US"/>
        </w:rPr>
        <w:t>„4а.</w:t>
      </w:r>
      <w:r w:rsidRPr="00921C9B">
        <w:rPr>
          <w:szCs w:val="24"/>
          <w:lang w:eastAsia="en-US"/>
        </w:rPr>
        <w:tab/>
        <w:t>При извънредни обстоятелства, възникнали по естествен начин, или форсмажорни обстоятелства, по-специално силни наводнения и продължителни засушавания, или значителни инциденти, свързани със замърсяване, които биха могли да засегнат водни обекти надолу по течението, разположени в други държави членки, държавите членки гарантират, че компетентните органи за водните обекти надолу по течението в тези държави членки, както и Комисията, са незабавно информирани и че е установено необходимото сътрудничество за разследване на причините и справяне с последиците от извънредни</w:t>
      </w:r>
      <w:r w:rsidR="00753EC5" w:rsidRPr="00921C9B">
        <w:rPr>
          <w:szCs w:val="24"/>
          <w:lang w:eastAsia="en-US"/>
        </w:rPr>
        <w:t>те обстоятелства или инциденти.</w:t>
      </w:r>
    </w:p>
    <w:p w14:paraId="7CE49A07" w14:textId="77777777" w:rsidR="00753EC5" w:rsidRPr="00921C9B" w:rsidRDefault="00753EC5">
      <w:pPr>
        <w:widowControl/>
        <w:rPr>
          <w:b/>
          <w:i/>
          <w:szCs w:val="24"/>
          <w:lang w:eastAsia="en-US"/>
        </w:rPr>
      </w:pPr>
      <w:r w:rsidRPr="00921C9B">
        <w:rPr>
          <w:b/>
          <w:i/>
          <w:szCs w:val="24"/>
          <w:lang w:eastAsia="en-US"/>
        </w:rPr>
        <w:br w:type="page"/>
      </w:r>
    </w:p>
    <w:p w14:paraId="26467A98" w14:textId="57874EBD" w:rsidR="000D29CC" w:rsidRPr="00921C9B" w:rsidRDefault="000D29CC" w:rsidP="000D29CC">
      <w:pPr>
        <w:spacing w:before="120" w:after="120" w:line="360" w:lineRule="auto"/>
        <w:ind w:left="1416"/>
        <w:rPr>
          <w:szCs w:val="24"/>
          <w:lang w:eastAsia="en-US"/>
        </w:rPr>
      </w:pPr>
      <w:r w:rsidRPr="00921C9B">
        <w:rPr>
          <w:b/>
          <w:i/>
          <w:szCs w:val="24"/>
          <w:lang w:eastAsia="en-US"/>
        </w:rPr>
        <w:lastRenderedPageBreak/>
        <w:t>Държавите членки уведомяват другите държави членки, които биха могли да бъдат неблагоприятно засегнати от съответния инцидент, свързан със замърсяване.</w:t>
      </w:r>
    </w:p>
    <w:p w14:paraId="78D9E62B" w14:textId="4AA41225" w:rsidR="000D29CC" w:rsidRPr="00921C9B" w:rsidRDefault="000D29CC" w:rsidP="000D29CC">
      <w:pPr>
        <w:spacing w:before="120" w:after="120" w:line="360" w:lineRule="auto"/>
        <w:ind w:left="1416"/>
        <w:rPr>
          <w:b/>
          <w:szCs w:val="24"/>
          <w:lang w:eastAsia="en-US"/>
        </w:rPr>
      </w:pPr>
      <w:r w:rsidRPr="00921C9B">
        <w:rPr>
          <w:b/>
          <w:i/>
          <w:szCs w:val="24"/>
          <w:lang w:eastAsia="en-US"/>
        </w:rPr>
        <w:t>За допълнително подобряване на сътрудничеството и обмена на информация в международните райони на речни басейни, за всички международни райони на речни басейни се въвеждат мерки за комуникация и реагиране при извънредни ситуации.</w:t>
      </w:r>
      <w:r w:rsidRPr="00921C9B">
        <w:rPr>
          <w:szCs w:val="24"/>
          <w:lang w:eastAsia="en-US"/>
        </w:rPr>
        <w:t>“</w:t>
      </w:r>
      <w:r w:rsidR="004C279A" w:rsidRPr="00921C9B">
        <w:rPr>
          <w:b/>
          <w:szCs w:val="24"/>
          <w:lang w:eastAsia="en-US"/>
        </w:rPr>
        <w:t xml:space="preserve"> [Изм. 61]</w:t>
      </w:r>
    </w:p>
    <w:p w14:paraId="5A5FEE5D"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(4)</w:t>
      </w:r>
      <w:r w:rsidRPr="00921C9B">
        <w:rPr>
          <w:szCs w:val="24"/>
          <w:lang w:eastAsia="en-US"/>
        </w:rPr>
        <w:tab/>
        <w:t>член 4, параграф 1 се изменя, както следва:</w:t>
      </w:r>
    </w:p>
    <w:p w14:paraId="2D48519C"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а)</w:t>
      </w:r>
      <w:r w:rsidRPr="00921C9B">
        <w:rPr>
          <w:szCs w:val="24"/>
          <w:lang w:eastAsia="en-US"/>
        </w:rPr>
        <w:tab/>
        <w:t>в буква а) подточка iv) се заменя със следното:</w:t>
      </w:r>
    </w:p>
    <w:p w14:paraId="4A6F8FC2" w14:textId="4F5F1FEF" w:rsidR="000D29CC" w:rsidRPr="00921C9B" w:rsidRDefault="000D29CC" w:rsidP="000D29CC">
      <w:pPr>
        <w:spacing w:before="120" w:after="120" w:line="360" w:lineRule="auto"/>
        <w:ind w:left="1982" w:hanging="566"/>
        <w:rPr>
          <w:b/>
          <w:szCs w:val="24"/>
          <w:lang w:eastAsia="en-US"/>
        </w:rPr>
      </w:pPr>
      <w:r w:rsidRPr="00921C9B">
        <w:rPr>
          <w:szCs w:val="24"/>
          <w:lang w:eastAsia="en-US"/>
        </w:rPr>
        <w:t>„iv)</w:t>
      </w:r>
      <w:r w:rsidRPr="00921C9B">
        <w:rPr>
          <w:szCs w:val="24"/>
          <w:lang w:eastAsia="en-US"/>
        </w:rPr>
        <w:tab/>
        <w:t xml:space="preserve">държавите членки прилагат необходимите мерки за постепенно намаляване на замърсяването </w:t>
      </w:r>
      <w:r w:rsidRPr="00921C9B">
        <w:rPr>
          <w:strike/>
          <w:szCs w:val="24"/>
          <w:lang w:eastAsia="en-US"/>
        </w:rPr>
        <w:t>с</w:t>
      </w:r>
      <w:r w:rsidRPr="00921C9B">
        <w:rPr>
          <w:b/>
          <w:i/>
          <w:szCs w:val="24"/>
          <w:lang w:eastAsia="en-US"/>
        </w:rPr>
        <w:t>от зауствания, емисии и загуби на</w:t>
      </w:r>
      <w:r w:rsidRPr="00921C9B">
        <w:rPr>
          <w:szCs w:val="24"/>
          <w:lang w:eastAsia="en-US"/>
        </w:rPr>
        <w:t xml:space="preserve"> приоритетни вещества и специфични замърсители на речните басейни, както и за пълното или поетапно прекратяване на емисиите, заустванията и загубите на приоритетни опасни вещества</w:t>
      </w:r>
      <w:r w:rsidRPr="00921C9B">
        <w:rPr>
          <w:b/>
          <w:i/>
          <w:szCs w:val="24"/>
          <w:lang w:eastAsia="en-US"/>
        </w:rPr>
        <w:t xml:space="preserve"> в рамките на подходящ срок и във всеки случай не по-късно от 20 години след включването на дадено приоритетно вещество като опасно в част А от приложение I към Директива 2008/105/ЕО</w:t>
      </w:r>
      <w:r w:rsidRPr="00921C9B">
        <w:rPr>
          <w:szCs w:val="24"/>
          <w:lang w:eastAsia="en-US"/>
        </w:rPr>
        <w:t>.</w:t>
      </w:r>
      <w:r w:rsidRPr="00921C9B">
        <w:rPr>
          <w:b/>
          <w:i/>
          <w:szCs w:val="24"/>
          <w:lang w:eastAsia="en-US"/>
        </w:rPr>
        <w:t xml:space="preserve"> Този срок се прилага, без да се засяга прилагането на по-строги срокове в което и да е друго приложимо законодателство на Съюза</w:t>
      </w:r>
      <w:r w:rsidRPr="00921C9B">
        <w:rPr>
          <w:szCs w:val="24"/>
          <w:lang w:eastAsia="en-US"/>
        </w:rPr>
        <w:t>;“</w:t>
      </w:r>
      <w:r w:rsidR="004C279A" w:rsidRPr="00921C9B">
        <w:rPr>
          <w:b/>
          <w:szCs w:val="24"/>
          <w:lang w:eastAsia="en-US"/>
        </w:rPr>
        <w:t xml:space="preserve"> [Изм. 62]</w:t>
      </w:r>
    </w:p>
    <w:p w14:paraId="1B771B34" w14:textId="77777777" w:rsidR="00753EC5" w:rsidRPr="00921C9B" w:rsidRDefault="00753EC5">
      <w:pPr>
        <w:widowControl/>
        <w:rPr>
          <w:szCs w:val="24"/>
          <w:lang w:eastAsia="en-US"/>
        </w:rPr>
      </w:pPr>
      <w:r w:rsidRPr="00921C9B">
        <w:rPr>
          <w:szCs w:val="24"/>
          <w:lang w:eastAsia="en-US"/>
        </w:rPr>
        <w:br w:type="page"/>
      </w:r>
    </w:p>
    <w:p w14:paraId="34EAE742" w14:textId="26260413"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б)</w:t>
      </w:r>
      <w:r w:rsidRPr="00921C9B">
        <w:rPr>
          <w:szCs w:val="24"/>
          <w:lang w:eastAsia="en-US"/>
        </w:rPr>
        <w:tab/>
        <w:t>в буква б), подточка iii) втората алинея се заменя със следното:</w:t>
      </w:r>
    </w:p>
    <w:p w14:paraId="32B6AA64" w14:textId="77777777" w:rsidR="000D29CC" w:rsidRPr="00921C9B" w:rsidRDefault="000D29CC" w:rsidP="000D29CC">
      <w:pPr>
        <w:spacing w:before="120" w:after="120" w:line="360" w:lineRule="auto"/>
        <w:ind w:left="1416"/>
        <w:rPr>
          <w:szCs w:val="24"/>
          <w:lang w:eastAsia="en-US"/>
        </w:rPr>
      </w:pPr>
      <w:r w:rsidRPr="00921C9B">
        <w:rPr>
          <w:szCs w:val="24"/>
          <w:lang w:eastAsia="en-US"/>
        </w:rPr>
        <w:t>„мерките за постигане на обрат в тенденциите трябва да се прилагат в съответствие с член 5 от Директива 2006/118/ЕО и с приложение IV към нея, при условие че се прилагат параграфи 6 и 7 и без да се засяга параграф 8 от настоящия член.;“</w:t>
      </w:r>
    </w:p>
    <w:p w14:paraId="24B388E2" w14:textId="77777777" w:rsidR="000D29CC" w:rsidRPr="00921C9B" w:rsidRDefault="000D29CC" w:rsidP="000D29CC">
      <w:pPr>
        <w:spacing w:before="120" w:after="120" w:line="360" w:lineRule="auto"/>
        <w:ind w:left="1416" w:hanging="566"/>
        <w:rPr>
          <w:szCs w:val="24"/>
          <w:lang w:eastAsia="en-US"/>
        </w:rPr>
      </w:pPr>
      <w:r w:rsidRPr="00921C9B">
        <w:rPr>
          <w:b/>
          <w:i/>
          <w:szCs w:val="24"/>
          <w:lang w:eastAsia="en-US"/>
        </w:rPr>
        <w:t>бa)</w:t>
      </w:r>
      <w:r w:rsidRPr="00921C9B">
        <w:rPr>
          <w:szCs w:val="24"/>
          <w:lang w:eastAsia="en-US"/>
        </w:rPr>
        <w:tab/>
      </w:r>
      <w:r w:rsidRPr="00921C9B">
        <w:rPr>
          <w:b/>
          <w:i/>
          <w:szCs w:val="24"/>
          <w:lang w:eastAsia="en-US"/>
        </w:rPr>
        <w:t>в буква в) се добавя следната алинея 1а:</w:t>
      </w:r>
    </w:p>
    <w:p w14:paraId="169715AE" w14:textId="2DE55BA5" w:rsidR="000D29CC" w:rsidRPr="00921C9B" w:rsidRDefault="000D29CC" w:rsidP="000D29CC">
      <w:pPr>
        <w:spacing w:before="120" w:after="120" w:line="360" w:lineRule="auto"/>
        <w:ind w:left="1416"/>
        <w:rPr>
          <w:b/>
          <w:szCs w:val="24"/>
          <w:lang w:eastAsia="en-US"/>
        </w:rPr>
      </w:pPr>
      <w:r w:rsidRPr="00921C9B">
        <w:rPr>
          <w:szCs w:val="24"/>
          <w:lang w:eastAsia="en-US"/>
        </w:rPr>
        <w:t>„</w:t>
      </w:r>
      <w:r w:rsidRPr="00921C9B">
        <w:rPr>
          <w:b/>
          <w:i/>
          <w:szCs w:val="24"/>
          <w:lang w:eastAsia="en-US"/>
        </w:rPr>
        <w:t>Държавите членки определят по-строги стандарти или прагови стойности, ако това е необходимо за подходящата защита на зоните, изброени в приложение IV към настоящата директива, включително специалните защитени зони съгласно Директива 92/43/ЕИО на Съвета. Програмите и мерките, изисквани във връзка с тези прагови стойности, се прилагат и за дейностите, попадащи в обхвата на Директива 91/676/ЕИО.</w:t>
      </w:r>
      <w:r w:rsidRPr="00921C9B">
        <w:rPr>
          <w:szCs w:val="24"/>
          <w:lang w:eastAsia="en-US"/>
        </w:rPr>
        <w:t>“</w:t>
      </w:r>
      <w:r w:rsidR="004C279A" w:rsidRPr="00921C9B">
        <w:rPr>
          <w:b/>
          <w:szCs w:val="24"/>
          <w:lang w:eastAsia="en-US"/>
        </w:rPr>
        <w:t xml:space="preserve"> [Изм. 63]</w:t>
      </w:r>
    </w:p>
    <w:p w14:paraId="25628AE5" w14:textId="77777777" w:rsidR="00753EC5" w:rsidRPr="00921C9B" w:rsidRDefault="00753EC5">
      <w:pPr>
        <w:widowControl/>
        <w:rPr>
          <w:szCs w:val="24"/>
          <w:lang w:eastAsia="en-US"/>
        </w:rPr>
      </w:pPr>
      <w:r w:rsidRPr="00921C9B">
        <w:rPr>
          <w:szCs w:val="24"/>
          <w:lang w:eastAsia="en-US"/>
        </w:rPr>
        <w:br w:type="page"/>
      </w:r>
    </w:p>
    <w:p w14:paraId="3D2763F1" w14:textId="435B6C9D"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5)</w:t>
      </w:r>
      <w:r w:rsidRPr="00921C9B">
        <w:rPr>
          <w:szCs w:val="24"/>
          <w:lang w:eastAsia="en-US"/>
        </w:rPr>
        <w:tab/>
        <w:t>в член 7 параграф 2 се заменя със следното:</w:t>
      </w:r>
    </w:p>
    <w:p w14:paraId="2B31E314"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w:t>
      </w:r>
      <w:r w:rsidRPr="00921C9B">
        <w:rPr>
          <w:szCs w:val="24"/>
          <w:lang w:eastAsia="en-US"/>
        </w:rPr>
        <w:tab/>
        <w:t>За всеки воден обект, определен по параграф 1, освен за постигане на целите на член 4 в съответствие с изискванията на настоящата директива за повърхностни водни обекти, включително качествените стандарти, установени на равнището на Съюза, държавите членки осигуряват прилагането на съответен режим на пречистване на водите в съответствие със законодателството на Съюза, така че ползваната вода да отговаря на изискванията на Директива (ЕС) 2020/2184 на Европейския парламент и на Съвета*.</w:t>
      </w:r>
    </w:p>
    <w:p w14:paraId="33E13787" w14:textId="77777777" w:rsidR="000D29CC" w:rsidRPr="00921C9B" w:rsidRDefault="000D29CC" w:rsidP="000D29CC">
      <w:pPr>
        <w:spacing w:before="120" w:after="120" w:line="360" w:lineRule="auto"/>
        <w:ind w:left="1416"/>
        <w:rPr>
          <w:szCs w:val="24"/>
          <w:lang w:eastAsia="en-US"/>
        </w:rPr>
      </w:pPr>
      <w:r w:rsidRPr="00921C9B">
        <w:rPr>
          <w:szCs w:val="24"/>
          <w:lang w:eastAsia="en-US"/>
        </w:rPr>
        <w:t>* Директива (ЕС) 2020/2184 на Европейския парламент и на Съвета от 16 декември 2020 г. относно качеството на водата, предназначена за консумация от човека (ОВ L 435, 23.12.2020 г., стр. 1).;“</w:t>
      </w:r>
    </w:p>
    <w:p w14:paraId="072FD2FE" w14:textId="77777777" w:rsidR="00753EC5" w:rsidRPr="00921C9B" w:rsidRDefault="00753EC5">
      <w:pPr>
        <w:widowControl/>
        <w:rPr>
          <w:szCs w:val="24"/>
          <w:lang w:eastAsia="en-US"/>
        </w:rPr>
      </w:pPr>
      <w:r w:rsidRPr="00921C9B">
        <w:rPr>
          <w:szCs w:val="24"/>
          <w:lang w:eastAsia="en-US"/>
        </w:rPr>
        <w:br w:type="page"/>
      </w:r>
    </w:p>
    <w:p w14:paraId="621C17E6" w14:textId="50772E16"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6)</w:t>
      </w:r>
      <w:r w:rsidRPr="00921C9B">
        <w:rPr>
          <w:szCs w:val="24"/>
          <w:lang w:eastAsia="en-US"/>
        </w:rPr>
        <w:tab/>
        <w:t>член 8 се изменя, както следва:</w:t>
      </w:r>
    </w:p>
    <w:p w14:paraId="6ACDB4EF"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а)</w:t>
      </w:r>
      <w:r w:rsidRPr="00921C9B">
        <w:rPr>
          <w:szCs w:val="24"/>
          <w:lang w:eastAsia="en-US"/>
        </w:rPr>
        <w:tab/>
        <w:t>параграф 3 се заменя със следното:</w:t>
      </w:r>
    </w:p>
    <w:p w14:paraId="70A3219E" w14:textId="77C56731" w:rsidR="000D29CC" w:rsidRPr="00921C9B" w:rsidRDefault="000D29CC" w:rsidP="000D29CC">
      <w:pPr>
        <w:spacing w:before="120" w:after="120" w:line="360" w:lineRule="auto"/>
        <w:ind w:left="1982" w:hanging="566"/>
        <w:rPr>
          <w:b/>
          <w:szCs w:val="24"/>
          <w:lang w:eastAsia="en-US"/>
        </w:rPr>
      </w:pPr>
      <w:r w:rsidRPr="00921C9B">
        <w:rPr>
          <w:szCs w:val="24"/>
          <w:lang w:eastAsia="en-US"/>
        </w:rPr>
        <w:t>„3.</w:t>
      </w:r>
      <w:r w:rsidRPr="00921C9B">
        <w:rPr>
          <w:szCs w:val="24"/>
          <w:lang w:eastAsia="en-US"/>
        </w:rPr>
        <w:tab/>
        <w:t xml:space="preserve">На Комисията се предоставя правомощието да приема </w:t>
      </w:r>
      <w:r w:rsidRPr="00921C9B">
        <w:rPr>
          <w:b/>
          <w:i/>
          <w:szCs w:val="24"/>
          <w:lang w:eastAsia="en-US"/>
        </w:rPr>
        <w:t xml:space="preserve">делегирани </w:t>
      </w:r>
      <w:r w:rsidRPr="00921C9B">
        <w:rPr>
          <w:szCs w:val="24"/>
          <w:lang w:eastAsia="en-US"/>
        </w:rPr>
        <w:t xml:space="preserve">актове </w:t>
      </w:r>
      <w:r w:rsidRPr="00921C9B">
        <w:rPr>
          <w:strike/>
          <w:szCs w:val="24"/>
          <w:lang w:eastAsia="en-US"/>
        </w:rPr>
        <w:t>за изпълнение за</w:t>
      </w:r>
      <w:r w:rsidRPr="00921C9B">
        <w:rPr>
          <w:b/>
          <w:i/>
          <w:szCs w:val="24"/>
          <w:lang w:eastAsia="en-US"/>
        </w:rPr>
        <w:t>в съответствие с член 20а за допълване на настоящата директива чрез</w:t>
      </w:r>
      <w:r w:rsidRPr="00921C9B">
        <w:rPr>
          <w:szCs w:val="24"/>
          <w:lang w:eastAsia="en-US"/>
        </w:rPr>
        <w:t xml:space="preserve"> определяне на техническите спецификации и стандартизираните методи за анализ и мониторинг на състоянието на водите</w:t>
      </w:r>
      <w:r w:rsidRPr="00921C9B">
        <w:rPr>
          <w:b/>
          <w:i/>
          <w:szCs w:val="24"/>
          <w:lang w:eastAsia="en-US"/>
        </w:rPr>
        <w:t>, посочени</w:t>
      </w:r>
      <w:r w:rsidRPr="00921C9B">
        <w:rPr>
          <w:szCs w:val="24"/>
          <w:lang w:eastAsia="en-US"/>
        </w:rPr>
        <w:t xml:space="preserve"> в</w:t>
      </w:r>
      <w:r w:rsidRPr="00921C9B">
        <w:rPr>
          <w:strike/>
          <w:szCs w:val="24"/>
          <w:lang w:eastAsia="en-US"/>
        </w:rPr>
        <w:t xml:space="preserve"> съответствие с</w:t>
      </w:r>
      <w:r w:rsidRPr="00921C9B">
        <w:rPr>
          <w:szCs w:val="24"/>
          <w:lang w:eastAsia="en-US"/>
        </w:rPr>
        <w:t xml:space="preserve"> приложение V</w:t>
      </w:r>
      <w:r w:rsidRPr="00921C9B">
        <w:rPr>
          <w:b/>
          <w:i/>
          <w:szCs w:val="24"/>
          <w:lang w:eastAsia="en-US"/>
        </w:rPr>
        <w:t>. На Комисията се предоставя правомощието да приема актове за изпълнение с цел</w:t>
      </w:r>
      <w:r w:rsidRPr="00921C9B">
        <w:rPr>
          <w:strike/>
          <w:szCs w:val="24"/>
          <w:lang w:eastAsia="en-US"/>
        </w:rPr>
        <w:t xml:space="preserve"> и за</w:t>
      </w:r>
      <w:r w:rsidRPr="00921C9B">
        <w:rPr>
          <w:szCs w:val="24"/>
          <w:lang w:eastAsia="en-US"/>
        </w:rPr>
        <w:t xml:space="preserve"> установяване на формати за докладване на данните за мониторинга и състоянието в съответствие с параграф 4. Тези актове за изпълнение се приемат в съответствие с процедурата по разглеждане, посочена в член 21, параграф 2.;“</w:t>
      </w:r>
      <w:r w:rsidR="00D24A73" w:rsidRPr="00921C9B">
        <w:rPr>
          <w:b/>
          <w:szCs w:val="24"/>
          <w:lang w:eastAsia="en-US"/>
        </w:rPr>
        <w:t xml:space="preserve"> [Изм. 64]</w:t>
      </w:r>
    </w:p>
    <w:p w14:paraId="282A9904" w14:textId="77777777" w:rsidR="00753EC5" w:rsidRPr="00921C9B" w:rsidRDefault="00753EC5">
      <w:pPr>
        <w:widowControl/>
        <w:rPr>
          <w:b/>
          <w:i/>
          <w:szCs w:val="24"/>
          <w:lang w:eastAsia="en-US"/>
        </w:rPr>
      </w:pPr>
      <w:r w:rsidRPr="00921C9B">
        <w:rPr>
          <w:b/>
          <w:i/>
          <w:szCs w:val="24"/>
          <w:lang w:eastAsia="en-US"/>
        </w:rPr>
        <w:br w:type="page"/>
      </w:r>
    </w:p>
    <w:p w14:paraId="3D4DA0B6" w14:textId="50BE1B4F" w:rsidR="000D29CC" w:rsidRPr="00921C9B" w:rsidRDefault="000D29CC" w:rsidP="000D29CC">
      <w:pPr>
        <w:spacing w:before="120" w:after="120" w:line="360" w:lineRule="auto"/>
        <w:ind w:left="1416" w:hanging="566"/>
        <w:rPr>
          <w:szCs w:val="24"/>
          <w:lang w:eastAsia="en-US"/>
        </w:rPr>
      </w:pPr>
      <w:r w:rsidRPr="00921C9B">
        <w:rPr>
          <w:b/>
          <w:i/>
          <w:szCs w:val="24"/>
          <w:lang w:eastAsia="en-US"/>
        </w:rPr>
        <w:lastRenderedPageBreak/>
        <w:t>аa)</w:t>
      </w:r>
      <w:r w:rsidRPr="00921C9B">
        <w:rPr>
          <w:szCs w:val="24"/>
          <w:lang w:eastAsia="en-US"/>
        </w:rPr>
        <w:tab/>
      </w:r>
      <w:r w:rsidRPr="00921C9B">
        <w:rPr>
          <w:b/>
          <w:i/>
          <w:szCs w:val="24"/>
          <w:lang w:eastAsia="en-US"/>
        </w:rPr>
        <w:t>добавя се следният параграф:</w:t>
      </w:r>
    </w:p>
    <w:p w14:paraId="661B38C3" w14:textId="17ACA6BA" w:rsidR="000D29CC" w:rsidRPr="00921C9B" w:rsidRDefault="000D29CC" w:rsidP="000D29CC">
      <w:pPr>
        <w:spacing w:before="120" w:after="120" w:line="360" w:lineRule="auto"/>
        <w:ind w:left="1982" w:hanging="566"/>
        <w:rPr>
          <w:szCs w:val="24"/>
          <w:lang w:eastAsia="en-US"/>
        </w:rPr>
      </w:pPr>
      <w:r w:rsidRPr="00921C9B">
        <w:rPr>
          <w:szCs w:val="24"/>
          <w:lang w:eastAsia="en-US"/>
        </w:rPr>
        <w:t>„</w:t>
      </w:r>
      <w:r w:rsidR="00D24A73" w:rsidRPr="00921C9B">
        <w:rPr>
          <w:b/>
          <w:i/>
          <w:szCs w:val="24"/>
          <w:lang w:eastAsia="en-US"/>
        </w:rPr>
        <w:t>3а</w:t>
      </w:r>
      <w:r w:rsidRPr="00921C9B">
        <w:rPr>
          <w:b/>
          <w:i/>
          <w:szCs w:val="24"/>
          <w:lang w:eastAsia="en-US"/>
        </w:rPr>
        <w:t>.</w:t>
      </w:r>
      <w:r w:rsidRPr="00921C9B">
        <w:rPr>
          <w:szCs w:val="24"/>
          <w:lang w:eastAsia="en-US"/>
        </w:rPr>
        <w:tab/>
      </w:r>
      <w:r w:rsidRPr="00921C9B">
        <w:rPr>
          <w:b/>
          <w:i/>
          <w:szCs w:val="24"/>
          <w:lang w:eastAsia="en-US"/>
        </w:rPr>
        <w:t>В срок до [две години след влизането в сила на настоящата директива] Комисията публикува цялостна оценка на възможното прилагане на системи за непрекъснат, прецизен мониторинг на замърсяването в реално време (онлайн) за измерване на качеството на водите, включително аспектите на икономическа и техническа осъществимост на такива системи, които са от значение за държавите членки, както и използването на хармонизирани стандарти.</w:t>
      </w:r>
    </w:p>
    <w:p w14:paraId="3D5D7817" w14:textId="5BF6E2C0" w:rsidR="000D29CC" w:rsidRPr="00921C9B" w:rsidRDefault="000D29CC" w:rsidP="000D29CC">
      <w:pPr>
        <w:spacing w:before="120" w:after="120" w:line="360" w:lineRule="auto"/>
        <w:ind w:left="1982"/>
        <w:rPr>
          <w:b/>
          <w:szCs w:val="24"/>
          <w:lang w:eastAsia="en-US"/>
        </w:rPr>
      </w:pPr>
      <w:r w:rsidRPr="00921C9B">
        <w:rPr>
          <w:b/>
          <w:i/>
          <w:szCs w:val="24"/>
          <w:lang w:eastAsia="en-US"/>
        </w:rPr>
        <w:t>Ако е целесъобразно, Комисията приема акт за изпълнение в съответствие с процедурата по разглеждане, посочена в член 21, параграф 2, за определяне на хармонизирани стандарти за онлайн мониторинг на водите.“</w:t>
      </w:r>
      <w:r w:rsidR="00D24A73" w:rsidRPr="00921C9B">
        <w:rPr>
          <w:b/>
          <w:szCs w:val="24"/>
          <w:lang w:eastAsia="en-US"/>
        </w:rPr>
        <w:t xml:space="preserve"> [Изм. 65]</w:t>
      </w:r>
    </w:p>
    <w:p w14:paraId="0ED6350E" w14:textId="77777777" w:rsidR="00753EC5" w:rsidRPr="00921C9B" w:rsidRDefault="00753EC5">
      <w:pPr>
        <w:widowControl/>
        <w:rPr>
          <w:szCs w:val="24"/>
          <w:lang w:eastAsia="en-US"/>
        </w:rPr>
      </w:pPr>
      <w:r w:rsidRPr="00921C9B">
        <w:rPr>
          <w:szCs w:val="24"/>
          <w:lang w:eastAsia="en-US"/>
        </w:rPr>
        <w:br w:type="page"/>
      </w:r>
    </w:p>
    <w:p w14:paraId="45D4EFBC" w14:textId="053CF6D6"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б)</w:t>
      </w:r>
      <w:r w:rsidRPr="00921C9B">
        <w:rPr>
          <w:szCs w:val="24"/>
          <w:lang w:eastAsia="en-US"/>
        </w:rPr>
        <w:tab/>
        <w:t>добавят се следните параграфи 4 и 5:</w:t>
      </w:r>
    </w:p>
    <w:p w14:paraId="14FDCFEC" w14:textId="031E4846" w:rsidR="000D29CC" w:rsidRPr="00921C9B" w:rsidRDefault="000D29CC" w:rsidP="000D29CC">
      <w:pPr>
        <w:spacing w:before="120" w:after="120" w:line="360" w:lineRule="auto"/>
        <w:ind w:left="1982" w:hanging="566"/>
        <w:rPr>
          <w:b/>
          <w:szCs w:val="24"/>
          <w:lang w:eastAsia="en-US"/>
        </w:rPr>
      </w:pPr>
      <w:r w:rsidRPr="00921C9B">
        <w:rPr>
          <w:szCs w:val="24"/>
          <w:lang w:eastAsia="en-US"/>
        </w:rPr>
        <w:t>„4.</w:t>
      </w:r>
      <w:r w:rsidRPr="00921C9B">
        <w:rPr>
          <w:szCs w:val="24"/>
          <w:lang w:eastAsia="en-US"/>
        </w:rPr>
        <w:tab/>
        <w:t xml:space="preserve">Държавите членки гарантират, че наличните данни от индивидуалния мониторинг, събрани в съответствие с </w:t>
      </w:r>
      <w:r w:rsidRPr="00921C9B">
        <w:rPr>
          <w:strike/>
          <w:szCs w:val="24"/>
          <w:lang w:eastAsia="en-US"/>
        </w:rPr>
        <w:t>точка</w:t>
      </w:r>
      <w:r w:rsidRPr="00921C9B">
        <w:rPr>
          <w:b/>
          <w:i/>
          <w:szCs w:val="24"/>
          <w:lang w:eastAsia="en-US"/>
        </w:rPr>
        <w:t>точки</w:t>
      </w:r>
      <w:r w:rsidRPr="00921C9B">
        <w:rPr>
          <w:szCs w:val="24"/>
          <w:lang w:eastAsia="en-US"/>
        </w:rPr>
        <w:t xml:space="preserve"> 1.3.4</w:t>
      </w:r>
      <w:r w:rsidRPr="00921C9B">
        <w:rPr>
          <w:b/>
          <w:i/>
          <w:szCs w:val="24"/>
          <w:lang w:eastAsia="en-US"/>
        </w:rPr>
        <w:t xml:space="preserve"> и 2.4.3</w:t>
      </w:r>
      <w:r w:rsidRPr="00921C9B">
        <w:rPr>
          <w:szCs w:val="24"/>
          <w:lang w:eastAsia="en-US"/>
        </w:rPr>
        <w:t xml:space="preserve"> от приложение V, и полученото състояние в съответствие с приложение V се предоставят на </w:t>
      </w:r>
      <w:r w:rsidRPr="00921C9B">
        <w:rPr>
          <w:strike/>
          <w:szCs w:val="24"/>
          <w:lang w:eastAsia="en-US"/>
        </w:rPr>
        <w:t xml:space="preserve">обществеността и на </w:t>
      </w:r>
      <w:r w:rsidRPr="00921C9B">
        <w:rPr>
          <w:szCs w:val="24"/>
          <w:lang w:eastAsia="en-US"/>
        </w:rPr>
        <w:t>Европейската агенция за околна среда (ЕАОС)</w:t>
      </w:r>
      <w:r w:rsidRPr="00921C9B">
        <w:rPr>
          <w:b/>
          <w:i/>
          <w:szCs w:val="24"/>
          <w:lang w:eastAsia="en-US"/>
        </w:rPr>
        <w:t xml:space="preserve"> и на обществеността, без ненужно забавяне и в лесно достъпен формат,</w:t>
      </w:r>
      <w:r w:rsidRPr="00921C9B">
        <w:rPr>
          <w:szCs w:val="24"/>
          <w:lang w:eastAsia="en-US"/>
        </w:rPr>
        <w:t xml:space="preserve"> поне веднъж годишно по електронен път в машинночитаем формат в съответствие с Директива 2003/4/ЕО на Европейския парламент и на Съвета*, Директива 2007/2/ЕО на Европейския парламент и на Съвета** и Директива (ЕС) 2019/1024 на Европейския парламент и на Съвета***. За тези цели държавите членки използват форматите, установени в съответствие с параграф 3 от настоящия член.</w:t>
      </w:r>
      <w:r w:rsidR="00D24A73" w:rsidRPr="00921C9B">
        <w:rPr>
          <w:b/>
          <w:szCs w:val="24"/>
          <w:lang w:eastAsia="en-US"/>
        </w:rPr>
        <w:t xml:space="preserve"> [Изм. 66]</w:t>
      </w:r>
    </w:p>
    <w:p w14:paraId="7834FDD1" w14:textId="77777777" w:rsidR="00753EC5" w:rsidRPr="00921C9B" w:rsidRDefault="00753EC5">
      <w:pPr>
        <w:widowControl/>
        <w:rPr>
          <w:szCs w:val="24"/>
          <w:lang w:eastAsia="en-US"/>
        </w:rPr>
      </w:pPr>
      <w:r w:rsidRPr="00921C9B">
        <w:rPr>
          <w:szCs w:val="24"/>
          <w:lang w:eastAsia="en-US"/>
        </w:rPr>
        <w:br w:type="page"/>
      </w:r>
    </w:p>
    <w:p w14:paraId="681E554B" w14:textId="4ABE0E3C" w:rsidR="000D29CC" w:rsidRPr="00921C9B" w:rsidRDefault="000D29CC" w:rsidP="000D29CC">
      <w:pPr>
        <w:spacing w:before="120" w:after="120" w:line="360" w:lineRule="auto"/>
        <w:ind w:left="1982" w:hanging="566"/>
        <w:rPr>
          <w:szCs w:val="24"/>
          <w:lang w:eastAsia="en-US"/>
        </w:rPr>
      </w:pPr>
      <w:r w:rsidRPr="00921C9B">
        <w:rPr>
          <w:szCs w:val="24"/>
          <w:lang w:eastAsia="en-US"/>
        </w:rPr>
        <w:lastRenderedPageBreak/>
        <w:t>5.</w:t>
      </w:r>
      <w:r w:rsidRPr="00921C9B">
        <w:rPr>
          <w:szCs w:val="24"/>
          <w:lang w:eastAsia="en-US"/>
        </w:rPr>
        <w:tab/>
        <w:t>ЕАОС гарантира, че информацията, предоставена в съответствие с параграф 4, се обработва и анализира редовно с цел да бъде на разположение чрез съответните портали на Съюза за повторно използване от Комисията и от съответните агенции на Съюза и с цел да се осигури на Комисията, на държавите членки и на обществеността актуална, обективна, надеждна и съпоставима информация, по-специално относно състоянието, в съответствие с Регламент (ЕО) № 401/2009 на Европейския парламент и на Съвета****.</w:t>
      </w:r>
    </w:p>
    <w:p w14:paraId="6EBAFFCD" w14:textId="77777777" w:rsidR="000D29CC" w:rsidRPr="00921C9B" w:rsidRDefault="000D29CC" w:rsidP="000D29CC">
      <w:pPr>
        <w:spacing w:before="120" w:after="120" w:line="360" w:lineRule="auto"/>
        <w:ind w:left="1416"/>
        <w:rPr>
          <w:szCs w:val="24"/>
          <w:lang w:eastAsia="en-US"/>
        </w:rPr>
      </w:pPr>
      <w:r w:rsidRPr="00921C9B">
        <w:rPr>
          <w:szCs w:val="24"/>
          <w:lang w:eastAsia="en-US"/>
        </w:rPr>
        <w:t>* Директива 2003/4/EO на Европейския парламент и на Съвета от 28 януари 2003 г. относно обществения достъп до информация за околната среда и за отмяна на Директива 90/313/ЕИО на Съвета (ОВ L 41, 14.2.2003 г., стр. 26).</w:t>
      </w:r>
    </w:p>
    <w:p w14:paraId="16F44859" w14:textId="77777777" w:rsidR="000D29CC" w:rsidRPr="00921C9B" w:rsidRDefault="000D29CC" w:rsidP="000D29CC">
      <w:pPr>
        <w:spacing w:before="120" w:after="120" w:line="360" w:lineRule="auto"/>
        <w:ind w:left="1416"/>
        <w:rPr>
          <w:szCs w:val="24"/>
          <w:lang w:eastAsia="en-US"/>
        </w:rPr>
      </w:pPr>
      <w:r w:rsidRPr="00921C9B">
        <w:rPr>
          <w:szCs w:val="24"/>
          <w:lang w:eastAsia="en-US"/>
        </w:rPr>
        <w:t>** Директива 2007/2/ЕО на Европейския парламент и на Съвета от 14 март 2007 г. за създаване на инфраструктура за пространствена информация в Европейската общност (INSPIRE) (ОВ L 108, 25.4.2007 г., стр. 1).</w:t>
      </w:r>
    </w:p>
    <w:p w14:paraId="34882EF6" w14:textId="77777777" w:rsidR="000D29CC" w:rsidRPr="00921C9B" w:rsidRDefault="000D29CC" w:rsidP="000D29CC">
      <w:pPr>
        <w:spacing w:before="120" w:after="120" w:line="360" w:lineRule="auto"/>
        <w:ind w:left="1416"/>
        <w:rPr>
          <w:szCs w:val="24"/>
          <w:lang w:eastAsia="en-US"/>
        </w:rPr>
      </w:pPr>
      <w:r w:rsidRPr="00921C9B">
        <w:rPr>
          <w:szCs w:val="24"/>
          <w:lang w:eastAsia="en-US"/>
        </w:rPr>
        <w:t>*** Директива (ЕС) 2019/1024 на Европейския парламент и на Съвета от 20 юни 2019 г. относно отворените данни и повторното използване на информацията от обществения сектор (ОВ L 172, 26.6.2019 г., стр. 56).</w:t>
      </w:r>
    </w:p>
    <w:p w14:paraId="677E68C9" w14:textId="77777777" w:rsidR="000D29CC" w:rsidRPr="00921C9B" w:rsidRDefault="000D29CC" w:rsidP="000D29CC">
      <w:pPr>
        <w:spacing w:before="120" w:after="120" w:line="360" w:lineRule="auto"/>
        <w:ind w:left="1416"/>
        <w:rPr>
          <w:szCs w:val="24"/>
          <w:lang w:eastAsia="en-US"/>
        </w:rPr>
      </w:pPr>
      <w:r w:rsidRPr="00921C9B">
        <w:rPr>
          <w:szCs w:val="24"/>
          <w:lang w:eastAsia="en-US"/>
        </w:rPr>
        <w:t>**** Регламент (ЕО) № 401/2009 на Европейския парламент и на Съвета от 23 април 2009 г. относно Европейската агенция за околната среда и Европейската мрежа за информация и наблюдение на околната среда (ОВ L 126 г., 21.5.2009 г., стр. 13).;“</w:t>
      </w:r>
    </w:p>
    <w:p w14:paraId="51DAD163" w14:textId="77777777" w:rsidR="00753EC5" w:rsidRPr="00921C9B" w:rsidRDefault="00753EC5">
      <w:pPr>
        <w:widowControl/>
        <w:rPr>
          <w:szCs w:val="24"/>
          <w:lang w:eastAsia="en-US"/>
        </w:rPr>
      </w:pPr>
      <w:r w:rsidRPr="00921C9B">
        <w:rPr>
          <w:szCs w:val="24"/>
          <w:lang w:eastAsia="en-US"/>
        </w:rPr>
        <w:br w:type="page"/>
      </w:r>
    </w:p>
    <w:p w14:paraId="7786C38E" w14:textId="23FA3BF4"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7)</w:t>
      </w:r>
      <w:r w:rsidRPr="00921C9B">
        <w:rPr>
          <w:szCs w:val="24"/>
          <w:lang w:eastAsia="en-US"/>
        </w:rPr>
        <w:tab/>
        <w:t>член 10 се изменя, както следва:</w:t>
      </w:r>
    </w:p>
    <w:p w14:paraId="080904F1"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а)</w:t>
      </w:r>
      <w:r w:rsidRPr="00921C9B">
        <w:rPr>
          <w:szCs w:val="24"/>
          <w:lang w:eastAsia="en-US"/>
        </w:rPr>
        <w:tab/>
        <w:t>параграф 2 се заменя със следното:</w:t>
      </w:r>
    </w:p>
    <w:p w14:paraId="5D0F49D2"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„2.</w:t>
      </w:r>
      <w:r w:rsidRPr="00921C9B">
        <w:rPr>
          <w:szCs w:val="24"/>
          <w:lang w:eastAsia="en-US"/>
        </w:rPr>
        <w:tab/>
        <w:t>С оглед на постигането на съответствие с целите, стандартите за качество и праговете, установени съгласно настоящата директива, държавите членки установяват и прилагат следното:</w:t>
      </w:r>
    </w:p>
    <w:p w14:paraId="2E8FE6F0" w14:textId="77777777" w:rsidR="000D29CC" w:rsidRPr="00921C9B" w:rsidRDefault="000D29CC" w:rsidP="000D29CC">
      <w:pPr>
        <w:spacing w:before="120" w:after="120" w:line="360" w:lineRule="auto"/>
        <w:ind w:left="2548" w:hanging="566"/>
        <w:rPr>
          <w:szCs w:val="24"/>
          <w:lang w:eastAsia="en-US"/>
        </w:rPr>
      </w:pPr>
      <w:r w:rsidRPr="00921C9B">
        <w:rPr>
          <w:szCs w:val="24"/>
          <w:lang w:eastAsia="en-US"/>
        </w:rPr>
        <w:t>а)</w:t>
      </w:r>
      <w:r w:rsidRPr="00921C9B">
        <w:rPr>
          <w:szCs w:val="24"/>
          <w:lang w:eastAsia="en-US"/>
        </w:rPr>
        <w:tab/>
        <w:t>контрол на емисиите, основаващ се на най-добрите налични технологии;</w:t>
      </w:r>
    </w:p>
    <w:p w14:paraId="619B635F" w14:textId="77777777" w:rsidR="000D29CC" w:rsidRPr="00921C9B" w:rsidRDefault="000D29CC" w:rsidP="000D29CC">
      <w:pPr>
        <w:spacing w:before="120" w:after="120" w:line="360" w:lineRule="auto"/>
        <w:ind w:left="2548" w:hanging="566"/>
        <w:rPr>
          <w:szCs w:val="24"/>
          <w:lang w:eastAsia="en-US"/>
        </w:rPr>
      </w:pPr>
      <w:r w:rsidRPr="00921C9B">
        <w:rPr>
          <w:szCs w:val="24"/>
          <w:lang w:eastAsia="en-US"/>
        </w:rPr>
        <w:t>б)</w:t>
      </w:r>
      <w:r w:rsidRPr="00921C9B">
        <w:rPr>
          <w:szCs w:val="24"/>
          <w:lang w:eastAsia="en-US"/>
        </w:rPr>
        <w:tab/>
        <w:t>съответни норми за допустими емисии;</w:t>
      </w:r>
    </w:p>
    <w:p w14:paraId="51497141" w14:textId="77777777" w:rsidR="00753EC5" w:rsidRPr="00921C9B" w:rsidRDefault="00753EC5">
      <w:pPr>
        <w:widowControl/>
        <w:rPr>
          <w:szCs w:val="24"/>
          <w:lang w:eastAsia="en-US"/>
        </w:rPr>
      </w:pPr>
      <w:r w:rsidRPr="00921C9B">
        <w:rPr>
          <w:szCs w:val="24"/>
          <w:lang w:eastAsia="en-US"/>
        </w:rPr>
        <w:br w:type="page"/>
      </w:r>
    </w:p>
    <w:p w14:paraId="214019B7" w14:textId="529FA352" w:rsidR="000D29CC" w:rsidRPr="00921C9B" w:rsidRDefault="000D29CC" w:rsidP="000D29CC">
      <w:pPr>
        <w:spacing w:before="120" w:after="120" w:line="360" w:lineRule="auto"/>
        <w:ind w:left="2548" w:hanging="566"/>
        <w:rPr>
          <w:szCs w:val="24"/>
          <w:lang w:eastAsia="en-US"/>
        </w:rPr>
      </w:pPr>
      <w:r w:rsidRPr="00921C9B">
        <w:rPr>
          <w:szCs w:val="24"/>
          <w:lang w:eastAsia="en-US"/>
        </w:rPr>
        <w:lastRenderedPageBreak/>
        <w:t>в)</w:t>
      </w:r>
      <w:r w:rsidRPr="00921C9B">
        <w:rPr>
          <w:szCs w:val="24"/>
          <w:lang w:eastAsia="en-US"/>
        </w:rPr>
        <w:tab/>
        <w:t>при дифузни влияния — контрол, включващ, според случая, най-добрите екологични практики, установени във:</w:t>
      </w:r>
    </w:p>
    <w:p w14:paraId="33275208" w14:textId="77777777" w:rsidR="000D29CC" w:rsidRPr="00921C9B" w:rsidRDefault="000D29CC" w:rsidP="000D29CC">
      <w:pPr>
        <w:spacing w:before="120" w:after="120" w:line="360" w:lineRule="auto"/>
        <w:ind w:left="3114" w:hanging="566"/>
        <w:rPr>
          <w:szCs w:val="24"/>
          <w:lang w:eastAsia="en-US"/>
        </w:rPr>
      </w:pPr>
      <w:r w:rsidRPr="00921C9B">
        <w:rPr>
          <w:szCs w:val="24"/>
          <w:lang w:eastAsia="en-US"/>
        </w:rPr>
        <w:t>-</w:t>
      </w:r>
      <w:r w:rsidRPr="00921C9B">
        <w:rPr>
          <w:szCs w:val="24"/>
          <w:lang w:eastAsia="en-US"/>
        </w:rPr>
        <w:tab/>
        <w:t>Директива 2009/128/ЕО на Европейския парламент и на Съвета*;</w:t>
      </w:r>
    </w:p>
    <w:p w14:paraId="0682BA80" w14:textId="77777777" w:rsidR="000D29CC" w:rsidRPr="00921C9B" w:rsidRDefault="000D29CC" w:rsidP="000D29CC">
      <w:pPr>
        <w:spacing w:before="120" w:after="120" w:line="360" w:lineRule="auto"/>
        <w:ind w:left="3114" w:hanging="566"/>
        <w:rPr>
          <w:szCs w:val="24"/>
          <w:lang w:eastAsia="en-US"/>
        </w:rPr>
      </w:pPr>
      <w:r w:rsidRPr="00921C9B">
        <w:rPr>
          <w:szCs w:val="24"/>
          <w:lang w:eastAsia="en-US"/>
        </w:rPr>
        <w:t>-</w:t>
      </w:r>
      <w:r w:rsidRPr="00921C9B">
        <w:rPr>
          <w:szCs w:val="24"/>
          <w:lang w:eastAsia="en-US"/>
        </w:rPr>
        <w:tab/>
        <w:t>Директива 2010/75/ЕС на Европейския парламент и на Съвета**;</w:t>
      </w:r>
    </w:p>
    <w:p w14:paraId="60397FD0" w14:textId="77777777" w:rsidR="000D29CC" w:rsidRPr="00921C9B" w:rsidRDefault="000D29CC" w:rsidP="000D29CC">
      <w:pPr>
        <w:spacing w:before="120" w:after="120" w:line="360" w:lineRule="auto"/>
        <w:ind w:left="3114" w:hanging="566"/>
        <w:rPr>
          <w:szCs w:val="24"/>
          <w:lang w:eastAsia="en-US"/>
        </w:rPr>
      </w:pPr>
      <w:r w:rsidRPr="00921C9B">
        <w:rPr>
          <w:szCs w:val="24"/>
          <w:lang w:eastAsia="en-US"/>
        </w:rPr>
        <w:t>-</w:t>
      </w:r>
      <w:r w:rsidRPr="00921C9B">
        <w:rPr>
          <w:szCs w:val="24"/>
          <w:lang w:eastAsia="en-US"/>
        </w:rPr>
        <w:tab/>
        <w:t>Директива 91/271/ЕИО на Съвета***;</w:t>
      </w:r>
    </w:p>
    <w:p w14:paraId="18E93B10" w14:textId="77777777" w:rsidR="000D29CC" w:rsidRPr="00921C9B" w:rsidRDefault="000D29CC" w:rsidP="000D29CC">
      <w:pPr>
        <w:spacing w:before="120" w:after="120" w:line="360" w:lineRule="auto"/>
        <w:ind w:left="3114" w:hanging="566"/>
        <w:rPr>
          <w:szCs w:val="24"/>
          <w:lang w:eastAsia="en-US"/>
        </w:rPr>
      </w:pPr>
      <w:r w:rsidRPr="00921C9B">
        <w:rPr>
          <w:szCs w:val="24"/>
          <w:lang w:eastAsia="en-US"/>
        </w:rPr>
        <w:t>-</w:t>
      </w:r>
      <w:r w:rsidRPr="00921C9B">
        <w:rPr>
          <w:szCs w:val="24"/>
          <w:lang w:eastAsia="en-US"/>
        </w:rPr>
        <w:tab/>
        <w:t>Директива 91/676/ЕИО на Съвета****;</w:t>
      </w:r>
    </w:p>
    <w:p w14:paraId="468B88E3" w14:textId="77777777" w:rsidR="000D29CC" w:rsidRPr="00921C9B" w:rsidRDefault="000D29CC" w:rsidP="000D29CC">
      <w:pPr>
        <w:spacing w:before="120" w:after="120" w:line="360" w:lineRule="auto"/>
        <w:ind w:left="3114" w:hanging="566"/>
        <w:rPr>
          <w:szCs w:val="24"/>
          <w:lang w:eastAsia="en-US"/>
        </w:rPr>
      </w:pPr>
      <w:r w:rsidRPr="00921C9B">
        <w:rPr>
          <w:szCs w:val="24"/>
          <w:lang w:eastAsia="en-US"/>
        </w:rPr>
        <w:t>-</w:t>
      </w:r>
      <w:r w:rsidRPr="00921C9B">
        <w:rPr>
          <w:szCs w:val="24"/>
          <w:lang w:eastAsia="en-US"/>
        </w:rPr>
        <w:tab/>
        <w:t>всяко друго съответно законодателство на Съюза, свързано с точкови или дифузни източници на замърсяване.</w:t>
      </w:r>
    </w:p>
    <w:p w14:paraId="720F4F84" w14:textId="77777777" w:rsidR="000D29CC" w:rsidRPr="00921C9B" w:rsidRDefault="000D29CC" w:rsidP="000D29CC">
      <w:pPr>
        <w:spacing w:before="120" w:after="120" w:line="360" w:lineRule="auto"/>
        <w:ind w:left="2548"/>
        <w:rPr>
          <w:szCs w:val="24"/>
          <w:lang w:eastAsia="en-US"/>
        </w:rPr>
      </w:pPr>
      <w:r w:rsidRPr="00921C9B">
        <w:rPr>
          <w:szCs w:val="24"/>
          <w:lang w:eastAsia="en-US"/>
        </w:rPr>
        <w:t>* Директива 2009/128/ЕО на Европейския парламент и на Съвета от 21 октомври 2009 г. за създаване на рамка за действие на Общността за постигане на устойчива употреба на пестициди (ОВ L 309, 24.11.2009 г., стр. 71).</w:t>
      </w:r>
    </w:p>
    <w:p w14:paraId="506A801A" w14:textId="77777777" w:rsidR="000D29CC" w:rsidRPr="00921C9B" w:rsidRDefault="000D29CC" w:rsidP="000D29CC">
      <w:pPr>
        <w:spacing w:before="120" w:after="120" w:line="360" w:lineRule="auto"/>
        <w:ind w:left="2548"/>
        <w:rPr>
          <w:szCs w:val="24"/>
          <w:lang w:eastAsia="en-US"/>
        </w:rPr>
      </w:pPr>
      <w:r w:rsidRPr="00921C9B">
        <w:rPr>
          <w:szCs w:val="24"/>
          <w:lang w:eastAsia="en-US"/>
        </w:rPr>
        <w:t>** Директива 2010/75/ЕС на Европейския парламент и на Съвета от 24 ноември 2010 г. относно емисиите от промишлеността (ОВ L 334, 17.12.2010 г., стр. 17).</w:t>
      </w:r>
    </w:p>
    <w:p w14:paraId="20C136BF" w14:textId="77777777" w:rsidR="000D29CC" w:rsidRPr="00921C9B" w:rsidRDefault="000D29CC" w:rsidP="000D29CC">
      <w:pPr>
        <w:spacing w:before="120" w:after="120" w:line="360" w:lineRule="auto"/>
        <w:ind w:left="2548"/>
        <w:rPr>
          <w:szCs w:val="24"/>
          <w:lang w:eastAsia="en-US"/>
        </w:rPr>
      </w:pPr>
      <w:r w:rsidRPr="00921C9B">
        <w:rPr>
          <w:szCs w:val="24"/>
          <w:lang w:eastAsia="en-US"/>
        </w:rPr>
        <w:t>*** Директива 91/271/ЕИО на Съвета от 21 май 1991 г. за пречистването на градските отпадъчни води (ОВ L 135, 30.5.1991 г., стр. 40).</w:t>
      </w:r>
    </w:p>
    <w:p w14:paraId="2F5DF3F0" w14:textId="77777777" w:rsidR="000D29CC" w:rsidRPr="00921C9B" w:rsidRDefault="000D29CC" w:rsidP="000D29CC">
      <w:pPr>
        <w:spacing w:before="120" w:after="120" w:line="360" w:lineRule="auto"/>
        <w:ind w:left="2548"/>
        <w:rPr>
          <w:szCs w:val="24"/>
          <w:lang w:eastAsia="en-US"/>
        </w:rPr>
      </w:pPr>
      <w:r w:rsidRPr="00921C9B">
        <w:rPr>
          <w:szCs w:val="24"/>
          <w:lang w:eastAsia="en-US"/>
        </w:rPr>
        <w:t>**** Директива 91/676/ЕИО на Съвета от 12 декември 1991 г. за опазване на водите от замърсяване с нитрати от селскостопански източници (ОВ L 375, 31.12.1991 г., стр. 1).;“</w:t>
      </w:r>
    </w:p>
    <w:p w14:paraId="2A857D44" w14:textId="77777777" w:rsidR="00753EC5" w:rsidRPr="00921C9B" w:rsidRDefault="00753EC5">
      <w:pPr>
        <w:widowControl/>
        <w:rPr>
          <w:szCs w:val="24"/>
          <w:lang w:eastAsia="en-US"/>
        </w:rPr>
      </w:pPr>
      <w:r w:rsidRPr="00921C9B">
        <w:rPr>
          <w:szCs w:val="24"/>
          <w:lang w:eastAsia="en-US"/>
        </w:rPr>
        <w:br w:type="page"/>
      </w:r>
    </w:p>
    <w:p w14:paraId="4263FAA8" w14:textId="098ABD1B"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б)</w:t>
      </w:r>
      <w:r w:rsidRPr="00921C9B">
        <w:rPr>
          <w:szCs w:val="24"/>
          <w:lang w:eastAsia="en-US"/>
        </w:rPr>
        <w:tab/>
        <w:t>параграф 3 се заменя със следното:</w:t>
      </w:r>
    </w:p>
    <w:p w14:paraId="1093C8EA"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„3.</w:t>
      </w:r>
      <w:r w:rsidRPr="00921C9B">
        <w:rPr>
          <w:szCs w:val="24"/>
          <w:lang w:eastAsia="en-US"/>
        </w:rPr>
        <w:tab/>
        <w:t>Ако цел за качество, качествен стандарт или праг, установени по силата на настоящата директива, на директиви 2006/118/ЕО или 2008/105/ЕО или на друго законодателство на Съюза, изискват по-строги условия от произтичащите от прилагането на параграф 2, се установява съответно по-строг контрол на емисиите.;“</w:t>
      </w:r>
    </w:p>
    <w:p w14:paraId="0F0C2494" w14:textId="77777777" w:rsidR="00753EC5" w:rsidRPr="00921C9B" w:rsidRDefault="00753EC5">
      <w:pPr>
        <w:widowControl/>
        <w:rPr>
          <w:b/>
          <w:i/>
          <w:szCs w:val="24"/>
          <w:lang w:eastAsia="en-US"/>
        </w:rPr>
      </w:pPr>
      <w:r w:rsidRPr="00921C9B">
        <w:rPr>
          <w:b/>
          <w:i/>
          <w:szCs w:val="24"/>
          <w:lang w:eastAsia="en-US"/>
        </w:rPr>
        <w:br w:type="page"/>
      </w:r>
    </w:p>
    <w:p w14:paraId="108F703C" w14:textId="5E2365FB" w:rsidR="000D29CC" w:rsidRPr="00921C9B" w:rsidRDefault="000D29CC" w:rsidP="000D29CC">
      <w:pPr>
        <w:spacing w:before="120" w:after="120" w:line="360" w:lineRule="auto"/>
        <w:ind w:left="850" w:hanging="850"/>
        <w:rPr>
          <w:szCs w:val="24"/>
          <w:lang w:eastAsia="en-US"/>
        </w:rPr>
      </w:pPr>
      <w:r w:rsidRPr="00921C9B">
        <w:rPr>
          <w:b/>
          <w:i/>
          <w:szCs w:val="24"/>
          <w:lang w:eastAsia="en-US"/>
        </w:rPr>
        <w:lastRenderedPageBreak/>
        <w:t>7a)</w:t>
      </w:r>
      <w:r w:rsidRPr="00921C9B">
        <w:rPr>
          <w:szCs w:val="24"/>
          <w:lang w:eastAsia="en-US"/>
        </w:rPr>
        <w:tab/>
      </w:r>
      <w:r w:rsidRPr="00921C9B">
        <w:rPr>
          <w:b/>
          <w:i/>
          <w:szCs w:val="24"/>
          <w:lang w:eastAsia="en-US"/>
        </w:rPr>
        <w:t>Член 11, параграф 1 се заменя със следното:</w:t>
      </w:r>
    </w:p>
    <w:p w14:paraId="69D15C40" w14:textId="4C376AA6" w:rsidR="000D29CC" w:rsidRPr="00921C9B" w:rsidRDefault="000D29CC" w:rsidP="000D29CC">
      <w:pPr>
        <w:spacing w:before="120" w:after="120" w:line="360" w:lineRule="auto"/>
        <w:ind w:left="1416" w:hanging="566"/>
        <w:rPr>
          <w:b/>
          <w:szCs w:val="24"/>
          <w:lang w:eastAsia="en-US"/>
        </w:rPr>
      </w:pPr>
      <w:r w:rsidRPr="00921C9B">
        <w:rPr>
          <w:szCs w:val="24"/>
          <w:lang w:eastAsia="en-US"/>
        </w:rPr>
        <w:t>„</w:t>
      </w:r>
      <w:r w:rsidRPr="00921C9B">
        <w:rPr>
          <w:b/>
          <w:i/>
          <w:szCs w:val="24"/>
          <w:lang w:eastAsia="en-US"/>
        </w:rPr>
        <w:t>1.</w:t>
      </w:r>
      <w:r w:rsidRPr="00921C9B">
        <w:rPr>
          <w:szCs w:val="24"/>
          <w:lang w:eastAsia="en-US"/>
        </w:rPr>
        <w:tab/>
      </w:r>
      <w:r w:rsidRPr="00921C9B">
        <w:rPr>
          <w:b/>
          <w:i/>
          <w:szCs w:val="24"/>
          <w:lang w:eastAsia="en-US"/>
        </w:rPr>
        <w:t>За всеки район на речен басейн или част от международен такъв на нейна територия всяка държава членка разработва и установява програма от мерки, като взема предвид резултатите от анализите, изискуеми по член 5, с цел постигане на целите, установени в член 4. Teзи програми от мерки определят като приоритет мерките за контрол при източника съгласно съответното секторно законодателство на Съюза относно замърсяването. Мерки в последната фаза се прилагат в допълнение към мерките за контрол при източника, когато съществува риск да не се постигне добро състояние на водните обекти с мерките за контрол при източника. Програмите от мерки могат да препращат към мерките, следващи от законодателството, прието на национално ниво и покриващи цялата територия на държавата членка. Когато това е подходящо, държавата членка може да приеме мерки, приложими за всички райони на речни басейни и/или части от международни райони на речни басейни, попадащи на нейна територия. Комисията разработва насоки за най-добри практики по отношение на мерките за контрол при източника и допълването на мерките в крайната фаза.“</w:t>
      </w:r>
      <w:r w:rsidR="00D24A73" w:rsidRPr="00921C9B">
        <w:rPr>
          <w:b/>
          <w:szCs w:val="24"/>
          <w:lang w:eastAsia="en-US"/>
        </w:rPr>
        <w:t xml:space="preserve"> [Изм. 67]</w:t>
      </w:r>
    </w:p>
    <w:p w14:paraId="49BF609D" w14:textId="77777777" w:rsidR="00753EC5" w:rsidRPr="00921C9B" w:rsidRDefault="00753EC5">
      <w:pPr>
        <w:widowControl/>
        <w:rPr>
          <w:b/>
          <w:i/>
          <w:szCs w:val="24"/>
          <w:lang w:eastAsia="en-US"/>
        </w:rPr>
      </w:pPr>
      <w:r w:rsidRPr="00921C9B">
        <w:rPr>
          <w:b/>
          <w:i/>
          <w:szCs w:val="24"/>
          <w:lang w:eastAsia="en-US"/>
        </w:rPr>
        <w:br w:type="page"/>
      </w:r>
    </w:p>
    <w:p w14:paraId="1FCCF4C5" w14:textId="5FE405CD" w:rsidR="000D29CC" w:rsidRPr="00921C9B" w:rsidRDefault="000D29CC" w:rsidP="000D29CC">
      <w:pPr>
        <w:spacing w:before="120" w:after="120" w:line="360" w:lineRule="auto"/>
        <w:ind w:left="850" w:hanging="850"/>
        <w:rPr>
          <w:szCs w:val="24"/>
          <w:lang w:eastAsia="en-US"/>
        </w:rPr>
      </w:pPr>
      <w:r w:rsidRPr="00921C9B">
        <w:rPr>
          <w:b/>
          <w:i/>
          <w:szCs w:val="24"/>
          <w:lang w:eastAsia="en-US"/>
        </w:rPr>
        <w:lastRenderedPageBreak/>
        <w:t>7</w:t>
      </w:r>
      <w:r w:rsidR="00D24A73" w:rsidRPr="00921C9B">
        <w:rPr>
          <w:b/>
          <w:i/>
          <w:szCs w:val="24"/>
          <w:lang w:eastAsia="en-US"/>
        </w:rPr>
        <w:t>б</w:t>
      </w:r>
      <w:r w:rsidRPr="00921C9B">
        <w:rPr>
          <w:b/>
          <w:i/>
          <w:szCs w:val="24"/>
          <w:lang w:eastAsia="en-US"/>
        </w:rPr>
        <w:t>)</w:t>
      </w:r>
      <w:r w:rsidRPr="00921C9B">
        <w:rPr>
          <w:szCs w:val="24"/>
          <w:lang w:eastAsia="en-US"/>
        </w:rPr>
        <w:tab/>
      </w:r>
      <w:r w:rsidRPr="00921C9B">
        <w:rPr>
          <w:b/>
          <w:i/>
          <w:szCs w:val="24"/>
          <w:lang w:eastAsia="en-US"/>
        </w:rPr>
        <w:t>член 11, параграф 3 буква в) се заменя със следното:</w:t>
      </w:r>
    </w:p>
    <w:p w14:paraId="14D6E42A" w14:textId="4BBBBDAC" w:rsidR="000D29CC" w:rsidRPr="00921C9B" w:rsidRDefault="000D29CC" w:rsidP="000D29CC">
      <w:pPr>
        <w:spacing w:before="120" w:after="120" w:line="360" w:lineRule="auto"/>
        <w:ind w:left="1416" w:hanging="566"/>
        <w:rPr>
          <w:b/>
          <w:szCs w:val="24"/>
          <w:lang w:eastAsia="en-US"/>
        </w:rPr>
      </w:pPr>
      <w:r w:rsidRPr="00921C9B">
        <w:rPr>
          <w:szCs w:val="24"/>
          <w:lang w:eastAsia="en-US"/>
        </w:rPr>
        <w:t>„</w:t>
      </w:r>
      <w:r w:rsidRPr="00921C9B">
        <w:rPr>
          <w:b/>
          <w:i/>
          <w:szCs w:val="24"/>
          <w:lang w:eastAsia="en-US"/>
        </w:rPr>
        <w:t>a)</w:t>
      </w:r>
      <w:r w:rsidRPr="00921C9B">
        <w:rPr>
          <w:szCs w:val="24"/>
          <w:lang w:eastAsia="en-US"/>
        </w:rPr>
        <w:tab/>
      </w:r>
      <w:r w:rsidRPr="00921C9B">
        <w:rPr>
          <w:b/>
          <w:i/>
          <w:szCs w:val="24"/>
          <w:lang w:eastAsia="en-US"/>
        </w:rPr>
        <w:t>„мерките, осигуряващи ефективно и устойчиво използване на водите, включително в селското стопанство, с цел избягване противоречието с постигането на целите, определени в член 4;“</w:t>
      </w:r>
      <w:r w:rsidR="00D24A73" w:rsidRPr="00921C9B">
        <w:rPr>
          <w:b/>
          <w:szCs w:val="24"/>
          <w:lang w:eastAsia="en-US"/>
        </w:rPr>
        <w:t xml:space="preserve"> [Изм. 68]</w:t>
      </w:r>
    </w:p>
    <w:p w14:paraId="12FBD463" w14:textId="7C683AB6" w:rsidR="000D29CC" w:rsidRPr="00921C9B" w:rsidRDefault="000D29CC" w:rsidP="000D29CC">
      <w:pPr>
        <w:spacing w:before="120" w:after="120" w:line="360" w:lineRule="auto"/>
        <w:ind w:left="850" w:hanging="850"/>
        <w:rPr>
          <w:szCs w:val="24"/>
          <w:lang w:eastAsia="en-US"/>
        </w:rPr>
      </w:pPr>
      <w:r w:rsidRPr="00921C9B">
        <w:rPr>
          <w:szCs w:val="24"/>
          <w:lang w:eastAsia="en-US"/>
        </w:rPr>
        <w:t>8)</w:t>
      </w:r>
      <w:r w:rsidRPr="00921C9B">
        <w:rPr>
          <w:szCs w:val="24"/>
          <w:lang w:eastAsia="en-US"/>
        </w:rPr>
        <w:tab/>
        <w:t>в член 11, параграф 3 буква к) се заменя със следното:</w:t>
      </w:r>
    </w:p>
    <w:p w14:paraId="620F851F"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„к)</w:t>
      </w:r>
      <w:r w:rsidRPr="00921C9B">
        <w:rPr>
          <w:szCs w:val="24"/>
          <w:lang w:eastAsia="en-US"/>
        </w:rPr>
        <w:tab/>
        <w:t>мерки за отстраняване замърсяването на повърхностните води с приоритетни опасни вещества и за прогресивно намаляване на замърсяванията с други вещества, които биха попречили на държавите членки да постигнат екологичните цели за повърхностните водни обекти, определени в член 4;;“</w:t>
      </w:r>
    </w:p>
    <w:p w14:paraId="0872E815" w14:textId="77777777" w:rsidR="000D29CC" w:rsidRPr="00921C9B" w:rsidRDefault="000D29CC" w:rsidP="000D29CC">
      <w:pPr>
        <w:spacing w:before="120" w:after="120" w:line="360" w:lineRule="auto"/>
        <w:ind w:left="850" w:hanging="850"/>
        <w:rPr>
          <w:szCs w:val="24"/>
          <w:lang w:eastAsia="en-US"/>
        </w:rPr>
      </w:pPr>
      <w:r w:rsidRPr="00921C9B">
        <w:rPr>
          <w:b/>
          <w:i/>
          <w:szCs w:val="24"/>
          <w:lang w:eastAsia="en-US"/>
        </w:rPr>
        <w:t>8a)</w:t>
      </w:r>
      <w:r w:rsidRPr="00921C9B">
        <w:rPr>
          <w:szCs w:val="24"/>
          <w:lang w:eastAsia="en-US"/>
        </w:rPr>
        <w:tab/>
      </w:r>
      <w:r w:rsidRPr="00921C9B">
        <w:rPr>
          <w:b/>
          <w:i/>
          <w:szCs w:val="24"/>
          <w:lang w:eastAsia="en-US"/>
        </w:rPr>
        <w:t>Член 11, параграф 5, тире 2 се заменя със следното:</w:t>
      </w:r>
    </w:p>
    <w:p w14:paraId="3B3E1DBC" w14:textId="69DC9571" w:rsidR="000D29CC" w:rsidRPr="00921C9B" w:rsidRDefault="000D29CC" w:rsidP="000D29CC">
      <w:pPr>
        <w:spacing w:before="120" w:after="120" w:line="360" w:lineRule="auto"/>
        <w:ind w:left="1416" w:hanging="566"/>
        <w:rPr>
          <w:b/>
          <w:szCs w:val="24"/>
          <w:lang w:eastAsia="en-US"/>
        </w:rPr>
      </w:pPr>
      <w:r w:rsidRPr="00921C9B">
        <w:rPr>
          <w:szCs w:val="24"/>
          <w:lang w:eastAsia="en-US"/>
        </w:rPr>
        <w:t>„</w:t>
      </w:r>
      <w:r w:rsidR="00753EC5" w:rsidRPr="00921C9B">
        <w:rPr>
          <w:b/>
          <w:i/>
          <w:szCs w:val="24"/>
          <w:lang w:eastAsia="en-US"/>
        </w:rPr>
        <w:t>–</w:t>
      </w:r>
      <w:r w:rsidRPr="00921C9B">
        <w:rPr>
          <w:szCs w:val="24"/>
          <w:lang w:eastAsia="en-US"/>
        </w:rPr>
        <w:tab/>
      </w:r>
      <w:r w:rsidRPr="00921C9B">
        <w:rPr>
          <w:b/>
          <w:i/>
          <w:szCs w:val="24"/>
          <w:lang w:eastAsia="en-US"/>
        </w:rPr>
        <w:t xml:space="preserve">съответните разрешителни се проверяват и преразглеждат, и при надлежно обосновани случаи действието </w:t>
      </w:r>
      <w:r w:rsidR="00D24A73" w:rsidRPr="00921C9B">
        <w:rPr>
          <w:b/>
          <w:i/>
          <w:szCs w:val="24"/>
          <w:lang w:eastAsia="en-US"/>
        </w:rPr>
        <w:t>им се спира, по целесъобразност</w:t>
      </w:r>
      <w:r w:rsidRPr="00921C9B">
        <w:rPr>
          <w:b/>
          <w:i/>
          <w:szCs w:val="24"/>
          <w:lang w:eastAsia="en-US"/>
        </w:rPr>
        <w:t>;</w:t>
      </w:r>
      <w:r w:rsidRPr="00921C9B">
        <w:rPr>
          <w:szCs w:val="24"/>
          <w:lang w:eastAsia="en-US"/>
        </w:rPr>
        <w:t>“</w:t>
      </w:r>
      <w:r w:rsidR="00D24A73" w:rsidRPr="00921C9B">
        <w:rPr>
          <w:b/>
          <w:szCs w:val="24"/>
          <w:lang w:eastAsia="en-US"/>
        </w:rPr>
        <w:t xml:space="preserve"> [Изм. 69]</w:t>
      </w:r>
    </w:p>
    <w:p w14:paraId="0686231D" w14:textId="77777777" w:rsidR="00753EC5" w:rsidRPr="00921C9B" w:rsidRDefault="00753EC5">
      <w:pPr>
        <w:widowControl/>
        <w:rPr>
          <w:szCs w:val="24"/>
          <w:lang w:eastAsia="en-US"/>
        </w:rPr>
      </w:pPr>
      <w:r w:rsidRPr="00921C9B">
        <w:rPr>
          <w:szCs w:val="24"/>
          <w:lang w:eastAsia="en-US"/>
        </w:rPr>
        <w:br w:type="page"/>
      </w:r>
    </w:p>
    <w:p w14:paraId="5907804D" w14:textId="4E5DFB7F"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9)</w:t>
      </w:r>
      <w:r w:rsidRPr="00921C9B">
        <w:rPr>
          <w:szCs w:val="24"/>
          <w:lang w:eastAsia="en-US"/>
        </w:rPr>
        <w:tab/>
        <w:t>член 12 се заменя със следното:</w:t>
      </w:r>
    </w:p>
    <w:p w14:paraId="0FD1DCFF" w14:textId="77777777" w:rsidR="000D29CC" w:rsidRPr="00921C9B" w:rsidRDefault="000D29CC" w:rsidP="000D29CC">
      <w:pPr>
        <w:spacing w:before="120" w:after="120" w:line="360" w:lineRule="auto"/>
        <w:ind w:left="850"/>
        <w:rPr>
          <w:szCs w:val="24"/>
          <w:lang w:eastAsia="en-US"/>
        </w:rPr>
      </w:pPr>
      <w:r w:rsidRPr="00921C9B">
        <w:rPr>
          <w:szCs w:val="24"/>
          <w:lang w:eastAsia="en-US"/>
        </w:rPr>
        <w:t>„Член 12</w:t>
      </w:r>
    </w:p>
    <w:p w14:paraId="0117E002" w14:textId="77777777" w:rsidR="000D29CC" w:rsidRPr="00921C9B" w:rsidRDefault="000D29CC" w:rsidP="000D29CC">
      <w:pPr>
        <w:spacing w:before="120" w:after="120" w:line="360" w:lineRule="auto"/>
        <w:ind w:left="850"/>
        <w:rPr>
          <w:szCs w:val="24"/>
          <w:lang w:eastAsia="en-US"/>
        </w:rPr>
      </w:pPr>
      <w:r w:rsidRPr="00921C9B">
        <w:rPr>
          <w:szCs w:val="24"/>
          <w:lang w:eastAsia="en-US"/>
        </w:rPr>
        <w:t xml:space="preserve"> Въпроси, които не могат да бъдат решени на равнището на държавите членки</w:t>
      </w:r>
    </w:p>
    <w:p w14:paraId="0BF95724"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w:t>
      </w:r>
      <w:r w:rsidRPr="00921C9B">
        <w:rPr>
          <w:szCs w:val="24"/>
          <w:lang w:eastAsia="en-US"/>
        </w:rPr>
        <w:tab/>
        <w:t>Когато пред държава членка стои за разрешаване проблем, който има влияние върху управлението на нейните води, но не може да бъде разрешен от тази държава членка, тя уведомява Комисията и всяка друга засегната държава членка и прави препоръки за разрешаването му.</w:t>
      </w:r>
    </w:p>
    <w:p w14:paraId="7790AC36" w14:textId="28358108" w:rsidR="000D29CC" w:rsidRPr="00921C9B" w:rsidRDefault="000D29CC" w:rsidP="000D29CC">
      <w:pPr>
        <w:spacing w:before="120" w:after="120" w:line="360" w:lineRule="auto"/>
        <w:ind w:left="1416"/>
        <w:rPr>
          <w:b/>
          <w:szCs w:val="24"/>
          <w:lang w:eastAsia="en-US"/>
        </w:rPr>
      </w:pPr>
      <w:r w:rsidRPr="00921C9B">
        <w:rPr>
          <w:b/>
          <w:i/>
          <w:szCs w:val="24"/>
          <w:lang w:eastAsia="en-US"/>
        </w:rPr>
        <w:t>Комисията отговоря на всички уведомления от държавите членки в шестмесечен срок. Когато въпросът се отнася до непостигане на добро химично състояние, Комисията действа в съответствие с член 7а от Директива 2008/105/ЕО.</w:t>
      </w:r>
      <w:r w:rsidR="00D24A73" w:rsidRPr="00921C9B">
        <w:rPr>
          <w:b/>
          <w:szCs w:val="24"/>
          <w:lang w:eastAsia="en-US"/>
        </w:rPr>
        <w:t xml:space="preserve"> [Изм. 70]</w:t>
      </w:r>
    </w:p>
    <w:p w14:paraId="042B7870"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w:t>
      </w:r>
      <w:r w:rsidRPr="00921C9B">
        <w:rPr>
          <w:szCs w:val="24"/>
          <w:lang w:eastAsia="en-US"/>
        </w:rPr>
        <w:tab/>
        <w:t>Засегнатите държави членки си сътрудничат за установяване на източниците на проблемите, посочени в параграф 1, и на мерките, необходими за решаването на тези проблеми.</w:t>
      </w:r>
    </w:p>
    <w:p w14:paraId="3AB68CB4" w14:textId="77777777" w:rsidR="00753EC5" w:rsidRPr="00921C9B" w:rsidRDefault="00753EC5">
      <w:pPr>
        <w:widowControl/>
        <w:rPr>
          <w:szCs w:val="24"/>
          <w:lang w:eastAsia="en-US"/>
        </w:rPr>
      </w:pPr>
      <w:r w:rsidRPr="00921C9B">
        <w:rPr>
          <w:szCs w:val="24"/>
          <w:lang w:eastAsia="en-US"/>
        </w:rPr>
        <w:br w:type="page"/>
      </w:r>
    </w:p>
    <w:p w14:paraId="12B81045" w14:textId="62FDB932" w:rsidR="000D29CC" w:rsidRPr="00921C9B" w:rsidRDefault="000D29CC" w:rsidP="000D29CC">
      <w:pPr>
        <w:spacing w:before="120" w:after="120" w:line="360" w:lineRule="auto"/>
        <w:ind w:left="1416"/>
        <w:rPr>
          <w:b/>
          <w:szCs w:val="24"/>
          <w:lang w:eastAsia="en-US"/>
        </w:rPr>
      </w:pPr>
      <w:r w:rsidRPr="00921C9B">
        <w:rPr>
          <w:szCs w:val="24"/>
          <w:lang w:eastAsia="en-US"/>
        </w:rPr>
        <w:lastRenderedPageBreak/>
        <w:t xml:space="preserve">Държавите членки отговарят своевременно и не по-късно от </w:t>
      </w:r>
      <w:r w:rsidRPr="00921C9B">
        <w:rPr>
          <w:strike/>
          <w:szCs w:val="24"/>
          <w:lang w:eastAsia="en-US"/>
        </w:rPr>
        <w:t>три</w:t>
      </w:r>
      <w:r w:rsidRPr="00921C9B">
        <w:rPr>
          <w:b/>
          <w:i/>
          <w:szCs w:val="24"/>
          <w:lang w:eastAsia="en-US"/>
        </w:rPr>
        <w:t>2</w:t>
      </w:r>
      <w:r w:rsidRPr="00921C9B">
        <w:rPr>
          <w:szCs w:val="24"/>
          <w:lang w:eastAsia="en-US"/>
        </w:rPr>
        <w:t xml:space="preserve"> месеца след уведомлението от друга държава членка в съответствие с параграф 1.</w:t>
      </w:r>
      <w:r w:rsidR="00D24A73" w:rsidRPr="00921C9B">
        <w:rPr>
          <w:b/>
          <w:szCs w:val="24"/>
          <w:lang w:eastAsia="en-US"/>
        </w:rPr>
        <w:t xml:space="preserve"> [Изм. 71]</w:t>
      </w:r>
    </w:p>
    <w:p w14:paraId="3A54E7A8"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3.</w:t>
      </w:r>
      <w:r w:rsidRPr="00921C9B">
        <w:rPr>
          <w:szCs w:val="24"/>
          <w:lang w:eastAsia="en-US"/>
        </w:rPr>
        <w:tab/>
        <w:t>Комисията се уведомява и се приканва да участва и да подпомага всяко сътрудничество по смисъла на параграф 2. Когато е целесъобразно, Комисията, като взема предвид докладите, изготвени съгласно член 13, преценява дали е необходимо да се предприемат допълнителни действия на равнището на Съюза, за да се намали трансграничното въздействие върху водните обекти.;“</w:t>
      </w:r>
    </w:p>
    <w:p w14:paraId="6647E189" w14:textId="77777777" w:rsidR="000D29CC" w:rsidRPr="00921C9B" w:rsidRDefault="000D29CC" w:rsidP="000D29CC">
      <w:pPr>
        <w:spacing w:before="120" w:after="120" w:line="360" w:lineRule="auto"/>
        <w:ind w:left="850" w:hanging="850"/>
        <w:rPr>
          <w:szCs w:val="24"/>
          <w:lang w:eastAsia="en-US"/>
        </w:rPr>
      </w:pPr>
      <w:r w:rsidRPr="00921C9B">
        <w:rPr>
          <w:b/>
          <w:i/>
          <w:szCs w:val="24"/>
          <w:lang w:eastAsia="en-US"/>
        </w:rPr>
        <w:t>9a)</w:t>
      </w:r>
      <w:r w:rsidRPr="00921C9B">
        <w:rPr>
          <w:szCs w:val="24"/>
          <w:lang w:eastAsia="en-US"/>
        </w:rPr>
        <w:tab/>
      </w:r>
      <w:r w:rsidRPr="00921C9B">
        <w:rPr>
          <w:b/>
          <w:i/>
          <w:szCs w:val="24"/>
          <w:lang w:eastAsia="en-US"/>
        </w:rPr>
        <w:t>В член 13 се вмъква следният параграф:</w:t>
      </w:r>
    </w:p>
    <w:p w14:paraId="6EA425E0" w14:textId="62979C5C" w:rsidR="000D29CC" w:rsidRPr="00921C9B" w:rsidRDefault="000D29CC" w:rsidP="000D29CC">
      <w:pPr>
        <w:spacing w:before="120" w:after="120" w:line="360" w:lineRule="auto"/>
        <w:ind w:left="1416" w:hanging="566"/>
        <w:rPr>
          <w:b/>
          <w:szCs w:val="24"/>
          <w:lang w:eastAsia="en-US"/>
        </w:rPr>
      </w:pPr>
      <w:r w:rsidRPr="00921C9B">
        <w:rPr>
          <w:szCs w:val="24"/>
          <w:lang w:eastAsia="en-US"/>
        </w:rPr>
        <w:t>„</w:t>
      </w:r>
      <w:r w:rsidRPr="00921C9B">
        <w:rPr>
          <w:b/>
          <w:i/>
          <w:szCs w:val="24"/>
          <w:lang w:eastAsia="en-US"/>
        </w:rPr>
        <w:t>1.</w:t>
      </w:r>
      <w:r w:rsidRPr="00921C9B">
        <w:rPr>
          <w:szCs w:val="24"/>
          <w:lang w:eastAsia="en-US"/>
        </w:rPr>
        <w:tab/>
      </w:r>
      <w:r w:rsidRPr="00921C9B">
        <w:rPr>
          <w:b/>
          <w:i/>
          <w:szCs w:val="24"/>
          <w:lang w:eastAsia="en-US"/>
        </w:rPr>
        <w:t>Комисията отхвърля плановете за управление на речните басейни, представени от държавите членки, ако тези планове не включват елементите, изброени в приложение VII.“</w:t>
      </w:r>
      <w:r w:rsidR="00D24A73" w:rsidRPr="00921C9B">
        <w:rPr>
          <w:b/>
          <w:szCs w:val="24"/>
          <w:lang w:eastAsia="en-US"/>
        </w:rPr>
        <w:t xml:space="preserve"> [Изм. 72]</w:t>
      </w:r>
    </w:p>
    <w:p w14:paraId="34E85819" w14:textId="77777777" w:rsidR="00753EC5" w:rsidRPr="00921C9B" w:rsidRDefault="00753EC5">
      <w:pPr>
        <w:widowControl/>
        <w:rPr>
          <w:b/>
          <w:i/>
          <w:szCs w:val="24"/>
          <w:lang w:eastAsia="en-US"/>
        </w:rPr>
      </w:pPr>
      <w:r w:rsidRPr="00921C9B">
        <w:rPr>
          <w:b/>
          <w:i/>
          <w:szCs w:val="24"/>
          <w:lang w:eastAsia="en-US"/>
        </w:rPr>
        <w:br w:type="page"/>
      </w:r>
    </w:p>
    <w:p w14:paraId="2A4DEBCD" w14:textId="0840B18E" w:rsidR="000D29CC" w:rsidRPr="00921C9B" w:rsidRDefault="000D29CC" w:rsidP="000D29CC">
      <w:pPr>
        <w:spacing w:before="120" w:after="120" w:line="360" w:lineRule="auto"/>
        <w:ind w:left="850" w:hanging="850"/>
        <w:rPr>
          <w:szCs w:val="24"/>
          <w:lang w:eastAsia="en-US"/>
        </w:rPr>
      </w:pPr>
      <w:r w:rsidRPr="00921C9B">
        <w:rPr>
          <w:b/>
          <w:i/>
          <w:szCs w:val="24"/>
          <w:lang w:eastAsia="en-US"/>
        </w:rPr>
        <w:lastRenderedPageBreak/>
        <w:t>9</w:t>
      </w:r>
      <w:r w:rsidR="00D24A73" w:rsidRPr="00921C9B">
        <w:rPr>
          <w:b/>
          <w:i/>
          <w:szCs w:val="24"/>
          <w:lang w:eastAsia="en-US"/>
        </w:rPr>
        <w:t>б</w:t>
      </w:r>
      <w:r w:rsidRPr="00921C9B">
        <w:rPr>
          <w:b/>
          <w:i/>
          <w:szCs w:val="24"/>
          <w:lang w:eastAsia="en-US"/>
        </w:rPr>
        <w:t>)</w:t>
      </w:r>
      <w:r w:rsidRPr="00921C9B">
        <w:rPr>
          <w:szCs w:val="24"/>
          <w:lang w:eastAsia="en-US"/>
        </w:rPr>
        <w:tab/>
      </w:r>
      <w:r w:rsidRPr="00921C9B">
        <w:rPr>
          <w:b/>
          <w:i/>
          <w:szCs w:val="24"/>
          <w:lang w:eastAsia="en-US"/>
        </w:rPr>
        <w:t>Вмъква се следният член:</w:t>
      </w:r>
    </w:p>
    <w:p w14:paraId="0A5BE0D5" w14:textId="77777777" w:rsidR="000D29CC" w:rsidRPr="00921C9B" w:rsidRDefault="000D29CC" w:rsidP="000D29CC">
      <w:pPr>
        <w:spacing w:before="120" w:after="120" w:line="360" w:lineRule="auto"/>
        <w:ind w:left="850"/>
        <w:rPr>
          <w:szCs w:val="24"/>
          <w:lang w:eastAsia="en-US"/>
        </w:rPr>
      </w:pPr>
      <w:r w:rsidRPr="00921C9B">
        <w:rPr>
          <w:szCs w:val="24"/>
          <w:lang w:eastAsia="en-US"/>
        </w:rPr>
        <w:t>„</w:t>
      </w:r>
      <w:r w:rsidRPr="00921C9B">
        <w:rPr>
          <w:b/>
          <w:i/>
          <w:szCs w:val="24"/>
          <w:lang w:eastAsia="en-US"/>
        </w:rPr>
        <w:t>Член 14а</w:t>
      </w:r>
      <w:r w:rsidRPr="00921C9B">
        <w:rPr>
          <w:szCs w:val="24"/>
          <w:lang w:eastAsia="en-US"/>
        </w:rPr>
        <w:br/>
      </w:r>
      <w:r w:rsidRPr="00921C9B">
        <w:rPr>
          <w:b/>
          <w:i/>
          <w:szCs w:val="24"/>
          <w:lang w:eastAsia="en-US"/>
        </w:rPr>
        <w:t>Достъп до правосъдие</w:t>
      </w:r>
    </w:p>
    <w:p w14:paraId="01CCF831" w14:textId="77777777" w:rsidR="000D29CC" w:rsidRPr="00921C9B" w:rsidRDefault="000D29CC" w:rsidP="000D29CC">
      <w:pPr>
        <w:spacing w:before="120" w:after="120" w:line="360" w:lineRule="auto"/>
        <w:ind w:left="1416" w:hanging="566"/>
        <w:rPr>
          <w:szCs w:val="24"/>
          <w:lang w:eastAsia="en-US"/>
        </w:rPr>
      </w:pPr>
      <w:r w:rsidRPr="00921C9B">
        <w:rPr>
          <w:b/>
          <w:i/>
          <w:szCs w:val="24"/>
          <w:lang w:eastAsia="en-US"/>
        </w:rPr>
        <w:t>1.</w:t>
      </w:r>
      <w:r w:rsidRPr="00921C9B">
        <w:rPr>
          <w:szCs w:val="24"/>
          <w:lang w:eastAsia="en-US"/>
        </w:rPr>
        <w:tab/>
      </w:r>
      <w:r w:rsidRPr="00921C9B">
        <w:rPr>
          <w:b/>
          <w:i/>
          <w:szCs w:val="24"/>
          <w:lang w:eastAsia="en-US"/>
        </w:rPr>
        <w:t>Държавите членки гарантират, че членовете на обществеността, в съответствие с националното право, които имат достатъчен интерес или които твърдят, че е било нарушено тяхно право, имат достъп до процедура на обжалване пред съд или друг установен със закон независим и безпристрастен орган, за да оспорят материалната или процесуална законосъобразност на всички решения, действия или бездействия, които съгласно настоящата директива се отнасят, наред с другото, до:</w:t>
      </w:r>
    </w:p>
    <w:p w14:paraId="2F5A14BE" w14:textId="77777777" w:rsidR="000D29CC" w:rsidRPr="00921C9B" w:rsidRDefault="000D29CC" w:rsidP="000D29CC">
      <w:pPr>
        <w:spacing w:before="120" w:after="120" w:line="360" w:lineRule="auto"/>
        <w:ind w:left="1982" w:hanging="566"/>
        <w:rPr>
          <w:szCs w:val="24"/>
          <w:lang w:eastAsia="en-US"/>
        </w:rPr>
      </w:pPr>
      <w:r w:rsidRPr="00921C9B">
        <w:rPr>
          <w:b/>
          <w:i/>
          <w:szCs w:val="24"/>
          <w:lang w:eastAsia="en-US"/>
        </w:rPr>
        <w:t>a)</w:t>
      </w:r>
      <w:r w:rsidRPr="00921C9B">
        <w:rPr>
          <w:szCs w:val="24"/>
          <w:lang w:eastAsia="en-US"/>
        </w:rPr>
        <w:tab/>
      </w:r>
      <w:r w:rsidRPr="00921C9B">
        <w:rPr>
          <w:b/>
          <w:i/>
          <w:szCs w:val="24"/>
          <w:lang w:eastAsia="en-US"/>
        </w:rPr>
        <w:t>планове и проекти, които може да са в противоречие с изискванията на член 4, включително за предотвратяване на влошаването на състоянието на водните обекти и за постигане на добро състояние на водите, добър екологичен потенциал и/или добро химично състояние на водите, доколкото тези изисквания не са вече предвидени в член 11 от Директива 2011/92/ЕС;</w:t>
      </w:r>
    </w:p>
    <w:p w14:paraId="2035760A" w14:textId="77777777" w:rsidR="00753EC5" w:rsidRPr="00921C9B" w:rsidRDefault="00753EC5">
      <w:pPr>
        <w:widowControl/>
        <w:rPr>
          <w:b/>
          <w:i/>
          <w:szCs w:val="24"/>
          <w:lang w:eastAsia="en-US"/>
        </w:rPr>
      </w:pPr>
      <w:r w:rsidRPr="00921C9B">
        <w:rPr>
          <w:b/>
          <w:i/>
          <w:szCs w:val="24"/>
          <w:lang w:eastAsia="en-US"/>
        </w:rPr>
        <w:br w:type="page"/>
      </w:r>
    </w:p>
    <w:p w14:paraId="2DDA858F" w14:textId="508883CF" w:rsidR="000D29CC" w:rsidRPr="00921C9B" w:rsidRDefault="00D24A73" w:rsidP="000D29CC">
      <w:pPr>
        <w:spacing w:before="120" w:after="120" w:line="360" w:lineRule="auto"/>
        <w:ind w:left="1982" w:hanging="566"/>
        <w:rPr>
          <w:szCs w:val="24"/>
          <w:lang w:eastAsia="en-US"/>
        </w:rPr>
      </w:pPr>
      <w:r w:rsidRPr="00921C9B">
        <w:rPr>
          <w:b/>
          <w:i/>
          <w:szCs w:val="24"/>
          <w:lang w:eastAsia="en-US"/>
        </w:rPr>
        <w:lastRenderedPageBreak/>
        <w:t>б</w:t>
      </w:r>
      <w:r w:rsidR="000D29CC" w:rsidRPr="00921C9B">
        <w:rPr>
          <w:b/>
          <w:i/>
          <w:szCs w:val="24"/>
          <w:lang w:eastAsia="en-US"/>
        </w:rPr>
        <w:t>)</w:t>
      </w:r>
      <w:r w:rsidR="000D29CC" w:rsidRPr="00921C9B">
        <w:rPr>
          <w:szCs w:val="24"/>
          <w:lang w:eastAsia="en-US"/>
        </w:rPr>
        <w:tab/>
      </w:r>
      <w:r w:rsidR="000D29CC" w:rsidRPr="00921C9B">
        <w:rPr>
          <w:b/>
          <w:i/>
          <w:szCs w:val="24"/>
          <w:lang w:eastAsia="en-US"/>
        </w:rPr>
        <w:t>програми от мерки, посочени в член 11, планове за управление на речни басейни на държавите членки, посочени в член 13, параграф 1, и допълнителни програми или планове на държавите членки за управление, посочени в член 13, параграф 5.</w:t>
      </w:r>
    </w:p>
    <w:p w14:paraId="334282D6" w14:textId="77777777" w:rsidR="000D29CC" w:rsidRPr="00921C9B" w:rsidRDefault="000D29CC" w:rsidP="000D29CC">
      <w:pPr>
        <w:spacing w:before="120" w:after="120" w:line="360" w:lineRule="auto"/>
        <w:ind w:left="1416" w:hanging="566"/>
        <w:rPr>
          <w:szCs w:val="24"/>
          <w:lang w:eastAsia="en-US"/>
        </w:rPr>
      </w:pPr>
      <w:r w:rsidRPr="00921C9B">
        <w:rPr>
          <w:b/>
          <w:i/>
          <w:szCs w:val="24"/>
          <w:lang w:eastAsia="en-US"/>
        </w:rPr>
        <w:t>2.</w:t>
      </w:r>
      <w:r w:rsidRPr="00921C9B">
        <w:rPr>
          <w:szCs w:val="24"/>
          <w:lang w:eastAsia="en-US"/>
        </w:rPr>
        <w:tab/>
      </w:r>
      <w:r w:rsidRPr="00921C9B">
        <w:rPr>
          <w:b/>
          <w:i/>
          <w:szCs w:val="24"/>
          <w:lang w:eastAsia="en-US"/>
        </w:rPr>
        <w:t>Държавите членки определят какво представлява достатъчен интерес и нарушено право по начин, който съответства на целта за осигуряване на широк достъп на обществеността до правосъдие. За целите на параграф 1 се счита, че всяка неправителствена организация, която насърчава опазването на околната среда и отговаря на съответните изисквания на националното право, има права, които могат да бъдат накърнени, и нейният интерес се счита за достатъчен.</w:t>
      </w:r>
    </w:p>
    <w:p w14:paraId="19A214F3" w14:textId="77777777" w:rsidR="000D29CC" w:rsidRPr="00921C9B" w:rsidRDefault="000D29CC" w:rsidP="000D29CC">
      <w:pPr>
        <w:spacing w:before="120" w:after="120" w:line="360" w:lineRule="auto"/>
        <w:ind w:left="1416" w:hanging="566"/>
        <w:rPr>
          <w:szCs w:val="24"/>
          <w:lang w:eastAsia="en-US"/>
        </w:rPr>
      </w:pPr>
      <w:r w:rsidRPr="00921C9B">
        <w:rPr>
          <w:b/>
          <w:i/>
          <w:szCs w:val="24"/>
          <w:lang w:eastAsia="en-US"/>
        </w:rPr>
        <w:t>3.</w:t>
      </w:r>
      <w:r w:rsidRPr="00921C9B">
        <w:rPr>
          <w:szCs w:val="24"/>
          <w:lang w:eastAsia="en-US"/>
        </w:rPr>
        <w:tab/>
      </w:r>
      <w:r w:rsidRPr="00921C9B">
        <w:rPr>
          <w:b/>
          <w:i/>
          <w:szCs w:val="24"/>
          <w:lang w:eastAsia="en-US"/>
        </w:rPr>
        <w:t>Процедурите за преглед, посочени в параграф 1, са справедливи, безпристрастни и приключват своевременно и не са възпрепятстващо скъпи. Тези процедури включват и предоставянето на адекватна и ефективна защита, включително, когато е целесъобразно, под формата на съдебно запрещение.</w:t>
      </w:r>
    </w:p>
    <w:p w14:paraId="5B699CB9" w14:textId="77777777" w:rsidR="00753EC5" w:rsidRPr="00921C9B" w:rsidRDefault="00753EC5">
      <w:pPr>
        <w:widowControl/>
        <w:rPr>
          <w:b/>
          <w:i/>
          <w:szCs w:val="24"/>
          <w:lang w:eastAsia="en-US"/>
        </w:rPr>
      </w:pPr>
      <w:r w:rsidRPr="00921C9B">
        <w:rPr>
          <w:b/>
          <w:i/>
          <w:szCs w:val="24"/>
          <w:lang w:eastAsia="en-US"/>
        </w:rPr>
        <w:br w:type="page"/>
      </w:r>
    </w:p>
    <w:p w14:paraId="7A0A7382" w14:textId="3DFE2F4E" w:rsidR="000D29CC" w:rsidRPr="00921C9B" w:rsidRDefault="000D29CC" w:rsidP="000D29CC">
      <w:pPr>
        <w:spacing w:before="120" w:after="120" w:line="360" w:lineRule="auto"/>
        <w:ind w:left="1416" w:hanging="566"/>
        <w:rPr>
          <w:b/>
          <w:szCs w:val="24"/>
          <w:lang w:eastAsia="en-US"/>
        </w:rPr>
      </w:pPr>
      <w:r w:rsidRPr="00921C9B">
        <w:rPr>
          <w:b/>
          <w:i/>
          <w:szCs w:val="24"/>
          <w:lang w:eastAsia="en-US"/>
        </w:rPr>
        <w:lastRenderedPageBreak/>
        <w:t>4.</w:t>
      </w:r>
      <w:r w:rsidRPr="00921C9B">
        <w:rPr>
          <w:szCs w:val="24"/>
          <w:lang w:eastAsia="en-US"/>
        </w:rPr>
        <w:tab/>
      </w:r>
      <w:r w:rsidRPr="00921C9B">
        <w:rPr>
          <w:b/>
          <w:i/>
          <w:szCs w:val="24"/>
          <w:lang w:eastAsia="en-US"/>
        </w:rPr>
        <w:t>Държавите членки гарантират, че на обществеността се предоставя практическа информация относно достъпа до процедурите за административно и съдебно обжалване, посочени в настоящия член.“</w:t>
      </w:r>
      <w:r w:rsidR="00D24A73" w:rsidRPr="00921C9B">
        <w:rPr>
          <w:b/>
          <w:szCs w:val="24"/>
          <w:lang w:eastAsia="en-US"/>
        </w:rPr>
        <w:t xml:space="preserve"> [Изм. 73]</w:t>
      </w:r>
    </w:p>
    <w:p w14:paraId="7DFE3C22" w14:textId="783B22B7" w:rsidR="000D29CC" w:rsidRPr="00921C9B" w:rsidRDefault="000D29CC" w:rsidP="000D29CC">
      <w:pPr>
        <w:spacing w:before="120" w:after="120" w:line="360" w:lineRule="auto"/>
        <w:ind w:left="850" w:hanging="850"/>
        <w:rPr>
          <w:b/>
          <w:szCs w:val="24"/>
          <w:lang w:eastAsia="en-US"/>
        </w:rPr>
      </w:pPr>
      <w:r w:rsidRPr="00921C9B">
        <w:rPr>
          <w:strike/>
          <w:szCs w:val="24"/>
          <w:lang w:eastAsia="en-US"/>
        </w:rPr>
        <w:t>(10)</w:t>
      </w:r>
      <w:r w:rsidRPr="00921C9B">
        <w:rPr>
          <w:szCs w:val="24"/>
          <w:lang w:eastAsia="en-US"/>
        </w:rPr>
        <w:tab/>
      </w:r>
      <w:r w:rsidRPr="00921C9B">
        <w:rPr>
          <w:strike/>
          <w:szCs w:val="24"/>
          <w:lang w:eastAsia="en-US"/>
        </w:rPr>
        <w:t>в член 15 параграф 3 се заличава;</w:t>
      </w:r>
      <w:r w:rsidR="00D24A73" w:rsidRPr="00921C9B">
        <w:rPr>
          <w:b/>
          <w:szCs w:val="24"/>
          <w:lang w:eastAsia="en-US"/>
        </w:rPr>
        <w:t xml:space="preserve"> [Изм. 74]</w:t>
      </w:r>
    </w:p>
    <w:p w14:paraId="1D55D293" w14:textId="77777777" w:rsidR="000D29CC" w:rsidRPr="00921C9B" w:rsidRDefault="000D29CC" w:rsidP="000D29CC">
      <w:pPr>
        <w:spacing w:before="120" w:after="120" w:line="360" w:lineRule="auto"/>
        <w:ind w:left="850" w:hanging="850"/>
        <w:rPr>
          <w:szCs w:val="24"/>
          <w:lang w:eastAsia="en-US"/>
        </w:rPr>
      </w:pPr>
      <w:r w:rsidRPr="00921C9B">
        <w:rPr>
          <w:b/>
          <w:i/>
          <w:szCs w:val="24"/>
          <w:lang w:eastAsia="en-US"/>
        </w:rPr>
        <w:t>10a)</w:t>
      </w:r>
      <w:r w:rsidRPr="00921C9B">
        <w:rPr>
          <w:szCs w:val="24"/>
          <w:lang w:eastAsia="en-US"/>
        </w:rPr>
        <w:tab/>
      </w:r>
      <w:r w:rsidRPr="00921C9B">
        <w:rPr>
          <w:b/>
          <w:i/>
          <w:szCs w:val="24"/>
          <w:lang w:eastAsia="en-US"/>
        </w:rPr>
        <w:t>В член 15, параграф 3 се добавя следната алинея:</w:t>
      </w:r>
    </w:p>
    <w:p w14:paraId="007C0C60" w14:textId="0BC0A6D9" w:rsidR="000D29CC" w:rsidRPr="00921C9B" w:rsidRDefault="000D29CC" w:rsidP="000D29CC">
      <w:pPr>
        <w:spacing w:before="120" w:after="120" w:line="360" w:lineRule="auto"/>
        <w:ind w:left="850"/>
        <w:rPr>
          <w:b/>
          <w:szCs w:val="24"/>
          <w:lang w:eastAsia="en-US"/>
        </w:rPr>
      </w:pPr>
      <w:r w:rsidRPr="00921C9B">
        <w:rPr>
          <w:szCs w:val="24"/>
          <w:lang w:eastAsia="en-US"/>
        </w:rPr>
        <w:t>„</w:t>
      </w:r>
      <w:r w:rsidRPr="00921C9B">
        <w:rPr>
          <w:b/>
          <w:i/>
          <w:szCs w:val="24"/>
          <w:lang w:eastAsia="en-US"/>
        </w:rPr>
        <w:t>Комисията приема насоки и образци относно съдържанието, структурата и формáта на междинните доклади, посочени в първата алинея, не по-късно от [шест месеца след влизане в сила на настоящата директива].</w:t>
      </w:r>
      <w:r w:rsidRPr="00921C9B">
        <w:rPr>
          <w:szCs w:val="24"/>
          <w:lang w:eastAsia="en-US"/>
        </w:rPr>
        <w:t>“</w:t>
      </w:r>
      <w:r w:rsidR="00D24A73" w:rsidRPr="00921C9B">
        <w:rPr>
          <w:b/>
          <w:szCs w:val="24"/>
          <w:lang w:eastAsia="en-US"/>
        </w:rPr>
        <w:t xml:space="preserve"> [Изм. 75]</w:t>
      </w:r>
    </w:p>
    <w:p w14:paraId="31F3707B" w14:textId="6704DF58" w:rsidR="000D29CC" w:rsidRPr="00921C9B" w:rsidRDefault="000D29CC" w:rsidP="000D29CC">
      <w:pPr>
        <w:spacing w:before="120" w:after="120" w:line="360" w:lineRule="auto"/>
        <w:ind w:left="850" w:hanging="850"/>
        <w:rPr>
          <w:szCs w:val="24"/>
          <w:lang w:eastAsia="en-US"/>
        </w:rPr>
      </w:pPr>
      <w:r w:rsidRPr="00921C9B">
        <w:rPr>
          <w:szCs w:val="24"/>
          <w:lang w:eastAsia="en-US"/>
        </w:rPr>
        <w:t>1</w:t>
      </w:r>
      <w:r w:rsidR="00D24A73" w:rsidRPr="00921C9B">
        <w:rPr>
          <w:szCs w:val="24"/>
          <w:lang w:eastAsia="en-US"/>
        </w:rPr>
        <w:t>1)</w:t>
      </w:r>
      <w:r w:rsidR="00D24A73" w:rsidRPr="00921C9B">
        <w:rPr>
          <w:szCs w:val="24"/>
          <w:lang w:eastAsia="en-US"/>
        </w:rPr>
        <w:tab/>
        <w:t>членове 16 и 17 се заличават</w:t>
      </w:r>
    </w:p>
    <w:p w14:paraId="632EDB9A" w14:textId="7E8CA30B" w:rsidR="000D29CC" w:rsidRPr="00921C9B" w:rsidRDefault="000D29CC" w:rsidP="000D29CC">
      <w:pPr>
        <w:spacing w:before="120" w:after="120" w:line="360" w:lineRule="auto"/>
        <w:ind w:left="850" w:hanging="850"/>
        <w:rPr>
          <w:szCs w:val="24"/>
          <w:lang w:eastAsia="en-US"/>
        </w:rPr>
      </w:pPr>
      <w:r w:rsidRPr="00921C9B">
        <w:rPr>
          <w:szCs w:val="24"/>
          <w:lang w:eastAsia="en-US"/>
        </w:rPr>
        <w:t>12)</w:t>
      </w:r>
      <w:r w:rsidRPr="00921C9B">
        <w:rPr>
          <w:szCs w:val="24"/>
          <w:lang w:eastAsia="en-US"/>
        </w:rPr>
        <w:tab/>
        <w:t>член 18 се изменя, както следва:</w:t>
      </w:r>
    </w:p>
    <w:p w14:paraId="17AB7BC7"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а)</w:t>
      </w:r>
      <w:r w:rsidRPr="00921C9B">
        <w:rPr>
          <w:szCs w:val="24"/>
          <w:lang w:eastAsia="en-US"/>
        </w:rPr>
        <w:tab/>
      </w:r>
      <w:r w:rsidRPr="00921C9B">
        <w:rPr>
          <w:szCs w:val="24"/>
          <w:lang w:eastAsia="en-US"/>
        </w:rPr>
        <w:tab/>
        <w:t>в параграф 2 буква д) се заменя със следното:</w:t>
      </w:r>
    </w:p>
    <w:p w14:paraId="28B82E67"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„д)</w:t>
      </w:r>
      <w:r w:rsidRPr="00921C9B">
        <w:rPr>
          <w:szCs w:val="24"/>
          <w:lang w:eastAsia="en-US"/>
        </w:rPr>
        <w:tab/>
        <w:t>обобщение на всички предложения, мерки за контрол и стратегии за контрол на химическото замърсяване или за пълното или поетапното премахване на опасните вещества;;“</w:t>
      </w:r>
    </w:p>
    <w:p w14:paraId="3CD8E63B" w14:textId="4BAB87FE" w:rsidR="000D29CC" w:rsidRPr="00921C9B" w:rsidRDefault="000D29CC" w:rsidP="000D29CC">
      <w:pPr>
        <w:spacing w:before="120" w:after="120" w:line="360" w:lineRule="auto"/>
        <w:ind w:left="1416" w:hanging="566"/>
        <w:rPr>
          <w:b/>
          <w:szCs w:val="24"/>
          <w:lang w:eastAsia="en-US"/>
        </w:rPr>
      </w:pPr>
      <w:r w:rsidRPr="00921C9B">
        <w:rPr>
          <w:strike/>
          <w:szCs w:val="24"/>
          <w:lang w:eastAsia="en-US"/>
        </w:rPr>
        <w:t>б)</w:t>
      </w:r>
      <w:r w:rsidRPr="00921C9B">
        <w:rPr>
          <w:szCs w:val="24"/>
          <w:lang w:eastAsia="en-US"/>
        </w:rPr>
        <w:tab/>
      </w:r>
      <w:r w:rsidRPr="00921C9B">
        <w:rPr>
          <w:strike/>
          <w:szCs w:val="24"/>
          <w:lang w:eastAsia="en-US"/>
        </w:rPr>
        <w:tab/>
        <w:t>параграф 4 се заличава;</w:t>
      </w:r>
      <w:r w:rsidR="00D24A73" w:rsidRPr="00921C9B">
        <w:rPr>
          <w:b/>
          <w:szCs w:val="24"/>
          <w:lang w:eastAsia="en-US"/>
        </w:rPr>
        <w:t xml:space="preserve"> [Изм. 76]</w:t>
      </w:r>
    </w:p>
    <w:p w14:paraId="24B7B2DD" w14:textId="77777777" w:rsidR="00753EC5" w:rsidRPr="00921C9B" w:rsidRDefault="00753EC5">
      <w:pPr>
        <w:widowControl/>
        <w:rPr>
          <w:szCs w:val="24"/>
          <w:lang w:eastAsia="en-US"/>
        </w:rPr>
      </w:pPr>
      <w:r w:rsidRPr="00921C9B">
        <w:rPr>
          <w:szCs w:val="24"/>
          <w:lang w:eastAsia="en-US"/>
        </w:rPr>
        <w:br w:type="page"/>
      </w:r>
    </w:p>
    <w:p w14:paraId="680543D7" w14:textId="7DAE59CB"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13)</w:t>
      </w:r>
      <w:r w:rsidRPr="00921C9B">
        <w:rPr>
          <w:szCs w:val="24"/>
          <w:lang w:eastAsia="en-US"/>
        </w:rPr>
        <w:tab/>
        <w:t>член 20 се заменя със следното:</w:t>
      </w:r>
    </w:p>
    <w:p w14:paraId="2D088A37" w14:textId="77777777" w:rsidR="000D29CC" w:rsidRPr="00921C9B" w:rsidRDefault="000D29CC" w:rsidP="000D29CC">
      <w:pPr>
        <w:spacing w:before="120" w:after="120" w:line="360" w:lineRule="auto"/>
        <w:ind w:left="850"/>
        <w:rPr>
          <w:szCs w:val="24"/>
          <w:lang w:eastAsia="en-US"/>
        </w:rPr>
      </w:pPr>
      <w:r w:rsidRPr="00921C9B">
        <w:rPr>
          <w:szCs w:val="24"/>
          <w:lang w:eastAsia="en-US"/>
        </w:rPr>
        <w:t>„Член 20</w:t>
      </w:r>
    </w:p>
    <w:p w14:paraId="3BAB242A" w14:textId="77777777" w:rsidR="000D29CC" w:rsidRPr="00921C9B" w:rsidRDefault="000D29CC" w:rsidP="000D29CC">
      <w:pPr>
        <w:spacing w:before="120" w:after="120" w:line="360" w:lineRule="auto"/>
        <w:ind w:left="850"/>
        <w:rPr>
          <w:szCs w:val="24"/>
          <w:lang w:eastAsia="en-US"/>
        </w:rPr>
      </w:pPr>
      <w:r w:rsidRPr="00921C9B">
        <w:rPr>
          <w:szCs w:val="24"/>
          <w:lang w:eastAsia="en-US"/>
        </w:rPr>
        <w:t>Технически адаптации и прилагане на настоящата директива</w:t>
      </w:r>
    </w:p>
    <w:p w14:paraId="2F974456"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w:t>
      </w:r>
      <w:r w:rsidRPr="00921C9B">
        <w:rPr>
          <w:szCs w:val="24"/>
          <w:lang w:eastAsia="en-US"/>
        </w:rPr>
        <w:tab/>
        <w:t>На Комисията се предоставя правомощието да приема делегирани актове в съответствие с член 20а за изменение на приложения I и III и раздел 1.3.6 от приложение V с цел адаптирането на изискванията за информация, свързани съответно с компетентните органи, съдържанието на икономическия анализ и избраните стандарти за мониторинг, към научния и техническия прогрес.</w:t>
      </w:r>
    </w:p>
    <w:p w14:paraId="5925725B"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w:t>
      </w:r>
      <w:r w:rsidRPr="00921C9B">
        <w:rPr>
          <w:szCs w:val="24"/>
          <w:lang w:eastAsia="en-US"/>
        </w:rPr>
        <w:tab/>
        <w:t>На Комисията се предоставя правомощието да приема делегирани актове в съответствие с член 20а за допълване на настоящата директива чрез определяне на стойностите, установени за класификациите на мониторинговите системи на държавите членки в съответствие с вътрешнокалибрационната процедура, посочена в точка 1.4.1 от приложение V.</w:t>
      </w:r>
    </w:p>
    <w:p w14:paraId="0CA0E21B"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3.</w:t>
      </w:r>
      <w:r w:rsidRPr="00921C9B">
        <w:rPr>
          <w:szCs w:val="24"/>
          <w:lang w:eastAsia="en-US"/>
        </w:rPr>
        <w:tab/>
        <w:t>На Комисията се предоставя правомощието да приема актове за изпълнение с цел определяне на техническите формати за предаване на данните, посочени в член 8, параграф 4. Тези актове за изпълнение се приемат в съответствие с процедурата по разглеждане, посочена в член 21, параграф 2. При установяването на тези формати Комисията се подпомага, когато това се изисква, от ЕАОС.;“</w:t>
      </w:r>
    </w:p>
    <w:p w14:paraId="0C288F19" w14:textId="77777777" w:rsidR="00753EC5" w:rsidRPr="00921C9B" w:rsidRDefault="00753EC5">
      <w:pPr>
        <w:widowControl/>
        <w:rPr>
          <w:szCs w:val="24"/>
          <w:lang w:eastAsia="en-US"/>
        </w:rPr>
      </w:pPr>
      <w:r w:rsidRPr="00921C9B">
        <w:rPr>
          <w:szCs w:val="24"/>
          <w:lang w:eastAsia="en-US"/>
        </w:rPr>
        <w:br w:type="page"/>
      </w:r>
    </w:p>
    <w:p w14:paraId="130EDF82" w14:textId="36559457"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14)</w:t>
      </w:r>
      <w:r w:rsidRPr="00921C9B">
        <w:rPr>
          <w:szCs w:val="24"/>
          <w:lang w:eastAsia="en-US"/>
        </w:rPr>
        <w:tab/>
        <w:t>вмъква се следният член 20а:</w:t>
      </w:r>
    </w:p>
    <w:p w14:paraId="3CA12C75" w14:textId="77777777" w:rsidR="000D29CC" w:rsidRPr="00921C9B" w:rsidRDefault="000D29CC" w:rsidP="000D29CC">
      <w:pPr>
        <w:spacing w:before="120" w:after="120" w:line="360" w:lineRule="auto"/>
        <w:ind w:left="850"/>
        <w:rPr>
          <w:szCs w:val="24"/>
          <w:lang w:eastAsia="en-US"/>
        </w:rPr>
      </w:pPr>
      <w:r w:rsidRPr="00921C9B">
        <w:rPr>
          <w:szCs w:val="24"/>
          <w:lang w:eastAsia="en-US"/>
        </w:rPr>
        <w:t>„Член 20а</w:t>
      </w:r>
    </w:p>
    <w:p w14:paraId="0E33611E" w14:textId="77777777" w:rsidR="000D29CC" w:rsidRPr="00921C9B" w:rsidRDefault="000D29CC" w:rsidP="000D29CC">
      <w:pPr>
        <w:spacing w:before="120" w:after="120" w:line="360" w:lineRule="auto"/>
        <w:ind w:left="850"/>
        <w:rPr>
          <w:szCs w:val="24"/>
          <w:lang w:eastAsia="en-US"/>
        </w:rPr>
      </w:pPr>
      <w:r w:rsidRPr="00921C9B">
        <w:rPr>
          <w:szCs w:val="24"/>
          <w:lang w:eastAsia="en-US"/>
        </w:rPr>
        <w:t>Упражняване на делегираните правомощия</w:t>
      </w:r>
    </w:p>
    <w:p w14:paraId="642182DB"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w:t>
      </w:r>
      <w:r w:rsidRPr="00921C9B">
        <w:rPr>
          <w:szCs w:val="24"/>
          <w:lang w:eastAsia="en-US"/>
        </w:rPr>
        <w:tab/>
        <w:t>Правомощието да приема делегирани актове се предоставя на Комисията при спазване на предвидените в настоящия член условия.</w:t>
      </w:r>
    </w:p>
    <w:p w14:paraId="74A5E5EB"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w:t>
      </w:r>
      <w:r w:rsidRPr="00921C9B">
        <w:rPr>
          <w:szCs w:val="24"/>
          <w:lang w:eastAsia="en-US"/>
        </w:rPr>
        <w:tab/>
        <w:t>Правомощието да приема делегирани актове, посочено в член 20, параграф 1, се предоставя на Комисията за неопределен срок, считано от [СП: моля, въведете датата = датата на влизане в сила на настоящата директива].</w:t>
      </w:r>
    </w:p>
    <w:p w14:paraId="1B726AD3"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3.</w:t>
      </w:r>
      <w:r w:rsidRPr="00921C9B">
        <w:rPr>
          <w:szCs w:val="24"/>
          <w:lang w:eastAsia="en-US"/>
        </w:rPr>
        <w:tab/>
        <w:t xml:space="preserve">Делегирането на правомощия, посочено в член 20, параграф 1 може да бъде оттеглено по всяко време от Европейския парламент 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w:t>
      </w:r>
      <w:r w:rsidRPr="00921C9B">
        <w:rPr>
          <w:i/>
          <w:szCs w:val="24"/>
          <w:lang w:eastAsia="en-US"/>
        </w:rPr>
        <w:t>Официален вестник на Европейския съюз</w:t>
      </w:r>
      <w:r w:rsidRPr="00921C9B">
        <w:rPr>
          <w:szCs w:val="24"/>
          <w:lang w:eastAsia="en-US"/>
        </w:rPr>
        <w:t xml:space="preserve"> или на по-късна дата, посочена в решението. Решението за оттегляне не засяга валидността на делегираните актове, които вече са в сила.</w:t>
      </w:r>
    </w:p>
    <w:p w14:paraId="0E08C0EB" w14:textId="77777777" w:rsidR="00753EC5" w:rsidRPr="00921C9B" w:rsidRDefault="00753EC5">
      <w:pPr>
        <w:widowControl/>
        <w:rPr>
          <w:szCs w:val="24"/>
          <w:lang w:eastAsia="en-US"/>
        </w:rPr>
      </w:pPr>
      <w:r w:rsidRPr="00921C9B">
        <w:rPr>
          <w:szCs w:val="24"/>
          <w:lang w:eastAsia="en-US"/>
        </w:rPr>
        <w:br w:type="page"/>
      </w:r>
    </w:p>
    <w:p w14:paraId="0F78DD46" w14:textId="0B065C1F"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4.</w:t>
      </w:r>
      <w:r w:rsidRPr="00921C9B">
        <w:rPr>
          <w:szCs w:val="24"/>
          <w:lang w:eastAsia="en-US"/>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за по-добро законотворчество от 13 април 2016 г.</w:t>
      </w:r>
    </w:p>
    <w:p w14:paraId="2ACD77E2"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5.</w:t>
      </w:r>
      <w:r w:rsidRPr="00921C9B">
        <w:rPr>
          <w:szCs w:val="24"/>
          <w:lang w:eastAsia="en-US"/>
        </w:rPr>
        <w:tab/>
        <w:t>Веднага след като приеме делегиран акт, Комисията нотифицира акта едновременно на Европейския парламент и на Съвета.</w:t>
      </w:r>
    </w:p>
    <w:p w14:paraId="277CEE72"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6.</w:t>
      </w:r>
      <w:r w:rsidRPr="00921C9B">
        <w:rPr>
          <w:szCs w:val="24"/>
          <w:lang w:eastAsia="en-US"/>
        </w:rPr>
        <w:tab/>
        <w:t>Делегиран акт, приет съгласно член 20, параграф 1, влиза в сила само ако нито Европейският парламент, нито Съветът не са представили възражения в срок от два месеца след нотифицирането на акта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p>
    <w:p w14:paraId="55F275D8" w14:textId="77777777" w:rsidR="00753EC5" w:rsidRPr="00921C9B" w:rsidRDefault="00753EC5">
      <w:pPr>
        <w:widowControl/>
        <w:rPr>
          <w:szCs w:val="24"/>
          <w:lang w:eastAsia="en-US"/>
        </w:rPr>
      </w:pPr>
      <w:r w:rsidRPr="00921C9B">
        <w:rPr>
          <w:szCs w:val="24"/>
          <w:lang w:eastAsia="en-US"/>
        </w:rPr>
        <w:br w:type="page"/>
      </w:r>
    </w:p>
    <w:p w14:paraId="7ED460FB" w14:textId="00DDBEEF"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15)</w:t>
      </w:r>
      <w:r w:rsidRPr="00921C9B">
        <w:rPr>
          <w:szCs w:val="24"/>
          <w:lang w:eastAsia="en-US"/>
        </w:rPr>
        <w:tab/>
        <w:t>член 21 се заменя със следното:</w:t>
      </w:r>
    </w:p>
    <w:p w14:paraId="349967A8" w14:textId="77777777" w:rsidR="000D29CC" w:rsidRPr="00921C9B" w:rsidRDefault="000D29CC" w:rsidP="000D29CC">
      <w:pPr>
        <w:spacing w:before="120" w:after="120" w:line="360" w:lineRule="auto"/>
        <w:ind w:left="850"/>
        <w:rPr>
          <w:szCs w:val="24"/>
          <w:lang w:eastAsia="en-US"/>
        </w:rPr>
      </w:pPr>
      <w:r w:rsidRPr="00921C9B">
        <w:rPr>
          <w:szCs w:val="24"/>
          <w:lang w:eastAsia="en-US"/>
        </w:rPr>
        <w:t>„Член 21</w:t>
      </w:r>
    </w:p>
    <w:p w14:paraId="7C2A7636" w14:textId="77777777" w:rsidR="000D29CC" w:rsidRPr="00921C9B" w:rsidRDefault="000D29CC" w:rsidP="000D29CC">
      <w:pPr>
        <w:spacing w:before="120" w:after="120" w:line="360" w:lineRule="auto"/>
        <w:ind w:left="850"/>
        <w:rPr>
          <w:szCs w:val="24"/>
          <w:lang w:eastAsia="en-US"/>
        </w:rPr>
      </w:pPr>
      <w:r w:rsidRPr="00921C9B">
        <w:rPr>
          <w:szCs w:val="24"/>
          <w:lang w:eastAsia="en-US"/>
        </w:rPr>
        <w:t>Процедура на комитет</w:t>
      </w:r>
    </w:p>
    <w:p w14:paraId="04060230"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w:t>
      </w:r>
      <w:r w:rsidRPr="00921C9B">
        <w:rPr>
          <w:szCs w:val="24"/>
          <w:lang w:eastAsia="en-US"/>
        </w:rPr>
        <w:tab/>
        <w:t>Комисията се подпомага от комитет. Този комитет е комитет по смисъла на Регламент (ЕС) № 182/2011 на Европейския парламент и на Съвета*.</w:t>
      </w:r>
    </w:p>
    <w:p w14:paraId="758E959F"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w:t>
      </w:r>
      <w:r w:rsidRPr="00921C9B">
        <w:rPr>
          <w:szCs w:val="24"/>
          <w:lang w:eastAsia="en-US"/>
        </w:rPr>
        <w:tab/>
        <w:t>При позоваване на настоящия параграф се прилагат разпоредбите на член 5 от Регламент (ЕС) № 182/2011.</w:t>
      </w:r>
    </w:p>
    <w:p w14:paraId="7A0ED8B6" w14:textId="77777777" w:rsidR="000D29CC" w:rsidRPr="00921C9B" w:rsidRDefault="000D29CC" w:rsidP="000D29CC">
      <w:pPr>
        <w:spacing w:before="120" w:after="120" w:line="360" w:lineRule="auto"/>
        <w:ind w:left="1416"/>
        <w:rPr>
          <w:szCs w:val="24"/>
          <w:lang w:eastAsia="en-US"/>
        </w:rPr>
      </w:pPr>
      <w:r w:rsidRPr="00921C9B">
        <w:rPr>
          <w:szCs w:val="24"/>
          <w:lang w:eastAsia="en-US"/>
        </w:rPr>
        <w:t>Когато комитетът не даде становище, Комисията не приема проекта на акт за изпълнение и се прилага член 5, параграф 4, трета алинея от Регламент (ЕС) № 182/2011.</w:t>
      </w:r>
    </w:p>
    <w:p w14:paraId="269CCA4F" w14:textId="77777777" w:rsidR="000D29CC" w:rsidRPr="00921C9B" w:rsidRDefault="000D29CC" w:rsidP="000D29CC">
      <w:pPr>
        <w:spacing w:before="120" w:after="120" w:line="360" w:lineRule="auto"/>
        <w:ind w:left="1416"/>
        <w:rPr>
          <w:szCs w:val="24"/>
          <w:lang w:eastAsia="en-US"/>
        </w:rPr>
      </w:pPr>
      <w:r w:rsidRPr="00921C9B">
        <w:rPr>
          <w:szCs w:val="24"/>
          <w:lang w:eastAsia="en-US"/>
        </w:rPr>
        <w:t>*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p w14:paraId="78BA1BA4" w14:textId="77777777" w:rsidR="00753EC5" w:rsidRPr="00921C9B" w:rsidRDefault="00753EC5">
      <w:pPr>
        <w:widowControl/>
        <w:rPr>
          <w:szCs w:val="24"/>
          <w:lang w:eastAsia="en-US"/>
        </w:rPr>
      </w:pPr>
      <w:r w:rsidRPr="00921C9B">
        <w:rPr>
          <w:szCs w:val="24"/>
          <w:lang w:eastAsia="en-US"/>
        </w:rPr>
        <w:br w:type="page"/>
      </w:r>
    </w:p>
    <w:p w14:paraId="680A0CD7" w14:textId="519FC0F3"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16)</w:t>
      </w:r>
      <w:r w:rsidRPr="00921C9B">
        <w:rPr>
          <w:szCs w:val="24"/>
          <w:lang w:eastAsia="en-US"/>
        </w:rPr>
        <w:tab/>
        <w:t>в член 22 параграф 4 се заменя със следното:</w:t>
      </w:r>
    </w:p>
    <w:p w14:paraId="649B93A2"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„4.</w:t>
      </w:r>
      <w:r w:rsidRPr="00921C9B">
        <w:rPr>
          <w:szCs w:val="24"/>
          <w:lang w:eastAsia="en-US"/>
        </w:rPr>
        <w:tab/>
        <w:t>Екологичните цели по член 4, стандартите за качество на околната среда, определени в част А от приложение I към Директива 2008/105/ЕО, и праговете за специфични замърсители на речните басейни, установени съгласно членове 8 и 8г от посочената директива, се считат за стандарти за качество на околната среда за целите на Директива 2010/75/ЕС.;“</w:t>
      </w:r>
    </w:p>
    <w:p w14:paraId="3F7B8D89" w14:textId="0966E682" w:rsidR="000D29CC" w:rsidRPr="00921C9B" w:rsidRDefault="000D29CC" w:rsidP="000D29CC">
      <w:pPr>
        <w:spacing w:before="120" w:after="120" w:line="360" w:lineRule="auto"/>
        <w:ind w:left="850" w:hanging="850"/>
        <w:rPr>
          <w:szCs w:val="24"/>
          <w:lang w:eastAsia="en-US"/>
        </w:rPr>
      </w:pPr>
      <w:r w:rsidRPr="00921C9B">
        <w:rPr>
          <w:szCs w:val="24"/>
          <w:lang w:eastAsia="en-US"/>
        </w:rPr>
        <w:t>17)</w:t>
      </w:r>
      <w:r w:rsidRPr="00921C9B">
        <w:rPr>
          <w:szCs w:val="24"/>
          <w:lang w:eastAsia="en-US"/>
        </w:rPr>
        <w:tab/>
        <w:t>приложение V се изменя в съответствие с приложение I към настоящата директива;</w:t>
      </w:r>
    </w:p>
    <w:p w14:paraId="01F198E4" w14:textId="4BA5C385" w:rsidR="000D29CC" w:rsidRPr="00921C9B" w:rsidRDefault="000D29CC" w:rsidP="000D29CC">
      <w:pPr>
        <w:spacing w:before="120" w:after="120" w:line="360" w:lineRule="auto"/>
        <w:ind w:left="850" w:hanging="850"/>
        <w:rPr>
          <w:szCs w:val="24"/>
          <w:lang w:eastAsia="en-US"/>
        </w:rPr>
      </w:pPr>
      <w:r w:rsidRPr="00921C9B">
        <w:rPr>
          <w:szCs w:val="24"/>
          <w:lang w:eastAsia="en-US"/>
        </w:rPr>
        <w:t>18)</w:t>
      </w:r>
      <w:r w:rsidRPr="00921C9B">
        <w:rPr>
          <w:szCs w:val="24"/>
          <w:lang w:eastAsia="en-US"/>
        </w:rPr>
        <w:tab/>
        <w:t>в част А от приложение ІІІ точка 7.7 се заменя със следното:</w:t>
      </w:r>
    </w:p>
    <w:p w14:paraId="2C830752"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„7.7.</w:t>
      </w:r>
      <w:r w:rsidRPr="00921C9B">
        <w:rPr>
          <w:szCs w:val="24"/>
          <w:lang w:eastAsia="en-US"/>
        </w:rPr>
        <w:tab/>
        <w:t>обобщение на мерките, предприети за намаляване на емисиите на приоритетни вещества и за поетапно прекратяване на емисиите на приоритетни опасни вещества;;“</w:t>
      </w:r>
    </w:p>
    <w:p w14:paraId="39BC99E0" w14:textId="77777777" w:rsidR="000D29CC" w:rsidRPr="00921C9B" w:rsidRDefault="000D29CC" w:rsidP="000D29CC">
      <w:pPr>
        <w:spacing w:before="120" w:after="120" w:line="360" w:lineRule="auto"/>
        <w:ind w:left="850" w:hanging="850"/>
        <w:rPr>
          <w:szCs w:val="24"/>
          <w:lang w:eastAsia="en-US"/>
        </w:rPr>
      </w:pPr>
      <w:r w:rsidRPr="00921C9B">
        <w:rPr>
          <w:b/>
          <w:i/>
          <w:szCs w:val="24"/>
          <w:lang w:eastAsia="en-US"/>
        </w:rPr>
        <w:t>18a)</w:t>
      </w:r>
      <w:r w:rsidRPr="00921C9B">
        <w:rPr>
          <w:szCs w:val="24"/>
          <w:lang w:eastAsia="en-US"/>
        </w:rPr>
        <w:tab/>
      </w:r>
      <w:r w:rsidRPr="00921C9B">
        <w:rPr>
          <w:b/>
          <w:i/>
          <w:szCs w:val="24"/>
          <w:lang w:eastAsia="en-US"/>
        </w:rPr>
        <w:t>В приложение VII, част А се добавя следната точка:</w:t>
      </w:r>
    </w:p>
    <w:p w14:paraId="136802FD" w14:textId="6EB0A1B5" w:rsidR="000D29CC" w:rsidRPr="00921C9B" w:rsidRDefault="000D29CC" w:rsidP="000D29CC">
      <w:pPr>
        <w:spacing w:before="120" w:after="120" w:line="360" w:lineRule="auto"/>
        <w:ind w:left="1416" w:hanging="566"/>
        <w:rPr>
          <w:b/>
          <w:szCs w:val="24"/>
          <w:lang w:eastAsia="en-US"/>
        </w:rPr>
      </w:pPr>
      <w:r w:rsidRPr="00921C9B">
        <w:rPr>
          <w:szCs w:val="24"/>
          <w:lang w:eastAsia="en-US"/>
        </w:rPr>
        <w:t>„</w:t>
      </w:r>
      <w:r w:rsidRPr="00921C9B">
        <w:rPr>
          <w:b/>
          <w:i/>
          <w:szCs w:val="24"/>
          <w:lang w:eastAsia="en-US"/>
        </w:rPr>
        <w:t>7.7а</w:t>
      </w:r>
      <w:r w:rsidRPr="00921C9B">
        <w:rPr>
          <w:szCs w:val="24"/>
          <w:lang w:eastAsia="en-US"/>
        </w:rPr>
        <w:tab/>
      </w:r>
      <w:r w:rsidRPr="00921C9B">
        <w:rPr>
          <w:b/>
          <w:i/>
          <w:szCs w:val="24"/>
          <w:lang w:eastAsia="en-US"/>
        </w:rPr>
        <w:t>обобщение на мерките, предприети за цифровизация на мониторинг</w:t>
      </w:r>
      <w:r w:rsidR="00D24A73" w:rsidRPr="00921C9B">
        <w:rPr>
          <w:b/>
          <w:i/>
          <w:szCs w:val="24"/>
          <w:lang w:eastAsia="en-US"/>
        </w:rPr>
        <w:t>овите аспекти на водния сектор;</w:t>
      </w:r>
      <w:r w:rsidRPr="00921C9B">
        <w:rPr>
          <w:b/>
          <w:i/>
          <w:szCs w:val="24"/>
          <w:lang w:eastAsia="en-US"/>
        </w:rPr>
        <w:t>”</w:t>
      </w:r>
      <w:r w:rsidR="00D24A73" w:rsidRPr="00921C9B">
        <w:rPr>
          <w:b/>
          <w:szCs w:val="24"/>
          <w:lang w:eastAsia="en-US"/>
        </w:rPr>
        <w:t xml:space="preserve"> [Изм. 77]</w:t>
      </w:r>
    </w:p>
    <w:p w14:paraId="18476ADF" w14:textId="09389684" w:rsidR="000D29CC" w:rsidRPr="00921C9B" w:rsidRDefault="000D29CC" w:rsidP="000D29CC">
      <w:pPr>
        <w:spacing w:before="120" w:after="120" w:line="360" w:lineRule="auto"/>
        <w:ind w:left="850" w:hanging="850"/>
        <w:rPr>
          <w:szCs w:val="24"/>
          <w:lang w:eastAsia="en-US"/>
        </w:rPr>
      </w:pPr>
      <w:r w:rsidRPr="00921C9B">
        <w:rPr>
          <w:szCs w:val="24"/>
          <w:lang w:eastAsia="en-US"/>
        </w:rPr>
        <w:t>19)</w:t>
      </w:r>
      <w:r w:rsidRPr="00921C9B">
        <w:rPr>
          <w:szCs w:val="24"/>
          <w:lang w:eastAsia="en-US"/>
        </w:rPr>
        <w:tab/>
        <w:t>приложение VIII се изменя в съответствие с приложение II към настоящата директива;</w:t>
      </w:r>
    </w:p>
    <w:p w14:paraId="06DBA104" w14:textId="11D58D64" w:rsidR="000D29CC" w:rsidRPr="00921C9B" w:rsidRDefault="000D29CC" w:rsidP="000D29CC">
      <w:pPr>
        <w:spacing w:before="120" w:after="120" w:line="360" w:lineRule="auto"/>
        <w:ind w:left="850" w:hanging="850"/>
        <w:rPr>
          <w:b/>
          <w:szCs w:val="24"/>
          <w:lang w:eastAsia="en-US"/>
        </w:rPr>
      </w:pPr>
      <w:r w:rsidRPr="00921C9B">
        <w:rPr>
          <w:szCs w:val="24"/>
          <w:lang w:eastAsia="en-US"/>
        </w:rPr>
        <w:t>20)</w:t>
      </w:r>
      <w:r w:rsidRPr="00921C9B">
        <w:rPr>
          <w:szCs w:val="24"/>
          <w:lang w:eastAsia="en-US"/>
        </w:rPr>
        <w:tab/>
      </w:r>
      <w:r w:rsidRPr="00921C9B">
        <w:rPr>
          <w:strike/>
          <w:szCs w:val="24"/>
          <w:lang w:eastAsia="en-US"/>
        </w:rPr>
        <w:t>приложение X се заличава</w:t>
      </w:r>
      <w:r w:rsidRPr="00921C9B">
        <w:rPr>
          <w:b/>
          <w:i/>
          <w:szCs w:val="24"/>
          <w:lang w:eastAsia="en-US"/>
        </w:rPr>
        <w:t>Приложения IX и X се заличават</w:t>
      </w:r>
      <w:r w:rsidRPr="00921C9B">
        <w:rPr>
          <w:szCs w:val="24"/>
          <w:lang w:eastAsia="en-US"/>
        </w:rPr>
        <w:t>.</w:t>
      </w:r>
      <w:r w:rsidR="00D24A73" w:rsidRPr="00921C9B">
        <w:rPr>
          <w:b/>
          <w:szCs w:val="24"/>
          <w:lang w:eastAsia="en-US"/>
        </w:rPr>
        <w:t xml:space="preserve"> [Изм. 78]</w:t>
      </w:r>
    </w:p>
    <w:p w14:paraId="5FABD018" w14:textId="77777777" w:rsidR="00753EC5" w:rsidRPr="00921C9B" w:rsidRDefault="00753EC5">
      <w:pPr>
        <w:widowControl/>
        <w:rPr>
          <w:szCs w:val="24"/>
          <w:lang w:eastAsia="en-US"/>
        </w:rPr>
      </w:pPr>
      <w:r w:rsidRPr="00921C9B">
        <w:rPr>
          <w:szCs w:val="24"/>
          <w:lang w:eastAsia="en-US"/>
        </w:rPr>
        <w:br w:type="page"/>
      </w:r>
    </w:p>
    <w:p w14:paraId="32BCCC2E" w14:textId="16C35BF7" w:rsidR="000D29CC" w:rsidRPr="00921C9B" w:rsidRDefault="000D29CC" w:rsidP="000D29CC">
      <w:pPr>
        <w:spacing w:before="120" w:after="120" w:line="360" w:lineRule="auto"/>
        <w:jc w:val="center"/>
        <w:rPr>
          <w:szCs w:val="24"/>
          <w:lang w:eastAsia="en-US"/>
        </w:rPr>
      </w:pPr>
      <w:r w:rsidRPr="00921C9B">
        <w:rPr>
          <w:szCs w:val="24"/>
          <w:lang w:eastAsia="en-US"/>
        </w:rPr>
        <w:lastRenderedPageBreak/>
        <w:t>Член 2</w:t>
      </w:r>
      <w:r w:rsidRPr="00921C9B">
        <w:rPr>
          <w:szCs w:val="24"/>
          <w:lang w:eastAsia="en-US"/>
        </w:rPr>
        <w:br/>
        <w:t>Изменения на Директива 2006/118/ЕО</w:t>
      </w:r>
    </w:p>
    <w:p w14:paraId="0FF1BD42" w14:textId="77777777" w:rsidR="000D29CC" w:rsidRPr="00921C9B" w:rsidRDefault="000D29CC" w:rsidP="000D29CC">
      <w:pPr>
        <w:spacing w:before="120" w:after="120" w:line="360" w:lineRule="auto"/>
        <w:rPr>
          <w:szCs w:val="24"/>
          <w:lang w:eastAsia="en-US"/>
        </w:rPr>
      </w:pPr>
      <w:r w:rsidRPr="00921C9B">
        <w:rPr>
          <w:szCs w:val="24"/>
          <w:lang w:eastAsia="en-US"/>
        </w:rPr>
        <w:t>Директива 2006/118/ЕО се изменя, както следва:</w:t>
      </w:r>
    </w:p>
    <w:p w14:paraId="47F63776" w14:textId="489DE189" w:rsidR="000D29CC" w:rsidRPr="00921C9B" w:rsidRDefault="000D29CC" w:rsidP="000D29CC">
      <w:pPr>
        <w:spacing w:before="120" w:after="120" w:line="360" w:lineRule="auto"/>
        <w:ind w:left="850" w:hanging="850"/>
        <w:rPr>
          <w:szCs w:val="24"/>
          <w:lang w:eastAsia="en-US"/>
        </w:rPr>
      </w:pPr>
      <w:r w:rsidRPr="00921C9B">
        <w:rPr>
          <w:szCs w:val="24"/>
          <w:lang w:eastAsia="en-US"/>
        </w:rPr>
        <w:t>1)</w:t>
      </w:r>
      <w:r w:rsidRPr="00921C9B">
        <w:rPr>
          <w:szCs w:val="24"/>
          <w:lang w:eastAsia="en-US"/>
        </w:rPr>
        <w:tab/>
        <w:t>заглавието се заменя със следното:</w:t>
      </w:r>
    </w:p>
    <w:p w14:paraId="4BBA8355" w14:textId="77777777" w:rsidR="000D29CC" w:rsidRPr="00921C9B" w:rsidRDefault="000D29CC" w:rsidP="000D29CC">
      <w:pPr>
        <w:spacing w:before="120" w:after="120" w:line="360" w:lineRule="auto"/>
        <w:ind w:left="850"/>
        <w:rPr>
          <w:szCs w:val="24"/>
          <w:lang w:eastAsia="en-US"/>
        </w:rPr>
      </w:pPr>
      <w:r w:rsidRPr="00921C9B">
        <w:rPr>
          <w:szCs w:val="24"/>
          <w:lang w:eastAsia="en-US"/>
        </w:rPr>
        <w:t>„Директива 2006/118/ЕО на Европейския парламент и на Съвета от 12 декември 2006 година за предотвратяване и контрол на замърсяването на подземните води;“</w:t>
      </w:r>
    </w:p>
    <w:p w14:paraId="4D4D2912" w14:textId="6BE2250D" w:rsidR="000D29CC" w:rsidRPr="00921C9B" w:rsidRDefault="000D29CC" w:rsidP="000D29CC">
      <w:pPr>
        <w:spacing w:before="120" w:after="120" w:line="360" w:lineRule="auto"/>
        <w:ind w:left="850" w:hanging="850"/>
        <w:rPr>
          <w:szCs w:val="24"/>
          <w:lang w:eastAsia="en-US"/>
        </w:rPr>
      </w:pPr>
      <w:r w:rsidRPr="00921C9B">
        <w:rPr>
          <w:szCs w:val="24"/>
          <w:lang w:eastAsia="en-US"/>
        </w:rPr>
        <w:t>2)</w:t>
      </w:r>
      <w:r w:rsidRPr="00921C9B">
        <w:rPr>
          <w:szCs w:val="24"/>
          <w:lang w:eastAsia="en-US"/>
        </w:rPr>
        <w:tab/>
        <w:t>в член 1 параграф 1 се заменя със следното:</w:t>
      </w:r>
    </w:p>
    <w:p w14:paraId="242D8589" w14:textId="29C869CB" w:rsidR="000D29CC" w:rsidRPr="00921C9B" w:rsidRDefault="000D29CC" w:rsidP="000D29CC">
      <w:pPr>
        <w:spacing w:before="120" w:after="120" w:line="360" w:lineRule="auto"/>
        <w:ind w:left="1416" w:hanging="566"/>
        <w:rPr>
          <w:b/>
          <w:szCs w:val="24"/>
          <w:lang w:eastAsia="en-US"/>
        </w:rPr>
      </w:pPr>
      <w:r w:rsidRPr="00921C9B">
        <w:rPr>
          <w:szCs w:val="24"/>
          <w:lang w:eastAsia="en-US"/>
        </w:rPr>
        <w:t>„1.</w:t>
      </w:r>
      <w:r w:rsidRPr="00921C9B">
        <w:rPr>
          <w:szCs w:val="24"/>
          <w:lang w:eastAsia="en-US"/>
        </w:rPr>
        <w:tab/>
        <w:t xml:space="preserve">С настоящата директива се въвеждат специфични мерки за предотвратяване и контрол на замърсяването на подземните води за постигане на екологичните цели, посочени в член 4, параграф 1, буква б) от Директива 2000/60/ЕО. </w:t>
      </w:r>
      <w:r w:rsidRPr="00921C9B">
        <w:rPr>
          <w:b/>
          <w:i/>
          <w:szCs w:val="24"/>
          <w:lang w:eastAsia="en-US"/>
        </w:rPr>
        <w:t xml:space="preserve">Ограниченията и другите мерки за контрол при източника се прилагат приоритетно, без да се засяга важността на мерките в крайната фаза, когато е целесъобразно. </w:t>
      </w:r>
      <w:r w:rsidRPr="00921C9B">
        <w:rPr>
          <w:szCs w:val="24"/>
          <w:lang w:eastAsia="en-US"/>
        </w:rPr>
        <w:t>Тези мерки включват следното:</w:t>
      </w:r>
      <w:r w:rsidR="00D24A73" w:rsidRPr="00921C9B">
        <w:rPr>
          <w:b/>
          <w:szCs w:val="24"/>
          <w:lang w:eastAsia="en-US"/>
        </w:rPr>
        <w:t xml:space="preserve"> [Изм. 79]</w:t>
      </w:r>
    </w:p>
    <w:p w14:paraId="0168A520"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а)</w:t>
      </w:r>
      <w:r w:rsidRPr="00921C9B">
        <w:rPr>
          <w:szCs w:val="24"/>
          <w:lang w:eastAsia="en-US"/>
        </w:rPr>
        <w:tab/>
        <w:t>критерии за оценка на доброто химично състояние на подземните води;</w:t>
      </w:r>
    </w:p>
    <w:p w14:paraId="0BE1E70F" w14:textId="77777777" w:rsidR="00753EC5" w:rsidRPr="00921C9B" w:rsidRDefault="00753EC5">
      <w:pPr>
        <w:widowControl/>
        <w:rPr>
          <w:szCs w:val="24"/>
          <w:lang w:eastAsia="en-US"/>
        </w:rPr>
      </w:pPr>
      <w:r w:rsidRPr="00921C9B">
        <w:rPr>
          <w:szCs w:val="24"/>
          <w:lang w:eastAsia="en-US"/>
        </w:rPr>
        <w:br w:type="page"/>
      </w:r>
    </w:p>
    <w:p w14:paraId="269373A0" w14:textId="5D5B1FDA" w:rsidR="000D29CC" w:rsidRPr="00921C9B" w:rsidRDefault="000D29CC" w:rsidP="000D29CC">
      <w:pPr>
        <w:spacing w:before="120" w:after="120" w:line="360" w:lineRule="auto"/>
        <w:ind w:left="1982" w:hanging="566"/>
        <w:rPr>
          <w:szCs w:val="24"/>
          <w:lang w:eastAsia="en-US"/>
        </w:rPr>
      </w:pPr>
      <w:r w:rsidRPr="00921C9B">
        <w:rPr>
          <w:szCs w:val="24"/>
          <w:lang w:eastAsia="en-US"/>
        </w:rPr>
        <w:lastRenderedPageBreak/>
        <w:t>б)</w:t>
      </w:r>
      <w:r w:rsidRPr="00921C9B">
        <w:rPr>
          <w:szCs w:val="24"/>
          <w:lang w:eastAsia="en-US"/>
        </w:rPr>
        <w:tab/>
        <w:t>критерии за определянето и обръщането на значителни и устойчиви възходящи тенденции и за определяне на началните точки за обръщане на тенденциите.;</w:t>
      </w:r>
    </w:p>
    <w:p w14:paraId="01C7810B" w14:textId="4884D74C" w:rsidR="000D29CC" w:rsidRPr="00921C9B" w:rsidRDefault="000D29CC" w:rsidP="000D29CC">
      <w:pPr>
        <w:spacing w:before="120" w:after="120" w:line="360" w:lineRule="auto"/>
        <w:ind w:left="1982" w:hanging="566"/>
        <w:rPr>
          <w:b/>
          <w:szCs w:val="24"/>
          <w:lang w:eastAsia="en-US"/>
        </w:rPr>
      </w:pPr>
      <w:r w:rsidRPr="00921C9B">
        <w:rPr>
          <w:b/>
          <w:i/>
          <w:szCs w:val="24"/>
          <w:lang w:eastAsia="en-US"/>
        </w:rPr>
        <w:t>бa)</w:t>
      </w:r>
      <w:r w:rsidRPr="00921C9B">
        <w:rPr>
          <w:szCs w:val="24"/>
          <w:lang w:eastAsia="en-US"/>
        </w:rPr>
        <w:tab/>
      </w:r>
      <w:r w:rsidRPr="00921C9B">
        <w:rPr>
          <w:b/>
          <w:i/>
          <w:szCs w:val="24"/>
          <w:lang w:eastAsia="en-US"/>
        </w:rPr>
        <w:t>критерии за оценка на доброто екологично състояние на подземните води.</w:t>
      </w:r>
      <w:r w:rsidRPr="00921C9B">
        <w:rPr>
          <w:szCs w:val="24"/>
          <w:lang w:eastAsia="en-US"/>
        </w:rPr>
        <w:t>“</w:t>
      </w:r>
      <w:r w:rsidR="00D24A73" w:rsidRPr="00921C9B">
        <w:rPr>
          <w:b/>
          <w:szCs w:val="24"/>
          <w:lang w:eastAsia="en-US"/>
        </w:rPr>
        <w:t xml:space="preserve"> [Изм. 80]</w:t>
      </w:r>
    </w:p>
    <w:p w14:paraId="5DAE3FA6" w14:textId="2B44578D" w:rsidR="000D29CC" w:rsidRPr="00921C9B" w:rsidRDefault="000D29CC" w:rsidP="000D29CC">
      <w:pPr>
        <w:spacing w:before="120" w:after="120" w:line="360" w:lineRule="auto"/>
        <w:ind w:left="850" w:hanging="850"/>
        <w:rPr>
          <w:szCs w:val="24"/>
          <w:lang w:eastAsia="en-US"/>
        </w:rPr>
      </w:pPr>
      <w:r w:rsidRPr="00921C9B">
        <w:rPr>
          <w:szCs w:val="24"/>
          <w:lang w:eastAsia="en-US"/>
        </w:rPr>
        <w:t>3)</w:t>
      </w:r>
      <w:r w:rsidRPr="00921C9B">
        <w:rPr>
          <w:szCs w:val="24"/>
          <w:lang w:eastAsia="en-US"/>
        </w:rPr>
        <w:tab/>
        <w:t>в член 2 точка 2) се заменя със следното:</w:t>
      </w:r>
    </w:p>
    <w:p w14:paraId="00CCB1CB"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w:t>
      </w:r>
      <w:r w:rsidRPr="00921C9B">
        <w:rPr>
          <w:szCs w:val="24"/>
          <w:lang w:eastAsia="en-US"/>
        </w:rPr>
        <w:tab/>
        <w:t>„прагова стойност“ означава стандарт за качество на подземните води, установен от държавите членки в съответствие с член 3, параграф 1, буква б) или на равнището на Съюза в съответствие с член 8, параграф 3;;“</w:t>
      </w:r>
    </w:p>
    <w:p w14:paraId="47CD6973" w14:textId="77DF86FF" w:rsidR="000D29CC" w:rsidRPr="00921C9B" w:rsidRDefault="000D29CC" w:rsidP="000D29CC">
      <w:pPr>
        <w:spacing w:before="120" w:after="120" w:line="360" w:lineRule="auto"/>
        <w:ind w:left="850" w:hanging="850"/>
        <w:rPr>
          <w:szCs w:val="24"/>
          <w:lang w:eastAsia="en-US"/>
        </w:rPr>
      </w:pPr>
      <w:r w:rsidRPr="00921C9B">
        <w:rPr>
          <w:szCs w:val="24"/>
          <w:lang w:eastAsia="en-US"/>
        </w:rPr>
        <w:t>4)</w:t>
      </w:r>
      <w:r w:rsidRPr="00921C9B">
        <w:rPr>
          <w:szCs w:val="24"/>
          <w:lang w:eastAsia="en-US"/>
        </w:rPr>
        <w:tab/>
        <w:t>член 3 се изменя, както следва:</w:t>
      </w:r>
    </w:p>
    <w:p w14:paraId="2E533D2B"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а)</w:t>
      </w:r>
      <w:r w:rsidRPr="00921C9B">
        <w:rPr>
          <w:szCs w:val="24"/>
          <w:lang w:eastAsia="en-US"/>
        </w:rPr>
        <w:tab/>
        <w:t>в параграф 1, първа алинея се добавя следната буква в):</w:t>
      </w:r>
    </w:p>
    <w:p w14:paraId="4A5E5823" w14:textId="4A86CB0F" w:rsidR="000D29CC" w:rsidRPr="00921C9B" w:rsidRDefault="000D29CC" w:rsidP="000D29CC">
      <w:pPr>
        <w:spacing w:before="120" w:after="120" w:line="360" w:lineRule="auto"/>
        <w:ind w:left="1982" w:hanging="566"/>
        <w:rPr>
          <w:szCs w:val="24"/>
          <w:lang w:eastAsia="en-US"/>
        </w:rPr>
      </w:pPr>
      <w:r w:rsidRPr="00921C9B">
        <w:rPr>
          <w:szCs w:val="24"/>
          <w:lang w:eastAsia="en-US"/>
        </w:rPr>
        <w:t>„в)</w:t>
      </w:r>
      <w:r w:rsidRPr="00921C9B">
        <w:rPr>
          <w:szCs w:val="24"/>
          <w:lang w:eastAsia="en-US"/>
        </w:rPr>
        <w:tab/>
        <w:t>прагови стойности, установени на равнището на Съюза в съответствие с член 8, параграф 3 и посочени в част Г от приложен</w:t>
      </w:r>
      <w:r w:rsidR="00D24A73" w:rsidRPr="00921C9B">
        <w:rPr>
          <w:szCs w:val="24"/>
          <w:lang w:eastAsia="en-US"/>
        </w:rPr>
        <w:t>ие II към настоящата директива.</w:t>
      </w:r>
      <w:r w:rsidRPr="00921C9B">
        <w:rPr>
          <w:szCs w:val="24"/>
          <w:lang w:eastAsia="en-US"/>
        </w:rPr>
        <w:t>“</w:t>
      </w:r>
      <w:r w:rsidR="00D24A73" w:rsidRPr="00921C9B">
        <w:rPr>
          <w:szCs w:val="24"/>
          <w:lang w:eastAsia="en-US"/>
        </w:rPr>
        <w:t>;</w:t>
      </w:r>
    </w:p>
    <w:p w14:paraId="1C5F7FAD" w14:textId="77777777" w:rsidR="00753EC5" w:rsidRPr="00921C9B" w:rsidRDefault="00753EC5">
      <w:pPr>
        <w:widowControl/>
        <w:rPr>
          <w:b/>
          <w:i/>
          <w:szCs w:val="24"/>
          <w:lang w:eastAsia="en-US"/>
        </w:rPr>
      </w:pPr>
      <w:r w:rsidRPr="00921C9B">
        <w:rPr>
          <w:b/>
          <w:i/>
          <w:szCs w:val="24"/>
          <w:lang w:eastAsia="en-US"/>
        </w:rPr>
        <w:br w:type="page"/>
      </w:r>
    </w:p>
    <w:p w14:paraId="2068156D" w14:textId="7469DD66" w:rsidR="000D29CC" w:rsidRPr="00921C9B" w:rsidRDefault="000D29CC" w:rsidP="000D29CC">
      <w:pPr>
        <w:spacing w:before="120" w:after="120" w:line="360" w:lineRule="auto"/>
        <w:ind w:left="1416" w:hanging="566"/>
        <w:rPr>
          <w:szCs w:val="24"/>
          <w:lang w:eastAsia="en-US"/>
        </w:rPr>
      </w:pPr>
      <w:r w:rsidRPr="00921C9B">
        <w:rPr>
          <w:b/>
          <w:i/>
          <w:szCs w:val="24"/>
          <w:lang w:eastAsia="en-US"/>
        </w:rPr>
        <w:lastRenderedPageBreak/>
        <w:t>аa)</w:t>
      </w:r>
      <w:r w:rsidRPr="00921C9B">
        <w:rPr>
          <w:szCs w:val="24"/>
          <w:lang w:eastAsia="en-US"/>
        </w:rPr>
        <w:tab/>
      </w:r>
      <w:r w:rsidRPr="00921C9B">
        <w:rPr>
          <w:b/>
          <w:i/>
          <w:szCs w:val="24"/>
          <w:lang w:eastAsia="en-US"/>
        </w:rPr>
        <w:t>в параграф 1 се добавя следната алинея:</w:t>
      </w:r>
    </w:p>
    <w:p w14:paraId="540AC0DA" w14:textId="436F69D3" w:rsidR="000D29CC" w:rsidRPr="00921C9B" w:rsidRDefault="000D29CC" w:rsidP="000D29CC">
      <w:pPr>
        <w:spacing w:before="120" w:after="120" w:line="360" w:lineRule="auto"/>
        <w:ind w:left="1416"/>
        <w:rPr>
          <w:b/>
          <w:szCs w:val="24"/>
          <w:lang w:eastAsia="en-US"/>
        </w:rPr>
      </w:pPr>
      <w:r w:rsidRPr="00921C9B">
        <w:rPr>
          <w:szCs w:val="24"/>
          <w:lang w:eastAsia="en-US"/>
        </w:rPr>
        <w:t>„</w:t>
      </w:r>
      <w:r w:rsidRPr="00921C9B">
        <w:rPr>
          <w:b/>
          <w:i/>
          <w:szCs w:val="24"/>
          <w:lang w:eastAsia="en-US"/>
        </w:rPr>
        <w:t>Праговите стойности, приложими по отношение на подземните води, са 10 пъти по-ниски от съответните СКОС за повърхностните води, освен в случаите, в които действителният риск за екосистемите на подземните води може да бъде установен и в които може да е по-подходящо праговите стойности за подземните води да бъдат установени на различно ниво.</w:t>
      </w:r>
      <w:r w:rsidRPr="00921C9B">
        <w:rPr>
          <w:szCs w:val="24"/>
          <w:lang w:eastAsia="en-US"/>
        </w:rPr>
        <w:t>“</w:t>
      </w:r>
      <w:r w:rsidR="00D24A73" w:rsidRPr="00921C9B">
        <w:rPr>
          <w:szCs w:val="24"/>
          <w:lang w:eastAsia="en-US"/>
        </w:rPr>
        <w:t>;</w:t>
      </w:r>
      <w:r w:rsidR="00D24A73" w:rsidRPr="00921C9B">
        <w:rPr>
          <w:b/>
          <w:szCs w:val="24"/>
          <w:lang w:eastAsia="en-US"/>
        </w:rPr>
        <w:t xml:space="preserve"> [Изм. 81]</w:t>
      </w:r>
    </w:p>
    <w:p w14:paraId="3B954542"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б)</w:t>
      </w:r>
      <w:r w:rsidRPr="00921C9B">
        <w:rPr>
          <w:szCs w:val="24"/>
          <w:lang w:eastAsia="en-US"/>
        </w:rPr>
        <w:tab/>
        <w:t>параграф 2 се заменя със следното:</w:t>
      </w:r>
    </w:p>
    <w:p w14:paraId="688EDB8D" w14:textId="3028DC43" w:rsidR="000D29CC" w:rsidRPr="00921C9B" w:rsidRDefault="000D29CC" w:rsidP="000D29CC">
      <w:pPr>
        <w:spacing w:before="120" w:after="120" w:line="360" w:lineRule="auto"/>
        <w:ind w:left="1982" w:hanging="566"/>
        <w:rPr>
          <w:szCs w:val="24"/>
          <w:lang w:eastAsia="en-US"/>
        </w:rPr>
      </w:pPr>
      <w:r w:rsidRPr="00921C9B">
        <w:rPr>
          <w:szCs w:val="24"/>
          <w:lang w:eastAsia="en-US"/>
        </w:rPr>
        <w:t>„2.</w:t>
      </w:r>
      <w:r w:rsidRPr="00921C9B">
        <w:rPr>
          <w:szCs w:val="24"/>
          <w:lang w:eastAsia="en-US"/>
        </w:rPr>
        <w:tab/>
        <w:t>Праговите стойности, посочени в параграф 1, буква в), могат да бъдат установени на национално равнище, на равнище район на речен басейн или участък от международен район на речен басейн, намиращ се на територията на държава членка, или на равнище едно или група подземни водни тела.;“</w:t>
      </w:r>
      <w:r w:rsidR="00D24A73" w:rsidRPr="00921C9B">
        <w:rPr>
          <w:szCs w:val="24"/>
          <w:lang w:eastAsia="en-US"/>
        </w:rPr>
        <w:t>;</w:t>
      </w:r>
    </w:p>
    <w:p w14:paraId="40E367AE" w14:textId="77777777" w:rsidR="00753EC5" w:rsidRPr="00921C9B" w:rsidRDefault="00753EC5">
      <w:pPr>
        <w:widowControl/>
        <w:rPr>
          <w:szCs w:val="24"/>
          <w:lang w:eastAsia="en-US"/>
        </w:rPr>
      </w:pPr>
      <w:r w:rsidRPr="00921C9B">
        <w:rPr>
          <w:szCs w:val="24"/>
          <w:lang w:eastAsia="en-US"/>
        </w:rPr>
        <w:br w:type="page"/>
      </w:r>
    </w:p>
    <w:p w14:paraId="4B89A39D" w14:textId="16B1DFCD"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в)</w:t>
      </w:r>
      <w:r w:rsidRPr="00921C9B">
        <w:rPr>
          <w:szCs w:val="24"/>
          <w:lang w:eastAsia="en-US"/>
        </w:rPr>
        <w:tab/>
        <w:t>параграф 5 се заменя със следното:</w:t>
      </w:r>
    </w:p>
    <w:p w14:paraId="7A568D62"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„5.</w:t>
      </w:r>
      <w:r w:rsidRPr="00921C9B">
        <w:rPr>
          <w:szCs w:val="24"/>
          <w:lang w:eastAsia="en-US"/>
        </w:rPr>
        <w:tab/>
        <w:t>Всички прагови стойности, посочени в параграф 1, се публикуват в плановете за управление на речните басейни, изготвяни в съответствие с член 13 от Директива 2000/60/ЕО, заедно с обобщение на информацията, посочена в част В от приложение II към настоящата директива.</w:t>
      </w:r>
    </w:p>
    <w:p w14:paraId="657AD027" w14:textId="77777777" w:rsidR="000D29CC" w:rsidRPr="00921C9B" w:rsidRDefault="000D29CC" w:rsidP="000D29CC">
      <w:pPr>
        <w:spacing w:before="120" w:after="120" w:line="360" w:lineRule="auto"/>
        <w:ind w:left="1982"/>
        <w:rPr>
          <w:szCs w:val="24"/>
          <w:lang w:eastAsia="en-US"/>
        </w:rPr>
      </w:pPr>
      <w:r w:rsidRPr="00921C9B">
        <w:rPr>
          <w:szCs w:val="24"/>
          <w:lang w:eastAsia="en-US"/>
        </w:rPr>
        <w:t>До [СП: моля, въведете датата = първия ден от месеца, следващ 18 месеца след датата на влизане в сила на настоящата директива] държавите членки информират Европейската агенция по химикали (ECHA) за националните прагови стойности, посочени в параграф 1, буква б). ECHA прави тази информация обществено достояние.;</w:t>
      </w:r>
    </w:p>
    <w:p w14:paraId="5FC3C73E" w14:textId="77777777" w:rsidR="00D24A73" w:rsidRPr="00921C9B" w:rsidRDefault="00D24A73" w:rsidP="00D24A73">
      <w:pPr>
        <w:spacing w:before="120" w:after="120" w:line="360" w:lineRule="auto"/>
        <w:ind w:left="1418" w:hanging="564"/>
        <w:rPr>
          <w:b/>
          <w:i/>
          <w:szCs w:val="24"/>
          <w:lang w:eastAsia="en-US"/>
        </w:rPr>
      </w:pPr>
      <w:r w:rsidRPr="00921C9B">
        <w:rPr>
          <w:b/>
          <w:i/>
          <w:szCs w:val="24"/>
          <w:lang w:eastAsia="en-US"/>
        </w:rPr>
        <w:t>в</w:t>
      </w:r>
      <w:r w:rsidR="000D29CC" w:rsidRPr="00921C9B">
        <w:rPr>
          <w:b/>
          <w:i/>
          <w:szCs w:val="24"/>
          <w:lang w:eastAsia="en-US"/>
        </w:rPr>
        <w:t>а)</w:t>
      </w:r>
      <w:r w:rsidR="000D29CC" w:rsidRPr="00921C9B">
        <w:rPr>
          <w:b/>
          <w:i/>
          <w:szCs w:val="24"/>
          <w:lang w:eastAsia="en-US"/>
        </w:rPr>
        <w:tab/>
        <w:t xml:space="preserve">в параграф 5 се добавя следната алинея: </w:t>
      </w:r>
    </w:p>
    <w:p w14:paraId="33904335" w14:textId="5C50505B" w:rsidR="000D29CC" w:rsidRPr="00921C9B" w:rsidRDefault="00D24A73" w:rsidP="00D24A73">
      <w:pPr>
        <w:spacing w:before="120" w:after="120" w:line="360" w:lineRule="auto"/>
        <w:ind w:left="1418"/>
        <w:rPr>
          <w:b/>
          <w:szCs w:val="24"/>
          <w:lang w:eastAsia="en-US"/>
        </w:rPr>
      </w:pPr>
      <w:r w:rsidRPr="00921C9B">
        <w:rPr>
          <w:b/>
          <w:i/>
          <w:szCs w:val="24"/>
          <w:lang w:eastAsia="en-US"/>
        </w:rPr>
        <w:t>„</w:t>
      </w:r>
      <w:r w:rsidR="000D29CC" w:rsidRPr="00921C9B">
        <w:rPr>
          <w:b/>
          <w:i/>
          <w:szCs w:val="24"/>
          <w:lang w:eastAsia="en-US"/>
        </w:rPr>
        <w:t>Държавите членки гарантират, че жителите на съответния район на речен басейн или на част от международния район на речен басейн на територията на държава членка са информирани своевременно и по подходящ начин.</w:t>
      </w:r>
      <w:r w:rsidR="000D29CC" w:rsidRPr="00921C9B">
        <w:rPr>
          <w:szCs w:val="24"/>
          <w:lang w:eastAsia="en-US"/>
        </w:rPr>
        <w:t>“</w:t>
      </w:r>
      <w:r w:rsidRPr="00921C9B">
        <w:rPr>
          <w:b/>
          <w:szCs w:val="24"/>
          <w:lang w:eastAsia="en-US"/>
        </w:rPr>
        <w:t xml:space="preserve"> [Изм. 82]</w:t>
      </w:r>
    </w:p>
    <w:p w14:paraId="6EEEF145" w14:textId="77777777" w:rsidR="00753EC5" w:rsidRPr="00921C9B" w:rsidRDefault="00753EC5">
      <w:pPr>
        <w:widowControl/>
        <w:rPr>
          <w:szCs w:val="24"/>
          <w:lang w:eastAsia="en-US"/>
        </w:rPr>
      </w:pPr>
      <w:r w:rsidRPr="00921C9B">
        <w:rPr>
          <w:szCs w:val="24"/>
          <w:lang w:eastAsia="en-US"/>
        </w:rPr>
        <w:br w:type="page"/>
      </w:r>
    </w:p>
    <w:p w14:paraId="406F1654" w14:textId="6F0D5E7E"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г)</w:t>
      </w:r>
      <w:r w:rsidRPr="00921C9B">
        <w:rPr>
          <w:szCs w:val="24"/>
          <w:lang w:eastAsia="en-US"/>
        </w:rPr>
        <w:tab/>
        <w:t>в параграф 6 първата алинея се заменя със следното:</w:t>
      </w:r>
    </w:p>
    <w:p w14:paraId="00B878B3" w14:textId="56DDF9E1" w:rsidR="000D29CC" w:rsidRPr="00921C9B" w:rsidRDefault="000D29CC" w:rsidP="000D29CC">
      <w:pPr>
        <w:spacing w:before="120" w:after="120" w:line="360" w:lineRule="auto"/>
        <w:ind w:left="1416"/>
        <w:rPr>
          <w:b/>
          <w:szCs w:val="24"/>
          <w:lang w:eastAsia="en-US"/>
        </w:rPr>
      </w:pPr>
      <w:r w:rsidRPr="00921C9B">
        <w:rPr>
          <w:szCs w:val="24"/>
          <w:lang w:eastAsia="en-US"/>
        </w:rPr>
        <w:t>„Държавите членки изменят списъка на прагови стойности, прилаган на тяхната територия, винаги когато нова информация за замърсителите, групите на замърсители или показателите на замърсяване</w:t>
      </w:r>
      <w:r w:rsidRPr="00921C9B">
        <w:rPr>
          <w:b/>
          <w:i/>
          <w:szCs w:val="24"/>
          <w:lang w:eastAsia="en-US"/>
        </w:rPr>
        <w:t>, като се вземе предвид и принципът на предпазните мерки,</w:t>
      </w:r>
      <w:r w:rsidRPr="00921C9B">
        <w:rPr>
          <w:szCs w:val="24"/>
          <w:lang w:eastAsia="en-US"/>
        </w:rPr>
        <w:t xml:space="preserve"> покаже, че </w:t>
      </w:r>
      <w:r w:rsidRPr="00921C9B">
        <w:rPr>
          <w:strike/>
          <w:szCs w:val="24"/>
          <w:lang w:eastAsia="en-US"/>
        </w:rPr>
        <w:t>трябва</w:t>
      </w:r>
      <w:r w:rsidRPr="00921C9B">
        <w:rPr>
          <w:b/>
          <w:i/>
          <w:szCs w:val="24"/>
          <w:lang w:eastAsia="en-US"/>
        </w:rPr>
        <w:t>следва</w:t>
      </w:r>
      <w:r w:rsidRPr="00921C9B">
        <w:rPr>
          <w:szCs w:val="24"/>
          <w:lang w:eastAsia="en-US"/>
        </w:rPr>
        <w:t xml:space="preserve"> да бъде установена прагова стойност за допълнително вещество, че съществуваща прагова стойност </w:t>
      </w:r>
      <w:r w:rsidRPr="00921C9B">
        <w:rPr>
          <w:strike/>
          <w:szCs w:val="24"/>
          <w:lang w:eastAsia="en-US"/>
        </w:rPr>
        <w:t>трябва</w:t>
      </w:r>
      <w:r w:rsidRPr="00921C9B">
        <w:rPr>
          <w:b/>
          <w:i/>
          <w:szCs w:val="24"/>
          <w:lang w:eastAsia="en-US"/>
        </w:rPr>
        <w:t>следва</w:t>
      </w:r>
      <w:r w:rsidRPr="00921C9B">
        <w:rPr>
          <w:szCs w:val="24"/>
          <w:lang w:eastAsia="en-US"/>
        </w:rPr>
        <w:t xml:space="preserve"> да бъде изменена или че праговата стойност, премахната преди това от списъка, </w:t>
      </w:r>
      <w:r w:rsidRPr="00921C9B">
        <w:rPr>
          <w:strike/>
          <w:szCs w:val="24"/>
          <w:lang w:eastAsia="en-US"/>
        </w:rPr>
        <w:t>трябва</w:t>
      </w:r>
      <w:r w:rsidRPr="00921C9B">
        <w:rPr>
          <w:b/>
          <w:i/>
          <w:szCs w:val="24"/>
          <w:lang w:eastAsia="en-US"/>
        </w:rPr>
        <w:t>следва</w:t>
      </w:r>
      <w:r w:rsidRPr="00921C9B">
        <w:rPr>
          <w:szCs w:val="24"/>
          <w:lang w:eastAsia="en-US"/>
        </w:rPr>
        <w:t xml:space="preserve"> да бъде въведена отново. Ако съответните прагови стойности бъдат установени или изменени на равнището на Съюза, държавите членки адаптират списъка на праговите стойности, прилагани на техните територии, към тези стойности.</w:t>
      </w:r>
      <w:r w:rsidRPr="00921C9B">
        <w:rPr>
          <w:strike/>
          <w:szCs w:val="24"/>
          <w:lang w:eastAsia="en-US"/>
        </w:rPr>
        <w:t xml:space="preserve"> ;</w:t>
      </w:r>
      <w:r w:rsidRPr="00921C9B">
        <w:rPr>
          <w:szCs w:val="24"/>
          <w:lang w:eastAsia="en-US"/>
        </w:rPr>
        <w:t>“</w:t>
      </w:r>
      <w:r w:rsidR="00D24A73" w:rsidRPr="00921C9B">
        <w:rPr>
          <w:b/>
          <w:szCs w:val="24"/>
          <w:lang w:eastAsia="en-US"/>
        </w:rPr>
        <w:t xml:space="preserve"> [Изм. 83]</w:t>
      </w:r>
    </w:p>
    <w:p w14:paraId="3FFB18E2" w14:textId="52B10F00" w:rsidR="000D29CC" w:rsidRPr="00921C9B" w:rsidRDefault="00753EC5" w:rsidP="00753EC5">
      <w:pPr>
        <w:spacing w:before="120" w:after="120" w:line="360" w:lineRule="auto"/>
        <w:ind w:left="1418" w:hanging="567"/>
        <w:rPr>
          <w:szCs w:val="24"/>
          <w:lang w:eastAsia="en-US"/>
        </w:rPr>
      </w:pPr>
      <w:r w:rsidRPr="00921C9B">
        <w:rPr>
          <w:b/>
          <w:i/>
          <w:szCs w:val="24"/>
          <w:lang w:eastAsia="en-US"/>
        </w:rPr>
        <w:t>д</w:t>
      </w:r>
      <w:r w:rsidR="000D29CC" w:rsidRPr="00921C9B">
        <w:rPr>
          <w:b/>
          <w:i/>
          <w:szCs w:val="24"/>
          <w:lang w:eastAsia="en-US"/>
        </w:rPr>
        <w:t>)</w:t>
      </w:r>
      <w:r w:rsidR="000D29CC" w:rsidRPr="00921C9B">
        <w:rPr>
          <w:szCs w:val="24"/>
          <w:lang w:eastAsia="en-US"/>
        </w:rPr>
        <w:tab/>
      </w:r>
      <w:r w:rsidR="000D29CC" w:rsidRPr="00921C9B">
        <w:rPr>
          <w:b/>
          <w:i/>
          <w:szCs w:val="24"/>
          <w:lang w:eastAsia="en-US"/>
        </w:rPr>
        <w:t>параграф 7 се заменя със следното:</w:t>
      </w:r>
    </w:p>
    <w:p w14:paraId="1EF6763D" w14:textId="03DB0150" w:rsidR="000D29CC" w:rsidRPr="00921C9B" w:rsidRDefault="000D29CC" w:rsidP="00753EC5">
      <w:pPr>
        <w:spacing w:before="120" w:after="120" w:line="360" w:lineRule="auto"/>
        <w:ind w:left="1985" w:hanging="566"/>
        <w:rPr>
          <w:b/>
          <w:szCs w:val="24"/>
          <w:lang w:eastAsia="en-US"/>
        </w:rPr>
      </w:pPr>
      <w:r w:rsidRPr="00921C9B">
        <w:rPr>
          <w:szCs w:val="24"/>
          <w:lang w:eastAsia="en-US"/>
        </w:rPr>
        <w:t>„</w:t>
      </w:r>
      <w:r w:rsidRPr="00921C9B">
        <w:rPr>
          <w:b/>
          <w:i/>
          <w:szCs w:val="24"/>
          <w:lang w:eastAsia="en-US"/>
        </w:rPr>
        <w:t>7.</w:t>
      </w:r>
      <w:r w:rsidRPr="00921C9B">
        <w:rPr>
          <w:szCs w:val="24"/>
          <w:lang w:eastAsia="en-US"/>
        </w:rPr>
        <w:tab/>
      </w:r>
      <w:r w:rsidRPr="00921C9B">
        <w:rPr>
          <w:b/>
          <w:i/>
          <w:szCs w:val="24"/>
          <w:lang w:eastAsia="en-US"/>
        </w:rPr>
        <w:t>Комисията публикува доклад относно националните прагови стойности, посочени в параграф 1, буква б), една година след като държавите членки предоставят тази информация на ECHA съгласно параграф 5.“</w:t>
      </w:r>
      <w:r w:rsidR="00D24A73" w:rsidRPr="00921C9B">
        <w:rPr>
          <w:b/>
          <w:szCs w:val="24"/>
          <w:lang w:eastAsia="en-US"/>
        </w:rPr>
        <w:t xml:space="preserve"> [Изм. 84]</w:t>
      </w:r>
    </w:p>
    <w:p w14:paraId="65CFAC1F" w14:textId="77777777" w:rsidR="00753EC5" w:rsidRPr="00921C9B" w:rsidRDefault="00753EC5">
      <w:pPr>
        <w:widowControl/>
        <w:rPr>
          <w:szCs w:val="24"/>
          <w:lang w:eastAsia="en-US"/>
        </w:rPr>
      </w:pPr>
      <w:r w:rsidRPr="00921C9B">
        <w:rPr>
          <w:szCs w:val="24"/>
          <w:lang w:eastAsia="en-US"/>
        </w:rPr>
        <w:br w:type="page"/>
      </w:r>
    </w:p>
    <w:p w14:paraId="7022C2D2" w14:textId="7489CECE"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5)</w:t>
      </w:r>
      <w:r w:rsidRPr="00921C9B">
        <w:rPr>
          <w:szCs w:val="24"/>
          <w:lang w:eastAsia="en-US"/>
        </w:rPr>
        <w:tab/>
        <w:t>в член 4, параграф 2 буква б) се заменя със следното:</w:t>
      </w:r>
    </w:p>
    <w:p w14:paraId="0098E921" w14:textId="523FC4B1" w:rsidR="000D29CC" w:rsidRPr="00921C9B" w:rsidRDefault="000D29CC" w:rsidP="000D29CC">
      <w:pPr>
        <w:spacing w:before="120" w:after="120" w:line="360" w:lineRule="auto"/>
        <w:ind w:left="1416" w:hanging="566"/>
        <w:rPr>
          <w:szCs w:val="24"/>
          <w:lang w:eastAsia="en-US"/>
        </w:rPr>
      </w:pPr>
      <w:r w:rsidRPr="00921C9B">
        <w:rPr>
          <w:szCs w:val="24"/>
          <w:lang w:eastAsia="en-US"/>
        </w:rPr>
        <w:t>„б)</w:t>
      </w:r>
      <w:r w:rsidRPr="00921C9B">
        <w:rPr>
          <w:szCs w:val="24"/>
          <w:lang w:eastAsia="en-US"/>
        </w:rPr>
        <w:tab/>
        <w:t xml:space="preserve">стойностите на стандартите за качество на подземните води, изброени в приложение I, и съответните прагови стойности, установени съгласно член 3, параграф 1, букви б) и в) не са превишени в никой от пунктовете за мониторинг в това подземно водно тяло или в група подземни водни </w:t>
      </w:r>
      <w:r w:rsidR="00753EC5" w:rsidRPr="00921C9B">
        <w:rPr>
          <w:szCs w:val="24"/>
          <w:lang w:eastAsia="en-US"/>
        </w:rPr>
        <w:t>тела; или</w:t>
      </w:r>
      <w:r w:rsidRPr="00921C9B">
        <w:rPr>
          <w:szCs w:val="24"/>
          <w:lang w:eastAsia="en-US"/>
        </w:rPr>
        <w:t>“</w:t>
      </w:r>
    </w:p>
    <w:p w14:paraId="05344DC4"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(6)</w:t>
      </w:r>
      <w:r w:rsidRPr="00921C9B">
        <w:rPr>
          <w:szCs w:val="24"/>
          <w:lang w:eastAsia="en-US"/>
        </w:rPr>
        <w:tab/>
        <w:t>вмъква се следният член 6a:</w:t>
      </w:r>
    </w:p>
    <w:p w14:paraId="42980337" w14:textId="77777777" w:rsidR="000D29CC" w:rsidRPr="00921C9B" w:rsidRDefault="000D29CC" w:rsidP="000D29CC">
      <w:pPr>
        <w:spacing w:before="120" w:after="120" w:line="360" w:lineRule="auto"/>
        <w:ind w:left="850"/>
        <w:rPr>
          <w:szCs w:val="24"/>
          <w:lang w:eastAsia="en-US"/>
        </w:rPr>
      </w:pPr>
      <w:r w:rsidRPr="00921C9B">
        <w:rPr>
          <w:szCs w:val="24"/>
          <w:lang w:eastAsia="en-US"/>
        </w:rPr>
        <w:t>„Член 6а</w:t>
      </w:r>
    </w:p>
    <w:p w14:paraId="5CC01DFE" w14:textId="77777777" w:rsidR="000D29CC" w:rsidRPr="00921C9B" w:rsidRDefault="000D29CC" w:rsidP="000D29CC">
      <w:pPr>
        <w:spacing w:before="120" w:after="120" w:line="360" w:lineRule="auto"/>
        <w:ind w:left="850"/>
        <w:rPr>
          <w:szCs w:val="24"/>
          <w:lang w:eastAsia="en-US"/>
        </w:rPr>
      </w:pPr>
      <w:r w:rsidRPr="00921C9B">
        <w:rPr>
          <w:szCs w:val="24"/>
          <w:lang w:eastAsia="en-US"/>
        </w:rPr>
        <w:t>Списък за наблюдение</w:t>
      </w:r>
    </w:p>
    <w:p w14:paraId="514B7F06"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w:t>
      </w:r>
      <w:r w:rsidRPr="00921C9B">
        <w:rPr>
          <w:szCs w:val="24"/>
          <w:lang w:eastAsia="en-US"/>
        </w:rPr>
        <w:tab/>
        <w:t>На Комисията се предоставя правомощието да приема актове за изпълнение, за да състави, с оглед на научните доклади, изготвени от ECHA, списък на веществата, за които държавите членки трябва да събират данни за мониторинг в целия Съюз, и да определи форматите, които държавите членки трябва да използват, за да докладват на Комисията резултатите от този мониторинг и свързаната с него информация. Тези актове за изпълнение се приемат в съответствие с процедурата по разглеждане, посочена в член 9, параграф 2.</w:t>
      </w:r>
    </w:p>
    <w:p w14:paraId="204CDABD" w14:textId="77777777" w:rsidR="00753EC5" w:rsidRPr="00921C9B" w:rsidRDefault="00753EC5">
      <w:pPr>
        <w:widowControl/>
        <w:rPr>
          <w:szCs w:val="24"/>
          <w:lang w:eastAsia="en-US"/>
        </w:rPr>
      </w:pPr>
      <w:r w:rsidRPr="00921C9B">
        <w:rPr>
          <w:szCs w:val="24"/>
          <w:lang w:eastAsia="en-US"/>
        </w:rPr>
        <w:br w:type="page"/>
      </w:r>
    </w:p>
    <w:p w14:paraId="5854FCA5" w14:textId="6B0B01B1" w:rsidR="000D29CC" w:rsidRPr="00921C9B" w:rsidRDefault="000D29CC" w:rsidP="000D29CC">
      <w:pPr>
        <w:spacing w:before="120" w:after="120" w:line="360" w:lineRule="auto"/>
        <w:ind w:left="1416"/>
        <w:rPr>
          <w:szCs w:val="24"/>
          <w:lang w:eastAsia="en-US"/>
        </w:rPr>
      </w:pPr>
      <w:r w:rsidRPr="00921C9B">
        <w:rPr>
          <w:szCs w:val="24"/>
          <w:lang w:eastAsia="en-US"/>
        </w:rPr>
        <w:lastRenderedPageBreak/>
        <w:t xml:space="preserve">В списъка за наблюдение се съдържат </w:t>
      </w:r>
      <w:r w:rsidRPr="00921C9B">
        <w:rPr>
          <w:strike/>
          <w:szCs w:val="24"/>
          <w:lang w:eastAsia="en-US"/>
        </w:rPr>
        <w:t>максимум</w:t>
      </w:r>
      <w:r w:rsidRPr="00921C9B">
        <w:rPr>
          <w:b/>
          <w:i/>
          <w:szCs w:val="24"/>
          <w:lang w:eastAsia="en-US"/>
        </w:rPr>
        <w:t>най-малко</w:t>
      </w:r>
      <w:r w:rsidRPr="00921C9B">
        <w:rPr>
          <w:szCs w:val="24"/>
          <w:lang w:eastAsia="en-US"/>
        </w:rPr>
        <w:t xml:space="preserve"> пет вещества или групи вещества</w:t>
      </w:r>
      <w:r w:rsidRPr="00921C9B">
        <w:rPr>
          <w:strike/>
          <w:szCs w:val="24"/>
          <w:lang w:eastAsia="en-US"/>
        </w:rPr>
        <w:t xml:space="preserve"> и се посочват матриците за мониторинг и възможните методи за анализ за всяко вещество. Тези матрици и методи за мониторинг не трябва да водят до прекомерни разходи за компетентните органи. Веществата</w:t>
      </w:r>
      <w:r w:rsidRPr="00921C9B">
        <w:rPr>
          <w:szCs w:val="24"/>
          <w:lang w:eastAsia="en-US"/>
        </w:rPr>
        <w:t xml:space="preserve">, които </w:t>
      </w:r>
      <w:r w:rsidRPr="00921C9B">
        <w:rPr>
          <w:strike/>
          <w:szCs w:val="24"/>
          <w:lang w:eastAsia="en-US"/>
        </w:rPr>
        <w:t>подлежат на включване в списъка за наблюдение, се избират</w:t>
      </w:r>
      <w:r w:rsidRPr="00921C9B">
        <w:rPr>
          <w:b/>
          <w:i/>
          <w:szCs w:val="24"/>
          <w:lang w:eastAsia="en-US"/>
        </w:rPr>
        <w:t>пораждат нови опасения и са подбрани</w:t>
      </w:r>
      <w:r w:rsidRPr="00921C9B">
        <w:rPr>
          <w:szCs w:val="24"/>
          <w:lang w:eastAsia="en-US"/>
        </w:rPr>
        <w:t xml:space="preserve"> сред веществата, за които наличната информация</w:t>
      </w:r>
      <w:r w:rsidRPr="00921C9B">
        <w:rPr>
          <w:b/>
          <w:i/>
          <w:szCs w:val="24"/>
          <w:lang w:eastAsia="en-US"/>
        </w:rPr>
        <w:t>, включително в съответствие с алинея четвърта по-долу, сочи, че могат да породят значителен</w:t>
      </w:r>
      <w:r w:rsidRPr="00921C9B">
        <w:rPr>
          <w:strike/>
          <w:szCs w:val="24"/>
          <w:lang w:eastAsia="en-US"/>
        </w:rPr>
        <w:t xml:space="preserve"> сочи, че може да представляват съществен</w:t>
      </w:r>
      <w:r w:rsidRPr="00921C9B">
        <w:rPr>
          <w:szCs w:val="24"/>
          <w:lang w:eastAsia="en-US"/>
        </w:rPr>
        <w:t xml:space="preserve"> риск на равнището на </w:t>
      </w:r>
      <w:r w:rsidRPr="00921C9B">
        <w:rPr>
          <w:strike/>
          <w:szCs w:val="24"/>
          <w:lang w:eastAsia="en-US"/>
        </w:rPr>
        <w:t>Съюза</w:t>
      </w:r>
      <w:r w:rsidRPr="00921C9B">
        <w:rPr>
          <w:b/>
          <w:i/>
          <w:szCs w:val="24"/>
          <w:lang w:eastAsia="en-US"/>
        </w:rPr>
        <w:t>ЕС</w:t>
      </w:r>
      <w:r w:rsidRPr="00921C9B">
        <w:rPr>
          <w:szCs w:val="24"/>
          <w:lang w:eastAsia="en-US"/>
        </w:rPr>
        <w:t xml:space="preserve"> за водната среда или посредством нея, и за които данните от мониторинга </w:t>
      </w:r>
      <w:r w:rsidRPr="00921C9B">
        <w:rPr>
          <w:strike/>
          <w:szCs w:val="24"/>
          <w:lang w:eastAsia="en-US"/>
        </w:rPr>
        <w:t>не са достатъчни. Този списък</w:t>
      </w:r>
      <w:r w:rsidRPr="00921C9B">
        <w:rPr>
          <w:b/>
          <w:i/>
          <w:szCs w:val="24"/>
          <w:lang w:eastAsia="en-US"/>
        </w:rPr>
        <w:t>са недостатъчни, с изключение на случаите, в които броят на веществата или групите вещества, за които наличната информация сочи, че могат да породят значителен риск за водната среда или посредством нея и от които трябва да се направи подборът, е по-малък от пет, в които случаи списъкът</w:t>
      </w:r>
      <w:r w:rsidRPr="00921C9B">
        <w:rPr>
          <w:szCs w:val="24"/>
          <w:lang w:eastAsia="en-US"/>
        </w:rPr>
        <w:t xml:space="preserve"> за наблюдение </w:t>
      </w:r>
      <w:r w:rsidRPr="00921C9B">
        <w:rPr>
          <w:strike/>
          <w:szCs w:val="24"/>
          <w:lang w:eastAsia="en-US"/>
        </w:rPr>
        <w:t>включва</w:t>
      </w:r>
      <w:r w:rsidRPr="00921C9B">
        <w:rPr>
          <w:b/>
          <w:i/>
          <w:szCs w:val="24"/>
          <w:lang w:eastAsia="en-US"/>
        </w:rPr>
        <w:t>съдържа всички тези</w:t>
      </w:r>
      <w:r w:rsidRPr="00921C9B">
        <w:rPr>
          <w:szCs w:val="24"/>
          <w:lang w:eastAsia="en-US"/>
        </w:rPr>
        <w:t xml:space="preserve"> вещества</w:t>
      </w:r>
      <w:r w:rsidRPr="00921C9B">
        <w:rPr>
          <w:strike/>
          <w:szCs w:val="24"/>
          <w:lang w:eastAsia="en-US"/>
        </w:rPr>
        <w:t>, които пораждат все повече безпокойство</w:t>
      </w:r>
      <w:r w:rsidRPr="00921C9B">
        <w:rPr>
          <w:szCs w:val="24"/>
          <w:lang w:eastAsia="en-US"/>
        </w:rPr>
        <w:t>.</w:t>
      </w:r>
    </w:p>
    <w:p w14:paraId="4F6D1C42" w14:textId="77777777" w:rsidR="000D29CC" w:rsidRPr="00921C9B" w:rsidRDefault="000D29CC" w:rsidP="000D29CC">
      <w:pPr>
        <w:spacing w:before="120" w:after="120" w:line="360" w:lineRule="auto"/>
        <w:ind w:left="1416"/>
        <w:rPr>
          <w:szCs w:val="24"/>
          <w:lang w:eastAsia="en-US"/>
        </w:rPr>
      </w:pPr>
      <w:r w:rsidRPr="00921C9B">
        <w:rPr>
          <w:b/>
          <w:i/>
          <w:szCs w:val="24"/>
          <w:lang w:eastAsia="en-US"/>
        </w:rPr>
        <w:t>В допълнение към минималния брой вещества или групи вещества списъкът за наблюдение може да съдържа също така показатели за замърсяване.</w:t>
      </w:r>
    </w:p>
    <w:p w14:paraId="36592440" w14:textId="77777777" w:rsidR="00753EC5" w:rsidRPr="00921C9B" w:rsidRDefault="00753EC5">
      <w:pPr>
        <w:widowControl/>
        <w:rPr>
          <w:b/>
          <w:i/>
          <w:szCs w:val="24"/>
          <w:lang w:eastAsia="en-US"/>
        </w:rPr>
      </w:pPr>
      <w:r w:rsidRPr="00921C9B">
        <w:rPr>
          <w:b/>
          <w:i/>
          <w:szCs w:val="24"/>
          <w:lang w:eastAsia="en-US"/>
        </w:rPr>
        <w:br w:type="page"/>
      </w:r>
    </w:p>
    <w:p w14:paraId="27E1F368" w14:textId="7369A12D" w:rsidR="000D29CC" w:rsidRPr="00921C9B" w:rsidRDefault="000D29CC" w:rsidP="000D29CC">
      <w:pPr>
        <w:spacing w:before="120" w:after="120" w:line="360" w:lineRule="auto"/>
        <w:ind w:left="1416"/>
        <w:rPr>
          <w:b/>
          <w:szCs w:val="24"/>
          <w:lang w:eastAsia="en-US"/>
        </w:rPr>
      </w:pPr>
      <w:r w:rsidRPr="00921C9B">
        <w:rPr>
          <w:b/>
          <w:i/>
          <w:szCs w:val="24"/>
          <w:lang w:eastAsia="en-US"/>
        </w:rPr>
        <w:lastRenderedPageBreak/>
        <w:t>В списъка за наблюдение се посочват матриците за мониторинг и възможните методи за анализ за всяко вещество. Тези матрици и методи за мониторинг не трябва да водят до прекомерни разходи за компетентните органи.</w:t>
      </w:r>
      <w:r w:rsidR="00D24A73" w:rsidRPr="00921C9B">
        <w:rPr>
          <w:b/>
          <w:szCs w:val="24"/>
          <w:lang w:eastAsia="en-US"/>
        </w:rPr>
        <w:t xml:space="preserve"> [Изм. 85]</w:t>
      </w:r>
    </w:p>
    <w:p w14:paraId="2243B80C" w14:textId="1F98619F" w:rsidR="000D29CC" w:rsidRPr="00921C9B" w:rsidRDefault="000D29CC" w:rsidP="000D29CC">
      <w:pPr>
        <w:spacing w:before="120" w:after="120" w:line="360" w:lineRule="auto"/>
        <w:ind w:left="1416"/>
        <w:rPr>
          <w:b/>
          <w:szCs w:val="24"/>
          <w:lang w:eastAsia="en-US"/>
        </w:rPr>
      </w:pPr>
      <w:r w:rsidRPr="00921C9B">
        <w:rPr>
          <w:strike/>
          <w:szCs w:val="24"/>
          <w:lang w:eastAsia="en-US"/>
        </w:rPr>
        <w:t>Веднага след като бъдат установени</w:t>
      </w:r>
      <w:r w:rsidRPr="00921C9B">
        <w:rPr>
          <w:b/>
          <w:i/>
          <w:szCs w:val="24"/>
          <w:lang w:eastAsia="en-US"/>
        </w:rPr>
        <w:t>Във възможно най-кратък срок и не по-късно от [първия ден на месеца, следващ срока от 18 месеца след датата на влизане в сила на настоящата директива за изменение] се определят</w:t>
      </w:r>
      <w:r w:rsidRPr="00921C9B">
        <w:rPr>
          <w:szCs w:val="24"/>
          <w:lang w:eastAsia="en-US"/>
        </w:rPr>
        <w:t xml:space="preserve"> подходящи методи за мониторинг на </w:t>
      </w:r>
      <w:r w:rsidRPr="00921C9B">
        <w:rPr>
          <w:strike/>
          <w:szCs w:val="24"/>
          <w:lang w:eastAsia="en-US"/>
        </w:rPr>
        <w:t>пластмасови</w:t>
      </w:r>
      <w:r w:rsidRPr="00921C9B">
        <w:rPr>
          <w:b/>
          <w:i/>
          <w:szCs w:val="24"/>
          <w:lang w:eastAsia="en-US"/>
        </w:rPr>
        <w:t>пластмасовите</w:t>
      </w:r>
      <w:r w:rsidRPr="00921C9B">
        <w:rPr>
          <w:szCs w:val="24"/>
          <w:lang w:eastAsia="en-US"/>
        </w:rPr>
        <w:t xml:space="preserve"> микрочастици и избрани гени за антимикробна резистентност</w:t>
      </w:r>
      <w:r w:rsidRPr="00921C9B">
        <w:rPr>
          <w:b/>
          <w:i/>
          <w:szCs w:val="24"/>
          <w:lang w:eastAsia="en-US"/>
        </w:rPr>
        <w:t>. Веднага след като бъдат установени посочените методи за мониторинг, пластмасовите микрочастици и избраните гени за антимикробна резистентност</w:t>
      </w:r>
      <w:r w:rsidRPr="00921C9B">
        <w:rPr>
          <w:strike/>
          <w:szCs w:val="24"/>
          <w:lang w:eastAsia="en-US"/>
        </w:rPr>
        <w:t>, тези вещества</w:t>
      </w:r>
      <w:r w:rsidRPr="00921C9B">
        <w:rPr>
          <w:szCs w:val="24"/>
          <w:lang w:eastAsia="en-US"/>
        </w:rPr>
        <w:t xml:space="preserve"> се включват в списъка за наблюдение</w:t>
      </w:r>
      <w:r w:rsidRPr="00921C9B">
        <w:rPr>
          <w:b/>
          <w:i/>
          <w:szCs w:val="24"/>
          <w:lang w:eastAsia="en-US"/>
        </w:rPr>
        <w:t xml:space="preserve"> в съответствие с член 6а, параграф 2, алинея 1</w:t>
      </w:r>
      <w:r w:rsidRPr="00921C9B">
        <w:rPr>
          <w:szCs w:val="24"/>
          <w:lang w:eastAsia="en-US"/>
        </w:rPr>
        <w:t>.</w:t>
      </w:r>
      <w:r w:rsidRPr="00921C9B">
        <w:rPr>
          <w:b/>
          <w:i/>
          <w:szCs w:val="24"/>
          <w:lang w:eastAsia="en-US"/>
        </w:rPr>
        <w:t xml:space="preserve"> Комисията също така преценява дали включването на сулфатите в списъка за наблюдение е необходимо за подобряване на достъпа до данни относно тяхното наличие с оглед на обхвата на настоящата директива.</w:t>
      </w:r>
      <w:r w:rsidR="00D24A73" w:rsidRPr="00921C9B">
        <w:rPr>
          <w:b/>
          <w:szCs w:val="24"/>
          <w:lang w:eastAsia="en-US"/>
        </w:rPr>
        <w:t xml:space="preserve"> [Изм. 86]</w:t>
      </w:r>
    </w:p>
    <w:p w14:paraId="1A83C396" w14:textId="77777777" w:rsidR="00753EC5" w:rsidRPr="00921C9B" w:rsidRDefault="00753EC5">
      <w:pPr>
        <w:widowControl/>
        <w:rPr>
          <w:szCs w:val="24"/>
          <w:lang w:eastAsia="en-US"/>
        </w:rPr>
      </w:pPr>
      <w:r w:rsidRPr="00921C9B">
        <w:rPr>
          <w:szCs w:val="24"/>
          <w:lang w:eastAsia="en-US"/>
        </w:rPr>
        <w:br w:type="page"/>
      </w:r>
    </w:p>
    <w:p w14:paraId="45AD2EA3" w14:textId="14D06A1E" w:rsidR="000D29CC" w:rsidRPr="00921C9B" w:rsidRDefault="000D29CC" w:rsidP="000D29CC">
      <w:pPr>
        <w:spacing w:before="120" w:after="120" w:line="360" w:lineRule="auto"/>
        <w:ind w:left="1416"/>
        <w:rPr>
          <w:b/>
          <w:szCs w:val="24"/>
          <w:lang w:eastAsia="en-US"/>
        </w:rPr>
      </w:pPr>
      <w:r w:rsidRPr="00921C9B">
        <w:rPr>
          <w:szCs w:val="24"/>
          <w:lang w:eastAsia="en-US"/>
        </w:rPr>
        <w:lastRenderedPageBreak/>
        <w:t xml:space="preserve">ECHA изготвя научни доклади, за да подпомогне Комисията при избора на вещества </w:t>
      </w:r>
      <w:r w:rsidRPr="00921C9B">
        <w:rPr>
          <w:b/>
          <w:i/>
          <w:szCs w:val="24"/>
          <w:lang w:eastAsia="en-US"/>
        </w:rPr>
        <w:t xml:space="preserve">и показатели за замърсяване </w:t>
      </w:r>
      <w:r w:rsidRPr="00921C9B">
        <w:rPr>
          <w:szCs w:val="24"/>
          <w:lang w:eastAsia="en-US"/>
        </w:rPr>
        <w:t>за списъка за наблюдение, като взема предвид следната информация:</w:t>
      </w:r>
      <w:r w:rsidR="00D24A73" w:rsidRPr="00921C9B">
        <w:rPr>
          <w:b/>
          <w:szCs w:val="24"/>
          <w:lang w:eastAsia="en-US"/>
        </w:rPr>
        <w:t xml:space="preserve"> [Изм. 87]</w:t>
      </w:r>
    </w:p>
    <w:p w14:paraId="1FE2F88F"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а)</w:t>
      </w:r>
      <w:r w:rsidRPr="00921C9B">
        <w:rPr>
          <w:szCs w:val="24"/>
          <w:lang w:eastAsia="en-US"/>
        </w:rPr>
        <w:tab/>
        <w:t>приложение I към Директива 2008/105/ЕО на Европейския парламент и на Съвета* и резултатите от последния преглед на същото приложение;</w:t>
      </w:r>
    </w:p>
    <w:p w14:paraId="61665B84"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б)</w:t>
      </w:r>
      <w:r w:rsidRPr="00921C9B">
        <w:rPr>
          <w:szCs w:val="24"/>
          <w:lang w:eastAsia="en-US"/>
        </w:rPr>
        <w:tab/>
        <w:t>списъците за наблюдение, изготвени в съответствие с Директива 2008/105/ЕО и Директива (ЕС) 2020/2184 на Европейския парламент и на Съвета**;</w:t>
      </w:r>
    </w:p>
    <w:p w14:paraId="2ED1C16D"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в)</w:t>
      </w:r>
      <w:r w:rsidRPr="00921C9B">
        <w:rPr>
          <w:szCs w:val="24"/>
          <w:lang w:eastAsia="en-US"/>
        </w:rPr>
        <w:tab/>
        <w:t>изискванията за справяне със замърсяването на почвата, включително свързаните с това данни от мониторинга;</w:t>
      </w:r>
    </w:p>
    <w:p w14:paraId="3FF650B5"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г)</w:t>
      </w:r>
      <w:r w:rsidRPr="00921C9B">
        <w:rPr>
          <w:szCs w:val="24"/>
          <w:lang w:eastAsia="en-US"/>
        </w:rPr>
        <w:tab/>
        <w:t>характеризирането на районите на речните басейни от страна на държавите членки в съответствие с член 5 от Директива 2000/60/ЕО и резултатите от програмите за мониторинг, създадени в съответствие с член 8 от същата директива;</w:t>
      </w:r>
    </w:p>
    <w:p w14:paraId="48DE040E" w14:textId="77777777" w:rsidR="00753EC5" w:rsidRPr="00921C9B" w:rsidRDefault="00753EC5">
      <w:pPr>
        <w:widowControl/>
        <w:rPr>
          <w:szCs w:val="24"/>
          <w:lang w:eastAsia="en-US"/>
        </w:rPr>
      </w:pPr>
      <w:r w:rsidRPr="00921C9B">
        <w:rPr>
          <w:szCs w:val="24"/>
          <w:lang w:eastAsia="en-US"/>
        </w:rPr>
        <w:br w:type="page"/>
      </w:r>
    </w:p>
    <w:p w14:paraId="67830EFC" w14:textId="4BF31E4B" w:rsidR="000D29CC" w:rsidRPr="00921C9B" w:rsidRDefault="000D29CC" w:rsidP="000D29CC">
      <w:pPr>
        <w:spacing w:before="120" w:after="120" w:line="360" w:lineRule="auto"/>
        <w:ind w:left="1982" w:hanging="566"/>
        <w:rPr>
          <w:szCs w:val="24"/>
          <w:lang w:eastAsia="en-US"/>
        </w:rPr>
      </w:pPr>
      <w:r w:rsidRPr="00921C9B">
        <w:rPr>
          <w:szCs w:val="24"/>
          <w:lang w:eastAsia="en-US"/>
        </w:rPr>
        <w:lastRenderedPageBreak/>
        <w:t>д)</w:t>
      </w:r>
      <w:r w:rsidRPr="00921C9B">
        <w:rPr>
          <w:szCs w:val="24"/>
          <w:lang w:eastAsia="en-US"/>
        </w:rPr>
        <w:tab/>
        <w:t>информация за производствения обем, начините на употреба, присъщите свойства (включително мобилност в почвите и, когато е уместно, размер на частиците), концентрациите в околната среда и неблагоприятните въздействия на дадено вещество или група вещества върху човешкото здраве и водната среда, включително информация, събрана в съответствие с Регламент (ЕО) № 1907/2006 на Европейския парламент и на Съвета***,  Регламент (ЕО) № 1107/2009 на Европейския парламент и на Съвета****, Регламент (ЕС) № 528/2012 на Европейския парламент и на Съвета*****, Регламент (ЕС) 2019/6 на Европейския парламент и на Съвета******, Директива 2001/83/ЕО на Европейския парламент и на Съвета******* и Директива 2009/128/ЕО на Европейския парламент и на Съвета********;</w:t>
      </w:r>
    </w:p>
    <w:p w14:paraId="40F7F8FB" w14:textId="77777777" w:rsidR="00753EC5" w:rsidRPr="00921C9B" w:rsidRDefault="00753EC5">
      <w:pPr>
        <w:widowControl/>
        <w:rPr>
          <w:szCs w:val="24"/>
          <w:lang w:eastAsia="en-US"/>
        </w:rPr>
      </w:pPr>
      <w:r w:rsidRPr="00921C9B">
        <w:rPr>
          <w:szCs w:val="24"/>
          <w:lang w:eastAsia="en-US"/>
        </w:rPr>
        <w:br w:type="page"/>
      </w:r>
    </w:p>
    <w:p w14:paraId="29E2D495" w14:textId="084E5AA4" w:rsidR="000D29CC" w:rsidRPr="00921C9B" w:rsidRDefault="000D29CC" w:rsidP="000D29CC">
      <w:pPr>
        <w:spacing w:before="120" w:after="120" w:line="360" w:lineRule="auto"/>
        <w:ind w:left="1982" w:hanging="566"/>
        <w:rPr>
          <w:b/>
          <w:szCs w:val="24"/>
          <w:lang w:eastAsia="en-US"/>
        </w:rPr>
      </w:pPr>
      <w:r w:rsidRPr="00921C9B">
        <w:rPr>
          <w:szCs w:val="24"/>
          <w:lang w:eastAsia="en-US"/>
        </w:rPr>
        <w:lastRenderedPageBreak/>
        <w:t>е)</w:t>
      </w:r>
      <w:r w:rsidRPr="00921C9B">
        <w:rPr>
          <w:szCs w:val="24"/>
          <w:lang w:eastAsia="en-US"/>
        </w:rPr>
        <w:tab/>
        <w:t>научноизследователски проекти и научни публикации</w:t>
      </w:r>
      <w:r w:rsidRPr="00921C9B">
        <w:rPr>
          <w:b/>
          <w:i/>
          <w:szCs w:val="24"/>
          <w:lang w:eastAsia="en-US"/>
        </w:rPr>
        <w:t xml:space="preserve"> и доказателства</w:t>
      </w:r>
      <w:r w:rsidRPr="00921C9B">
        <w:rPr>
          <w:szCs w:val="24"/>
          <w:lang w:eastAsia="en-US"/>
        </w:rPr>
        <w:t>, включително информация за</w:t>
      </w:r>
      <w:r w:rsidRPr="00921C9B">
        <w:rPr>
          <w:b/>
          <w:i/>
          <w:szCs w:val="24"/>
          <w:lang w:eastAsia="en-US"/>
        </w:rPr>
        <w:t xml:space="preserve"> въздействието на замърсяващите материали и термичните замърсители, както и въздействието на надземните и подземните добивни и инфраструктурни дейности върху подземните водни екосистеми и зависимите от подземни води екосистеми и тяхното биологично разнообразие, информация относно</w:t>
      </w:r>
      <w:r w:rsidRPr="00921C9B">
        <w:rPr>
          <w:szCs w:val="24"/>
          <w:lang w:eastAsia="en-US"/>
        </w:rPr>
        <w:t xml:space="preserve"> тенденции и прогнози, основани на моделиране или на други прогнозни оценки, както и </w:t>
      </w:r>
      <w:r w:rsidRPr="00921C9B">
        <w:rPr>
          <w:strike/>
          <w:szCs w:val="24"/>
          <w:lang w:eastAsia="en-US"/>
        </w:rPr>
        <w:t xml:space="preserve">данни и </w:t>
      </w:r>
      <w:r w:rsidRPr="00921C9B">
        <w:rPr>
          <w:szCs w:val="24"/>
          <w:lang w:eastAsia="en-US"/>
        </w:rPr>
        <w:t>информация</w:t>
      </w:r>
      <w:r w:rsidRPr="00921C9B">
        <w:rPr>
          <w:b/>
          <w:i/>
          <w:szCs w:val="24"/>
          <w:lang w:eastAsia="en-US"/>
        </w:rPr>
        <w:t xml:space="preserve"> и данни, събрани</w:t>
      </w:r>
      <w:r w:rsidRPr="00921C9B">
        <w:rPr>
          <w:szCs w:val="24"/>
          <w:lang w:eastAsia="en-US"/>
        </w:rPr>
        <w:t xml:space="preserve"> от технологии за дистанционно наблюдение, наблюдение на Земята (услуги по програма „Коперник“), датчици и устройства на място или данни от гражданската наука, като се използват </w:t>
      </w:r>
      <w:r w:rsidRPr="00921C9B">
        <w:rPr>
          <w:b/>
          <w:i/>
          <w:szCs w:val="24"/>
          <w:lang w:eastAsia="en-US"/>
        </w:rPr>
        <w:t xml:space="preserve">предимствата на </w:t>
      </w:r>
      <w:r w:rsidRPr="00921C9B">
        <w:rPr>
          <w:szCs w:val="24"/>
          <w:lang w:eastAsia="en-US"/>
        </w:rPr>
        <w:t xml:space="preserve">възможностите, </w:t>
      </w:r>
      <w:r w:rsidRPr="00921C9B">
        <w:rPr>
          <w:strike/>
          <w:szCs w:val="24"/>
          <w:lang w:eastAsia="en-US"/>
        </w:rPr>
        <w:t>предлагани от</w:t>
      </w:r>
      <w:r w:rsidRPr="00921C9B">
        <w:rPr>
          <w:b/>
          <w:i/>
          <w:szCs w:val="24"/>
          <w:lang w:eastAsia="en-US"/>
        </w:rPr>
        <w:t>които се откриват благодарение на</w:t>
      </w:r>
      <w:r w:rsidRPr="00921C9B">
        <w:rPr>
          <w:szCs w:val="24"/>
          <w:lang w:eastAsia="en-US"/>
        </w:rPr>
        <w:t xml:space="preserve"> изкуствения интелект</w:t>
      </w:r>
      <w:r w:rsidRPr="00921C9B">
        <w:rPr>
          <w:strike/>
          <w:szCs w:val="24"/>
          <w:lang w:eastAsia="en-US"/>
        </w:rPr>
        <w:t>,</w:t>
      </w:r>
      <w:r w:rsidRPr="00921C9B">
        <w:rPr>
          <w:b/>
          <w:i/>
          <w:szCs w:val="24"/>
          <w:lang w:eastAsia="en-US"/>
        </w:rPr>
        <w:t xml:space="preserve"> и</w:t>
      </w:r>
      <w:r w:rsidRPr="00921C9B">
        <w:rPr>
          <w:szCs w:val="24"/>
          <w:lang w:eastAsia="en-US"/>
        </w:rPr>
        <w:t xml:space="preserve"> усъвършенствания анализ и обработка на данни;</w:t>
      </w:r>
      <w:r w:rsidR="00D24A73" w:rsidRPr="00921C9B">
        <w:rPr>
          <w:b/>
          <w:szCs w:val="24"/>
          <w:lang w:eastAsia="en-US"/>
        </w:rPr>
        <w:t xml:space="preserve"> [Изм. 88]</w:t>
      </w:r>
    </w:p>
    <w:p w14:paraId="7E021558"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ж)</w:t>
      </w:r>
      <w:r w:rsidRPr="00921C9B">
        <w:rPr>
          <w:szCs w:val="24"/>
          <w:lang w:eastAsia="en-US"/>
        </w:rPr>
        <w:tab/>
        <w:t>препоръки от заинтересованите страни.</w:t>
      </w:r>
    </w:p>
    <w:p w14:paraId="30F9BA2B" w14:textId="77777777" w:rsidR="000D29CC" w:rsidRPr="00921C9B" w:rsidRDefault="000D29CC" w:rsidP="000D29CC">
      <w:pPr>
        <w:spacing w:before="120" w:after="120" w:line="360" w:lineRule="auto"/>
        <w:ind w:left="1416"/>
        <w:rPr>
          <w:szCs w:val="24"/>
          <w:lang w:eastAsia="en-US"/>
        </w:rPr>
      </w:pPr>
      <w:r w:rsidRPr="00921C9B">
        <w:rPr>
          <w:szCs w:val="24"/>
          <w:lang w:eastAsia="en-US"/>
        </w:rPr>
        <w:t>На всеки три години ECHA изготвя доклад, в който се обобщават констатациите от научните доклади, изготвени съгласно четвъртата алинея, и предоставя публичен достъп до този доклад. Първият доклад се предоставя до X [СП: моля, въведете датата = първия ден на двадесет и първия месец след датата на влизане в сила на настоящата директива].</w:t>
      </w:r>
    </w:p>
    <w:p w14:paraId="149204FA" w14:textId="77777777" w:rsidR="00753EC5" w:rsidRPr="00921C9B" w:rsidRDefault="00753EC5">
      <w:pPr>
        <w:widowControl/>
        <w:rPr>
          <w:szCs w:val="24"/>
          <w:lang w:eastAsia="en-US"/>
        </w:rPr>
      </w:pPr>
      <w:r w:rsidRPr="00921C9B">
        <w:rPr>
          <w:szCs w:val="24"/>
          <w:lang w:eastAsia="en-US"/>
        </w:rPr>
        <w:br w:type="page"/>
      </w:r>
    </w:p>
    <w:p w14:paraId="7767DE5B" w14:textId="04177FE4" w:rsidR="000D29CC" w:rsidRPr="00921C9B" w:rsidRDefault="000D29CC" w:rsidP="000D29CC">
      <w:pPr>
        <w:spacing w:before="120" w:after="120" w:line="360" w:lineRule="auto"/>
        <w:ind w:left="1416" w:hanging="566"/>
        <w:rPr>
          <w:b/>
          <w:szCs w:val="24"/>
          <w:lang w:eastAsia="en-US"/>
        </w:rPr>
      </w:pPr>
      <w:r w:rsidRPr="00921C9B">
        <w:rPr>
          <w:szCs w:val="24"/>
          <w:lang w:eastAsia="en-US"/>
        </w:rPr>
        <w:lastRenderedPageBreak/>
        <w:t>2.</w:t>
      </w:r>
      <w:r w:rsidRPr="00921C9B">
        <w:rPr>
          <w:szCs w:val="24"/>
          <w:lang w:eastAsia="en-US"/>
        </w:rPr>
        <w:tab/>
        <w:t xml:space="preserve">Първият списък за наблюдение се приема до ... [СП: моля, въведете датата = първия ден от месеца, следващ 24 месеца след датата на влизане в сила на настоящата директива]. След това списъкът за наблюдение се актуализира </w:t>
      </w:r>
      <w:r w:rsidRPr="00921C9B">
        <w:rPr>
          <w:b/>
          <w:i/>
          <w:szCs w:val="24"/>
          <w:lang w:eastAsia="en-US"/>
        </w:rPr>
        <w:t xml:space="preserve">най-късно </w:t>
      </w:r>
      <w:r w:rsidRPr="00921C9B">
        <w:rPr>
          <w:szCs w:val="24"/>
          <w:lang w:eastAsia="en-US"/>
        </w:rPr>
        <w:t>на всеки 36 месеца</w:t>
      </w:r>
      <w:r w:rsidRPr="00921C9B">
        <w:rPr>
          <w:b/>
          <w:i/>
          <w:szCs w:val="24"/>
          <w:lang w:eastAsia="en-US"/>
        </w:rPr>
        <w:t xml:space="preserve"> или по-често, ако се появят нови научни доказателства, които налагат актуализиране на списъка в периода между отделните прегледи</w:t>
      </w:r>
      <w:r w:rsidRPr="00921C9B">
        <w:rPr>
          <w:szCs w:val="24"/>
          <w:lang w:eastAsia="en-US"/>
        </w:rPr>
        <w:t>.</w:t>
      </w:r>
      <w:r w:rsidR="002322DE" w:rsidRPr="00921C9B">
        <w:rPr>
          <w:b/>
          <w:szCs w:val="24"/>
          <w:lang w:eastAsia="en-US"/>
        </w:rPr>
        <w:t xml:space="preserve"> [Изм.</w:t>
      </w:r>
      <w:r w:rsidR="002322DE" w:rsidRPr="00921C9B">
        <w:rPr>
          <w:b/>
          <w:szCs w:val="24"/>
          <w:lang w:val="en-GB" w:eastAsia="en-US"/>
        </w:rPr>
        <w:t> </w:t>
      </w:r>
      <w:r w:rsidR="002322DE" w:rsidRPr="00921C9B">
        <w:rPr>
          <w:b/>
          <w:szCs w:val="24"/>
          <w:lang w:eastAsia="en-US"/>
        </w:rPr>
        <w:t>89]</w:t>
      </w:r>
    </w:p>
    <w:p w14:paraId="66CA47FC" w14:textId="77FBDDE3" w:rsidR="000D29CC" w:rsidRPr="00921C9B" w:rsidRDefault="000D29CC" w:rsidP="000D29CC">
      <w:pPr>
        <w:spacing w:before="120" w:after="120" w:line="360" w:lineRule="auto"/>
        <w:ind w:left="1416"/>
        <w:rPr>
          <w:b/>
          <w:szCs w:val="24"/>
          <w:lang w:eastAsia="en-US"/>
        </w:rPr>
      </w:pPr>
      <w:r w:rsidRPr="00921C9B">
        <w:rPr>
          <w:b/>
          <w:i/>
          <w:szCs w:val="24"/>
          <w:lang w:eastAsia="en-US"/>
        </w:rPr>
        <w:t>Държавите членки оценяват на всеки две години въздействието на промишлените дейности, свързани с енергийния преход, върху качеството на водите и информират Комисията за новоустановени заплахи, така че тя да може да актуализира списъка за наблюдение. Оценката е леснодостъпна за обществеността.</w:t>
      </w:r>
      <w:r w:rsidR="002322DE" w:rsidRPr="00921C9B">
        <w:rPr>
          <w:b/>
          <w:szCs w:val="24"/>
          <w:lang w:eastAsia="en-US"/>
        </w:rPr>
        <w:t xml:space="preserve"> [Изм. 90]</w:t>
      </w:r>
    </w:p>
    <w:p w14:paraId="621A6DC2" w14:textId="77777777" w:rsidR="00753EC5" w:rsidRPr="00921C9B" w:rsidRDefault="00753EC5">
      <w:pPr>
        <w:widowControl/>
        <w:rPr>
          <w:szCs w:val="24"/>
          <w:lang w:eastAsia="en-US"/>
        </w:rPr>
      </w:pPr>
      <w:r w:rsidRPr="00921C9B">
        <w:rPr>
          <w:szCs w:val="24"/>
          <w:lang w:eastAsia="en-US"/>
        </w:rPr>
        <w:br w:type="page"/>
      </w:r>
    </w:p>
    <w:p w14:paraId="7938835B" w14:textId="40D5B8AC" w:rsidR="000D29CC" w:rsidRPr="00921C9B" w:rsidRDefault="000D29CC" w:rsidP="000D29CC">
      <w:pPr>
        <w:spacing w:before="120" w:after="120" w:line="360" w:lineRule="auto"/>
        <w:ind w:left="1416"/>
        <w:rPr>
          <w:szCs w:val="24"/>
          <w:lang w:eastAsia="en-US"/>
        </w:rPr>
      </w:pPr>
      <w:r w:rsidRPr="00921C9B">
        <w:rPr>
          <w:szCs w:val="24"/>
          <w:lang w:eastAsia="en-US"/>
        </w:rPr>
        <w:lastRenderedPageBreak/>
        <w:t>При актуализирането Комисията премахва от съществуващия списък за наблюдение всяко вещество или група вещества, за които счита, че е възможно рискът от тях за водната среда да се оцени без допълнителни данни от мониторинга. Когато списъкът за наблюдение се актуализира, отделно вещество или група вещества могат да останат в списъка за наблюдение за още един период от три години, когато са необходими допълнителни данни от мониторинга, за да се оцени рискът за водната среда. Актуализираният списък за наблюдение включва също така едно или повече допълнителни вещества, за които Комисията счита, като взема предвид научните доклади на ECHA, че може да съществува риск за водната среда.</w:t>
      </w:r>
    </w:p>
    <w:p w14:paraId="08144115"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3.</w:t>
      </w:r>
      <w:r w:rsidRPr="00921C9B">
        <w:rPr>
          <w:szCs w:val="24"/>
          <w:lang w:eastAsia="en-US"/>
        </w:rPr>
        <w:tab/>
        <w:t>Държавите членки извършват мониторинг на всяко вещество или група вещества от списъка за наблюдение в избрани представителни станции за мониторинг за период от 24 месеца. Периодът на мониторинг започва в рамките на шест месеца след съставянето на списъка за наблюдение.</w:t>
      </w:r>
    </w:p>
    <w:p w14:paraId="0C118265" w14:textId="33DCD065" w:rsidR="000D29CC" w:rsidRPr="00921C9B" w:rsidRDefault="000D29CC" w:rsidP="000D29CC">
      <w:pPr>
        <w:spacing w:before="120" w:after="120" w:line="360" w:lineRule="auto"/>
        <w:ind w:left="1416"/>
        <w:rPr>
          <w:b/>
          <w:szCs w:val="24"/>
          <w:lang w:eastAsia="en-US"/>
        </w:rPr>
      </w:pPr>
      <w:r w:rsidRPr="00921C9B">
        <w:rPr>
          <w:szCs w:val="24"/>
          <w:lang w:eastAsia="en-US"/>
        </w:rPr>
        <w:t xml:space="preserve">Всяка държава членка избира поне </w:t>
      </w:r>
      <w:r w:rsidRPr="00921C9B">
        <w:rPr>
          <w:strike/>
          <w:szCs w:val="24"/>
          <w:lang w:eastAsia="en-US"/>
        </w:rPr>
        <w:t>една станция</w:t>
      </w:r>
      <w:r w:rsidRPr="00921C9B">
        <w:rPr>
          <w:b/>
          <w:i/>
          <w:szCs w:val="24"/>
          <w:lang w:eastAsia="en-US"/>
        </w:rPr>
        <w:t>две станции</w:t>
      </w:r>
      <w:r w:rsidRPr="00921C9B">
        <w:rPr>
          <w:szCs w:val="24"/>
          <w:lang w:eastAsia="en-US"/>
        </w:rPr>
        <w:t xml:space="preserve"> за мониторинг плюс брой станции, равен на общата площ в km2 на подземните водни обекти, разделена на </w:t>
      </w:r>
      <w:r w:rsidRPr="00921C9B">
        <w:rPr>
          <w:strike/>
          <w:szCs w:val="24"/>
          <w:lang w:eastAsia="en-US"/>
        </w:rPr>
        <w:t>60 000</w:t>
      </w:r>
      <w:r w:rsidRPr="00921C9B">
        <w:rPr>
          <w:b/>
          <w:i/>
          <w:szCs w:val="24"/>
          <w:lang w:eastAsia="en-US"/>
        </w:rPr>
        <w:t>30 000</w:t>
      </w:r>
      <w:r w:rsidRPr="00921C9B">
        <w:rPr>
          <w:szCs w:val="24"/>
          <w:lang w:eastAsia="en-US"/>
        </w:rPr>
        <w:t xml:space="preserve"> (закръглен до най-близкото цяло число).</w:t>
      </w:r>
      <w:r w:rsidR="002322DE" w:rsidRPr="00921C9B">
        <w:rPr>
          <w:b/>
          <w:szCs w:val="24"/>
          <w:lang w:eastAsia="en-US"/>
        </w:rPr>
        <w:t xml:space="preserve"> [Изм. 91]</w:t>
      </w:r>
    </w:p>
    <w:p w14:paraId="0F96FA76" w14:textId="77777777" w:rsidR="00753EC5" w:rsidRPr="00921C9B" w:rsidRDefault="00753EC5">
      <w:pPr>
        <w:widowControl/>
        <w:rPr>
          <w:szCs w:val="24"/>
          <w:lang w:eastAsia="en-US"/>
        </w:rPr>
      </w:pPr>
      <w:r w:rsidRPr="00921C9B">
        <w:rPr>
          <w:szCs w:val="24"/>
          <w:lang w:eastAsia="en-US"/>
        </w:rPr>
        <w:br w:type="page"/>
      </w:r>
    </w:p>
    <w:p w14:paraId="16C42646" w14:textId="2AF18C10" w:rsidR="000D29CC" w:rsidRPr="00921C9B" w:rsidRDefault="000D29CC" w:rsidP="000D29CC">
      <w:pPr>
        <w:spacing w:before="120" w:after="120" w:line="360" w:lineRule="auto"/>
        <w:ind w:left="1416"/>
        <w:rPr>
          <w:szCs w:val="24"/>
          <w:lang w:eastAsia="en-US"/>
        </w:rPr>
      </w:pPr>
      <w:r w:rsidRPr="00921C9B">
        <w:rPr>
          <w:szCs w:val="24"/>
          <w:lang w:eastAsia="en-US"/>
        </w:rPr>
        <w:lastRenderedPageBreak/>
        <w:t>При избора на представителните станции за мониторинг, на честотата на мониторинга и на сезонното разпределение на времето за всяко вещество или група вещества държавите членки вземат предвид моделите на употреба и възможната поява на веществото или на групата вещества. Честотата на извършване на мониторинг е не по-малка от веднъж годишно.</w:t>
      </w:r>
    </w:p>
    <w:p w14:paraId="7DFD0D23" w14:textId="77777777" w:rsidR="000D29CC" w:rsidRPr="00921C9B" w:rsidRDefault="000D29CC" w:rsidP="000D29CC">
      <w:pPr>
        <w:spacing w:before="120" w:after="120" w:line="360" w:lineRule="auto"/>
        <w:ind w:left="1416"/>
        <w:rPr>
          <w:szCs w:val="24"/>
          <w:lang w:eastAsia="en-US"/>
        </w:rPr>
      </w:pPr>
      <w:r w:rsidRPr="00921C9B">
        <w:rPr>
          <w:szCs w:val="24"/>
          <w:lang w:eastAsia="en-US"/>
        </w:rPr>
        <w:t>Когато дадена държава членка е в състояние да генерира достатъчни, съпоставими, представителни и актуални данни от мониторинг за конкретно вещество или група вещества от съществуващи програми за мониторинг или изследвания, тя може да реши да не предприема допълнителен мониторинг по механизма на списъка за наблюдение за въпросното вещество или група вещества, при условие че веществото или групата вещества са били наблюдавани чрез методика, която е в съответствие с матриците за мониторинг и с методите за анализ, посочени в акта за изпълнение за създаване на списъка за наблюдение.</w:t>
      </w:r>
    </w:p>
    <w:p w14:paraId="33A3506F" w14:textId="77777777" w:rsidR="00753EC5" w:rsidRPr="00921C9B" w:rsidRDefault="00753EC5">
      <w:pPr>
        <w:widowControl/>
        <w:rPr>
          <w:szCs w:val="24"/>
          <w:lang w:eastAsia="en-US"/>
        </w:rPr>
      </w:pPr>
      <w:r w:rsidRPr="00921C9B">
        <w:rPr>
          <w:szCs w:val="24"/>
          <w:lang w:eastAsia="en-US"/>
        </w:rPr>
        <w:br w:type="page"/>
      </w:r>
    </w:p>
    <w:p w14:paraId="6FEE0361" w14:textId="2E1340A2"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4.</w:t>
      </w:r>
      <w:r w:rsidRPr="00921C9B">
        <w:rPr>
          <w:szCs w:val="24"/>
          <w:lang w:eastAsia="en-US"/>
        </w:rPr>
        <w:tab/>
        <w:t>Държавите членки предоставят на разположение резултатите от мониторинга, посочен в параграф 3 от настоящия член, в съответствие с член 8, параграф 4 от Директива 2000/60/ЕО и с акта за изпълнение за създаване на списъка за наблюдение, приет съгласно параграф 1. Те също така предоставят информация за представителността на станциите за мониторинг и за стратегията за мониторинг.</w:t>
      </w:r>
    </w:p>
    <w:p w14:paraId="19049042"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5.</w:t>
      </w:r>
      <w:r w:rsidRPr="00921C9B">
        <w:rPr>
          <w:szCs w:val="24"/>
          <w:lang w:eastAsia="en-US"/>
        </w:rPr>
        <w:tab/>
        <w:t>ECHA прави преглед на резултатите от мониторинга в края на 24-месечния период, посочен в параграф 3, и преценява кои вещества или групи вещества трябва да бъдат наблюдавани за още един 24-месечен период и следователно трябва да останат в списъка за наблюдение, и кои вещества или групи вещества могат да бъдат премахнати от списъка за наблюдение.</w:t>
      </w:r>
    </w:p>
    <w:p w14:paraId="5F1EFCBB" w14:textId="77777777" w:rsidR="000D29CC" w:rsidRPr="00921C9B" w:rsidRDefault="000D29CC" w:rsidP="000D29CC">
      <w:pPr>
        <w:spacing w:before="120" w:after="120" w:line="360" w:lineRule="auto"/>
        <w:ind w:left="1416"/>
        <w:rPr>
          <w:szCs w:val="24"/>
          <w:lang w:eastAsia="en-US"/>
        </w:rPr>
      </w:pPr>
      <w:r w:rsidRPr="00921C9B">
        <w:rPr>
          <w:szCs w:val="24"/>
          <w:lang w:eastAsia="en-US"/>
        </w:rPr>
        <w:t>Ако Комисията, вземайки предвид оценката на ECHA, посочена в първата алинея, заключи, че не е необходим допълнителен мониторинг за по-нататъшна оценка на риска за водната среда, тази оценка се взема предвид при прегледа на приложение I или II, посочен в член 8.</w:t>
      </w:r>
    </w:p>
    <w:p w14:paraId="1EDD6293" w14:textId="77777777" w:rsidR="00753EC5" w:rsidRPr="00921C9B" w:rsidRDefault="00753EC5">
      <w:pPr>
        <w:widowControl/>
        <w:rPr>
          <w:szCs w:val="24"/>
          <w:lang w:eastAsia="en-US"/>
        </w:rPr>
      </w:pPr>
      <w:r w:rsidRPr="00921C9B">
        <w:rPr>
          <w:szCs w:val="24"/>
          <w:lang w:eastAsia="en-US"/>
        </w:rPr>
        <w:br w:type="page"/>
      </w:r>
    </w:p>
    <w:p w14:paraId="42D27A16" w14:textId="1B51740A" w:rsidR="000D29CC" w:rsidRPr="00921C9B" w:rsidRDefault="000D29CC" w:rsidP="000D29CC">
      <w:pPr>
        <w:spacing w:before="120" w:after="120" w:line="360" w:lineRule="auto"/>
        <w:ind w:left="1416"/>
        <w:rPr>
          <w:szCs w:val="24"/>
          <w:lang w:eastAsia="en-US"/>
        </w:rPr>
      </w:pPr>
      <w:r w:rsidRPr="00921C9B">
        <w:rPr>
          <w:szCs w:val="24"/>
          <w:lang w:eastAsia="en-US"/>
        </w:rPr>
        <w:lastRenderedPageBreak/>
        <w:t>* Директива 2008/105/ЕО на Европейския парламент и на Съвета за предотвратяване и контрол на замърсяването на повърхностните води, за изменение и последваща отмяна на директиви 82/176/ЕИО, 83/513/ЕИО, 84/156/ЕИО, 84/491/ЕИО, 86/280/ЕИО и за изменение на Директива 2000/60/ЕО на Европейския парламент и на Съвета (ОВ L 348, 24.12.2008 г., стр. 84).</w:t>
      </w:r>
    </w:p>
    <w:p w14:paraId="1FA263E7" w14:textId="77777777" w:rsidR="000D29CC" w:rsidRPr="00921C9B" w:rsidRDefault="000D29CC" w:rsidP="000D29CC">
      <w:pPr>
        <w:spacing w:before="120" w:after="120" w:line="360" w:lineRule="auto"/>
        <w:ind w:left="1416"/>
        <w:rPr>
          <w:szCs w:val="24"/>
          <w:lang w:eastAsia="en-US"/>
        </w:rPr>
      </w:pPr>
      <w:r w:rsidRPr="00921C9B">
        <w:rPr>
          <w:szCs w:val="24"/>
          <w:lang w:eastAsia="en-US"/>
        </w:rPr>
        <w:t>** Директива (ЕС) 2020/2184 на Европейския парламент и на Съвета от 16 декември 2020 г. относно качеството на водата, предназначена за консумация от човека (ОВ L 435, 23.12.2020 г., стр. 1).</w:t>
      </w:r>
    </w:p>
    <w:p w14:paraId="33DF5A74" w14:textId="77777777" w:rsidR="000D29CC" w:rsidRPr="00921C9B" w:rsidRDefault="000D29CC" w:rsidP="000D29CC">
      <w:pPr>
        <w:spacing w:before="120" w:after="120" w:line="360" w:lineRule="auto"/>
        <w:ind w:left="1416"/>
        <w:rPr>
          <w:szCs w:val="24"/>
          <w:lang w:eastAsia="en-US"/>
        </w:rPr>
      </w:pPr>
      <w:r w:rsidRPr="00921C9B">
        <w:rPr>
          <w:szCs w:val="24"/>
          <w:lang w:eastAsia="en-US"/>
        </w:rPr>
        <w:t>*** Регламент (ЕО) № 1907/2006 на Европейския парламент и на Съвета от 18 декември 2006 г. относно регистрацията, оценката, разрешаването и ограничаването на химикали (ОВ L 396, 30.12.2006 г., стр. 1).</w:t>
      </w:r>
    </w:p>
    <w:p w14:paraId="1A9DDD33" w14:textId="77777777" w:rsidR="000D29CC" w:rsidRPr="00921C9B" w:rsidRDefault="000D29CC" w:rsidP="000D29CC">
      <w:pPr>
        <w:spacing w:before="120" w:after="120" w:line="360" w:lineRule="auto"/>
        <w:ind w:left="1416"/>
        <w:rPr>
          <w:szCs w:val="24"/>
          <w:lang w:eastAsia="en-US"/>
        </w:rPr>
      </w:pPr>
      <w:r w:rsidRPr="00921C9B">
        <w:rPr>
          <w:szCs w:val="24"/>
          <w:lang w:eastAsia="en-US"/>
        </w:rPr>
        <w:t>**** Регламент (ЕО) № 1107/2009 на Европейския парламент и на Съвета от 21 октомври 2009 г. относно пускането на пазара на продукти за растителна защита (ОВ L 309, 24.11.2009 г., стр. 1).</w:t>
      </w:r>
    </w:p>
    <w:p w14:paraId="6CE6E721" w14:textId="77777777" w:rsidR="00753EC5" w:rsidRPr="00921C9B" w:rsidRDefault="00753EC5">
      <w:pPr>
        <w:widowControl/>
        <w:rPr>
          <w:szCs w:val="24"/>
          <w:lang w:eastAsia="en-US"/>
        </w:rPr>
      </w:pPr>
      <w:r w:rsidRPr="00921C9B">
        <w:rPr>
          <w:szCs w:val="24"/>
          <w:lang w:eastAsia="en-US"/>
        </w:rPr>
        <w:br w:type="page"/>
      </w:r>
    </w:p>
    <w:p w14:paraId="353BA4D3" w14:textId="2E1B6B0F" w:rsidR="000D29CC" w:rsidRPr="00921C9B" w:rsidRDefault="000D29CC" w:rsidP="000D29CC">
      <w:pPr>
        <w:spacing w:before="120" w:after="120" w:line="360" w:lineRule="auto"/>
        <w:ind w:left="1416"/>
        <w:rPr>
          <w:szCs w:val="24"/>
          <w:lang w:eastAsia="en-US"/>
        </w:rPr>
      </w:pPr>
      <w:r w:rsidRPr="00921C9B">
        <w:rPr>
          <w:szCs w:val="24"/>
          <w:lang w:eastAsia="en-US"/>
        </w:rPr>
        <w:lastRenderedPageBreak/>
        <w:t>***** Регламент (ЕС) № 528/2012 на Европейския парламент и на Съвета от 22 май 2012 г. относно предоставянето на пазара и употребата на биоциди (ОВ L 167, 27.6.2012 г., стр. 1).</w:t>
      </w:r>
    </w:p>
    <w:p w14:paraId="4C2F0E70" w14:textId="77777777" w:rsidR="000D29CC" w:rsidRPr="00921C9B" w:rsidRDefault="000D29CC" w:rsidP="000D29CC">
      <w:pPr>
        <w:spacing w:before="120" w:after="120" w:line="360" w:lineRule="auto"/>
        <w:ind w:left="1416"/>
        <w:rPr>
          <w:szCs w:val="24"/>
          <w:lang w:eastAsia="en-US"/>
        </w:rPr>
      </w:pPr>
      <w:r w:rsidRPr="00921C9B">
        <w:rPr>
          <w:szCs w:val="24"/>
          <w:lang w:eastAsia="en-US"/>
        </w:rPr>
        <w:t>****** Регламент (ЕС) 2019/6 на Европейския парламент и на Съвета от 11 декември 2018 г. относно ветеринарните лекарствени продукти (ОВ L 4, 7.1.2019 г., стр. 43).</w:t>
      </w:r>
    </w:p>
    <w:p w14:paraId="4449CC15" w14:textId="77777777" w:rsidR="000D29CC" w:rsidRPr="00921C9B" w:rsidRDefault="000D29CC" w:rsidP="000D29CC">
      <w:pPr>
        <w:spacing w:before="120" w:after="120" w:line="360" w:lineRule="auto"/>
        <w:ind w:left="1416"/>
        <w:rPr>
          <w:szCs w:val="24"/>
          <w:lang w:eastAsia="en-US"/>
        </w:rPr>
      </w:pPr>
      <w:r w:rsidRPr="00921C9B">
        <w:rPr>
          <w:szCs w:val="24"/>
          <w:lang w:eastAsia="en-US"/>
        </w:rPr>
        <w:t>******* Директива 2001/83/ЕО на Европейския парламент и на Съвета от 6 ноември 2001 г. за утвърждаване на кодекс на Общността относно лекарствени продукти за хуманна употреба (OB L 311, 28.11.2001 г., стр. 67).</w:t>
      </w:r>
    </w:p>
    <w:p w14:paraId="5E2722F6" w14:textId="77777777" w:rsidR="000D29CC" w:rsidRPr="00921C9B" w:rsidRDefault="000D29CC" w:rsidP="000D29CC">
      <w:pPr>
        <w:spacing w:before="120" w:after="120" w:line="360" w:lineRule="auto"/>
        <w:ind w:left="1416"/>
        <w:rPr>
          <w:szCs w:val="24"/>
          <w:lang w:eastAsia="en-US"/>
        </w:rPr>
      </w:pPr>
      <w:r w:rsidRPr="00921C9B">
        <w:rPr>
          <w:szCs w:val="24"/>
          <w:lang w:eastAsia="en-US"/>
        </w:rPr>
        <w:t>******** Директива 2009/128/ЕО на Европейския парламент и на Съвета от 21 октомври 2009 г. за създаване на рамка за действие на Общността за постигане на устойчива употреба на пестициди (ОВ L 309, 24.11.2009 г., стр. 71). “</w:t>
      </w:r>
    </w:p>
    <w:p w14:paraId="68B56816" w14:textId="77777777" w:rsidR="00753EC5" w:rsidRPr="00921C9B" w:rsidRDefault="00753EC5">
      <w:pPr>
        <w:widowControl/>
        <w:rPr>
          <w:b/>
          <w:i/>
          <w:szCs w:val="24"/>
          <w:lang w:eastAsia="en-US"/>
        </w:rPr>
      </w:pPr>
      <w:r w:rsidRPr="00921C9B">
        <w:rPr>
          <w:b/>
          <w:i/>
          <w:szCs w:val="24"/>
          <w:lang w:eastAsia="en-US"/>
        </w:rPr>
        <w:br w:type="page"/>
      </w:r>
    </w:p>
    <w:p w14:paraId="1E750F56" w14:textId="713DBE2B" w:rsidR="000D29CC" w:rsidRPr="00921C9B" w:rsidRDefault="000D29CC" w:rsidP="000D29CC">
      <w:pPr>
        <w:spacing w:before="120" w:after="120" w:line="360" w:lineRule="auto"/>
        <w:ind w:left="850" w:hanging="850"/>
        <w:rPr>
          <w:szCs w:val="24"/>
          <w:lang w:eastAsia="en-US"/>
        </w:rPr>
      </w:pPr>
      <w:r w:rsidRPr="00921C9B">
        <w:rPr>
          <w:b/>
          <w:i/>
          <w:szCs w:val="24"/>
          <w:lang w:eastAsia="en-US"/>
        </w:rPr>
        <w:lastRenderedPageBreak/>
        <w:t>6a)</w:t>
      </w:r>
      <w:r w:rsidRPr="00921C9B">
        <w:rPr>
          <w:szCs w:val="24"/>
          <w:lang w:eastAsia="en-US"/>
        </w:rPr>
        <w:tab/>
      </w:r>
      <w:r w:rsidRPr="00921C9B">
        <w:rPr>
          <w:b/>
          <w:i/>
          <w:szCs w:val="24"/>
          <w:lang w:eastAsia="en-US"/>
        </w:rPr>
        <w:t>добавя се следният член:</w:t>
      </w:r>
    </w:p>
    <w:p w14:paraId="0BDA132A" w14:textId="77777777" w:rsidR="000D29CC" w:rsidRPr="00921C9B" w:rsidRDefault="000D29CC" w:rsidP="000D29CC">
      <w:pPr>
        <w:spacing w:before="120" w:after="120" w:line="360" w:lineRule="auto"/>
        <w:ind w:left="850"/>
        <w:rPr>
          <w:szCs w:val="24"/>
          <w:lang w:eastAsia="en-US"/>
        </w:rPr>
      </w:pPr>
      <w:r w:rsidRPr="00921C9B">
        <w:rPr>
          <w:szCs w:val="24"/>
          <w:lang w:eastAsia="en-US"/>
        </w:rPr>
        <w:t>„</w:t>
      </w:r>
      <w:r w:rsidRPr="00921C9B">
        <w:rPr>
          <w:b/>
          <w:i/>
          <w:szCs w:val="24"/>
          <w:lang w:eastAsia="en-US"/>
        </w:rPr>
        <w:t>Член 6aa</w:t>
      </w:r>
      <w:r w:rsidRPr="00921C9B">
        <w:rPr>
          <w:szCs w:val="24"/>
          <w:lang w:eastAsia="en-US"/>
        </w:rPr>
        <w:br/>
      </w:r>
      <w:r w:rsidRPr="00921C9B">
        <w:rPr>
          <w:b/>
          <w:i/>
          <w:szCs w:val="24"/>
          <w:lang w:eastAsia="en-US"/>
        </w:rPr>
        <w:t>Подобряване на опазването на подземните водни екосистеми</w:t>
      </w:r>
    </w:p>
    <w:p w14:paraId="481DD938" w14:textId="63B74A67" w:rsidR="000D29CC" w:rsidRPr="00921C9B" w:rsidRDefault="000D29CC" w:rsidP="000D29CC">
      <w:pPr>
        <w:spacing w:before="120" w:after="120" w:line="360" w:lineRule="auto"/>
        <w:ind w:left="850"/>
        <w:rPr>
          <w:b/>
          <w:szCs w:val="24"/>
          <w:lang w:eastAsia="en-US"/>
        </w:rPr>
      </w:pPr>
      <w:r w:rsidRPr="00921C9B">
        <w:rPr>
          <w:b/>
          <w:i/>
          <w:szCs w:val="24"/>
          <w:lang w:eastAsia="en-US"/>
        </w:rPr>
        <w:t>Не по-късно от [СП: моля, въведете дата = четири години след датата на влизане в сила на настоящата директива] Комисията публикува оценка на въздействието на физико-химичните елементи, като pH, окисляване и температура, върху здравето на екосистемите на подземните води, придружена, когато е целесъобразно, от законодателно предложение за съответно преразглеждане на настоящата директива, за да се определят съответните параметри, да се предвидят хармонизирани методи за мониторинг и да се определи какво би представлявало „добро екологично състояние“ на подземните води.</w:t>
      </w:r>
      <w:r w:rsidRPr="00921C9B">
        <w:rPr>
          <w:szCs w:val="24"/>
          <w:lang w:eastAsia="en-US"/>
        </w:rPr>
        <w:t>“</w:t>
      </w:r>
      <w:r w:rsidR="002322DE" w:rsidRPr="00921C9B">
        <w:rPr>
          <w:b/>
          <w:szCs w:val="24"/>
          <w:lang w:eastAsia="en-US"/>
        </w:rPr>
        <w:t xml:space="preserve"> [Изм. 92]</w:t>
      </w:r>
    </w:p>
    <w:p w14:paraId="15736B60" w14:textId="77777777" w:rsidR="00753EC5" w:rsidRPr="00921C9B" w:rsidRDefault="00753EC5">
      <w:pPr>
        <w:widowControl/>
        <w:rPr>
          <w:b/>
          <w:i/>
          <w:szCs w:val="24"/>
          <w:lang w:eastAsia="en-US"/>
        </w:rPr>
      </w:pPr>
      <w:r w:rsidRPr="00921C9B">
        <w:rPr>
          <w:b/>
          <w:i/>
          <w:szCs w:val="24"/>
          <w:lang w:eastAsia="en-US"/>
        </w:rPr>
        <w:br w:type="page"/>
      </w:r>
    </w:p>
    <w:p w14:paraId="3C232491" w14:textId="12670690" w:rsidR="000D29CC" w:rsidRPr="00921C9B" w:rsidRDefault="000D29CC" w:rsidP="000D29CC">
      <w:pPr>
        <w:spacing w:before="120" w:after="120" w:line="360" w:lineRule="auto"/>
        <w:ind w:left="850" w:hanging="850"/>
        <w:rPr>
          <w:szCs w:val="24"/>
          <w:lang w:eastAsia="en-US"/>
        </w:rPr>
      </w:pPr>
      <w:r w:rsidRPr="00921C9B">
        <w:rPr>
          <w:b/>
          <w:i/>
          <w:szCs w:val="24"/>
          <w:lang w:eastAsia="en-US"/>
        </w:rPr>
        <w:lastRenderedPageBreak/>
        <w:t>6</w:t>
      </w:r>
      <w:r w:rsidR="002322DE" w:rsidRPr="00921C9B">
        <w:rPr>
          <w:b/>
          <w:i/>
          <w:szCs w:val="24"/>
          <w:lang w:eastAsia="en-US"/>
        </w:rPr>
        <w:t>б</w:t>
      </w:r>
      <w:r w:rsidRPr="00921C9B">
        <w:rPr>
          <w:b/>
          <w:i/>
          <w:szCs w:val="24"/>
          <w:lang w:eastAsia="en-US"/>
        </w:rPr>
        <w:t>)</w:t>
      </w:r>
      <w:r w:rsidRPr="00921C9B">
        <w:rPr>
          <w:szCs w:val="24"/>
          <w:lang w:eastAsia="en-US"/>
        </w:rPr>
        <w:tab/>
      </w:r>
      <w:r w:rsidRPr="00921C9B">
        <w:rPr>
          <w:b/>
          <w:i/>
          <w:szCs w:val="24"/>
          <w:lang w:eastAsia="en-US"/>
        </w:rPr>
        <w:t>вмъква се следният член:</w:t>
      </w:r>
    </w:p>
    <w:p w14:paraId="2B3EA5BE" w14:textId="77777777" w:rsidR="000D29CC" w:rsidRPr="00921C9B" w:rsidRDefault="000D29CC" w:rsidP="000D29CC">
      <w:pPr>
        <w:spacing w:before="120" w:after="120" w:line="360" w:lineRule="auto"/>
        <w:ind w:left="850"/>
        <w:rPr>
          <w:szCs w:val="24"/>
          <w:lang w:eastAsia="en-US"/>
        </w:rPr>
      </w:pPr>
      <w:r w:rsidRPr="00921C9B">
        <w:rPr>
          <w:szCs w:val="24"/>
          <w:lang w:eastAsia="en-US"/>
        </w:rPr>
        <w:t>„</w:t>
      </w:r>
      <w:r w:rsidRPr="00921C9B">
        <w:rPr>
          <w:b/>
          <w:i/>
          <w:szCs w:val="24"/>
          <w:lang w:eastAsia="en-US"/>
        </w:rPr>
        <w:t>Член 6aб</w:t>
      </w:r>
      <w:r w:rsidRPr="00921C9B">
        <w:rPr>
          <w:szCs w:val="24"/>
          <w:lang w:eastAsia="en-US"/>
        </w:rPr>
        <w:br/>
      </w:r>
      <w:r w:rsidRPr="00921C9B">
        <w:rPr>
          <w:b/>
          <w:i/>
          <w:szCs w:val="24"/>
          <w:lang w:eastAsia="en-US"/>
        </w:rPr>
        <w:t>Специално третиране на зони с висока екологична стойност, уязвимост или замърсяване</w:t>
      </w:r>
    </w:p>
    <w:p w14:paraId="1D69466A" w14:textId="4F389CC6" w:rsidR="000D29CC" w:rsidRPr="00921C9B" w:rsidRDefault="000D29CC" w:rsidP="000D29CC">
      <w:pPr>
        <w:spacing w:before="120" w:after="120" w:line="360" w:lineRule="auto"/>
        <w:ind w:left="850"/>
        <w:rPr>
          <w:b/>
          <w:szCs w:val="24"/>
          <w:lang w:eastAsia="en-US"/>
        </w:rPr>
      </w:pPr>
      <w:r w:rsidRPr="00921C9B">
        <w:rPr>
          <w:b/>
          <w:i/>
          <w:szCs w:val="24"/>
          <w:lang w:eastAsia="en-US"/>
        </w:rPr>
        <w:t>В срок до... [не по-късно от четири години след влизането в сила на настоящата директива] публикува оценка на химичното състояние на районите, отличаващи се с висока екологична стойност, уязвимост или замърсяване, като пещери и карстови зони, бивши промишлени обекти и други райони с известна история на замърсяване, придружена, когато е целесъобразно, от законодателно предложение за преразглеждане на настоящата директива.</w:t>
      </w:r>
      <w:r w:rsidRPr="00921C9B">
        <w:rPr>
          <w:szCs w:val="24"/>
          <w:lang w:eastAsia="en-US"/>
        </w:rPr>
        <w:t>“</w:t>
      </w:r>
      <w:r w:rsidR="002322DE" w:rsidRPr="00921C9B">
        <w:rPr>
          <w:b/>
          <w:szCs w:val="24"/>
          <w:lang w:eastAsia="en-US"/>
        </w:rPr>
        <w:t xml:space="preserve"> [Изм. 93]</w:t>
      </w:r>
    </w:p>
    <w:p w14:paraId="5EECABAC" w14:textId="77777777" w:rsidR="00753EC5" w:rsidRPr="00921C9B" w:rsidRDefault="00753EC5">
      <w:pPr>
        <w:widowControl/>
        <w:rPr>
          <w:b/>
          <w:i/>
          <w:szCs w:val="24"/>
          <w:lang w:eastAsia="en-US"/>
        </w:rPr>
      </w:pPr>
      <w:r w:rsidRPr="00921C9B">
        <w:rPr>
          <w:b/>
          <w:i/>
          <w:szCs w:val="24"/>
          <w:lang w:eastAsia="en-US"/>
        </w:rPr>
        <w:br w:type="page"/>
      </w:r>
    </w:p>
    <w:p w14:paraId="6ABF028F" w14:textId="07EB0A09" w:rsidR="000D29CC" w:rsidRPr="00921C9B" w:rsidRDefault="000D29CC" w:rsidP="000D29CC">
      <w:pPr>
        <w:spacing w:before="120" w:after="120" w:line="360" w:lineRule="auto"/>
        <w:ind w:left="850" w:hanging="850"/>
        <w:rPr>
          <w:szCs w:val="24"/>
          <w:lang w:eastAsia="en-US"/>
        </w:rPr>
      </w:pPr>
      <w:r w:rsidRPr="00921C9B">
        <w:rPr>
          <w:b/>
          <w:i/>
          <w:szCs w:val="24"/>
          <w:lang w:eastAsia="en-US"/>
        </w:rPr>
        <w:lastRenderedPageBreak/>
        <w:t>6</w:t>
      </w:r>
      <w:r w:rsidR="002322DE" w:rsidRPr="00921C9B">
        <w:rPr>
          <w:b/>
          <w:i/>
          <w:szCs w:val="24"/>
          <w:lang w:eastAsia="en-US"/>
        </w:rPr>
        <w:t>в</w:t>
      </w:r>
      <w:r w:rsidRPr="00921C9B">
        <w:rPr>
          <w:b/>
          <w:i/>
          <w:szCs w:val="24"/>
          <w:lang w:eastAsia="en-US"/>
        </w:rPr>
        <w:t>)</w:t>
      </w:r>
      <w:r w:rsidRPr="00921C9B">
        <w:rPr>
          <w:szCs w:val="24"/>
          <w:lang w:eastAsia="en-US"/>
        </w:rPr>
        <w:tab/>
      </w:r>
      <w:r w:rsidRPr="00921C9B">
        <w:rPr>
          <w:b/>
          <w:i/>
          <w:szCs w:val="24"/>
          <w:lang w:eastAsia="en-US"/>
        </w:rPr>
        <w:t>вмъква се следният член:</w:t>
      </w:r>
    </w:p>
    <w:p w14:paraId="3CD20EAD" w14:textId="77777777" w:rsidR="000D29CC" w:rsidRPr="00921C9B" w:rsidRDefault="000D29CC" w:rsidP="000D29CC">
      <w:pPr>
        <w:spacing w:before="120" w:after="120" w:line="360" w:lineRule="auto"/>
        <w:ind w:left="850"/>
        <w:rPr>
          <w:szCs w:val="24"/>
          <w:lang w:eastAsia="en-US"/>
        </w:rPr>
      </w:pPr>
      <w:r w:rsidRPr="00921C9B">
        <w:rPr>
          <w:szCs w:val="24"/>
          <w:lang w:eastAsia="en-US"/>
        </w:rPr>
        <w:t>„</w:t>
      </w:r>
      <w:r w:rsidRPr="00921C9B">
        <w:rPr>
          <w:b/>
          <w:i/>
          <w:szCs w:val="24"/>
          <w:lang w:eastAsia="en-US"/>
        </w:rPr>
        <w:t>Член 6aв</w:t>
      </w:r>
    </w:p>
    <w:p w14:paraId="6189DDCF" w14:textId="1B4633A0" w:rsidR="000D29CC" w:rsidRPr="00921C9B" w:rsidRDefault="000D29CC" w:rsidP="000D29CC">
      <w:pPr>
        <w:spacing w:before="120" w:after="120" w:line="360" w:lineRule="auto"/>
        <w:ind w:left="850"/>
        <w:rPr>
          <w:b/>
          <w:szCs w:val="24"/>
          <w:lang w:eastAsia="en-US"/>
        </w:rPr>
      </w:pPr>
      <w:r w:rsidRPr="00921C9B">
        <w:rPr>
          <w:b/>
          <w:i/>
          <w:szCs w:val="24"/>
          <w:lang w:eastAsia="en-US"/>
        </w:rPr>
        <w:t>Не по-късно от... [една година след датата на влизане в сила на настоящата директива] Комисията представя оценка на въздействието, в която се разглежда включването в настоящата директива на механизъм за разширена отговорност на производителя, като се гарантира, че производителите, които пускат на пазара продукти, съдържащи някое от веществата или съединенията, изброени в приложение I, както и вещества, пораждащи нови опасения, включени в списъка за наблюдение съгласно настоящата директива, участват в разходите за програми за мониторинг, разработени съгласно член 8 от Директива 2000/60/ЕО. Оценката на въздействието може да се придружава по целесъобразност от законодателно предложение за преразглеждане на настоящата директива.</w:t>
      </w:r>
      <w:r w:rsidRPr="00921C9B">
        <w:rPr>
          <w:szCs w:val="24"/>
          <w:lang w:eastAsia="en-US"/>
        </w:rPr>
        <w:t>“</w:t>
      </w:r>
      <w:r w:rsidR="002322DE" w:rsidRPr="00921C9B">
        <w:rPr>
          <w:b/>
          <w:szCs w:val="24"/>
          <w:lang w:eastAsia="en-US"/>
        </w:rPr>
        <w:t xml:space="preserve"> [Изм. 94]</w:t>
      </w:r>
    </w:p>
    <w:p w14:paraId="0CE6CE53" w14:textId="77777777" w:rsidR="00753EC5" w:rsidRPr="00921C9B" w:rsidRDefault="00753EC5">
      <w:pPr>
        <w:widowControl/>
        <w:rPr>
          <w:b/>
          <w:i/>
          <w:szCs w:val="24"/>
          <w:lang w:eastAsia="en-US"/>
        </w:rPr>
      </w:pPr>
      <w:r w:rsidRPr="00921C9B">
        <w:rPr>
          <w:b/>
          <w:i/>
          <w:szCs w:val="24"/>
          <w:lang w:eastAsia="en-US"/>
        </w:rPr>
        <w:br w:type="page"/>
      </w:r>
    </w:p>
    <w:p w14:paraId="010F3BAC" w14:textId="3882CC5D" w:rsidR="000D29CC" w:rsidRPr="00921C9B" w:rsidRDefault="000D29CC" w:rsidP="000D29CC">
      <w:pPr>
        <w:spacing w:before="120" w:after="120" w:line="360" w:lineRule="auto"/>
        <w:ind w:left="850" w:hanging="850"/>
        <w:rPr>
          <w:szCs w:val="24"/>
          <w:lang w:eastAsia="en-US"/>
        </w:rPr>
      </w:pPr>
      <w:r w:rsidRPr="00921C9B">
        <w:rPr>
          <w:b/>
          <w:i/>
          <w:szCs w:val="24"/>
          <w:lang w:eastAsia="en-US"/>
        </w:rPr>
        <w:lastRenderedPageBreak/>
        <w:t>6</w:t>
      </w:r>
      <w:r w:rsidR="002322DE" w:rsidRPr="00921C9B">
        <w:rPr>
          <w:b/>
          <w:i/>
          <w:szCs w:val="24"/>
          <w:lang w:eastAsia="en-US"/>
        </w:rPr>
        <w:t>г</w:t>
      </w:r>
      <w:r w:rsidRPr="00921C9B">
        <w:rPr>
          <w:b/>
          <w:i/>
          <w:szCs w:val="24"/>
          <w:lang w:eastAsia="en-US"/>
        </w:rPr>
        <w:t>)</w:t>
      </w:r>
      <w:r w:rsidRPr="00921C9B">
        <w:rPr>
          <w:szCs w:val="24"/>
          <w:lang w:eastAsia="en-US"/>
        </w:rPr>
        <w:tab/>
      </w:r>
      <w:r w:rsidRPr="00921C9B">
        <w:rPr>
          <w:b/>
          <w:i/>
          <w:szCs w:val="24"/>
          <w:lang w:eastAsia="en-US"/>
        </w:rPr>
        <w:t>Вмъква се следният член:</w:t>
      </w:r>
    </w:p>
    <w:p w14:paraId="4070F76C" w14:textId="77777777" w:rsidR="000D29CC" w:rsidRPr="00921C9B" w:rsidRDefault="000D29CC" w:rsidP="000D29CC">
      <w:pPr>
        <w:spacing w:before="120" w:after="120" w:line="360" w:lineRule="auto"/>
        <w:ind w:left="850"/>
        <w:rPr>
          <w:szCs w:val="24"/>
          <w:lang w:eastAsia="en-US"/>
        </w:rPr>
      </w:pPr>
      <w:r w:rsidRPr="00921C9B">
        <w:rPr>
          <w:szCs w:val="24"/>
          <w:lang w:eastAsia="en-US"/>
        </w:rPr>
        <w:t>„</w:t>
      </w:r>
      <w:r w:rsidRPr="00921C9B">
        <w:rPr>
          <w:b/>
          <w:i/>
          <w:szCs w:val="24"/>
          <w:lang w:eastAsia="en-US"/>
        </w:rPr>
        <w:t>Член 6aг</w:t>
      </w:r>
      <w:r w:rsidRPr="00921C9B">
        <w:rPr>
          <w:szCs w:val="24"/>
          <w:lang w:eastAsia="en-US"/>
        </w:rPr>
        <w:br/>
      </w:r>
      <w:r w:rsidRPr="00921C9B">
        <w:rPr>
          <w:b/>
          <w:i/>
          <w:szCs w:val="24"/>
          <w:lang w:eastAsia="en-US"/>
        </w:rPr>
        <w:t>Европейски механизъм за мониторинг</w:t>
      </w:r>
    </w:p>
    <w:p w14:paraId="48D0BE15" w14:textId="77777777" w:rsidR="000D29CC" w:rsidRPr="00921C9B" w:rsidRDefault="000D29CC" w:rsidP="000D29CC">
      <w:pPr>
        <w:spacing w:before="120" w:after="120" w:line="360" w:lineRule="auto"/>
        <w:ind w:left="850"/>
        <w:rPr>
          <w:szCs w:val="24"/>
          <w:lang w:eastAsia="en-US"/>
        </w:rPr>
      </w:pPr>
      <w:r w:rsidRPr="00921C9B">
        <w:rPr>
          <w:b/>
          <w:i/>
          <w:szCs w:val="24"/>
          <w:lang w:eastAsia="en-US"/>
        </w:rPr>
        <w:t>В срок до... [една година след датата на влизане в сила на настоящата директива] Комисията създава съвместен механизъм за мониторинг за управление на изискванията за мониторинг, в случай че това бъде поискано от държавите членки.</w:t>
      </w:r>
    </w:p>
    <w:p w14:paraId="0B18F463" w14:textId="77777777" w:rsidR="000D29CC" w:rsidRPr="00921C9B" w:rsidRDefault="000D29CC" w:rsidP="000D29CC">
      <w:pPr>
        <w:spacing w:before="120" w:after="120" w:line="360" w:lineRule="auto"/>
        <w:ind w:left="850"/>
        <w:rPr>
          <w:szCs w:val="24"/>
          <w:lang w:eastAsia="en-US"/>
        </w:rPr>
      </w:pPr>
      <w:r w:rsidRPr="00921C9B">
        <w:rPr>
          <w:b/>
          <w:i/>
          <w:szCs w:val="24"/>
          <w:lang w:eastAsia="en-US"/>
        </w:rPr>
        <w:t>Комисията определя функционирането на механизма за мониторинг, който обхваща, наред с другото, следното:</w:t>
      </w:r>
    </w:p>
    <w:p w14:paraId="57643BC0" w14:textId="77777777" w:rsidR="000D29CC" w:rsidRPr="00921C9B" w:rsidRDefault="000D29CC" w:rsidP="000D29CC">
      <w:pPr>
        <w:spacing w:before="120" w:after="120" w:line="360" w:lineRule="auto"/>
        <w:ind w:left="1416" w:hanging="566"/>
        <w:rPr>
          <w:szCs w:val="24"/>
          <w:lang w:eastAsia="en-US"/>
        </w:rPr>
      </w:pPr>
      <w:r w:rsidRPr="00921C9B">
        <w:rPr>
          <w:b/>
          <w:i/>
          <w:szCs w:val="24"/>
          <w:lang w:eastAsia="en-US"/>
        </w:rPr>
        <w:t>a)</w:t>
      </w:r>
      <w:r w:rsidRPr="00921C9B">
        <w:rPr>
          <w:szCs w:val="24"/>
          <w:lang w:eastAsia="en-US"/>
        </w:rPr>
        <w:tab/>
      </w:r>
      <w:r w:rsidRPr="00921C9B">
        <w:rPr>
          <w:b/>
          <w:i/>
          <w:szCs w:val="24"/>
          <w:lang w:eastAsia="en-US"/>
        </w:rPr>
        <w:t>доброволния характер на използването на механизма за мониторинг, без да се засяга организацията, която вече е въведена от държавите членки;</w:t>
      </w:r>
    </w:p>
    <w:p w14:paraId="3B552106" w14:textId="65170D39" w:rsidR="000D29CC" w:rsidRPr="00921C9B" w:rsidRDefault="002322DE" w:rsidP="000D29CC">
      <w:pPr>
        <w:spacing w:before="120" w:after="120" w:line="360" w:lineRule="auto"/>
        <w:ind w:left="1416" w:hanging="566"/>
        <w:rPr>
          <w:szCs w:val="24"/>
          <w:lang w:eastAsia="en-US"/>
        </w:rPr>
      </w:pPr>
      <w:r w:rsidRPr="00921C9B">
        <w:rPr>
          <w:b/>
          <w:i/>
          <w:szCs w:val="24"/>
          <w:lang w:eastAsia="en-US"/>
        </w:rPr>
        <w:t>б</w:t>
      </w:r>
      <w:r w:rsidR="000D29CC" w:rsidRPr="00921C9B">
        <w:rPr>
          <w:b/>
          <w:i/>
          <w:szCs w:val="24"/>
          <w:lang w:eastAsia="en-US"/>
        </w:rPr>
        <w:t>)</w:t>
      </w:r>
      <w:r w:rsidR="000D29CC" w:rsidRPr="00921C9B">
        <w:rPr>
          <w:szCs w:val="24"/>
          <w:lang w:eastAsia="en-US"/>
        </w:rPr>
        <w:tab/>
      </w:r>
      <w:r w:rsidR="000D29CC" w:rsidRPr="00921C9B">
        <w:rPr>
          <w:b/>
          <w:i/>
          <w:szCs w:val="24"/>
          <w:lang w:eastAsia="en-US"/>
        </w:rPr>
        <w:t>оперативните процедури за държавите членки, които възнамеряват да използват механизма за мониторинг, включващи, наред с другото, изискването за уведомяване на Комисията за точните им нужди или възможности за мониторинг, точните протоколи за управление на пробите, както и продължителността на периода, през който възнамеряват да бъдат част от механизма;</w:t>
      </w:r>
    </w:p>
    <w:p w14:paraId="697B5380" w14:textId="77777777" w:rsidR="00753EC5" w:rsidRPr="00921C9B" w:rsidRDefault="00753EC5">
      <w:pPr>
        <w:widowControl/>
        <w:rPr>
          <w:b/>
          <w:i/>
          <w:szCs w:val="24"/>
          <w:lang w:eastAsia="en-US"/>
        </w:rPr>
      </w:pPr>
      <w:r w:rsidRPr="00921C9B">
        <w:rPr>
          <w:b/>
          <w:i/>
          <w:szCs w:val="24"/>
          <w:lang w:eastAsia="en-US"/>
        </w:rPr>
        <w:br w:type="page"/>
      </w:r>
    </w:p>
    <w:p w14:paraId="4BE0A8B6" w14:textId="0D860505" w:rsidR="000D29CC" w:rsidRPr="00921C9B" w:rsidRDefault="002322DE" w:rsidP="000D29CC">
      <w:pPr>
        <w:spacing w:before="120" w:after="120" w:line="360" w:lineRule="auto"/>
        <w:ind w:left="1416" w:hanging="566"/>
        <w:rPr>
          <w:b/>
          <w:szCs w:val="24"/>
          <w:lang w:eastAsia="en-US"/>
        </w:rPr>
      </w:pPr>
      <w:r w:rsidRPr="00921C9B">
        <w:rPr>
          <w:b/>
          <w:i/>
          <w:szCs w:val="24"/>
          <w:lang w:eastAsia="en-US"/>
        </w:rPr>
        <w:lastRenderedPageBreak/>
        <w:t>в</w:t>
      </w:r>
      <w:r w:rsidR="000D29CC" w:rsidRPr="00921C9B">
        <w:rPr>
          <w:b/>
          <w:i/>
          <w:szCs w:val="24"/>
          <w:lang w:eastAsia="en-US"/>
        </w:rPr>
        <w:t>)</w:t>
      </w:r>
      <w:r w:rsidR="000D29CC" w:rsidRPr="00921C9B">
        <w:rPr>
          <w:szCs w:val="24"/>
          <w:lang w:eastAsia="en-US"/>
        </w:rPr>
        <w:tab/>
      </w:r>
      <w:r w:rsidR="000D29CC" w:rsidRPr="00921C9B">
        <w:rPr>
          <w:b/>
          <w:i/>
          <w:szCs w:val="24"/>
          <w:lang w:eastAsia="en-US"/>
        </w:rPr>
        <w:t>източниците на финансиране, които могат да включват съответните структурни фондове и програми на Съюза, както и вноски от частния сектор, включително в рамките на механизма за разширена отговорност на производителя, след като той бъде въведен в съответствие с член 6ав.</w:t>
      </w:r>
      <w:r w:rsidR="000D29CC" w:rsidRPr="00921C9B">
        <w:rPr>
          <w:szCs w:val="24"/>
          <w:lang w:eastAsia="en-US"/>
        </w:rPr>
        <w:t>“</w:t>
      </w:r>
      <w:r w:rsidRPr="00921C9B">
        <w:rPr>
          <w:b/>
          <w:szCs w:val="24"/>
          <w:lang w:eastAsia="en-US"/>
        </w:rPr>
        <w:t xml:space="preserve"> [Изм. 95]</w:t>
      </w:r>
    </w:p>
    <w:p w14:paraId="04B53D8A" w14:textId="5ECDDF95" w:rsidR="000D29CC" w:rsidRPr="00921C9B" w:rsidRDefault="000D29CC" w:rsidP="000D29CC">
      <w:pPr>
        <w:spacing w:before="120" w:after="120" w:line="360" w:lineRule="auto"/>
        <w:ind w:left="850" w:hanging="850"/>
        <w:rPr>
          <w:szCs w:val="24"/>
          <w:lang w:eastAsia="en-US"/>
        </w:rPr>
      </w:pPr>
      <w:r w:rsidRPr="00921C9B">
        <w:rPr>
          <w:szCs w:val="24"/>
          <w:lang w:eastAsia="en-US"/>
        </w:rPr>
        <w:t>7)</w:t>
      </w:r>
      <w:r w:rsidRPr="00921C9B">
        <w:rPr>
          <w:szCs w:val="24"/>
          <w:lang w:eastAsia="en-US"/>
        </w:rPr>
        <w:tab/>
        <w:t>член 8 се заменя със следното:</w:t>
      </w:r>
    </w:p>
    <w:p w14:paraId="38068E6E" w14:textId="77777777" w:rsidR="000D29CC" w:rsidRPr="00921C9B" w:rsidRDefault="000D29CC" w:rsidP="000D29CC">
      <w:pPr>
        <w:spacing w:before="120" w:after="120" w:line="360" w:lineRule="auto"/>
        <w:ind w:left="850"/>
        <w:rPr>
          <w:szCs w:val="24"/>
          <w:lang w:eastAsia="en-US"/>
        </w:rPr>
      </w:pPr>
      <w:r w:rsidRPr="00921C9B">
        <w:rPr>
          <w:szCs w:val="24"/>
          <w:lang w:eastAsia="en-US"/>
        </w:rPr>
        <w:t>„Член 8</w:t>
      </w:r>
    </w:p>
    <w:p w14:paraId="6E92EDBF" w14:textId="77777777" w:rsidR="000D29CC" w:rsidRPr="00921C9B" w:rsidRDefault="000D29CC" w:rsidP="000D29CC">
      <w:pPr>
        <w:spacing w:before="120" w:after="120" w:line="360" w:lineRule="auto"/>
        <w:ind w:left="850"/>
        <w:rPr>
          <w:szCs w:val="24"/>
          <w:lang w:eastAsia="en-US"/>
        </w:rPr>
      </w:pPr>
      <w:r w:rsidRPr="00921C9B">
        <w:rPr>
          <w:szCs w:val="24"/>
          <w:lang w:eastAsia="en-US"/>
        </w:rPr>
        <w:t xml:space="preserve">Преразглеждане на приложения I—IV </w:t>
      </w:r>
    </w:p>
    <w:p w14:paraId="15B7A5C9" w14:textId="16EA3216" w:rsidR="000D29CC" w:rsidRPr="00921C9B" w:rsidRDefault="000D29CC" w:rsidP="000D29CC">
      <w:pPr>
        <w:spacing w:before="120" w:after="120" w:line="360" w:lineRule="auto"/>
        <w:ind w:left="1416" w:hanging="566"/>
        <w:rPr>
          <w:b/>
          <w:szCs w:val="24"/>
          <w:lang w:eastAsia="en-US"/>
        </w:rPr>
      </w:pPr>
      <w:r w:rsidRPr="00921C9B">
        <w:rPr>
          <w:szCs w:val="24"/>
          <w:lang w:eastAsia="en-US"/>
        </w:rPr>
        <w:t>1.</w:t>
      </w:r>
      <w:r w:rsidRPr="00921C9B">
        <w:rPr>
          <w:szCs w:val="24"/>
          <w:lang w:eastAsia="en-US"/>
        </w:rPr>
        <w:tab/>
        <w:t xml:space="preserve">Комисията преразглежда за първи път списъка на замърсителите, посочен в приложение I, и стандартите за качество за тези замърсители, посочени в същото приложение, както и списъка на замърсителите и показателите, посочени в част Б от приложение II, до ... [СП: моля, въведете дата = </w:t>
      </w:r>
      <w:r w:rsidRPr="00921C9B">
        <w:rPr>
          <w:strike/>
          <w:szCs w:val="24"/>
          <w:lang w:eastAsia="en-US"/>
        </w:rPr>
        <w:t>шест</w:t>
      </w:r>
      <w:r w:rsidRPr="00921C9B">
        <w:rPr>
          <w:b/>
          <w:i/>
          <w:szCs w:val="24"/>
          <w:lang w:eastAsia="en-US"/>
        </w:rPr>
        <w:t>четири</w:t>
      </w:r>
      <w:r w:rsidRPr="00921C9B">
        <w:rPr>
          <w:szCs w:val="24"/>
          <w:lang w:eastAsia="en-US"/>
        </w:rPr>
        <w:t xml:space="preserve"> години след датата на влизане в сила на настоящата директива] и на всеки </w:t>
      </w:r>
      <w:r w:rsidRPr="00921C9B">
        <w:rPr>
          <w:strike/>
          <w:szCs w:val="24"/>
          <w:lang w:eastAsia="en-US"/>
        </w:rPr>
        <w:t>шест</w:t>
      </w:r>
      <w:r w:rsidRPr="00921C9B">
        <w:rPr>
          <w:b/>
          <w:i/>
          <w:szCs w:val="24"/>
          <w:lang w:eastAsia="en-US"/>
        </w:rPr>
        <w:t>четири</w:t>
      </w:r>
      <w:r w:rsidRPr="00921C9B">
        <w:rPr>
          <w:szCs w:val="24"/>
          <w:lang w:eastAsia="en-US"/>
        </w:rPr>
        <w:t xml:space="preserve"> години след това.</w:t>
      </w:r>
      <w:r w:rsidR="002322DE" w:rsidRPr="00921C9B">
        <w:rPr>
          <w:b/>
          <w:szCs w:val="24"/>
          <w:lang w:eastAsia="en-US"/>
        </w:rPr>
        <w:t xml:space="preserve"> [Изм. 96]</w:t>
      </w:r>
    </w:p>
    <w:p w14:paraId="05D38292" w14:textId="77777777" w:rsidR="00753EC5" w:rsidRPr="00921C9B" w:rsidRDefault="00753EC5">
      <w:pPr>
        <w:widowControl/>
        <w:rPr>
          <w:szCs w:val="24"/>
          <w:lang w:eastAsia="en-US"/>
        </w:rPr>
      </w:pPr>
      <w:r w:rsidRPr="00921C9B">
        <w:rPr>
          <w:szCs w:val="24"/>
          <w:lang w:eastAsia="en-US"/>
        </w:rPr>
        <w:br w:type="page"/>
      </w:r>
    </w:p>
    <w:p w14:paraId="415FCAFD" w14:textId="3B3F48AA" w:rsidR="000D29CC" w:rsidRPr="00921C9B" w:rsidRDefault="000D29CC" w:rsidP="000D29CC">
      <w:pPr>
        <w:spacing w:before="120" w:after="120" w:line="360" w:lineRule="auto"/>
        <w:ind w:left="1416" w:hanging="566"/>
        <w:rPr>
          <w:b/>
          <w:szCs w:val="24"/>
          <w:lang w:eastAsia="en-US"/>
        </w:rPr>
      </w:pPr>
      <w:r w:rsidRPr="00921C9B">
        <w:rPr>
          <w:szCs w:val="24"/>
          <w:lang w:eastAsia="en-US"/>
        </w:rPr>
        <w:lastRenderedPageBreak/>
        <w:t>2.</w:t>
      </w:r>
      <w:r w:rsidRPr="00921C9B">
        <w:rPr>
          <w:szCs w:val="24"/>
          <w:lang w:eastAsia="en-US"/>
        </w:rPr>
        <w:tab/>
      </w:r>
      <w:r w:rsidRPr="00921C9B">
        <w:rPr>
          <w:b/>
          <w:i/>
          <w:szCs w:val="24"/>
          <w:lang w:eastAsia="en-US"/>
        </w:rPr>
        <w:t>Въз основа на преразглеждането</w:t>
      </w:r>
      <w:r w:rsidRPr="00921C9B">
        <w:rPr>
          <w:strike/>
          <w:szCs w:val="24"/>
          <w:lang w:eastAsia="en-US"/>
        </w:rPr>
        <w:t>На</w:t>
      </w:r>
      <w:r w:rsidRPr="00921C9B">
        <w:rPr>
          <w:szCs w:val="24"/>
          <w:lang w:eastAsia="en-US"/>
        </w:rPr>
        <w:t xml:space="preserve"> Комисията </w:t>
      </w:r>
      <w:r w:rsidRPr="00921C9B">
        <w:rPr>
          <w:strike/>
          <w:szCs w:val="24"/>
          <w:lang w:eastAsia="en-US"/>
        </w:rPr>
        <w:t>се предоставя правомощието да приема делегирани актове в съответствие с член 8а</w:t>
      </w:r>
      <w:r w:rsidRPr="00921C9B">
        <w:rPr>
          <w:b/>
          <w:i/>
          <w:szCs w:val="24"/>
          <w:lang w:eastAsia="en-US"/>
        </w:rPr>
        <w:t>представя по целесъобразност законодателни предложения</w:t>
      </w:r>
      <w:r w:rsidRPr="00921C9B">
        <w:rPr>
          <w:szCs w:val="24"/>
          <w:lang w:eastAsia="en-US"/>
        </w:rPr>
        <w:t xml:space="preserve"> за изменение на приложение I с цел адаптирането му към научния и техническия прогрес чрез добавяне или премахване на замърсители на подземните води и стандарти за качество за тези замърсители, посочени в същото приложение</w:t>
      </w:r>
      <w:r w:rsidRPr="00921C9B">
        <w:rPr>
          <w:strike/>
          <w:szCs w:val="24"/>
          <w:lang w:eastAsia="en-US"/>
        </w:rPr>
        <w:t>, и</w:t>
      </w:r>
      <w:r w:rsidRPr="00921C9B">
        <w:rPr>
          <w:b/>
          <w:i/>
          <w:szCs w:val="24"/>
          <w:lang w:eastAsia="en-US"/>
        </w:rPr>
        <w:t>. На Комисията се предоставя правомощието да приема делегирани актове в съответствие с член 8а</w:t>
      </w:r>
      <w:r w:rsidRPr="00921C9B">
        <w:rPr>
          <w:szCs w:val="24"/>
          <w:lang w:eastAsia="en-US"/>
        </w:rPr>
        <w:t xml:space="preserve"> за изменение на част Б</w:t>
      </w:r>
      <w:r w:rsidRPr="00921C9B">
        <w:rPr>
          <w:b/>
          <w:i/>
          <w:szCs w:val="24"/>
          <w:lang w:eastAsia="en-US"/>
        </w:rPr>
        <w:t xml:space="preserve"> от приложение II</w:t>
      </w:r>
      <w:r w:rsidRPr="00921C9B">
        <w:rPr>
          <w:szCs w:val="24"/>
          <w:lang w:eastAsia="en-US"/>
        </w:rPr>
        <w:t xml:space="preserve"> с цел адаптирането ѝ към научния и техническия прогрес чрез добавяне на замърсители или показатели, за които държавите членки трябва да предвидят установяването на национални прагове.</w:t>
      </w:r>
      <w:r w:rsidR="002322DE" w:rsidRPr="00921C9B">
        <w:rPr>
          <w:b/>
          <w:szCs w:val="24"/>
          <w:lang w:eastAsia="en-US"/>
        </w:rPr>
        <w:t xml:space="preserve"> [Изм. 97]</w:t>
      </w:r>
    </w:p>
    <w:p w14:paraId="12FB23E1"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3.</w:t>
      </w:r>
      <w:r w:rsidRPr="00921C9B">
        <w:rPr>
          <w:szCs w:val="24"/>
          <w:lang w:eastAsia="en-US"/>
        </w:rPr>
        <w:tab/>
        <w:t>На Комисията се предоставя правомощието да приема делегирани актове в съответствие с член 8а за изменение на част Г от приложение II с цел адаптирането ѝ към научния и техническия прогрес чрез добавяне или изменение на хармонизирани прагови стойности за един или повече замърсители, изброени в част Б от същото приложение.</w:t>
      </w:r>
    </w:p>
    <w:p w14:paraId="479C2BA8" w14:textId="45610594" w:rsidR="000D29CC" w:rsidRPr="00921C9B" w:rsidRDefault="000D29CC" w:rsidP="000D29CC">
      <w:pPr>
        <w:spacing w:before="120" w:after="120" w:line="360" w:lineRule="auto"/>
        <w:ind w:left="1416" w:hanging="566"/>
        <w:rPr>
          <w:b/>
          <w:szCs w:val="24"/>
          <w:lang w:eastAsia="en-US"/>
        </w:rPr>
      </w:pPr>
      <w:r w:rsidRPr="00921C9B">
        <w:rPr>
          <w:szCs w:val="24"/>
          <w:lang w:eastAsia="en-US"/>
        </w:rPr>
        <w:t>4.</w:t>
      </w:r>
      <w:r w:rsidRPr="00921C9B">
        <w:rPr>
          <w:szCs w:val="24"/>
          <w:lang w:eastAsia="en-US"/>
        </w:rPr>
        <w:tab/>
        <w:t>При приемането на</w:t>
      </w:r>
      <w:r w:rsidRPr="00921C9B">
        <w:rPr>
          <w:b/>
          <w:i/>
          <w:szCs w:val="24"/>
          <w:lang w:eastAsia="en-US"/>
        </w:rPr>
        <w:t xml:space="preserve"> законодателни предложения и</w:t>
      </w:r>
      <w:r w:rsidRPr="00921C9B">
        <w:rPr>
          <w:szCs w:val="24"/>
          <w:lang w:eastAsia="en-US"/>
        </w:rPr>
        <w:t xml:space="preserve"> делегираните актове, посочени в параграфи 2 и 3, Комисията взема предвид научните доклади, изготвени от ECHA съгласно параграф 6 от настоящия член.</w:t>
      </w:r>
      <w:r w:rsidR="002322DE" w:rsidRPr="00921C9B">
        <w:rPr>
          <w:b/>
          <w:szCs w:val="24"/>
          <w:lang w:eastAsia="en-US"/>
        </w:rPr>
        <w:t xml:space="preserve"> [Изм. 98]</w:t>
      </w:r>
    </w:p>
    <w:p w14:paraId="4EDC04D5" w14:textId="77777777" w:rsidR="00753EC5" w:rsidRPr="00921C9B" w:rsidRDefault="00753EC5">
      <w:pPr>
        <w:widowControl/>
        <w:rPr>
          <w:szCs w:val="24"/>
          <w:lang w:eastAsia="en-US"/>
        </w:rPr>
      </w:pPr>
      <w:r w:rsidRPr="00921C9B">
        <w:rPr>
          <w:szCs w:val="24"/>
          <w:lang w:eastAsia="en-US"/>
        </w:rPr>
        <w:br w:type="page"/>
      </w:r>
    </w:p>
    <w:p w14:paraId="4D43995B" w14:textId="1E44C23B"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5.</w:t>
      </w:r>
      <w:r w:rsidRPr="00921C9B">
        <w:rPr>
          <w:szCs w:val="24"/>
          <w:lang w:eastAsia="en-US"/>
        </w:rPr>
        <w:tab/>
        <w:t>На Комисията се предоставя правомощието да приема делегирани актове в съответствие с член 8а за изменение на части А и В от приложение II и на приложения III и VI с цел адаптирането им към научния и технически прогрес.</w:t>
      </w:r>
    </w:p>
    <w:p w14:paraId="355F2348"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6.</w:t>
      </w:r>
      <w:r w:rsidRPr="00921C9B">
        <w:rPr>
          <w:szCs w:val="24"/>
          <w:lang w:eastAsia="en-US"/>
        </w:rPr>
        <w:tab/>
        <w:t>С цел да подпомогне Комисията при преразглеждането на приложения I и II ECHA изготвя научни доклади. В тези доклади се отчита следното:</w:t>
      </w:r>
    </w:p>
    <w:p w14:paraId="1DD9583A"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а)</w:t>
      </w:r>
      <w:r w:rsidRPr="00921C9B">
        <w:rPr>
          <w:szCs w:val="24"/>
          <w:lang w:eastAsia="en-US"/>
        </w:rPr>
        <w:tab/>
        <w:t>становището на Комитета за оценка на риска и Комитета за социално-икономически анализ на ECHA;</w:t>
      </w:r>
    </w:p>
    <w:p w14:paraId="361A5F18"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б)</w:t>
      </w:r>
      <w:r w:rsidRPr="00921C9B">
        <w:rPr>
          <w:szCs w:val="24"/>
          <w:lang w:eastAsia="en-US"/>
        </w:rPr>
        <w:tab/>
        <w:t>резултатите от програмите за мониторинг, установени в съответствие с член 8 от Директива 2000/60/ЕО;</w:t>
      </w:r>
    </w:p>
    <w:p w14:paraId="2CBEF423"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в)</w:t>
      </w:r>
      <w:r w:rsidRPr="00921C9B">
        <w:rPr>
          <w:szCs w:val="24"/>
          <w:lang w:eastAsia="en-US"/>
        </w:rPr>
        <w:tab/>
        <w:t>данните от мониторинга, събрани в съответствие с член 6а, параграф 4 от настоящата директива;</w:t>
      </w:r>
    </w:p>
    <w:p w14:paraId="34A8A314"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г)</w:t>
      </w:r>
      <w:r w:rsidRPr="00921C9B">
        <w:rPr>
          <w:szCs w:val="24"/>
          <w:lang w:eastAsia="en-US"/>
        </w:rPr>
        <w:tab/>
        <w:t>резултатите от прегледите на приложенията към Директива 2008/105/ЕО и Директива (ЕС) 2020/2184;</w:t>
      </w:r>
    </w:p>
    <w:p w14:paraId="78C502EC" w14:textId="77777777" w:rsidR="00753EC5" w:rsidRPr="00921C9B" w:rsidRDefault="00753EC5">
      <w:pPr>
        <w:widowControl/>
        <w:rPr>
          <w:szCs w:val="24"/>
          <w:lang w:eastAsia="en-US"/>
        </w:rPr>
      </w:pPr>
      <w:r w:rsidRPr="00921C9B">
        <w:rPr>
          <w:szCs w:val="24"/>
          <w:lang w:eastAsia="en-US"/>
        </w:rPr>
        <w:br w:type="page"/>
      </w:r>
    </w:p>
    <w:p w14:paraId="4485113B" w14:textId="69B25072" w:rsidR="000D29CC" w:rsidRPr="00921C9B" w:rsidRDefault="000D29CC" w:rsidP="000D29CC">
      <w:pPr>
        <w:spacing w:before="120" w:after="120" w:line="360" w:lineRule="auto"/>
        <w:ind w:left="1982" w:hanging="566"/>
        <w:rPr>
          <w:szCs w:val="24"/>
          <w:lang w:eastAsia="en-US"/>
        </w:rPr>
      </w:pPr>
      <w:r w:rsidRPr="00921C9B">
        <w:rPr>
          <w:szCs w:val="24"/>
          <w:lang w:eastAsia="en-US"/>
        </w:rPr>
        <w:lastRenderedPageBreak/>
        <w:t>д)</w:t>
      </w:r>
      <w:r w:rsidRPr="00921C9B">
        <w:rPr>
          <w:szCs w:val="24"/>
          <w:lang w:eastAsia="en-US"/>
        </w:rPr>
        <w:tab/>
        <w:t>информация и изисквания за справяне със замърсяването на почвата;</w:t>
      </w:r>
    </w:p>
    <w:p w14:paraId="3FF2CB8A" w14:textId="0B2DEE4D" w:rsidR="000D29CC" w:rsidRPr="00921C9B" w:rsidRDefault="000D29CC" w:rsidP="000D29CC">
      <w:pPr>
        <w:spacing w:before="120" w:after="120" w:line="360" w:lineRule="auto"/>
        <w:ind w:left="1982" w:hanging="566"/>
        <w:rPr>
          <w:b/>
          <w:szCs w:val="24"/>
          <w:lang w:eastAsia="en-US"/>
        </w:rPr>
      </w:pPr>
      <w:r w:rsidRPr="00921C9B">
        <w:rPr>
          <w:szCs w:val="24"/>
          <w:lang w:eastAsia="en-US"/>
        </w:rPr>
        <w:t>е)</w:t>
      </w:r>
      <w:r w:rsidRPr="00921C9B">
        <w:rPr>
          <w:szCs w:val="24"/>
          <w:lang w:eastAsia="en-US"/>
        </w:rPr>
        <w:tab/>
        <w:t>научноизследователски програми и научни публикации на Съюза, включително</w:t>
      </w:r>
      <w:r w:rsidRPr="00921C9B">
        <w:rPr>
          <w:b/>
          <w:i/>
          <w:szCs w:val="24"/>
          <w:lang w:eastAsia="en-US"/>
        </w:rPr>
        <w:t xml:space="preserve"> актуална</w:t>
      </w:r>
      <w:r w:rsidRPr="00921C9B">
        <w:rPr>
          <w:szCs w:val="24"/>
          <w:lang w:eastAsia="en-US"/>
        </w:rPr>
        <w:t xml:space="preserve"> информация, получена от технологии за дистанционно наблюдение, наблюдение на Земята (услуги по програма „Коперник“), датчици и устройства на място и/или данни от гражданската наука, като се използват възможностите, предлагани от </w:t>
      </w:r>
      <w:r w:rsidRPr="00921C9B">
        <w:rPr>
          <w:b/>
          <w:i/>
          <w:szCs w:val="24"/>
          <w:lang w:eastAsia="en-US"/>
        </w:rPr>
        <w:t xml:space="preserve">най-добрите налични техники, които могат да включват </w:t>
      </w:r>
      <w:r w:rsidRPr="00921C9B">
        <w:rPr>
          <w:szCs w:val="24"/>
          <w:lang w:eastAsia="en-US"/>
        </w:rPr>
        <w:t>изкуствения интелект, усъвършенствания анализ и обработка на данни;</w:t>
      </w:r>
      <w:r w:rsidR="002322DE" w:rsidRPr="00921C9B">
        <w:rPr>
          <w:b/>
          <w:szCs w:val="24"/>
          <w:lang w:eastAsia="en-US"/>
        </w:rPr>
        <w:t xml:space="preserve"> [Изм. 99]</w:t>
      </w:r>
    </w:p>
    <w:p w14:paraId="6077556E" w14:textId="6FAAA71B" w:rsidR="000D29CC" w:rsidRPr="00921C9B" w:rsidRDefault="000D29CC" w:rsidP="000D29CC">
      <w:pPr>
        <w:spacing w:before="120" w:after="120" w:line="360" w:lineRule="auto"/>
        <w:ind w:left="1982" w:hanging="566"/>
        <w:rPr>
          <w:b/>
          <w:szCs w:val="24"/>
          <w:lang w:eastAsia="en-US"/>
        </w:rPr>
      </w:pPr>
      <w:r w:rsidRPr="00921C9B">
        <w:rPr>
          <w:szCs w:val="24"/>
          <w:lang w:eastAsia="en-US"/>
        </w:rPr>
        <w:t>ж)</w:t>
      </w:r>
      <w:r w:rsidRPr="00921C9B">
        <w:rPr>
          <w:szCs w:val="24"/>
          <w:lang w:eastAsia="en-US"/>
        </w:rPr>
        <w:tab/>
        <w:t>коментари и информация от съответните заинтересовани страни</w:t>
      </w:r>
      <w:r w:rsidRPr="00921C9B">
        <w:rPr>
          <w:b/>
          <w:i/>
          <w:szCs w:val="24"/>
          <w:lang w:eastAsia="en-US"/>
        </w:rPr>
        <w:t>, включително националните регулаторни органи и други съответни органи</w:t>
      </w:r>
      <w:r w:rsidRPr="00921C9B">
        <w:rPr>
          <w:szCs w:val="24"/>
          <w:lang w:eastAsia="en-US"/>
        </w:rPr>
        <w:t>.</w:t>
      </w:r>
      <w:r w:rsidR="002322DE" w:rsidRPr="00921C9B">
        <w:rPr>
          <w:b/>
          <w:szCs w:val="24"/>
          <w:lang w:eastAsia="en-US"/>
        </w:rPr>
        <w:t xml:space="preserve"> [Изм. 100]</w:t>
      </w:r>
    </w:p>
    <w:p w14:paraId="5D15572B" w14:textId="50E688E5" w:rsidR="000D29CC" w:rsidRPr="00921C9B" w:rsidRDefault="000D29CC" w:rsidP="000D29CC">
      <w:pPr>
        <w:spacing w:before="120" w:after="120" w:line="360" w:lineRule="auto"/>
        <w:ind w:left="1416" w:hanging="566"/>
        <w:rPr>
          <w:b/>
          <w:szCs w:val="24"/>
          <w:lang w:eastAsia="en-US"/>
        </w:rPr>
      </w:pPr>
      <w:r w:rsidRPr="00921C9B">
        <w:rPr>
          <w:b/>
          <w:i/>
          <w:szCs w:val="24"/>
          <w:lang w:eastAsia="en-US"/>
        </w:rPr>
        <w:t>6a.</w:t>
      </w:r>
      <w:r w:rsidRPr="00921C9B">
        <w:rPr>
          <w:szCs w:val="24"/>
          <w:lang w:eastAsia="en-US"/>
        </w:rPr>
        <w:tab/>
      </w:r>
      <w:r w:rsidRPr="00921C9B">
        <w:rPr>
          <w:b/>
          <w:i/>
          <w:szCs w:val="24"/>
          <w:lang w:eastAsia="en-US"/>
        </w:rPr>
        <w:t>До 12 януари 2025 г. Комисията изготвя технически насоки относно методите на анализ за целите на мониторинга на перфлуороалкилирани и полифлуороалкилирани съединения по параметрите „общо PFAS“. На Комисията се предоставя правомощието да приема делегирани актове в съответствие с член 8а съответно за изменение на настоящата директива чрез установяване на стандарт за качество за „общо PFAS“ и за изменение на приложение I. Комисията приема тези делегирани актове до 12 януари 2026 г.</w:t>
      </w:r>
      <w:r w:rsidR="002322DE" w:rsidRPr="00921C9B">
        <w:rPr>
          <w:b/>
          <w:szCs w:val="24"/>
          <w:lang w:eastAsia="en-US"/>
        </w:rPr>
        <w:t xml:space="preserve"> [Изм. 101]</w:t>
      </w:r>
    </w:p>
    <w:p w14:paraId="6AED38A0" w14:textId="77777777" w:rsidR="00753EC5" w:rsidRPr="00921C9B" w:rsidRDefault="00753EC5">
      <w:pPr>
        <w:widowControl/>
        <w:rPr>
          <w:szCs w:val="24"/>
          <w:lang w:eastAsia="en-US"/>
        </w:rPr>
      </w:pPr>
      <w:r w:rsidRPr="00921C9B">
        <w:rPr>
          <w:szCs w:val="24"/>
          <w:lang w:eastAsia="en-US"/>
        </w:rPr>
        <w:br w:type="page"/>
      </w:r>
    </w:p>
    <w:p w14:paraId="16BDF047" w14:textId="390E0BF3" w:rsidR="000D29CC" w:rsidRPr="00921C9B" w:rsidRDefault="000D29CC" w:rsidP="000D29CC">
      <w:pPr>
        <w:spacing w:before="120" w:after="120" w:line="360" w:lineRule="auto"/>
        <w:ind w:left="1416" w:hanging="566"/>
        <w:rPr>
          <w:b/>
          <w:szCs w:val="24"/>
          <w:lang w:eastAsia="en-US"/>
        </w:rPr>
      </w:pPr>
      <w:r w:rsidRPr="00921C9B">
        <w:rPr>
          <w:szCs w:val="24"/>
          <w:lang w:eastAsia="en-US"/>
        </w:rPr>
        <w:lastRenderedPageBreak/>
        <w:t>7.</w:t>
      </w:r>
      <w:r w:rsidRPr="00921C9B">
        <w:rPr>
          <w:szCs w:val="24"/>
          <w:lang w:eastAsia="en-US"/>
        </w:rPr>
        <w:tab/>
        <w:t xml:space="preserve">На всеки </w:t>
      </w:r>
      <w:r w:rsidRPr="00921C9B">
        <w:rPr>
          <w:strike/>
          <w:szCs w:val="24"/>
          <w:lang w:eastAsia="en-US"/>
        </w:rPr>
        <w:t>шест</w:t>
      </w:r>
      <w:r w:rsidRPr="00921C9B">
        <w:rPr>
          <w:b/>
          <w:i/>
          <w:szCs w:val="24"/>
          <w:lang w:eastAsia="en-US"/>
        </w:rPr>
        <w:t>четири</w:t>
      </w:r>
      <w:r w:rsidRPr="00921C9B">
        <w:rPr>
          <w:szCs w:val="24"/>
          <w:lang w:eastAsia="en-US"/>
        </w:rPr>
        <w:t xml:space="preserve"> години ECHA изготвя доклад, в който обобщава констатациите от прегледа, посочен в параграфи 2 и 3, и предоставя публичен достъп до него. Първият доклад се представя на Комисията на </w:t>
      </w:r>
      <w:r w:rsidRPr="00921C9B">
        <w:rPr>
          <w:strike/>
          <w:szCs w:val="24"/>
          <w:lang w:eastAsia="en-US"/>
        </w:rPr>
        <w:t>...</w:t>
      </w:r>
      <w:r w:rsidRPr="00921C9B">
        <w:rPr>
          <w:b/>
          <w:i/>
          <w:szCs w:val="24"/>
          <w:lang w:eastAsia="en-US"/>
        </w:rPr>
        <w:t>…</w:t>
      </w:r>
      <w:r w:rsidRPr="00921C9B">
        <w:rPr>
          <w:szCs w:val="24"/>
          <w:lang w:eastAsia="en-US"/>
        </w:rPr>
        <w:t xml:space="preserve"> [СП: моля, въведете </w:t>
      </w:r>
      <w:r w:rsidRPr="00921C9B">
        <w:rPr>
          <w:strike/>
          <w:szCs w:val="24"/>
          <w:lang w:eastAsia="en-US"/>
        </w:rPr>
        <w:t>дата = пет</w:t>
      </w:r>
      <w:r w:rsidRPr="00921C9B">
        <w:rPr>
          <w:b/>
          <w:i/>
          <w:szCs w:val="24"/>
          <w:lang w:eastAsia="en-US"/>
        </w:rPr>
        <w:t>датата = три</w:t>
      </w:r>
      <w:r w:rsidRPr="00921C9B">
        <w:rPr>
          <w:szCs w:val="24"/>
          <w:lang w:eastAsia="en-US"/>
        </w:rPr>
        <w:t xml:space="preserve"> години след датата на влизане в сила на настоящата директива].“</w:t>
      </w:r>
      <w:r w:rsidR="002322DE" w:rsidRPr="00921C9B">
        <w:rPr>
          <w:b/>
          <w:szCs w:val="24"/>
          <w:lang w:eastAsia="en-US"/>
        </w:rPr>
        <w:t xml:space="preserve"> [Изм. 102]</w:t>
      </w:r>
    </w:p>
    <w:p w14:paraId="0FB79D9A" w14:textId="76E12AB0" w:rsidR="000D29CC" w:rsidRPr="00921C9B" w:rsidRDefault="000D29CC" w:rsidP="000D29CC">
      <w:pPr>
        <w:spacing w:before="120" w:after="120" w:line="360" w:lineRule="auto"/>
        <w:ind w:left="850" w:hanging="850"/>
        <w:rPr>
          <w:szCs w:val="24"/>
          <w:lang w:eastAsia="en-US"/>
        </w:rPr>
      </w:pPr>
      <w:r w:rsidRPr="00921C9B">
        <w:rPr>
          <w:szCs w:val="24"/>
          <w:lang w:eastAsia="en-US"/>
        </w:rPr>
        <w:t>8)</w:t>
      </w:r>
      <w:r w:rsidRPr="00921C9B">
        <w:rPr>
          <w:szCs w:val="24"/>
          <w:lang w:eastAsia="en-US"/>
        </w:rPr>
        <w:tab/>
        <w:t>вмъква се следният член 8a:</w:t>
      </w:r>
    </w:p>
    <w:p w14:paraId="1225CD34" w14:textId="77777777" w:rsidR="000D29CC" w:rsidRPr="00921C9B" w:rsidRDefault="000D29CC" w:rsidP="000D29CC">
      <w:pPr>
        <w:spacing w:before="120" w:after="120" w:line="360" w:lineRule="auto"/>
        <w:ind w:left="850"/>
        <w:rPr>
          <w:szCs w:val="24"/>
          <w:lang w:eastAsia="en-US"/>
        </w:rPr>
      </w:pPr>
      <w:r w:rsidRPr="00921C9B">
        <w:rPr>
          <w:szCs w:val="24"/>
          <w:lang w:eastAsia="en-US"/>
        </w:rPr>
        <w:t>„Член 8а</w:t>
      </w:r>
    </w:p>
    <w:p w14:paraId="4F3DF677" w14:textId="77777777" w:rsidR="000D29CC" w:rsidRPr="00921C9B" w:rsidRDefault="000D29CC" w:rsidP="000D29CC">
      <w:pPr>
        <w:spacing w:before="120" w:after="120" w:line="360" w:lineRule="auto"/>
        <w:ind w:left="850"/>
        <w:rPr>
          <w:szCs w:val="24"/>
          <w:lang w:eastAsia="en-US"/>
        </w:rPr>
      </w:pPr>
      <w:r w:rsidRPr="00921C9B">
        <w:rPr>
          <w:szCs w:val="24"/>
          <w:lang w:eastAsia="en-US"/>
        </w:rPr>
        <w:t>Упражняване на делегираните правомощия</w:t>
      </w:r>
    </w:p>
    <w:p w14:paraId="17252460"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w:t>
      </w:r>
      <w:r w:rsidRPr="00921C9B">
        <w:rPr>
          <w:szCs w:val="24"/>
          <w:lang w:eastAsia="en-US"/>
        </w:rPr>
        <w:tab/>
        <w:t>Правомощието да приема делегирани актове се предоставя на Комисията при спазване на предвидените в настоящия член условия.</w:t>
      </w:r>
    </w:p>
    <w:p w14:paraId="06F134FF" w14:textId="16D14DAD" w:rsidR="000D29CC" w:rsidRPr="00921C9B" w:rsidRDefault="000D29CC" w:rsidP="000D29CC">
      <w:pPr>
        <w:spacing w:before="120" w:after="120" w:line="360" w:lineRule="auto"/>
        <w:ind w:left="1416" w:hanging="566"/>
        <w:rPr>
          <w:b/>
          <w:szCs w:val="24"/>
          <w:lang w:eastAsia="en-US"/>
        </w:rPr>
      </w:pPr>
      <w:r w:rsidRPr="00921C9B">
        <w:rPr>
          <w:szCs w:val="24"/>
          <w:lang w:eastAsia="en-US"/>
        </w:rPr>
        <w:t>2.</w:t>
      </w:r>
      <w:r w:rsidRPr="00921C9B">
        <w:rPr>
          <w:szCs w:val="24"/>
          <w:lang w:eastAsia="en-US"/>
        </w:rPr>
        <w:tab/>
        <w:t xml:space="preserve">Правомощието да приема делегирани актове, посочено в член 8, параграфи </w:t>
      </w:r>
      <w:r w:rsidRPr="00921C9B">
        <w:rPr>
          <w:strike/>
          <w:szCs w:val="24"/>
          <w:lang w:eastAsia="en-US"/>
        </w:rPr>
        <w:t>1 и 2</w:t>
      </w:r>
      <w:r w:rsidRPr="00921C9B">
        <w:rPr>
          <w:b/>
          <w:i/>
          <w:szCs w:val="24"/>
          <w:lang w:eastAsia="en-US"/>
        </w:rPr>
        <w:t>2, 3 и 6а</w:t>
      </w:r>
      <w:r w:rsidRPr="00921C9B">
        <w:rPr>
          <w:szCs w:val="24"/>
          <w:lang w:eastAsia="en-US"/>
        </w:rPr>
        <w:t xml:space="preserve">, се предоставя на Комисията за </w:t>
      </w:r>
      <w:r w:rsidRPr="00921C9B">
        <w:rPr>
          <w:strike/>
          <w:szCs w:val="24"/>
          <w:lang w:eastAsia="en-US"/>
        </w:rPr>
        <w:t xml:space="preserve">неопределен </w:t>
      </w:r>
      <w:r w:rsidRPr="00921C9B">
        <w:rPr>
          <w:szCs w:val="24"/>
          <w:lang w:eastAsia="en-US"/>
        </w:rPr>
        <w:t>срок</w:t>
      </w:r>
      <w:r w:rsidRPr="00921C9B">
        <w:rPr>
          <w:b/>
          <w:i/>
          <w:szCs w:val="24"/>
          <w:lang w:eastAsia="en-US"/>
        </w:rPr>
        <w:t xml:space="preserve"> от 6 години</w:t>
      </w:r>
      <w:r w:rsidRPr="00921C9B">
        <w:rPr>
          <w:szCs w:val="24"/>
          <w:lang w:eastAsia="en-US"/>
        </w:rPr>
        <w:t>, считано от [</w:t>
      </w:r>
      <w:r w:rsidRPr="00921C9B">
        <w:rPr>
          <w:strike/>
          <w:szCs w:val="24"/>
          <w:lang w:eastAsia="en-US"/>
        </w:rPr>
        <w:t xml:space="preserve">СП: моля, въведете дата = </w:t>
      </w:r>
      <w:r w:rsidRPr="00921C9B">
        <w:rPr>
          <w:szCs w:val="24"/>
          <w:lang w:eastAsia="en-US"/>
        </w:rPr>
        <w:t>датата на влизане в сила на настоящата директива].</w:t>
      </w:r>
      <w:r w:rsidRPr="00921C9B">
        <w:rPr>
          <w:b/>
          <w:i/>
          <w:szCs w:val="24"/>
          <w:lang w:eastAsia="en-US"/>
        </w:rPr>
        <w:t xml:space="preserve"> Комисията изготвя доклад относно делегирането на правомощия не по-късно от девет месеца преди изтичането на шестгодишния период. Делегирането на правомощия се продължава мълчаливо за срокове с еднаква продължителност, освен ако Европейският парламент или Съветът възразят срещу подобно продължаване не по-късно от три месеца преди изтичането на всеки срок.</w:t>
      </w:r>
      <w:r w:rsidR="002322DE" w:rsidRPr="00921C9B">
        <w:rPr>
          <w:b/>
          <w:szCs w:val="24"/>
          <w:lang w:eastAsia="en-US"/>
        </w:rPr>
        <w:t xml:space="preserve"> [Изм. 103]</w:t>
      </w:r>
    </w:p>
    <w:p w14:paraId="4F8B7CE3" w14:textId="77777777" w:rsidR="00753EC5" w:rsidRPr="00921C9B" w:rsidRDefault="00753EC5">
      <w:pPr>
        <w:widowControl/>
        <w:rPr>
          <w:szCs w:val="24"/>
          <w:lang w:eastAsia="en-US"/>
        </w:rPr>
      </w:pPr>
      <w:r w:rsidRPr="00921C9B">
        <w:rPr>
          <w:szCs w:val="24"/>
          <w:lang w:eastAsia="en-US"/>
        </w:rPr>
        <w:br w:type="page"/>
      </w:r>
    </w:p>
    <w:p w14:paraId="6E8ABE00" w14:textId="29A239AD" w:rsidR="000D29CC" w:rsidRPr="00921C9B" w:rsidRDefault="000D29CC" w:rsidP="000D29CC">
      <w:pPr>
        <w:spacing w:before="120" w:after="120" w:line="360" w:lineRule="auto"/>
        <w:ind w:left="1416" w:hanging="566"/>
        <w:rPr>
          <w:b/>
          <w:szCs w:val="24"/>
          <w:lang w:eastAsia="en-US"/>
        </w:rPr>
      </w:pPr>
      <w:r w:rsidRPr="00921C9B">
        <w:rPr>
          <w:szCs w:val="24"/>
          <w:lang w:eastAsia="en-US"/>
        </w:rPr>
        <w:lastRenderedPageBreak/>
        <w:t>3.</w:t>
      </w:r>
      <w:r w:rsidRPr="00921C9B">
        <w:rPr>
          <w:szCs w:val="24"/>
          <w:lang w:eastAsia="en-US"/>
        </w:rPr>
        <w:tab/>
        <w:t xml:space="preserve">Делегирането на правомощия, посочено в член 8, параграфи </w:t>
      </w:r>
      <w:r w:rsidRPr="00921C9B">
        <w:rPr>
          <w:strike/>
          <w:szCs w:val="24"/>
          <w:lang w:eastAsia="en-US"/>
        </w:rPr>
        <w:t>1 и 2</w:t>
      </w:r>
      <w:r w:rsidRPr="00921C9B">
        <w:rPr>
          <w:b/>
          <w:i/>
          <w:szCs w:val="24"/>
          <w:lang w:eastAsia="en-US"/>
        </w:rPr>
        <w:t>2, 3 и 6а</w:t>
      </w:r>
      <w:r w:rsidRPr="00921C9B">
        <w:rPr>
          <w:szCs w:val="24"/>
          <w:lang w:eastAsia="en-US"/>
        </w:rPr>
        <w:t xml:space="preserve">, може да бъде оттеглено по всяко време от Европейския парламент 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w:t>
      </w:r>
      <w:r w:rsidRPr="008F1CBE">
        <w:rPr>
          <w:i/>
          <w:szCs w:val="24"/>
          <w:lang w:eastAsia="en-US"/>
        </w:rPr>
        <w:t>Официален вестник на Европейския съюз</w:t>
      </w:r>
      <w:r w:rsidRPr="00921C9B">
        <w:rPr>
          <w:szCs w:val="24"/>
          <w:lang w:eastAsia="en-US"/>
        </w:rPr>
        <w:t xml:space="preserve"> или на по-късна дата, посочена в решението. Решението за оттегляне не засяга валидността на делегираните актове, които вече са в сила.</w:t>
      </w:r>
      <w:r w:rsidR="002322DE" w:rsidRPr="00921C9B">
        <w:rPr>
          <w:b/>
          <w:szCs w:val="24"/>
          <w:lang w:eastAsia="en-US"/>
        </w:rPr>
        <w:t xml:space="preserve"> [Изм. 104]</w:t>
      </w:r>
    </w:p>
    <w:p w14:paraId="5BA7FC03" w14:textId="6160384F" w:rsidR="000D29CC" w:rsidRPr="00921C9B" w:rsidRDefault="000D29CC" w:rsidP="000D29CC">
      <w:pPr>
        <w:spacing w:before="120" w:after="120" w:line="360" w:lineRule="auto"/>
        <w:ind w:left="1416" w:hanging="566"/>
        <w:rPr>
          <w:szCs w:val="24"/>
          <w:lang w:eastAsia="en-US"/>
        </w:rPr>
      </w:pPr>
      <w:r w:rsidRPr="00921C9B">
        <w:rPr>
          <w:szCs w:val="24"/>
          <w:lang w:eastAsia="en-US"/>
        </w:rPr>
        <w:t>4.</w:t>
      </w:r>
      <w:r w:rsidRPr="00921C9B">
        <w:rPr>
          <w:szCs w:val="24"/>
          <w:lang w:eastAsia="en-US"/>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за по-добро законотворчество от 13 април 2016 г.</w:t>
      </w:r>
      <w:r w:rsidR="002322DE" w:rsidRPr="00921C9B">
        <w:rPr>
          <w:b/>
          <w:szCs w:val="24"/>
          <w:lang w:eastAsia="en-US"/>
        </w:rPr>
        <w:t xml:space="preserve"> [Изм. </w:t>
      </w:r>
      <w:r w:rsidR="00753EC5" w:rsidRPr="00921C9B">
        <w:rPr>
          <w:b/>
          <w:szCs w:val="24"/>
          <w:lang w:eastAsia="en-US"/>
        </w:rPr>
        <w:t>н</w:t>
      </w:r>
      <w:r w:rsidRPr="00921C9B">
        <w:rPr>
          <w:b/>
          <w:szCs w:val="24"/>
          <w:lang w:eastAsia="en-US"/>
        </w:rPr>
        <w:t>е се отнася до българския текст.</w:t>
      </w:r>
      <w:r w:rsidR="002322DE" w:rsidRPr="00921C9B">
        <w:rPr>
          <w:b/>
          <w:szCs w:val="24"/>
          <w:lang w:eastAsia="en-US"/>
        </w:rPr>
        <w:t>]</w:t>
      </w:r>
    </w:p>
    <w:p w14:paraId="567BDC3A"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5.</w:t>
      </w:r>
      <w:r w:rsidRPr="00921C9B">
        <w:rPr>
          <w:szCs w:val="24"/>
          <w:lang w:eastAsia="en-US"/>
        </w:rPr>
        <w:tab/>
        <w:t>Веднага след като приеме делегиран акт, Комисията нотифицира акта едновременно на Европейския парламент и на Съвета.</w:t>
      </w:r>
    </w:p>
    <w:p w14:paraId="68058F4A" w14:textId="77777777" w:rsidR="00753EC5" w:rsidRPr="00921C9B" w:rsidRDefault="00753EC5">
      <w:pPr>
        <w:widowControl/>
        <w:rPr>
          <w:szCs w:val="24"/>
          <w:lang w:eastAsia="en-US"/>
        </w:rPr>
      </w:pPr>
      <w:r w:rsidRPr="00921C9B">
        <w:rPr>
          <w:szCs w:val="24"/>
          <w:lang w:eastAsia="en-US"/>
        </w:rPr>
        <w:br w:type="page"/>
      </w:r>
    </w:p>
    <w:p w14:paraId="68BC6E71" w14:textId="435D2948" w:rsidR="000D29CC" w:rsidRPr="00921C9B" w:rsidRDefault="000D29CC" w:rsidP="000D29CC">
      <w:pPr>
        <w:spacing w:before="120" w:after="120" w:line="360" w:lineRule="auto"/>
        <w:ind w:left="1416" w:hanging="566"/>
        <w:rPr>
          <w:b/>
          <w:szCs w:val="24"/>
          <w:lang w:eastAsia="en-US"/>
        </w:rPr>
      </w:pPr>
      <w:r w:rsidRPr="00921C9B">
        <w:rPr>
          <w:szCs w:val="24"/>
          <w:lang w:eastAsia="en-US"/>
        </w:rPr>
        <w:lastRenderedPageBreak/>
        <w:t>6.</w:t>
      </w:r>
      <w:r w:rsidRPr="00921C9B">
        <w:rPr>
          <w:szCs w:val="24"/>
          <w:lang w:eastAsia="en-US"/>
        </w:rPr>
        <w:tab/>
        <w:t xml:space="preserve">Делегиран акт, приет съгласно член 8, параграфи </w:t>
      </w:r>
      <w:r w:rsidRPr="00921C9B">
        <w:rPr>
          <w:strike/>
          <w:szCs w:val="24"/>
          <w:lang w:eastAsia="en-US"/>
        </w:rPr>
        <w:t>1 и 2</w:t>
      </w:r>
      <w:r w:rsidRPr="00921C9B">
        <w:rPr>
          <w:b/>
          <w:i/>
          <w:szCs w:val="24"/>
          <w:lang w:eastAsia="en-US"/>
        </w:rPr>
        <w:t>2, 3 или 6а</w:t>
      </w:r>
      <w:r w:rsidRPr="00921C9B">
        <w:rPr>
          <w:szCs w:val="24"/>
          <w:lang w:eastAsia="en-US"/>
        </w:rPr>
        <w:t>, влиза в сила само ако нито Европейският парламент, нито Съветът не са представили възражения в срок от два месеца след нотифицирането на акта на Европейския парламент и на Съвета или ако преди изтичането на този срок и Европейският парламент, и Съветът са уведомили Комисията, че няма да представят възражения. Този срок се удължава с два месеца по инициатива на Европейския парламент или на Съвета.</w:t>
      </w:r>
      <w:r w:rsidRPr="00921C9B">
        <w:rPr>
          <w:strike/>
          <w:szCs w:val="24"/>
          <w:lang w:eastAsia="en-US"/>
        </w:rPr>
        <w:t>;</w:t>
      </w:r>
      <w:r w:rsidRPr="00921C9B">
        <w:rPr>
          <w:szCs w:val="24"/>
          <w:lang w:eastAsia="en-US"/>
        </w:rPr>
        <w:t>“</w:t>
      </w:r>
      <w:r w:rsidR="002322DE" w:rsidRPr="00921C9B">
        <w:rPr>
          <w:b/>
          <w:szCs w:val="24"/>
          <w:lang w:eastAsia="en-US"/>
        </w:rPr>
        <w:t xml:space="preserve"> [Изм. 106]</w:t>
      </w:r>
    </w:p>
    <w:p w14:paraId="1FE5C8EF" w14:textId="1C2DA58E" w:rsidR="000D29CC" w:rsidRPr="00921C9B" w:rsidRDefault="000D29CC" w:rsidP="000D29CC">
      <w:pPr>
        <w:spacing w:before="120" w:after="120" w:line="360" w:lineRule="auto"/>
        <w:ind w:left="850" w:hanging="850"/>
        <w:rPr>
          <w:szCs w:val="24"/>
          <w:lang w:eastAsia="en-US"/>
        </w:rPr>
      </w:pPr>
      <w:r w:rsidRPr="00921C9B">
        <w:rPr>
          <w:szCs w:val="24"/>
          <w:lang w:eastAsia="en-US"/>
        </w:rPr>
        <w:t>9)</w:t>
      </w:r>
      <w:r w:rsidRPr="00921C9B">
        <w:rPr>
          <w:szCs w:val="24"/>
          <w:lang w:eastAsia="en-US"/>
        </w:rPr>
        <w:tab/>
        <w:t>член 9 се заменя със следното:</w:t>
      </w:r>
    </w:p>
    <w:p w14:paraId="4D5A312B" w14:textId="77777777" w:rsidR="000D29CC" w:rsidRPr="00921C9B" w:rsidRDefault="000D29CC" w:rsidP="000D29CC">
      <w:pPr>
        <w:spacing w:before="120" w:after="120" w:line="360" w:lineRule="auto"/>
        <w:ind w:left="850"/>
        <w:rPr>
          <w:szCs w:val="24"/>
          <w:lang w:eastAsia="en-US"/>
        </w:rPr>
      </w:pPr>
      <w:r w:rsidRPr="00921C9B">
        <w:rPr>
          <w:szCs w:val="24"/>
          <w:lang w:eastAsia="en-US"/>
        </w:rPr>
        <w:t>„Член 9</w:t>
      </w:r>
    </w:p>
    <w:p w14:paraId="181D2F3E" w14:textId="77777777" w:rsidR="000D29CC" w:rsidRPr="00921C9B" w:rsidRDefault="000D29CC" w:rsidP="000D29CC">
      <w:pPr>
        <w:spacing w:before="120" w:after="120" w:line="360" w:lineRule="auto"/>
        <w:ind w:left="850"/>
        <w:rPr>
          <w:szCs w:val="24"/>
          <w:lang w:eastAsia="en-US"/>
        </w:rPr>
      </w:pPr>
      <w:r w:rsidRPr="00921C9B">
        <w:rPr>
          <w:szCs w:val="24"/>
          <w:lang w:eastAsia="en-US"/>
        </w:rPr>
        <w:t>Процедура на комитет</w:t>
      </w:r>
    </w:p>
    <w:p w14:paraId="32AA113A"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w:t>
      </w:r>
      <w:r w:rsidRPr="00921C9B">
        <w:rPr>
          <w:szCs w:val="24"/>
          <w:lang w:eastAsia="en-US"/>
        </w:rPr>
        <w:tab/>
        <w:t>Комисията се подпомага от комитет. Този комитет е комитет по смисъла на Регламент (ЕС) № 182/2011 на Европейския парламент и на Съвета*.</w:t>
      </w:r>
    </w:p>
    <w:p w14:paraId="78AD1EE7" w14:textId="77777777" w:rsidR="00753EC5" w:rsidRPr="00921C9B" w:rsidRDefault="00753EC5">
      <w:pPr>
        <w:widowControl/>
        <w:rPr>
          <w:szCs w:val="24"/>
          <w:lang w:eastAsia="en-US"/>
        </w:rPr>
      </w:pPr>
      <w:r w:rsidRPr="00921C9B">
        <w:rPr>
          <w:szCs w:val="24"/>
          <w:lang w:eastAsia="en-US"/>
        </w:rPr>
        <w:br w:type="page"/>
      </w:r>
    </w:p>
    <w:p w14:paraId="41639E49" w14:textId="3856E572"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2.</w:t>
      </w:r>
      <w:r w:rsidRPr="00921C9B">
        <w:rPr>
          <w:szCs w:val="24"/>
          <w:lang w:eastAsia="en-US"/>
        </w:rPr>
        <w:tab/>
        <w:t>При позоваване на настоящия параграф се прилагат разпоредбите на член 5 от Регламент (ЕС) № 182/2011.</w:t>
      </w:r>
    </w:p>
    <w:p w14:paraId="25BC238C" w14:textId="77777777" w:rsidR="000D29CC" w:rsidRPr="00921C9B" w:rsidRDefault="000D29CC" w:rsidP="000D29CC">
      <w:pPr>
        <w:spacing w:before="120" w:after="120" w:line="360" w:lineRule="auto"/>
        <w:ind w:left="850"/>
        <w:rPr>
          <w:szCs w:val="24"/>
          <w:lang w:eastAsia="en-US"/>
        </w:rPr>
      </w:pPr>
      <w:r w:rsidRPr="00921C9B">
        <w:rPr>
          <w:szCs w:val="24"/>
          <w:lang w:eastAsia="en-US"/>
        </w:rPr>
        <w:t>Когато комитетът не даде становище, Комисията не приема проекта на акт за изпълнение и се прилага член 5, параграф 4, трета алинея от Регламент (ЕС) № 182/2011.“;</w:t>
      </w:r>
    </w:p>
    <w:p w14:paraId="3DAC8135" w14:textId="77777777" w:rsidR="000D29CC" w:rsidRPr="00921C9B" w:rsidRDefault="000D29CC" w:rsidP="000D29CC">
      <w:pPr>
        <w:spacing w:before="120" w:after="120" w:line="360" w:lineRule="auto"/>
        <w:ind w:left="850"/>
        <w:rPr>
          <w:szCs w:val="24"/>
          <w:lang w:eastAsia="en-US"/>
        </w:rPr>
      </w:pPr>
      <w:r w:rsidRPr="00921C9B">
        <w:rPr>
          <w:szCs w:val="24"/>
          <w:lang w:eastAsia="en-US"/>
        </w:rPr>
        <w:t>* 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p w14:paraId="1DE5B5CF" w14:textId="1E350145" w:rsidR="000D29CC" w:rsidRPr="00921C9B" w:rsidRDefault="000D29CC" w:rsidP="000D29CC">
      <w:pPr>
        <w:spacing w:before="120" w:after="120" w:line="360" w:lineRule="auto"/>
        <w:ind w:left="850" w:hanging="850"/>
        <w:rPr>
          <w:szCs w:val="24"/>
          <w:lang w:eastAsia="en-US"/>
        </w:rPr>
      </w:pPr>
      <w:r w:rsidRPr="00921C9B">
        <w:rPr>
          <w:szCs w:val="24"/>
          <w:lang w:eastAsia="en-US"/>
        </w:rPr>
        <w:t>10)</w:t>
      </w:r>
      <w:r w:rsidRPr="00921C9B">
        <w:rPr>
          <w:szCs w:val="24"/>
          <w:lang w:eastAsia="en-US"/>
        </w:rPr>
        <w:tab/>
        <w:t>член 10 се заличава;</w:t>
      </w:r>
    </w:p>
    <w:p w14:paraId="107C7ABA" w14:textId="727E6EE2" w:rsidR="000D29CC" w:rsidRPr="00921C9B" w:rsidRDefault="000D29CC" w:rsidP="000D29CC">
      <w:pPr>
        <w:spacing w:before="120" w:after="120" w:line="360" w:lineRule="auto"/>
        <w:ind w:left="850" w:hanging="850"/>
        <w:rPr>
          <w:szCs w:val="24"/>
          <w:lang w:eastAsia="en-US"/>
        </w:rPr>
      </w:pPr>
      <w:r w:rsidRPr="00921C9B">
        <w:rPr>
          <w:szCs w:val="24"/>
          <w:lang w:eastAsia="en-US"/>
        </w:rPr>
        <w:t>11)</w:t>
      </w:r>
      <w:r w:rsidRPr="00921C9B">
        <w:rPr>
          <w:szCs w:val="24"/>
          <w:lang w:eastAsia="en-US"/>
        </w:rPr>
        <w:tab/>
        <w:t>приложение I се заменя с текста в приложение III към настоящата директива;</w:t>
      </w:r>
    </w:p>
    <w:p w14:paraId="127CF1B6" w14:textId="7770C47E" w:rsidR="000D29CC" w:rsidRPr="00921C9B" w:rsidRDefault="000D29CC" w:rsidP="000D29CC">
      <w:pPr>
        <w:spacing w:before="120" w:after="120" w:line="360" w:lineRule="auto"/>
        <w:ind w:left="850" w:hanging="850"/>
        <w:rPr>
          <w:szCs w:val="24"/>
          <w:lang w:eastAsia="en-US"/>
        </w:rPr>
      </w:pPr>
      <w:r w:rsidRPr="00921C9B">
        <w:rPr>
          <w:szCs w:val="24"/>
          <w:lang w:eastAsia="en-US"/>
        </w:rPr>
        <w:t>12)</w:t>
      </w:r>
      <w:r w:rsidRPr="00921C9B">
        <w:rPr>
          <w:szCs w:val="24"/>
          <w:lang w:eastAsia="en-US"/>
        </w:rPr>
        <w:tab/>
        <w:t>приложение II се изменя в съответствие с приложение IV към настоящата директива;</w:t>
      </w:r>
    </w:p>
    <w:p w14:paraId="7B1E6AE0" w14:textId="77777777" w:rsidR="00753EC5" w:rsidRPr="00921C9B" w:rsidRDefault="00753EC5">
      <w:pPr>
        <w:widowControl/>
        <w:rPr>
          <w:szCs w:val="24"/>
          <w:lang w:eastAsia="en-US"/>
        </w:rPr>
      </w:pPr>
      <w:r w:rsidRPr="00921C9B">
        <w:rPr>
          <w:szCs w:val="24"/>
          <w:lang w:eastAsia="en-US"/>
        </w:rPr>
        <w:br w:type="page"/>
      </w:r>
    </w:p>
    <w:p w14:paraId="5E51992C" w14:textId="2487719D"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13)</w:t>
      </w:r>
      <w:r w:rsidRPr="00921C9B">
        <w:rPr>
          <w:szCs w:val="24"/>
          <w:lang w:eastAsia="en-US"/>
        </w:rPr>
        <w:tab/>
        <w:t>в приложение ІII, точка 2 буква в) се заменя със следното:</w:t>
      </w:r>
    </w:p>
    <w:p w14:paraId="7B6E26D1"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„в)</w:t>
      </w:r>
      <w:r w:rsidRPr="00921C9B">
        <w:rPr>
          <w:szCs w:val="24"/>
          <w:lang w:eastAsia="en-US"/>
        </w:rPr>
        <w:tab/>
        <w:t>всяка друга значима информация, включително сравнение на средноаритметичните годишни концентрации на замърсителите в мониторингов пункт със стандартите за качество на подземните води, определени в приложение I, и с праговите стойности, посочени в член 3, параграф 1, букви б) и в).;“</w:t>
      </w:r>
    </w:p>
    <w:p w14:paraId="4BD4071A" w14:textId="72518D42" w:rsidR="000D29CC" w:rsidRPr="00921C9B" w:rsidRDefault="000D29CC" w:rsidP="000D29CC">
      <w:pPr>
        <w:spacing w:before="120" w:after="120" w:line="360" w:lineRule="auto"/>
        <w:ind w:left="850" w:hanging="850"/>
        <w:rPr>
          <w:szCs w:val="24"/>
          <w:lang w:eastAsia="en-US"/>
        </w:rPr>
      </w:pPr>
      <w:r w:rsidRPr="00921C9B">
        <w:rPr>
          <w:szCs w:val="24"/>
          <w:lang w:eastAsia="en-US"/>
        </w:rPr>
        <w:t>14)</w:t>
      </w:r>
      <w:r w:rsidRPr="00921C9B">
        <w:rPr>
          <w:szCs w:val="24"/>
          <w:lang w:eastAsia="en-US"/>
        </w:rPr>
        <w:tab/>
        <w:t>в приложение IV, част Б, точка 1 уводното изречение се заменя със следното:</w:t>
      </w:r>
    </w:p>
    <w:p w14:paraId="20214EEF" w14:textId="6BE64275" w:rsidR="000D29CC" w:rsidRPr="00921C9B" w:rsidRDefault="000D29CC" w:rsidP="000D29CC">
      <w:pPr>
        <w:spacing w:before="120" w:after="120" w:line="360" w:lineRule="auto"/>
        <w:ind w:left="850"/>
        <w:rPr>
          <w:b/>
          <w:szCs w:val="24"/>
          <w:lang w:eastAsia="en-US"/>
        </w:rPr>
      </w:pPr>
      <w:r w:rsidRPr="00921C9B">
        <w:rPr>
          <w:szCs w:val="24"/>
          <w:lang w:eastAsia="en-US"/>
        </w:rPr>
        <w:t>„</w:t>
      </w:r>
      <w:r w:rsidR="002322DE" w:rsidRPr="00921C9B">
        <w:rPr>
          <w:szCs w:val="24"/>
          <w:lang w:eastAsia="en-US"/>
        </w:rPr>
        <w:t>Н</w:t>
      </w:r>
      <w:r w:rsidRPr="00921C9B">
        <w:rPr>
          <w:szCs w:val="24"/>
          <w:lang w:eastAsia="en-US"/>
        </w:rPr>
        <w:t>ачалната точка за прилагане на мерки за обръщане на значими и устойчиви тенденции на повишаване</w:t>
      </w:r>
      <w:r w:rsidRPr="00921C9B">
        <w:rPr>
          <w:b/>
          <w:i/>
          <w:szCs w:val="24"/>
          <w:lang w:eastAsia="en-US"/>
        </w:rPr>
        <w:t>, включително сезонни възходящи тенденции, предизвикани, наред с другото, от ниско заустване на водно тяло,</w:t>
      </w:r>
      <w:r w:rsidRPr="00921C9B">
        <w:rPr>
          <w:szCs w:val="24"/>
          <w:lang w:eastAsia="en-US"/>
        </w:rPr>
        <w:t xml:space="preserve"> ще бъде</w:t>
      </w:r>
      <w:r w:rsidRPr="00921C9B">
        <w:rPr>
          <w:b/>
          <w:i/>
          <w:szCs w:val="24"/>
          <w:lang w:eastAsia="en-US"/>
        </w:rPr>
        <w:t xml:space="preserve"> моментът,</w:t>
      </w:r>
      <w:r w:rsidRPr="00921C9B">
        <w:rPr>
          <w:szCs w:val="24"/>
          <w:lang w:eastAsia="en-US"/>
        </w:rPr>
        <w:t xml:space="preserve"> когато концентрацията за замърсителя достигне </w:t>
      </w:r>
      <w:r w:rsidRPr="00921C9B">
        <w:rPr>
          <w:strike/>
          <w:szCs w:val="24"/>
          <w:lang w:eastAsia="en-US"/>
        </w:rPr>
        <w:t>75 %</w:t>
      </w:r>
      <w:r w:rsidRPr="00921C9B">
        <w:rPr>
          <w:b/>
          <w:i/>
          <w:szCs w:val="24"/>
          <w:lang w:eastAsia="en-US"/>
        </w:rPr>
        <w:t>75%</w:t>
      </w:r>
      <w:r w:rsidRPr="00921C9B">
        <w:rPr>
          <w:szCs w:val="24"/>
          <w:lang w:eastAsia="en-US"/>
        </w:rPr>
        <w:t xml:space="preserve"> от стойността на стандарта за качество на подземните води, определен в приложение I, и праговите стойности, посочени в член 3, параграф 1, букви б) и в), освен ако:</w:t>
      </w:r>
      <w:r w:rsidRPr="00921C9B">
        <w:rPr>
          <w:strike/>
          <w:szCs w:val="24"/>
          <w:lang w:eastAsia="en-US"/>
        </w:rPr>
        <w:t>.</w:t>
      </w:r>
      <w:r w:rsidRPr="00921C9B">
        <w:rPr>
          <w:szCs w:val="24"/>
          <w:lang w:eastAsia="en-US"/>
        </w:rPr>
        <w:t>“</w:t>
      </w:r>
      <w:r w:rsidR="002322DE" w:rsidRPr="00921C9B">
        <w:rPr>
          <w:b/>
          <w:szCs w:val="24"/>
          <w:lang w:eastAsia="en-US"/>
        </w:rPr>
        <w:t xml:space="preserve"> [Изм. 107]</w:t>
      </w:r>
    </w:p>
    <w:p w14:paraId="16F6A646" w14:textId="77777777" w:rsidR="00753EC5" w:rsidRPr="00921C9B" w:rsidRDefault="00753EC5">
      <w:pPr>
        <w:widowControl/>
        <w:rPr>
          <w:szCs w:val="24"/>
          <w:lang w:eastAsia="en-US"/>
        </w:rPr>
      </w:pPr>
      <w:r w:rsidRPr="00921C9B">
        <w:rPr>
          <w:szCs w:val="24"/>
          <w:lang w:eastAsia="en-US"/>
        </w:rPr>
        <w:br w:type="page"/>
      </w:r>
    </w:p>
    <w:p w14:paraId="38DDDC2D" w14:textId="58F70138" w:rsidR="000D29CC" w:rsidRPr="00921C9B" w:rsidRDefault="000D29CC" w:rsidP="000D29CC">
      <w:pPr>
        <w:spacing w:before="120" w:after="120" w:line="360" w:lineRule="auto"/>
        <w:jc w:val="center"/>
        <w:rPr>
          <w:szCs w:val="24"/>
          <w:lang w:eastAsia="en-US"/>
        </w:rPr>
      </w:pPr>
      <w:r w:rsidRPr="00921C9B">
        <w:rPr>
          <w:szCs w:val="24"/>
          <w:lang w:eastAsia="en-US"/>
        </w:rPr>
        <w:lastRenderedPageBreak/>
        <w:t>Член 3</w:t>
      </w:r>
      <w:r w:rsidRPr="00921C9B">
        <w:rPr>
          <w:szCs w:val="24"/>
          <w:lang w:eastAsia="en-US"/>
        </w:rPr>
        <w:br/>
        <w:t>Изменения на Директива 2008/105/ЕО</w:t>
      </w:r>
    </w:p>
    <w:p w14:paraId="32546A6A" w14:textId="77777777" w:rsidR="000D29CC" w:rsidRPr="00921C9B" w:rsidRDefault="000D29CC" w:rsidP="000D29CC">
      <w:pPr>
        <w:spacing w:before="120" w:after="120" w:line="360" w:lineRule="auto"/>
        <w:rPr>
          <w:szCs w:val="24"/>
          <w:lang w:eastAsia="en-US"/>
        </w:rPr>
      </w:pPr>
      <w:r w:rsidRPr="00921C9B">
        <w:rPr>
          <w:szCs w:val="24"/>
          <w:lang w:eastAsia="en-US"/>
        </w:rPr>
        <w:t>Директива 2008/105/ЕО се изменя, както следва:</w:t>
      </w:r>
    </w:p>
    <w:p w14:paraId="6B832398" w14:textId="36987533" w:rsidR="000D29CC" w:rsidRPr="00921C9B" w:rsidRDefault="000D29CC" w:rsidP="000D29CC">
      <w:pPr>
        <w:spacing w:before="120" w:after="120" w:line="360" w:lineRule="auto"/>
        <w:ind w:left="850" w:hanging="850"/>
        <w:rPr>
          <w:szCs w:val="24"/>
          <w:lang w:eastAsia="en-US"/>
        </w:rPr>
      </w:pPr>
      <w:r w:rsidRPr="00921C9B">
        <w:rPr>
          <w:szCs w:val="24"/>
          <w:lang w:eastAsia="en-US"/>
        </w:rPr>
        <w:t>1)</w:t>
      </w:r>
      <w:r w:rsidRPr="00921C9B">
        <w:rPr>
          <w:szCs w:val="24"/>
          <w:lang w:eastAsia="en-US"/>
        </w:rPr>
        <w:tab/>
        <w:t>заглавието се заменя със следното:</w:t>
      </w:r>
    </w:p>
    <w:p w14:paraId="20F97C2D" w14:textId="77777777" w:rsidR="000D29CC" w:rsidRPr="00921C9B" w:rsidRDefault="000D29CC" w:rsidP="000D29CC">
      <w:pPr>
        <w:spacing w:before="120" w:after="120" w:line="360" w:lineRule="auto"/>
        <w:ind w:left="850"/>
        <w:rPr>
          <w:szCs w:val="24"/>
          <w:lang w:eastAsia="en-US"/>
        </w:rPr>
      </w:pPr>
      <w:r w:rsidRPr="00921C9B">
        <w:rPr>
          <w:szCs w:val="24"/>
          <w:lang w:eastAsia="en-US"/>
        </w:rPr>
        <w:t>„Директива 2008/105/ЕО на Европейския парламент и на Съвета от 16 декември 2008 година за предотвратяване и контрол на замърсяването на повърхностните води, за изменение и последваща отмяна на директиви 82/176/ЕИО, 83/513/ЕИО, 84/156/ЕИО, 84/491/ЕИО 86/280/ЕИО на Съвета и за изменение на Директива 2000/60/ЕО на Европейския парламент и на Съвета;“</w:t>
      </w:r>
    </w:p>
    <w:p w14:paraId="1E1D8ADD" w14:textId="77777777" w:rsidR="000D29CC" w:rsidRPr="00921C9B" w:rsidRDefault="000D29CC" w:rsidP="000D29CC">
      <w:pPr>
        <w:spacing w:before="120" w:after="120" w:line="360" w:lineRule="auto"/>
        <w:ind w:left="850" w:hanging="850"/>
        <w:rPr>
          <w:szCs w:val="24"/>
          <w:lang w:eastAsia="en-US"/>
        </w:rPr>
      </w:pPr>
      <w:r w:rsidRPr="00921C9B">
        <w:rPr>
          <w:b/>
          <w:i/>
          <w:szCs w:val="24"/>
          <w:lang w:eastAsia="en-US"/>
        </w:rPr>
        <w:t>1a)</w:t>
      </w:r>
      <w:r w:rsidRPr="00921C9B">
        <w:rPr>
          <w:szCs w:val="24"/>
          <w:lang w:eastAsia="en-US"/>
        </w:rPr>
        <w:tab/>
      </w:r>
      <w:r w:rsidRPr="00921C9B">
        <w:rPr>
          <w:b/>
          <w:i/>
          <w:szCs w:val="24"/>
          <w:lang w:eastAsia="en-US"/>
        </w:rPr>
        <w:t>член 1 се изменя, както следва:</w:t>
      </w:r>
    </w:p>
    <w:p w14:paraId="6E6502D2" w14:textId="77777777" w:rsidR="000D29CC" w:rsidRPr="00921C9B" w:rsidRDefault="000D29CC" w:rsidP="000D29CC">
      <w:pPr>
        <w:spacing w:before="120" w:after="120" w:line="360" w:lineRule="auto"/>
        <w:ind w:left="850"/>
        <w:rPr>
          <w:szCs w:val="24"/>
          <w:lang w:eastAsia="en-US"/>
        </w:rPr>
      </w:pPr>
      <w:r w:rsidRPr="00921C9B">
        <w:rPr>
          <w:szCs w:val="24"/>
          <w:lang w:eastAsia="en-US"/>
        </w:rPr>
        <w:t>„</w:t>
      </w:r>
      <w:r w:rsidRPr="00921C9B">
        <w:rPr>
          <w:b/>
          <w:i/>
          <w:szCs w:val="24"/>
          <w:lang w:eastAsia="en-US"/>
        </w:rPr>
        <w:t>Член 1</w:t>
      </w:r>
      <w:r w:rsidRPr="00921C9B">
        <w:rPr>
          <w:szCs w:val="24"/>
          <w:lang w:eastAsia="en-US"/>
        </w:rPr>
        <w:br/>
      </w:r>
      <w:r w:rsidRPr="00921C9B">
        <w:rPr>
          <w:b/>
          <w:i/>
          <w:szCs w:val="24"/>
          <w:lang w:eastAsia="en-US"/>
        </w:rPr>
        <w:t>Предмет</w:t>
      </w:r>
    </w:p>
    <w:p w14:paraId="342A1785" w14:textId="5C294712" w:rsidR="000D29CC" w:rsidRPr="00921C9B" w:rsidRDefault="000D29CC" w:rsidP="000D29CC">
      <w:pPr>
        <w:spacing w:before="120" w:after="120" w:line="360" w:lineRule="auto"/>
        <w:ind w:left="850"/>
        <w:rPr>
          <w:b/>
          <w:szCs w:val="24"/>
          <w:lang w:eastAsia="en-US"/>
        </w:rPr>
      </w:pPr>
      <w:r w:rsidRPr="00921C9B">
        <w:rPr>
          <w:b/>
          <w:i/>
          <w:szCs w:val="24"/>
          <w:lang w:eastAsia="en-US"/>
        </w:rPr>
        <w:t>Настоящата директива установява стандарти за качество на околната среда (СКОС) за приоритетни вещества и приоритетни опасни вещества с оглед на постигането на добро химично състояние на повърхностните води и в съответствие с разпоредбите и целите на член 4 от Директива 2000/60/ЕО.</w:t>
      </w:r>
      <w:r w:rsidRPr="00921C9B">
        <w:rPr>
          <w:szCs w:val="24"/>
          <w:lang w:eastAsia="en-US"/>
        </w:rPr>
        <w:t>“</w:t>
      </w:r>
      <w:r w:rsidR="002322DE" w:rsidRPr="00921C9B">
        <w:rPr>
          <w:b/>
          <w:szCs w:val="24"/>
          <w:lang w:eastAsia="en-US"/>
        </w:rPr>
        <w:t xml:space="preserve"> [Изм. 108]</w:t>
      </w:r>
    </w:p>
    <w:p w14:paraId="61CC4F98" w14:textId="77777777" w:rsidR="00753EC5" w:rsidRPr="00921C9B" w:rsidRDefault="00753EC5">
      <w:pPr>
        <w:widowControl/>
        <w:rPr>
          <w:szCs w:val="24"/>
          <w:lang w:eastAsia="en-US"/>
        </w:rPr>
      </w:pPr>
      <w:r w:rsidRPr="00921C9B">
        <w:rPr>
          <w:szCs w:val="24"/>
          <w:lang w:eastAsia="en-US"/>
        </w:rPr>
        <w:br w:type="page"/>
      </w:r>
    </w:p>
    <w:p w14:paraId="4DD50C14" w14:textId="0F55989C"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2)</w:t>
      </w:r>
      <w:r w:rsidRPr="00921C9B">
        <w:rPr>
          <w:szCs w:val="24"/>
          <w:lang w:eastAsia="en-US"/>
        </w:rPr>
        <w:tab/>
        <w:t>член 3 се изменя, както следва:</w:t>
      </w:r>
    </w:p>
    <w:p w14:paraId="013D2F0A"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а)</w:t>
      </w:r>
      <w:r w:rsidRPr="00921C9B">
        <w:rPr>
          <w:szCs w:val="24"/>
          <w:lang w:eastAsia="en-US"/>
        </w:rPr>
        <w:tab/>
        <w:t>в параграф 1а, първа алинея се добавя следната подточка iii):</w:t>
      </w:r>
    </w:p>
    <w:p w14:paraId="234248F5"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„iii)</w:t>
      </w:r>
      <w:r w:rsidRPr="00921C9B">
        <w:rPr>
          <w:szCs w:val="24"/>
          <w:lang w:eastAsia="en-US"/>
        </w:rPr>
        <w:tab/>
        <w:t>веществата с номера 5, 9, 13, 15, 17, 21, 23, 24, 28, 30, 34, 37, 41, 44 в част А от приложение I, за които са определени преразгледани СКОС, и новоустановените вещества с номера от 46 до 70 в част А от приложение I, считано от ... [СП: моля, въведете дата = първия ден от месеца, следващ 18 месеца след датата на влизане в сила на настоящата директива], с цел предотвратяване на влошаването на химичното състояние на повърхностните водни обекти и постигане на добро химично състояние на повърхностните води по отношение на тези вещества.;“</w:t>
      </w:r>
    </w:p>
    <w:p w14:paraId="40F5ACEE"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б)</w:t>
      </w:r>
      <w:r w:rsidRPr="00921C9B">
        <w:rPr>
          <w:szCs w:val="24"/>
          <w:lang w:eastAsia="en-US"/>
        </w:rPr>
        <w:tab/>
        <w:t>параграф 2 се заменя със следното:</w:t>
      </w:r>
    </w:p>
    <w:p w14:paraId="2BF80835"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„2.</w:t>
      </w:r>
      <w:r w:rsidRPr="00921C9B">
        <w:rPr>
          <w:szCs w:val="24"/>
          <w:lang w:eastAsia="en-US"/>
        </w:rPr>
        <w:tab/>
        <w:t>По отношение на веществата, за които в част А от приложение I са определени СКОС за биота или СКОС за седимент, държавите членки прилагат тези СКОС за биота или СКОС за седимент.</w:t>
      </w:r>
    </w:p>
    <w:p w14:paraId="655F9E09" w14:textId="77777777" w:rsidR="000D29CC" w:rsidRPr="00921C9B" w:rsidRDefault="000D29CC" w:rsidP="000D29CC">
      <w:pPr>
        <w:spacing w:before="120" w:after="120" w:line="360" w:lineRule="auto"/>
        <w:ind w:left="1982"/>
        <w:rPr>
          <w:szCs w:val="24"/>
          <w:lang w:eastAsia="en-US"/>
        </w:rPr>
      </w:pPr>
      <w:r w:rsidRPr="00921C9B">
        <w:rPr>
          <w:szCs w:val="24"/>
          <w:lang w:eastAsia="en-US"/>
        </w:rPr>
        <w:t>По отношение на вещества, различни от посочените в първа алинея, държавите членки прилагат СКОС за повърхностните води, определени в част А от приложение I.;“</w:t>
      </w:r>
    </w:p>
    <w:p w14:paraId="52756BAE" w14:textId="77777777" w:rsidR="00753EC5" w:rsidRPr="00921C9B" w:rsidRDefault="00753EC5">
      <w:pPr>
        <w:widowControl/>
        <w:rPr>
          <w:szCs w:val="24"/>
          <w:lang w:eastAsia="en-US"/>
        </w:rPr>
      </w:pPr>
      <w:r w:rsidRPr="00921C9B">
        <w:rPr>
          <w:szCs w:val="24"/>
          <w:lang w:eastAsia="en-US"/>
        </w:rPr>
        <w:br w:type="page"/>
      </w:r>
    </w:p>
    <w:p w14:paraId="203EB5BC" w14:textId="76165986"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в)</w:t>
      </w:r>
      <w:r w:rsidRPr="00921C9B">
        <w:rPr>
          <w:szCs w:val="24"/>
          <w:lang w:eastAsia="en-US"/>
        </w:rPr>
        <w:tab/>
        <w:t>в член 6, първа алинея първото изречение се заменя със следното:</w:t>
      </w:r>
    </w:p>
    <w:p w14:paraId="20CEA772" w14:textId="77777777" w:rsidR="000D29CC" w:rsidRPr="00921C9B" w:rsidRDefault="000D29CC" w:rsidP="000D29CC">
      <w:pPr>
        <w:spacing w:before="120" w:after="120" w:line="360" w:lineRule="auto"/>
        <w:ind w:left="1416"/>
        <w:rPr>
          <w:szCs w:val="24"/>
          <w:lang w:eastAsia="en-US"/>
        </w:rPr>
      </w:pPr>
      <w:r w:rsidRPr="00921C9B">
        <w:rPr>
          <w:szCs w:val="24"/>
          <w:lang w:eastAsia="en-US"/>
        </w:rPr>
        <w:t>„Държавите членки подготвят дългосрочен анализ на тенденциите на концентрациите на приоритетните вещества, посочени в част А от приложение I като вещества, които имат склонност да се натрупват в седимента и/или в биотата, въз основа на мониторинга на седимента или биотата като част от мониторинга на състоянието на повърхностните води, извършван в съответствие с член 8 от Директива 2000/60/ЕО.;“</w:t>
      </w:r>
    </w:p>
    <w:p w14:paraId="32FA7218"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г)</w:t>
      </w:r>
      <w:r w:rsidRPr="00921C9B">
        <w:rPr>
          <w:szCs w:val="24"/>
          <w:lang w:eastAsia="en-US"/>
        </w:rPr>
        <w:tab/>
        <w:t>параграф 7 се заличава;</w:t>
      </w:r>
    </w:p>
    <w:p w14:paraId="4CF7C69A"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д)</w:t>
      </w:r>
      <w:r w:rsidRPr="00921C9B">
        <w:rPr>
          <w:szCs w:val="24"/>
          <w:lang w:eastAsia="en-US"/>
        </w:rPr>
        <w:tab/>
        <w:t>параграф 8 се заменя със следното:</w:t>
      </w:r>
    </w:p>
    <w:p w14:paraId="588AF183"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„8.</w:t>
      </w:r>
      <w:r w:rsidRPr="00921C9B">
        <w:rPr>
          <w:szCs w:val="24"/>
          <w:lang w:eastAsia="en-US"/>
        </w:rPr>
        <w:tab/>
        <w:t>На Комисията се предоставя правомощието да приема делегирани актове в съответствие с член 9а за изменение на част Б, точка 3 от приложение I с цел адаптирането ѝ към научния и техническия прогрес.;“</w:t>
      </w:r>
    </w:p>
    <w:p w14:paraId="036B5692" w14:textId="77777777" w:rsidR="00753EC5" w:rsidRPr="00921C9B" w:rsidRDefault="00753EC5">
      <w:pPr>
        <w:widowControl/>
        <w:rPr>
          <w:szCs w:val="24"/>
          <w:lang w:eastAsia="en-US"/>
        </w:rPr>
      </w:pPr>
      <w:r w:rsidRPr="00921C9B">
        <w:rPr>
          <w:szCs w:val="24"/>
          <w:lang w:eastAsia="en-US"/>
        </w:rPr>
        <w:br w:type="page"/>
      </w:r>
    </w:p>
    <w:p w14:paraId="65601A2F" w14:textId="7DB0D1BE"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3)</w:t>
      </w:r>
      <w:r w:rsidRPr="00921C9B">
        <w:rPr>
          <w:szCs w:val="24"/>
          <w:lang w:eastAsia="en-US"/>
        </w:rPr>
        <w:tab/>
        <w:t>член 5 се изменя, както следва:</w:t>
      </w:r>
    </w:p>
    <w:p w14:paraId="32D976FC"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а)</w:t>
      </w:r>
      <w:r w:rsidRPr="00921C9B">
        <w:rPr>
          <w:szCs w:val="24"/>
          <w:lang w:eastAsia="en-US"/>
        </w:rPr>
        <w:tab/>
        <w:t>параграф 1 се заменя със следното:</w:t>
      </w:r>
    </w:p>
    <w:p w14:paraId="5BB66954" w14:textId="3B136974" w:rsidR="000D29CC" w:rsidRPr="00921C9B" w:rsidRDefault="000D29CC" w:rsidP="000D29CC">
      <w:pPr>
        <w:spacing w:before="120" w:after="120" w:line="360" w:lineRule="auto"/>
        <w:ind w:left="1982" w:hanging="566"/>
        <w:rPr>
          <w:b/>
          <w:szCs w:val="24"/>
          <w:lang w:eastAsia="en-US"/>
        </w:rPr>
      </w:pPr>
      <w:r w:rsidRPr="00921C9B">
        <w:rPr>
          <w:szCs w:val="24"/>
          <w:lang w:eastAsia="en-US"/>
        </w:rPr>
        <w:t>„1.</w:t>
      </w:r>
      <w:r w:rsidRPr="00921C9B">
        <w:rPr>
          <w:szCs w:val="24"/>
          <w:lang w:eastAsia="en-US"/>
        </w:rPr>
        <w:tab/>
        <w:t>Въз основа на събраната информация в съответствие с членове 5 и 8 от Директива 2000/60/ЕО</w:t>
      </w:r>
      <w:r w:rsidRPr="00921C9B">
        <w:rPr>
          <w:b/>
          <w:i/>
          <w:szCs w:val="24"/>
          <w:lang w:eastAsia="en-US"/>
        </w:rPr>
        <w:t xml:space="preserve"> и с Регламент (ЕС) .../... на Европейския парламент и на Съвета</w:t>
      </w:r>
      <w:r w:rsidR="00753EC5" w:rsidRPr="00921C9B">
        <w:rPr>
          <w:b/>
          <w:i/>
          <w:vertAlign w:val="superscript"/>
        </w:rPr>
        <w:t>1a</w:t>
      </w:r>
      <w:r w:rsidRPr="00921C9B">
        <w:rPr>
          <w:b/>
          <w:i/>
          <w:szCs w:val="24"/>
          <w:lang w:eastAsia="en-US"/>
        </w:rPr>
        <w:t>,</w:t>
      </w:r>
      <w:r w:rsidRPr="00921C9B">
        <w:rPr>
          <w:szCs w:val="24"/>
          <w:lang w:eastAsia="en-US"/>
        </w:rPr>
        <w:t xml:space="preserve"> и на други налични данни държавите членки изготвят инвентаризация, включително карти, ако са на разположение, на емисиите, заустванията и загубите на всички приоритетни вещества, посочени в част А от приложение I към настоящата директива, и всички замърсители, посочени в част А от приложение II към настоящата директива, за всеки район на речен басейн или участък от речен басейн, намиращ се на тяхната територия, включително, според случая, техните концентрации в седимента и в биотата.</w:t>
      </w:r>
      <w:r w:rsidR="002322DE" w:rsidRPr="00921C9B">
        <w:rPr>
          <w:b/>
          <w:szCs w:val="24"/>
          <w:lang w:eastAsia="en-US"/>
        </w:rPr>
        <w:t xml:space="preserve"> [Изм. 109]</w:t>
      </w:r>
    </w:p>
    <w:p w14:paraId="46DC6838" w14:textId="77777777" w:rsidR="00753EC5" w:rsidRPr="00921C9B" w:rsidRDefault="00753EC5" w:rsidP="00753EC5">
      <w:pPr>
        <w:ind w:left="1982" w:hanging="566"/>
        <w:rPr>
          <w:b/>
          <w:i/>
        </w:rPr>
      </w:pPr>
      <w:r w:rsidRPr="00921C9B">
        <w:rPr>
          <w:b/>
          <w:i/>
        </w:rPr>
        <w:t>_________________</w:t>
      </w:r>
    </w:p>
    <w:p w14:paraId="7548BCFF" w14:textId="6ECC9F97" w:rsidR="00753EC5" w:rsidRPr="00921C9B" w:rsidRDefault="00753EC5" w:rsidP="00753EC5">
      <w:pPr>
        <w:spacing w:before="120" w:after="120" w:line="360" w:lineRule="auto"/>
        <w:ind w:left="1982" w:hanging="566"/>
        <w:rPr>
          <w:b/>
          <w:szCs w:val="24"/>
          <w:lang w:eastAsia="en-US"/>
        </w:rPr>
      </w:pPr>
      <w:r w:rsidRPr="00921C9B">
        <w:rPr>
          <w:b/>
          <w:i/>
          <w:vertAlign w:val="superscript"/>
        </w:rPr>
        <w:t>1a</w:t>
      </w:r>
      <w:r w:rsidRPr="00921C9B">
        <w:rPr>
          <w:b/>
        </w:rPr>
        <w:t xml:space="preserve"> </w:t>
      </w:r>
      <w:r w:rsidRPr="00921C9B">
        <w:rPr>
          <w:b/>
        </w:rPr>
        <w:tab/>
      </w:r>
      <w:r w:rsidRPr="00921C9B">
        <w:rPr>
          <w:b/>
          <w:i/>
        </w:rPr>
        <w:t>СП: моля, въведете в текста номера на регламента, съдържащ се в документ COM (2022) 157.</w:t>
      </w:r>
    </w:p>
    <w:p w14:paraId="7FF395CD" w14:textId="784BF28F" w:rsidR="000D29CC" w:rsidRPr="00921C9B" w:rsidRDefault="000D29CC" w:rsidP="000D29CC">
      <w:pPr>
        <w:spacing w:before="120" w:after="120" w:line="360" w:lineRule="auto"/>
        <w:ind w:left="1982"/>
        <w:rPr>
          <w:b/>
          <w:szCs w:val="24"/>
          <w:lang w:eastAsia="en-US"/>
        </w:rPr>
      </w:pPr>
      <w:r w:rsidRPr="00921C9B">
        <w:rPr>
          <w:b/>
          <w:i/>
          <w:szCs w:val="24"/>
          <w:lang w:eastAsia="en-US"/>
        </w:rPr>
        <w:t>Инвентаризациите на емисиите се предоставят в електронна база данни, която се актуализира редовно и е лесно достъпна за обществеността.</w:t>
      </w:r>
      <w:r w:rsidR="002322DE" w:rsidRPr="00921C9B">
        <w:rPr>
          <w:b/>
          <w:szCs w:val="24"/>
          <w:lang w:eastAsia="en-US"/>
        </w:rPr>
        <w:t xml:space="preserve"> [Изм. 110]</w:t>
      </w:r>
    </w:p>
    <w:p w14:paraId="7EEED7A5" w14:textId="77777777" w:rsidR="00753EC5" w:rsidRPr="00921C9B" w:rsidRDefault="00753EC5">
      <w:pPr>
        <w:widowControl/>
        <w:rPr>
          <w:strike/>
          <w:szCs w:val="24"/>
          <w:lang w:eastAsia="en-US"/>
        </w:rPr>
      </w:pPr>
      <w:r w:rsidRPr="00921C9B">
        <w:rPr>
          <w:strike/>
          <w:szCs w:val="24"/>
          <w:lang w:eastAsia="en-US"/>
        </w:rPr>
        <w:br w:type="page"/>
      </w:r>
    </w:p>
    <w:p w14:paraId="3EC6D4F4" w14:textId="72C15BE2" w:rsidR="000D29CC" w:rsidRPr="00921C9B" w:rsidRDefault="000D29CC" w:rsidP="000D29CC">
      <w:pPr>
        <w:spacing w:before="120" w:after="120" w:line="360" w:lineRule="auto"/>
        <w:ind w:left="1982"/>
        <w:rPr>
          <w:b/>
          <w:szCs w:val="24"/>
          <w:lang w:eastAsia="en-US"/>
        </w:rPr>
      </w:pPr>
      <w:r w:rsidRPr="00921C9B">
        <w:rPr>
          <w:strike/>
          <w:szCs w:val="24"/>
          <w:lang w:eastAsia="en-US"/>
        </w:rPr>
        <w:lastRenderedPageBreak/>
        <w:t>Първата алинея не се прилага за емисиите, заустванията и загубите, докладвани на Комисията по електронен път в съответствие с Регламент (ЕС) .../... на Европейския парламент и на Съвета. ;</w:t>
      </w:r>
      <w:r w:rsidRPr="00921C9B">
        <w:rPr>
          <w:szCs w:val="24"/>
          <w:lang w:eastAsia="en-US"/>
        </w:rPr>
        <w:t>“</w:t>
      </w:r>
      <w:r w:rsidR="002322DE" w:rsidRPr="00921C9B">
        <w:rPr>
          <w:b/>
          <w:szCs w:val="24"/>
          <w:lang w:eastAsia="en-US"/>
        </w:rPr>
        <w:t xml:space="preserve"> [Изм. 111]</w:t>
      </w:r>
    </w:p>
    <w:p w14:paraId="6CE47BAA"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б)</w:t>
      </w:r>
      <w:r w:rsidRPr="00921C9B">
        <w:rPr>
          <w:szCs w:val="24"/>
          <w:lang w:eastAsia="en-US"/>
        </w:rPr>
        <w:tab/>
      </w:r>
      <w:r w:rsidRPr="00921C9B">
        <w:rPr>
          <w:szCs w:val="24"/>
          <w:lang w:eastAsia="en-US"/>
        </w:rPr>
        <w:tab/>
        <w:t>параграфи 2 и 3 се заличават;</w:t>
      </w:r>
    </w:p>
    <w:p w14:paraId="14691F99"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в)</w:t>
      </w:r>
      <w:r w:rsidRPr="00921C9B">
        <w:rPr>
          <w:szCs w:val="24"/>
          <w:lang w:eastAsia="en-US"/>
        </w:rPr>
        <w:tab/>
        <w:t>параграф 4 се заменя със следното:</w:t>
      </w:r>
    </w:p>
    <w:p w14:paraId="1FEDE75B" w14:textId="34542D98" w:rsidR="000D29CC" w:rsidRPr="00921C9B" w:rsidRDefault="000D29CC" w:rsidP="000D29CC">
      <w:pPr>
        <w:spacing w:before="120" w:after="120" w:line="360" w:lineRule="auto"/>
        <w:ind w:left="1982" w:hanging="566"/>
        <w:rPr>
          <w:b/>
          <w:szCs w:val="24"/>
          <w:lang w:eastAsia="en-US"/>
        </w:rPr>
      </w:pPr>
      <w:r w:rsidRPr="00921C9B">
        <w:rPr>
          <w:szCs w:val="24"/>
          <w:lang w:eastAsia="en-US"/>
        </w:rPr>
        <w:t>„4.</w:t>
      </w:r>
      <w:r w:rsidRPr="00921C9B">
        <w:rPr>
          <w:szCs w:val="24"/>
          <w:lang w:eastAsia="en-US"/>
        </w:rPr>
        <w:tab/>
        <w:t xml:space="preserve">Държавите членки актуализират своите инвентаризации като част от прегледите на анализите, посочени в член 5, параграф 2 от Директива 2000/60/ЕО, и гарантират, че емисиите, </w:t>
      </w:r>
      <w:r w:rsidRPr="00921C9B">
        <w:rPr>
          <w:b/>
          <w:i/>
          <w:szCs w:val="24"/>
          <w:lang w:eastAsia="en-US"/>
        </w:rPr>
        <w:t xml:space="preserve">включително тези, </w:t>
      </w:r>
      <w:r w:rsidRPr="00921C9B">
        <w:rPr>
          <w:szCs w:val="24"/>
          <w:lang w:eastAsia="en-US"/>
        </w:rPr>
        <w:t>които</w:t>
      </w:r>
      <w:r w:rsidRPr="00921C9B">
        <w:rPr>
          <w:strike/>
          <w:szCs w:val="24"/>
          <w:lang w:eastAsia="en-US"/>
        </w:rPr>
        <w:t xml:space="preserve"> не</w:t>
      </w:r>
      <w:r w:rsidRPr="00921C9B">
        <w:rPr>
          <w:szCs w:val="24"/>
          <w:lang w:eastAsia="en-US"/>
        </w:rPr>
        <w:t xml:space="preserve"> са докладвани на портала за емисиите от промишлеността, създаден съгласно Регламент (ЕС).../...++, се публикуват в техните планове за управление на речните басейни, актуализирани в съответствие с член 13, параграф 7 от посочената директива.</w:t>
      </w:r>
      <w:r w:rsidR="002322DE" w:rsidRPr="00921C9B">
        <w:rPr>
          <w:b/>
          <w:szCs w:val="24"/>
          <w:lang w:eastAsia="en-US"/>
        </w:rPr>
        <w:t xml:space="preserve"> [Изм. 112]</w:t>
      </w:r>
    </w:p>
    <w:p w14:paraId="04D15F6F" w14:textId="77777777" w:rsidR="000D29CC" w:rsidRPr="00921C9B" w:rsidRDefault="000D29CC" w:rsidP="000D29CC">
      <w:pPr>
        <w:spacing w:before="120" w:after="120" w:line="360" w:lineRule="auto"/>
        <w:ind w:left="1982"/>
        <w:rPr>
          <w:szCs w:val="24"/>
          <w:lang w:eastAsia="en-US"/>
        </w:rPr>
      </w:pPr>
      <w:r w:rsidRPr="00921C9B">
        <w:rPr>
          <w:szCs w:val="24"/>
          <w:lang w:eastAsia="en-US"/>
        </w:rPr>
        <w:t>Референтният период за определяне на стойностите в актуализираните инвентаризации е годината, предшестваща годината, през която трябва да бъдат завършени анализите, посочени в първа алинея.</w:t>
      </w:r>
    </w:p>
    <w:p w14:paraId="7A59AA87" w14:textId="77777777" w:rsidR="00753EC5" w:rsidRPr="00921C9B" w:rsidRDefault="00753EC5">
      <w:pPr>
        <w:widowControl/>
        <w:rPr>
          <w:strike/>
          <w:szCs w:val="24"/>
          <w:lang w:eastAsia="en-US"/>
        </w:rPr>
      </w:pPr>
      <w:r w:rsidRPr="00921C9B">
        <w:rPr>
          <w:strike/>
          <w:szCs w:val="24"/>
          <w:lang w:eastAsia="en-US"/>
        </w:rPr>
        <w:br w:type="page"/>
      </w:r>
    </w:p>
    <w:p w14:paraId="6F46E2D6" w14:textId="2BD3E089" w:rsidR="000D29CC" w:rsidRPr="00921C9B" w:rsidRDefault="000D29CC" w:rsidP="000D29CC">
      <w:pPr>
        <w:spacing w:before="120" w:after="120" w:line="360" w:lineRule="auto"/>
        <w:ind w:left="1982"/>
        <w:rPr>
          <w:b/>
          <w:szCs w:val="24"/>
          <w:lang w:eastAsia="en-US"/>
        </w:rPr>
      </w:pPr>
      <w:r w:rsidRPr="00921C9B">
        <w:rPr>
          <w:strike/>
          <w:szCs w:val="24"/>
          <w:lang w:eastAsia="en-US"/>
        </w:rPr>
        <w:lastRenderedPageBreak/>
        <w:t>За приоритетни вещества или замърсители, обхванати от Регламент (ЕО) № 1107/2009, данните могат да се изчисляват като средна стойност от трите години преди завършването на анализа, посочен в първа алинея.</w:t>
      </w:r>
      <w:r w:rsidR="002322DE" w:rsidRPr="00921C9B">
        <w:rPr>
          <w:b/>
          <w:szCs w:val="24"/>
          <w:lang w:eastAsia="en-US"/>
        </w:rPr>
        <w:t xml:space="preserve"> [Изм. 113]</w:t>
      </w:r>
    </w:p>
    <w:p w14:paraId="0D7930D1" w14:textId="77777777" w:rsidR="000D29CC" w:rsidRPr="00921C9B" w:rsidRDefault="000D29CC" w:rsidP="000D29CC">
      <w:pPr>
        <w:spacing w:before="120" w:after="120" w:line="360" w:lineRule="auto"/>
        <w:ind w:left="1982"/>
        <w:rPr>
          <w:szCs w:val="24"/>
          <w:lang w:eastAsia="en-US"/>
        </w:rPr>
      </w:pPr>
      <w:r w:rsidRPr="00921C9B">
        <w:rPr>
          <w:szCs w:val="24"/>
          <w:lang w:eastAsia="en-US"/>
        </w:rPr>
        <w:t>За емисии от точкови източници, които не са докладвани в съответствие с Регламент (ЕС) ../... +++, тъй като не попадат в обхвата на посочения регламент или са под праговете във връзка със задълженията за годишно докладване, определени в посочения регламент, задължението за докладване, посочено в първа алинея от настоящия член, се изпълнява чрез електронно докладване на портала за емисиите от промишлеността, създаден съгласно посочения регламент.</w:t>
      </w:r>
    </w:p>
    <w:p w14:paraId="7D528C2D" w14:textId="77777777" w:rsidR="000D29CC" w:rsidRPr="00921C9B" w:rsidRDefault="000D29CC" w:rsidP="000D29CC">
      <w:pPr>
        <w:spacing w:before="120" w:after="120" w:line="360" w:lineRule="auto"/>
        <w:ind w:left="1982"/>
        <w:rPr>
          <w:szCs w:val="24"/>
          <w:lang w:eastAsia="en-US"/>
        </w:rPr>
      </w:pPr>
      <w:r w:rsidRPr="00921C9B">
        <w:rPr>
          <w:szCs w:val="24"/>
          <w:lang w:eastAsia="en-US"/>
        </w:rPr>
        <w:t>Комисията, подпомагана от Европейската агенция за околна среда, приема акт за изпълнение, с който определя формата, нивото на детайлност и честотата на докладването, посочено в четвърта алинея. Този акт за изпълнение се приема в съответствие с процедурата по разглеждане, посочена в член 9, параграф 2.;“</w:t>
      </w:r>
    </w:p>
    <w:p w14:paraId="62D89AC6"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г)</w:t>
      </w:r>
      <w:r w:rsidRPr="00921C9B">
        <w:rPr>
          <w:szCs w:val="24"/>
          <w:lang w:eastAsia="en-US"/>
        </w:rPr>
        <w:tab/>
        <w:t>параграф 5 се заличава;</w:t>
      </w:r>
    </w:p>
    <w:p w14:paraId="7CEA562E" w14:textId="77777777" w:rsidR="00753EC5" w:rsidRPr="00921C9B" w:rsidRDefault="00753EC5">
      <w:pPr>
        <w:widowControl/>
        <w:rPr>
          <w:szCs w:val="24"/>
          <w:lang w:eastAsia="en-US"/>
        </w:rPr>
      </w:pPr>
      <w:r w:rsidRPr="00921C9B">
        <w:rPr>
          <w:szCs w:val="24"/>
          <w:lang w:eastAsia="en-US"/>
        </w:rPr>
        <w:br w:type="page"/>
      </w:r>
    </w:p>
    <w:p w14:paraId="2AB684A8" w14:textId="5CEFF72D"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4)</w:t>
      </w:r>
      <w:r w:rsidRPr="00921C9B">
        <w:rPr>
          <w:szCs w:val="24"/>
          <w:lang w:eastAsia="en-US"/>
        </w:rPr>
        <w:tab/>
        <w:t>в член 7а, параграф 1 първа алинея се заменя със следното:</w:t>
      </w:r>
    </w:p>
    <w:p w14:paraId="370BFBFF" w14:textId="6542146D" w:rsidR="000D29CC" w:rsidRPr="00921C9B" w:rsidRDefault="000D29CC" w:rsidP="000D29CC">
      <w:pPr>
        <w:spacing w:before="120" w:after="120" w:line="360" w:lineRule="auto"/>
        <w:ind w:left="1416" w:hanging="566"/>
        <w:rPr>
          <w:b/>
          <w:szCs w:val="24"/>
          <w:lang w:eastAsia="en-US"/>
        </w:rPr>
      </w:pPr>
      <w:r w:rsidRPr="00921C9B">
        <w:rPr>
          <w:szCs w:val="24"/>
          <w:lang w:eastAsia="en-US"/>
        </w:rPr>
        <w:t>„1.</w:t>
      </w:r>
      <w:r w:rsidRPr="00921C9B">
        <w:rPr>
          <w:szCs w:val="24"/>
          <w:lang w:eastAsia="en-US"/>
        </w:rPr>
        <w:tab/>
        <w:t>За приоритетни вещества, които попадат в обхвата на Регламент (ЕО) № 1907/2006, Регламент (ЕО) № 1107/2009, Регламент (ЕС) № 528/2012, Регламент (ЕС) 2019/6 на Европейския парламент и на Съвета* или в обхвата на Директива 2001/83/ЕО на Европейския парламент и на Съвета**, Директива 2009/128/ЕО на Европейския парламент и на Съвета*** или Директива 2010/75/ЕС, Комисията</w:t>
      </w:r>
      <w:r w:rsidRPr="00921C9B">
        <w:rPr>
          <w:strike/>
          <w:szCs w:val="24"/>
          <w:lang w:eastAsia="en-US"/>
        </w:rPr>
        <w:t>, като част от доклада, посочен в член 18, параграф 1 от Директива 2000/60/ЕО,</w:t>
      </w:r>
      <w:r w:rsidRPr="00921C9B">
        <w:rPr>
          <w:szCs w:val="24"/>
          <w:lang w:eastAsia="en-US"/>
        </w:rPr>
        <w:t xml:space="preserve"> оценява</w:t>
      </w:r>
      <w:r w:rsidRPr="00921C9B">
        <w:rPr>
          <w:b/>
          <w:i/>
          <w:szCs w:val="24"/>
          <w:lang w:eastAsia="en-US"/>
        </w:rPr>
        <w:t xml:space="preserve"> на всеки две години</w:t>
      </w:r>
      <w:r w:rsidRPr="00921C9B">
        <w:rPr>
          <w:szCs w:val="24"/>
          <w:lang w:eastAsia="en-US"/>
        </w:rPr>
        <w:t xml:space="preserve"> дали мерките, въведени на равнището на Съюза и на държавите членки, са достатъчни за постигане на СКОС за приоритетните вещества и за целта за пълно или поетапно прекратяване на заустванията, емисиите и загубите на приоритетни опасни вещества в съответствие с член 4, параграф 1, буква а) от Директива 2000/60/ЕО.</w:t>
      </w:r>
      <w:r w:rsidR="002322DE" w:rsidRPr="00921C9B">
        <w:rPr>
          <w:b/>
          <w:szCs w:val="24"/>
          <w:lang w:eastAsia="en-US"/>
        </w:rPr>
        <w:t xml:space="preserve"> [Изм. 114]</w:t>
      </w:r>
    </w:p>
    <w:p w14:paraId="61CF2CBE" w14:textId="754C53C6" w:rsidR="000D29CC" w:rsidRPr="00921C9B" w:rsidRDefault="000D29CC" w:rsidP="000D29CC">
      <w:pPr>
        <w:spacing w:before="120" w:after="120" w:line="360" w:lineRule="auto"/>
        <w:ind w:left="1416"/>
        <w:rPr>
          <w:b/>
          <w:szCs w:val="24"/>
          <w:lang w:eastAsia="en-US"/>
        </w:rPr>
      </w:pPr>
      <w:r w:rsidRPr="00921C9B">
        <w:rPr>
          <w:b/>
          <w:i/>
          <w:szCs w:val="24"/>
          <w:lang w:eastAsia="en-US"/>
        </w:rPr>
        <w:t>Ограниченията и другите мерки за контрол при източника се прилагат приоритетно. Във връзка с това Комисията представя по целесъобразност предложения за изменение на правни актове на ЕС, за да се гарантира, че заустванията, емисиите и загубите на приоритетни вещества се спират при източника.</w:t>
      </w:r>
      <w:r w:rsidR="002322DE" w:rsidRPr="00921C9B">
        <w:rPr>
          <w:b/>
          <w:szCs w:val="24"/>
          <w:lang w:eastAsia="en-US"/>
        </w:rPr>
        <w:t xml:space="preserve"> [Изм. 115]</w:t>
      </w:r>
    </w:p>
    <w:p w14:paraId="250AD957" w14:textId="77777777" w:rsidR="00753EC5" w:rsidRPr="00921C9B" w:rsidRDefault="00753EC5">
      <w:pPr>
        <w:widowControl/>
        <w:rPr>
          <w:szCs w:val="24"/>
          <w:lang w:eastAsia="en-US"/>
        </w:rPr>
      </w:pPr>
      <w:r w:rsidRPr="00921C9B">
        <w:rPr>
          <w:szCs w:val="24"/>
          <w:lang w:eastAsia="en-US"/>
        </w:rPr>
        <w:br w:type="page"/>
      </w:r>
    </w:p>
    <w:p w14:paraId="63F45D52" w14:textId="44F924F0" w:rsidR="000D29CC" w:rsidRPr="00921C9B" w:rsidRDefault="000D29CC" w:rsidP="000D29CC">
      <w:pPr>
        <w:spacing w:before="120" w:after="120" w:line="360" w:lineRule="auto"/>
        <w:ind w:left="850"/>
        <w:rPr>
          <w:szCs w:val="24"/>
          <w:lang w:eastAsia="en-US"/>
        </w:rPr>
      </w:pPr>
      <w:r w:rsidRPr="00921C9B">
        <w:rPr>
          <w:szCs w:val="24"/>
          <w:lang w:eastAsia="en-US"/>
        </w:rPr>
        <w:lastRenderedPageBreak/>
        <w:t>* Регламент (ЕС) 2019/6 на Европейския парламент и на Съвета от 11 декември 2018 г. относно ветеринарните лекарствени продукти и за отмяна на Директива 2001/82/ЕО (ОВ L 4, 7.1.2019 г., стр. 43).</w:t>
      </w:r>
    </w:p>
    <w:p w14:paraId="30AD0D00" w14:textId="77777777" w:rsidR="000D29CC" w:rsidRPr="00921C9B" w:rsidRDefault="000D29CC" w:rsidP="000D29CC">
      <w:pPr>
        <w:spacing w:before="120" w:after="120" w:line="360" w:lineRule="auto"/>
        <w:ind w:left="850"/>
        <w:rPr>
          <w:szCs w:val="24"/>
          <w:lang w:eastAsia="en-US"/>
        </w:rPr>
      </w:pPr>
      <w:r w:rsidRPr="00921C9B">
        <w:rPr>
          <w:szCs w:val="24"/>
          <w:lang w:eastAsia="en-US"/>
        </w:rPr>
        <w:t>** Директива 2001/83/ЕО на Европейския парламент и на Съвета от 6 ноември 2001 г. за утвърждаване на кодекс на Общността относно лекарствени продукти за хуманна употреба (OB L 311, 28.11.2001 г., стр. 67).</w:t>
      </w:r>
    </w:p>
    <w:p w14:paraId="79D8764A" w14:textId="77777777" w:rsidR="000D29CC" w:rsidRPr="00921C9B" w:rsidRDefault="000D29CC" w:rsidP="000D29CC">
      <w:pPr>
        <w:spacing w:before="120" w:after="120" w:line="360" w:lineRule="auto"/>
        <w:ind w:left="850"/>
        <w:rPr>
          <w:szCs w:val="24"/>
          <w:lang w:eastAsia="en-US"/>
        </w:rPr>
      </w:pPr>
      <w:r w:rsidRPr="00921C9B">
        <w:rPr>
          <w:szCs w:val="24"/>
          <w:lang w:eastAsia="en-US"/>
        </w:rPr>
        <w:t>*** Директива 2009/128/ЕО на Европейския парламент и на Съвета от 21 октомври 2009 г. за създаване на рамка за действие на Общността за постигане на устойчива употреба на пестициди (ОВ L 309, 24.11.2009 г., стр. 71).;“</w:t>
      </w:r>
    </w:p>
    <w:p w14:paraId="003EE50E" w14:textId="77777777" w:rsidR="000D29CC" w:rsidRPr="00921C9B" w:rsidRDefault="000D29CC" w:rsidP="000D29CC">
      <w:pPr>
        <w:spacing w:before="120" w:after="120" w:line="360" w:lineRule="auto"/>
        <w:ind w:left="850" w:hanging="850"/>
        <w:rPr>
          <w:szCs w:val="24"/>
          <w:lang w:eastAsia="en-US"/>
        </w:rPr>
      </w:pPr>
      <w:r w:rsidRPr="00921C9B">
        <w:rPr>
          <w:b/>
          <w:i/>
          <w:szCs w:val="24"/>
          <w:lang w:eastAsia="en-US"/>
        </w:rPr>
        <w:t>4a)</w:t>
      </w:r>
      <w:r w:rsidRPr="00921C9B">
        <w:rPr>
          <w:szCs w:val="24"/>
          <w:lang w:eastAsia="en-US"/>
        </w:rPr>
        <w:tab/>
      </w:r>
      <w:r w:rsidRPr="00921C9B">
        <w:rPr>
          <w:b/>
          <w:i/>
          <w:szCs w:val="24"/>
          <w:lang w:eastAsia="en-US"/>
        </w:rPr>
        <w:t>В член 7а параграф 2 се заменя със следното:</w:t>
      </w:r>
    </w:p>
    <w:p w14:paraId="07E5FA6B" w14:textId="344F20A7" w:rsidR="000D29CC" w:rsidRPr="00921C9B" w:rsidRDefault="000D29CC" w:rsidP="000D29CC">
      <w:pPr>
        <w:spacing w:before="120" w:after="120" w:line="360" w:lineRule="auto"/>
        <w:ind w:left="1416" w:hanging="566"/>
        <w:rPr>
          <w:b/>
          <w:szCs w:val="24"/>
          <w:lang w:eastAsia="en-US"/>
        </w:rPr>
      </w:pPr>
      <w:r w:rsidRPr="00921C9B">
        <w:rPr>
          <w:szCs w:val="24"/>
          <w:lang w:eastAsia="en-US"/>
        </w:rPr>
        <w:t>„</w:t>
      </w:r>
      <w:r w:rsidRPr="00921C9B">
        <w:rPr>
          <w:b/>
          <w:i/>
          <w:szCs w:val="24"/>
          <w:lang w:eastAsia="en-US"/>
        </w:rPr>
        <w:t>1.</w:t>
      </w:r>
      <w:r w:rsidRPr="00921C9B">
        <w:rPr>
          <w:szCs w:val="24"/>
          <w:lang w:eastAsia="en-US"/>
        </w:rPr>
        <w:tab/>
      </w:r>
      <w:r w:rsidRPr="00921C9B">
        <w:rPr>
          <w:b/>
          <w:i/>
          <w:szCs w:val="24"/>
          <w:lang w:eastAsia="en-US"/>
        </w:rPr>
        <w:t>Комисията докладва на Европейския парламент и на Съвета резултатите от оценката по параграф 1 от настоящия член не по-късно от шест месеца след нейната ежегодна оценка и придружава доклада с всички подходящи предложения, включително за контролни мерки.</w:t>
      </w:r>
      <w:r w:rsidRPr="00921C9B">
        <w:rPr>
          <w:szCs w:val="24"/>
          <w:lang w:eastAsia="en-US"/>
        </w:rPr>
        <w:t>“</w:t>
      </w:r>
      <w:r w:rsidR="002322DE" w:rsidRPr="00921C9B">
        <w:rPr>
          <w:b/>
          <w:szCs w:val="24"/>
          <w:lang w:eastAsia="en-US"/>
        </w:rPr>
        <w:t xml:space="preserve"> [Изм. 116]</w:t>
      </w:r>
    </w:p>
    <w:p w14:paraId="46C9036D" w14:textId="77777777" w:rsidR="00753EC5" w:rsidRPr="00921C9B" w:rsidRDefault="00753EC5">
      <w:pPr>
        <w:widowControl/>
        <w:rPr>
          <w:szCs w:val="24"/>
          <w:lang w:eastAsia="en-US"/>
        </w:rPr>
      </w:pPr>
      <w:r w:rsidRPr="00921C9B">
        <w:rPr>
          <w:szCs w:val="24"/>
          <w:lang w:eastAsia="en-US"/>
        </w:rPr>
        <w:br w:type="page"/>
      </w:r>
    </w:p>
    <w:p w14:paraId="1CC4946C" w14:textId="2C40A364"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5)</w:t>
      </w:r>
      <w:r w:rsidRPr="00921C9B">
        <w:rPr>
          <w:szCs w:val="24"/>
          <w:lang w:eastAsia="en-US"/>
        </w:rPr>
        <w:tab/>
        <w:t>член 8 се заменя със следното:</w:t>
      </w:r>
    </w:p>
    <w:p w14:paraId="3C7EA1E8" w14:textId="77777777" w:rsidR="000D29CC" w:rsidRPr="00921C9B" w:rsidRDefault="000D29CC" w:rsidP="000D29CC">
      <w:pPr>
        <w:spacing w:before="120" w:after="120" w:line="360" w:lineRule="auto"/>
        <w:ind w:left="850"/>
        <w:rPr>
          <w:szCs w:val="24"/>
          <w:lang w:eastAsia="en-US"/>
        </w:rPr>
      </w:pPr>
      <w:r w:rsidRPr="00921C9B">
        <w:rPr>
          <w:szCs w:val="24"/>
          <w:lang w:eastAsia="en-US"/>
        </w:rPr>
        <w:t>„Член 8</w:t>
      </w:r>
    </w:p>
    <w:p w14:paraId="61161217" w14:textId="77777777" w:rsidR="000D29CC" w:rsidRPr="00921C9B" w:rsidRDefault="000D29CC" w:rsidP="000D29CC">
      <w:pPr>
        <w:spacing w:before="120" w:after="120" w:line="360" w:lineRule="auto"/>
        <w:ind w:left="850"/>
        <w:rPr>
          <w:szCs w:val="24"/>
          <w:lang w:eastAsia="en-US"/>
        </w:rPr>
      </w:pPr>
      <w:r w:rsidRPr="00921C9B">
        <w:rPr>
          <w:szCs w:val="24"/>
          <w:lang w:eastAsia="en-US"/>
        </w:rPr>
        <w:t>Преразглеждане на приложения I и II</w:t>
      </w:r>
    </w:p>
    <w:p w14:paraId="26C0E58F" w14:textId="6BE07CBE" w:rsidR="000D29CC" w:rsidRPr="00921C9B" w:rsidRDefault="000D29CC" w:rsidP="000D29CC">
      <w:pPr>
        <w:spacing w:before="120" w:after="120" w:line="360" w:lineRule="auto"/>
        <w:ind w:left="1416" w:hanging="566"/>
        <w:rPr>
          <w:b/>
          <w:szCs w:val="24"/>
          <w:lang w:eastAsia="en-US"/>
        </w:rPr>
      </w:pPr>
      <w:r w:rsidRPr="00921C9B">
        <w:rPr>
          <w:szCs w:val="24"/>
          <w:lang w:eastAsia="en-US"/>
        </w:rPr>
        <w:t>1.</w:t>
      </w:r>
      <w:r w:rsidRPr="00921C9B">
        <w:rPr>
          <w:szCs w:val="24"/>
          <w:lang w:eastAsia="en-US"/>
        </w:rPr>
        <w:tab/>
        <w:t xml:space="preserve">Комисията преразглежда за първи път списъка на приоритетните вещества и съответните СКОС за тези вещества, посочени в част А от приложение I, и списъка на замърсителите, посочен в част А от приложение II, до ... [СП: моля, въведете дата = </w:t>
      </w:r>
      <w:r w:rsidRPr="00921C9B">
        <w:rPr>
          <w:strike/>
          <w:szCs w:val="24"/>
          <w:lang w:eastAsia="en-US"/>
        </w:rPr>
        <w:t>шест</w:t>
      </w:r>
      <w:r w:rsidRPr="00921C9B">
        <w:rPr>
          <w:b/>
          <w:i/>
          <w:szCs w:val="24"/>
          <w:lang w:eastAsia="en-US"/>
        </w:rPr>
        <w:t>четири</w:t>
      </w:r>
      <w:r w:rsidRPr="00921C9B">
        <w:rPr>
          <w:szCs w:val="24"/>
          <w:lang w:eastAsia="en-US"/>
        </w:rPr>
        <w:t xml:space="preserve"> години след датата на влизане в сила на настоящата директива] и на всеки </w:t>
      </w:r>
      <w:r w:rsidRPr="00921C9B">
        <w:rPr>
          <w:strike/>
          <w:szCs w:val="24"/>
          <w:lang w:eastAsia="en-US"/>
        </w:rPr>
        <w:t>шест</w:t>
      </w:r>
      <w:r w:rsidRPr="00921C9B">
        <w:rPr>
          <w:b/>
          <w:i/>
          <w:szCs w:val="24"/>
          <w:lang w:eastAsia="en-US"/>
        </w:rPr>
        <w:t>четири</w:t>
      </w:r>
      <w:r w:rsidRPr="00921C9B">
        <w:rPr>
          <w:szCs w:val="24"/>
          <w:lang w:eastAsia="en-US"/>
        </w:rPr>
        <w:t xml:space="preserve"> години след това.</w:t>
      </w:r>
      <w:r w:rsidR="002322DE" w:rsidRPr="00921C9B">
        <w:rPr>
          <w:b/>
          <w:szCs w:val="24"/>
          <w:lang w:eastAsia="en-US"/>
        </w:rPr>
        <w:t xml:space="preserve"> [Изм. 117]</w:t>
      </w:r>
    </w:p>
    <w:p w14:paraId="51335353" w14:textId="3376CDD7" w:rsidR="000D29CC" w:rsidRPr="00921C9B" w:rsidRDefault="000D29CC" w:rsidP="000D29CC">
      <w:pPr>
        <w:spacing w:before="120" w:after="120" w:line="360" w:lineRule="auto"/>
        <w:ind w:left="1416" w:hanging="566"/>
        <w:rPr>
          <w:b/>
          <w:szCs w:val="24"/>
          <w:lang w:eastAsia="en-US"/>
        </w:rPr>
      </w:pPr>
      <w:r w:rsidRPr="00921C9B">
        <w:rPr>
          <w:szCs w:val="24"/>
          <w:lang w:eastAsia="en-US"/>
        </w:rPr>
        <w:t>2.</w:t>
      </w:r>
      <w:r w:rsidRPr="00921C9B">
        <w:rPr>
          <w:szCs w:val="24"/>
          <w:lang w:eastAsia="en-US"/>
        </w:rPr>
        <w:tab/>
      </w:r>
      <w:r w:rsidRPr="00921C9B">
        <w:rPr>
          <w:b/>
          <w:i/>
          <w:szCs w:val="24"/>
          <w:lang w:eastAsia="en-US"/>
        </w:rPr>
        <w:t>Въз основа на преразглеждането</w:t>
      </w:r>
      <w:r w:rsidRPr="00921C9B">
        <w:rPr>
          <w:strike/>
          <w:szCs w:val="24"/>
          <w:lang w:eastAsia="en-US"/>
        </w:rPr>
        <w:t>На</w:t>
      </w:r>
      <w:r w:rsidRPr="00921C9B">
        <w:rPr>
          <w:szCs w:val="24"/>
          <w:lang w:eastAsia="en-US"/>
        </w:rPr>
        <w:t xml:space="preserve"> Комисията </w:t>
      </w:r>
      <w:r w:rsidRPr="00921C9B">
        <w:rPr>
          <w:strike/>
          <w:szCs w:val="24"/>
          <w:lang w:eastAsia="en-US"/>
        </w:rPr>
        <w:t>се предоставя правомощието да приема делегирани актове</w:t>
      </w:r>
      <w:r w:rsidRPr="00921C9B">
        <w:rPr>
          <w:b/>
          <w:i/>
          <w:szCs w:val="24"/>
          <w:lang w:eastAsia="en-US"/>
        </w:rPr>
        <w:t>представя по целесъобразност законодателни предложения</w:t>
      </w:r>
      <w:r w:rsidRPr="00921C9B">
        <w:rPr>
          <w:szCs w:val="24"/>
          <w:lang w:eastAsia="en-US"/>
        </w:rPr>
        <w:t xml:space="preserve">, като взема предвид научните доклади, изготвени от Европейската агенция по химикали (ECHA) съгласно параграф 6 от настоящия член, </w:t>
      </w:r>
      <w:r w:rsidRPr="00921C9B">
        <w:rPr>
          <w:strike/>
          <w:szCs w:val="24"/>
          <w:lang w:eastAsia="en-US"/>
        </w:rPr>
        <w:t xml:space="preserve">в съответствие с член 9а, </w:t>
      </w:r>
      <w:r w:rsidRPr="00921C9B">
        <w:rPr>
          <w:szCs w:val="24"/>
          <w:lang w:eastAsia="en-US"/>
        </w:rPr>
        <w:t>за изменение на приложение I с цел адаптирането му към научния и техническия прогрес чрез:</w:t>
      </w:r>
      <w:r w:rsidR="002322DE" w:rsidRPr="00921C9B">
        <w:rPr>
          <w:b/>
          <w:szCs w:val="24"/>
          <w:lang w:eastAsia="en-US"/>
        </w:rPr>
        <w:t xml:space="preserve"> [Изм. 118]</w:t>
      </w:r>
    </w:p>
    <w:p w14:paraId="02BBDCDA" w14:textId="77777777" w:rsidR="00753EC5" w:rsidRPr="00921C9B" w:rsidRDefault="00753EC5">
      <w:pPr>
        <w:widowControl/>
        <w:rPr>
          <w:szCs w:val="24"/>
          <w:lang w:eastAsia="en-US"/>
        </w:rPr>
      </w:pPr>
      <w:r w:rsidRPr="00921C9B">
        <w:rPr>
          <w:szCs w:val="24"/>
          <w:lang w:eastAsia="en-US"/>
        </w:rPr>
        <w:br w:type="page"/>
      </w:r>
    </w:p>
    <w:p w14:paraId="39106FB8" w14:textId="28954D1B" w:rsidR="000D29CC" w:rsidRPr="00921C9B" w:rsidRDefault="000D29CC" w:rsidP="000D29CC">
      <w:pPr>
        <w:spacing w:before="120" w:after="120" w:line="360" w:lineRule="auto"/>
        <w:ind w:left="1982" w:hanging="566"/>
        <w:rPr>
          <w:szCs w:val="24"/>
          <w:lang w:eastAsia="en-US"/>
        </w:rPr>
      </w:pPr>
      <w:r w:rsidRPr="00921C9B">
        <w:rPr>
          <w:szCs w:val="24"/>
          <w:lang w:eastAsia="en-US"/>
        </w:rPr>
        <w:lastRenderedPageBreak/>
        <w:t>a)</w:t>
      </w:r>
      <w:r w:rsidRPr="00921C9B">
        <w:rPr>
          <w:szCs w:val="24"/>
          <w:lang w:eastAsia="en-US"/>
        </w:rPr>
        <w:tab/>
        <w:t>добавяне или премахване на вещества от списъка на приоритетните вещества;</w:t>
      </w:r>
    </w:p>
    <w:p w14:paraId="469AB425"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б)</w:t>
      </w:r>
      <w:r w:rsidRPr="00921C9B">
        <w:rPr>
          <w:szCs w:val="24"/>
          <w:lang w:eastAsia="en-US"/>
        </w:rPr>
        <w:tab/>
        <w:t>определяне или отмяна на определянето на избрани вещества като приоритетни опасни вещества и/или като повсеместно разпространени устойчиви, биоакумулиращи и токсични вещества (uPBT) и/или като вещества, които имат склонност да се натрупват в седимента и/или в биотата в този списък;</w:t>
      </w:r>
    </w:p>
    <w:p w14:paraId="37FDC22A"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в)</w:t>
      </w:r>
      <w:r w:rsidRPr="00921C9B">
        <w:rPr>
          <w:szCs w:val="24"/>
          <w:lang w:eastAsia="en-US"/>
        </w:rPr>
        <w:tab/>
        <w:t>определяне на съответните СКОС за повърхностни води, седимент или биота, според случая.</w:t>
      </w:r>
    </w:p>
    <w:p w14:paraId="1D0E8D1E"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3.</w:t>
      </w:r>
      <w:r w:rsidRPr="00921C9B">
        <w:rPr>
          <w:szCs w:val="24"/>
          <w:lang w:eastAsia="en-US"/>
        </w:rPr>
        <w:tab/>
        <w:t>На Комисията се предоставя правомощието да приема делегирани актове, като взема предвид научните доклади, изготвени от ECHA съгласно параграф 6 от настоящия член, в съответствие с член 9а, за изменение на приложение II с цел адаптирането му към научния и техническия прогрес чрез:</w:t>
      </w:r>
    </w:p>
    <w:p w14:paraId="524872CB"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а)</w:t>
      </w:r>
      <w:r w:rsidRPr="00921C9B">
        <w:rPr>
          <w:szCs w:val="24"/>
          <w:lang w:eastAsia="en-US"/>
        </w:rPr>
        <w:tab/>
        <w:t>добавяне или премахване на замърсители от списъка на категориите замърсители, посочен в част А от приложение II;</w:t>
      </w:r>
    </w:p>
    <w:p w14:paraId="4068A6BE"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б)</w:t>
      </w:r>
      <w:r w:rsidRPr="00921C9B">
        <w:rPr>
          <w:szCs w:val="24"/>
          <w:lang w:eastAsia="en-US"/>
        </w:rPr>
        <w:tab/>
        <w:t>актуализиране на методиката, изложена в част Б от приложение II;</w:t>
      </w:r>
    </w:p>
    <w:p w14:paraId="33F6FDD6" w14:textId="77777777" w:rsidR="00753EC5" w:rsidRPr="00921C9B" w:rsidRDefault="00753EC5">
      <w:pPr>
        <w:widowControl/>
        <w:rPr>
          <w:szCs w:val="24"/>
          <w:lang w:eastAsia="en-US"/>
        </w:rPr>
      </w:pPr>
      <w:r w:rsidRPr="00921C9B">
        <w:rPr>
          <w:szCs w:val="24"/>
          <w:lang w:eastAsia="en-US"/>
        </w:rPr>
        <w:br w:type="page"/>
      </w:r>
    </w:p>
    <w:p w14:paraId="09D1AE6E" w14:textId="7C145B14" w:rsidR="000D29CC" w:rsidRPr="00921C9B" w:rsidRDefault="000D29CC" w:rsidP="000D29CC">
      <w:pPr>
        <w:spacing w:before="120" w:after="120" w:line="360" w:lineRule="auto"/>
        <w:ind w:left="1982" w:hanging="566"/>
        <w:rPr>
          <w:szCs w:val="24"/>
          <w:lang w:eastAsia="en-US"/>
        </w:rPr>
      </w:pPr>
      <w:r w:rsidRPr="00921C9B">
        <w:rPr>
          <w:szCs w:val="24"/>
          <w:lang w:eastAsia="en-US"/>
        </w:rPr>
        <w:lastRenderedPageBreak/>
        <w:t>в)</w:t>
      </w:r>
      <w:r w:rsidRPr="00921C9B">
        <w:rPr>
          <w:szCs w:val="24"/>
          <w:lang w:eastAsia="en-US"/>
        </w:rPr>
        <w:tab/>
        <w:t>изброяване в част В от приложение II към настоящата директива на специфичните замърсители на речните басейни, за които е установено, че следва да се прилагат СКОС, определени на равнището на Съюза, когато това е уместно, за да се осигури хармонизирано и научно обосновано изпълнение на целите, определени в член 4 от Директива 2000/60/ЕО, и чрез изброяване на съответните СКОС за тези замърсители в част В от приложение II към настоящата директива.</w:t>
      </w:r>
    </w:p>
    <w:p w14:paraId="4C1D588C"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4.</w:t>
      </w:r>
      <w:r w:rsidRPr="00921C9B">
        <w:rPr>
          <w:szCs w:val="24"/>
          <w:lang w:eastAsia="en-US"/>
        </w:rPr>
        <w:tab/>
        <w:t>При определянето на специфични замърсители на речните басейни, за които може да се наложи определянето на СКОС на равнището на Съюза, Комисията взема предвид следните критерии:</w:t>
      </w:r>
    </w:p>
    <w:p w14:paraId="1CDAE19B" w14:textId="6FACF00C" w:rsidR="000D29CC" w:rsidRPr="00921C9B" w:rsidRDefault="000D29CC" w:rsidP="000D29CC">
      <w:pPr>
        <w:spacing w:before="120" w:after="120" w:line="360" w:lineRule="auto"/>
        <w:ind w:left="1982" w:hanging="566"/>
        <w:rPr>
          <w:b/>
          <w:szCs w:val="24"/>
          <w:lang w:eastAsia="en-US"/>
        </w:rPr>
      </w:pPr>
      <w:r w:rsidRPr="00921C9B">
        <w:rPr>
          <w:szCs w:val="24"/>
          <w:lang w:eastAsia="en-US"/>
        </w:rPr>
        <w:t>а)</w:t>
      </w:r>
      <w:r w:rsidRPr="00921C9B">
        <w:rPr>
          <w:szCs w:val="24"/>
          <w:lang w:eastAsia="en-US"/>
        </w:rPr>
        <w:tab/>
        <w:t>рискът, породен от замърсителите, включително тяхната опасност, концентрациите им в околната среда</w:t>
      </w:r>
      <w:r w:rsidRPr="00921C9B">
        <w:rPr>
          <w:strike/>
          <w:szCs w:val="24"/>
          <w:lang w:eastAsia="en-US"/>
        </w:rPr>
        <w:t xml:space="preserve"> и</w:t>
      </w:r>
      <w:r w:rsidRPr="00921C9B">
        <w:rPr>
          <w:b/>
          <w:i/>
          <w:szCs w:val="24"/>
          <w:lang w:eastAsia="en-US"/>
        </w:rPr>
        <w:t>,</w:t>
      </w:r>
      <w:r w:rsidRPr="00921C9B">
        <w:rPr>
          <w:szCs w:val="24"/>
          <w:lang w:eastAsia="en-US"/>
        </w:rPr>
        <w:t xml:space="preserve"> концентрацията, над която може да се очаква въздействие</w:t>
      </w:r>
      <w:r w:rsidRPr="00921C9B">
        <w:rPr>
          <w:b/>
          <w:i/>
          <w:szCs w:val="24"/>
          <w:lang w:eastAsia="en-US"/>
        </w:rPr>
        <w:t>, и техните кумулативни ефекти</w:t>
      </w:r>
      <w:r w:rsidRPr="00921C9B">
        <w:rPr>
          <w:szCs w:val="24"/>
          <w:lang w:eastAsia="en-US"/>
        </w:rPr>
        <w:t>;</w:t>
      </w:r>
      <w:r w:rsidR="002322DE" w:rsidRPr="00921C9B">
        <w:rPr>
          <w:b/>
          <w:szCs w:val="24"/>
          <w:lang w:eastAsia="en-US"/>
        </w:rPr>
        <w:t xml:space="preserve"> [Изм. 119]</w:t>
      </w:r>
    </w:p>
    <w:p w14:paraId="140DBC9F"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б)</w:t>
      </w:r>
      <w:r w:rsidRPr="00921C9B">
        <w:rPr>
          <w:szCs w:val="24"/>
          <w:lang w:eastAsia="en-US"/>
        </w:rPr>
        <w:tab/>
        <w:t>несъответствието между националните СКОС, определени от различните държави членки за специфични замърсители на речните басейни, и степента, до която това несъответствие е оправдано;</w:t>
      </w:r>
    </w:p>
    <w:p w14:paraId="0E6825AA" w14:textId="77777777" w:rsidR="00753EC5" w:rsidRPr="00921C9B" w:rsidRDefault="00753EC5">
      <w:pPr>
        <w:widowControl/>
        <w:rPr>
          <w:szCs w:val="24"/>
          <w:lang w:eastAsia="en-US"/>
        </w:rPr>
      </w:pPr>
      <w:r w:rsidRPr="00921C9B">
        <w:rPr>
          <w:szCs w:val="24"/>
          <w:lang w:eastAsia="en-US"/>
        </w:rPr>
        <w:br w:type="page"/>
      </w:r>
    </w:p>
    <w:p w14:paraId="6E09D3E9" w14:textId="2574D6FB" w:rsidR="000D29CC" w:rsidRPr="00921C9B" w:rsidRDefault="000D29CC" w:rsidP="000D29CC">
      <w:pPr>
        <w:spacing w:before="120" w:after="120" w:line="360" w:lineRule="auto"/>
        <w:ind w:left="1982" w:hanging="566"/>
        <w:rPr>
          <w:szCs w:val="24"/>
          <w:lang w:eastAsia="en-US"/>
        </w:rPr>
      </w:pPr>
      <w:r w:rsidRPr="00921C9B">
        <w:rPr>
          <w:szCs w:val="24"/>
          <w:lang w:eastAsia="en-US"/>
        </w:rPr>
        <w:lastRenderedPageBreak/>
        <w:t>в)</w:t>
      </w:r>
      <w:r w:rsidRPr="00921C9B">
        <w:rPr>
          <w:szCs w:val="24"/>
          <w:lang w:eastAsia="en-US"/>
        </w:rPr>
        <w:tab/>
        <w:t>броят на държавите членки, които вече прилагат СКОС за разглежданите специфични замърсители на речните басейни.</w:t>
      </w:r>
    </w:p>
    <w:p w14:paraId="0A137BAC"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5.</w:t>
      </w:r>
      <w:r w:rsidRPr="00921C9B">
        <w:rPr>
          <w:szCs w:val="24"/>
          <w:lang w:eastAsia="en-US"/>
        </w:rPr>
        <w:tab/>
        <w:t>Приоритетните вещества, които в резултат на преразглеждането, посочено в параграф 1, са премахнати от списъка на приоритетните вещества, тъй като вече не представляват риск за целия Съюз, се включват в част В от приложение II, в която се изброяват специфичните замърсители на речните басейни и свързаните с тях хармонизирани СКОС, които трябва да се прилагат, когато замърсителите са от национално или регионално значение, в съответствие с член 8г.</w:t>
      </w:r>
    </w:p>
    <w:p w14:paraId="287C29DC"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6.</w:t>
      </w:r>
      <w:r w:rsidRPr="00921C9B">
        <w:rPr>
          <w:szCs w:val="24"/>
          <w:lang w:eastAsia="en-US"/>
        </w:rPr>
        <w:tab/>
        <w:t>С цел да подпомогне Комисията при преразглеждането на приложения I и II ECHA изготвя научни доклади. В научните доклади се отчита следното:</w:t>
      </w:r>
    </w:p>
    <w:p w14:paraId="3E5EB57D"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а)</w:t>
      </w:r>
      <w:r w:rsidRPr="00921C9B">
        <w:rPr>
          <w:szCs w:val="24"/>
          <w:lang w:eastAsia="en-US"/>
        </w:rPr>
        <w:tab/>
        <w:t>становището на Комитета за оценка на риска и Комитета за социално-икономически анализ на ECHA;</w:t>
      </w:r>
    </w:p>
    <w:p w14:paraId="52654AB6"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б)</w:t>
      </w:r>
      <w:r w:rsidRPr="00921C9B">
        <w:rPr>
          <w:szCs w:val="24"/>
          <w:lang w:eastAsia="en-US"/>
        </w:rPr>
        <w:tab/>
        <w:t>резултатите от програмите за мониторинг, установени в съответствие с член 8 от Директива 2000/60/ЕО;</w:t>
      </w:r>
    </w:p>
    <w:p w14:paraId="73E2D0FF" w14:textId="77777777" w:rsidR="00753EC5" w:rsidRPr="00921C9B" w:rsidRDefault="00753EC5">
      <w:pPr>
        <w:widowControl/>
        <w:rPr>
          <w:szCs w:val="24"/>
          <w:lang w:eastAsia="en-US"/>
        </w:rPr>
      </w:pPr>
      <w:r w:rsidRPr="00921C9B">
        <w:rPr>
          <w:szCs w:val="24"/>
          <w:lang w:eastAsia="en-US"/>
        </w:rPr>
        <w:br w:type="page"/>
      </w:r>
    </w:p>
    <w:p w14:paraId="12EFFAD7" w14:textId="4C79B35D" w:rsidR="000D29CC" w:rsidRPr="00921C9B" w:rsidRDefault="000D29CC" w:rsidP="000D29CC">
      <w:pPr>
        <w:spacing w:before="120" w:after="120" w:line="360" w:lineRule="auto"/>
        <w:ind w:left="1982" w:hanging="566"/>
        <w:rPr>
          <w:szCs w:val="24"/>
          <w:lang w:eastAsia="en-US"/>
        </w:rPr>
      </w:pPr>
      <w:r w:rsidRPr="00921C9B">
        <w:rPr>
          <w:szCs w:val="24"/>
          <w:lang w:eastAsia="en-US"/>
        </w:rPr>
        <w:lastRenderedPageBreak/>
        <w:t>в)</w:t>
      </w:r>
      <w:r w:rsidRPr="00921C9B">
        <w:rPr>
          <w:szCs w:val="24"/>
          <w:lang w:eastAsia="en-US"/>
        </w:rPr>
        <w:tab/>
        <w:t>данните от мониторинга, събрани в съответствие с член 8б, параграф 4 от настоящата директива;</w:t>
      </w:r>
    </w:p>
    <w:p w14:paraId="1B76D1F7"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г)</w:t>
      </w:r>
      <w:r w:rsidRPr="00921C9B">
        <w:rPr>
          <w:szCs w:val="24"/>
          <w:lang w:eastAsia="en-US"/>
        </w:rPr>
        <w:tab/>
        <w:t>резултатите от преразглежданията на приложенията към Директива 2006/118/ЕО на Европейския парламент и на Съвета* и Директива (ЕС) 2020/2184 на Европейския парламент и на Съвета**;</w:t>
      </w:r>
    </w:p>
    <w:p w14:paraId="3861ABA0"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д)</w:t>
      </w:r>
      <w:r w:rsidRPr="00921C9B">
        <w:rPr>
          <w:szCs w:val="24"/>
          <w:lang w:eastAsia="en-US"/>
        </w:rPr>
        <w:tab/>
        <w:t>изискванията за справяне със замърсяването на почвата, включително свързаните с това данни от мониторинга;</w:t>
      </w:r>
    </w:p>
    <w:p w14:paraId="1601EA20"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е)</w:t>
      </w:r>
      <w:r w:rsidRPr="00921C9B">
        <w:rPr>
          <w:szCs w:val="24"/>
          <w:lang w:eastAsia="en-US"/>
        </w:rPr>
        <w:tab/>
        <w:t>научноизследователски програми и научни публикации на Съюза, включително информация, получена от технологии за дистанционно наблюдение, наблюдение на Земята (услуги по програма „Коперник“), сензори и устройства на място и/или данни от гражданската наука, като се използват възможностите на изкуствения интелект, усъвършенствания анализ и обработка на данни;</w:t>
      </w:r>
    </w:p>
    <w:p w14:paraId="627F8EA9"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ж)</w:t>
      </w:r>
      <w:r w:rsidRPr="00921C9B">
        <w:rPr>
          <w:szCs w:val="24"/>
          <w:lang w:eastAsia="en-US"/>
        </w:rPr>
        <w:tab/>
        <w:t>коментари и информация от съответните заинтересовани страни.</w:t>
      </w:r>
    </w:p>
    <w:p w14:paraId="35B08C07" w14:textId="77777777" w:rsidR="00753EC5" w:rsidRPr="00921C9B" w:rsidRDefault="00753EC5">
      <w:pPr>
        <w:widowControl/>
        <w:rPr>
          <w:b/>
          <w:i/>
          <w:szCs w:val="24"/>
          <w:lang w:eastAsia="en-US"/>
        </w:rPr>
      </w:pPr>
      <w:r w:rsidRPr="00921C9B">
        <w:rPr>
          <w:b/>
          <w:i/>
          <w:szCs w:val="24"/>
          <w:lang w:eastAsia="en-US"/>
        </w:rPr>
        <w:br w:type="page"/>
      </w:r>
    </w:p>
    <w:p w14:paraId="5290DCB5" w14:textId="5F78BB26" w:rsidR="000D29CC" w:rsidRPr="00921C9B" w:rsidRDefault="000D29CC" w:rsidP="000D29CC">
      <w:pPr>
        <w:spacing w:before="120" w:after="120" w:line="360" w:lineRule="auto"/>
        <w:ind w:left="1416" w:hanging="566"/>
        <w:rPr>
          <w:b/>
          <w:szCs w:val="24"/>
          <w:lang w:eastAsia="en-US"/>
        </w:rPr>
      </w:pPr>
      <w:r w:rsidRPr="00921C9B">
        <w:rPr>
          <w:b/>
          <w:i/>
          <w:szCs w:val="24"/>
          <w:lang w:eastAsia="en-US"/>
        </w:rPr>
        <w:lastRenderedPageBreak/>
        <w:t>6a.</w:t>
      </w:r>
      <w:r w:rsidRPr="00921C9B">
        <w:rPr>
          <w:szCs w:val="24"/>
          <w:lang w:eastAsia="en-US"/>
        </w:rPr>
        <w:tab/>
      </w:r>
      <w:r w:rsidRPr="00921C9B">
        <w:rPr>
          <w:b/>
          <w:i/>
          <w:szCs w:val="24"/>
          <w:lang w:eastAsia="en-US"/>
        </w:rPr>
        <w:t>До 12 януари 2026 г. Комисията изготвя технически насоки относно методите на анализ за целите на мониторинга на перфлуороалкилирани и полифлуороалкилирани съединения по параметрите „общо PFAS“. До 12 януари 2025 г. Комисията приема делегирани актове в съответствие с член 9а съответно за изменение на настоящата директива посредством определяне на стандарти за качество за „общо PFAS“ и за изменение на приложение I.</w:t>
      </w:r>
      <w:r w:rsidR="002322DE" w:rsidRPr="00921C9B">
        <w:rPr>
          <w:b/>
          <w:szCs w:val="24"/>
          <w:lang w:eastAsia="en-US"/>
        </w:rPr>
        <w:t xml:space="preserve"> [Изм. 120]</w:t>
      </w:r>
    </w:p>
    <w:p w14:paraId="1A6FFA80" w14:textId="4DA53C77" w:rsidR="000D29CC" w:rsidRPr="00921C9B" w:rsidRDefault="000D29CC" w:rsidP="000D29CC">
      <w:pPr>
        <w:spacing w:before="120" w:after="120" w:line="360" w:lineRule="auto"/>
        <w:ind w:left="1416" w:hanging="566"/>
        <w:rPr>
          <w:b/>
          <w:szCs w:val="24"/>
          <w:lang w:eastAsia="en-US"/>
        </w:rPr>
      </w:pPr>
      <w:r w:rsidRPr="00921C9B">
        <w:rPr>
          <w:b/>
          <w:i/>
          <w:szCs w:val="24"/>
          <w:lang w:eastAsia="en-US"/>
        </w:rPr>
        <w:t>6</w:t>
      </w:r>
      <w:r w:rsidR="002322DE" w:rsidRPr="00921C9B">
        <w:rPr>
          <w:b/>
          <w:i/>
          <w:szCs w:val="24"/>
          <w:lang w:eastAsia="en-US"/>
        </w:rPr>
        <w:t>б</w:t>
      </w:r>
      <w:r w:rsidRPr="00921C9B">
        <w:rPr>
          <w:b/>
          <w:i/>
          <w:szCs w:val="24"/>
          <w:lang w:eastAsia="en-US"/>
        </w:rPr>
        <w:t>.</w:t>
      </w:r>
      <w:r w:rsidRPr="00921C9B">
        <w:rPr>
          <w:szCs w:val="24"/>
          <w:lang w:eastAsia="en-US"/>
        </w:rPr>
        <w:tab/>
      </w:r>
      <w:r w:rsidRPr="00921C9B">
        <w:rPr>
          <w:b/>
          <w:i/>
          <w:szCs w:val="24"/>
          <w:lang w:eastAsia="en-US"/>
        </w:rPr>
        <w:t>До [две години след влизането в сила на настоящата директива] Комисията определя технически насоки относно методите за анализ за мониторинг на бисфенолите, включително най-малко бисфенол-A, бисфенол-B и бисфенол-S, в рамките на параметъра „общо бисфеноли“. До [три години след влизането в сила на настоящата директива] Комисията приема делегиран акт в съответствие с член 9а за изменение на настоящата директива, като определя СКОС за „общо бисфеноли“, използвайки подход с коефициент на относителна потенция и изменя съответно приложение I.</w:t>
      </w:r>
      <w:r w:rsidR="002322DE" w:rsidRPr="00921C9B">
        <w:rPr>
          <w:b/>
          <w:szCs w:val="24"/>
          <w:lang w:eastAsia="en-US"/>
        </w:rPr>
        <w:t xml:space="preserve"> [Изм. 121]</w:t>
      </w:r>
    </w:p>
    <w:p w14:paraId="71DBA00E" w14:textId="77777777" w:rsidR="00753EC5" w:rsidRPr="00921C9B" w:rsidRDefault="00753EC5">
      <w:pPr>
        <w:widowControl/>
        <w:rPr>
          <w:szCs w:val="24"/>
          <w:lang w:eastAsia="en-US"/>
        </w:rPr>
      </w:pPr>
      <w:r w:rsidRPr="00921C9B">
        <w:rPr>
          <w:szCs w:val="24"/>
          <w:lang w:eastAsia="en-US"/>
        </w:rPr>
        <w:br w:type="page"/>
      </w:r>
    </w:p>
    <w:p w14:paraId="54E9C5CF" w14:textId="50F8BF9C" w:rsidR="000D29CC" w:rsidRPr="00921C9B" w:rsidRDefault="000D29CC" w:rsidP="000D29CC">
      <w:pPr>
        <w:spacing w:before="120" w:after="120" w:line="360" w:lineRule="auto"/>
        <w:ind w:left="1416" w:hanging="566"/>
        <w:rPr>
          <w:b/>
          <w:szCs w:val="24"/>
          <w:lang w:eastAsia="en-US"/>
        </w:rPr>
      </w:pPr>
      <w:r w:rsidRPr="00921C9B">
        <w:rPr>
          <w:szCs w:val="24"/>
          <w:lang w:eastAsia="en-US"/>
        </w:rPr>
        <w:lastRenderedPageBreak/>
        <w:t>7.</w:t>
      </w:r>
      <w:r w:rsidRPr="00921C9B">
        <w:rPr>
          <w:szCs w:val="24"/>
          <w:lang w:eastAsia="en-US"/>
        </w:rPr>
        <w:tab/>
        <w:t xml:space="preserve">На всеки </w:t>
      </w:r>
      <w:r w:rsidRPr="00921C9B">
        <w:rPr>
          <w:strike/>
          <w:szCs w:val="24"/>
          <w:lang w:eastAsia="en-US"/>
        </w:rPr>
        <w:t>шест</w:t>
      </w:r>
      <w:r w:rsidRPr="00921C9B">
        <w:rPr>
          <w:b/>
          <w:i/>
          <w:szCs w:val="24"/>
          <w:lang w:eastAsia="en-US"/>
        </w:rPr>
        <w:t>четири</w:t>
      </w:r>
      <w:r w:rsidRPr="00921C9B">
        <w:rPr>
          <w:szCs w:val="24"/>
          <w:lang w:eastAsia="en-US"/>
        </w:rPr>
        <w:t xml:space="preserve"> години ECHA изготвя доклад, в който обобщава констатациите от научните доклади, посочени в параграф 6, и предоставя публичен достъп до него. Първият доклад се представя на Комисията на ... [СП: моля, въведете </w:t>
      </w:r>
      <w:r w:rsidRPr="00921C9B">
        <w:rPr>
          <w:strike/>
          <w:szCs w:val="24"/>
          <w:lang w:eastAsia="en-US"/>
        </w:rPr>
        <w:t>дата = пет</w:t>
      </w:r>
      <w:r w:rsidRPr="00921C9B">
        <w:rPr>
          <w:b/>
          <w:i/>
          <w:szCs w:val="24"/>
          <w:lang w:eastAsia="en-US"/>
        </w:rPr>
        <w:t>датата = три</w:t>
      </w:r>
      <w:r w:rsidRPr="00921C9B">
        <w:rPr>
          <w:szCs w:val="24"/>
          <w:lang w:eastAsia="en-US"/>
        </w:rPr>
        <w:t xml:space="preserve"> години след датата на влизане в сила на настоящата директива].</w:t>
      </w:r>
      <w:r w:rsidR="002322DE" w:rsidRPr="00921C9B">
        <w:rPr>
          <w:b/>
          <w:szCs w:val="24"/>
          <w:lang w:eastAsia="en-US"/>
        </w:rPr>
        <w:t xml:space="preserve"> [Изм. 122]</w:t>
      </w:r>
    </w:p>
    <w:p w14:paraId="275670B7" w14:textId="77777777" w:rsidR="000D29CC" w:rsidRPr="00921C9B" w:rsidRDefault="000D29CC" w:rsidP="000D29CC">
      <w:pPr>
        <w:spacing w:before="120" w:after="120" w:line="360" w:lineRule="auto"/>
        <w:ind w:left="850"/>
        <w:rPr>
          <w:szCs w:val="24"/>
          <w:lang w:eastAsia="en-US"/>
        </w:rPr>
      </w:pPr>
      <w:r w:rsidRPr="00921C9B">
        <w:rPr>
          <w:szCs w:val="24"/>
          <w:lang w:eastAsia="en-US"/>
        </w:rPr>
        <w:t>* Директива 2006/118/ЕО на Европейския парламент и на Съвета от 12 декември 2006 г. за предотвратяване и контрол на замърсяването на подземните води (ОВ L 372, 27.12.2006 г., стр. 19).</w:t>
      </w:r>
    </w:p>
    <w:p w14:paraId="3A2EE024" w14:textId="77777777" w:rsidR="000D29CC" w:rsidRPr="00921C9B" w:rsidRDefault="000D29CC" w:rsidP="000D29CC">
      <w:pPr>
        <w:spacing w:before="120" w:after="120" w:line="360" w:lineRule="auto"/>
        <w:ind w:left="850"/>
        <w:rPr>
          <w:szCs w:val="24"/>
          <w:lang w:eastAsia="en-US"/>
        </w:rPr>
      </w:pPr>
      <w:r w:rsidRPr="00921C9B">
        <w:rPr>
          <w:szCs w:val="24"/>
          <w:lang w:eastAsia="en-US"/>
        </w:rPr>
        <w:t>** Директива (ЕС) 2020/2184 на Европейския парламент и на Съвета от 16 декември 2020 г. относно качеството на водата, предназначена за консумация от човека (ОВ L 435, 23.12.2020 г., стр. 1).;“</w:t>
      </w:r>
    </w:p>
    <w:p w14:paraId="17A40004" w14:textId="77777777" w:rsidR="00753EC5" w:rsidRPr="00921C9B" w:rsidRDefault="00753EC5">
      <w:pPr>
        <w:widowControl/>
        <w:rPr>
          <w:szCs w:val="24"/>
          <w:lang w:eastAsia="en-US"/>
        </w:rPr>
      </w:pPr>
      <w:r w:rsidRPr="00921C9B">
        <w:rPr>
          <w:szCs w:val="24"/>
          <w:lang w:eastAsia="en-US"/>
        </w:rPr>
        <w:br w:type="page"/>
      </w:r>
    </w:p>
    <w:p w14:paraId="33599FBE" w14:textId="119837DE"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6)</w:t>
      </w:r>
      <w:r w:rsidRPr="00921C9B">
        <w:rPr>
          <w:szCs w:val="24"/>
          <w:lang w:eastAsia="en-US"/>
        </w:rPr>
        <w:tab/>
        <w:t>член 8а се заменя със следното:</w:t>
      </w:r>
    </w:p>
    <w:p w14:paraId="10520DA0" w14:textId="77777777" w:rsidR="000D29CC" w:rsidRPr="00921C9B" w:rsidRDefault="000D29CC" w:rsidP="000D29CC">
      <w:pPr>
        <w:spacing w:before="120" w:after="120" w:line="360" w:lineRule="auto"/>
        <w:ind w:left="850"/>
        <w:rPr>
          <w:szCs w:val="24"/>
          <w:lang w:eastAsia="en-US"/>
        </w:rPr>
      </w:pPr>
      <w:r w:rsidRPr="00921C9B">
        <w:rPr>
          <w:szCs w:val="24"/>
          <w:lang w:eastAsia="en-US"/>
        </w:rPr>
        <w:t>„Член 8а</w:t>
      </w:r>
    </w:p>
    <w:p w14:paraId="36E15F2F" w14:textId="77777777" w:rsidR="000D29CC" w:rsidRPr="00921C9B" w:rsidRDefault="000D29CC" w:rsidP="000D29CC">
      <w:pPr>
        <w:spacing w:before="120" w:after="120" w:line="360" w:lineRule="auto"/>
        <w:ind w:left="850"/>
        <w:rPr>
          <w:szCs w:val="24"/>
          <w:lang w:eastAsia="en-US"/>
        </w:rPr>
      </w:pPr>
      <w:r w:rsidRPr="00921C9B">
        <w:rPr>
          <w:szCs w:val="24"/>
          <w:lang w:eastAsia="en-US"/>
        </w:rPr>
        <w:t>Специални разпоредби относно определени вещества</w:t>
      </w:r>
    </w:p>
    <w:p w14:paraId="7F0D606B"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w:t>
      </w:r>
      <w:r w:rsidRPr="00921C9B">
        <w:rPr>
          <w:szCs w:val="24"/>
          <w:lang w:eastAsia="en-US"/>
        </w:rPr>
        <w:tab/>
        <w:t>В плановете за управление на речните басейни в съответствие с член 13 от Директива 2000/60/ЕО, без да се засягат изискванията на раздел 1.4.3 от приложение V към нея относно представянето на общото химично състояние и целите и задълженията, определени в член 4, параграф 1, буква а) от посочената директива, държавите членки могат да съставят допълнителни карти, представящи информация за химичното състояние за едно или повече от следните вещества отделно от информацията за останалите вещества, включени в част А от приложение I към настоящата директива:</w:t>
      </w:r>
    </w:p>
    <w:p w14:paraId="3F38DA9D"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а)</w:t>
      </w:r>
      <w:r w:rsidRPr="00921C9B">
        <w:rPr>
          <w:szCs w:val="24"/>
          <w:lang w:eastAsia="en-US"/>
        </w:rPr>
        <w:tab/>
        <w:t>веществата, определени в част А от приложение I като вещества, реагиращи като повсеместно разпространени PBT вещества;</w:t>
      </w:r>
    </w:p>
    <w:p w14:paraId="032788B0"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б)</w:t>
      </w:r>
      <w:r w:rsidRPr="00921C9B">
        <w:rPr>
          <w:szCs w:val="24"/>
          <w:lang w:eastAsia="en-US"/>
        </w:rPr>
        <w:tab/>
        <w:t>нови вещества, определени при последния преглед в съответствие с член 8;</w:t>
      </w:r>
    </w:p>
    <w:p w14:paraId="0C3C3632" w14:textId="77777777" w:rsidR="00753EC5" w:rsidRPr="00921C9B" w:rsidRDefault="00753EC5">
      <w:pPr>
        <w:widowControl/>
        <w:rPr>
          <w:szCs w:val="24"/>
          <w:lang w:eastAsia="en-US"/>
        </w:rPr>
      </w:pPr>
      <w:r w:rsidRPr="00921C9B">
        <w:rPr>
          <w:szCs w:val="24"/>
          <w:lang w:eastAsia="en-US"/>
        </w:rPr>
        <w:br w:type="page"/>
      </w:r>
    </w:p>
    <w:p w14:paraId="1EB37EA3" w14:textId="09A14E0E" w:rsidR="000D29CC" w:rsidRPr="00921C9B" w:rsidRDefault="000D29CC" w:rsidP="000D29CC">
      <w:pPr>
        <w:spacing w:before="120" w:after="120" w:line="360" w:lineRule="auto"/>
        <w:ind w:left="1982" w:hanging="566"/>
        <w:rPr>
          <w:szCs w:val="24"/>
          <w:lang w:eastAsia="en-US"/>
        </w:rPr>
      </w:pPr>
      <w:r w:rsidRPr="00921C9B">
        <w:rPr>
          <w:szCs w:val="24"/>
          <w:lang w:eastAsia="en-US"/>
        </w:rPr>
        <w:lastRenderedPageBreak/>
        <w:t>в)</w:t>
      </w:r>
      <w:r w:rsidRPr="00921C9B">
        <w:rPr>
          <w:szCs w:val="24"/>
          <w:lang w:eastAsia="en-US"/>
        </w:rPr>
        <w:tab/>
        <w:t>вещества, за които при последния преглед са определени по-строги СКОС в съответствие с член 8.</w:t>
      </w:r>
    </w:p>
    <w:p w14:paraId="670DFD9E" w14:textId="6CA94A42" w:rsidR="000D29CC" w:rsidRPr="00921C9B" w:rsidRDefault="000D29CC" w:rsidP="000D29CC">
      <w:pPr>
        <w:spacing w:before="120" w:after="120" w:line="360" w:lineRule="auto"/>
        <w:ind w:left="1416"/>
        <w:rPr>
          <w:b/>
          <w:szCs w:val="24"/>
          <w:lang w:eastAsia="en-US"/>
        </w:rPr>
      </w:pPr>
      <w:r w:rsidRPr="00921C9B">
        <w:rPr>
          <w:szCs w:val="24"/>
          <w:lang w:eastAsia="en-US"/>
        </w:rPr>
        <w:t>Държавите членки</w:t>
      </w:r>
      <w:r w:rsidRPr="00921C9B">
        <w:rPr>
          <w:strike/>
          <w:szCs w:val="24"/>
          <w:lang w:eastAsia="en-US"/>
        </w:rPr>
        <w:t xml:space="preserve"> могат да</w:t>
      </w:r>
      <w:r w:rsidRPr="00921C9B">
        <w:rPr>
          <w:szCs w:val="24"/>
          <w:lang w:eastAsia="en-US"/>
        </w:rPr>
        <w:t xml:space="preserve"> представят степента на отклоненията от стойността на СКОС за веществата, посочени в първа алинея, букви а), б) и в), в плановете за управление на речните басейни, изготвени в съответствие с член 13 от Директива 2000/60/ЕО. Държавите членки, които предоставят допълнителни карти, както е посочено в първа алинея, се стремят да осигурят взаимната им съпоставимост на равнище речен басейн и на равнището на Съюза и предоставят данните в съответствие с Директива 2003/4/ЕО, Директива 2007/2/ЕО на Европейския парламент и на Съвета* и Директива (ЕС) 2019/1024 на Европейския парламент и на Съвета**.</w:t>
      </w:r>
      <w:r w:rsidR="002322DE" w:rsidRPr="00921C9B">
        <w:rPr>
          <w:b/>
          <w:szCs w:val="24"/>
          <w:lang w:eastAsia="en-US"/>
        </w:rPr>
        <w:t xml:space="preserve"> [Изм. 123]</w:t>
      </w:r>
    </w:p>
    <w:p w14:paraId="4C105F4A" w14:textId="77777777" w:rsidR="00753EC5" w:rsidRPr="00921C9B" w:rsidRDefault="00753EC5">
      <w:pPr>
        <w:widowControl/>
        <w:rPr>
          <w:szCs w:val="24"/>
          <w:lang w:eastAsia="en-US"/>
        </w:rPr>
      </w:pPr>
      <w:r w:rsidRPr="00921C9B">
        <w:rPr>
          <w:szCs w:val="24"/>
          <w:lang w:eastAsia="en-US"/>
        </w:rPr>
        <w:br w:type="page"/>
      </w:r>
    </w:p>
    <w:p w14:paraId="1EC79567" w14:textId="7CF7DE19" w:rsidR="000D29CC" w:rsidRPr="00921C9B" w:rsidRDefault="000D29CC" w:rsidP="000D29CC">
      <w:pPr>
        <w:spacing w:before="120" w:after="120" w:line="360" w:lineRule="auto"/>
        <w:ind w:left="1416" w:hanging="566"/>
        <w:rPr>
          <w:b/>
          <w:szCs w:val="24"/>
          <w:lang w:eastAsia="en-US"/>
        </w:rPr>
      </w:pPr>
      <w:r w:rsidRPr="00921C9B">
        <w:rPr>
          <w:szCs w:val="24"/>
          <w:lang w:eastAsia="en-US"/>
        </w:rPr>
        <w:lastRenderedPageBreak/>
        <w:t>2.</w:t>
      </w:r>
      <w:r w:rsidRPr="00921C9B">
        <w:rPr>
          <w:szCs w:val="24"/>
          <w:lang w:eastAsia="en-US"/>
        </w:rPr>
        <w:tab/>
        <w:t>По отношение на веществата, посочени в част А от приложение I като вещества, реагиращи като повсеместно разпространени PBT вещества</w:t>
      </w:r>
      <w:r w:rsidRPr="00921C9B">
        <w:rPr>
          <w:b/>
          <w:i/>
          <w:szCs w:val="24"/>
          <w:lang w:eastAsia="en-US"/>
        </w:rPr>
        <w:t xml:space="preserve"> и които вече не са разрешени и не се използват в Съюза</w:t>
      </w:r>
      <w:r w:rsidRPr="00921C9B">
        <w:rPr>
          <w:szCs w:val="24"/>
          <w:lang w:eastAsia="en-US"/>
        </w:rPr>
        <w:t>, държавите членки могат да извършват по-малко интензивен мониторинг от изисквания за приоритетните вещества в съответствие с член 3, параграф 4 от настоящата директива и приложение V към Директива 2000/60/ЕО, при условие че мониторингът е представителен и съществуват солидни статистически базови данни по отношение на наличието на тези вещества във водната среда. Като правило, в съответствие с член 3, параграф 6, втора алинея от настоящата директива, мониторингът следва да се извършва на всеки три години, освен ако въз основа на техническите знания и експертната преценка не бъде обоснован друг интервал.</w:t>
      </w:r>
      <w:r w:rsidR="002322DE" w:rsidRPr="00921C9B">
        <w:rPr>
          <w:b/>
          <w:szCs w:val="24"/>
          <w:lang w:eastAsia="en-US"/>
        </w:rPr>
        <w:t xml:space="preserve"> [Изм. 124]</w:t>
      </w:r>
    </w:p>
    <w:p w14:paraId="31F3C0CF" w14:textId="77777777" w:rsidR="00753EC5" w:rsidRPr="00921C9B" w:rsidRDefault="00753EC5">
      <w:pPr>
        <w:widowControl/>
        <w:rPr>
          <w:szCs w:val="24"/>
          <w:lang w:eastAsia="en-US"/>
        </w:rPr>
      </w:pPr>
      <w:r w:rsidRPr="00921C9B">
        <w:rPr>
          <w:szCs w:val="24"/>
          <w:lang w:eastAsia="en-US"/>
        </w:rPr>
        <w:br w:type="page"/>
      </w:r>
    </w:p>
    <w:p w14:paraId="69BB65AF" w14:textId="2B247D9D"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3.</w:t>
      </w:r>
      <w:r w:rsidRPr="00921C9B">
        <w:rPr>
          <w:szCs w:val="24"/>
          <w:lang w:eastAsia="en-US"/>
        </w:rPr>
        <w:tab/>
        <w:t>От ... [СП: моля, въведете дата = първия ден от месеца, следващ 18 месеца след датата на влизане в сила на настоящата директива] в продължение на две години държавите членки извършват мониторинг на наличието на естрогенни вещества във водните обекти, като използват основани на ефекта методи за мониторинг. Те провеждат мониторинга поне четири пъти през всяка от двете години на местата, където трите естрогенни хормона 7-бета естрадиол (Е2), естрон (Е1) и алфа-етинил естрадиол (ЕЕ2), изброени в част А от приложение I към настоящата директива, се наблюдават чрез конвенционални аналитични методи в съответствие с член 8 от Директива 2000/60/ЕО и приложение V към посочената директива. Държавите членки могат да използват мрежата от пунктове за мониторинг, определени за контролния мониторинг на представителни повърхностни водни обекти в съответствие с точка 1.3.1 от приложение V към Директива 2000/60/ЕО.</w:t>
      </w:r>
    </w:p>
    <w:p w14:paraId="5538DF89" w14:textId="77777777" w:rsidR="000D29CC" w:rsidRPr="00921C9B" w:rsidRDefault="000D29CC" w:rsidP="000D29CC">
      <w:pPr>
        <w:spacing w:before="120" w:after="120" w:line="360" w:lineRule="auto"/>
        <w:ind w:left="1416" w:hanging="566"/>
        <w:rPr>
          <w:szCs w:val="24"/>
          <w:lang w:eastAsia="en-US"/>
        </w:rPr>
      </w:pPr>
      <w:r w:rsidRPr="00921C9B">
        <w:rPr>
          <w:b/>
          <w:i/>
          <w:szCs w:val="24"/>
          <w:lang w:eastAsia="en-US"/>
        </w:rPr>
        <w:t>3a.</w:t>
      </w:r>
      <w:r w:rsidRPr="00921C9B">
        <w:rPr>
          <w:szCs w:val="24"/>
          <w:lang w:eastAsia="en-US"/>
        </w:rPr>
        <w:tab/>
      </w:r>
      <w:r w:rsidRPr="00921C9B">
        <w:rPr>
          <w:b/>
          <w:i/>
          <w:szCs w:val="24"/>
          <w:lang w:eastAsia="en-US"/>
        </w:rPr>
        <w:t>В срок от 12 месеца след двегодишния период, посочен в параграф 3, Комисията публикува доклад за оценка на надеждността на методите, основани на въздействието, като сравнява резултатите, основавани на въздействието, с резултатите, получени чрез използване на конвенционалните методи за мониторинг на трите естрогенни вещества, посочени в параграф 3, докато евентуално в бъдеще бъдат определени прагови стойности, основавани на въздействието.</w:t>
      </w:r>
    </w:p>
    <w:p w14:paraId="692060FA" w14:textId="77777777" w:rsidR="00753EC5" w:rsidRPr="00921C9B" w:rsidRDefault="00753EC5">
      <w:pPr>
        <w:widowControl/>
        <w:rPr>
          <w:b/>
          <w:i/>
          <w:szCs w:val="24"/>
          <w:lang w:eastAsia="en-US"/>
        </w:rPr>
      </w:pPr>
      <w:r w:rsidRPr="00921C9B">
        <w:rPr>
          <w:b/>
          <w:i/>
          <w:szCs w:val="24"/>
          <w:lang w:eastAsia="en-US"/>
        </w:rPr>
        <w:br w:type="page"/>
      </w:r>
    </w:p>
    <w:p w14:paraId="01E4795E" w14:textId="6F3897B1" w:rsidR="000D29CC" w:rsidRPr="00921C9B" w:rsidRDefault="000D29CC" w:rsidP="000D29CC">
      <w:pPr>
        <w:spacing w:before="120" w:after="120" w:line="360" w:lineRule="auto"/>
        <w:ind w:left="1416"/>
        <w:rPr>
          <w:b/>
          <w:szCs w:val="24"/>
          <w:lang w:eastAsia="en-US"/>
        </w:rPr>
      </w:pPr>
      <w:r w:rsidRPr="00921C9B">
        <w:rPr>
          <w:b/>
          <w:i/>
          <w:szCs w:val="24"/>
          <w:lang w:eastAsia="en-US"/>
        </w:rPr>
        <w:lastRenderedPageBreak/>
        <w:t>След като методите, основани на въздействието, бъдат готови за използване и за други вещества, на Комисията се предоставя правомощието да приема делегирани актове в съответствие с член 9а за допълване на настоящата директива чрез добавяне на изискване държавите членки да използват методи, основани на въздействието, успоредно с конвенционалните методи за мониторинг, за да извършват мониторинг за оценка на наличието на тези вещества във водните обекти.</w:t>
      </w:r>
      <w:r w:rsidR="002322DE" w:rsidRPr="00921C9B">
        <w:rPr>
          <w:b/>
          <w:szCs w:val="24"/>
          <w:lang w:eastAsia="en-US"/>
        </w:rPr>
        <w:t xml:space="preserve"> [Изм. 125]</w:t>
      </w:r>
    </w:p>
    <w:p w14:paraId="3510C285" w14:textId="77777777" w:rsidR="000D29CC" w:rsidRPr="00921C9B" w:rsidRDefault="000D29CC" w:rsidP="000D29CC">
      <w:pPr>
        <w:spacing w:before="120" w:after="120" w:line="360" w:lineRule="auto"/>
        <w:ind w:left="850"/>
        <w:rPr>
          <w:szCs w:val="24"/>
          <w:lang w:eastAsia="en-US"/>
        </w:rPr>
      </w:pPr>
      <w:r w:rsidRPr="00921C9B">
        <w:rPr>
          <w:szCs w:val="24"/>
          <w:lang w:eastAsia="en-US"/>
        </w:rPr>
        <w:t>* Директива 2007/2/ЕО на Европейския парламент и на Съвета от 14 март 2007 г. за създаване на инфраструктура за пространствена информация в Европейската общност (INSPIRE) (ОВ L 108, 25.4.2007 г., стр. 1).</w:t>
      </w:r>
    </w:p>
    <w:p w14:paraId="5F034B13" w14:textId="77777777" w:rsidR="000D29CC" w:rsidRPr="00921C9B" w:rsidRDefault="000D29CC" w:rsidP="000D29CC">
      <w:pPr>
        <w:spacing w:before="120" w:after="120" w:line="360" w:lineRule="auto"/>
        <w:ind w:left="850"/>
        <w:rPr>
          <w:szCs w:val="24"/>
          <w:lang w:eastAsia="en-US"/>
        </w:rPr>
      </w:pPr>
      <w:r w:rsidRPr="00921C9B">
        <w:rPr>
          <w:szCs w:val="24"/>
          <w:lang w:eastAsia="en-US"/>
        </w:rPr>
        <w:t>** Директива (ЕС) 2019/1024 на Европейския парламент и на Съвета от 20 юни 2019 г. относно отворените данни и повторното използване на информацията от обществения сектор (ОВ L 172, 26.6.2019 г., стр. 56).;“</w:t>
      </w:r>
    </w:p>
    <w:p w14:paraId="088F72EE" w14:textId="77777777" w:rsidR="00753EC5" w:rsidRPr="00921C9B" w:rsidRDefault="00753EC5">
      <w:pPr>
        <w:widowControl/>
        <w:rPr>
          <w:szCs w:val="24"/>
          <w:lang w:eastAsia="en-US"/>
        </w:rPr>
      </w:pPr>
      <w:r w:rsidRPr="00921C9B">
        <w:rPr>
          <w:szCs w:val="24"/>
          <w:lang w:eastAsia="en-US"/>
        </w:rPr>
        <w:br w:type="page"/>
      </w:r>
    </w:p>
    <w:p w14:paraId="1C63F1D2" w14:textId="1A354471"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7)</w:t>
      </w:r>
      <w:r w:rsidRPr="00921C9B">
        <w:rPr>
          <w:szCs w:val="24"/>
          <w:lang w:eastAsia="en-US"/>
        </w:rPr>
        <w:tab/>
        <w:t>член 8б се заменя със следното:</w:t>
      </w:r>
    </w:p>
    <w:p w14:paraId="4140B791" w14:textId="77777777" w:rsidR="000D29CC" w:rsidRPr="00921C9B" w:rsidRDefault="000D29CC" w:rsidP="000D29CC">
      <w:pPr>
        <w:spacing w:before="120" w:after="120" w:line="360" w:lineRule="auto"/>
        <w:ind w:left="850"/>
        <w:rPr>
          <w:szCs w:val="24"/>
          <w:lang w:eastAsia="en-US"/>
        </w:rPr>
      </w:pPr>
      <w:r w:rsidRPr="00921C9B">
        <w:rPr>
          <w:szCs w:val="24"/>
          <w:lang w:eastAsia="en-US"/>
        </w:rPr>
        <w:t>„Член 8б</w:t>
      </w:r>
    </w:p>
    <w:p w14:paraId="6ACF0AF1" w14:textId="77777777" w:rsidR="000D29CC" w:rsidRPr="00921C9B" w:rsidRDefault="000D29CC" w:rsidP="000D29CC">
      <w:pPr>
        <w:spacing w:before="120" w:after="120" w:line="360" w:lineRule="auto"/>
        <w:ind w:left="850"/>
        <w:rPr>
          <w:szCs w:val="24"/>
          <w:lang w:eastAsia="en-US"/>
        </w:rPr>
      </w:pPr>
      <w:r w:rsidRPr="00921C9B">
        <w:rPr>
          <w:szCs w:val="24"/>
          <w:lang w:eastAsia="en-US"/>
        </w:rPr>
        <w:t>Списък за наблюдение</w:t>
      </w:r>
    </w:p>
    <w:p w14:paraId="23E3B484"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w:t>
      </w:r>
      <w:r w:rsidRPr="00921C9B">
        <w:rPr>
          <w:szCs w:val="24"/>
          <w:lang w:eastAsia="en-US"/>
        </w:rPr>
        <w:tab/>
        <w:t>На Комисията се предоставя правомощието да приема актове за изпълнение, за да състави, с оглед на научните доклади, изготвени от ECHA, списък за наблюдение на веществата, за които държавите членки трябва да събират данни за мониторинг в целия Съюз, и да определи форматите, които държавите членки трябва да използват, за да докладват на Комисията резултатите от този мониторинг и свързаната с него информация. Тези актове за изпълнение се приемат в съответствие с процедурата по разглеждане, посочена в член 9, параграф 2.</w:t>
      </w:r>
    </w:p>
    <w:p w14:paraId="5538EC6E" w14:textId="77777777" w:rsidR="00753EC5" w:rsidRPr="00921C9B" w:rsidRDefault="00753EC5">
      <w:pPr>
        <w:widowControl/>
        <w:rPr>
          <w:szCs w:val="24"/>
          <w:lang w:eastAsia="en-US"/>
        </w:rPr>
      </w:pPr>
      <w:r w:rsidRPr="00921C9B">
        <w:rPr>
          <w:szCs w:val="24"/>
          <w:lang w:eastAsia="en-US"/>
        </w:rPr>
        <w:br w:type="page"/>
      </w:r>
    </w:p>
    <w:p w14:paraId="7190F442" w14:textId="0238B9B4" w:rsidR="000D29CC" w:rsidRPr="00921C9B" w:rsidRDefault="000D29CC" w:rsidP="000D29CC">
      <w:pPr>
        <w:spacing w:before="120" w:after="120" w:line="360" w:lineRule="auto"/>
        <w:ind w:left="1416"/>
        <w:rPr>
          <w:szCs w:val="24"/>
          <w:lang w:eastAsia="en-US"/>
        </w:rPr>
      </w:pPr>
      <w:r w:rsidRPr="00921C9B">
        <w:rPr>
          <w:szCs w:val="24"/>
          <w:lang w:eastAsia="en-US"/>
        </w:rPr>
        <w:lastRenderedPageBreak/>
        <w:t xml:space="preserve">В списъка за наблюдение се съдържат </w:t>
      </w:r>
      <w:r w:rsidRPr="00921C9B">
        <w:rPr>
          <w:strike/>
          <w:szCs w:val="24"/>
          <w:lang w:eastAsia="en-US"/>
        </w:rPr>
        <w:t>максимум десет</w:t>
      </w:r>
      <w:r w:rsidRPr="00921C9B">
        <w:rPr>
          <w:b/>
          <w:i/>
          <w:szCs w:val="24"/>
          <w:lang w:eastAsia="en-US"/>
        </w:rPr>
        <w:t>най-малко пет</w:t>
      </w:r>
      <w:r w:rsidRPr="00921C9B">
        <w:rPr>
          <w:szCs w:val="24"/>
          <w:lang w:eastAsia="en-US"/>
        </w:rPr>
        <w:t xml:space="preserve"> вещества или групи вещества</w:t>
      </w:r>
      <w:r w:rsidRPr="00921C9B">
        <w:rPr>
          <w:strike/>
          <w:szCs w:val="24"/>
          <w:lang w:eastAsia="en-US"/>
        </w:rPr>
        <w:t xml:space="preserve"> във всеки един момент и се посочват матриците за мониторинг и възможните методи за анализ за всяко вещество. Тези матрици и методи за мониторинг не трябва да водят до прекомерни разходи за компетентните органи.</w:t>
      </w:r>
      <w:r w:rsidRPr="00921C9B">
        <w:rPr>
          <w:b/>
          <w:i/>
          <w:szCs w:val="24"/>
          <w:lang w:eastAsia="en-US"/>
        </w:rPr>
        <w:t>, които пораждат нови опасения и са подбрани сред</w:t>
      </w:r>
      <w:r w:rsidRPr="00921C9B">
        <w:rPr>
          <w:szCs w:val="24"/>
          <w:lang w:eastAsia="en-US"/>
        </w:rPr>
        <w:t xml:space="preserve"> веществата</w:t>
      </w:r>
      <w:r w:rsidRPr="00921C9B">
        <w:rPr>
          <w:strike/>
          <w:szCs w:val="24"/>
          <w:lang w:eastAsia="en-US"/>
        </w:rPr>
        <w:t>, които подлежат на включване в списъка за наблюдение, се избират сред онези вещества</w:t>
      </w:r>
      <w:r w:rsidRPr="00921C9B">
        <w:rPr>
          <w:szCs w:val="24"/>
          <w:lang w:eastAsia="en-US"/>
        </w:rPr>
        <w:t>, за които наличната информация</w:t>
      </w:r>
      <w:r w:rsidRPr="00921C9B">
        <w:rPr>
          <w:b/>
          <w:i/>
          <w:szCs w:val="24"/>
          <w:lang w:eastAsia="en-US"/>
        </w:rPr>
        <w:t>, включително в съответствие с алинея четвърта, сочи, че могат да породят значителен</w:t>
      </w:r>
      <w:r w:rsidRPr="00921C9B">
        <w:rPr>
          <w:strike/>
          <w:szCs w:val="24"/>
          <w:lang w:eastAsia="en-US"/>
        </w:rPr>
        <w:t xml:space="preserve"> сочи, че може да представляват съществен</w:t>
      </w:r>
      <w:r w:rsidRPr="00921C9B">
        <w:rPr>
          <w:szCs w:val="24"/>
          <w:lang w:eastAsia="en-US"/>
        </w:rPr>
        <w:t xml:space="preserve"> риск на равнището на </w:t>
      </w:r>
      <w:r w:rsidRPr="00921C9B">
        <w:rPr>
          <w:strike/>
          <w:szCs w:val="24"/>
          <w:lang w:eastAsia="en-US"/>
        </w:rPr>
        <w:t>Съюза</w:t>
      </w:r>
      <w:r w:rsidRPr="00921C9B">
        <w:rPr>
          <w:b/>
          <w:i/>
          <w:szCs w:val="24"/>
          <w:lang w:eastAsia="en-US"/>
        </w:rPr>
        <w:t>ЕС</w:t>
      </w:r>
      <w:r w:rsidRPr="00921C9B">
        <w:rPr>
          <w:szCs w:val="24"/>
          <w:lang w:eastAsia="en-US"/>
        </w:rPr>
        <w:t xml:space="preserve"> за водната среда или посредством нея, и за които данните от мониторинга </w:t>
      </w:r>
      <w:r w:rsidRPr="00921C9B">
        <w:rPr>
          <w:strike/>
          <w:szCs w:val="24"/>
          <w:lang w:eastAsia="en-US"/>
        </w:rPr>
        <w:t>не са достатъчни.</w:t>
      </w:r>
      <w:r w:rsidRPr="00921C9B">
        <w:rPr>
          <w:b/>
          <w:i/>
          <w:szCs w:val="24"/>
          <w:lang w:eastAsia="en-US"/>
        </w:rPr>
        <w:t>са недостатъчни, с изключение на случаите, в които броят на веществата или групите вещества, за които наличната информация сочи, че могат да породят значителен риск за водната среда или посредством нея и от които трябва да се направи подборът, е по-малък т пет, в които случаи</w:t>
      </w:r>
      <w:r w:rsidRPr="00921C9B">
        <w:rPr>
          <w:szCs w:val="24"/>
          <w:lang w:eastAsia="en-US"/>
        </w:rPr>
        <w:t xml:space="preserve"> списъкът за наблюдение </w:t>
      </w:r>
      <w:r w:rsidRPr="00921C9B">
        <w:rPr>
          <w:strike/>
          <w:szCs w:val="24"/>
          <w:lang w:eastAsia="en-US"/>
        </w:rPr>
        <w:t>включва</w:t>
      </w:r>
      <w:r w:rsidRPr="00921C9B">
        <w:rPr>
          <w:b/>
          <w:i/>
          <w:szCs w:val="24"/>
          <w:lang w:eastAsia="en-US"/>
        </w:rPr>
        <w:t>съдържа всички тези</w:t>
      </w:r>
      <w:r w:rsidRPr="00921C9B">
        <w:rPr>
          <w:szCs w:val="24"/>
          <w:lang w:eastAsia="en-US"/>
        </w:rPr>
        <w:t xml:space="preserve"> вещества</w:t>
      </w:r>
      <w:r w:rsidRPr="00921C9B">
        <w:rPr>
          <w:strike/>
          <w:szCs w:val="24"/>
          <w:lang w:eastAsia="en-US"/>
        </w:rPr>
        <w:t>, които пораждат все повече безпокойство</w:t>
      </w:r>
      <w:r w:rsidRPr="00921C9B">
        <w:rPr>
          <w:szCs w:val="24"/>
          <w:lang w:eastAsia="en-US"/>
        </w:rPr>
        <w:t>.</w:t>
      </w:r>
    </w:p>
    <w:p w14:paraId="60F76CAE" w14:textId="77777777" w:rsidR="000D29CC" w:rsidRPr="00921C9B" w:rsidRDefault="000D29CC" w:rsidP="000D29CC">
      <w:pPr>
        <w:spacing w:before="120" w:after="120" w:line="360" w:lineRule="auto"/>
        <w:ind w:left="1416"/>
        <w:rPr>
          <w:szCs w:val="24"/>
          <w:lang w:eastAsia="en-US"/>
        </w:rPr>
      </w:pPr>
      <w:r w:rsidRPr="00921C9B">
        <w:rPr>
          <w:b/>
          <w:i/>
          <w:szCs w:val="24"/>
          <w:lang w:eastAsia="en-US"/>
        </w:rPr>
        <w:t>В допълнение към минималния брой вещества или групи вещества списъкът за наблюдение може да съдържа също така показатели за замърсяване.</w:t>
      </w:r>
    </w:p>
    <w:p w14:paraId="0F112DD9" w14:textId="7FD36616" w:rsidR="000D29CC" w:rsidRPr="00921C9B" w:rsidRDefault="000D29CC" w:rsidP="000D29CC">
      <w:pPr>
        <w:spacing w:before="120" w:after="120" w:line="360" w:lineRule="auto"/>
        <w:ind w:left="1416"/>
        <w:rPr>
          <w:b/>
          <w:szCs w:val="24"/>
          <w:lang w:eastAsia="en-US"/>
        </w:rPr>
      </w:pPr>
      <w:r w:rsidRPr="00921C9B">
        <w:rPr>
          <w:b/>
          <w:i/>
          <w:szCs w:val="24"/>
          <w:lang w:eastAsia="en-US"/>
        </w:rPr>
        <w:t>В списъка за наблюдение се посочват матриците за мониторинг и възможните методи за анализ за всяко вещество. Тези матрици и методи за мониторинг не трябва да водят до прекомерни разходи за компетентните органи.</w:t>
      </w:r>
      <w:r w:rsidR="002322DE" w:rsidRPr="00921C9B">
        <w:rPr>
          <w:b/>
          <w:szCs w:val="24"/>
          <w:lang w:eastAsia="en-US"/>
        </w:rPr>
        <w:t xml:space="preserve"> [Изм. 126]</w:t>
      </w:r>
    </w:p>
    <w:p w14:paraId="1A7A9014" w14:textId="77777777" w:rsidR="000B1908" w:rsidRPr="00921C9B" w:rsidRDefault="000B1908">
      <w:pPr>
        <w:widowControl/>
        <w:rPr>
          <w:strike/>
          <w:szCs w:val="24"/>
          <w:lang w:eastAsia="en-US"/>
        </w:rPr>
      </w:pPr>
      <w:r w:rsidRPr="00921C9B">
        <w:rPr>
          <w:strike/>
          <w:szCs w:val="24"/>
          <w:lang w:eastAsia="en-US"/>
        </w:rPr>
        <w:br w:type="page"/>
      </w:r>
    </w:p>
    <w:p w14:paraId="2118A11F" w14:textId="1A7F2351" w:rsidR="000D29CC" w:rsidRPr="00921C9B" w:rsidRDefault="000D29CC" w:rsidP="000D29CC">
      <w:pPr>
        <w:spacing w:before="120" w:after="120" w:line="360" w:lineRule="auto"/>
        <w:ind w:left="1416"/>
        <w:rPr>
          <w:b/>
          <w:szCs w:val="24"/>
          <w:lang w:eastAsia="en-US"/>
        </w:rPr>
      </w:pPr>
      <w:r w:rsidRPr="00921C9B">
        <w:rPr>
          <w:strike/>
          <w:szCs w:val="24"/>
          <w:lang w:eastAsia="en-US"/>
        </w:rPr>
        <w:lastRenderedPageBreak/>
        <w:t>Веднага след като бъдат установени</w:t>
      </w:r>
      <w:r w:rsidRPr="00921C9B">
        <w:rPr>
          <w:b/>
          <w:i/>
          <w:szCs w:val="24"/>
          <w:lang w:eastAsia="en-US"/>
        </w:rPr>
        <w:t>Във възможно най-кратък срок и не по-късно от [първия ден на месеца, следващ срока от 18 месеца след датата на влизане в сила на настоящата директива за изменение] се определят</w:t>
      </w:r>
      <w:r w:rsidRPr="00921C9B">
        <w:rPr>
          <w:szCs w:val="24"/>
          <w:lang w:eastAsia="en-US"/>
        </w:rPr>
        <w:t xml:space="preserve"> подходящи методи за мониторинг на </w:t>
      </w:r>
      <w:r w:rsidRPr="00921C9B">
        <w:rPr>
          <w:strike/>
          <w:szCs w:val="24"/>
          <w:lang w:eastAsia="en-US"/>
        </w:rPr>
        <w:t>пластмасови</w:t>
      </w:r>
      <w:r w:rsidRPr="00921C9B">
        <w:rPr>
          <w:b/>
          <w:i/>
          <w:szCs w:val="24"/>
          <w:lang w:eastAsia="en-US"/>
        </w:rPr>
        <w:t>пластмасовите</w:t>
      </w:r>
      <w:r w:rsidRPr="00921C9B">
        <w:rPr>
          <w:szCs w:val="24"/>
          <w:lang w:eastAsia="en-US"/>
        </w:rPr>
        <w:t xml:space="preserve"> микрочастици и избрани гени за антимикробна резистентност</w:t>
      </w:r>
      <w:r w:rsidRPr="00921C9B">
        <w:rPr>
          <w:b/>
          <w:i/>
          <w:szCs w:val="24"/>
          <w:lang w:eastAsia="en-US"/>
        </w:rPr>
        <w:t>. Веднага след като бъдат установени посочените методи за мониторинг, пластмасовите микрочастици и избраните гени за антимикробна резистентност</w:t>
      </w:r>
      <w:r w:rsidRPr="00921C9B">
        <w:rPr>
          <w:strike/>
          <w:szCs w:val="24"/>
          <w:lang w:eastAsia="en-US"/>
        </w:rPr>
        <w:t>, тези вещества</w:t>
      </w:r>
      <w:r w:rsidRPr="00921C9B">
        <w:rPr>
          <w:szCs w:val="24"/>
          <w:lang w:eastAsia="en-US"/>
        </w:rPr>
        <w:t xml:space="preserve"> се включват в списъка за наблюдение</w:t>
      </w:r>
      <w:r w:rsidRPr="00921C9B">
        <w:rPr>
          <w:b/>
          <w:i/>
          <w:szCs w:val="24"/>
          <w:lang w:eastAsia="en-US"/>
        </w:rPr>
        <w:t xml:space="preserve"> в съответствие с параграф 2</w:t>
      </w:r>
      <w:r w:rsidRPr="00921C9B">
        <w:rPr>
          <w:szCs w:val="24"/>
          <w:lang w:eastAsia="en-US"/>
        </w:rPr>
        <w:t>.</w:t>
      </w:r>
      <w:r w:rsidRPr="00921C9B">
        <w:rPr>
          <w:b/>
          <w:i/>
          <w:szCs w:val="24"/>
          <w:lang w:eastAsia="en-US"/>
        </w:rPr>
        <w:t xml:space="preserve"> Комисията също така преценява дали включването на сулфати, ксантати и нерелевантни метаболити на пестициди (NrMs) в списъка за наблюдение е необходимо, за да се подобри наличността на данни за тяхното присъствие, като се има предвид обхватът на настоящата директива.</w:t>
      </w:r>
      <w:r w:rsidR="002322DE" w:rsidRPr="00921C9B">
        <w:rPr>
          <w:b/>
          <w:szCs w:val="24"/>
          <w:lang w:eastAsia="en-US"/>
        </w:rPr>
        <w:t xml:space="preserve"> [Изм. 127]</w:t>
      </w:r>
    </w:p>
    <w:p w14:paraId="4E603DD5" w14:textId="2A547C53" w:rsidR="000D29CC" w:rsidRPr="00921C9B" w:rsidRDefault="000D29CC" w:rsidP="000D29CC">
      <w:pPr>
        <w:spacing w:before="120" w:after="120" w:line="360" w:lineRule="auto"/>
        <w:ind w:left="1416"/>
        <w:rPr>
          <w:b/>
          <w:szCs w:val="24"/>
          <w:lang w:eastAsia="en-US"/>
        </w:rPr>
      </w:pPr>
      <w:r w:rsidRPr="00921C9B">
        <w:rPr>
          <w:szCs w:val="24"/>
          <w:lang w:eastAsia="en-US"/>
        </w:rPr>
        <w:t xml:space="preserve">ECHA изготвя научни доклади, за да подпомогне Комисията при избора на вещества </w:t>
      </w:r>
      <w:r w:rsidRPr="00921C9B">
        <w:rPr>
          <w:b/>
          <w:i/>
          <w:szCs w:val="24"/>
          <w:lang w:eastAsia="en-US"/>
        </w:rPr>
        <w:t xml:space="preserve">и показатели за замърсяване </w:t>
      </w:r>
      <w:r w:rsidRPr="00921C9B">
        <w:rPr>
          <w:szCs w:val="24"/>
          <w:lang w:eastAsia="en-US"/>
        </w:rPr>
        <w:t>за списъка за наблюдение, като взема предвид следната информация:</w:t>
      </w:r>
      <w:r w:rsidR="002322DE" w:rsidRPr="00921C9B">
        <w:rPr>
          <w:b/>
          <w:szCs w:val="24"/>
          <w:lang w:eastAsia="en-US"/>
        </w:rPr>
        <w:t xml:space="preserve"> [Изм. 128]</w:t>
      </w:r>
    </w:p>
    <w:p w14:paraId="5D30E4ED"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а)</w:t>
      </w:r>
      <w:r w:rsidRPr="00921C9B">
        <w:rPr>
          <w:szCs w:val="24"/>
          <w:lang w:eastAsia="en-US"/>
        </w:rPr>
        <w:tab/>
        <w:t>резултатите от последния редовен преглед на приложение I към настоящата директива;</w:t>
      </w:r>
    </w:p>
    <w:p w14:paraId="37CB3C0E"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б)</w:t>
      </w:r>
      <w:r w:rsidRPr="00921C9B">
        <w:rPr>
          <w:szCs w:val="24"/>
          <w:lang w:eastAsia="en-US"/>
        </w:rPr>
        <w:tab/>
        <w:t>препоръките от заинтересованите страни, посочени в член 8 от Директива 2008/105/ЕО;</w:t>
      </w:r>
    </w:p>
    <w:p w14:paraId="7B248112" w14:textId="77777777" w:rsidR="000B1908" w:rsidRPr="00921C9B" w:rsidRDefault="000B1908">
      <w:pPr>
        <w:widowControl/>
        <w:rPr>
          <w:szCs w:val="24"/>
          <w:lang w:eastAsia="en-US"/>
        </w:rPr>
      </w:pPr>
      <w:r w:rsidRPr="00921C9B">
        <w:rPr>
          <w:szCs w:val="24"/>
          <w:lang w:eastAsia="en-US"/>
        </w:rPr>
        <w:br w:type="page"/>
      </w:r>
    </w:p>
    <w:p w14:paraId="0ACBA467" w14:textId="6AF604D6" w:rsidR="000D29CC" w:rsidRPr="00921C9B" w:rsidRDefault="000D29CC" w:rsidP="000D29CC">
      <w:pPr>
        <w:spacing w:before="120" w:after="120" w:line="360" w:lineRule="auto"/>
        <w:ind w:left="1982" w:hanging="566"/>
        <w:rPr>
          <w:szCs w:val="24"/>
          <w:lang w:eastAsia="en-US"/>
        </w:rPr>
      </w:pPr>
      <w:r w:rsidRPr="00921C9B">
        <w:rPr>
          <w:szCs w:val="24"/>
          <w:lang w:eastAsia="en-US"/>
        </w:rPr>
        <w:lastRenderedPageBreak/>
        <w:t>в)</w:t>
      </w:r>
      <w:r w:rsidRPr="00921C9B">
        <w:rPr>
          <w:szCs w:val="24"/>
          <w:lang w:eastAsia="en-US"/>
        </w:rPr>
        <w:tab/>
        <w:t>характеризирането на районите на речните басейни от страна на държавите членки в съответствие с член 5 от Директива 2000/60/ЕО и резултатите от програмите за мониторинг, създадени в съответствие с член 8 от същата директива;</w:t>
      </w:r>
    </w:p>
    <w:p w14:paraId="416EC98D"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г)</w:t>
      </w:r>
      <w:r w:rsidRPr="00921C9B">
        <w:rPr>
          <w:szCs w:val="24"/>
          <w:lang w:eastAsia="en-US"/>
        </w:rPr>
        <w:tab/>
        <w:t>информация за производствения обем, начините на употреба, присъщите свойства (включително, когато е приложимо, размера на частиците), концентрациите в околната среда и неблагоприятните въздействия на дадено вещество върху здравето на човека и водната среда, включително информация, събрана в съответствие с Регламент (ЕО) № 1907/2006, Регламент (ЕО) № 1107/2009, Регламент (ЕС) № 528/2012, Регламент (ЕС) 2019/6, Директива 2001/83/ЕО и Директива 2009/128/ЕО;</w:t>
      </w:r>
    </w:p>
    <w:p w14:paraId="523700A9" w14:textId="235E7D04" w:rsidR="000D29CC" w:rsidRPr="00921C9B" w:rsidRDefault="000D29CC" w:rsidP="000D29CC">
      <w:pPr>
        <w:spacing w:before="120" w:after="120" w:line="360" w:lineRule="auto"/>
        <w:ind w:left="1982" w:hanging="566"/>
        <w:rPr>
          <w:b/>
          <w:szCs w:val="24"/>
          <w:lang w:eastAsia="en-US"/>
        </w:rPr>
      </w:pPr>
      <w:r w:rsidRPr="00921C9B">
        <w:rPr>
          <w:szCs w:val="24"/>
          <w:lang w:eastAsia="en-US"/>
        </w:rPr>
        <w:t>д)</w:t>
      </w:r>
      <w:r w:rsidRPr="00921C9B">
        <w:rPr>
          <w:szCs w:val="24"/>
          <w:lang w:eastAsia="en-US"/>
        </w:rPr>
        <w:tab/>
        <w:t>научноизследователски проекти и научни публикации</w:t>
      </w:r>
      <w:r w:rsidRPr="00921C9B">
        <w:rPr>
          <w:b/>
          <w:i/>
          <w:szCs w:val="24"/>
          <w:lang w:eastAsia="en-US"/>
        </w:rPr>
        <w:t xml:space="preserve"> и доказателства</w:t>
      </w:r>
      <w:r w:rsidRPr="00921C9B">
        <w:rPr>
          <w:szCs w:val="24"/>
          <w:lang w:eastAsia="en-US"/>
        </w:rPr>
        <w:t xml:space="preserve">, включително информация за тенденции и прогнози, основани на моделиране или </w:t>
      </w:r>
      <w:r w:rsidRPr="00921C9B">
        <w:rPr>
          <w:b/>
          <w:i/>
          <w:szCs w:val="24"/>
          <w:lang w:eastAsia="en-US"/>
        </w:rPr>
        <w:t xml:space="preserve">на </w:t>
      </w:r>
      <w:r w:rsidRPr="00921C9B">
        <w:rPr>
          <w:szCs w:val="24"/>
          <w:lang w:eastAsia="en-US"/>
        </w:rPr>
        <w:t xml:space="preserve">други прогнозни оценки, както и </w:t>
      </w:r>
      <w:r w:rsidRPr="00921C9B">
        <w:rPr>
          <w:strike/>
          <w:szCs w:val="24"/>
          <w:lang w:eastAsia="en-US"/>
        </w:rPr>
        <w:t xml:space="preserve">данни и </w:t>
      </w:r>
      <w:r w:rsidRPr="00921C9B">
        <w:rPr>
          <w:szCs w:val="24"/>
          <w:lang w:eastAsia="en-US"/>
        </w:rPr>
        <w:t xml:space="preserve">информация </w:t>
      </w:r>
      <w:r w:rsidRPr="00921C9B">
        <w:rPr>
          <w:strike/>
          <w:szCs w:val="24"/>
          <w:lang w:eastAsia="en-US"/>
        </w:rPr>
        <w:t>от</w:t>
      </w:r>
      <w:r w:rsidRPr="00921C9B">
        <w:rPr>
          <w:b/>
          <w:i/>
          <w:szCs w:val="24"/>
          <w:lang w:eastAsia="en-US"/>
        </w:rPr>
        <w:t>и данни, събрани чрез</w:t>
      </w:r>
      <w:r w:rsidRPr="00921C9B">
        <w:rPr>
          <w:szCs w:val="24"/>
          <w:lang w:eastAsia="en-US"/>
        </w:rPr>
        <w:t xml:space="preserve"> технологии за дистанционно наблюдение, наблюдение на Земята (услуги по програма „Коперник“), датчици и устройства на място или данни от гражданската наука, като се използват възможностите, предлагани от изкуствения интелект, усъвършенствания анализ и обработка на данни.</w:t>
      </w:r>
      <w:r w:rsidR="00B960CD" w:rsidRPr="00921C9B">
        <w:rPr>
          <w:b/>
          <w:szCs w:val="24"/>
          <w:lang w:eastAsia="en-US"/>
        </w:rPr>
        <w:t xml:space="preserve"> [Изм. 129]</w:t>
      </w:r>
    </w:p>
    <w:p w14:paraId="26183ECF" w14:textId="77777777" w:rsidR="000B1908" w:rsidRPr="00921C9B" w:rsidRDefault="000B1908">
      <w:pPr>
        <w:widowControl/>
        <w:rPr>
          <w:szCs w:val="24"/>
          <w:lang w:eastAsia="en-US"/>
        </w:rPr>
      </w:pPr>
      <w:r w:rsidRPr="00921C9B">
        <w:rPr>
          <w:szCs w:val="24"/>
          <w:lang w:eastAsia="en-US"/>
        </w:rPr>
        <w:br w:type="page"/>
      </w:r>
    </w:p>
    <w:p w14:paraId="23213674" w14:textId="42788F24" w:rsidR="000D29CC" w:rsidRPr="00921C9B" w:rsidRDefault="000D29CC" w:rsidP="000D29CC">
      <w:pPr>
        <w:spacing w:before="120" w:after="120" w:line="360" w:lineRule="auto"/>
        <w:ind w:left="1416"/>
        <w:rPr>
          <w:szCs w:val="24"/>
          <w:lang w:eastAsia="en-US"/>
        </w:rPr>
      </w:pPr>
      <w:r w:rsidRPr="00921C9B">
        <w:rPr>
          <w:szCs w:val="24"/>
          <w:lang w:eastAsia="en-US"/>
        </w:rPr>
        <w:lastRenderedPageBreak/>
        <w:t>На всеки три години ECHA изготвя доклад, в който се обобщават констатациите от научните доклади, изготвени съгласно четвъртата алинея, и предоставя публичен достъп до този доклад. Първият доклад на ECHA се предоставя до ... [СП: моля, въведете дата = първия ден от двадесет и първия месец след датата на влизане в сила на настоящата директива].</w:t>
      </w:r>
    </w:p>
    <w:p w14:paraId="4C32B890" w14:textId="67EFD2CF" w:rsidR="000D29CC" w:rsidRPr="00921C9B" w:rsidRDefault="000D29CC" w:rsidP="000D29CC">
      <w:pPr>
        <w:spacing w:before="120" w:after="120" w:line="360" w:lineRule="auto"/>
        <w:ind w:left="1416" w:hanging="566"/>
        <w:rPr>
          <w:b/>
          <w:szCs w:val="24"/>
          <w:lang w:eastAsia="en-US"/>
        </w:rPr>
      </w:pPr>
      <w:r w:rsidRPr="00921C9B">
        <w:rPr>
          <w:szCs w:val="24"/>
          <w:lang w:eastAsia="en-US"/>
        </w:rPr>
        <w:t>2.</w:t>
      </w:r>
      <w:r w:rsidRPr="00921C9B">
        <w:rPr>
          <w:szCs w:val="24"/>
          <w:lang w:eastAsia="en-US"/>
        </w:rPr>
        <w:tab/>
        <w:t xml:space="preserve">Списъкът за наблюдение се актуализира до X [СП: моля, въведете дата = последния ден на двадесет и третия месец след датата на влизане в сила на настоящата директива] и </w:t>
      </w:r>
      <w:r w:rsidRPr="00921C9B">
        <w:rPr>
          <w:b/>
          <w:i/>
          <w:szCs w:val="24"/>
          <w:lang w:eastAsia="en-US"/>
        </w:rPr>
        <w:t xml:space="preserve">най-късно </w:t>
      </w:r>
      <w:r w:rsidRPr="00921C9B">
        <w:rPr>
          <w:szCs w:val="24"/>
          <w:lang w:eastAsia="en-US"/>
        </w:rPr>
        <w:t>на всеки 36 месеца след това</w:t>
      </w:r>
      <w:r w:rsidRPr="00921C9B">
        <w:rPr>
          <w:strike/>
          <w:szCs w:val="24"/>
          <w:lang w:eastAsia="en-US"/>
        </w:rPr>
        <w:t>. При актуализирането</w:t>
      </w:r>
      <w:r w:rsidRPr="00921C9B">
        <w:rPr>
          <w:b/>
          <w:i/>
          <w:szCs w:val="24"/>
          <w:lang w:eastAsia="en-US"/>
        </w:rPr>
        <w:t xml:space="preserve"> или по-често, ако се появят нови научни доказателства, които налагат актуализиране</w:t>
      </w:r>
      <w:r w:rsidRPr="00921C9B">
        <w:rPr>
          <w:szCs w:val="24"/>
          <w:lang w:eastAsia="en-US"/>
        </w:rPr>
        <w:t xml:space="preserve"> на списъка </w:t>
      </w:r>
      <w:r w:rsidRPr="00921C9B">
        <w:rPr>
          <w:strike/>
          <w:szCs w:val="24"/>
          <w:lang w:eastAsia="en-US"/>
        </w:rPr>
        <w:t>за наблюдение Комисията премахва от съществуващия списък за наблюдение всяко вещество, за което счита, че е възможно рискът от него за водната среда да се оцени без допълнителни данни от мониторинга. Когато списъкът за наблюдение се актуализира, отделно вещество или група вещества могат да останат в списъка за наблюдение за още един период от максимум три години, когато са необходими допълнителни данни от мониторинга, за да се оцени рискът за водната среда</w:t>
      </w:r>
      <w:r w:rsidRPr="00921C9B">
        <w:rPr>
          <w:b/>
          <w:i/>
          <w:szCs w:val="24"/>
          <w:lang w:eastAsia="en-US"/>
        </w:rPr>
        <w:t>в периода между отделните прегледи</w:t>
      </w:r>
      <w:r w:rsidRPr="00921C9B">
        <w:rPr>
          <w:szCs w:val="24"/>
          <w:lang w:eastAsia="en-US"/>
        </w:rPr>
        <w:t>.</w:t>
      </w:r>
      <w:r w:rsidRPr="00921C9B">
        <w:rPr>
          <w:strike/>
          <w:szCs w:val="24"/>
          <w:lang w:eastAsia="en-US"/>
        </w:rPr>
        <w:t xml:space="preserve"> Всеки актуализиран списък за наблюдение включва също така едно или повече нови вещества, за които Комисията счита, въз основа на научните доклади на ECHA, че съществува риск за водната среда.</w:t>
      </w:r>
    </w:p>
    <w:p w14:paraId="50DF3D89" w14:textId="77777777" w:rsidR="000D29CC" w:rsidRPr="00921C9B" w:rsidRDefault="000D29CC" w:rsidP="000D29CC">
      <w:pPr>
        <w:spacing w:before="120" w:after="120" w:line="360" w:lineRule="auto"/>
        <w:ind w:left="1416"/>
        <w:rPr>
          <w:szCs w:val="24"/>
          <w:lang w:eastAsia="en-US"/>
        </w:rPr>
      </w:pPr>
      <w:r w:rsidRPr="00921C9B">
        <w:rPr>
          <w:b/>
          <w:i/>
          <w:szCs w:val="24"/>
          <w:lang w:eastAsia="en-US"/>
        </w:rPr>
        <w:t>Държавите членки оценяват на всеки две години въздействието на промишлените дейности, свързани с енергийния преход, върху качеството на водите и информират Комисията за новоустановени заплахи, така че тя да може да актуализира списъка за наблюдение. Оценката е леснодостъпна за обществеността.</w:t>
      </w:r>
    </w:p>
    <w:p w14:paraId="08526295" w14:textId="77777777" w:rsidR="000B1908" w:rsidRPr="00921C9B" w:rsidRDefault="000B1908">
      <w:pPr>
        <w:widowControl/>
        <w:rPr>
          <w:b/>
          <w:i/>
          <w:szCs w:val="24"/>
          <w:lang w:eastAsia="en-US"/>
        </w:rPr>
      </w:pPr>
      <w:r w:rsidRPr="00921C9B">
        <w:rPr>
          <w:b/>
          <w:i/>
          <w:szCs w:val="24"/>
          <w:lang w:eastAsia="en-US"/>
        </w:rPr>
        <w:br w:type="page"/>
      </w:r>
    </w:p>
    <w:p w14:paraId="1F4886B7" w14:textId="0B2E3FCD" w:rsidR="000D29CC" w:rsidRPr="00921C9B" w:rsidRDefault="000D29CC" w:rsidP="000D29CC">
      <w:pPr>
        <w:spacing w:before="120" w:after="120" w:line="360" w:lineRule="auto"/>
        <w:ind w:left="1416"/>
        <w:rPr>
          <w:szCs w:val="24"/>
          <w:lang w:eastAsia="en-US"/>
        </w:rPr>
      </w:pPr>
      <w:r w:rsidRPr="00921C9B">
        <w:rPr>
          <w:b/>
          <w:i/>
          <w:szCs w:val="24"/>
          <w:lang w:eastAsia="en-US"/>
        </w:rPr>
        <w:lastRenderedPageBreak/>
        <w:t>При актуализирането на списъка за наблюдение Комисията премахва от съществуващия списък за наблюдение всяко вещество, за което счита, че е възможно рискът от него за водната среда да се оцени без допълнителни данни от мониторинга. Когато списъкът за наблюдение се актуализира, отделно вещество или група вещества могат да останат в списъка за наблюдение за още един период от максимум три години, когато са необходими допълнителни данни от мониторинга, за да се оцени рискът за водната среда. Всеки актуализиран списък за наблюдение включва също така едно или повече нови вещества, за които Комисията счита, въз основа на научните доклади на ECHA, че съществува риск за водната среда.</w:t>
      </w:r>
      <w:r w:rsidR="00B960CD" w:rsidRPr="00921C9B">
        <w:rPr>
          <w:b/>
          <w:szCs w:val="24"/>
          <w:lang w:eastAsia="en-US"/>
        </w:rPr>
        <w:t xml:space="preserve"> [Изм. 130]</w:t>
      </w:r>
    </w:p>
    <w:p w14:paraId="3C64DB12"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3.</w:t>
      </w:r>
      <w:r w:rsidRPr="00921C9B">
        <w:rPr>
          <w:szCs w:val="24"/>
          <w:lang w:eastAsia="en-US"/>
        </w:rPr>
        <w:tab/>
        <w:t>Държавите членки извършват мониторинг на всяко вещество или група вещества от списъка за наблюдение в избрани представителни станции за мониторинг за период от 24 месеца. Периодът на мониторинг започва в рамките на шест месеца след включването на веществото в списъка.</w:t>
      </w:r>
    </w:p>
    <w:p w14:paraId="04350B0C" w14:textId="77777777" w:rsidR="000D29CC" w:rsidRPr="00921C9B" w:rsidRDefault="000D29CC" w:rsidP="000D29CC">
      <w:pPr>
        <w:spacing w:before="120" w:after="120" w:line="360" w:lineRule="auto"/>
        <w:ind w:left="1416"/>
        <w:rPr>
          <w:szCs w:val="24"/>
          <w:lang w:eastAsia="en-US"/>
        </w:rPr>
      </w:pPr>
      <w:r w:rsidRPr="00921C9B">
        <w:rPr>
          <w:szCs w:val="24"/>
          <w:lang w:eastAsia="en-US"/>
        </w:rPr>
        <w:t>Всяка държава членка избира поне една станция за мониторинг плюс една, ако има повече от един милион жители, плюс брой станции, получен като се раздели географската ѝ площ в km2 на 60 000 (закръгля се до най-близкото цяло число), плюс броя станции, получен, като се раздели броят на населението ѝ на пет милиона (закръглява се до най-близкото цяло число).</w:t>
      </w:r>
    </w:p>
    <w:p w14:paraId="01F5861B" w14:textId="1D3A28E9" w:rsidR="000D29CC" w:rsidRPr="00921C9B" w:rsidRDefault="000D29CC" w:rsidP="000D29CC">
      <w:pPr>
        <w:spacing w:before="120" w:after="120" w:line="360" w:lineRule="auto"/>
        <w:ind w:left="1416"/>
        <w:rPr>
          <w:b/>
          <w:szCs w:val="24"/>
          <w:lang w:eastAsia="en-US"/>
        </w:rPr>
      </w:pPr>
      <w:r w:rsidRPr="00921C9B">
        <w:rPr>
          <w:szCs w:val="24"/>
          <w:lang w:eastAsia="en-US"/>
        </w:rPr>
        <w:t xml:space="preserve">При избора на представителните станции за мониторинг, на честотата на мониторинга и на сезонното разпределение на времето за всяко вещество или група вещества държавите членки вземат предвид моделите на употреба и възможната поява на веществото или на групата вещества. Честотата на мониторинга е не по-малко от </w:t>
      </w:r>
      <w:r w:rsidRPr="00921C9B">
        <w:rPr>
          <w:strike/>
          <w:szCs w:val="24"/>
          <w:lang w:eastAsia="en-US"/>
        </w:rPr>
        <w:t>два пъти</w:t>
      </w:r>
      <w:r w:rsidRPr="00921C9B">
        <w:rPr>
          <w:b/>
          <w:i/>
          <w:szCs w:val="24"/>
          <w:lang w:eastAsia="en-US"/>
        </w:rPr>
        <w:t>веднъж</w:t>
      </w:r>
      <w:r w:rsidRPr="00921C9B">
        <w:rPr>
          <w:szCs w:val="24"/>
          <w:lang w:eastAsia="en-US"/>
        </w:rPr>
        <w:t xml:space="preserve"> годишно</w:t>
      </w:r>
      <w:r w:rsidRPr="00921C9B">
        <w:rPr>
          <w:strike/>
          <w:szCs w:val="24"/>
          <w:lang w:eastAsia="en-US"/>
        </w:rPr>
        <w:t>, с изключение на веществата, които са чувствителни към климатични или сезонни колебания, за които мониторингът се извършва по-често</w:t>
      </w:r>
      <w:r w:rsidRPr="00921C9B">
        <w:rPr>
          <w:b/>
          <w:i/>
          <w:szCs w:val="24"/>
          <w:lang w:eastAsia="en-US"/>
        </w:rPr>
        <w:t>. Честотата е по-висока</w:t>
      </w:r>
      <w:r w:rsidRPr="00921C9B">
        <w:rPr>
          <w:szCs w:val="24"/>
          <w:lang w:eastAsia="en-US"/>
        </w:rPr>
        <w:t>, както е посочено в акта за изпълнение за съставяне на списъка за наблюдение, приет съгласно параграф 1</w:t>
      </w:r>
      <w:r w:rsidRPr="00921C9B">
        <w:rPr>
          <w:b/>
          <w:i/>
          <w:szCs w:val="24"/>
          <w:lang w:eastAsia="en-US"/>
        </w:rPr>
        <w:t xml:space="preserve">, за вещества, които са чувствителни към климатични промени, включително валежи, и за вещества, чиято концентрация е вероятно </w:t>
      </w:r>
      <w:r w:rsidRPr="00921C9B">
        <w:rPr>
          <w:b/>
          <w:i/>
          <w:szCs w:val="24"/>
          <w:lang w:eastAsia="en-US"/>
        </w:rPr>
        <w:lastRenderedPageBreak/>
        <w:t>да достигне пик за кратки периоди в резултат на сезонни колебания в употребата на тези вещества</w:t>
      </w:r>
      <w:r w:rsidRPr="00921C9B">
        <w:rPr>
          <w:szCs w:val="24"/>
          <w:lang w:eastAsia="en-US"/>
        </w:rPr>
        <w:t>.</w:t>
      </w:r>
      <w:r w:rsidR="002E0423" w:rsidRPr="00921C9B">
        <w:rPr>
          <w:b/>
          <w:szCs w:val="24"/>
          <w:lang w:eastAsia="en-US"/>
        </w:rPr>
        <w:t xml:space="preserve"> [Изм. 131]</w:t>
      </w:r>
    </w:p>
    <w:p w14:paraId="251B5006" w14:textId="77777777" w:rsidR="000B1908" w:rsidRPr="00921C9B" w:rsidRDefault="000B1908">
      <w:pPr>
        <w:widowControl/>
        <w:rPr>
          <w:szCs w:val="24"/>
          <w:lang w:eastAsia="en-US"/>
        </w:rPr>
      </w:pPr>
      <w:r w:rsidRPr="00921C9B">
        <w:rPr>
          <w:szCs w:val="24"/>
          <w:lang w:eastAsia="en-US"/>
        </w:rPr>
        <w:br w:type="page"/>
      </w:r>
    </w:p>
    <w:p w14:paraId="43267CDF" w14:textId="5B9CB010" w:rsidR="000D29CC" w:rsidRPr="00921C9B" w:rsidRDefault="000D29CC" w:rsidP="000D29CC">
      <w:pPr>
        <w:spacing w:before="120" w:after="120" w:line="360" w:lineRule="auto"/>
        <w:ind w:left="1416"/>
        <w:rPr>
          <w:szCs w:val="24"/>
          <w:lang w:eastAsia="en-US"/>
        </w:rPr>
      </w:pPr>
      <w:r w:rsidRPr="00921C9B">
        <w:rPr>
          <w:szCs w:val="24"/>
          <w:lang w:eastAsia="en-US"/>
        </w:rPr>
        <w:lastRenderedPageBreak/>
        <w:t>Когато дадена държава членка е в състояние да генерира и предостави на Комисията достатъчни, съпоставими, представителни и актуални данни от мониторинг за конкретно вещество или група вещества от съществуващи програми за мониторинг или изследвания, тя може да реши да не предприема допълнителен мониторинг по механизма на списъка за наблюдение за въпросното вещество или група вещества, при условие че веществото или групата вещества са били наблюдавани чрез методика, която е в съответствие с матриците за мониторинг и с методите за анализ, посочени в акта за изпълнение за създаване на списъка за наблюдение, както и с Директива 2009/90/ЕО*.</w:t>
      </w:r>
    </w:p>
    <w:p w14:paraId="3691404B"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4.</w:t>
      </w:r>
      <w:r w:rsidRPr="00921C9B">
        <w:rPr>
          <w:szCs w:val="24"/>
          <w:lang w:eastAsia="en-US"/>
        </w:rPr>
        <w:tab/>
        <w:t>Държавите членки предоставят на разположение резултатите от мониторинга, посочен в параграф 3 от настоящия член, в съответствие с член 8, параграф 4 от Директива 2000/60/ЕО и с акта за изпълнение за създаване на списъка за наблюдение, приет съгласно параграф 1. Те също така предоставят информация за представителността на станциите за мониторинг и за стратегията за мониторинг.</w:t>
      </w:r>
    </w:p>
    <w:p w14:paraId="71C6F2C2" w14:textId="77777777" w:rsidR="000B1908" w:rsidRPr="00921C9B" w:rsidRDefault="000B1908">
      <w:pPr>
        <w:widowControl/>
        <w:rPr>
          <w:szCs w:val="24"/>
          <w:lang w:eastAsia="en-US"/>
        </w:rPr>
      </w:pPr>
      <w:r w:rsidRPr="00921C9B">
        <w:rPr>
          <w:szCs w:val="24"/>
          <w:lang w:eastAsia="en-US"/>
        </w:rPr>
        <w:br w:type="page"/>
      </w:r>
    </w:p>
    <w:p w14:paraId="7D5C6073" w14:textId="23D9B379"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5.</w:t>
      </w:r>
      <w:r w:rsidRPr="00921C9B">
        <w:rPr>
          <w:szCs w:val="24"/>
          <w:lang w:eastAsia="en-US"/>
        </w:rPr>
        <w:tab/>
        <w:t>ECHA прави преглед на резултатите от мониторинга в края на 24-месечния период, посочен в параграф 3, и преценява кои вещества или групи вещества трябва да бъдат наблюдавани за още един 24-месечен период и следователно трябва да останат в списъка за наблюдение и кои вещества или групи вещества могат да бъдат премахнати от списъка за наблюдение.</w:t>
      </w:r>
    </w:p>
    <w:p w14:paraId="5BED087F" w14:textId="77777777" w:rsidR="000D29CC" w:rsidRPr="00921C9B" w:rsidRDefault="000D29CC" w:rsidP="000D29CC">
      <w:pPr>
        <w:spacing w:before="120" w:after="120" w:line="360" w:lineRule="auto"/>
        <w:ind w:left="1416"/>
        <w:rPr>
          <w:szCs w:val="24"/>
          <w:lang w:eastAsia="en-US"/>
        </w:rPr>
      </w:pPr>
      <w:r w:rsidRPr="00921C9B">
        <w:rPr>
          <w:szCs w:val="24"/>
          <w:lang w:eastAsia="en-US"/>
        </w:rPr>
        <w:t>Когато Комисията, като вземе предвид оценката на ECHA, посочена в първа алинея, заключи, че не е необходим допълнителен мониторинг за по-нататъшна оценка на риска за водната среда, тази оценка се взема предвид при прегледа на приложение I или II, посочен в член 8.</w:t>
      </w:r>
    </w:p>
    <w:p w14:paraId="2F6BDF8E" w14:textId="77777777" w:rsidR="000D29CC" w:rsidRPr="00921C9B" w:rsidRDefault="000D29CC" w:rsidP="000D29CC">
      <w:pPr>
        <w:spacing w:before="120" w:after="120" w:line="360" w:lineRule="auto"/>
        <w:ind w:left="1416"/>
        <w:rPr>
          <w:szCs w:val="24"/>
          <w:lang w:eastAsia="en-US"/>
        </w:rPr>
      </w:pPr>
      <w:r w:rsidRPr="00921C9B">
        <w:rPr>
          <w:szCs w:val="24"/>
          <w:lang w:eastAsia="en-US"/>
        </w:rPr>
        <w:t>* Директива 2009/90/ЕО на Комисията от 31 юли 2009 г. за определяне, съгласно Директива 2000/60/ЕО на Европейския парламент и на Съвета, на технически спецификации за химически анализ и мониторинг на състоянието на водите (ОВ L 201, 1.8.2009 г., стр. 36).;“</w:t>
      </w:r>
    </w:p>
    <w:p w14:paraId="7B7DD671" w14:textId="77777777" w:rsidR="000B1908" w:rsidRPr="00921C9B" w:rsidRDefault="000B1908">
      <w:pPr>
        <w:widowControl/>
        <w:rPr>
          <w:b/>
          <w:i/>
          <w:szCs w:val="24"/>
          <w:lang w:eastAsia="en-US"/>
        </w:rPr>
      </w:pPr>
      <w:r w:rsidRPr="00921C9B">
        <w:rPr>
          <w:b/>
          <w:i/>
          <w:szCs w:val="24"/>
          <w:lang w:eastAsia="en-US"/>
        </w:rPr>
        <w:br w:type="page"/>
      </w:r>
    </w:p>
    <w:p w14:paraId="586C283F" w14:textId="785BF974" w:rsidR="000D29CC" w:rsidRPr="00921C9B" w:rsidRDefault="000D29CC" w:rsidP="000D29CC">
      <w:pPr>
        <w:spacing w:before="120" w:after="120" w:line="360" w:lineRule="auto"/>
        <w:ind w:left="850" w:hanging="850"/>
        <w:rPr>
          <w:szCs w:val="24"/>
          <w:lang w:eastAsia="en-US"/>
        </w:rPr>
      </w:pPr>
      <w:r w:rsidRPr="00921C9B">
        <w:rPr>
          <w:b/>
          <w:i/>
          <w:szCs w:val="24"/>
          <w:lang w:eastAsia="en-US"/>
        </w:rPr>
        <w:lastRenderedPageBreak/>
        <w:t>7a)</w:t>
      </w:r>
      <w:r w:rsidRPr="00921C9B">
        <w:rPr>
          <w:szCs w:val="24"/>
          <w:lang w:eastAsia="en-US"/>
        </w:rPr>
        <w:tab/>
      </w:r>
      <w:r w:rsidRPr="00921C9B">
        <w:rPr>
          <w:b/>
          <w:i/>
          <w:szCs w:val="24"/>
          <w:lang w:eastAsia="en-US"/>
        </w:rPr>
        <w:t>Вмъква се следният член 8бa:</w:t>
      </w:r>
    </w:p>
    <w:p w14:paraId="4850D4AC" w14:textId="77777777" w:rsidR="000D29CC" w:rsidRPr="00921C9B" w:rsidRDefault="000D29CC" w:rsidP="000D29CC">
      <w:pPr>
        <w:spacing w:before="120" w:after="120" w:line="360" w:lineRule="auto"/>
        <w:ind w:left="850"/>
        <w:rPr>
          <w:szCs w:val="24"/>
          <w:lang w:eastAsia="en-US"/>
        </w:rPr>
      </w:pPr>
      <w:r w:rsidRPr="00921C9B">
        <w:rPr>
          <w:szCs w:val="24"/>
          <w:lang w:eastAsia="en-US"/>
        </w:rPr>
        <w:t>„</w:t>
      </w:r>
      <w:r w:rsidRPr="00921C9B">
        <w:rPr>
          <w:b/>
          <w:i/>
          <w:szCs w:val="24"/>
          <w:lang w:eastAsia="en-US"/>
        </w:rPr>
        <w:t>Член 8бa</w:t>
      </w:r>
    </w:p>
    <w:p w14:paraId="5FFBB7E1" w14:textId="730651AE" w:rsidR="000D29CC" w:rsidRPr="00921C9B" w:rsidRDefault="000D29CC" w:rsidP="000D29CC">
      <w:pPr>
        <w:spacing w:before="120" w:after="120" w:line="360" w:lineRule="auto"/>
        <w:ind w:left="850"/>
        <w:rPr>
          <w:b/>
          <w:szCs w:val="24"/>
          <w:lang w:eastAsia="en-US"/>
        </w:rPr>
      </w:pPr>
      <w:r w:rsidRPr="00921C9B">
        <w:rPr>
          <w:b/>
          <w:i/>
          <w:szCs w:val="24"/>
          <w:lang w:eastAsia="en-US"/>
        </w:rPr>
        <w:t>Не по-късно от... [една година след датата на влизане в сила на настоящата директива] Комисията представя оценка на въздействието, в която се разглежда включването в настоящата директива на механизъм за разширена отговорност на производителя, с което се гарантира, че производителите, които пускат на пазара продукти, съдържащи някое от веществата или съединенията, изброени в приложение I, както и вещества, пораждащи нови опасения, включени в списъка за наблюдение съгласно настоящата директива, участват в разходите за програми за мониторинг, разработени съгласно член 8 от Директива 2000/60/ЕО. Оценката на въздействието може да се придружава по целесъобразност от законодателно предложение за преразглеждане на настоящата директива.</w:t>
      </w:r>
      <w:r w:rsidRPr="00921C9B">
        <w:rPr>
          <w:szCs w:val="24"/>
          <w:lang w:eastAsia="en-US"/>
        </w:rPr>
        <w:t>“</w:t>
      </w:r>
      <w:r w:rsidR="002E0423" w:rsidRPr="00921C9B">
        <w:rPr>
          <w:b/>
          <w:szCs w:val="24"/>
          <w:lang w:eastAsia="en-US"/>
        </w:rPr>
        <w:t xml:space="preserve"> [Изм. 132]</w:t>
      </w:r>
    </w:p>
    <w:p w14:paraId="6AFC8239" w14:textId="77777777" w:rsidR="000B1908" w:rsidRPr="00921C9B" w:rsidRDefault="000B1908">
      <w:pPr>
        <w:widowControl/>
        <w:rPr>
          <w:b/>
          <w:i/>
          <w:szCs w:val="24"/>
          <w:lang w:eastAsia="en-US"/>
        </w:rPr>
      </w:pPr>
      <w:r w:rsidRPr="00921C9B">
        <w:rPr>
          <w:b/>
          <w:i/>
          <w:szCs w:val="24"/>
          <w:lang w:eastAsia="en-US"/>
        </w:rPr>
        <w:br w:type="page"/>
      </w:r>
    </w:p>
    <w:p w14:paraId="56CA1412" w14:textId="25989E45" w:rsidR="000D29CC" w:rsidRPr="00921C9B" w:rsidRDefault="000D29CC" w:rsidP="000D29CC">
      <w:pPr>
        <w:spacing w:before="120" w:after="120" w:line="360" w:lineRule="auto"/>
        <w:ind w:left="850" w:hanging="850"/>
        <w:rPr>
          <w:szCs w:val="24"/>
          <w:lang w:eastAsia="en-US"/>
        </w:rPr>
      </w:pPr>
      <w:r w:rsidRPr="00921C9B">
        <w:rPr>
          <w:b/>
          <w:i/>
          <w:szCs w:val="24"/>
          <w:lang w:eastAsia="en-US"/>
        </w:rPr>
        <w:lastRenderedPageBreak/>
        <w:t>7</w:t>
      </w:r>
      <w:r w:rsidR="002E0423" w:rsidRPr="00921C9B">
        <w:rPr>
          <w:b/>
          <w:i/>
          <w:szCs w:val="24"/>
          <w:lang w:eastAsia="en-US"/>
        </w:rPr>
        <w:t>б</w:t>
      </w:r>
      <w:r w:rsidRPr="00921C9B">
        <w:rPr>
          <w:b/>
          <w:i/>
          <w:szCs w:val="24"/>
          <w:lang w:eastAsia="en-US"/>
        </w:rPr>
        <w:t>)</w:t>
      </w:r>
      <w:r w:rsidRPr="00921C9B">
        <w:rPr>
          <w:szCs w:val="24"/>
          <w:lang w:eastAsia="en-US"/>
        </w:rPr>
        <w:tab/>
      </w:r>
      <w:r w:rsidRPr="00921C9B">
        <w:rPr>
          <w:b/>
          <w:i/>
          <w:szCs w:val="24"/>
          <w:lang w:eastAsia="en-US"/>
        </w:rPr>
        <w:t>Вмъква се следният член:</w:t>
      </w:r>
    </w:p>
    <w:p w14:paraId="2170CE82" w14:textId="77777777" w:rsidR="000D29CC" w:rsidRPr="00921C9B" w:rsidRDefault="000D29CC" w:rsidP="000D29CC">
      <w:pPr>
        <w:spacing w:before="120" w:after="120" w:line="360" w:lineRule="auto"/>
        <w:ind w:left="850"/>
        <w:rPr>
          <w:szCs w:val="24"/>
          <w:lang w:eastAsia="en-US"/>
        </w:rPr>
      </w:pPr>
      <w:r w:rsidRPr="00921C9B">
        <w:rPr>
          <w:szCs w:val="24"/>
          <w:lang w:eastAsia="en-US"/>
        </w:rPr>
        <w:t>„</w:t>
      </w:r>
      <w:r w:rsidRPr="00921C9B">
        <w:rPr>
          <w:b/>
          <w:i/>
          <w:szCs w:val="24"/>
          <w:lang w:eastAsia="en-US"/>
        </w:rPr>
        <w:t>Член 8бб</w:t>
      </w:r>
      <w:r w:rsidRPr="00921C9B">
        <w:rPr>
          <w:szCs w:val="24"/>
          <w:lang w:eastAsia="en-US"/>
        </w:rPr>
        <w:br/>
      </w:r>
      <w:r w:rsidRPr="00921C9B">
        <w:rPr>
          <w:b/>
          <w:i/>
          <w:szCs w:val="24"/>
          <w:lang w:eastAsia="en-US"/>
        </w:rPr>
        <w:t>Европейски механизъм за мониторинг</w:t>
      </w:r>
    </w:p>
    <w:p w14:paraId="7FAF0E24" w14:textId="77777777" w:rsidR="000D29CC" w:rsidRPr="00921C9B" w:rsidRDefault="000D29CC" w:rsidP="000D29CC">
      <w:pPr>
        <w:spacing w:before="120" w:after="120" w:line="360" w:lineRule="auto"/>
        <w:ind w:left="850"/>
        <w:rPr>
          <w:szCs w:val="24"/>
          <w:lang w:eastAsia="en-US"/>
        </w:rPr>
      </w:pPr>
      <w:r w:rsidRPr="00921C9B">
        <w:rPr>
          <w:b/>
          <w:i/>
          <w:szCs w:val="24"/>
          <w:lang w:eastAsia="en-US"/>
        </w:rPr>
        <w:t>До ... [една година след датата на влизане в сила на настоящата директива] Комисията създава съвместен механизъм за мониторинг за управление на изискванията за мониторинг, в случай че това бъде поискано от държавите членки.</w:t>
      </w:r>
    </w:p>
    <w:p w14:paraId="79BE6EC4" w14:textId="77777777" w:rsidR="000D29CC" w:rsidRPr="00921C9B" w:rsidRDefault="000D29CC" w:rsidP="000D29CC">
      <w:pPr>
        <w:spacing w:before="120" w:after="120" w:line="360" w:lineRule="auto"/>
        <w:ind w:left="850"/>
        <w:rPr>
          <w:szCs w:val="24"/>
          <w:lang w:eastAsia="en-US"/>
        </w:rPr>
      </w:pPr>
      <w:r w:rsidRPr="00921C9B">
        <w:rPr>
          <w:b/>
          <w:i/>
          <w:szCs w:val="24"/>
          <w:lang w:eastAsia="en-US"/>
        </w:rPr>
        <w:t>Комисията определя функционирането на механизма за мониторинг, който обхваща, наред с другото, следното:</w:t>
      </w:r>
    </w:p>
    <w:p w14:paraId="19AC406E" w14:textId="53F9CF0B" w:rsidR="000D29CC" w:rsidRPr="00921C9B" w:rsidRDefault="002E0423" w:rsidP="000D29CC">
      <w:pPr>
        <w:spacing w:before="120" w:after="120" w:line="360" w:lineRule="auto"/>
        <w:ind w:left="1416" w:hanging="566"/>
        <w:rPr>
          <w:szCs w:val="24"/>
          <w:lang w:eastAsia="en-US"/>
        </w:rPr>
      </w:pPr>
      <w:r w:rsidRPr="00921C9B">
        <w:rPr>
          <w:b/>
          <w:i/>
          <w:szCs w:val="24"/>
          <w:lang w:eastAsia="en-US"/>
        </w:rPr>
        <w:t>а</w:t>
      </w:r>
      <w:r w:rsidR="000D29CC" w:rsidRPr="00921C9B">
        <w:rPr>
          <w:b/>
          <w:i/>
          <w:szCs w:val="24"/>
          <w:lang w:eastAsia="en-US"/>
        </w:rPr>
        <w:t>)</w:t>
      </w:r>
      <w:r w:rsidR="000D29CC" w:rsidRPr="00921C9B">
        <w:rPr>
          <w:szCs w:val="24"/>
          <w:lang w:eastAsia="en-US"/>
        </w:rPr>
        <w:tab/>
      </w:r>
      <w:r w:rsidR="000D29CC" w:rsidRPr="00921C9B">
        <w:rPr>
          <w:b/>
          <w:i/>
          <w:szCs w:val="24"/>
          <w:lang w:eastAsia="en-US"/>
        </w:rPr>
        <w:t>доброволния характер на използването на механизма за мониторинг, без да се засяга организацията, която вече е въведена от държавите членки;</w:t>
      </w:r>
    </w:p>
    <w:p w14:paraId="00306CBE" w14:textId="1D8F5244" w:rsidR="000D29CC" w:rsidRPr="00921C9B" w:rsidRDefault="002E0423" w:rsidP="000D29CC">
      <w:pPr>
        <w:spacing w:before="120" w:after="120" w:line="360" w:lineRule="auto"/>
        <w:ind w:left="1416" w:hanging="566"/>
        <w:rPr>
          <w:szCs w:val="24"/>
          <w:lang w:eastAsia="en-US"/>
        </w:rPr>
      </w:pPr>
      <w:r w:rsidRPr="00921C9B">
        <w:rPr>
          <w:b/>
          <w:i/>
          <w:szCs w:val="24"/>
          <w:lang w:eastAsia="en-US"/>
        </w:rPr>
        <w:t>б</w:t>
      </w:r>
      <w:r w:rsidR="000D29CC" w:rsidRPr="00921C9B">
        <w:rPr>
          <w:b/>
          <w:i/>
          <w:szCs w:val="24"/>
          <w:lang w:eastAsia="en-US"/>
        </w:rPr>
        <w:t>)</w:t>
      </w:r>
      <w:r w:rsidR="000D29CC" w:rsidRPr="00921C9B">
        <w:rPr>
          <w:szCs w:val="24"/>
          <w:lang w:eastAsia="en-US"/>
        </w:rPr>
        <w:tab/>
      </w:r>
      <w:r w:rsidR="000D29CC" w:rsidRPr="00921C9B">
        <w:rPr>
          <w:b/>
          <w:i/>
          <w:szCs w:val="24"/>
          <w:lang w:eastAsia="en-US"/>
        </w:rPr>
        <w:t>оперативните процедури за държавите членки, които възнамеряват да използват механизма за мониторинг, включващи, наред с другото, изискването за уведомяване на Комисията за точните им нужди или възможности за мониторинг, точните протоколи за управление на пробите, както и продължителността на периода, през който възнамеряват да бъдат част от механизма;</w:t>
      </w:r>
    </w:p>
    <w:p w14:paraId="0CBE275C" w14:textId="77777777" w:rsidR="000B1908" w:rsidRPr="00921C9B" w:rsidRDefault="000B1908">
      <w:pPr>
        <w:widowControl/>
        <w:rPr>
          <w:b/>
          <w:i/>
          <w:szCs w:val="24"/>
          <w:lang w:eastAsia="en-US"/>
        </w:rPr>
      </w:pPr>
      <w:r w:rsidRPr="00921C9B">
        <w:rPr>
          <w:b/>
          <w:i/>
          <w:szCs w:val="24"/>
          <w:lang w:eastAsia="en-US"/>
        </w:rPr>
        <w:br w:type="page"/>
      </w:r>
    </w:p>
    <w:p w14:paraId="5CC87203" w14:textId="741CB7A5" w:rsidR="000D29CC" w:rsidRPr="00921C9B" w:rsidRDefault="002E0423" w:rsidP="000D29CC">
      <w:pPr>
        <w:spacing w:before="120" w:after="120" w:line="360" w:lineRule="auto"/>
        <w:ind w:left="1416" w:hanging="566"/>
        <w:rPr>
          <w:b/>
          <w:szCs w:val="24"/>
          <w:lang w:eastAsia="en-US"/>
        </w:rPr>
      </w:pPr>
      <w:r w:rsidRPr="00921C9B">
        <w:rPr>
          <w:b/>
          <w:i/>
          <w:szCs w:val="24"/>
          <w:lang w:eastAsia="en-US"/>
        </w:rPr>
        <w:lastRenderedPageBreak/>
        <w:t>в</w:t>
      </w:r>
      <w:r w:rsidR="000D29CC" w:rsidRPr="00921C9B">
        <w:rPr>
          <w:b/>
          <w:i/>
          <w:szCs w:val="24"/>
          <w:lang w:eastAsia="en-US"/>
        </w:rPr>
        <w:t>)</w:t>
      </w:r>
      <w:r w:rsidR="000D29CC" w:rsidRPr="00921C9B">
        <w:rPr>
          <w:szCs w:val="24"/>
          <w:lang w:eastAsia="en-US"/>
        </w:rPr>
        <w:tab/>
      </w:r>
      <w:r w:rsidR="000D29CC" w:rsidRPr="00921C9B">
        <w:rPr>
          <w:b/>
          <w:i/>
          <w:szCs w:val="24"/>
          <w:lang w:eastAsia="en-US"/>
        </w:rPr>
        <w:t>източниците на финансиране, които могат да включват съответните структурни фондове и програми на Съюза, както и вноски от частния сектор, включително в рамките на механизма за разширена отговорност на производителя, след като той бъде въведен в съответствие с член 8ба.</w:t>
      </w:r>
      <w:r w:rsidR="000D29CC" w:rsidRPr="00921C9B">
        <w:rPr>
          <w:szCs w:val="24"/>
          <w:lang w:eastAsia="en-US"/>
        </w:rPr>
        <w:t>“</w:t>
      </w:r>
      <w:r w:rsidRPr="00921C9B">
        <w:rPr>
          <w:b/>
          <w:szCs w:val="24"/>
          <w:lang w:eastAsia="en-US"/>
        </w:rPr>
        <w:t xml:space="preserve"> [Изм. 133]</w:t>
      </w:r>
    </w:p>
    <w:p w14:paraId="10CAD7C1" w14:textId="780B90FF" w:rsidR="000D29CC" w:rsidRPr="00921C9B" w:rsidRDefault="000D29CC" w:rsidP="000D29CC">
      <w:pPr>
        <w:spacing w:before="120" w:after="120" w:line="360" w:lineRule="auto"/>
        <w:ind w:left="850" w:hanging="850"/>
        <w:rPr>
          <w:szCs w:val="24"/>
          <w:lang w:eastAsia="en-US"/>
        </w:rPr>
      </w:pPr>
      <w:r w:rsidRPr="00921C9B">
        <w:rPr>
          <w:szCs w:val="24"/>
          <w:lang w:eastAsia="en-US"/>
        </w:rPr>
        <w:t>8)</w:t>
      </w:r>
      <w:r w:rsidRPr="00921C9B">
        <w:rPr>
          <w:szCs w:val="24"/>
          <w:lang w:eastAsia="en-US"/>
        </w:rPr>
        <w:tab/>
        <w:t>вмъква се следният член 8г:</w:t>
      </w:r>
    </w:p>
    <w:p w14:paraId="50C3AFE0" w14:textId="77777777" w:rsidR="000D29CC" w:rsidRPr="00921C9B" w:rsidRDefault="000D29CC" w:rsidP="000D29CC">
      <w:pPr>
        <w:spacing w:before="120" w:after="120" w:line="360" w:lineRule="auto"/>
        <w:ind w:left="850"/>
        <w:rPr>
          <w:szCs w:val="24"/>
          <w:lang w:eastAsia="en-US"/>
        </w:rPr>
      </w:pPr>
      <w:r w:rsidRPr="00921C9B">
        <w:rPr>
          <w:szCs w:val="24"/>
          <w:lang w:eastAsia="en-US"/>
        </w:rPr>
        <w:t>„Член 8г</w:t>
      </w:r>
    </w:p>
    <w:p w14:paraId="7E3EF704" w14:textId="77777777" w:rsidR="000D29CC" w:rsidRPr="00921C9B" w:rsidRDefault="000D29CC" w:rsidP="000D29CC">
      <w:pPr>
        <w:spacing w:before="120" w:after="120" w:line="360" w:lineRule="auto"/>
        <w:ind w:left="850"/>
        <w:rPr>
          <w:szCs w:val="24"/>
          <w:lang w:eastAsia="en-US"/>
        </w:rPr>
      </w:pPr>
      <w:r w:rsidRPr="00921C9B">
        <w:rPr>
          <w:szCs w:val="24"/>
          <w:lang w:eastAsia="en-US"/>
        </w:rPr>
        <w:t>Специфични замърсители на речните басейни</w:t>
      </w:r>
    </w:p>
    <w:p w14:paraId="50976211"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w:t>
      </w:r>
      <w:r w:rsidRPr="00921C9B">
        <w:rPr>
          <w:szCs w:val="24"/>
          <w:lang w:eastAsia="en-US"/>
        </w:rPr>
        <w:tab/>
        <w:t>Държавите членки определят и прилагат СКОС за специфичните замърсители на речните басейни, обхванати от категориите, изброени в част А от приложение II към настоящата директива, когато тези замърсители представляват риск за водните обекти в един или повече от техните райони на речни басейни, въз основа на анализите и прегледите по член 5 от Директива 2000/60/ЕО, в съответствие с процедурата, посочена в част Б от приложение II към настоящата директива.</w:t>
      </w:r>
    </w:p>
    <w:p w14:paraId="5A9A0BB4" w14:textId="77777777" w:rsidR="000D29CC" w:rsidRPr="00921C9B" w:rsidRDefault="000D29CC" w:rsidP="000D29CC">
      <w:pPr>
        <w:spacing w:before="120" w:after="120" w:line="360" w:lineRule="auto"/>
        <w:ind w:left="1416"/>
        <w:rPr>
          <w:szCs w:val="24"/>
          <w:lang w:eastAsia="en-US"/>
        </w:rPr>
      </w:pPr>
      <w:r w:rsidRPr="00921C9B">
        <w:rPr>
          <w:szCs w:val="24"/>
          <w:lang w:eastAsia="en-US"/>
        </w:rPr>
        <w:t>До [ОП: моля, въведете дата = първия ден от месеца, следващ 18 месеца след датата на влизане в сила на настоящата директива] държавите членки информират ECHA за СКОС, посочени в първа алинея. ECHA прави тази информация обществено достояние.</w:t>
      </w:r>
    </w:p>
    <w:p w14:paraId="616A5BE9" w14:textId="77777777" w:rsidR="000B1908" w:rsidRPr="00921C9B" w:rsidRDefault="000B1908">
      <w:pPr>
        <w:widowControl/>
        <w:rPr>
          <w:szCs w:val="24"/>
          <w:lang w:eastAsia="en-US"/>
        </w:rPr>
      </w:pPr>
      <w:r w:rsidRPr="00921C9B">
        <w:rPr>
          <w:szCs w:val="24"/>
          <w:lang w:eastAsia="en-US"/>
        </w:rPr>
        <w:br w:type="page"/>
      </w:r>
    </w:p>
    <w:p w14:paraId="62BFD6F3" w14:textId="75F8B5FB"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2.</w:t>
      </w:r>
      <w:r w:rsidRPr="00921C9B">
        <w:rPr>
          <w:szCs w:val="24"/>
          <w:lang w:eastAsia="en-US"/>
        </w:rPr>
        <w:tab/>
        <w:t>Когато СКОС за специфичните замърсители на речните басейни са определени на равнището на Съюза и са изброени в част В от приложение II в съответствие с член 8, тези СКОС имат предимство пред СКОС за специфичните замърсители на речните басейни, определени на национално равнище в съответствие с параграф 1. СКОС, определени на равнището на Съюза, се прилагат и от държавите членки, за да се установи дали специфичните замърсители на речните басейни, изброени в част В от приложение II, представляват риск.</w:t>
      </w:r>
    </w:p>
    <w:p w14:paraId="74A60AF4" w14:textId="4ED13311" w:rsidR="000D29CC" w:rsidRPr="00921C9B" w:rsidRDefault="000D29CC" w:rsidP="000D29CC">
      <w:pPr>
        <w:spacing w:before="120" w:after="120" w:line="360" w:lineRule="auto"/>
        <w:ind w:left="1416" w:hanging="566"/>
        <w:rPr>
          <w:szCs w:val="24"/>
          <w:lang w:eastAsia="en-US"/>
        </w:rPr>
      </w:pPr>
      <w:r w:rsidRPr="00921C9B">
        <w:rPr>
          <w:szCs w:val="24"/>
          <w:lang w:eastAsia="en-US"/>
        </w:rPr>
        <w:t>3.</w:t>
      </w:r>
      <w:r w:rsidRPr="00921C9B">
        <w:rPr>
          <w:szCs w:val="24"/>
          <w:lang w:eastAsia="en-US"/>
        </w:rPr>
        <w:tab/>
        <w:t>За да бъде даден воден обект в добро химично състояние, се изисква съответствие с приложимите национални СКОС или СКОС, определени на равнището на Съюза, когато това е уместно, в съответствие с определението, посочено в член 2, то</w:t>
      </w:r>
      <w:r w:rsidR="002E0423" w:rsidRPr="00921C9B">
        <w:rPr>
          <w:szCs w:val="24"/>
          <w:lang w:eastAsia="en-US"/>
        </w:rPr>
        <w:t>чка 24 от Директива 2000/60/ЕО.</w:t>
      </w:r>
    </w:p>
    <w:p w14:paraId="20FF3B50" w14:textId="40FE5A05" w:rsidR="000D29CC" w:rsidRPr="00921C9B" w:rsidRDefault="000D29CC" w:rsidP="000D29CC">
      <w:pPr>
        <w:spacing w:before="120" w:after="120" w:line="360" w:lineRule="auto"/>
        <w:ind w:left="1416" w:hanging="566"/>
        <w:rPr>
          <w:b/>
          <w:szCs w:val="24"/>
          <w:lang w:eastAsia="en-US"/>
        </w:rPr>
      </w:pPr>
      <w:r w:rsidRPr="00921C9B">
        <w:rPr>
          <w:b/>
          <w:i/>
          <w:szCs w:val="24"/>
          <w:lang w:eastAsia="en-US"/>
        </w:rPr>
        <w:t>3a.</w:t>
      </w:r>
      <w:r w:rsidRPr="00921C9B">
        <w:rPr>
          <w:szCs w:val="24"/>
          <w:lang w:eastAsia="en-US"/>
        </w:rPr>
        <w:tab/>
      </w:r>
      <w:r w:rsidRPr="00921C9B">
        <w:rPr>
          <w:b/>
          <w:i/>
          <w:szCs w:val="24"/>
          <w:lang w:eastAsia="en-US"/>
        </w:rPr>
        <w:t>При определянето и прилагането на СКОС за специфичните замърсители на речните басейни държавите членки може да вземат предвид бионаличността на метали.</w:t>
      </w:r>
      <w:r w:rsidRPr="00921C9B">
        <w:rPr>
          <w:szCs w:val="24"/>
          <w:lang w:eastAsia="en-US"/>
        </w:rPr>
        <w:t>“</w:t>
      </w:r>
      <w:r w:rsidR="002E0423" w:rsidRPr="00921C9B">
        <w:rPr>
          <w:b/>
          <w:szCs w:val="24"/>
          <w:lang w:eastAsia="en-US"/>
        </w:rPr>
        <w:t xml:space="preserve"> [Изм. 134]</w:t>
      </w:r>
    </w:p>
    <w:p w14:paraId="7DD6D8F3" w14:textId="77777777" w:rsidR="000B1908" w:rsidRPr="00921C9B" w:rsidRDefault="000B1908">
      <w:pPr>
        <w:widowControl/>
        <w:rPr>
          <w:b/>
          <w:i/>
          <w:szCs w:val="24"/>
          <w:lang w:eastAsia="en-US"/>
        </w:rPr>
      </w:pPr>
      <w:r w:rsidRPr="00921C9B">
        <w:rPr>
          <w:b/>
          <w:i/>
          <w:szCs w:val="24"/>
          <w:lang w:eastAsia="en-US"/>
        </w:rPr>
        <w:br w:type="page"/>
      </w:r>
    </w:p>
    <w:p w14:paraId="7A932B86" w14:textId="4854F20E" w:rsidR="000D29CC" w:rsidRPr="00921C9B" w:rsidRDefault="000D29CC" w:rsidP="000D29CC">
      <w:pPr>
        <w:spacing w:before="120" w:after="120" w:line="360" w:lineRule="auto"/>
        <w:ind w:left="850" w:hanging="850"/>
        <w:rPr>
          <w:szCs w:val="24"/>
          <w:lang w:eastAsia="en-US"/>
        </w:rPr>
      </w:pPr>
      <w:r w:rsidRPr="00921C9B">
        <w:rPr>
          <w:b/>
          <w:i/>
          <w:szCs w:val="24"/>
          <w:lang w:eastAsia="en-US"/>
        </w:rPr>
        <w:lastRenderedPageBreak/>
        <w:t>8a)</w:t>
      </w:r>
      <w:r w:rsidRPr="00921C9B">
        <w:rPr>
          <w:szCs w:val="24"/>
          <w:lang w:eastAsia="en-US"/>
        </w:rPr>
        <w:tab/>
      </w:r>
      <w:r w:rsidRPr="00921C9B">
        <w:rPr>
          <w:b/>
          <w:i/>
          <w:szCs w:val="24"/>
          <w:lang w:eastAsia="en-US"/>
        </w:rPr>
        <w:t>В член 9а параграф 2 се изменя, както следва:</w:t>
      </w:r>
    </w:p>
    <w:p w14:paraId="7AF9AE1C" w14:textId="48C525B8" w:rsidR="000D29CC" w:rsidRPr="00921C9B" w:rsidRDefault="000D29CC" w:rsidP="000D29CC">
      <w:pPr>
        <w:spacing w:before="120" w:after="120" w:line="360" w:lineRule="auto"/>
        <w:ind w:left="1416" w:hanging="566"/>
        <w:rPr>
          <w:b/>
          <w:szCs w:val="24"/>
          <w:lang w:eastAsia="en-US"/>
        </w:rPr>
      </w:pPr>
      <w:r w:rsidRPr="00921C9B">
        <w:rPr>
          <w:szCs w:val="24"/>
          <w:lang w:eastAsia="en-US"/>
        </w:rPr>
        <w:t>„</w:t>
      </w:r>
      <w:r w:rsidRPr="00921C9B">
        <w:rPr>
          <w:b/>
          <w:i/>
          <w:szCs w:val="24"/>
          <w:lang w:eastAsia="en-US"/>
        </w:rPr>
        <w:t>2.</w:t>
      </w:r>
      <w:r w:rsidRPr="00921C9B">
        <w:rPr>
          <w:szCs w:val="24"/>
          <w:lang w:eastAsia="en-US"/>
        </w:rPr>
        <w:tab/>
      </w:r>
      <w:r w:rsidRPr="00921C9B">
        <w:rPr>
          <w:b/>
          <w:i/>
          <w:szCs w:val="24"/>
          <w:lang w:eastAsia="en-US"/>
        </w:rPr>
        <w:t>Правомощието да приема делегирани актове, посочено в член 3, параграф 8, член 8, параграфи 3, 6а и 6б и член 8а, параграф 3а, се предоставя на Комисията за срок от 6 години, считано от [СП: моля, въведете дата = датата на влизане в сила на настоящата директива]. Комисията изготвя доклад относно делегирането на правомощия най-малко 9 месеца преди изтичането на 6-годишния период. Делегирането на правомощия се продължава мълчаливо за срокове с еднаква продължителност, освен ако Европейският парламент или Съветът възразят срещу подобно продължаване не по-късно от три месеца преди изтичането на всеки срок.</w:t>
      </w:r>
      <w:r w:rsidRPr="00921C9B">
        <w:rPr>
          <w:szCs w:val="24"/>
          <w:lang w:eastAsia="en-US"/>
        </w:rPr>
        <w:t>“</w:t>
      </w:r>
      <w:r w:rsidR="002E0423" w:rsidRPr="00921C9B">
        <w:rPr>
          <w:b/>
          <w:szCs w:val="24"/>
          <w:lang w:eastAsia="en-US"/>
        </w:rPr>
        <w:t xml:space="preserve"> [Изм. 135]</w:t>
      </w:r>
    </w:p>
    <w:p w14:paraId="579960E1" w14:textId="41E560A9" w:rsidR="000D29CC" w:rsidRPr="00921C9B" w:rsidRDefault="000D29CC" w:rsidP="000D29CC">
      <w:pPr>
        <w:spacing w:before="120" w:after="120" w:line="360" w:lineRule="auto"/>
        <w:ind w:left="850" w:hanging="850"/>
        <w:rPr>
          <w:szCs w:val="24"/>
          <w:lang w:eastAsia="en-US"/>
        </w:rPr>
      </w:pPr>
      <w:r w:rsidRPr="00921C9B">
        <w:rPr>
          <w:b/>
          <w:i/>
          <w:szCs w:val="24"/>
          <w:lang w:eastAsia="en-US"/>
        </w:rPr>
        <w:t>8</w:t>
      </w:r>
      <w:r w:rsidR="002E0423" w:rsidRPr="00921C9B">
        <w:rPr>
          <w:b/>
          <w:i/>
          <w:szCs w:val="24"/>
          <w:lang w:eastAsia="en-US"/>
        </w:rPr>
        <w:t>б</w:t>
      </w:r>
      <w:r w:rsidRPr="00921C9B">
        <w:rPr>
          <w:b/>
          <w:i/>
          <w:szCs w:val="24"/>
          <w:lang w:eastAsia="en-US"/>
        </w:rPr>
        <w:t>)</w:t>
      </w:r>
      <w:r w:rsidRPr="00921C9B">
        <w:rPr>
          <w:szCs w:val="24"/>
          <w:lang w:eastAsia="en-US"/>
        </w:rPr>
        <w:tab/>
      </w:r>
      <w:r w:rsidRPr="00921C9B">
        <w:rPr>
          <w:b/>
          <w:i/>
          <w:szCs w:val="24"/>
          <w:lang w:eastAsia="en-US"/>
        </w:rPr>
        <w:t>В член 9а параграф 3 се изменя, както следва:</w:t>
      </w:r>
    </w:p>
    <w:p w14:paraId="3226898E" w14:textId="3CCDCF82" w:rsidR="000D29CC" w:rsidRPr="00921C9B" w:rsidRDefault="000D29CC" w:rsidP="000D29CC">
      <w:pPr>
        <w:spacing w:before="120" w:after="120" w:line="360" w:lineRule="auto"/>
        <w:ind w:left="1416" w:hanging="566"/>
        <w:rPr>
          <w:b/>
          <w:szCs w:val="24"/>
          <w:lang w:eastAsia="en-US"/>
        </w:rPr>
      </w:pPr>
      <w:r w:rsidRPr="00921C9B">
        <w:rPr>
          <w:szCs w:val="24"/>
          <w:lang w:eastAsia="en-US"/>
        </w:rPr>
        <w:t>„</w:t>
      </w:r>
      <w:r w:rsidRPr="00921C9B">
        <w:rPr>
          <w:b/>
          <w:i/>
          <w:szCs w:val="24"/>
          <w:lang w:eastAsia="en-US"/>
        </w:rPr>
        <w:t>3.</w:t>
      </w:r>
      <w:r w:rsidRPr="00921C9B">
        <w:rPr>
          <w:szCs w:val="24"/>
          <w:lang w:eastAsia="en-US"/>
        </w:rPr>
        <w:tab/>
      </w:r>
      <w:r w:rsidRPr="00921C9B">
        <w:rPr>
          <w:b/>
          <w:i/>
          <w:szCs w:val="24"/>
          <w:lang w:eastAsia="en-US"/>
        </w:rPr>
        <w:t>Делегирането на правомощията, посочено в член 3, параграф 8, член 8, параграфи 3, 6а и 6б и член 8а, параграф 3а,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Официален вестник на Европейския съюз или на по-късна дата, посочена в решението. То не засяга действителността на делегираните актове, които вече са в сила.</w:t>
      </w:r>
      <w:r w:rsidRPr="00921C9B">
        <w:rPr>
          <w:szCs w:val="24"/>
          <w:lang w:eastAsia="en-US"/>
        </w:rPr>
        <w:t>“</w:t>
      </w:r>
      <w:r w:rsidR="002E0423" w:rsidRPr="00921C9B">
        <w:rPr>
          <w:b/>
          <w:szCs w:val="24"/>
          <w:lang w:eastAsia="en-US"/>
        </w:rPr>
        <w:t xml:space="preserve"> [Изм. 136]</w:t>
      </w:r>
    </w:p>
    <w:p w14:paraId="65E20FD3" w14:textId="77777777" w:rsidR="000B1908" w:rsidRPr="00921C9B" w:rsidRDefault="000B1908">
      <w:pPr>
        <w:widowControl/>
        <w:rPr>
          <w:b/>
          <w:i/>
          <w:szCs w:val="24"/>
          <w:lang w:eastAsia="en-US"/>
        </w:rPr>
      </w:pPr>
      <w:r w:rsidRPr="00921C9B">
        <w:rPr>
          <w:b/>
          <w:i/>
          <w:szCs w:val="24"/>
          <w:lang w:eastAsia="en-US"/>
        </w:rPr>
        <w:br w:type="page"/>
      </w:r>
    </w:p>
    <w:p w14:paraId="0B77E30F" w14:textId="364DE8A0" w:rsidR="000D29CC" w:rsidRPr="00921C9B" w:rsidRDefault="000D29CC" w:rsidP="000D29CC">
      <w:pPr>
        <w:spacing w:before="120" w:after="120" w:line="360" w:lineRule="auto"/>
        <w:ind w:left="850" w:hanging="850"/>
        <w:rPr>
          <w:szCs w:val="24"/>
          <w:lang w:eastAsia="en-US"/>
        </w:rPr>
      </w:pPr>
      <w:r w:rsidRPr="00921C9B">
        <w:rPr>
          <w:b/>
          <w:i/>
          <w:szCs w:val="24"/>
          <w:lang w:eastAsia="en-US"/>
        </w:rPr>
        <w:lastRenderedPageBreak/>
        <w:t>8</w:t>
      </w:r>
      <w:r w:rsidR="002E0423" w:rsidRPr="00921C9B">
        <w:rPr>
          <w:b/>
          <w:i/>
          <w:szCs w:val="24"/>
          <w:lang w:eastAsia="en-US"/>
        </w:rPr>
        <w:t>в</w:t>
      </w:r>
      <w:r w:rsidRPr="00921C9B">
        <w:rPr>
          <w:b/>
          <w:i/>
          <w:szCs w:val="24"/>
          <w:lang w:eastAsia="en-US"/>
        </w:rPr>
        <w:t>)</w:t>
      </w:r>
      <w:r w:rsidRPr="00921C9B">
        <w:rPr>
          <w:szCs w:val="24"/>
          <w:lang w:eastAsia="en-US"/>
        </w:rPr>
        <w:tab/>
      </w:r>
      <w:r w:rsidRPr="00921C9B">
        <w:rPr>
          <w:b/>
          <w:i/>
          <w:szCs w:val="24"/>
          <w:lang w:eastAsia="en-US"/>
        </w:rPr>
        <w:t>В член 31 се вмъква параграф 3a:</w:t>
      </w:r>
    </w:p>
    <w:p w14:paraId="114E5B18" w14:textId="1487DBE3" w:rsidR="000D29CC" w:rsidRPr="00921C9B" w:rsidRDefault="000D29CC" w:rsidP="000D29CC">
      <w:pPr>
        <w:spacing w:before="120" w:after="120" w:line="360" w:lineRule="auto"/>
        <w:ind w:left="1416" w:hanging="566"/>
        <w:rPr>
          <w:b/>
          <w:szCs w:val="24"/>
          <w:lang w:eastAsia="en-US"/>
        </w:rPr>
      </w:pPr>
      <w:r w:rsidRPr="00921C9B">
        <w:rPr>
          <w:szCs w:val="24"/>
          <w:lang w:eastAsia="en-US"/>
        </w:rPr>
        <w:t>„</w:t>
      </w:r>
      <w:r w:rsidRPr="00921C9B">
        <w:rPr>
          <w:b/>
          <w:i/>
          <w:szCs w:val="24"/>
          <w:lang w:eastAsia="en-US"/>
        </w:rPr>
        <w:t>3а.</w:t>
      </w:r>
      <w:r w:rsidRPr="00921C9B">
        <w:rPr>
          <w:szCs w:val="24"/>
          <w:lang w:eastAsia="en-US"/>
        </w:rPr>
        <w:tab/>
      </w:r>
      <w:r w:rsidRPr="00921C9B">
        <w:rPr>
          <w:b/>
          <w:i/>
          <w:szCs w:val="24"/>
          <w:lang w:eastAsia="en-US"/>
        </w:rPr>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за по-добро законотворчество от 13 април 2016 г.</w:t>
      </w:r>
      <w:r w:rsidRPr="00921C9B">
        <w:rPr>
          <w:szCs w:val="24"/>
          <w:lang w:eastAsia="en-US"/>
        </w:rPr>
        <w:t>“</w:t>
      </w:r>
      <w:r w:rsidR="002E0423" w:rsidRPr="00921C9B">
        <w:rPr>
          <w:b/>
          <w:szCs w:val="24"/>
          <w:lang w:eastAsia="en-US"/>
        </w:rPr>
        <w:t xml:space="preserve"> [Изм. 137]</w:t>
      </w:r>
    </w:p>
    <w:p w14:paraId="06095461" w14:textId="394EAD00" w:rsidR="000D29CC" w:rsidRPr="00921C9B" w:rsidRDefault="000D29CC" w:rsidP="000D29CC">
      <w:pPr>
        <w:spacing w:before="120" w:after="120" w:line="360" w:lineRule="auto"/>
        <w:ind w:left="850" w:hanging="850"/>
        <w:rPr>
          <w:szCs w:val="24"/>
          <w:lang w:eastAsia="en-US"/>
        </w:rPr>
      </w:pPr>
      <w:r w:rsidRPr="00921C9B">
        <w:rPr>
          <w:b/>
          <w:i/>
          <w:szCs w:val="24"/>
          <w:lang w:eastAsia="en-US"/>
        </w:rPr>
        <w:t>8</w:t>
      </w:r>
      <w:r w:rsidR="002E0423" w:rsidRPr="00921C9B">
        <w:rPr>
          <w:b/>
          <w:i/>
          <w:szCs w:val="24"/>
          <w:lang w:eastAsia="en-US"/>
        </w:rPr>
        <w:t>г</w:t>
      </w:r>
      <w:r w:rsidRPr="00921C9B">
        <w:rPr>
          <w:b/>
          <w:i/>
          <w:szCs w:val="24"/>
          <w:lang w:eastAsia="en-US"/>
        </w:rPr>
        <w:t>)</w:t>
      </w:r>
      <w:r w:rsidRPr="00921C9B">
        <w:rPr>
          <w:szCs w:val="24"/>
          <w:lang w:eastAsia="en-US"/>
        </w:rPr>
        <w:tab/>
      </w:r>
      <w:r w:rsidRPr="00921C9B">
        <w:rPr>
          <w:b/>
          <w:i/>
          <w:szCs w:val="24"/>
          <w:lang w:eastAsia="en-US"/>
        </w:rPr>
        <w:t>В член 9а параграф 5 се изменя, както следва:</w:t>
      </w:r>
    </w:p>
    <w:p w14:paraId="2EF6CA9B" w14:textId="58E512CE" w:rsidR="000D29CC" w:rsidRPr="00921C9B" w:rsidRDefault="000D29CC" w:rsidP="000D29CC">
      <w:pPr>
        <w:spacing w:before="120" w:after="120" w:line="360" w:lineRule="auto"/>
        <w:ind w:left="1416" w:hanging="566"/>
        <w:rPr>
          <w:b/>
          <w:szCs w:val="24"/>
          <w:lang w:eastAsia="en-US"/>
        </w:rPr>
      </w:pPr>
      <w:r w:rsidRPr="00921C9B">
        <w:rPr>
          <w:szCs w:val="24"/>
          <w:lang w:eastAsia="en-US"/>
        </w:rPr>
        <w:t>„</w:t>
      </w:r>
      <w:r w:rsidRPr="00921C9B">
        <w:rPr>
          <w:b/>
          <w:i/>
          <w:szCs w:val="24"/>
          <w:lang w:eastAsia="en-US"/>
        </w:rPr>
        <w:t>5.</w:t>
      </w:r>
      <w:r w:rsidRPr="00921C9B">
        <w:rPr>
          <w:szCs w:val="24"/>
          <w:lang w:eastAsia="en-US"/>
        </w:rPr>
        <w:tab/>
      </w:r>
      <w:r w:rsidRPr="00921C9B">
        <w:rPr>
          <w:b/>
          <w:i/>
          <w:szCs w:val="24"/>
          <w:lang w:eastAsia="en-US"/>
        </w:rPr>
        <w:t>Делегиран акт, приет съгласно член 3, параграф 8, член 8, параграфи 3, 6а и 6б и член 8а, параграф 3а, влиза в сила единствено ако нито Европейският парламент, нито Съветът са представили възражения в срок до два месеца от уведомяването на Европейския парламент и Съвета за акта, или ако преди изтичането на този срок и Европейският парламент, и Съветът са информирали Комисията, че няма да повдигнат възражения. Този срок се удължава с два месеца по инициатива на Европейския парламент или на Съвета.</w:t>
      </w:r>
      <w:r w:rsidRPr="00921C9B">
        <w:rPr>
          <w:szCs w:val="24"/>
          <w:lang w:eastAsia="en-US"/>
        </w:rPr>
        <w:t>“</w:t>
      </w:r>
      <w:r w:rsidR="002E0423" w:rsidRPr="00921C9B">
        <w:rPr>
          <w:b/>
          <w:szCs w:val="24"/>
          <w:lang w:eastAsia="en-US"/>
        </w:rPr>
        <w:t xml:space="preserve"> [Изм. 138]</w:t>
      </w:r>
    </w:p>
    <w:p w14:paraId="2ABBDA86" w14:textId="77777777" w:rsidR="000B1908" w:rsidRPr="00921C9B" w:rsidRDefault="000B1908">
      <w:pPr>
        <w:widowControl/>
        <w:rPr>
          <w:szCs w:val="24"/>
          <w:lang w:eastAsia="en-US"/>
        </w:rPr>
      </w:pPr>
      <w:r w:rsidRPr="00921C9B">
        <w:rPr>
          <w:szCs w:val="24"/>
          <w:lang w:eastAsia="en-US"/>
        </w:rPr>
        <w:br w:type="page"/>
      </w:r>
    </w:p>
    <w:p w14:paraId="4CC76D15" w14:textId="2C85F95B"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9)</w:t>
      </w:r>
      <w:r w:rsidRPr="00921C9B">
        <w:rPr>
          <w:szCs w:val="24"/>
          <w:lang w:eastAsia="en-US"/>
        </w:rPr>
        <w:tab/>
        <w:t>член 10 се заличава;</w:t>
      </w:r>
    </w:p>
    <w:p w14:paraId="19B09121" w14:textId="53CD86DC" w:rsidR="000D29CC" w:rsidRPr="00921C9B" w:rsidRDefault="000D29CC" w:rsidP="000D29CC">
      <w:pPr>
        <w:spacing w:before="120" w:after="120" w:line="360" w:lineRule="auto"/>
        <w:ind w:left="850" w:hanging="850"/>
        <w:rPr>
          <w:szCs w:val="24"/>
          <w:lang w:eastAsia="en-US"/>
        </w:rPr>
      </w:pPr>
      <w:r w:rsidRPr="00921C9B">
        <w:rPr>
          <w:szCs w:val="24"/>
          <w:lang w:eastAsia="en-US"/>
        </w:rPr>
        <w:t>10)</w:t>
      </w:r>
      <w:r w:rsidRPr="00921C9B">
        <w:rPr>
          <w:szCs w:val="24"/>
          <w:lang w:eastAsia="en-US"/>
        </w:rPr>
        <w:tab/>
        <w:t>приложение I се изменя в съответствие с приложение V към настоящата директива;</w:t>
      </w:r>
    </w:p>
    <w:p w14:paraId="25BC51F1" w14:textId="0EBB75B9" w:rsidR="000D29CC" w:rsidRPr="00921C9B" w:rsidRDefault="000D29CC" w:rsidP="000D29CC">
      <w:pPr>
        <w:spacing w:before="120" w:after="120" w:line="360" w:lineRule="auto"/>
        <w:ind w:left="850" w:hanging="850"/>
        <w:rPr>
          <w:szCs w:val="24"/>
          <w:lang w:eastAsia="en-US"/>
        </w:rPr>
      </w:pPr>
      <w:r w:rsidRPr="00921C9B">
        <w:rPr>
          <w:szCs w:val="24"/>
          <w:lang w:eastAsia="en-US"/>
        </w:rPr>
        <w:t>11)</w:t>
      </w:r>
      <w:r w:rsidRPr="00921C9B">
        <w:rPr>
          <w:szCs w:val="24"/>
          <w:lang w:eastAsia="en-US"/>
        </w:rPr>
        <w:tab/>
        <w:t>добавя се приложение II, както е посочено в приложение VI към настоящата директива.</w:t>
      </w:r>
    </w:p>
    <w:p w14:paraId="44A051CF" w14:textId="77777777" w:rsidR="000D29CC" w:rsidRPr="00921C9B" w:rsidRDefault="000D29CC" w:rsidP="000D29CC">
      <w:pPr>
        <w:spacing w:before="120" w:after="120" w:line="360" w:lineRule="auto"/>
        <w:jc w:val="center"/>
        <w:rPr>
          <w:szCs w:val="24"/>
          <w:lang w:eastAsia="en-US"/>
        </w:rPr>
      </w:pPr>
      <w:r w:rsidRPr="00921C9B">
        <w:rPr>
          <w:szCs w:val="24"/>
          <w:lang w:eastAsia="en-US"/>
        </w:rPr>
        <w:t>Член 4</w:t>
      </w:r>
    </w:p>
    <w:p w14:paraId="556F4212"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1.</w:t>
      </w:r>
      <w:r w:rsidRPr="00921C9B">
        <w:rPr>
          <w:szCs w:val="24"/>
          <w:lang w:eastAsia="en-US"/>
        </w:rPr>
        <w:tab/>
        <w:t>Държавите членки въвеждат в сила законовите, подзаконовите и административните разпоредби, необходими, за да се съобразят с настоящата директива, до [СП: моля, въведете дата = първия ден от месеца, следващ 18 месеца след датата на влизане в сила на настоящата директива].</w:t>
      </w:r>
    </w:p>
    <w:p w14:paraId="28469E82"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2.</w:t>
      </w:r>
      <w:r w:rsidRPr="00921C9B">
        <w:rPr>
          <w:szCs w:val="24"/>
          <w:lang w:eastAsia="en-US"/>
        </w:rPr>
        <w:tab/>
        <w:t>Те незабавно съобщават на Комисията текста на тези разпоредби. Когато държавите членки приемат тези разпоредби, в тях се съдържа позоваване на настоящата директива или то се извършва при официалното им публикуване. Условията и редът на позоваване се определят от държавите членки. Държавите членки съобщават на Комисията текста на основните разпоредби от националното законодателство, които те приемат в областта, уредена с настоящата директива.</w:t>
      </w:r>
    </w:p>
    <w:p w14:paraId="37C53A93" w14:textId="77777777" w:rsidR="000B1908" w:rsidRPr="00921C9B" w:rsidRDefault="000B1908">
      <w:pPr>
        <w:widowControl/>
        <w:rPr>
          <w:szCs w:val="24"/>
          <w:lang w:eastAsia="en-US"/>
        </w:rPr>
      </w:pPr>
      <w:r w:rsidRPr="00921C9B">
        <w:rPr>
          <w:szCs w:val="24"/>
          <w:lang w:eastAsia="en-US"/>
        </w:rPr>
        <w:br w:type="page"/>
      </w:r>
    </w:p>
    <w:p w14:paraId="383B9F45" w14:textId="03BAFE95" w:rsidR="000D29CC" w:rsidRPr="00921C9B" w:rsidRDefault="000D29CC" w:rsidP="000D29CC">
      <w:pPr>
        <w:spacing w:before="120" w:after="120" w:line="360" w:lineRule="auto"/>
        <w:jc w:val="center"/>
        <w:rPr>
          <w:szCs w:val="24"/>
          <w:lang w:eastAsia="en-US"/>
        </w:rPr>
      </w:pPr>
      <w:r w:rsidRPr="00921C9B">
        <w:rPr>
          <w:szCs w:val="24"/>
          <w:lang w:eastAsia="en-US"/>
        </w:rPr>
        <w:lastRenderedPageBreak/>
        <w:t>Член 5</w:t>
      </w:r>
    </w:p>
    <w:p w14:paraId="6259DCD3" w14:textId="77777777" w:rsidR="000D29CC" w:rsidRPr="00921C9B" w:rsidRDefault="000D29CC" w:rsidP="000D29CC">
      <w:pPr>
        <w:spacing w:before="120" w:after="120" w:line="360" w:lineRule="auto"/>
        <w:rPr>
          <w:szCs w:val="24"/>
          <w:lang w:eastAsia="en-US"/>
        </w:rPr>
      </w:pPr>
      <w:r w:rsidRPr="00921C9B">
        <w:rPr>
          <w:szCs w:val="24"/>
          <w:lang w:eastAsia="en-US"/>
        </w:rPr>
        <w:t xml:space="preserve">Настоящата директива влиза в сила на двадесетия ден след деня на публикуването ѝ в </w:t>
      </w:r>
      <w:bookmarkStart w:id="8" w:name="_GoBack"/>
      <w:r w:rsidRPr="00921C9B">
        <w:rPr>
          <w:i/>
          <w:szCs w:val="24"/>
          <w:lang w:eastAsia="en-US"/>
        </w:rPr>
        <w:t>Официален вестник на Европейския съюз</w:t>
      </w:r>
      <w:bookmarkEnd w:id="8"/>
      <w:r w:rsidRPr="00921C9B">
        <w:rPr>
          <w:szCs w:val="24"/>
          <w:lang w:eastAsia="en-US"/>
        </w:rPr>
        <w:t>.</w:t>
      </w:r>
    </w:p>
    <w:p w14:paraId="2C7984C9" w14:textId="77777777" w:rsidR="000D29CC" w:rsidRPr="00921C9B" w:rsidRDefault="000D29CC" w:rsidP="000D29CC">
      <w:pPr>
        <w:spacing w:before="120" w:after="120" w:line="360" w:lineRule="auto"/>
        <w:jc w:val="center"/>
        <w:rPr>
          <w:szCs w:val="24"/>
          <w:lang w:eastAsia="en-US"/>
        </w:rPr>
      </w:pPr>
      <w:r w:rsidRPr="00921C9B">
        <w:rPr>
          <w:szCs w:val="24"/>
          <w:lang w:eastAsia="en-US"/>
        </w:rPr>
        <w:t>Член 6</w:t>
      </w:r>
    </w:p>
    <w:p w14:paraId="4CE7EFB5" w14:textId="77777777" w:rsidR="000D29CC" w:rsidRPr="00921C9B" w:rsidRDefault="000D29CC" w:rsidP="000D29CC">
      <w:pPr>
        <w:spacing w:before="120" w:after="120" w:line="360" w:lineRule="auto"/>
        <w:rPr>
          <w:szCs w:val="24"/>
          <w:lang w:eastAsia="en-US"/>
        </w:rPr>
      </w:pPr>
      <w:r w:rsidRPr="00921C9B">
        <w:rPr>
          <w:szCs w:val="24"/>
          <w:lang w:eastAsia="en-US"/>
        </w:rPr>
        <w:t>Адресати на настоящата директива са държавите членки.</w:t>
      </w:r>
    </w:p>
    <w:p w14:paraId="78E3C0AD" w14:textId="4C1CE6EC" w:rsidR="000D29CC" w:rsidRPr="00921C9B" w:rsidRDefault="000D29CC" w:rsidP="000D29CC">
      <w:pPr>
        <w:keepNext/>
        <w:widowControl/>
        <w:spacing w:before="120" w:line="360" w:lineRule="auto"/>
        <w:rPr>
          <w:szCs w:val="24"/>
          <w:lang w:eastAsia="en-US"/>
        </w:rPr>
      </w:pPr>
      <w:r w:rsidRPr="00921C9B">
        <w:rPr>
          <w:szCs w:val="24"/>
          <w:lang w:eastAsia="en-US"/>
        </w:rPr>
        <w:t xml:space="preserve">Съставено в </w:t>
      </w:r>
      <w:r w:rsidR="008F1CBE">
        <w:rPr>
          <w:szCs w:val="24"/>
          <w:lang w:val="en-GB" w:eastAsia="en-US"/>
        </w:rPr>
        <w:t>…</w:t>
      </w:r>
      <w:r w:rsidRPr="00921C9B">
        <w:rPr>
          <w:szCs w:val="24"/>
          <w:lang w:eastAsia="en-US"/>
        </w:rPr>
        <w:t xml:space="preserve"> на […] година.</w:t>
      </w:r>
    </w:p>
    <w:p w14:paraId="5463A974" w14:textId="77777777" w:rsidR="000D29CC" w:rsidRPr="00921C9B" w:rsidRDefault="000D29CC" w:rsidP="000D29CC">
      <w:pPr>
        <w:keepNext/>
        <w:widowControl/>
        <w:tabs>
          <w:tab w:val="left" w:pos="4252"/>
        </w:tabs>
        <w:spacing w:before="720" w:after="100" w:line="360" w:lineRule="auto"/>
        <w:jc w:val="both"/>
        <w:rPr>
          <w:i/>
          <w:szCs w:val="24"/>
          <w:lang w:eastAsia="en-US"/>
        </w:rPr>
      </w:pPr>
      <w:r w:rsidRPr="00921C9B">
        <w:rPr>
          <w:i/>
          <w:szCs w:val="24"/>
          <w:lang w:eastAsia="en-US"/>
        </w:rPr>
        <w:t>За Европейския парламент</w:t>
      </w:r>
      <w:r w:rsidRPr="00921C9B">
        <w:rPr>
          <w:i/>
          <w:szCs w:val="24"/>
          <w:lang w:eastAsia="en-US"/>
        </w:rPr>
        <w:tab/>
        <w:t>За Съвета</w:t>
      </w:r>
    </w:p>
    <w:p w14:paraId="0E68A3AE" w14:textId="77777777" w:rsidR="000D29CC" w:rsidRPr="00921C9B" w:rsidRDefault="000D29CC" w:rsidP="000D29CC">
      <w:pPr>
        <w:widowControl/>
        <w:tabs>
          <w:tab w:val="left" w:pos="4252"/>
        </w:tabs>
        <w:spacing w:line="360" w:lineRule="auto"/>
        <w:rPr>
          <w:i/>
          <w:szCs w:val="24"/>
          <w:lang w:eastAsia="en-US"/>
        </w:rPr>
      </w:pPr>
      <w:r w:rsidRPr="00921C9B">
        <w:rPr>
          <w:i/>
          <w:szCs w:val="24"/>
          <w:lang w:eastAsia="en-US"/>
        </w:rPr>
        <w:t>Председател</w:t>
      </w:r>
      <w:r w:rsidRPr="00921C9B">
        <w:rPr>
          <w:i/>
          <w:szCs w:val="24"/>
          <w:lang w:eastAsia="en-US"/>
        </w:rPr>
        <w:tab/>
        <w:t>Председател</w:t>
      </w:r>
    </w:p>
    <w:p w14:paraId="5F5C0A33" w14:textId="77777777" w:rsidR="000D29CC" w:rsidRPr="00921C9B" w:rsidRDefault="000D29CC" w:rsidP="000D29CC">
      <w:pPr>
        <w:spacing w:before="120" w:after="120" w:line="360" w:lineRule="auto"/>
        <w:rPr>
          <w:szCs w:val="24"/>
          <w:lang w:eastAsia="en-US"/>
        </w:rPr>
        <w:sectPr w:rsidR="000D29CC" w:rsidRPr="00921C9B">
          <w:footnotePr>
            <w:numRestart w:val="eachSect"/>
          </w:footnotePr>
          <w:pgSz w:w="11909" w:h="16834"/>
          <w:pgMar w:top="1134" w:right="1417" w:bottom="1417" w:left="1417" w:header="1134" w:footer="567" w:gutter="0"/>
          <w:cols w:space="720"/>
        </w:sectPr>
      </w:pPr>
    </w:p>
    <w:p w14:paraId="69002502" w14:textId="77777777" w:rsidR="000D29CC" w:rsidRPr="00921C9B" w:rsidRDefault="000D29CC" w:rsidP="000D29CC">
      <w:pPr>
        <w:spacing w:before="120" w:after="120" w:line="360" w:lineRule="auto"/>
        <w:rPr>
          <w:szCs w:val="24"/>
          <w:lang w:eastAsia="en-US"/>
        </w:rPr>
      </w:pPr>
    </w:p>
    <w:p w14:paraId="4598BFCD" w14:textId="77777777" w:rsidR="000D29CC" w:rsidRPr="00921C9B" w:rsidRDefault="000D29CC" w:rsidP="000D29CC">
      <w:pPr>
        <w:spacing w:before="120" w:after="120" w:line="360" w:lineRule="auto"/>
        <w:jc w:val="center"/>
        <w:rPr>
          <w:lang w:eastAsia="en-US"/>
        </w:rPr>
      </w:pPr>
      <w:r w:rsidRPr="00921C9B">
        <w:rPr>
          <w:lang w:eastAsia="en-US"/>
        </w:rPr>
        <w:t>ПРИЛОЖЕНИЕ I</w:t>
      </w:r>
    </w:p>
    <w:p w14:paraId="100301E7" w14:textId="77777777" w:rsidR="000D29CC" w:rsidRPr="00921C9B" w:rsidRDefault="000D29CC" w:rsidP="000D29CC">
      <w:pPr>
        <w:spacing w:before="120" w:after="120" w:line="360" w:lineRule="auto"/>
        <w:rPr>
          <w:szCs w:val="24"/>
          <w:lang w:eastAsia="en-US"/>
        </w:rPr>
      </w:pPr>
      <w:r w:rsidRPr="00921C9B">
        <w:rPr>
          <w:szCs w:val="24"/>
          <w:lang w:eastAsia="en-US"/>
        </w:rPr>
        <w:t>Приложение V към Директива 2000/60/ЕО се изменя, както следва:</w:t>
      </w:r>
    </w:p>
    <w:p w14:paraId="5E6CBA02"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(1)</w:t>
      </w:r>
      <w:r w:rsidRPr="00921C9B">
        <w:rPr>
          <w:szCs w:val="24"/>
          <w:lang w:eastAsia="en-US"/>
        </w:rPr>
        <w:tab/>
        <w:t>Точки 1.1.1—1.1.4 се заменят със следното:</w:t>
      </w:r>
    </w:p>
    <w:p w14:paraId="0C28B652"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„1.1.1.</w:t>
      </w:r>
      <w:r w:rsidRPr="00921C9B">
        <w:rPr>
          <w:szCs w:val="24"/>
          <w:lang w:eastAsia="en-US"/>
        </w:rPr>
        <w:tab/>
        <w:t>Реки</w:t>
      </w:r>
    </w:p>
    <w:p w14:paraId="10E7283B" w14:textId="77777777" w:rsidR="000D29CC" w:rsidRPr="00921C9B" w:rsidRDefault="000D29CC" w:rsidP="000D29CC">
      <w:pPr>
        <w:spacing w:before="120" w:after="120" w:line="360" w:lineRule="auto"/>
        <w:ind w:left="1416"/>
        <w:rPr>
          <w:szCs w:val="24"/>
          <w:lang w:eastAsia="en-US"/>
        </w:rPr>
      </w:pPr>
      <w:r w:rsidRPr="00921C9B">
        <w:rPr>
          <w:szCs w:val="24"/>
          <w:lang w:eastAsia="en-US"/>
        </w:rPr>
        <w:t>Биологични елементи</w:t>
      </w:r>
    </w:p>
    <w:p w14:paraId="0EFF1B01" w14:textId="77777777" w:rsidR="000D29CC" w:rsidRPr="00921C9B" w:rsidRDefault="000D29CC" w:rsidP="000D29CC">
      <w:pPr>
        <w:spacing w:before="120" w:after="120" w:line="360" w:lineRule="auto"/>
        <w:ind w:left="1416"/>
        <w:rPr>
          <w:szCs w:val="24"/>
          <w:lang w:eastAsia="en-US"/>
        </w:rPr>
      </w:pPr>
      <w:r w:rsidRPr="00921C9B">
        <w:rPr>
          <w:szCs w:val="24"/>
          <w:lang w:eastAsia="en-US"/>
        </w:rPr>
        <w:t>Състав и изобилие на водната флора</w:t>
      </w:r>
    </w:p>
    <w:p w14:paraId="6BBBB859" w14:textId="77777777" w:rsidR="000D29CC" w:rsidRPr="00921C9B" w:rsidRDefault="000D29CC" w:rsidP="000D29CC">
      <w:pPr>
        <w:spacing w:before="120" w:after="120" w:line="360" w:lineRule="auto"/>
        <w:ind w:left="1416"/>
        <w:rPr>
          <w:szCs w:val="24"/>
          <w:lang w:eastAsia="en-US"/>
        </w:rPr>
      </w:pPr>
      <w:r w:rsidRPr="00921C9B">
        <w:rPr>
          <w:szCs w:val="24"/>
          <w:lang w:eastAsia="en-US"/>
        </w:rPr>
        <w:t>Състав и изобилие на бентосна безгръбначна фауна</w:t>
      </w:r>
    </w:p>
    <w:p w14:paraId="1B9C1702" w14:textId="77777777" w:rsidR="000D29CC" w:rsidRPr="00921C9B" w:rsidRDefault="000D29CC" w:rsidP="000D29CC">
      <w:pPr>
        <w:spacing w:before="120" w:after="120" w:line="360" w:lineRule="auto"/>
        <w:ind w:left="1416"/>
        <w:rPr>
          <w:szCs w:val="24"/>
          <w:lang w:eastAsia="en-US"/>
        </w:rPr>
      </w:pPr>
      <w:r w:rsidRPr="00921C9B">
        <w:rPr>
          <w:szCs w:val="24"/>
          <w:lang w:eastAsia="en-US"/>
        </w:rPr>
        <w:t>Състав, изобилие и възрастова структура на рибната фауна</w:t>
      </w:r>
    </w:p>
    <w:p w14:paraId="4E2B7820" w14:textId="77777777" w:rsidR="000D29CC" w:rsidRPr="00921C9B" w:rsidRDefault="000D29CC" w:rsidP="000D29CC">
      <w:pPr>
        <w:spacing w:before="120" w:after="120" w:line="360" w:lineRule="auto"/>
        <w:ind w:left="1416"/>
        <w:rPr>
          <w:szCs w:val="24"/>
          <w:lang w:eastAsia="en-US"/>
        </w:rPr>
      </w:pPr>
      <w:r w:rsidRPr="00921C9B">
        <w:rPr>
          <w:szCs w:val="24"/>
          <w:lang w:eastAsia="en-US"/>
        </w:rPr>
        <w:t>Хидроморфологични елементи, подпомагащи биологичните елементи</w:t>
      </w:r>
    </w:p>
    <w:p w14:paraId="74AC39A4" w14:textId="77777777" w:rsidR="000D29CC" w:rsidRPr="00921C9B" w:rsidRDefault="000D29CC" w:rsidP="000D29CC">
      <w:pPr>
        <w:spacing w:before="120" w:after="120" w:line="360" w:lineRule="auto"/>
        <w:ind w:left="850"/>
        <w:rPr>
          <w:szCs w:val="24"/>
          <w:lang w:eastAsia="en-US"/>
        </w:rPr>
      </w:pPr>
      <w:r w:rsidRPr="00921C9B">
        <w:rPr>
          <w:szCs w:val="24"/>
          <w:lang w:eastAsia="en-US"/>
        </w:rPr>
        <w:t>Хидроложки режим</w:t>
      </w:r>
    </w:p>
    <w:p w14:paraId="0E2C3680" w14:textId="77777777" w:rsidR="000D29CC" w:rsidRPr="00921C9B" w:rsidRDefault="000D29CC" w:rsidP="000D29CC">
      <w:pPr>
        <w:spacing w:before="120" w:after="120" w:line="360" w:lineRule="auto"/>
        <w:ind w:left="1416"/>
        <w:rPr>
          <w:szCs w:val="24"/>
          <w:lang w:eastAsia="en-US"/>
        </w:rPr>
      </w:pPr>
      <w:r w:rsidRPr="00921C9B">
        <w:rPr>
          <w:szCs w:val="24"/>
          <w:lang w:eastAsia="en-US"/>
        </w:rPr>
        <w:t>Количество и динамика на водния поток</w:t>
      </w:r>
    </w:p>
    <w:p w14:paraId="513391F5" w14:textId="77777777" w:rsidR="000D29CC" w:rsidRPr="00921C9B" w:rsidRDefault="000D29CC" w:rsidP="000D29CC">
      <w:pPr>
        <w:spacing w:before="120" w:after="120" w:line="360" w:lineRule="auto"/>
        <w:ind w:left="1416"/>
        <w:rPr>
          <w:szCs w:val="24"/>
          <w:lang w:eastAsia="en-US"/>
        </w:rPr>
      </w:pPr>
      <w:r w:rsidRPr="00921C9B">
        <w:rPr>
          <w:szCs w:val="24"/>
          <w:lang w:eastAsia="en-US"/>
        </w:rPr>
        <w:t>Връзка с подземни водни обекти</w:t>
      </w:r>
    </w:p>
    <w:p w14:paraId="42734C74" w14:textId="77777777" w:rsidR="000D29CC" w:rsidRPr="00921C9B" w:rsidRDefault="000D29CC" w:rsidP="000D29CC">
      <w:pPr>
        <w:spacing w:before="120" w:after="120" w:line="360" w:lineRule="auto"/>
        <w:ind w:left="1416"/>
        <w:rPr>
          <w:szCs w:val="24"/>
          <w:lang w:eastAsia="en-US"/>
        </w:rPr>
      </w:pPr>
      <w:r w:rsidRPr="00921C9B">
        <w:rPr>
          <w:szCs w:val="24"/>
          <w:lang w:eastAsia="en-US"/>
        </w:rPr>
        <w:t>Непрекъснатост на реката</w:t>
      </w:r>
    </w:p>
    <w:p w14:paraId="4DD1DA58" w14:textId="77777777" w:rsidR="000B1908" w:rsidRPr="00921C9B" w:rsidRDefault="000B1908">
      <w:pPr>
        <w:widowControl/>
        <w:rPr>
          <w:szCs w:val="24"/>
          <w:lang w:eastAsia="en-US"/>
        </w:rPr>
      </w:pPr>
      <w:r w:rsidRPr="00921C9B">
        <w:rPr>
          <w:szCs w:val="24"/>
          <w:lang w:eastAsia="en-US"/>
        </w:rPr>
        <w:br w:type="page"/>
      </w:r>
    </w:p>
    <w:p w14:paraId="5C48DFEC" w14:textId="2464E5D5" w:rsidR="000D29CC" w:rsidRPr="00921C9B" w:rsidRDefault="000D29CC" w:rsidP="000D29CC">
      <w:pPr>
        <w:spacing w:before="120" w:after="120" w:line="360" w:lineRule="auto"/>
        <w:ind w:left="850"/>
        <w:rPr>
          <w:szCs w:val="24"/>
          <w:lang w:eastAsia="en-US"/>
        </w:rPr>
      </w:pPr>
      <w:r w:rsidRPr="00921C9B">
        <w:rPr>
          <w:szCs w:val="24"/>
          <w:lang w:eastAsia="en-US"/>
        </w:rPr>
        <w:lastRenderedPageBreak/>
        <w:t>Морфологични условия</w:t>
      </w:r>
    </w:p>
    <w:p w14:paraId="72C33C25" w14:textId="77777777" w:rsidR="000D29CC" w:rsidRPr="00921C9B" w:rsidRDefault="000D29CC" w:rsidP="000D29CC">
      <w:pPr>
        <w:spacing w:before="120" w:after="120" w:line="360" w:lineRule="auto"/>
        <w:ind w:left="1416"/>
        <w:rPr>
          <w:szCs w:val="24"/>
          <w:lang w:eastAsia="en-US"/>
        </w:rPr>
      </w:pPr>
      <w:r w:rsidRPr="00921C9B">
        <w:rPr>
          <w:szCs w:val="24"/>
          <w:lang w:eastAsia="en-US"/>
        </w:rPr>
        <w:t>разлики в дълбочината и ширината на реката</w:t>
      </w:r>
    </w:p>
    <w:p w14:paraId="46E7485C" w14:textId="77777777" w:rsidR="000D29CC" w:rsidRPr="00921C9B" w:rsidRDefault="000D29CC" w:rsidP="000D29CC">
      <w:pPr>
        <w:spacing w:before="120" w:after="120" w:line="360" w:lineRule="auto"/>
        <w:ind w:left="1416"/>
        <w:rPr>
          <w:szCs w:val="24"/>
          <w:lang w:eastAsia="en-US"/>
        </w:rPr>
      </w:pPr>
      <w:r w:rsidRPr="00921C9B">
        <w:rPr>
          <w:szCs w:val="24"/>
          <w:lang w:eastAsia="en-US"/>
        </w:rPr>
        <w:t>структура и субстрати на речното легло</w:t>
      </w:r>
    </w:p>
    <w:p w14:paraId="31CFC112" w14:textId="77777777" w:rsidR="000D29CC" w:rsidRPr="00921C9B" w:rsidRDefault="000D29CC" w:rsidP="000D29CC">
      <w:pPr>
        <w:spacing w:before="120" w:after="120" w:line="360" w:lineRule="auto"/>
        <w:ind w:left="1416"/>
        <w:rPr>
          <w:szCs w:val="24"/>
          <w:lang w:eastAsia="en-US"/>
        </w:rPr>
      </w:pPr>
      <w:r w:rsidRPr="00921C9B">
        <w:rPr>
          <w:szCs w:val="24"/>
          <w:lang w:eastAsia="en-US"/>
        </w:rPr>
        <w:t>структура на крайречната зона</w:t>
      </w:r>
    </w:p>
    <w:p w14:paraId="0A2EAC9B" w14:textId="77777777" w:rsidR="000D29CC" w:rsidRPr="00921C9B" w:rsidRDefault="000D29CC" w:rsidP="000D29CC">
      <w:pPr>
        <w:spacing w:before="120" w:after="120" w:line="360" w:lineRule="auto"/>
        <w:ind w:left="1416"/>
        <w:rPr>
          <w:szCs w:val="24"/>
          <w:lang w:eastAsia="en-US"/>
        </w:rPr>
      </w:pPr>
      <w:r w:rsidRPr="00921C9B">
        <w:rPr>
          <w:szCs w:val="24"/>
          <w:lang w:eastAsia="en-US"/>
        </w:rPr>
        <w:t>Общи физикохимични елементи, подпомагащи биологичните елементи</w:t>
      </w:r>
    </w:p>
    <w:p w14:paraId="3BA05A5A" w14:textId="77777777" w:rsidR="000D29CC" w:rsidRPr="00921C9B" w:rsidRDefault="000D29CC" w:rsidP="000D29CC">
      <w:pPr>
        <w:spacing w:before="120" w:after="120" w:line="360" w:lineRule="auto"/>
        <w:ind w:left="1416"/>
        <w:rPr>
          <w:szCs w:val="24"/>
          <w:lang w:eastAsia="en-US"/>
        </w:rPr>
      </w:pPr>
      <w:r w:rsidRPr="00921C9B">
        <w:rPr>
          <w:szCs w:val="24"/>
          <w:lang w:eastAsia="en-US"/>
        </w:rPr>
        <w:t>Температурни условия</w:t>
      </w:r>
    </w:p>
    <w:p w14:paraId="11B6F056" w14:textId="77777777" w:rsidR="000D29CC" w:rsidRPr="00921C9B" w:rsidRDefault="000D29CC" w:rsidP="000D29CC">
      <w:pPr>
        <w:spacing w:before="120" w:after="120" w:line="360" w:lineRule="auto"/>
        <w:ind w:left="1416"/>
        <w:rPr>
          <w:szCs w:val="24"/>
          <w:lang w:eastAsia="en-US"/>
        </w:rPr>
      </w:pPr>
      <w:r w:rsidRPr="00921C9B">
        <w:rPr>
          <w:szCs w:val="24"/>
          <w:lang w:eastAsia="en-US"/>
        </w:rPr>
        <w:t>Условия на окисляемост</w:t>
      </w:r>
    </w:p>
    <w:p w14:paraId="322ECB37" w14:textId="77777777" w:rsidR="000D29CC" w:rsidRPr="00921C9B" w:rsidRDefault="000D29CC" w:rsidP="000D29CC">
      <w:pPr>
        <w:spacing w:before="120" w:after="120" w:line="360" w:lineRule="auto"/>
        <w:ind w:left="1416"/>
        <w:rPr>
          <w:szCs w:val="24"/>
          <w:lang w:eastAsia="en-US"/>
        </w:rPr>
      </w:pPr>
      <w:r w:rsidRPr="00921C9B">
        <w:rPr>
          <w:szCs w:val="24"/>
          <w:lang w:eastAsia="en-US"/>
        </w:rPr>
        <w:t>Соленост</w:t>
      </w:r>
    </w:p>
    <w:p w14:paraId="4836CAC2" w14:textId="77777777" w:rsidR="000D29CC" w:rsidRPr="00921C9B" w:rsidRDefault="000D29CC" w:rsidP="000D29CC">
      <w:pPr>
        <w:spacing w:before="120" w:after="120" w:line="360" w:lineRule="auto"/>
        <w:ind w:left="1416"/>
        <w:rPr>
          <w:szCs w:val="24"/>
          <w:lang w:eastAsia="en-US"/>
        </w:rPr>
      </w:pPr>
      <w:r w:rsidRPr="00921C9B">
        <w:rPr>
          <w:szCs w:val="24"/>
          <w:lang w:eastAsia="en-US"/>
        </w:rPr>
        <w:t>Киселинно състояние</w:t>
      </w:r>
    </w:p>
    <w:p w14:paraId="790D3CC7" w14:textId="77777777" w:rsidR="000D29CC" w:rsidRPr="00921C9B" w:rsidRDefault="000D29CC" w:rsidP="000D29CC">
      <w:pPr>
        <w:spacing w:before="120" w:after="120" w:line="360" w:lineRule="auto"/>
        <w:ind w:left="1416"/>
        <w:rPr>
          <w:szCs w:val="24"/>
          <w:lang w:eastAsia="en-US"/>
        </w:rPr>
      </w:pPr>
      <w:r w:rsidRPr="00921C9B">
        <w:rPr>
          <w:szCs w:val="24"/>
          <w:lang w:eastAsia="en-US"/>
        </w:rPr>
        <w:t>Хранителни условия</w:t>
      </w:r>
    </w:p>
    <w:p w14:paraId="0BE1A95D"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1.1.2.</w:t>
      </w:r>
      <w:r w:rsidRPr="00921C9B">
        <w:rPr>
          <w:szCs w:val="24"/>
          <w:lang w:eastAsia="en-US"/>
        </w:rPr>
        <w:tab/>
        <w:t xml:space="preserve"> Езера</w:t>
      </w:r>
    </w:p>
    <w:p w14:paraId="6B2B0D0E" w14:textId="77777777" w:rsidR="000D29CC" w:rsidRPr="00921C9B" w:rsidRDefault="000D29CC" w:rsidP="000D29CC">
      <w:pPr>
        <w:spacing w:before="120" w:after="120" w:line="360" w:lineRule="auto"/>
        <w:ind w:left="1416"/>
        <w:rPr>
          <w:szCs w:val="24"/>
          <w:lang w:eastAsia="en-US"/>
        </w:rPr>
      </w:pPr>
      <w:r w:rsidRPr="00921C9B">
        <w:rPr>
          <w:szCs w:val="24"/>
          <w:lang w:eastAsia="en-US"/>
        </w:rPr>
        <w:t>Биологични елементи</w:t>
      </w:r>
    </w:p>
    <w:p w14:paraId="7FEC5783" w14:textId="77777777" w:rsidR="000B1908" w:rsidRPr="00921C9B" w:rsidRDefault="000B1908">
      <w:pPr>
        <w:widowControl/>
        <w:rPr>
          <w:szCs w:val="24"/>
          <w:lang w:eastAsia="en-US"/>
        </w:rPr>
      </w:pPr>
      <w:r w:rsidRPr="00921C9B">
        <w:rPr>
          <w:szCs w:val="24"/>
          <w:lang w:eastAsia="en-US"/>
        </w:rPr>
        <w:br w:type="page"/>
      </w:r>
    </w:p>
    <w:p w14:paraId="6DA0BBBB" w14:textId="06B24421" w:rsidR="000D29CC" w:rsidRPr="00921C9B" w:rsidRDefault="000D29CC" w:rsidP="000D29CC">
      <w:pPr>
        <w:spacing w:before="120" w:after="120" w:line="360" w:lineRule="auto"/>
        <w:ind w:left="1416"/>
        <w:rPr>
          <w:szCs w:val="24"/>
          <w:lang w:eastAsia="en-US"/>
        </w:rPr>
      </w:pPr>
      <w:r w:rsidRPr="00921C9B">
        <w:rPr>
          <w:szCs w:val="24"/>
          <w:lang w:eastAsia="en-US"/>
        </w:rPr>
        <w:lastRenderedPageBreak/>
        <w:t>Състав, изобилие и биомаса на фитопланктона</w:t>
      </w:r>
    </w:p>
    <w:p w14:paraId="4A4EF9A2" w14:textId="77777777" w:rsidR="000D29CC" w:rsidRPr="00921C9B" w:rsidRDefault="000D29CC" w:rsidP="000D29CC">
      <w:pPr>
        <w:spacing w:before="120" w:after="120" w:line="360" w:lineRule="auto"/>
        <w:ind w:left="1416"/>
        <w:rPr>
          <w:szCs w:val="24"/>
          <w:lang w:eastAsia="en-US"/>
        </w:rPr>
      </w:pPr>
      <w:r w:rsidRPr="00921C9B">
        <w:rPr>
          <w:szCs w:val="24"/>
          <w:lang w:eastAsia="en-US"/>
        </w:rPr>
        <w:t>Състав и изобилие на друга водна флора</w:t>
      </w:r>
    </w:p>
    <w:p w14:paraId="52CB89B4" w14:textId="77777777" w:rsidR="000D29CC" w:rsidRPr="00921C9B" w:rsidRDefault="000D29CC" w:rsidP="000D29CC">
      <w:pPr>
        <w:spacing w:before="120" w:after="120" w:line="360" w:lineRule="auto"/>
        <w:ind w:left="1416"/>
        <w:rPr>
          <w:szCs w:val="24"/>
          <w:lang w:eastAsia="en-US"/>
        </w:rPr>
      </w:pPr>
      <w:r w:rsidRPr="00921C9B">
        <w:rPr>
          <w:szCs w:val="24"/>
          <w:lang w:eastAsia="en-US"/>
        </w:rPr>
        <w:t>Състав и изобилие на бентосна безгръбначна фауна</w:t>
      </w:r>
    </w:p>
    <w:p w14:paraId="656E8DAA" w14:textId="77777777" w:rsidR="000D29CC" w:rsidRPr="00921C9B" w:rsidRDefault="000D29CC" w:rsidP="000D29CC">
      <w:pPr>
        <w:spacing w:before="120" w:after="120" w:line="360" w:lineRule="auto"/>
        <w:ind w:left="1416"/>
        <w:rPr>
          <w:szCs w:val="24"/>
          <w:lang w:eastAsia="en-US"/>
        </w:rPr>
      </w:pPr>
      <w:r w:rsidRPr="00921C9B">
        <w:rPr>
          <w:szCs w:val="24"/>
          <w:lang w:eastAsia="en-US"/>
        </w:rPr>
        <w:t>Състав, изобилие и възрастова структура на рибната фауна</w:t>
      </w:r>
    </w:p>
    <w:p w14:paraId="5D3D9357" w14:textId="77777777" w:rsidR="000D29CC" w:rsidRPr="00921C9B" w:rsidRDefault="000D29CC" w:rsidP="000D29CC">
      <w:pPr>
        <w:spacing w:before="120" w:after="120" w:line="360" w:lineRule="auto"/>
        <w:ind w:left="1416"/>
        <w:rPr>
          <w:szCs w:val="24"/>
          <w:lang w:eastAsia="en-US"/>
        </w:rPr>
      </w:pPr>
      <w:r w:rsidRPr="00921C9B">
        <w:rPr>
          <w:szCs w:val="24"/>
          <w:lang w:eastAsia="en-US"/>
        </w:rPr>
        <w:t>Хидроморфологични елементи, подпомагащи биологичните елементи</w:t>
      </w:r>
    </w:p>
    <w:p w14:paraId="1E4A4F9E" w14:textId="77777777" w:rsidR="000D29CC" w:rsidRPr="00921C9B" w:rsidRDefault="000D29CC" w:rsidP="000D29CC">
      <w:pPr>
        <w:spacing w:before="120" w:after="120" w:line="360" w:lineRule="auto"/>
        <w:ind w:left="850"/>
        <w:rPr>
          <w:szCs w:val="24"/>
          <w:lang w:eastAsia="en-US"/>
        </w:rPr>
      </w:pPr>
      <w:r w:rsidRPr="00921C9B">
        <w:rPr>
          <w:szCs w:val="24"/>
          <w:lang w:eastAsia="en-US"/>
        </w:rPr>
        <w:t>Хидроложки режим</w:t>
      </w:r>
    </w:p>
    <w:p w14:paraId="23DD202A" w14:textId="77777777" w:rsidR="000D29CC" w:rsidRPr="00921C9B" w:rsidRDefault="000D29CC" w:rsidP="000D29CC">
      <w:pPr>
        <w:spacing w:before="120" w:after="120" w:line="360" w:lineRule="auto"/>
        <w:ind w:left="1416"/>
        <w:rPr>
          <w:szCs w:val="24"/>
          <w:lang w:eastAsia="en-US"/>
        </w:rPr>
      </w:pPr>
      <w:r w:rsidRPr="00921C9B">
        <w:rPr>
          <w:szCs w:val="24"/>
          <w:lang w:eastAsia="en-US"/>
        </w:rPr>
        <w:t>Количество и динамика на водния поток</w:t>
      </w:r>
    </w:p>
    <w:p w14:paraId="7527B4D6" w14:textId="77777777" w:rsidR="000D29CC" w:rsidRPr="00921C9B" w:rsidRDefault="000D29CC" w:rsidP="000D29CC">
      <w:pPr>
        <w:spacing w:before="120" w:after="120" w:line="360" w:lineRule="auto"/>
        <w:ind w:left="1416"/>
        <w:rPr>
          <w:szCs w:val="24"/>
          <w:lang w:eastAsia="en-US"/>
        </w:rPr>
      </w:pPr>
      <w:r w:rsidRPr="00921C9B">
        <w:rPr>
          <w:szCs w:val="24"/>
          <w:lang w:eastAsia="en-US"/>
        </w:rPr>
        <w:t>Време на престой</w:t>
      </w:r>
    </w:p>
    <w:p w14:paraId="0F515DD2" w14:textId="77777777" w:rsidR="000D29CC" w:rsidRPr="00921C9B" w:rsidRDefault="000D29CC" w:rsidP="000D29CC">
      <w:pPr>
        <w:spacing w:before="120" w:after="120" w:line="360" w:lineRule="auto"/>
        <w:ind w:left="1416"/>
        <w:rPr>
          <w:szCs w:val="24"/>
          <w:lang w:eastAsia="en-US"/>
        </w:rPr>
      </w:pPr>
      <w:r w:rsidRPr="00921C9B">
        <w:rPr>
          <w:szCs w:val="24"/>
          <w:lang w:eastAsia="en-US"/>
        </w:rPr>
        <w:t>Връзка с подземни водни обекти</w:t>
      </w:r>
    </w:p>
    <w:p w14:paraId="3F89004E" w14:textId="77777777" w:rsidR="000D29CC" w:rsidRPr="00921C9B" w:rsidRDefault="000D29CC" w:rsidP="000D29CC">
      <w:pPr>
        <w:spacing w:before="120" w:after="120" w:line="360" w:lineRule="auto"/>
        <w:ind w:left="850"/>
        <w:rPr>
          <w:szCs w:val="24"/>
          <w:lang w:eastAsia="en-US"/>
        </w:rPr>
      </w:pPr>
      <w:r w:rsidRPr="00921C9B">
        <w:rPr>
          <w:szCs w:val="24"/>
          <w:lang w:eastAsia="en-US"/>
        </w:rPr>
        <w:t>Морфологични условия</w:t>
      </w:r>
    </w:p>
    <w:p w14:paraId="05DD80F6" w14:textId="77777777" w:rsidR="000D29CC" w:rsidRPr="00921C9B" w:rsidRDefault="000D29CC" w:rsidP="000D29CC">
      <w:pPr>
        <w:spacing w:before="120" w:after="120" w:line="360" w:lineRule="auto"/>
        <w:ind w:left="1416"/>
        <w:rPr>
          <w:szCs w:val="24"/>
          <w:lang w:eastAsia="en-US"/>
        </w:rPr>
      </w:pPr>
      <w:r w:rsidRPr="00921C9B">
        <w:rPr>
          <w:szCs w:val="24"/>
          <w:lang w:eastAsia="en-US"/>
        </w:rPr>
        <w:t>разлики в дълбочината на езерото</w:t>
      </w:r>
    </w:p>
    <w:p w14:paraId="1DA921EE" w14:textId="77777777" w:rsidR="000D29CC" w:rsidRPr="00921C9B" w:rsidRDefault="000D29CC" w:rsidP="000D29CC">
      <w:pPr>
        <w:spacing w:before="120" w:after="120" w:line="360" w:lineRule="auto"/>
        <w:ind w:left="1416"/>
        <w:rPr>
          <w:szCs w:val="24"/>
          <w:lang w:eastAsia="en-US"/>
        </w:rPr>
      </w:pPr>
      <w:r w:rsidRPr="00921C9B">
        <w:rPr>
          <w:szCs w:val="24"/>
          <w:lang w:eastAsia="en-US"/>
        </w:rPr>
        <w:t>Количество, структура и субстрати на езерното легло</w:t>
      </w:r>
    </w:p>
    <w:p w14:paraId="7C8762A7" w14:textId="77777777" w:rsidR="000D29CC" w:rsidRPr="00921C9B" w:rsidRDefault="000D29CC" w:rsidP="000D29CC">
      <w:pPr>
        <w:spacing w:before="120" w:after="120" w:line="360" w:lineRule="auto"/>
        <w:ind w:left="1416"/>
        <w:rPr>
          <w:szCs w:val="24"/>
          <w:lang w:eastAsia="en-US"/>
        </w:rPr>
      </w:pPr>
      <w:r w:rsidRPr="00921C9B">
        <w:rPr>
          <w:szCs w:val="24"/>
          <w:lang w:eastAsia="en-US"/>
        </w:rPr>
        <w:t>Структура на езерния бряг</w:t>
      </w:r>
    </w:p>
    <w:p w14:paraId="2415E527" w14:textId="77777777" w:rsidR="000B1908" w:rsidRPr="00921C9B" w:rsidRDefault="000B1908">
      <w:pPr>
        <w:widowControl/>
        <w:rPr>
          <w:szCs w:val="24"/>
          <w:lang w:eastAsia="en-US"/>
        </w:rPr>
      </w:pPr>
      <w:r w:rsidRPr="00921C9B">
        <w:rPr>
          <w:szCs w:val="24"/>
          <w:lang w:eastAsia="en-US"/>
        </w:rPr>
        <w:br w:type="page"/>
      </w:r>
    </w:p>
    <w:p w14:paraId="70E08D89" w14:textId="28E63F44" w:rsidR="000D29CC" w:rsidRPr="00921C9B" w:rsidRDefault="000D29CC" w:rsidP="000D29CC">
      <w:pPr>
        <w:spacing w:before="120" w:after="120" w:line="360" w:lineRule="auto"/>
        <w:ind w:left="1416"/>
        <w:rPr>
          <w:szCs w:val="24"/>
          <w:lang w:eastAsia="en-US"/>
        </w:rPr>
      </w:pPr>
      <w:r w:rsidRPr="00921C9B">
        <w:rPr>
          <w:szCs w:val="24"/>
          <w:lang w:eastAsia="en-US"/>
        </w:rPr>
        <w:lastRenderedPageBreak/>
        <w:t>Общи физикохимични елементи, подпомагащи биологичните елементи</w:t>
      </w:r>
    </w:p>
    <w:p w14:paraId="71A2BE1F" w14:textId="77777777" w:rsidR="000D29CC" w:rsidRPr="00921C9B" w:rsidRDefault="000D29CC" w:rsidP="000D29CC">
      <w:pPr>
        <w:spacing w:before="120" w:after="120" w:line="360" w:lineRule="auto"/>
        <w:ind w:left="1416"/>
        <w:rPr>
          <w:szCs w:val="24"/>
          <w:lang w:eastAsia="en-US"/>
        </w:rPr>
      </w:pPr>
      <w:r w:rsidRPr="00921C9B">
        <w:rPr>
          <w:szCs w:val="24"/>
          <w:lang w:eastAsia="en-US"/>
        </w:rPr>
        <w:t>Прозрачност</w:t>
      </w:r>
    </w:p>
    <w:p w14:paraId="0B64A71F" w14:textId="77777777" w:rsidR="000D29CC" w:rsidRPr="00921C9B" w:rsidRDefault="000D29CC" w:rsidP="000D29CC">
      <w:pPr>
        <w:spacing w:before="120" w:after="120" w:line="360" w:lineRule="auto"/>
        <w:ind w:left="1416"/>
        <w:rPr>
          <w:szCs w:val="24"/>
          <w:lang w:eastAsia="en-US"/>
        </w:rPr>
      </w:pPr>
      <w:r w:rsidRPr="00921C9B">
        <w:rPr>
          <w:szCs w:val="24"/>
          <w:lang w:eastAsia="en-US"/>
        </w:rPr>
        <w:t>Температурни условия</w:t>
      </w:r>
    </w:p>
    <w:p w14:paraId="2F6C0D7B" w14:textId="77777777" w:rsidR="000D29CC" w:rsidRPr="00921C9B" w:rsidRDefault="000D29CC" w:rsidP="000D29CC">
      <w:pPr>
        <w:spacing w:before="120" w:after="120" w:line="360" w:lineRule="auto"/>
        <w:ind w:left="1416"/>
        <w:rPr>
          <w:szCs w:val="24"/>
          <w:lang w:eastAsia="en-US"/>
        </w:rPr>
      </w:pPr>
      <w:r w:rsidRPr="00921C9B">
        <w:rPr>
          <w:szCs w:val="24"/>
          <w:lang w:eastAsia="en-US"/>
        </w:rPr>
        <w:t>Условия на окисляемост</w:t>
      </w:r>
    </w:p>
    <w:p w14:paraId="5F4DEA85" w14:textId="77777777" w:rsidR="000D29CC" w:rsidRPr="00921C9B" w:rsidRDefault="000D29CC" w:rsidP="000D29CC">
      <w:pPr>
        <w:spacing w:before="120" w:after="120" w:line="360" w:lineRule="auto"/>
        <w:ind w:left="1416"/>
        <w:rPr>
          <w:szCs w:val="24"/>
          <w:lang w:eastAsia="en-US"/>
        </w:rPr>
      </w:pPr>
      <w:r w:rsidRPr="00921C9B">
        <w:rPr>
          <w:szCs w:val="24"/>
          <w:lang w:eastAsia="en-US"/>
        </w:rPr>
        <w:t>Соленост</w:t>
      </w:r>
    </w:p>
    <w:p w14:paraId="4B2ACB0E" w14:textId="77777777" w:rsidR="000D29CC" w:rsidRPr="00921C9B" w:rsidRDefault="000D29CC" w:rsidP="000D29CC">
      <w:pPr>
        <w:spacing w:before="120" w:after="120" w:line="360" w:lineRule="auto"/>
        <w:ind w:left="1416"/>
        <w:rPr>
          <w:szCs w:val="24"/>
          <w:lang w:eastAsia="en-US"/>
        </w:rPr>
      </w:pPr>
      <w:r w:rsidRPr="00921C9B">
        <w:rPr>
          <w:szCs w:val="24"/>
          <w:lang w:eastAsia="en-US"/>
        </w:rPr>
        <w:t>Киселинно състояние</w:t>
      </w:r>
    </w:p>
    <w:p w14:paraId="43BCB0A7" w14:textId="77777777" w:rsidR="000D29CC" w:rsidRPr="00921C9B" w:rsidRDefault="000D29CC" w:rsidP="000D29CC">
      <w:pPr>
        <w:spacing w:before="120" w:after="120" w:line="360" w:lineRule="auto"/>
        <w:ind w:left="1416"/>
        <w:rPr>
          <w:szCs w:val="24"/>
          <w:lang w:eastAsia="en-US"/>
        </w:rPr>
      </w:pPr>
      <w:r w:rsidRPr="00921C9B">
        <w:rPr>
          <w:szCs w:val="24"/>
          <w:lang w:eastAsia="en-US"/>
        </w:rPr>
        <w:t>Хранителни условия</w:t>
      </w:r>
    </w:p>
    <w:p w14:paraId="38D1C4F8"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1.1.3.</w:t>
      </w:r>
      <w:r w:rsidRPr="00921C9B">
        <w:rPr>
          <w:szCs w:val="24"/>
          <w:lang w:eastAsia="en-US"/>
        </w:rPr>
        <w:tab/>
        <w:t>Преходни води</w:t>
      </w:r>
    </w:p>
    <w:p w14:paraId="627E30D0" w14:textId="77777777" w:rsidR="000D29CC" w:rsidRPr="00921C9B" w:rsidRDefault="000D29CC" w:rsidP="000D29CC">
      <w:pPr>
        <w:spacing w:before="120" w:after="120" w:line="360" w:lineRule="auto"/>
        <w:ind w:left="1416"/>
        <w:rPr>
          <w:szCs w:val="24"/>
          <w:lang w:eastAsia="en-US"/>
        </w:rPr>
      </w:pPr>
      <w:r w:rsidRPr="00921C9B">
        <w:rPr>
          <w:szCs w:val="24"/>
          <w:lang w:eastAsia="en-US"/>
        </w:rPr>
        <w:t>Биологични елементи</w:t>
      </w:r>
    </w:p>
    <w:p w14:paraId="1E2389C9" w14:textId="77777777" w:rsidR="000D29CC" w:rsidRPr="00921C9B" w:rsidRDefault="000D29CC" w:rsidP="000D29CC">
      <w:pPr>
        <w:spacing w:before="120" w:after="120" w:line="360" w:lineRule="auto"/>
        <w:ind w:left="1416"/>
        <w:rPr>
          <w:szCs w:val="24"/>
          <w:lang w:eastAsia="en-US"/>
        </w:rPr>
      </w:pPr>
      <w:r w:rsidRPr="00921C9B">
        <w:rPr>
          <w:szCs w:val="24"/>
          <w:lang w:eastAsia="en-US"/>
        </w:rPr>
        <w:t>Състав, изобилие и биомаса на фитопланктона</w:t>
      </w:r>
    </w:p>
    <w:p w14:paraId="54699EEA" w14:textId="77777777" w:rsidR="000D29CC" w:rsidRPr="00921C9B" w:rsidRDefault="000D29CC" w:rsidP="000D29CC">
      <w:pPr>
        <w:spacing w:before="120" w:after="120" w:line="360" w:lineRule="auto"/>
        <w:ind w:left="1416"/>
        <w:rPr>
          <w:szCs w:val="24"/>
          <w:lang w:eastAsia="en-US"/>
        </w:rPr>
      </w:pPr>
      <w:r w:rsidRPr="00921C9B">
        <w:rPr>
          <w:szCs w:val="24"/>
          <w:lang w:eastAsia="en-US"/>
        </w:rPr>
        <w:t>Състав и изобилие на друга водна флора</w:t>
      </w:r>
    </w:p>
    <w:p w14:paraId="73024801" w14:textId="77777777" w:rsidR="000D29CC" w:rsidRPr="00921C9B" w:rsidRDefault="000D29CC" w:rsidP="000D29CC">
      <w:pPr>
        <w:spacing w:before="120" w:after="120" w:line="360" w:lineRule="auto"/>
        <w:ind w:left="1416"/>
        <w:rPr>
          <w:szCs w:val="24"/>
          <w:lang w:eastAsia="en-US"/>
        </w:rPr>
      </w:pPr>
      <w:r w:rsidRPr="00921C9B">
        <w:rPr>
          <w:szCs w:val="24"/>
          <w:lang w:eastAsia="en-US"/>
        </w:rPr>
        <w:t>Състав и изобилие на бентосна безгръбначна фауна</w:t>
      </w:r>
    </w:p>
    <w:p w14:paraId="399135C4" w14:textId="77777777" w:rsidR="000D29CC" w:rsidRPr="00921C9B" w:rsidRDefault="000D29CC" w:rsidP="000D29CC">
      <w:pPr>
        <w:spacing w:before="120" w:after="120" w:line="360" w:lineRule="auto"/>
        <w:ind w:left="1416"/>
        <w:rPr>
          <w:szCs w:val="24"/>
          <w:lang w:eastAsia="en-US"/>
        </w:rPr>
      </w:pPr>
      <w:r w:rsidRPr="00921C9B">
        <w:rPr>
          <w:szCs w:val="24"/>
          <w:lang w:eastAsia="en-US"/>
        </w:rPr>
        <w:t>Състав и изобилие на рибната фауна</w:t>
      </w:r>
    </w:p>
    <w:p w14:paraId="0E525A42" w14:textId="77777777" w:rsidR="000B1908" w:rsidRPr="00921C9B" w:rsidRDefault="000B1908">
      <w:pPr>
        <w:widowControl/>
        <w:rPr>
          <w:szCs w:val="24"/>
          <w:lang w:eastAsia="en-US"/>
        </w:rPr>
      </w:pPr>
      <w:r w:rsidRPr="00921C9B">
        <w:rPr>
          <w:szCs w:val="24"/>
          <w:lang w:eastAsia="en-US"/>
        </w:rPr>
        <w:br w:type="page"/>
      </w:r>
    </w:p>
    <w:p w14:paraId="12C86D28" w14:textId="7704CDA6" w:rsidR="000D29CC" w:rsidRPr="00921C9B" w:rsidRDefault="000D29CC" w:rsidP="000D29CC">
      <w:pPr>
        <w:spacing w:before="120" w:after="120" w:line="360" w:lineRule="auto"/>
        <w:ind w:left="1416"/>
        <w:rPr>
          <w:szCs w:val="24"/>
          <w:lang w:eastAsia="en-US"/>
        </w:rPr>
      </w:pPr>
      <w:r w:rsidRPr="00921C9B">
        <w:rPr>
          <w:szCs w:val="24"/>
          <w:lang w:eastAsia="en-US"/>
        </w:rPr>
        <w:lastRenderedPageBreak/>
        <w:t>Хидроморфологични елементи, подпомагащи биологичните елементи</w:t>
      </w:r>
    </w:p>
    <w:p w14:paraId="2E105FEA" w14:textId="77777777" w:rsidR="000D29CC" w:rsidRPr="00921C9B" w:rsidRDefault="000D29CC" w:rsidP="000D29CC">
      <w:pPr>
        <w:spacing w:before="120" w:after="120" w:line="360" w:lineRule="auto"/>
        <w:ind w:left="850"/>
        <w:rPr>
          <w:szCs w:val="24"/>
          <w:lang w:eastAsia="en-US"/>
        </w:rPr>
      </w:pPr>
      <w:r w:rsidRPr="00921C9B">
        <w:rPr>
          <w:szCs w:val="24"/>
          <w:lang w:eastAsia="en-US"/>
        </w:rPr>
        <w:t>Морфологични условия</w:t>
      </w:r>
    </w:p>
    <w:p w14:paraId="453C5951" w14:textId="77777777" w:rsidR="000D29CC" w:rsidRPr="00921C9B" w:rsidRDefault="000D29CC" w:rsidP="000D29CC">
      <w:pPr>
        <w:spacing w:before="120" w:after="120" w:line="360" w:lineRule="auto"/>
        <w:ind w:left="1416"/>
        <w:rPr>
          <w:szCs w:val="24"/>
          <w:lang w:eastAsia="en-US"/>
        </w:rPr>
      </w:pPr>
      <w:r w:rsidRPr="00921C9B">
        <w:rPr>
          <w:szCs w:val="24"/>
          <w:lang w:eastAsia="en-US"/>
        </w:rPr>
        <w:t>разлики в дълбочината</w:t>
      </w:r>
    </w:p>
    <w:p w14:paraId="373B52F1" w14:textId="77777777" w:rsidR="000D29CC" w:rsidRPr="00921C9B" w:rsidRDefault="000D29CC" w:rsidP="000D29CC">
      <w:pPr>
        <w:spacing w:before="120" w:after="120" w:line="360" w:lineRule="auto"/>
        <w:ind w:left="1416"/>
        <w:rPr>
          <w:szCs w:val="24"/>
          <w:lang w:eastAsia="en-US"/>
        </w:rPr>
      </w:pPr>
      <w:r w:rsidRPr="00921C9B">
        <w:rPr>
          <w:szCs w:val="24"/>
          <w:lang w:eastAsia="en-US"/>
        </w:rPr>
        <w:t>количество, структура и субстрати на леглото</w:t>
      </w:r>
    </w:p>
    <w:p w14:paraId="79E9AB35" w14:textId="77777777" w:rsidR="000D29CC" w:rsidRPr="00921C9B" w:rsidRDefault="000D29CC" w:rsidP="000D29CC">
      <w:pPr>
        <w:spacing w:before="120" w:after="120" w:line="360" w:lineRule="auto"/>
        <w:ind w:left="1416"/>
        <w:rPr>
          <w:szCs w:val="24"/>
          <w:lang w:eastAsia="en-US"/>
        </w:rPr>
      </w:pPr>
      <w:r w:rsidRPr="00921C9B">
        <w:rPr>
          <w:szCs w:val="24"/>
          <w:lang w:eastAsia="en-US"/>
        </w:rPr>
        <w:t>структура на заливаемата зона</w:t>
      </w:r>
    </w:p>
    <w:p w14:paraId="145A1149" w14:textId="77777777" w:rsidR="000D29CC" w:rsidRPr="00921C9B" w:rsidRDefault="000D29CC" w:rsidP="000D29CC">
      <w:pPr>
        <w:spacing w:before="120" w:after="120" w:line="360" w:lineRule="auto"/>
        <w:ind w:left="850"/>
        <w:rPr>
          <w:szCs w:val="24"/>
          <w:lang w:eastAsia="en-US"/>
        </w:rPr>
      </w:pPr>
      <w:r w:rsidRPr="00921C9B">
        <w:rPr>
          <w:szCs w:val="24"/>
          <w:lang w:eastAsia="en-US"/>
        </w:rPr>
        <w:t>Режим на заливаемост</w:t>
      </w:r>
    </w:p>
    <w:p w14:paraId="5E55C8E7" w14:textId="77777777" w:rsidR="000D29CC" w:rsidRPr="00921C9B" w:rsidRDefault="000D29CC" w:rsidP="000D29CC">
      <w:pPr>
        <w:spacing w:before="120" w:after="120" w:line="360" w:lineRule="auto"/>
        <w:ind w:left="1416"/>
        <w:rPr>
          <w:szCs w:val="24"/>
          <w:lang w:eastAsia="en-US"/>
        </w:rPr>
      </w:pPr>
      <w:r w:rsidRPr="00921C9B">
        <w:rPr>
          <w:szCs w:val="24"/>
          <w:lang w:eastAsia="en-US"/>
        </w:rPr>
        <w:t>поток на пресните води</w:t>
      </w:r>
    </w:p>
    <w:p w14:paraId="1C092647" w14:textId="77777777" w:rsidR="000D29CC" w:rsidRPr="00921C9B" w:rsidRDefault="000D29CC" w:rsidP="000D29CC">
      <w:pPr>
        <w:spacing w:before="120" w:after="120" w:line="360" w:lineRule="auto"/>
        <w:ind w:left="1416"/>
        <w:rPr>
          <w:szCs w:val="24"/>
          <w:lang w:eastAsia="en-US"/>
        </w:rPr>
      </w:pPr>
      <w:r w:rsidRPr="00921C9B">
        <w:rPr>
          <w:szCs w:val="24"/>
          <w:lang w:eastAsia="en-US"/>
        </w:rPr>
        <w:t>въздействие на вълните</w:t>
      </w:r>
    </w:p>
    <w:p w14:paraId="260E3BE6" w14:textId="77777777" w:rsidR="000D29CC" w:rsidRPr="00921C9B" w:rsidRDefault="000D29CC" w:rsidP="000D29CC">
      <w:pPr>
        <w:spacing w:before="120" w:after="120" w:line="360" w:lineRule="auto"/>
        <w:ind w:left="1416"/>
        <w:rPr>
          <w:szCs w:val="24"/>
          <w:lang w:eastAsia="en-US"/>
        </w:rPr>
      </w:pPr>
      <w:r w:rsidRPr="00921C9B">
        <w:rPr>
          <w:szCs w:val="24"/>
          <w:lang w:eastAsia="en-US"/>
        </w:rPr>
        <w:t>Общи физикохимични елементи, подпомагащи биологичните елементи</w:t>
      </w:r>
    </w:p>
    <w:p w14:paraId="0B1CB2AF" w14:textId="77777777" w:rsidR="000D29CC" w:rsidRPr="00921C9B" w:rsidRDefault="000D29CC" w:rsidP="000D29CC">
      <w:pPr>
        <w:spacing w:before="120" w:after="120" w:line="360" w:lineRule="auto"/>
        <w:ind w:left="1416"/>
        <w:rPr>
          <w:szCs w:val="24"/>
          <w:lang w:eastAsia="en-US"/>
        </w:rPr>
      </w:pPr>
      <w:r w:rsidRPr="00921C9B">
        <w:rPr>
          <w:szCs w:val="24"/>
          <w:lang w:eastAsia="en-US"/>
        </w:rPr>
        <w:t>Прозрачност</w:t>
      </w:r>
    </w:p>
    <w:p w14:paraId="66FFAC07" w14:textId="77777777" w:rsidR="000D29CC" w:rsidRPr="00921C9B" w:rsidRDefault="000D29CC" w:rsidP="000D29CC">
      <w:pPr>
        <w:spacing w:before="120" w:after="120" w:line="360" w:lineRule="auto"/>
        <w:ind w:left="1416"/>
        <w:rPr>
          <w:szCs w:val="24"/>
          <w:lang w:eastAsia="en-US"/>
        </w:rPr>
      </w:pPr>
      <w:r w:rsidRPr="00921C9B">
        <w:rPr>
          <w:szCs w:val="24"/>
          <w:lang w:eastAsia="en-US"/>
        </w:rPr>
        <w:t>Температурни условия</w:t>
      </w:r>
    </w:p>
    <w:p w14:paraId="79777B2E" w14:textId="77777777" w:rsidR="000D29CC" w:rsidRPr="00921C9B" w:rsidRDefault="000D29CC" w:rsidP="000D29CC">
      <w:pPr>
        <w:spacing w:before="120" w:after="120" w:line="360" w:lineRule="auto"/>
        <w:ind w:left="1416"/>
        <w:rPr>
          <w:szCs w:val="24"/>
          <w:lang w:eastAsia="en-US"/>
        </w:rPr>
      </w:pPr>
      <w:r w:rsidRPr="00921C9B">
        <w:rPr>
          <w:szCs w:val="24"/>
          <w:lang w:eastAsia="en-US"/>
        </w:rPr>
        <w:t>Условия на окисляемост</w:t>
      </w:r>
    </w:p>
    <w:p w14:paraId="0152D0BA" w14:textId="77777777" w:rsidR="000B1908" w:rsidRPr="00921C9B" w:rsidRDefault="000B1908">
      <w:pPr>
        <w:widowControl/>
        <w:rPr>
          <w:szCs w:val="24"/>
          <w:lang w:eastAsia="en-US"/>
        </w:rPr>
      </w:pPr>
      <w:r w:rsidRPr="00921C9B">
        <w:rPr>
          <w:szCs w:val="24"/>
          <w:lang w:eastAsia="en-US"/>
        </w:rPr>
        <w:br w:type="page"/>
      </w:r>
    </w:p>
    <w:p w14:paraId="77BD9077" w14:textId="085D60AF" w:rsidR="000D29CC" w:rsidRPr="00921C9B" w:rsidRDefault="000D29CC" w:rsidP="000D29CC">
      <w:pPr>
        <w:spacing w:before="120" w:after="120" w:line="360" w:lineRule="auto"/>
        <w:ind w:left="1416"/>
        <w:rPr>
          <w:szCs w:val="24"/>
          <w:lang w:eastAsia="en-US"/>
        </w:rPr>
      </w:pPr>
      <w:r w:rsidRPr="00921C9B">
        <w:rPr>
          <w:szCs w:val="24"/>
          <w:lang w:eastAsia="en-US"/>
        </w:rPr>
        <w:lastRenderedPageBreak/>
        <w:t>Соленост</w:t>
      </w:r>
    </w:p>
    <w:p w14:paraId="3E5C0FB4" w14:textId="77777777" w:rsidR="000D29CC" w:rsidRPr="00921C9B" w:rsidRDefault="000D29CC" w:rsidP="000D29CC">
      <w:pPr>
        <w:spacing w:before="120" w:after="120" w:line="360" w:lineRule="auto"/>
        <w:ind w:left="1416"/>
        <w:rPr>
          <w:szCs w:val="24"/>
          <w:lang w:eastAsia="en-US"/>
        </w:rPr>
      </w:pPr>
      <w:r w:rsidRPr="00921C9B">
        <w:rPr>
          <w:szCs w:val="24"/>
          <w:lang w:eastAsia="en-US"/>
        </w:rPr>
        <w:t>Хранителни условия</w:t>
      </w:r>
    </w:p>
    <w:p w14:paraId="6CD34A93"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1.1.4.</w:t>
      </w:r>
      <w:r w:rsidRPr="00921C9B">
        <w:rPr>
          <w:szCs w:val="24"/>
          <w:lang w:eastAsia="en-US"/>
        </w:rPr>
        <w:tab/>
        <w:t xml:space="preserve"> Крайбрежни води</w:t>
      </w:r>
    </w:p>
    <w:p w14:paraId="00E0CF9C" w14:textId="77777777" w:rsidR="000D29CC" w:rsidRPr="00921C9B" w:rsidRDefault="000D29CC" w:rsidP="000D29CC">
      <w:pPr>
        <w:spacing w:before="120" w:after="120" w:line="360" w:lineRule="auto"/>
        <w:ind w:left="1416"/>
        <w:rPr>
          <w:szCs w:val="24"/>
          <w:lang w:eastAsia="en-US"/>
        </w:rPr>
      </w:pPr>
      <w:r w:rsidRPr="00921C9B">
        <w:rPr>
          <w:szCs w:val="24"/>
          <w:lang w:eastAsia="en-US"/>
        </w:rPr>
        <w:t>Биологични елементи</w:t>
      </w:r>
    </w:p>
    <w:p w14:paraId="4B893DDB" w14:textId="77777777" w:rsidR="000D29CC" w:rsidRPr="00921C9B" w:rsidRDefault="000D29CC" w:rsidP="000D29CC">
      <w:pPr>
        <w:spacing w:before="120" w:after="120" w:line="360" w:lineRule="auto"/>
        <w:ind w:left="1416"/>
        <w:rPr>
          <w:szCs w:val="24"/>
          <w:lang w:eastAsia="en-US"/>
        </w:rPr>
      </w:pPr>
      <w:r w:rsidRPr="00921C9B">
        <w:rPr>
          <w:szCs w:val="24"/>
          <w:lang w:eastAsia="en-US"/>
        </w:rPr>
        <w:t>Състав, изобилие и биомаса на фитопланктона</w:t>
      </w:r>
    </w:p>
    <w:p w14:paraId="6B16DE83" w14:textId="77777777" w:rsidR="000D29CC" w:rsidRPr="00921C9B" w:rsidRDefault="000D29CC" w:rsidP="000D29CC">
      <w:pPr>
        <w:spacing w:before="120" w:after="120" w:line="360" w:lineRule="auto"/>
        <w:ind w:left="1416"/>
        <w:rPr>
          <w:szCs w:val="24"/>
          <w:lang w:eastAsia="en-US"/>
        </w:rPr>
      </w:pPr>
      <w:r w:rsidRPr="00921C9B">
        <w:rPr>
          <w:szCs w:val="24"/>
          <w:lang w:eastAsia="en-US"/>
        </w:rPr>
        <w:t>Състав и изобилие на друга водна флора</w:t>
      </w:r>
    </w:p>
    <w:p w14:paraId="676338BB" w14:textId="77777777" w:rsidR="000D29CC" w:rsidRPr="00921C9B" w:rsidRDefault="000D29CC" w:rsidP="000D29CC">
      <w:pPr>
        <w:spacing w:before="120" w:after="120" w:line="360" w:lineRule="auto"/>
        <w:ind w:left="1416"/>
        <w:rPr>
          <w:szCs w:val="24"/>
          <w:lang w:eastAsia="en-US"/>
        </w:rPr>
      </w:pPr>
      <w:r w:rsidRPr="00921C9B">
        <w:rPr>
          <w:szCs w:val="24"/>
          <w:lang w:eastAsia="en-US"/>
        </w:rPr>
        <w:t>Състав и изобилие на бентосна безгръбначна фауна</w:t>
      </w:r>
    </w:p>
    <w:p w14:paraId="6484428F" w14:textId="77777777" w:rsidR="000D29CC" w:rsidRPr="00921C9B" w:rsidRDefault="000D29CC" w:rsidP="000D29CC">
      <w:pPr>
        <w:spacing w:before="120" w:after="120" w:line="360" w:lineRule="auto"/>
        <w:ind w:left="1416"/>
        <w:rPr>
          <w:szCs w:val="24"/>
          <w:lang w:eastAsia="en-US"/>
        </w:rPr>
      </w:pPr>
      <w:r w:rsidRPr="00921C9B">
        <w:rPr>
          <w:szCs w:val="24"/>
          <w:lang w:eastAsia="en-US"/>
        </w:rPr>
        <w:t>Хидроморфологични елементи, подпомагащи биологичните елементи</w:t>
      </w:r>
    </w:p>
    <w:p w14:paraId="40FA65FB" w14:textId="77777777" w:rsidR="000D29CC" w:rsidRPr="00921C9B" w:rsidRDefault="000D29CC" w:rsidP="000D29CC">
      <w:pPr>
        <w:spacing w:before="120" w:after="120" w:line="360" w:lineRule="auto"/>
        <w:ind w:left="850"/>
        <w:rPr>
          <w:szCs w:val="24"/>
          <w:lang w:eastAsia="en-US"/>
        </w:rPr>
      </w:pPr>
      <w:r w:rsidRPr="00921C9B">
        <w:rPr>
          <w:szCs w:val="24"/>
          <w:lang w:eastAsia="en-US"/>
        </w:rPr>
        <w:t>Морфологични условия</w:t>
      </w:r>
    </w:p>
    <w:p w14:paraId="61271597" w14:textId="77777777" w:rsidR="000D29CC" w:rsidRPr="00921C9B" w:rsidRDefault="000D29CC" w:rsidP="000D29CC">
      <w:pPr>
        <w:spacing w:before="120" w:after="120" w:line="360" w:lineRule="auto"/>
        <w:ind w:left="1416"/>
        <w:rPr>
          <w:szCs w:val="24"/>
          <w:lang w:eastAsia="en-US"/>
        </w:rPr>
      </w:pPr>
      <w:r w:rsidRPr="00921C9B">
        <w:rPr>
          <w:szCs w:val="24"/>
          <w:lang w:eastAsia="en-US"/>
        </w:rPr>
        <w:t>разлики в дълбочината</w:t>
      </w:r>
    </w:p>
    <w:p w14:paraId="33741FAB" w14:textId="77777777" w:rsidR="000D29CC" w:rsidRPr="00921C9B" w:rsidRDefault="000D29CC" w:rsidP="000D29CC">
      <w:pPr>
        <w:spacing w:before="120" w:after="120" w:line="360" w:lineRule="auto"/>
        <w:ind w:left="1416"/>
        <w:rPr>
          <w:szCs w:val="24"/>
          <w:lang w:eastAsia="en-US"/>
        </w:rPr>
      </w:pPr>
      <w:r w:rsidRPr="00921C9B">
        <w:rPr>
          <w:szCs w:val="24"/>
          <w:lang w:eastAsia="en-US"/>
        </w:rPr>
        <w:t>Структура и субстрати на крайбрежното легло</w:t>
      </w:r>
    </w:p>
    <w:p w14:paraId="08EFA67C" w14:textId="77777777" w:rsidR="000D29CC" w:rsidRPr="00921C9B" w:rsidRDefault="000D29CC" w:rsidP="000D29CC">
      <w:pPr>
        <w:spacing w:before="120" w:after="120" w:line="360" w:lineRule="auto"/>
        <w:ind w:left="1416"/>
        <w:rPr>
          <w:szCs w:val="24"/>
          <w:lang w:eastAsia="en-US"/>
        </w:rPr>
      </w:pPr>
      <w:r w:rsidRPr="00921C9B">
        <w:rPr>
          <w:szCs w:val="24"/>
          <w:lang w:eastAsia="en-US"/>
        </w:rPr>
        <w:t>структура на заливаемата зона</w:t>
      </w:r>
    </w:p>
    <w:p w14:paraId="5A6769B9" w14:textId="77777777" w:rsidR="000B1908" w:rsidRPr="00921C9B" w:rsidRDefault="000B1908">
      <w:pPr>
        <w:widowControl/>
        <w:rPr>
          <w:szCs w:val="24"/>
          <w:lang w:eastAsia="en-US"/>
        </w:rPr>
      </w:pPr>
      <w:r w:rsidRPr="00921C9B">
        <w:rPr>
          <w:szCs w:val="24"/>
          <w:lang w:eastAsia="en-US"/>
        </w:rPr>
        <w:br w:type="page"/>
      </w:r>
    </w:p>
    <w:p w14:paraId="6CD2A1D6" w14:textId="611E170E" w:rsidR="000D29CC" w:rsidRPr="00921C9B" w:rsidRDefault="000D29CC" w:rsidP="000D29CC">
      <w:pPr>
        <w:spacing w:before="120" w:after="120" w:line="360" w:lineRule="auto"/>
        <w:ind w:left="850"/>
        <w:rPr>
          <w:szCs w:val="24"/>
          <w:lang w:eastAsia="en-US"/>
        </w:rPr>
      </w:pPr>
      <w:r w:rsidRPr="00921C9B">
        <w:rPr>
          <w:szCs w:val="24"/>
          <w:lang w:eastAsia="en-US"/>
        </w:rPr>
        <w:lastRenderedPageBreak/>
        <w:t>Режим на заливаемост</w:t>
      </w:r>
    </w:p>
    <w:p w14:paraId="679770D2" w14:textId="77777777" w:rsidR="000D29CC" w:rsidRPr="00921C9B" w:rsidRDefault="000D29CC" w:rsidP="000D29CC">
      <w:pPr>
        <w:spacing w:before="120" w:after="120" w:line="360" w:lineRule="auto"/>
        <w:ind w:left="1416"/>
        <w:rPr>
          <w:szCs w:val="24"/>
          <w:lang w:eastAsia="en-US"/>
        </w:rPr>
      </w:pPr>
      <w:r w:rsidRPr="00921C9B">
        <w:rPr>
          <w:szCs w:val="24"/>
          <w:lang w:eastAsia="en-US"/>
        </w:rPr>
        <w:t>посока на доминантните потоци</w:t>
      </w:r>
    </w:p>
    <w:p w14:paraId="37D01FA7" w14:textId="77777777" w:rsidR="000D29CC" w:rsidRPr="00921C9B" w:rsidRDefault="000D29CC" w:rsidP="000D29CC">
      <w:pPr>
        <w:spacing w:before="120" w:after="120" w:line="360" w:lineRule="auto"/>
        <w:ind w:left="1416"/>
        <w:rPr>
          <w:szCs w:val="24"/>
          <w:lang w:eastAsia="en-US"/>
        </w:rPr>
      </w:pPr>
      <w:r w:rsidRPr="00921C9B">
        <w:rPr>
          <w:szCs w:val="24"/>
          <w:lang w:eastAsia="en-US"/>
        </w:rPr>
        <w:t>въздействие на вълните</w:t>
      </w:r>
    </w:p>
    <w:p w14:paraId="465B0AB5" w14:textId="77777777" w:rsidR="000D29CC" w:rsidRPr="00921C9B" w:rsidRDefault="000D29CC" w:rsidP="000D29CC">
      <w:pPr>
        <w:spacing w:before="120" w:after="120" w:line="360" w:lineRule="auto"/>
        <w:ind w:left="1416"/>
        <w:rPr>
          <w:szCs w:val="24"/>
          <w:lang w:eastAsia="en-US"/>
        </w:rPr>
      </w:pPr>
      <w:r w:rsidRPr="00921C9B">
        <w:rPr>
          <w:szCs w:val="24"/>
          <w:lang w:eastAsia="en-US"/>
        </w:rPr>
        <w:t>Общи физикохимични елементи, подпомагащи биологичните елементи</w:t>
      </w:r>
    </w:p>
    <w:p w14:paraId="2DB68EB5" w14:textId="77777777" w:rsidR="000D29CC" w:rsidRPr="00921C9B" w:rsidRDefault="000D29CC" w:rsidP="000D29CC">
      <w:pPr>
        <w:spacing w:before="120" w:after="120" w:line="360" w:lineRule="auto"/>
        <w:ind w:left="1416"/>
        <w:rPr>
          <w:szCs w:val="24"/>
          <w:lang w:eastAsia="en-US"/>
        </w:rPr>
      </w:pPr>
      <w:r w:rsidRPr="00921C9B">
        <w:rPr>
          <w:szCs w:val="24"/>
          <w:lang w:eastAsia="en-US"/>
        </w:rPr>
        <w:t>Прозрачност</w:t>
      </w:r>
    </w:p>
    <w:p w14:paraId="4F8D7E22" w14:textId="77777777" w:rsidR="000D29CC" w:rsidRPr="00921C9B" w:rsidRDefault="000D29CC" w:rsidP="000D29CC">
      <w:pPr>
        <w:spacing w:before="120" w:after="120" w:line="360" w:lineRule="auto"/>
        <w:ind w:left="1416"/>
        <w:rPr>
          <w:szCs w:val="24"/>
          <w:lang w:eastAsia="en-US"/>
        </w:rPr>
      </w:pPr>
      <w:r w:rsidRPr="00921C9B">
        <w:rPr>
          <w:szCs w:val="24"/>
          <w:lang w:eastAsia="en-US"/>
        </w:rPr>
        <w:t>Температурни условия</w:t>
      </w:r>
    </w:p>
    <w:p w14:paraId="022CCA07" w14:textId="77777777" w:rsidR="000D29CC" w:rsidRPr="00921C9B" w:rsidRDefault="000D29CC" w:rsidP="000D29CC">
      <w:pPr>
        <w:spacing w:before="120" w:after="120" w:line="360" w:lineRule="auto"/>
        <w:ind w:left="1416"/>
        <w:rPr>
          <w:szCs w:val="24"/>
          <w:lang w:eastAsia="en-US"/>
        </w:rPr>
      </w:pPr>
      <w:r w:rsidRPr="00921C9B">
        <w:rPr>
          <w:szCs w:val="24"/>
          <w:lang w:eastAsia="en-US"/>
        </w:rPr>
        <w:t>Условия на окисляемост</w:t>
      </w:r>
    </w:p>
    <w:p w14:paraId="0B4F22B2" w14:textId="77777777" w:rsidR="000D29CC" w:rsidRPr="00921C9B" w:rsidRDefault="000D29CC" w:rsidP="000D29CC">
      <w:pPr>
        <w:spacing w:before="120" w:after="120" w:line="360" w:lineRule="auto"/>
        <w:ind w:left="1416"/>
        <w:rPr>
          <w:szCs w:val="24"/>
          <w:lang w:eastAsia="en-US"/>
        </w:rPr>
      </w:pPr>
      <w:r w:rsidRPr="00921C9B">
        <w:rPr>
          <w:szCs w:val="24"/>
          <w:lang w:eastAsia="en-US"/>
        </w:rPr>
        <w:t>Соленост</w:t>
      </w:r>
    </w:p>
    <w:p w14:paraId="75F2CA53" w14:textId="77777777" w:rsidR="000D29CC" w:rsidRPr="00921C9B" w:rsidRDefault="000D29CC" w:rsidP="000D29CC">
      <w:pPr>
        <w:spacing w:before="120" w:after="120" w:line="360" w:lineRule="auto"/>
        <w:ind w:left="1416"/>
        <w:rPr>
          <w:szCs w:val="24"/>
          <w:lang w:eastAsia="en-US"/>
        </w:rPr>
      </w:pPr>
      <w:r w:rsidRPr="00921C9B">
        <w:rPr>
          <w:szCs w:val="24"/>
          <w:lang w:eastAsia="en-US"/>
        </w:rPr>
        <w:t>Хранителни условия.;“</w:t>
      </w:r>
    </w:p>
    <w:p w14:paraId="7E48C3CE"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(2)</w:t>
      </w:r>
      <w:r w:rsidRPr="00921C9B">
        <w:rPr>
          <w:szCs w:val="24"/>
          <w:lang w:eastAsia="en-US"/>
        </w:rPr>
        <w:tab/>
        <w:t>в точка 1.2.1 таблицата „Физикохимични качествени елементи“ се заменя със следното:</w:t>
      </w:r>
    </w:p>
    <w:p w14:paraId="488CBBE2" w14:textId="55176DBA" w:rsidR="000B1908" w:rsidRPr="00921C9B" w:rsidRDefault="000D29CC" w:rsidP="000D29CC">
      <w:pPr>
        <w:spacing w:before="120" w:after="120" w:line="360" w:lineRule="auto"/>
        <w:ind w:left="850"/>
        <w:rPr>
          <w:szCs w:val="24"/>
          <w:lang w:eastAsia="en-US"/>
        </w:rPr>
      </w:pPr>
      <w:r w:rsidRPr="00921C9B">
        <w:rPr>
          <w:szCs w:val="24"/>
          <w:lang w:eastAsia="en-US"/>
        </w:rPr>
        <w:t>„Общи физикохимични качествени елементи</w:t>
      </w:r>
    </w:p>
    <w:p w14:paraId="7ED9551A" w14:textId="77777777" w:rsidR="000B1908" w:rsidRPr="00921C9B" w:rsidRDefault="000B1908">
      <w:pPr>
        <w:widowControl/>
        <w:rPr>
          <w:szCs w:val="24"/>
          <w:lang w:eastAsia="en-US"/>
        </w:rPr>
      </w:pPr>
      <w:r w:rsidRPr="00921C9B">
        <w:rPr>
          <w:szCs w:val="24"/>
          <w:lang w:eastAsia="en-US"/>
        </w:rPr>
        <w:br w:type="page"/>
      </w:r>
    </w:p>
    <w:p w14:paraId="2C0EF69B" w14:textId="77777777" w:rsidR="000D29CC" w:rsidRPr="00921C9B" w:rsidRDefault="000D29CC" w:rsidP="000D29CC">
      <w:pPr>
        <w:spacing w:before="120" w:after="120" w:line="360" w:lineRule="auto"/>
        <w:ind w:left="850"/>
        <w:rPr>
          <w:szCs w:val="24"/>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50"/>
        <w:gridCol w:w="2536"/>
        <w:gridCol w:w="2796"/>
        <w:gridCol w:w="2183"/>
      </w:tblGrid>
      <w:tr w:rsidR="000D29CC" w:rsidRPr="00921C9B" w14:paraId="37E50E56" w14:textId="77777777" w:rsidTr="004C279A">
        <w:trPr>
          <w:tblHeader/>
        </w:trPr>
        <w:tc>
          <w:tcPr>
            <w:tcW w:w="0" w:type="auto"/>
          </w:tcPr>
          <w:p w14:paraId="5A10A54A" w14:textId="77777777" w:rsidR="000D29CC" w:rsidRPr="00921C9B" w:rsidRDefault="000D29CC" w:rsidP="000D29CC">
            <w:pPr>
              <w:spacing w:before="120" w:after="120" w:line="360" w:lineRule="auto"/>
              <w:rPr>
                <w:szCs w:val="24"/>
                <w:lang w:eastAsia="en-US"/>
              </w:rPr>
            </w:pPr>
            <w:r w:rsidRPr="00921C9B">
              <w:rPr>
                <w:szCs w:val="24"/>
                <w:lang w:eastAsia="en-US"/>
              </w:rPr>
              <w:t>Елемент</w:t>
            </w:r>
          </w:p>
        </w:tc>
        <w:tc>
          <w:tcPr>
            <w:tcW w:w="0" w:type="auto"/>
          </w:tcPr>
          <w:p w14:paraId="4BA20011" w14:textId="77777777" w:rsidR="000D29CC" w:rsidRPr="00921C9B" w:rsidRDefault="000D29CC" w:rsidP="000D29CC">
            <w:pPr>
              <w:spacing w:before="120" w:after="120" w:line="360" w:lineRule="auto"/>
              <w:rPr>
                <w:szCs w:val="24"/>
                <w:lang w:eastAsia="en-US"/>
              </w:rPr>
            </w:pPr>
            <w:r w:rsidRPr="00921C9B">
              <w:rPr>
                <w:szCs w:val="24"/>
                <w:lang w:eastAsia="en-US"/>
              </w:rPr>
              <w:t>Отлично състояние</w:t>
            </w:r>
          </w:p>
        </w:tc>
        <w:tc>
          <w:tcPr>
            <w:tcW w:w="0" w:type="auto"/>
          </w:tcPr>
          <w:p w14:paraId="20E97381" w14:textId="77777777" w:rsidR="000D29CC" w:rsidRPr="00921C9B" w:rsidRDefault="000D29CC" w:rsidP="000D29CC">
            <w:pPr>
              <w:spacing w:before="120" w:after="120" w:line="360" w:lineRule="auto"/>
              <w:rPr>
                <w:szCs w:val="24"/>
                <w:lang w:eastAsia="en-US"/>
              </w:rPr>
            </w:pPr>
            <w:r w:rsidRPr="00921C9B">
              <w:rPr>
                <w:szCs w:val="24"/>
                <w:lang w:eastAsia="en-US"/>
              </w:rPr>
              <w:t>Добро състояние</w:t>
            </w:r>
          </w:p>
        </w:tc>
        <w:tc>
          <w:tcPr>
            <w:tcW w:w="0" w:type="auto"/>
          </w:tcPr>
          <w:p w14:paraId="3700E1D9" w14:textId="77777777" w:rsidR="000D29CC" w:rsidRPr="00921C9B" w:rsidRDefault="000D29CC" w:rsidP="000D29CC">
            <w:pPr>
              <w:spacing w:before="120" w:after="120" w:line="360" w:lineRule="auto"/>
              <w:rPr>
                <w:szCs w:val="24"/>
                <w:lang w:eastAsia="en-US"/>
              </w:rPr>
            </w:pPr>
            <w:r w:rsidRPr="00921C9B">
              <w:rPr>
                <w:szCs w:val="24"/>
                <w:lang w:eastAsia="en-US"/>
              </w:rPr>
              <w:t>Средно състояние</w:t>
            </w:r>
          </w:p>
        </w:tc>
      </w:tr>
      <w:tr w:rsidR="000D29CC" w:rsidRPr="00921C9B" w14:paraId="00965DF9" w14:textId="77777777" w:rsidTr="004C279A">
        <w:tc>
          <w:tcPr>
            <w:tcW w:w="0" w:type="auto"/>
          </w:tcPr>
          <w:p w14:paraId="6963BE2D" w14:textId="77777777" w:rsidR="000D29CC" w:rsidRPr="00921C9B" w:rsidRDefault="000D29CC" w:rsidP="000D29CC">
            <w:pPr>
              <w:spacing w:before="120" w:after="120" w:line="360" w:lineRule="auto"/>
              <w:rPr>
                <w:szCs w:val="24"/>
                <w:lang w:eastAsia="en-US"/>
              </w:rPr>
            </w:pPr>
            <w:r w:rsidRPr="00921C9B">
              <w:rPr>
                <w:szCs w:val="24"/>
                <w:lang w:eastAsia="en-US"/>
              </w:rPr>
              <w:t>Общи условия</w:t>
            </w:r>
          </w:p>
        </w:tc>
        <w:tc>
          <w:tcPr>
            <w:tcW w:w="0" w:type="auto"/>
          </w:tcPr>
          <w:p w14:paraId="3283A262" w14:textId="77777777" w:rsidR="000D29CC" w:rsidRPr="00921C9B" w:rsidRDefault="000D29CC" w:rsidP="000D29CC">
            <w:pPr>
              <w:spacing w:before="120" w:after="120" w:line="360" w:lineRule="auto"/>
              <w:rPr>
                <w:szCs w:val="24"/>
                <w:lang w:eastAsia="en-US"/>
              </w:rPr>
            </w:pPr>
            <w:r w:rsidRPr="00921C9B">
              <w:rPr>
                <w:szCs w:val="24"/>
                <w:lang w:eastAsia="en-US"/>
              </w:rPr>
              <w:t xml:space="preserve">Стойностите на общите физикохимични елементи отговарят напълно или почти напълно на непроменените условия. Хранителните концентрации остават в рамките на нормално свързваните с непроменените условия Нивата на соленост, pH, кислороден баланс, киселинно неутрализиращ капацитет и температурата не показват знаци за антропогенно нарушение и остават в рамките, свързвани нормално с </w:t>
            </w:r>
            <w:r w:rsidRPr="00921C9B">
              <w:rPr>
                <w:szCs w:val="24"/>
                <w:lang w:eastAsia="en-US"/>
              </w:rPr>
              <w:lastRenderedPageBreak/>
              <w:t>непроменените условия.</w:t>
            </w:r>
          </w:p>
        </w:tc>
        <w:tc>
          <w:tcPr>
            <w:tcW w:w="0" w:type="auto"/>
          </w:tcPr>
          <w:p w14:paraId="7EF961DD" w14:textId="77777777" w:rsidR="000D29CC" w:rsidRPr="00921C9B" w:rsidRDefault="000D29CC" w:rsidP="000D29CC">
            <w:pPr>
              <w:spacing w:before="120" w:after="120" w:line="360" w:lineRule="auto"/>
              <w:rPr>
                <w:szCs w:val="24"/>
                <w:lang w:eastAsia="en-US"/>
              </w:rPr>
            </w:pPr>
            <w:r w:rsidRPr="00921C9B">
              <w:rPr>
                <w:szCs w:val="24"/>
                <w:lang w:eastAsia="en-US"/>
              </w:rPr>
              <w:lastRenderedPageBreak/>
              <w:t xml:space="preserve">Температурата, кислородният баланс, pH, киселинно неутрализиращият капацитет и солеността не достигат нива извън границите, установени за осигуряване на функционирането на специфичната за типа екосистема и достигането на стойностите, определени по-горе за биологичните качествени елементи. Хранителните концентрации не надвишават нивата, установени за осигуряване на функционирането на екосистемата и достигането на стойностите, определени по-горе </w:t>
            </w:r>
            <w:r w:rsidRPr="00921C9B">
              <w:rPr>
                <w:szCs w:val="24"/>
                <w:lang w:eastAsia="en-US"/>
              </w:rPr>
              <w:lastRenderedPageBreak/>
              <w:t>за биологичните качествени елементи.</w:t>
            </w:r>
          </w:p>
        </w:tc>
        <w:tc>
          <w:tcPr>
            <w:tcW w:w="0" w:type="auto"/>
          </w:tcPr>
          <w:p w14:paraId="402C5A70" w14:textId="77777777" w:rsidR="000D29CC" w:rsidRPr="00921C9B" w:rsidRDefault="000D29CC" w:rsidP="000D29CC">
            <w:pPr>
              <w:spacing w:before="120" w:after="120" w:line="360" w:lineRule="auto"/>
              <w:rPr>
                <w:szCs w:val="24"/>
                <w:lang w:eastAsia="en-US"/>
              </w:rPr>
            </w:pPr>
            <w:r w:rsidRPr="00921C9B">
              <w:rPr>
                <w:szCs w:val="24"/>
                <w:lang w:eastAsia="en-US"/>
              </w:rPr>
              <w:lastRenderedPageBreak/>
              <w:t>Условията са в зависимост от постигането на стойностите, определени по-горе за биологичните качествени елементи.“;</w:t>
            </w:r>
          </w:p>
        </w:tc>
      </w:tr>
    </w:tbl>
    <w:p w14:paraId="239FC06C" w14:textId="4B635D97" w:rsidR="000D29CC" w:rsidRPr="00921C9B" w:rsidRDefault="006D417D" w:rsidP="000D29CC">
      <w:pPr>
        <w:spacing w:before="120" w:after="120" w:line="360" w:lineRule="auto"/>
        <w:ind w:left="850"/>
        <w:rPr>
          <w:szCs w:val="24"/>
          <w:lang w:eastAsia="en-US"/>
        </w:rPr>
      </w:pPr>
      <w:r w:rsidRPr="00921C9B">
        <w:rPr>
          <w:szCs w:val="24"/>
          <w:lang w:eastAsia="en-US"/>
        </w:rPr>
        <w:t>“</w:t>
      </w:r>
    </w:p>
    <w:p w14:paraId="6B8BAA87" w14:textId="77777777" w:rsidR="000B1908" w:rsidRPr="00921C9B" w:rsidRDefault="000B1908">
      <w:pPr>
        <w:widowControl/>
        <w:rPr>
          <w:szCs w:val="24"/>
          <w:lang w:eastAsia="en-US"/>
        </w:rPr>
      </w:pPr>
      <w:r w:rsidRPr="00921C9B">
        <w:rPr>
          <w:szCs w:val="24"/>
          <w:lang w:eastAsia="en-US"/>
        </w:rPr>
        <w:br w:type="page"/>
      </w:r>
    </w:p>
    <w:p w14:paraId="42A5B418" w14:textId="72A2D328"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(3)</w:t>
      </w:r>
      <w:r w:rsidRPr="00921C9B">
        <w:rPr>
          <w:szCs w:val="24"/>
          <w:lang w:eastAsia="en-US"/>
        </w:rPr>
        <w:tab/>
        <w:t>в точка 1.2.2 таблицата „Физикохимични качествени елементи“ се заменя със следното:</w:t>
      </w:r>
    </w:p>
    <w:p w14:paraId="69FADF49" w14:textId="77777777" w:rsidR="000D29CC" w:rsidRPr="00921C9B" w:rsidRDefault="000D29CC" w:rsidP="000D29CC">
      <w:pPr>
        <w:spacing w:before="120" w:after="120" w:line="360" w:lineRule="auto"/>
        <w:ind w:left="850"/>
        <w:rPr>
          <w:szCs w:val="24"/>
          <w:lang w:eastAsia="en-US"/>
        </w:rPr>
      </w:pPr>
      <w:r w:rsidRPr="00921C9B">
        <w:rPr>
          <w:szCs w:val="24"/>
          <w:lang w:eastAsia="en-US"/>
        </w:rPr>
        <w:t>„Общи физикохимични качествени елементи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50"/>
        <w:gridCol w:w="2536"/>
        <w:gridCol w:w="2796"/>
        <w:gridCol w:w="2183"/>
      </w:tblGrid>
      <w:tr w:rsidR="000D29CC" w:rsidRPr="00921C9B" w14:paraId="4390A262" w14:textId="77777777" w:rsidTr="004C279A">
        <w:trPr>
          <w:tblHeader/>
        </w:trPr>
        <w:tc>
          <w:tcPr>
            <w:tcW w:w="0" w:type="auto"/>
          </w:tcPr>
          <w:p w14:paraId="5854DE84" w14:textId="77777777" w:rsidR="000D29CC" w:rsidRPr="00921C9B" w:rsidRDefault="000D29CC" w:rsidP="000D29CC">
            <w:pPr>
              <w:spacing w:before="120" w:after="120" w:line="360" w:lineRule="auto"/>
              <w:rPr>
                <w:szCs w:val="24"/>
                <w:lang w:eastAsia="en-US"/>
              </w:rPr>
            </w:pPr>
            <w:r w:rsidRPr="00921C9B">
              <w:rPr>
                <w:szCs w:val="24"/>
                <w:lang w:eastAsia="en-US"/>
              </w:rPr>
              <w:t>Елемент</w:t>
            </w:r>
          </w:p>
        </w:tc>
        <w:tc>
          <w:tcPr>
            <w:tcW w:w="0" w:type="auto"/>
          </w:tcPr>
          <w:p w14:paraId="4AE9567A" w14:textId="77777777" w:rsidR="000D29CC" w:rsidRPr="00921C9B" w:rsidRDefault="000D29CC" w:rsidP="000D29CC">
            <w:pPr>
              <w:spacing w:before="120" w:after="120" w:line="360" w:lineRule="auto"/>
              <w:rPr>
                <w:szCs w:val="24"/>
                <w:lang w:eastAsia="en-US"/>
              </w:rPr>
            </w:pPr>
            <w:r w:rsidRPr="00921C9B">
              <w:rPr>
                <w:szCs w:val="24"/>
                <w:lang w:eastAsia="en-US"/>
              </w:rPr>
              <w:t>Отлично състояние</w:t>
            </w:r>
          </w:p>
        </w:tc>
        <w:tc>
          <w:tcPr>
            <w:tcW w:w="0" w:type="auto"/>
          </w:tcPr>
          <w:p w14:paraId="74A76F11" w14:textId="77777777" w:rsidR="000D29CC" w:rsidRPr="00921C9B" w:rsidRDefault="000D29CC" w:rsidP="000D29CC">
            <w:pPr>
              <w:spacing w:before="120" w:after="120" w:line="360" w:lineRule="auto"/>
              <w:rPr>
                <w:szCs w:val="24"/>
                <w:lang w:eastAsia="en-US"/>
              </w:rPr>
            </w:pPr>
            <w:r w:rsidRPr="00921C9B">
              <w:rPr>
                <w:szCs w:val="24"/>
                <w:lang w:eastAsia="en-US"/>
              </w:rPr>
              <w:t>Добро състояние</w:t>
            </w:r>
          </w:p>
        </w:tc>
        <w:tc>
          <w:tcPr>
            <w:tcW w:w="0" w:type="auto"/>
          </w:tcPr>
          <w:p w14:paraId="565CDCD4" w14:textId="77777777" w:rsidR="000D29CC" w:rsidRPr="00921C9B" w:rsidRDefault="000D29CC" w:rsidP="000D29CC">
            <w:pPr>
              <w:spacing w:before="120" w:after="120" w:line="360" w:lineRule="auto"/>
              <w:rPr>
                <w:szCs w:val="24"/>
                <w:lang w:eastAsia="en-US"/>
              </w:rPr>
            </w:pPr>
            <w:r w:rsidRPr="00921C9B">
              <w:rPr>
                <w:szCs w:val="24"/>
                <w:lang w:eastAsia="en-US"/>
              </w:rPr>
              <w:t>Средно състояние</w:t>
            </w:r>
          </w:p>
        </w:tc>
      </w:tr>
      <w:tr w:rsidR="000D29CC" w:rsidRPr="00921C9B" w14:paraId="596D665F" w14:textId="77777777" w:rsidTr="004C279A">
        <w:tc>
          <w:tcPr>
            <w:tcW w:w="0" w:type="auto"/>
          </w:tcPr>
          <w:p w14:paraId="1EB25CA0" w14:textId="77777777" w:rsidR="000D29CC" w:rsidRPr="00921C9B" w:rsidRDefault="000D29CC" w:rsidP="000D29CC">
            <w:pPr>
              <w:spacing w:before="120" w:after="120" w:line="360" w:lineRule="auto"/>
              <w:rPr>
                <w:szCs w:val="24"/>
                <w:lang w:eastAsia="en-US"/>
              </w:rPr>
            </w:pPr>
            <w:r w:rsidRPr="00921C9B">
              <w:rPr>
                <w:szCs w:val="24"/>
                <w:lang w:eastAsia="en-US"/>
              </w:rPr>
              <w:t>Общи условия</w:t>
            </w:r>
          </w:p>
        </w:tc>
        <w:tc>
          <w:tcPr>
            <w:tcW w:w="0" w:type="auto"/>
          </w:tcPr>
          <w:p w14:paraId="3B98237E" w14:textId="77777777" w:rsidR="000D29CC" w:rsidRPr="00921C9B" w:rsidRDefault="000D29CC" w:rsidP="000D29CC">
            <w:pPr>
              <w:spacing w:before="120" w:after="120" w:line="360" w:lineRule="auto"/>
              <w:rPr>
                <w:szCs w:val="24"/>
                <w:lang w:eastAsia="en-US"/>
              </w:rPr>
            </w:pPr>
            <w:r w:rsidRPr="00921C9B">
              <w:rPr>
                <w:szCs w:val="24"/>
                <w:lang w:eastAsia="en-US"/>
              </w:rPr>
              <w:t xml:space="preserve">Стойностите на общите физикохимични елементи отговарят напълно или почти напълно на непроменените условия. Хранителните концентрации остават в рамките на нормално свързваните с непроменените условия Нивата на соленост, pH, кислороден баланс, киселинно неутрализиращ капацитет, прозрачност и температура не показват знаци за антропогенни нарушения и </w:t>
            </w:r>
            <w:r w:rsidRPr="00921C9B">
              <w:rPr>
                <w:szCs w:val="24"/>
                <w:lang w:eastAsia="en-US"/>
              </w:rPr>
              <w:lastRenderedPageBreak/>
              <w:t>остават в рамките на нормално свързваните с непроменените условия.</w:t>
            </w:r>
          </w:p>
        </w:tc>
        <w:tc>
          <w:tcPr>
            <w:tcW w:w="0" w:type="auto"/>
          </w:tcPr>
          <w:p w14:paraId="5696698C" w14:textId="77777777" w:rsidR="000D29CC" w:rsidRPr="00921C9B" w:rsidRDefault="000D29CC" w:rsidP="000D29CC">
            <w:pPr>
              <w:spacing w:before="120" w:after="120" w:line="360" w:lineRule="auto"/>
              <w:rPr>
                <w:szCs w:val="24"/>
                <w:lang w:eastAsia="en-US"/>
              </w:rPr>
            </w:pPr>
            <w:r w:rsidRPr="00921C9B">
              <w:rPr>
                <w:szCs w:val="24"/>
                <w:lang w:eastAsia="en-US"/>
              </w:rPr>
              <w:lastRenderedPageBreak/>
              <w:t xml:space="preserve">Температурата, кислородният баланс, pH, киселинно неутрализиращият капацитет, прозрачността и солеността не достигат нива извън границите, установени за осигуряване на функционирането на екосистемата и достигането на стойностите, определени по-горе за биологичните качествени елементи. Хранителните концентрации не надвишават нивата, установени за осигуряване на функционирането на екосистемата и </w:t>
            </w:r>
            <w:r w:rsidRPr="00921C9B">
              <w:rPr>
                <w:szCs w:val="24"/>
                <w:lang w:eastAsia="en-US"/>
              </w:rPr>
              <w:lastRenderedPageBreak/>
              <w:t>достигането на стойностите, определени по-горе за биологичните качествени елементи.</w:t>
            </w:r>
          </w:p>
        </w:tc>
        <w:tc>
          <w:tcPr>
            <w:tcW w:w="0" w:type="auto"/>
          </w:tcPr>
          <w:p w14:paraId="635BF25B" w14:textId="77777777" w:rsidR="000D29CC" w:rsidRPr="00921C9B" w:rsidRDefault="000D29CC" w:rsidP="000D29CC">
            <w:pPr>
              <w:spacing w:before="120" w:after="120" w:line="360" w:lineRule="auto"/>
              <w:rPr>
                <w:szCs w:val="24"/>
                <w:lang w:eastAsia="en-US"/>
              </w:rPr>
            </w:pPr>
            <w:r w:rsidRPr="00921C9B">
              <w:rPr>
                <w:szCs w:val="24"/>
                <w:lang w:eastAsia="en-US"/>
              </w:rPr>
              <w:lastRenderedPageBreak/>
              <w:t>Условията са в зависимост от постигането на стойностите, определени по-горе за биологичните качествени елементи.“;</w:t>
            </w:r>
          </w:p>
        </w:tc>
      </w:tr>
    </w:tbl>
    <w:p w14:paraId="54FD3821" w14:textId="2CED5D27" w:rsidR="000D29CC" w:rsidRPr="00921C9B" w:rsidRDefault="006D417D" w:rsidP="000D29CC">
      <w:pPr>
        <w:spacing w:before="120" w:after="120" w:line="360" w:lineRule="auto"/>
        <w:ind w:left="850"/>
        <w:rPr>
          <w:szCs w:val="24"/>
          <w:lang w:eastAsia="en-US"/>
        </w:rPr>
      </w:pPr>
      <w:r w:rsidRPr="00921C9B">
        <w:rPr>
          <w:szCs w:val="24"/>
          <w:lang w:eastAsia="en-US"/>
        </w:rPr>
        <w:t>“</w:t>
      </w:r>
    </w:p>
    <w:p w14:paraId="44B6D26E" w14:textId="77777777" w:rsidR="000B1908" w:rsidRPr="00921C9B" w:rsidRDefault="000B1908">
      <w:pPr>
        <w:widowControl/>
        <w:rPr>
          <w:szCs w:val="24"/>
          <w:lang w:eastAsia="en-US"/>
        </w:rPr>
      </w:pPr>
      <w:r w:rsidRPr="00921C9B">
        <w:rPr>
          <w:szCs w:val="24"/>
          <w:lang w:eastAsia="en-US"/>
        </w:rPr>
        <w:br w:type="page"/>
      </w:r>
    </w:p>
    <w:p w14:paraId="115F403A" w14:textId="6819E6C4"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(4)</w:t>
      </w:r>
      <w:r w:rsidRPr="00921C9B">
        <w:rPr>
          <w:szCs w:val="24"/>
          <w:lang w:eastAsia="en-US"/>
        </w:rPr>
        <w:tab/>
        <w:t>в точка 1.2.3 таблицата „Физикохимични качествени елементи“ се заменя със следното:</w:t>
      </w:r>
    </w:p>
    <w:p w14:paraId="0E2FBCAD" w14:textId="77777777" w:rsidR="000D29CC" w:rsidRPr="00921C9B" w:rsidRDefault="000D29CC" w:rsidP="000D29CC">
      <w:pPr>
        <w:spacing w:before="120" w:after="120" w:line="360" w:lineRule="auto"/>
        <w:ind w:left="850"/>
        <w:rPr>
          <w:szCs w:val="24"/>
          <w:lang w:eastAsia="en-US"/>
        </w:rPr>
      </w:pPr>
      <w:r w:rsidRPr="00921C9B">
        <w:rPr>
          <w:szCs w:val="24"/>
          <w:lang w:eastAsia="en-US"/>
        </w:rPr>
        <w:t>„Общи физикохимични качествени елементи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50"/>
        <w:gridCol w:w="2566"/>
        <w:gridCol w:w="2755"/>
        <w:gridCol w:w="2194"/>
      </w:tblGrid>
      <w:tr w:rsidR="000D29CC" w:rsidRPr="00921C9B" w14:paraId="7016427C" w14:textId="77777777" w:rsidTr="004C279A">
        <w:trPr>
          <w:tblHeader/>
        </w:trPr>
        <w:tc>
          <w:tcPr>
            <w:tcW w:w="0" w:type="auto"/>
          </w:tcPr>
          <w:p w14:paraId="5865F6E3" w14:textId="77777777" w:rsidR="000D29CC" w:rsidRPr="00921C9B" w:rsidRDefault="000D29CC" w:rsidP="000D29CC">
            <w:pPr>
              <w:spacing w:before="120" w:after="120" w:line="360" w:lineRule="auto"/>
              <w:rPr>
                <w:szCs w:val="24"/>
                <w:lang w:eastAsia="en-US"/>
              </w:rPr>
            </w:pPr>
            <w:r w:rsidRPr="00921C9B">
              <w:rPr>
                <w:szCs w:val="24"/>
                <w:lang w:eastAsia="en-US"/>
              </w:rPr>
              <w:t>Елемент</w:t>
            </w:r>
          </w:p>
        </w:tc>
        <w:tc>
          <w:tcPr>
            <w:tcW w:w="0" w:type="auto"/>
          </w:tcPr>
          <w:p w14:paraId="5ABD4B97" w14:textId="77777777" w:rsidR="000D29CC" w:rsidRPr="00921C9B" w:rsidRDefault="000D29CC" w:rsidP="000D29CC">
            <w:pPr>
              <w:spacing w:before="120" w:after="120" w:line="360" w:lineRule="auto"/>
              <w:rPr>
                <w:szCs w:val="24"/>
                <w:lang w:eastAsia="en-US"/>
              </w:rPr>
            </w:pPr>
            <w:r w:rsidRPr="00921C9B">
              <w:rPr>
                <w:szCs w:val="24"/>
                <w:lang w:eastAsia="en-US"/>
              </w:rPr>
              <w:t>Отлично състояние</w:t>
            </w:r>
          </w:p>
        </w:tc>
        <w:tc>
          <w:tcPr>
            <w:tcW w:w="0" w:type="auto"/>
          </w:tcPr>
          <w:p w14:paraId="2B09B3A0" w14:textId="77777777" w:rsidR="000D29CC" w:rsidRPr="00921C9B" w:rsidRDefault="000D29CC" w:rsidP="000D29CC">
            <w:pPr>
              <w:spacing w:before="120" w:after="120" w:line="360" w:lineRule="auto"/>
              <w:rPr>
                <w:szCs w:val="24"/>
                <w:lang w:eastAsia="en-US"/>
              </w:rPr>
            </w:pPr>
            <w:r w:rsidRPr="00921C9B">
              <w:rPr>
                <w:szCs w:val="24"/>
                <w:lang w:eastAsia="en-US"/>
              </w:rPr>
              <w:t>Добро състояние</w:t>
            </w:r>
          </w:p>
        </w:tc>
        <w:tc>
          <w:tcPr>
            <w:tcW w:w="0" w:type="auto"/>
          </w:tcPr>
          <w:p w14:paraId="2E3CDDD0" w14:textId="77777777" w:rsidR="000D29CC" w:rsidRPr="00921C9B" w:rsidRDefault="000D29CC" w:rsidP="000D29CC">
            <w:pPr>
              <w:spacing w:before="120" w:after="120" w:line="360" w:lineRule="auto"/>
              <w:rPr>
                <w:szCs w:val="24"/>
                <w:lang w:eastAsia="en-US"/>
              </w:rPr>
            </w:pPr>
            <w:r w:rsidRPr="00921C9B">
              <w:rPr>
                <w:szCs w:val="24"/>
                <w:lang w:eastAsia="en-US"/>
              </w:rPr>
              <w:t>Средно състояние</w:t>
            </w:r>
          </w:p>
        </w:tc>
      </w:tr>
      <w:tr w:rsidR="000D29CC" w:rsidRPr="00921C9B" w14:paraId="0060F071" w14:textId="77777777" w:rsidTr="004C279A">
        <w:tc>
          <w:tcPr>
            <w:tcW w:w="0" w:type="auto"/>
          </w:tcPr>
          <w:p w14:paraId="21018BA8" w14:textId="77777777" w:rsidR="000D29CC" w:rsidRPr="00921C9B" w:rsidRDefault="000D29CC" w:rsidP="000D29CC">
            <w:pPr>
              <w:spacing w:before="120" w:after="120" w:line="360" w:lineRule="auto"/>
              <w:rPr>
                <w:szCs w:val="24"/>
                <w:lang w:eastAsia="en-US"/>
              </w:rPr>
            </w:pPr>
            <w:r w:rsidRPr="00921C9B">
              <w:rPr>
                <w:szCs w:val="24"/>
                <w:lang w:eastAsia="en-US"/>
              </w:rPr>
              <w:t>Общи условия</w:t>
            </w:r>
          </w:p>
        </w:tc>
        <w:tc>
          <w:tcPr>
            <w:tcW w:w="0" w:type="auto"/>
          </w:tcPr>
          <w:p w14:paraId="53576234" w14:textId="77777777" w:rsidR="000D29CC" w:rsidRPr="00921C9B" w:rsidRDefault="000D29CC" w:rsidP="000D29CC">
            <w:pPr>
              <w:spacing w:before="120" w:after="120" w:line="360" w:lineRule="auto"/>
              <w:rPr>
                <w:szCs w:val="24"/>
                <w:lang w:eastAsia="en-US"/>
              </w:rPr>
            </w:pPr>
            <w:r w:rsidRPr="00921C9B">
              <w:rPr>
                <w:szCs w:val="24"/>
                <w:lang w:eastAsia="en-US"/>
              </w:rPr>
              <w:t xml:space="preserve">Общите физикохимични елементи отговарят напълно или почти напълно на непроменените условия. Хранителните концентрации остават в рамките на нормално свързваните с непроменените условия. Температурата, кислородният баланс и прозрачността не показват признаци на антропогенно нарушение и остават в рамките на нормално свързваните с непроменените </w:t>
            </w:r>
            <w:r w:rsidRPr="00921C9B">
              <w:rPr>
                <w:szCs w:val="24"/>
                <w:lang w:eastAsia="en-US"/>
              </w:rPr>
              <w:lastRenderedPageBreak/>
              <w:t>условия.</w:t>
            </w:r>
          </w:p>
        </w:tc>
        <w:tc>
          <w:tcPr>
            <w:tcW w:w="0" w:type="auto"/>
          </w:tcPr>
          <w:p w14:paraId="5A5F4B3E" w14:textId="77777777" w:rsidR="000D29CC" w:rsidRPr="00921C9B" w:rsidRDefault="000D29CC" w:rsidP="000D29CC">
            <w:pPr>
              <w:spacing w:before="120" w:after="120" w:line="360" w:lineRule="auto"/>
              <w:rPr>
                <w:szCs w:val="24"/>
                <w:lang w:eastAsia="en-US"/>
              </w:rPr>
            </w:pPr>
            <w:r w:rsidRPr="00921C9B">
              <w:rPr>
                <w:szCs w:val="24"/>
                <w:lang w:eastAsia="en-US"/>
              </w:rPr>
              <w:lastRenderedPageBreak/>
              <w:t xml:space="preserve">Температурата, условията на окисляемост и прозрачността не достигат нива извън границите, установени за осигуряване функционирането на екосистемата и достигането на стойностите, определени по-горе за биологичните качествени елементи. Хранителните концентрации не надвишават нивата, установени за осигуряване на функционирането на екосистемата и достигането на стойностите, определени по-горе за биологичните </w:t>
            </w:r>
            <w:r w:rsidRPr="00921C9B">
              <w:rPr>
                <w:szCs w:val="24"/>
                <w:lang w:eastAsia="en-US"/>
              </w:rPr>
              <w:lastRenderedPageBreak/>
              <w:t>качествени елементи.</w:t>
            </w:r>
          </w:p>
        </w:tc>
        <w:tc>
          <w:tcPr>
            <w:tcW w:w="0" w:type="auto"/>
          </w:tcPr>
          <w:p w14:paraId="14D66803" w14:textId="77777777" w:rsidR="000D29CC" w:rsidRPr="00921C9B" w:rsidRDefault="000D29CC" w:rsidP="000D29CC">
            <w:pPr>
              <w:spacing w:before="120" w:after="120" w:line="360" w:lineRule="auto"/>
              <w:rPr>
                <w:szCs w:val="24"/>
                <w:lang w:eastAsia="en-US"/>
              </w:rPr>
            </w:pPr>
            <w:r w:rsidRPr="00921C9B">
              <w:rPr>
                <w:szCs w:val="24"/>
                <w:lang w:eastAsia="en-US"/>
              </w:rPr>
              <w:lastRenderedPageBreak/>
              <w:t>Условията са в зависимост от постигането на стойностите, определени по-горе за биологичните качествени елементи.“;</w:t>
            </w:r>
          </w:p>
        </w:tc>
      </w:tr>
    </w:tbl>
    <w:p w14:paraId="21F4DF1E" w14:textId="1DB833FF" w:rsidR="000D29CC" w:rsidRPr="00921C9B" w:rsidRDefault="006D417D" w:rsidP="000D29CC">
      <w:pPr>
        <w:spacing w:before="120" w:after="120" w:line="360" w:lineRule="auto"/>
        <w:ind w:left="850"/>
        <w:rPr>
          <w:szCs w:val="24"/>
          <w:lang w:eastAsia="en-US"/>
        </w:rPr>
      </w:pPr>
      <w:r w:rsidRPr="00921C9B">
        <w:rPr>
          <w:szCs w:val="24"/>
          <w:lang w:eastAsia="en-US"/>
        </w:rPr>
        <w:t>“</w:t>
      </w:r>
    </w:p>
    <w:p w14:paraId="6C4DD2E4" w14:textId="77777777" w:rsidR="000B1908" w:rsidRPr="00921C9B" w:rsidRDefault="000B1908">
      <w:pPr>
        <w:widowControl/>
        <w:rPr>
          <w:szCs w:val="24"/>
          <w:lang w:eastAsia="en-US"/>
        </w:rPr>
      </w:pPr>
      <w:r w:rsidRPr="00921C9B">
        <w:rPr>
          <w:szCs w:val="24"/>
          <w:lang w:eastAsia="en-US"/>
        </w:rPr>
        <w:br w:type="page"/>
      </w:r>
    </w:p>
    <w:p w14:paraId="4A2040FD" w14:textId="34B3AF03"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(5)</w:t>
      </w:r>
      <w:r w:rsidRPr="00921C9B">
        <w:rPr>
          <w:szCs w:val="24"/>
          <w:lang w:eastAsia="en-US"/>
        </w:rPr>
        <w:tab/>
        <w:t>в точка 1.2.4 таблицата „Физикохимични качествени елементи“ се заменя със следното:</w:t>
      </w:r>
    </w:p>
    <w:p w14:paraId="526A0FE3" w14:textId="77777777" w:rsidR="000D29CC" w:rsidRPr="00921C9B" w:rsidRDefault="000D29CC" w:rsidP="000D29CC">
      <w:pPr>
        <w:spacing w:before="120" w:after="120" w:line="360" w:lineRule="auto"/>
        <w:ind w:left="850"/>
        <w:rPr>
          <w:szCs w:val="24"/>
          <w:lang w:eastAsia="en-US"/>
        </w:rPr>
      </w:pPr>
      <w:r w:rsidRPr="00921C9B">
        <w:rPr>
          <w:szCs w:val="24"/>
          <w:lang w:eastAsia="en-US"/>
        </w:rPr>
        <w:t>„</w:t>
      </w:r>
      <w:r w:rsidRPr="00921C9B">
        <w:rPr>
          <w:szCs w:val="24"/>
          <w:lang w:eastAsia="en-US"/>
        </w:rPr>
        <w:tab/>
        <w:t>„Общи физикохимични качествени елементи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50"/>
        <w:gridCol w:w="2566"/>
        <w:gridCol w:w="2755"/>
        <w:gridCol w:w="2194"/>
      </w:tblGrid>
      <w:tr w:rsidR="000D29CC" w:rsidRPr="00921C9B" w14:paraId="2178C4AD" w14:textId="77777777" w:rsidTr="004C279A">
        <w:trPr>
          <w:tblHeader/>
        </w:trPr>
        <w:tc>
          <w:tcPr>
            <w:tcW w:w="0" w:type="auto"/>
          </w:tcPr>
          <w:p w14:paraId="49F05979" w14:textId="77777777" w:rsidR="000D29CC" w:rsidRPr="00921C9B" w:rsidRDefault="000D29CC" w:rsidP="000D29CC">
            <w:pPr>
              <w:spacing w:before="120" w:after="120" w:line="360" w:lineRule="auto"/>
              <w:rPr>
                <w:szCs w:val="24"/>
                <w:lang w:eastAsia="en-US"/>
              </w:rPr>
            </w:pPr>
            <w:r w:rsidRPr="00921C9B">
              <w:rPr>
                <w:szCs w:val="24"/>
                <w:lang w:eastAsia="en-US"/>
              </w:rPr>
              <w:t>Елемент</w:t>
            </w:r>
          </w:p>
        </w:tc>
        <w:tc>
          <w:tcPr>
            <w:tcW w:w="0" w:type="auto"/>
          </w:tcPr>
          <w:p w14:paraId="24A540EA" w14:textId="77777777" w:rsidR="000D29CC" w:rsidRPr="00921C9B" w:rsidRDefault="000D29CC" w:rsidP="000D29CC">
            <w:pPr>
              <w:spacing w:before="120" w:after="120" w:line="360" w:lineRule="auto"/>
              <w:rPr>
                <w:szCs w:val="24"/>
                <w:lang w:eastAsia="en-US"/>
              </w:rPr>
            </w:pPr>
            <w:r w:rsidRPr="00921C9B">
              <w:rPr>
                <w:szCs w:val="24"/>
                <w:lang w:eastAsia="en-US"/>
              </w:rPr>
              <w:t>Отлично състояние</w:t>
            </w:r>
          </w:p>
        </w:tc>
        <w:tc>
          <w:tcPr>
            <w:tcW w:w="0" w:type="auto"/>
          </w:tcPr>
          <w:p w14:paraId="72B80F32" w14:textId="77777777" w:rsidR="000D29CC" w:rsidRPr="00921C9B" w:rsidRDefault="000D29CC" w:rsidP="000D29CC">
            <w:pPr>
              <w:spacing w:before="120" w:after="120" w:line="360" w:lineRule="auto"/>
              <w:rPr>
                <w:szCs w:val="24"/>
                <w:lang w:eastAsia="en-US"/>
              </w:rPr>
            </w:pPr>
            <w:r w:rsidRPr="00921C9B">
              <w:rPr>
                <w:szCs w:val="24"/>
                <w:lang w:eastAsia="en-US"/>
              </w:rPr>
              <w:t>Добро състояние</w:t>
            </w:r>
          </w:p>
        </w:tc>
        <w:tc>
          <w:tcPr>
            <w:tcW w:w="0" w:type="auto"/>
          </w:tcPr>
          <w:p w14:paraId="1A2BE83A" w14:textId="77777777" w:rsidR="000D29CC" w:rsidRPr="00921C9B" w:rsidRDefault="000D29CC" w:rsidP="000D29CC">
            <w:pPr>
              <w:spacing w:before="120" w:after="120" w:line="360" w:lineRule="auto"/>
              <w:rPr>
                <w:szCs w:val="24"/>
                <w:lang w:eastAsia="en-US"/>
              </w:rPr>
            </w:pPr>
            <w:r w:rsidRPr="00921C9B">
              <w:rPr>
                <w:szCs w:val="24"/>
                <w:lang w:eastAsia="en-US"/>
              </w:rPr>
              <w:t>Средно състояние</w:t>
            </w:r>
          </w:p>
        </w:tc>
      </w:tr>
      <w:tr w:rsidR="000D29CC" w:rsidRPr="00921C9B" w14:paraId="5C92AA7D" w14:textId="77777777" w:rsidTr="004C279A">
        <w:tc>
          <w:tcPr>
            <w:tcW w:w="0" w:type="auto"/>
          </w:tcPr>
          <w:p w14:paraId="311DDEE4" w14:textId="77777777" w:rsidR="000D29CC" w:rsidRPr="00921C9B" w:rsidRDefault="000D29CC" w:rsidP="000D29CC">
            <w:pPr>
              <w:spacing w:before="120" w:after="120" w:line="360" w:lineRule="auto"/>
              <w:rPr>
                <w:szCs w:val="24"/>
                <w:lang w:eastAsia="en-US"/>
              </w:rPr>
            </w:pPr>
            <w:r w:rsidRPr="00921C9B">
              <w:rPr>
                <w:szCs w:val="24"/>
                <w:lang w:eastAsia="en-US"/>
              </w:rPr>
              <w:t>Общи условия</w:t>
            </w:r>
          </w:p>
        </w:tc>
        <w:tc>
          <w:tcPr>
            <w:tcW w:w="0" w:type="auto"/>
          </w:tcPr>
          <w:p w14:paraId="61FC9396" w14:textId="77777777" w:rsidR="000D29CC" w:rsidRPr="00921C9B" w:rsidRDefault="000D29CC" w:rsidP="000D29CC">
            <w:pPr>
              <w:spacing w:before="120" w:after="120" w:line="360" w:lineRule="auto"/>
              <w:rPr>
                <w:szCs w:val="24"/>
                <w:lang w:eastAsia="en-US"/>
              </w:rPr>
            </w:pPr>
            <w:r w:rsidRPr="00921C9B">
              <w:rPr>
                <w:szCs w:val="24"/>
                <w:lang w:eastAsia="en-US"/>
              </w:rPr>
              <w:t xml:space="preserve">Общите физикохимични елементи отговарят напълно или почти напълно на непроменените условия. Хранителните концентрации остават в рамките на нормално свързваните с непроменените условия Температурата, кислородният баланс и прозрачността не показват признаци на антропогенно нарушение и остават в рамките, нормално свързвани с </w:t>
            </w:r>
            <w:r w:rsidRPr="00921C9B">
              <w:rPr>
                <w:szCs w:val="24"/>
                <w:lang w:eastAsia="en-US"/>
              </w:rPr>
              <w:lastRenderedPageBreak/>
              <w:t>непроменените условия.</w:t>
            </w:r>
          </w:p>
        </w:tc>
        <w:tc>
          <w:tcPr>
            <w:tcW w:w="0" w:type="auto"/>
          </w:tcPr>
          <w:p w14:paraId="31B6DBA0" w14:textId="77777777" w:rsidR="000D29CC" w:rsidRPr="00921C9B" w:rsidRDefault="000D29CC" w:rsidP="000D29CC">
            <w:pPr>
              <w:spacing w:before="120" w:after="120" w:line="360" w:lineRule="auto"/>
              <w:rPr>
                <w:szCs w:val="24"/>
                <w:lang w:eastAsia="en-US"/>
              </w:rPr>
            </w:pPr>
            <w:r w:rsidRPr="00921C9B">
              <w:rPr>
                <w:szCs w:val="24"/>
                <w:lang w:eastAsia="en-US"/>
              </w:rPr>
              <w:lastRenderedPageBreak/>
              <w:t xml:space="preserve">Температурата, условията на окисляемост и прозрачността не достигат нива извън границите, установени за осигуряване на функционирането на екосистемата и достигането на стойностите, определени по-горе за биологичните качествени елементи. Хранителните концентрации не надвишават нивата, установени за осигуряване на функционирането на екосистемата и достигането на стойностите, определени по-горе за биологичните </w:t>
            </w:r>
            <w:r w:rsidRPr="00921C9B">
              <w:rPr>
                <w:szCs w:val="24"/>
                <w:lang w:eastAsia="en-US"/>
              </w:rPr>
              <w:lastRenderedPageBreak/>
              <w:t>качествени елементи.</w:t>
            </w:r>
          </w:p>
        </w:tc>
        <w:tc>
          <w:tcPr>
            <w:tcW w:w="0" w:type="auto"/>
          </w:tcPr>
          <w:p w14:paraId="4F1465D0" w14:textId="77777777" w:rsidR="000D29CC" w:rsidRPr="00921C9B" w:rsidRDefault="000D29CC" w:rsidP="000D29CC">
            <w:pPr>
              <w:spacing w:before="120" w:after="120" w:line="360" w:lineRule="auto"/>
              <w:rPr>
                <w:szCs w:val="24"/>
                <w:lang w:eastAsia="en-US"/>
              </w:rPr>
            </w:pPr>
            <w:r w:rsidRPr="00921C9B">
              <w:rPr>
                <w:szCs w:val="24"/>
                <w:lang w:eastAsia="en-US"/>
              </w:rPr>
              <w:lastRenderedPageBreak/>
              <w:t>Условията са в зависимост от постигането на стойностите, определени по-горе за биологичните качествени елементи.“;</w:t>
            </w:r>
          </w:p>
        </w:tc>
      </w:tr>
    </w:tbl>
    <w:p w14:paraId="01A353A8" w14:textId="6E42384C" w:rsidR="000D29CC" w:rsidRPr="00921C9B" w:rsidRDefault="006D417D" w:rsidP="000D29CC">
      <w:pPr>
        <w:spacing w:before="120" w:after="120" w:line="360" w:lineRule="auto"/>
        <w:ind w:left="850"/>
        <w:rPr>
          <w:szCs w:val="24"/>
          <w:lang w:eastAsia="en-US"/>
        </w:rPr>
      </w:pPr>
      <w:r w:rsidRPr="00921C9B">
        <w:rPr>
          <w:szCs w:val="24"/>
          <w:lang w:eastAsia="en-US"/>
        </w:rPr>
        <w:t>“</w:t>
      </w:r>
    </w:p>
    <w:p w14:paraId="22021BC5" w14:textId="77777777" w:rsidR="000B1908" w:rsidRPr="00921C9B" w:rsidRDefault="000B1908">
      <w:pPr>
        <w:widowControl/>
        <w:rPr>
          <w:szCs w:val="24"/>
          <w:lang w:eastAsia="en-US"/>
        </w:rPr>
      </w:pPr>
      <w:r w:rsidRPr="00921C9B">
        <w:rPr>
          <w:szCs w:val="24"/>
          <w:lang w:eastAsia="en-US"/>
        </w:rPr>
        <w:br w:type="page"/>
      </w:r>
    </w:p>
    <w:p w14:paraId="71CD0A20" w14:textId="00A055A4"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(6)</w:t>
      </w:r>
      <w:r w:rsidRPr="00921C9B">
        <w:rPr>
          <w:szCs w:val="24"/>
          <w:lang w:eastAsia="en-US"/>
        </w:rPr>
        <w:tab/>
        <w:t>в точка 1.2.5 таблицата се изменя, както следва:</w:t>
      </w:r>
    </w:p>
    <w:p w14:paraId="620A735F"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а)</w:t>
      </w:r>
      <w:r w:rsidRPr="00921C9B">
        <w:rPr>
          <w:szCs w:val="24"/>
          <w:lang w:eastAsia="en-US"/>
        </w:rPr>
        <w:tab/>
        <w:t>петият ред за записа „Специфични синтетични замърсители“ се заличава;</w:t>
      </w:r>
    </w:p>
    <w:p w14:paraId="45F8F1BB"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б)</w:t>
      </w:r>
      <w:r w:rsidRPr="00921C9B">
        <w:rPr>
          <w:szCs w:val="24"/>
          <w:lang w:eastAsia="en-US"/>
        </w:rPr>
        <w:tab/>
        <w:t>шестият ред за записа „Специфични несинтетични замърсители“ се заличава;</w:t>
      </w:r>
    </w:p>
    <w:p w14:paraId="7A5E7430"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в)</w:t>
      </w:r>
      <w:r w:rsidRPr="00921C9B">
        <w:rPr>
          <w:szCs w:val="24"/>
          <w:lang w:eastAsia="en-US"/>
        </w:rPr>
        <w:tab/>
        <w:t>седмият ред за забележка (1) към таблицата се заличава;</w:t>
      </w:r>
    </w:p>
    <w:p w14:paraId="149C4CCD"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(7)</w:t>
      </w:r>
      <w:r w:rsidRPr="00921C9B">
        <w:rPr>
          <w:szCs w:val="24"/>
          <w:lang w:eastAsia="en-US"/>
        </w:rPr>
        <w:tab/>
        <w:t>точка 1.2.6 се заличава;</w:t>
      </w:r>
    </w:p>
    <w:p w14:paraId="4B3B1596"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(8)</w:t>
      </w:r>
      <w:r w:rsidRPr="00921C9B">
        <w:rPr>
          <w:szCs w:val="24"/>
          <w:lang w:eastAsia="en-US"/>
        </w:rPr>
        <w:tab/>
        <w:t>в точка 1.3 се добавят следните четвърти и пети параграф:</w:t>
      </w:r>
    </w:p>
    <w:p w14:paraId="34B7EF6A" w14:textId="77777777" w:rsidR="000D29CC" w:rsidRPr="00921C9B" w:rsidRDefault="000D29CC" w:rsidP="000D29CC">
      <w:pPr>
        <w:spacing w:before="120" w:after="120" w:line="360" w:lineRule="auto"/>
        <w:ind w:left="850"/>
        <w:rPr>
          <w:szCs w:val="24"/>
          <w:lang w:eastAsia="en-US"/>
        </w:rPr>
      </w:pPr>
      <w:r w:rsidRPr="00921C9B">
        <w:rPr>
          <w:szCs w:val="24"/>
          <w:lang w:eastAsia="en-US"/>
        </w:rPr>
        <w:t>„Когато мрежата за мониторинг включва наблюдение на Земята и дистанционно наблюдение, а не местни пунктове за вземане на проби, или други новаторски техники, картата на мрежата за мониторинг включва информация за качествените елементи и водните обекти или групи от водни обекти, които са били наблюдавани чрез такива методи за мониторинг. Посочват се приложените CEN, ISO или други международни или национални стандарти, за да се гарантира, че получените времеви и пространствени данни са толкова надеждни, колкото тези, получени чрез използването на конвенционални методи за мониторинг в местни пунктове за вземане на проби.</w:t>
      </w:r>
    </w:p>
    <w:p w14:paraId="246E8B4D" w14:textId="77777777" w:rsidR="000B1908" w:rsidRPr="00921C9B" w:rsidRDefault="000B1908">
      <w:pPr>
        <w:widowControl/>
        <w:rPr>
          <w:szCs w:val="24"/>
          <w:lang w:eastAsia="en-US"/>
        </w:rPr>
      </w:pPr>
      <w:r w:rsidRPr="00921C9B">
        <w:rPr>
          <w:szCs w:val="24"/>
          <w:lang w:eastAsia="en-US"/>
        </w:rPr>
        <w:br w:type="page"/>
      </w:r>
    </w:p>
    <w:p w14:paraId="0F6879C5" w14:textId="45F007F8" w:rsidR="000D29CC" w:rsidRPr="00921C9B" w:rsidRDefault="000D29CC" w:rsidP="000D29CC">
      <w:pPr>
        <w:spacing w:before="120" w:after="120" w:line="360" w:lineRule="auto"/>
        <w:ind w:left="850"/>
        <w:rPr>
          <w:szCs w:val="24"/>
          <w:lang w:eastAsia="en-US"/>
        </w:rPr>
      </w:pPr>
      <w:r w:rsidRPr="00921C9B">
        <w:rPr>
          <w:szCs w:val="24"/>
          <w:lang w:eastAsia="en-US"/>
        </w:rPr>
        <w:lastRenderedPageBreak/>
        <w:t>Държавите членки могат да прилагат пасивни методи за вземане на проби за мониторинг на химически замърсители, когато е уместно, по-специално за целите на скрининга, при условие че с тези методи за вземане на проби не се подценяват концентрациите на замърсителите, за които се прилагат стандарти за качество на околната среда, като по този начин надеждно се установява „недостигане на добро състояние“, както и че химическият анализ на проби от вода, биота или седимент, в съответствие с прилаганите стандарти за качество на околната среда, се извършва навсякъде, където се наблюдава такова недостигане. Държавите членки могат също така да прилагат методи за вземане на проби, основани на ефекта, при спазване на същите условия.;“</w:t>
      </w:r>
    </w:p>
    <w:p w14:paraId="36144040"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(9)</w:t>
      </w:r>
      <w:r w:rsidRPr="00921C9B">
        <w:rPr>
          <w:szCs w:val="24"/>
          <w:lang w:eastAsia="en-US"/>
        </w:rPr>
        <w:tab/>
        <w:t>в точка 1.3.1. последният параграф „Избор на качествени елементи“ се заменя със следното:</w:t>
      </w:r>
    </w:p>
    <w:p w14:paraId="41F1AE3E" w14:textId="77777777" w:rsidR="000D29CC" w:rsidRPr="00921C9B" w:rsidRDefault="000D29CC" w:rsidP="000D29CC">
      <w:pPr>
        <w:spacing w:before="120" w:after="120" w:line="360" w:lineRule="auto"/>
        <w:ind w:left="850"/>
        <w:rPr>
          <w:szCs w:val="24"/>
          <w:lang w:eastAsia="en-US"/>
        </w:rPr>
      </w:pPr>
      <w:r w:rsidRPr="00921C9B">
        <w:rPr>
          <w:szCs w:val="24"/>
          <w:lang w:eastAsia="en-US"/>
        </w:rPr>
        <w:t>„Избор на качествени елементи</w:t>
      </w:r>
    </w:p>
    <w:p w14:paraId="6FB655F0" w14:textId="77777777" w:rsidR="000D29CC" w:rsidRPr="00921C9B" w:rsidRDefault="000D29CC" w:rsidP="000D29CC">
      <w:pPr>
        <w:spacing w:before="120" w:after="120" w:line="360" w:lineRule="auto"/>
        <w:ind w:left="850"/>
        <w:rPr>
          <w:szCs w:val="24"/>
          <w:lang w:eastAsia="en-US"/>
        </w:rPr>
      </w:pPr>
      <w:r w:rsidRPr="00921C9B">
        <w:rPr>
          <w:szCs w:val="24"/>
          <w:lang w:eastAsia="en-US"/>
        </w:rPr>
        <w:t>Контролен мониторинг се извършва за всеки обект, подлежащ на мониторинг, за период от една година през времето, обхванато от плана за управление на речния басейн. Контролният мониторинг обхваща следното:</w:t>
      </w:r>
    </w:p>
    <w:p w14:paraId="410BDB16"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а)</w:t>
      </w:r>
      <w:r w:rsidRPr="00921C9B">
        <w:rPr>
          <w:szCs w:val="24"/>
          <w:lang w:eastAsia="en-US"/>
        </w:rPr>
        <w:tab/>
        <w:t>параметрите, определящи за всички качествени елементи;</w:t>
      </w:r>
    </w:p>
    <w:p w14:paraId="7B2499C3" w14:textId="77777777" w:rsidR="000B1908" w:rsidRPr="00921C9B" w:rsidRDefault="000B1908">
      <w:pPr>
        <w:widowControl/>
        <w:rPr>
          <w:szCs w:val="24"/>
          <w:lang w:eastAsia="en-US"/>
        </w:rPr>
      </w:pPr>
      <w:r w:rsidRPr="00921C9B">
        <w:rPr>
          <w:szCs w:val="24"/>
          <w:lang w:eastAsia="en-US"/>
        </w:rPr>
        <w:br w:type="page"/>
      </w:r>
    </w:p>
    <w:p w14:paraId="7EE0C16A" w14:textId="3FE2CECE"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б)</w:t>
      </w:r>
      <w:r w:rsidRPr="00921C9B">
        <w:rPr>
          <w:szCs w:val="24"/>
          <w:lang w:eastAsia="en-US"/>
        </w:rPr>
        <w:tab/>
        <w:t>параметрите, определящи за всички хидроморфологични качествени елементи;</w:t>
      </w:r>
    </w:p>
    <w:p w14:paraId="0F690B54"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в)</w:t>
      </w:r>
      <w:r w:rsidRPr="00921C9B">
        <w:rPr>
          <w:szCs w:val="24"/>
          <w:lang w:eastAsia="en-US"/>
        </w:rPr>
        <w:tab/>
        <w:t>параметрите, определящи за всички общи физикохимични качествени елементи;</w:t>
      </w:r>
    </w:p>
    <w:p w14:paraId="4BE446E5"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г)</w:t>
      </w:r>
      <w:r w:rsidRPr="00921C9B">
        <w:rPr>
          <w:szCs w:val="24"/>
          <w:lang w:eastAsia="en-US"/>
        </w:rPr>
        <w:tab/>
        <w:t>заустваните или депонирани по друг начин в речния басейн или подбасейн замърсители от списъка на приоритетните вещества;</w:t>
      </w:r>
    </w:p>
    <w:p w14:paraId="0F808D92"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д)</w:t>
      </w:r>
      <w:r w:rsidRPr="00921C9B">
        <w:rPr>
          <w:szCs w:val="24"/>
          <w:lang w:eastAsia="en-US"/>
        </w:rPr>
        <w:tab/>
        <w:t>други замърсители, зауствани или депонирани по друг начин в значителни количества в речния басейн или подбасейн.</w:t>
      </w:r>
    </w:p>
    <w:p w14:paraId="51C3CD5D" w14:textId="77777777" w:rsidR="000D29CC" w:rsidRPr="00921C9B" w:rsidRDefault="000D29CC" w:rsidP="000D29CC">
      <w:pPr>
        <w:spacing w:before="120" w:after="120" w:line="360" w:lineRule="auto"/>
        <w:ind w:left="850"/>
        <w:rPr>
          <w:szCs w:val="24"/>
          <w:lang w:eastAsia="en-US"/>
        </w:rPr>
      </w:pPr>
      <w:r w:rsidRPr="00921C9B">
        <w:rPr>
          <w:szCs w:val="24"/>
          <w:lang w:eastAsia="en-US"/>
        </w:rPr>
        <w:t>Ако обаче предходният контролен мониторинг не е показал, че съответният воден обект е достигнал добро състояние, и няма доказателства за промени при прегледа на влиянията от човешка дейност, посочени в приложение II, контролният мониторинг се извършва веднъж през периода, обхванат от три последователни плана за управление на речния басейн.;“</w:t>
      </w:r>
    </w:p>
    <w:p w14:paraId="5FAA52E2"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(10)</w:t>
      </w:r>
      <w:r w:rsidRPr="00921C9B">
        <w:rPr>
          <w:szCs w:val="24"/>
          <w:lang w:eastAsia="en-US"/>
        </w:rPr>
        <w:tab/>
        <w:t>точка 1.3.2 се изменя, както следва:</w:t>
      </w:r>
    </w:p>
    <w:p w14:paraId="243A89BC"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„а)</w:t>
      </w:r>
      <w:r w:rsidRPr="00921C9B">
        <w:rPr>
          <w:szCs w:val="24"/>
          <w:lang w:eastAsia="en-US"/>
        </w:rPr>
        <w:tab/>
        <w:t>в третия параграф „Избор на пунктове за мониторинг“ първото изречение се заменя със следното:</w:t>
      </w:r>
    </w:p>
    <w:p w14:paraId="17A683AD" w14:textId="77777777" w:rsidR="000B1908" w:rsidRPr="00921C9B" w:rsidRDefault="000B1908">
      <w:pPr>
        <w:widowControl/>
        <w:rPr>
          <w:szCs w:val="24"/>
          <w:lang w:eastAsia="en-US"/>
        </w:rPr>
      </w:pPr>
      <w:r w:rsidRPr="00921C9B">
        <w:rPr>
          <w:szCs w:val="24"/>
          <w:lang w:eastAsia="en-US"/>
        </w:rPr>
        <w:br w:type="page"/>
      </w:r>
    </w:p>
    <w:p w14:paraId="74C2BEC5" w14:textId="462BC161" w:rsidR="000D29CC" w:rsidRPr="00921C9B" w:rsidRDefault="000D29CC" w:rsidP="000D29CC">
      <w:pPr>
        <w:spacing w:before="120" w:after="120" w:line="360" w:lineRule="auto"/>
        <w:ind w:left="1416"/>
        <w:rPr>
          <w:szCs w:val="24"/>
          <w:lang w:eastAsia="en-US"/>
        </w:rPr>
      </w:pPr>
      <w:r w:rsidRPr="00921C9B">
        <w:rPr>
          <w:szCs w:val="24"/>
          <w:lang w:eastAsia="en-US"/>
        </w:rPr>
        <w:lastRenderedPageBreak/>
        <w:t>„Оперативен мониторинг се извършва за водни обекти, които са определени като рискови по отношение достигането на екологичните цели по член 4 на основата на оценка на въздействията, проведена в съответствие с приложение II, или на контролен мониторинг, както и за водни обекти, в които се заустват или се депонират по друг начин замърсители от списъка на приоритетните вещества, или в които се заустват или депонират по друг начин специфични замърсители на речните басейни в значителни количества.“;</w:t>
      </w:r>
    </w:p>
    <w:p w14:paraId="6E1D84B9"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б)</w:t>
      </w:r>
      <w:r w:rsidRPr="00921C9B">
        <w:rPr>
          <w:szCs w:val="24"/>
          <w:lang w:eastAsia="en-US"/>
        </w:rPr>
        <w:tab/>
        <w:t>в четвъртия параграф „Избор на качествени елементи“ второто тире се заменя със следното:</w:t>
      </w:r>
    </w:p>
    <w:p w14:paraId="7D79A277" w14:textId="77777777" w:rsidR="000D29CC" w:rsidRPr="00921C9B" w:rsidRDefault="000D29CC" w:rsidP="000D29CC">
      <w:pPr>
        <w:spacing w:before="120" w:after="120" w:line="360" w:lineRule="auto"/>
        <w:ind w:left="1416"/>
        <w:rPr>
          <w:szCs w:val="24"/>
          <w:lang w:eastAsia="en-US"/>
        </w:rPr>
      </w:pPr>
      <w:r w:rsidRPr="00921C9B">
        <w:rPr>
          <w:szCs w:val="24"/>
          <w:lang w:eastAsia="en-US"/>
        </w:rPr>
        <w:t>„— всички приоритетни вещества, зауствани или депонирани по друг начин във водни обекти, и всички специфични замърсители на речните басейни, зауствани или по друг начин депонирани във водни обекти в значителни количества.;“</w:t>
      </w:r>
    </w:p>
    <w:p w14:paraId="743DBB53" w14:textId="77777777" w:rsidR="000B1908" w:rsidRPr="00921C9B" w:rsidRDefault="000B1908">
      <w:pPr>
        <w:widowControl/>
        <w:rPr>
          <w:b/>
          <w:i/>
          <w:szCs w:val="24"/>
          <w:lang w:eastAsia="en-US"/>
        </w:rPr>
      </w:pPr>
      <w:r w:rsidRPr="00921C9B">
        <w:rPr>
          <w:b/>
          <w:i/>
          <w:szCs w:val="24"/>
          <w:lang w:eastAsia="en-US"/>
        </w:rPr>
        <w:br w:type="page"/>
      </w:r>
    </w:p>
    <w:p w14:paraId="3E5AB9C6" w14:textId="7F4865B8" w:rsidR="000D29CC" w:rsidRPr="00921C9B" w:rsidRDefault="000B1908" w:rsidP="000D29CC">
      <w:pPr>
        <w:spacing w:before="120" w:after="120" w:line="360" w:lineRule="auto"/>
        <w:ind w:left="850" w:hanging="850"/>
        <w:rPr>
          <w:szCs w:val="24"/>
          <w:lang w:eastAsia="en-US"/>
        </w:rPr>
      </w:pPr>
      <w:r w:rsidRPr="00921C9B">
        <w:rPr>
          <w:b/>
          <w:i/>
          <w:szCs w:val="24"/>
          <w:lang w:eastAsia="en-US"/>
        </w:rPr>
        <w:lastRenderedPageBreak/>
        <w:t>(</w:t>
      </w:r>
      <w:r w:rsidR="000D29CC" w:rsidRPr="00921C9B">
        <w:rPr>
          <w:b/>
          <w:i/>
          <w:szCs w:val="24"/>
          <w:lang w:eastAsia="en-US"/>
        </w:rPr>
        <w:t>1</w:t>
      </w:r>
      <w:r w:rsidR="006D417D" w:rsidRPr="00921C9B">
        <w:rPr>
          <w:b/>
          <w:i/>
          <w:szCs w:val="24"/>
          <w:lang w:eastAsia="en-US"/>
        </w:rPr>
        <w:t>0а)</w:t>
      </w:r>
      <w:r w:rsidR="000D29CC" w:rsidRPr="00921C9B">
        <w:rPr>
          <w:szCs w:val="24"/>
          <w:lang w:eastAsia="en-US"/>
        </w:rPr>
        <w:tab/>
      </w:r>
      <w:r w:rsidR="000D29CC" w:rsidRPr="00921C9B">
        <w:rPr>
          <w:b/>
          <w:i/>
          <w:szCs w:val="24"/>
          <w:lang w:eastAsia="en-US"/>
        </w:rPr>
        <w:t>В точка 1.3.4 параграф 4 се изменя, както следва:</w:t>
      </w:r>
    </w:p>
    <w:p w14:paraId="3995B53A" w14:textId="20789DF7" w:rsidR="000D29CC" w:rsidRPr="00921C9B" w:rsidRDefault="000D29CC" w:rsidP="000D29CC">
      <w:pPr>
        <w:spacing w:before="120" w:after="120" w:line="360" w:lineRule="auto"/>
        <w:ind w:left="850"/>
        <w:rPr>
          <w:b/>
          <w:szCs w:val="24"/>
          <w:lang w:eastAsia="en-US"/>
        </w:rPr>
      </w:pPr>
      <w:r w:rsidRPr="00921C9B">
        <w:rPr>
          <w:szCs w:val="24"/>
          <w:lang w:eastAsia="en-US"/>
        </w:rPr>
        <w:t>„</w:t>
      </w:r>
      <w:r w:rsidRPr="00921C9B">
        <w:rPr>
          <w:b/>
          <w:i/>
          <w:szCs w:val="24"/>
          <w:lang w:eastAsia="en-US"/>
        </w:rPr>
        <w:t>Честотите за мониторинг се избират и при необходимост се увеличават, така че да се отчита променливостта на параметрите вследствие както на естествени, така и на антропогенни условия. Освен това, времето, в което се провежда мониторинг, се избира така, че да се отчете влиянието върху оценката на състоянието на сезонните колебания в употребата на веществата и на промените в нивата на водата, като по този начин се осигури отразяването от резултатите на промените във водния обект, причинени от антропогенни натоварвания и от климатични промени. По отношение на приоритетните вещества, които са чувствителни към климатичните промени, и приоритетните вещества, чиято концентрация е вероятно да достигне пик за кратки периоди в резултат на сезонни колебания в употребата на тези вещества, мониторингът се извършва по-често, отколкото за други вещества.</w:t>
      </w:r>
      <w:r w:rsidRPr="00921C9B">
        <w:rPr>
          <w:szCs w:val="24"/>
          <w:lang w:eastAsia="en-US"/>
        </w:rPr>
        <w:t>“</w:t>
      </w:r>
      <w:r w:rsidR="006D417D" w:rsidRPr="00921C9B">
        <w:rPr>
          <w:b/>
          <w:szCs w:val="24"/>
          <w:lang w:eastAsia="en-US"/>
        </w:rPr>
        <w:t xml:space="preserve"> [Изм. 139]</w:t>
      </w:r>
    </w:p>
    <w:p w14:paraId="3F5632CF"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(11)</w:t>
      </w:r>
      <w:r w:rsidRPr="00921C9B">
        <w:rPr>
          <w:szCs w:val="24"/>
          <w:lang w:eastAsia="en-US"/>
        </w:rPr>
        <w:tab/>
        <w:t>в точка 1.3.4, в шестия ред от таблицата под заглавието „Физикохимични“ думите „Други замърсители“ се заменят със „Специфични замърсители на речните басейни“.;</w:t>
      </w:r>
    </w:p>
    <w:p w14:paraId="3D53C31B" w14:textId="77777777" w:rsidR="000B1908" w:rsidRPr="00921C9B" w:rsidRDefault="000B1908">
      <w:pPr>
        <w:widowControl/>
        <w:rPr>
          <w:szCs w:val="24"/>
          <w:lang w:eastAsia="en-US"/>
        </w:rPr>
      </w:pPr>
      <w:r w:rsidRPr="00921C9B">
        <w:rPr>
          <w:szCs w:val="24"/>
          <w:lang w:eastAsia="en-US"/>
        </w:rPr>
        <w:br w:type="page"/>
      </w:r>
    </w:p>
    <w:p w14:paraId="68E806A3" w14:textId="17734CBE"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(12)</w:t>
      </w:r>
      <w:r w:rsidRPr="00921C9B">
        <w:rPr>
          <w:szCs w:val="24"/>
          <w:lang w:eastAsia="en-US"/>
        </w:rPr>
        <w:tab/>
        <w:t>точка 1.4.1 се изменя, както следва:</w:t>
      </w:r>
    </w:p>
    <w:p w14:paraId="28539A72"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а)</w:t>
      </w:r>
      <w:r w:rsidRPr="00921C9B">
        <w:rPr>
          <w:szCs w:val="24"/>
          <w:lang w:eastAsia="en-US"/>
        </w:rPr>
        <w:tab/>
        <w:t>в подточка vii) второто изречение се заличава;</w:t>
      </w:r>
    </w:p>
    <w:p w14:paraId="2A58CB3A"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б)</w:t>
      </w:r>
      <w:r w:rsidRPr="00921C9B">
        <w:rPr>
          <w:szCs w:val="24"/>
          <w:lang w:eastAsia="en-US"/>
        </w:rPr>
        <w:tab/>
        <w:t>подточка viii) се заличава;</w:t>
      </w:r>
    </w:p>
    <w:p w14:paraId="2B79324F"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в)</w:t>
      </w:r>
      <w:r w:rsidRPr="00921C9B">
        <w:rPr>
          <w:szCs w:val="24"/>
          <w:lang w:eastAsia="en-US"/>
        </w:rPr>
        <w:tab/>
        <w:t>подточка iх) се заменя със следното:</w:t>
      </w:r>
    </w:p>
    <w:p w14:paraId="638BCA0D"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„iх)</w:t>
      </w:r>
      <w:r w:rsidRPr="00921C9B">
        <w:rPr>
          <w:szCs w:val="24"/>
          <w:lang w:eastAsia="en-US"/>
        </w:rPr>
        <w:tab/>
        <w:t>Резултатите от вътрешнокалибрационната процедура и стойностите, установени за класификация на мониторинговите системи на държавите членки в съответствие с подточки i)—viii) се публикуват от Комисията до 6 месеца след приемането на делегирания акт в съответствие с член 20.;“</w:t>
      </w:r>
    </w:p>
    <w:p w14:paraId="04D34E43"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(13)</w:t>
      </w:r>
      <w:r w:rsidRPr="00921C9B">
        <w:rPr>
          <w:szCs w:val="24"/>
          <w:lang w:eastAsia="en-US"/>
        </w:rPr>
        <w:tab/>
        <w:t>в точка 1.4.2 подточка ііі) се заличава;</w:t>
      </w:r>
    </w:p>
    <w:p w14:paraId="396E0548"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(14)</w:t>
      </w:r>
      <w:r w:rsidRPr="00921C9B">
        <w:rPr>
          <w:szCs w:val="24"/>
          <w:lang w:eastAsia="en-US"/>
        </w:rPr>
        <w:tab/>
        <w:t>в точка 1.4.3, първа алинея първото изречение се заменя със следното:</w:t>
      </w:r>
    </w:p>
    <w:p w14:paraId="4CCD63B0" w14:textId="77777777" w:rsidR="000D29CC" w:rsidRPr="00921C9B" w:rsidRDefault="000D29CC" w:rsidP="000D29CC">
      <w:pPr>
        <w:spacing w:before="120" w:after="120" w:line="360" w:lineRule="auto"/>
        <w:ind w:left="850"/>
        <w:rPr>
          <w:szCs w:val="24"/>
          <w:lang w:eastAsia="en-US"/>
        </w:rPr>
      </w:pPr>
      <w:r w:rsidRPr="00921C9B">
        <w:rPr>
          <w:szCs w:val="24"/>
          <w:lang w:eastAsia="en-US"/>
        </w:rPr>
        <w:t>„Даден воден обект се регистрира като обект с добро химично състояние, когато отговаря на всички стандарти за качество на околната среда, посочени в част А от приложение I към Директива 2008/105/ЕО, и на стандартите за качество на околната среда, установени съгласно членове 8 и 8г от посочената директива.;“</w:t>
      </w:r>
    </w:p>
    <w:p w14:paraId="6B55B13E" w14:textId="77777777" w:rsidR="000B1908" w:rsidRPr="00921C9B" w:rsidRDefault="000B1908">
      <w:pPr>
        <w:widowControl/>
        <w:rPr>
          <w:szCs w:val="24"/>
          <w:lang w:eastAsia="en-US"/>
        </w:rPr>
      </w:pPr>
      <w:r w:rsidRPr="00921C9B">
        <w:rPr>
          <w:szCs w:val="24"/>
          <w:lang w:eastAsia="en-US"/>
        </w:rPr>
        <w:br w:type="page"/>
      </w:r>
    </w:p>
    <w:p w14:paraId="7E762A2E" w14:textId="5170B17C"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(15)</w:t>
      </w:r>
      <w:r w:rsidRPr="00921C9B">
        <w:rPr>
          <w:szCs w:val="24"/>
          <w:lang w:eastAsia="en-US"/>
        </w:rPr>
        <w:tab/>
        <w:t>в точка 2.2.1 се добавя следният параграф:</w:t>
      </w:r>
    </w:p>
    <w:p w14:paraId="163D1F59" w14:textId="77777777" w:rsidR="000D29CC" w:rsidRPr="00921C9B" w:rsidRDefault="000D29CC" w:rsidP="000D29CC">
      <w:pPr>
        <w:spacing w:before="120" w:after="120" w:line="360" w:lineRule="auto"/>
        <w:ind w:left="850"/>
        <w:rPr>
          <w:szCs w:val="24"/>
          <w:lang w:eastAsia="en-US"/>
        </w:rPr>
      </w:pPr>
      <w:r w:rsidRPr="00921C9B">
        <w:rPr>
          <w:szCs w:val="24"/>
          <w:lang w:eastAsia="en-US"/>
        </w:rPr>
        <w:t>„Когато мрежата за мониторинг включва методи за наблюдение на Земята или дистанционно наблюдение, а не местни пунктове за вземане на проби, или други новаторски техники, се посочват приложените CEN, ISO или други международни или национални стандарти, за да се гарантира, че получените времеви и пространствени данни са толкова надеждни, колкото тези, получени чрез използването на конвенционални методи за мониторинг в местни пунктове за вземане на проби.;“</w:t>
      </w:r>
    </w:p>
    <w:p w14:paraId="5A29ECA1" w14:textId="77777777" w:rsidR="000B1908" w:rsidRPr="00921C9B" w:rsidRDefault="000B1908">
      <w:pPr>
        <w:widowControl/>
        <w:rPr>
          <w:szCs w:val="24"/>
          <w:lang w:eastAsia="en-US"/>
        </w:rPr>
      </w:pPr>
      <w:r w:rsidRPr="00921C9B">
        <w:rPr>
          <w:szCs w:val="24"/>
          <w:lang w:eastAsia="en-US"/>
        </w:rPr>
        <w:br w:type="page"/>
      </w:r>
    </w:p>
    <w:p w14:paraId="41E85DE4" w14:textId="517D9780"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(16)</w:t>
      </w:r>
      <w:r w:rsidRPr="00921C9B">
        <w:rPr>
          <w:szCs w:val="24"/>
          <w:lang w:eastAsia="en-US"/>
        </w:rPr>
        <w:tab/>
        <w:t>точка 2.3.2 се заменя със следното:</w:t>
      </w:r>
    </w:p>
    <w:p w14:paraId="0A66D563"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„2.3.2.</w:t>
      </w:r>
      <w:r w:rsidRPr="00921C9B">
        <w:rPr>
          <w:szCs w:val="24"/>
          <w:lang w:eastAsia="en-US"/>
        </w:rPr>
        <w:tab/>
        <w:t>„Определение за добро състояние на подземните води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2126"/>
        <w:gridCol w:w="6939"/>
      </w:tblGrid>
      <w:tr w:rsidR="000D29CC" w:rsidRPr="00921C9B" w14:paraId="36821CD3" w14:textId="77777777" w:rsidTr="004C279A">
        <w:trPr>
          <w:tblHeader/>
        </w:trPr>
        <w:tc>
          <w:tcPr>
            <w:tcW w:w="0" w:type="auto"/>
          </w:tcPr>
          <w:p w14:paraId="2614FD79" w14:textId="77777777" w:rsidR="000D29CC" w:rsidRPr="00921C9B" w:rsidRDefault="000D29CC" w:rsidP="000D29CC">
            <w:pPr>
              <w:spacing w:before="120" w:after="120" w:line="360" w:lineRule="auto"/>
              <w:rPr>
                <w:szCs w:val="24"/>
                <w:lang w:eastAsia="en-US"/>
              </w:rPr>
            </w:pPr>
            <w:r w:rsidRPr="00921C9B">
              <w:rPr>
                <w:szCs w:val="24"/>
                <w:lang w:eastAsia="en-US"/>
              </w:rPr>
              <w:t>Елементи</w:t>
            </w:r>
          </w:p>
        </w:tc>
        <w:tc>
          <w:tcPr>
            <w:tcW w:w="0" w:type="auto"/>
          </w:tcPr>
          <w:p w14:paraId="0E4CE1E1" w14:textId="77777777" w:rsidR="000D29CC" w:rsidRPr="00921C9B" w:rsidRDefault="000D29CC" w:rsidP="000D29CC">
            <w:pPr>
              <w:spacing w:before="120" w:after="120" w:line="360" w:lineRule="auto"/>
              <w:rPr>
                <w:szCs w:val="24"/>
                <w:lang w:eastAsia="en-US"/>
              </w:rPr>
            </w:pPr>
            <w:r w:rsidRPr="00921C9B">
              <w:rPr>
                <w:szCs w:val="24"/>
                <w:lang w:eastAsia="en-US"/>
              </w:rPr>
              <w:t>Добро състояние</w:t>
            </w:r>
          </w:p>
        </w:tc>
      </w:tr>
      <w:tr w:rsidR="000D29CC" w:rsidRPr="00921C9B" w14:paraId="5A285DDA" w14:textId="77777777" w:rsidTr="004C279A">
        <w:tc>
          <w:tcPr>
            <w:tcW w:w="0" w:type="auto"/>
          </w:tcPr>
          <w:p w14:paraId="3898AB50" w14:textId="77777777" w:rsidR="000D29CC" w:rsidRPr="00921C9B" w:rsidRDefault="000D29CC" w:rsidP="000D29CC">
            <w:pPr>
              <w:spacing w:before="120" w:after="120" w:line="360" w:lineRule="auto"/>
              <w:rPr>
                <w:szCs w:val="24"/>
                <w:lang w:eastAsia="en-US"/>
              </w:rPr>
            </w:pPr>
            <w:r w:rsidRPr="00921C9B">
              <w:rPr>
                <w:szCs w:val="24"/>
                <w:lang w:eastAsia="en-US"/>
              </w:rPr>
              <w:t>Общи положения</w:t>
            </w:r>
          </w:p>
        </w:tc>
        <w:tc>
          <w:tcPr>
            <w:tcW w:w="0" w:type="auto"/>
          </w:tcPr>
          <w:p w14:paraId="53F0DBAD" w14:textId="77777777" w:rsidR="000D29CC" w:rsidRPr="00921C9B" w:rsidRDefault="000D29CC" w:rsidP="000D29CC">
            <w:pPr>
              <w:spacing w:before="120" w:after="120" w:line="360" w:lineRule="auto"/>
              <w:rPr>
                <w:szCs w:val="24"/>
                <w:lang w:eastAsia="en-US"/>
              </w:rPr>
            </w:pPr>
            <w:r w:rsidRPr="00921C9B">
              <w:rPr>
                <w:szCs w:val="24"/>
                <w:lang w:eastAsia="en-US"/>
              </w:rPr>
              <w:t>Химическият състав на подземния воден обект е такъв, че концентрациите на замърсители: — както е определено по-долу, не показват ефект на интрузии на солени води или други интрузии — не превишават стандартите за качество на подземните води, посочени в приложение I към Директива 2006/118/ЕО, праговите стойности за замърсителите на подземните води и показателите за замърсяване, определени съгласно член 3, параграф 1, буква б) от посочената директива, и праговите стойности за целия Съюз, определени съгласно член 8, параграф 3 от посочената директива — не са такива, че да доведат до недостигане на екологичните цели, определени в член 4 за свързаните повърхностни води, нито пък до значително намаляване на екологичното или химичното качество на такива обекти, нито до значими увреди на земните екосистеми, пряко зависещи от подземния воден обект.</w:t>
            </w:r>
          </w:p>
        </w:tc>
      </w:tr>
      <w:tr w:rsidR="000D29CC" w:rsidRPr="00921C9B" w14:paraId="63768E23" w14:textId="77777777" w:rsidTr="004C279A">
        <w:tc>
          <w:tcPr>
            <w:tcW w:w="0" w:type="auto"/>
          </w:tcPr>
          <w:p w14:paraId="59A56483" w14:textId="77777777" w:rsidR="000D29CC" w:rsidRPr="00921C9B" w:rsidRDefault="000D29CC" w:rsidP="000D29CC">
            <w:pPr>
              <w:spacing w:before="120" w:after="120" w:line="360" w:lineRule="auto"/>
              <w:rPr>
                <w:szCs w:val="24"/>
                <w:lang w:eastAsia="en-US"/>
              </w:rPr>
            </w:pPr>
            <w:r w:rsidRPr="00921C9B">
              <w:rPr>
                <w:szCs w:val="24"/>
                <w:lang w:eastAsia="en-US"/>
              </w:rPr>
              <w:t>Проводимост</w:t>
            </w:r>
          </w:p>
        </w:tc>
        <w:tc>
          <w:tcPr>
            <w:tcW w:w="0" w:type="auto"/>
          </w:tcPr>
          <w:p w14:paraId="390DDA25" w14:textId="77777777" w:rsidR="000D29CC" w:rsidRPr="00921C9B" w:rsidRDefault="000D29CC" w:rsidP="000D29CC">
            <w:pPr>
              <w:spacing w:before="120" w:after="120" w:line="360" w:lineRule="auto"/>
              <w:rPr>
                <w:szCs w:val="24"/>
                <w:lang w:eastAsia="en-US"/>
              </w:rPr>
            </w:pPr>
            <w:r w:rsidRPr="00921C9B">
              <w:rPr>
                <w:szCs w:val="24"/>
                <w:lang w:eastAsia="en-US"/>
              </w:rPr>
              <w:t>Промените в проводимостта не са показателни за интрузии на солени води или други интрузии в подземния воден обект.“;</w:t>
            </w:r>
          </w:p>
        </w:tc>
      </w:tr>
    </w:tbl>
    <w:p w14:paraId="5637C69B" w14:textId="1567C23E" w:rsidR="000D29CC" w:rsidRPr="00921C9B" w:rsidRDefault="000D29CC" w:rsidP="000D29CC">
      <w:pPr>
        <w:spacing w:before="120" w:after="120" w:line="360" w:lineRule="auto"/>
        <w:ind w:left="850"/>
        <w:rPr>
          <w:szCs w:val="24"/>
          <w:lang w:eastAsia="en-US"/>
        </w:rPr>
      </w:pPr>
      <w:r w:rsidRPr="00921C9B">
        <w:rPr>
          <w:szCs w:val="24"/>
          <w:lang w:eastAsia="en-US"/>
        </w:rPr>
        <w:t>“</w:t>
      </w:r>
    </w:p>
    <w:p w14:paraId="60467D71" w14:textId="77777777" w:rsidR="000B1908" w:rsidRPr="00921C9B" w:rsidRDefault="000B1908">
      <w:pPr>
        <w:widowControl/>
        <w:rPr>
          <w:szCs w:val="24"/>
          <w:lang w:eastAsia="en-US"/>
        </w:rPr>
      </w:pPr>
      <w:r w:rsidRPr="00921C9B">
        <w:rPr>
          <w:szCs w:val="24"/>
          <w:lang w:eastAsia="en-US"/>
        </w:rPr>
        <w:br w:type="page"/>
      </w:r>
    </w:p>
    <w:p w14:paraId="34CB05BF" w14:textId="489391A0"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(17)</w:t>
      </w:r>
      <w:r w:rsidRPr="00921C9B">
        <w:rPr>
          <w:szCs w:val="24"/>
          <w:lang w:eastAsia="en-US"/>
        </w:rPr>
        <w:tab/>
        <w:t>в точка 2.4.1 се добавя следният параграф:</w:t>
      </w:r>
    </w:p>
    <w:p w14:paraId="6BA83744" w14:textId="77777777" w:rsidR="000D29CC" w:rsidRPr="00921C9B" w:rsidRDefault="000D29CC" w:rsidP="000D29CC">
      <w:pPr>
        <w:spacing w:before="120" w:after="120" w:line="360" w:lineRule="auto"/>
        <w:ind w:left="850"/>
        <w:rPr>
          <w:szCs w:val="24"/>
          <w:lang w:eastAsia="en-US"/>
        </w:rPr>
      </w:pPr>
      <w:r w:rsidRPr="00921C9B">
        <w:rPr>
          <w:szCs w:val="24"/>
          <w:lang w:eastAsia="en-US"/>
        </w:rPr>
        <w:t>„Когато мрежата за мониторинг включва наблюдение на Земята или дистанционно наблюдение, а не местни пунктове за вземане на проби, или други новаторски техники, се посочват приложените CEN, ISO или други международни или национални стандарти, за да се гарантира, че получените времеви и пространствени данни са толкова надеждни, колкото тези, получени чрез използването на конвенционални методи за мониторинг в местни пунктове за вземане на проби.;“</w:t>
      </w:r>
    </w:p>
    <w:p w14:paraId="2F5D2577"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(18)</w:t>
      </w:r>
      <w:r w:rsidRPr="00921C9B">
        <w:rPr>
          <w:szCs w:val="24"/>
          <w:lang w:eastAsia="en-US"/>
        </w:rPr>
        <w:tab/>
        <w:t>точка 2.4.5 се заменя със следното:</w:t>
      </w:r>
    </w:p>
    <w:p w14:paraId="23730027"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„2.4.5.</w:t>
      </w:r>
      <w:r w:rsidRPr="00921C9B">
        <w:rPr>
          <w:szCs w:val="24"/>
          <w:lang w:eastAsia="en-US"/>
        </w:rPr>
        <w:tab/>
        <w:t>Тълкуване и представяне на химичното състояние на подземните води</w:t>
      </w:r>
    </w:p>
    <w:p w14:paraId="7027CF95" w14:textId="77777777" w:rsidR="000D29CC" w:rsidRPr="00921C9B" w:rsidRDefault="000D29CC" w:rsidP="000D29CC">
      <w:pPr>
        <w:spacing w:before="120" w:after="120" w:line="360" w:lineRule="auto"/>
        <w:ind w:left="1416"/>
        <w:rPr>
          <w:szCs w:val="24"/>
          <w:lang w:eastAsia="en-US"/>
        </w:rPr>
      </w:pPr>
      <w:r w:rsidRPr="00921C9B">
        <w:rPr>
          <w:szCs w:val="24"/>
          <w:lang w:eastAsia="en-US"/>
        </w:rPr>
        <w:t>При оценката на химичното състояние на подземните води, резултатите от отделните пунктове за мониторинг на целия подземен воден обект се обобщават за целия обект. Пресмята се средната стойност на резултатите от мониторинга във всеки пункт от подземния воден обект или група обекти за следните параметри:</w:t>
      </w:r>
    </w:p>
    <w:p w14:paraId="46C1B8F2" w14:textId="77777777" w:rsidR="000B1908" w:rsidRPr="00921C9B" w:rsidRDefault="000B1908">
      <w:pPr>
        <w:widowControl/>
        <w:rPr>
          <w:szCs w:val="24"/>
          <w:lang w:eastAsia="en-US"/>
        </w:rPr>
      </w:pPr>
      <w:r w:rsidRPr="00921C9B">
        <w:rPr>
          <w:szCs w:val="24"/>
          <w:lang w:eastAsia="en-US"/>
        </w:rPr>
        <w:br w:type="page"/>
      </w:r>
    </w:p>
    <w:p w14:paraId="42537593" w14:textId="0B473B7C" w:rsidR="000D29CC" w:rsidRPr="00921C9B" w:rsidRDefault="000D29CC" w:rsidP="000D29CC">
      <w:pPr>
        <w:spacing w:before="120" w:after="120" w:line="360" w:lineRule="auto"/>
        <w:ind w:left="1982" w:hanging="566"/>
        <w:rPr>
          <w:szCs w:val="24"/>
          <w:lang w:eastAsia="en-US"/>
        </w:rPr>
      </w:pPr>
      <w:r w:rsidRPr="00921C9B">
        <w:rPr>
          <w:szCs w:val="24"/>
          <w:lang w:eastAsia="en-US"/>
        </w:rPr>
        <w:lastRenderedPageBreak/>
        <w:t>а)</w:t>
      </w:r>
      <w:r w:rsidRPr="00921C9B">
        <w:rPr>
          <w:szCs w:val="24"/>
          <w:lang w:eastAsia="en-US"/>
        </w:rPr>
        <w:tab/>
        <w:t>химични параметри, за които са определени стандарти за качество в приложение I към Директива 2006/118/ЕО;</w:t>
      </w:r>
    </w:p>
    <w:p w14:paraId="16D2585B"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б)</w:t>
      </w:r>
      <w:r w:rsidRPr="00921C9B">
        <w:rPr>
          <w:szCs w:val="24"/>
          <w:lang w:eastAsia="en-US"/>
        </w:rPr>
        <w:tab/>
        <w:t>химични параметри, за които са определени национални прагови стойности съгласно член 3, параграф 1, буква б) от Директива 2006/118/ЕО;</w:t>
      </w:r>
    </w:p>
    <w:p w14:paraId="1E944745" w14:textId="77777777" w:rsidR="000D29CC" w:rsidRPr="00921C9B" w:rsidRDefault="000D29CC" w:rsidP="000D29CC">
      <w:pPr>
        <w:spacing w:before="120" w:after="120" w:line="360" w:lineRule="auto"/>
        <w:ind w:left="1982" w:hanging="566"/>
        <w:rPr>
          <w:szCs w:val="24"/>
          <w:lang w:eastAsia="en-US"/>
        </w:rPr>
      </w:pPr>
      <w:r w:rsidRPr="00921C9B">
        <w:rPr>
          <w:szCs w:val="24"/>
          <w:lang w:eastAsia="en-US"/>
        </w:rPr>
        <w:t>в)</w:t>
      </w:r>
      <w:r w:rsidRPr="00921C9B">
        <w:rPr>
          <w:szCs w:val="24"/>
          <w:lang w:eastAsia="en-US"/>
        </w:rPr>
        <w:tab/>
        <w:t>химични параметри, за които са определени прагови стойности за целия Съюз съгласно член 8, параграф 3 от Директива 2006/118/ЕО.</w:t>
      </w:r>
    </w:p>
    <w:p w14:paraId="397EDBFD" w14:textId="77777777" w:rsidR="000D29CC" w:rsidRPr="00921C9B" w:rsidRDefault="000D29CC" w:rsidP="000D29CC">
      <w:pPr>
        <w:spacing w:before="120" w:after="120" w:line="360" w:lineRule="auto"/>
        <w:ind w:left="1416"/>
        <w:rPr>
          <w:szCs w:val="24"/>
          <w:lang w:eastAsia="en-US"/>
        </w:rPr>
      </w:pPr>
      <w:r w:rsidRPr="00921C9B">
        <w:rPr>
          <w:szCs w:val="24"/>
          <w:lang w:eastAsia="en-US"/>
        </w:rPr>
        <w:t>Средните стойности, посочени в първия параграф, се използват за доказване на съответствие с доброто химично състояние на подземните води, определено чрез позоваване на стандартите за качество и праговите стойности, посочени в първия параграф.</w:t>
      </w:r>
    </w:p>
    <w:p w14:paraId="52CA3C0C" w14:textId="77777777" w:rsidR="000D29CC" w:rsidRPr="00921C9B" w:rsidRDefault="000D29CC" w:rsidP="000D29CC">
      <w:pPr>
        <w:spacing w:before="120" w:after="120" w:line="360" w:lineRule="auto"/>
        <w:rPr>
          <w:szCs w:val="24"/>
          <w:lang w:eastAsia="en-US"/>
        </w:rPr>
      </w:pPr>
    </w:p>
    <w:p w14:paraId="336E689C" w14:textId="77777777" w:rsidR="000D29CC" w:rsidRPr="00921C9B" w:rsidRDefault="000D29CC" w:rsidP="000D29CC">
      <w:pPr>
        <w:spacing w:before="120" w:after="120" w:line="360" w:lineRule="auto"/>
        <w:ind w:left="1416"/>
        <w:rPr>
          <w:szCs w:val="24"/>
          <w:lang w:eastAsia="en-US"/>
        </w:rPr>
      </w:pPr>
      <w:r w:rsidRPr="00921C9B">
        <w:rPr>
          <w:szCs w:val="24"/>
          <w:lang w:eastAsia="en-US"/>
        </w:rPr>
        <w:t>Съгласно раздел 2.5 държавите членки предоставят карта за химичното състояние на подземните води, кодирана с цветове, както следва:</w:t>
      </w:r>
    </w:p>
    <w:p w14:paraId="2DAFF0C1" w14:textId="77777777" w:rsidR="000D29CC" w:rsidRPr="00921C9B" w:rsidRDefault="000D29CC" w:rsidP="000D29CC">
      <w:pPr>
        <w:spacing w:before="120" w:after="120" w:line="360" w:lineRule="auto"/>
        <w:ind w:left="1416"/>
        <w:rPr>
          <w:szCs w:val="24"/>
          <w:lang w:eastAsia="en-US"/>
        </w:rPr>
      </w:pPr>
      <w:r w:rsidRPr="00921C9B">
        <w:rPr>
          <w:szCs w:val="24"/>
          <w:lang w:eastAsia="en-US"/>
        </w:rPr>
        <w:t>Добро: зелен</w:t>
      </w:r>
    </w:p>
    <w:p w14:paraId="51B3EBE9" w14:textId="77777777" w:rsidR="000D29CC" w:rsidRPr="00921C9B" w:rsidRDefault="000D29CC" w:rsidP="000D29CC">
      <w:pPr>
        <w:spacing w:before="120" w:after="120" w:line="360" w:lineRule="auto"/>
        <w:ind w:left="1416"/>
        <w:rPr>
          <w:szCs w:val="24"/>
          <w:lang w:eastAsia="en-US"/>
        </w:rPr>
      </w:pPr>
      <w:r w:rsidRPr="00921C9B">
        <w:rPr>
          <w:szCs w:val="24"/>
          <w:lang w:eastAsia="en-US"/>
        </w:rPr>
        <w:t>Лошо: червен</w:t>
      </w:r>
    </w:p>
    <w:p w14:paraId="229F6F02" w14:textId="77777777" w:rsidR="000B1908" w:rsidRPr="00921C9B" w:rsidRDefault="000B1908">
      <w:pPr>
        <w:widowControl/>
        <w:rPr>
          <w:szCs w:val="24"/>
          <w:lang w:eastAsia="en-US"/>
        </w:rPr>
      </w:pPr>
      <w:r w:rsidRPr="00921C9B">
        <w:rPr>
          <w:szCs w:val="24"/>
          <w:lang w:eastAsia="en-US"/>
        </w:rPr>
        <w:br w:type="page"/>
      </w:r>
    </w:p>
    <w:p w14:paraId="7E6E34A3" w14:textId="10E0FEE6" w:rsidR="000D29CC" w:rsidRPr="00921C9B" w:rsidRDefault="000D29CC" w:rsidP="000D29CC">
      <w:pPr>
        <w:spacing w:before="120" w:after="120" w:line="360" w:lineRule="auto"/>
        <w:ind w:left="1416"/>
        <w:rPr>
          <w:b/>
          <w:szCs w:val="24"/>
          <w:lang w:eastAsia="en-US"/>
        </w:rPr>
      </w:pPr>
      <w:r w:rsidRPr="00921C9B">
        <w:rPr>
          <w:szCs w:val="24"/>
          <w:lang w:eastAsia="en-US"/>
        </w:rPr>
        <w:lastRenderedPageBreak/>
        <w:t>Държавите членки показват посредством черни точки на картата онези подземни водни обекти, които са обект на значителни и устойчиви възходящи тенденции</w:t>
      </w:r>
      <w:r w:rsidRPr="00921C9B">
        <w:rPr>
          <w:b/>
          <w:i/>
          <w:szCs w:val="24"/>
          <w:lang w:eastAsia="en-US"/>
        </w:rPr>
        <w:t>, включително сезонна възходяща тенденция, предизвикана, наред с другото, от ниско заустване на даден воден обект,</w:t>
      </w:r>
      <w:r w:rsidRPr="00921C9B">
        <w:rPr>
          <w:szCs w:val="24"/>
          <w:lang w:eastAsia="en-US"/>
        </w:rPr>
        <w:t xml:space="preserve"> в концентрациите на замърсителите, получени вследствие влиянието на човешката дейност. Обръщането на тенденциите се показва на картата посредством сини точки.</w:t>
      </w:r>
      <w:r w:rsidR="006D417D" w:rsidRPr="00921C9B">
        <w:rPr>
          <w:b/>
          <w:szCs w:val="24"/>
          <w:lang w:eastAsia="en-US"/>
        </w:rPr>
        <w:t xml:space="preserve"> [Изм. 140]</w:t>
      </w:r>
    </w:p>
    <w:p w14:paraId="64E6601A" w14:textId="77777777" w:rsidR="000D29CC" w:rsidRPr="00921C9B" w:rsidRDefault="000D29CC" w:rsidP="000D29CC">
      <w:pPr>
        <w:spacing w:before="120" w:after="120" w:line="360" w:lineRule="auto"/>
        <w:ind w:left="1416"/>
        <w:rPr>
          <w:szCs w:val="24"/>
          <w:lang w:eastAsia="en-US"/>
        </w:rPr>
      </w:pPr>
      <w:r w:rsidRPr="00921C9B">
        <w:rPr>
          <w:szCs w:val="24"/>
          <w:lang w:eastAsia="en-US"/>
        </w:rPr>
        <w:t>Тези карти се включват в плана за управление на речни басейни.“</w:t>
      </w:r>
    </w:p>
    <w:p w14:paraId="7501AE44" w14:textId="77777777" w:rsidR="000D29CC" w:rsidRPr="00921C9B" w:rsidRDefault="000D29CC" w:rsidP="000D29CC">
      <w:pPr>
        <w:spacing w:before="120" w:after="120" w:line="360" w:lineRule="auto"/>
        <w:rPr>
          <w:szCs w:val="24"/>
          <w:lang w:eastAsia="en-US"/>
        </w:rPr>
        <w:sectPr w:rsidR="000D29CC" w:rsidRPr="00921C9B">
          <w:footnotePr>
            <w:numRestart w:val="eachSect"/>
          </w:footnotePr>
          <w:pgSz w:w="11909" w:h="16834"/>
          <w:pgMar w:top="1134" w:right="1417" w:bottom="1417" w:left="1417" w:header="1134" w:footer="567" w:gutter="0"/>
          <w:cols w:space="720"/>
        </w:sectPr>
      </w:pPr>
    </w:p>
    <w:p w14:paraId="522D3C79" w14:textId="77777777" w:rsidR="000D29CC" w:rsidRPr="00921C9B" w:rsidRDefault="000D29CC" w:rsidP="000D29CC">
      <w:pPr>
        <w:spacing w:before="120" w:after="120" w:line="360" w:lineRule="auto"/>
        <w:jc w:val="center"/>
        <w:rPr>
          <w:lang w:eastAsia="en-US"/>
        </w:rPr>
      </w:pPr>
      <w:r w:rsidRPr="00921C9B">
        <w:rPr>
          <w:lang w:eastAsia="en-US"/>
        </w:rPr>
        <w:lastRenderedPageBreak/>
        <w:t>ПРИЛОЖЕНИЕ II</w:t>
      </w:r>
    </w:p>
    <w:p w14:paraId="2C75C852" w14:textId="77777777" w:rsidR="000D29CC" w:rsidRPr="00921C9B" w:rsidRDefault="000D29CC" w:rsidP="000D29CC">
      <w:pPr>
        <w:spacing w:before="120" w:after="120" w:line="360" w:lineRule="auto"/>
        <w:rPr>
          <w:szCs w:val="24"/>
          <w:lang w:eastAsia="en-US"/>
        </w:rPr>
      </w:pPr>
      <w:r w:rsidRPr="00921C9B">
        <w:rPr>
          <w:szCs w:val="24"/>
          <w:lang w:eastAsia="en-US"/>
        </w:rPr>
        <w:t>Приложение VIII към Директива 2000/60/ЕО се изменя, както следва:</w:t>
      </w:r>
    </w:p>
    <w:p w14:paraId="3D92CDE0"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1)</w:t>
      </w:r>
      <w:r w:rsidRPr="00921C9B">
        <w:rPr>
          <w:szCs w:val="24"/>
          <w:lang w:eastAsia="en-US"/>
        </w:rPr>
        <w:tab/>
        <w:t>точка 10 се заменя със следното:</w:t>
      </w:r>
    </w:p>
    <w:p w14:paraId="43F0ED48" w14:textId="2E9C14E9" w:rsidR="000D29CC" w:rsidRPr="00921C9B" w:rsidRDefault="000D29CC" w:rsidP="000D29CC">
      <w:pPr>
        <w:spacing w:before="120" w:after="120" w:line="360" w:lineRule="auto"/>
        <w:ind w:left="1416" w:hanging="566"/>
        <w:rPr>
          <w:b/>
          <w:szCs w:val="24"/>
          <w:lang w:eastAsia="en-US"/>
        </w:rPr>
      </w:pPr>
      <w:r w:rsidRPr="00921C9B">
        <w:rPr>
          <w:szCs w:val="24"/>
          <w:lang w:eastAsia="en-US"/>
        </w:rPr>
        <w:t>„10.</w:t>
      </w:r>
      <w:r w:rsidRPr="00921C9B">
        <w:rPr>
          <w:szCs w:val="24"/>
          <w:lang w:eastAsia="en-US"/>
        </w:rPr>
        <w:tab/>
        <w:t>Материали в суспензия, включително пластмасови микрочастици/наночастици</w:t>
      </w:r>
      <w:r w:rsidRPr="00921C9B">
        <w:rPr>
          <w:strike/>
          <w:szCs w:val="24"/>
          <w:lang w:eastAsia="en-US"/>
        </w:rPr>
        <w:t>.</w:t>
      </w:r>
      <w:r w:rsidRPr="00921C9B">
        <w:rPr>
          <w:b/>
          <w:i/>
          <w:szCs w:val="24"/>
          <w:lang w:eastAsia="en-US"/>
        </w:rPr>
        <w:t>, както и материали, за които е известно, че пораждат микрочастици/наночастици</w:t>
      </w:r>
      <w:r w:rsidRPr="00921C9B">
        <w:rPr>
          <w:szCs w:val="24"/>
          <w:lang w:eastAsia="en-US"/>
        </w:rPr>
        <w:t>;“</w:t>
      </w:r>
      <w:r w:rsidR="006D417D" w:rsidRPr="00921C9B">
        <w:rPr>
          <w:b/>
          <w:szCs w:val="24"/>
          <w:lang w:eastAsia="en-US"/>
        </w:rPr>
        <w:t xml:space="preserve"> [Изм. 141]</w:t>
      </w:r>
    </w:p>
    <w:p w14:paraId="0CCBB402"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2)</w:t>
      </w:r>
      <w:r w:rsidRPr="00921C9B">
        <w:rPr>
          <w:szCs w:val="24"/>
          <w:lang w:eastAsia="en-US"/>
        </w:rPr>
        <w:tab/>
        <w:t>добавя се следната точка 13:</w:t>
      </w:r>
    </w:p>
    <w:p w14:paraId="7DC563D3"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„13.</w:t>
      </w:r>
      <w:r w:rsidRPr="00921C9B">
        <w:rPr>
          <w:szCs w:val="24"/>
          <w:lang w:eastAsia="en-US"/>
        </w:rPr>
        <w:tab/>
        <w:t>Микроорганизми, гени или генетичен материал, отразяващи наличието на микроорганизми, устойчиви на антимикробни средства, по-специално микроорганизми, патогенни за хората или селскостопанските животни.“</w:t>
      </w:r>
    </w:p>
    <w:p w14:paraId="18939136" w14:textId="77777777" w:rsidR="000D29CC" w:rsidRPr="00921C9B" w:rsidRDefault="000D29CC" w:rsidP="000D29CC">
      <w:pPr>
        <w:spacing w:before="120" w:after="120" w:line="360" w:lineRule="auto"/>
        <w:rPr>
          <w:szCs w:val="24"/>
          <w:lang w:eastAsia="en-US"/>
        </w:rPr>
        <w:sectPr w:rsidR="000D29CC" w:rsidRPr="00921C9B">
          <w:footnotePr>
            <w:numRestart w:val="eachSect"/>
          </w:footnotePr>
          <w:pgSz w:w="11909" w:h="16834"/>
          <w:pgMar w:top="1134" w:right="1417" w:bottom="1417" w:left="1417" w:header="1134" w:footer="567" w:gutter="0"/>
          <w:cols w:space="720"/>
        </w:sectPr>
      </w:pPr>
    </w:p>
    <w:p w14:paraId="77B21F78" w14:textId="77777777" w:rsidR="000D29CC" w:rsidRPr="00921C9B" w:rsidRDefault="000D29CC" w:rsidP="000D29CC">
      <w:pPr>
        <w:spacing w:before="120" w:after="120" w:line="360" w:lineRule="auto"/>
        <w:jc w:val="center"/>
        <w:rPr>
          <w:lang w:eastAsia="en-US"/>
        </w:rPr>
      </w:pPr>
      <w:r w:rsidRPr="00921C9B">
        <w:rPr>
          <w:lang w:eastAsia="en-US"/>
        </w:rPr>
        <w:lastRenderedPageBreak/>
        <w:t>ПРИЛОЖЕНИЕ ІІІ</w:t>
      </w:r>
    </w:p>
    <w:p w14:paraId="2B54EAE4" w14:textId="77777777" w:rsidR="000D29CC" w:rsidRPr="00921C9B" w:rsidRDefault="000D29CC" w:rsidP="000D29CC">
      <w:pPr>
        <w:spacing w:before="120" w:after="120" w:line="360" w:lineRule="auto"/>
        <w:ind w:left="850"/>
        <w:rPr>
          <w:szCs w:val="24"/>
          <w:lang w:eastAsia="en-US"/>
        </w:rPr>
      </w:pPr>
      <w:r w:rsidRPr="00921C9B">
        <w:rPr>
          <w:szCs w:val="24"/>
          <w:lang w:eastAsia="en-US"/>
        </w:rPr>
        <w:t>„ПРИЛОЖЕНИЕ I</w:t>
      </w:r>
    </w:p>
    <w:p w14:paraId="73C407CA" w14:textId="77777777" w:rsidR="000D29CC" w:rsidRPr="00921C9B" w:rsidRDefault="000D29CC" w:rsidP="000D29CC">
      <w:pPr>
        <w:spacing w:before="120" w:after="120" w:line="360" w:lineRule="auto"/>
        <w:ind w:left="850"/>
        <w:rPr>
          <w:szCs w:val="24"/>
          <w:lang w:eastAsia="en-US"/>
        </w:rPr>
      </w:pPr>
      <w:r w:rsidRPr="00921C9B">
        <w:rPr>
          <w:szCs w:val="24"/>
          <w:lang w:eastAsia="en-US"/>
        </w:rPr>
        <w:t>СТАНДАРТИ ЗА КАЧЕСТВО НА ПОДЗЕМНИТЕ ВОДИ</w:t>
      </w:r>
    </w:p>
    <w:p w14:paraId="426BBDDA" w14:textId="7DDFA44F" w:rsidR="000D29CC" w:rsidRPr="00921C9B" w:rsidRDefault="000D29CC" w:rsidP="000D29CC">
      <w:pPr>
        <w:spacing w:before="120" w:after="120" w:line="360" w:lineRule="auto"/>
        <w:ind w:left="850"/>
        <w:rPr>
          <w:b/>
          <w:szCs w:val="24"/>
          <w:lang w:eastAsia="en-US"/>
        </w:rPr>
      </w:pPr>
      <w:r w:rsidRPr="00921C9B">
        <w:rPr>
          <w:szCs w:val="24"/>
          <w:lang w:eastAsia="en-US"/>
        </w:rPr>
        <w:t xml:space="preserve">Бележка 1: СК за замърсителите, посочени в записи от 3 до 7, се прилагат от... [СП: моля, въведете дата = първия ден от месеца, следващ </w:t>
      </w:r>
      <w:r w:rsidRPr="00921C9B">
        <w:rPr>
          <w:strike/>
          <w:szCs w:val="24"/>
          <w:lang w:eastAsia="en-US"/>
        </w:rPr>
        <w:t>18</w:t>
      </w:r>
      <w:r w:rsidRPr="00921C9B">
        <w:rPr>
          <w:b/>
          <w:i/>
          <w:szCs w:val="24"/>
          <w:lang w:eastAsia="en-US"/>
        </w:rPr>
        <w:t>6</w:t>
      </w:r>
      <w:r w:rsidRPr="00921C9B">
        <w:rPr>
          <w:szCs w:val="24"/>
          <w:lang w:eastAsia="en-US"/>
        </w:rPr>
        <w:t xml:space="preserve"> месеца след влизането в сила на настоящата директива за изменение] с цел постигане на добро химично състояние на водите най-късно до 22 декември 2033 г.</w:t>
      </w:r>
      <w:r w:rsidR="006D417D" w:rsidRPr="00921C9B">
        <w:rPr>
          <w:b/>
          <w:szCs w:val="24"/>
          <w:lang w:eastAsia="en-US"/>
        </w:rPr>
        <w:t xml:space="preserve"> [Изм. 142]</w:t>
      </w:r>
    </w:p>
    <w:p w14:paraId="3A5F3C92" w14:textId="44243B48" w:rsidR="000B1908" w:rsidRPr="00921C9B" w:rsidRDefault="000D29CC" w:rsidP="000D29CC">
      <w:pPr>
        <w:spacing w:before="120" w:after="120" w:line="360" w:lineRule="auto"/>
        <w:ind w:left="850"/>
        <w:rPr>
          <w:b/>
          <w:szCs w:val="24"/>
          <w:lang w:eastAsia="en-US"/>
        </w:rPr>
      </w:pPr>
      <w:r w:rsidRPr="00921C9B">
        <w:rPr>
          <w:b/>
          <w:i/>
          <w:szCs w:val="24"/>
          <w:lang w:eastAsia="en-US"/>
        </w:rPr>
        <w:t>Когато за определен обект от подземни води, по-специално ако той е разположен в рамките на екологичната мрежа от специални защитени зони съгласно Директива 92/43/ЕИО на Съвета, се смята, че стандартите за качество на подземните води могат да доведат до неуспех при постигането на екологичните цели, посочени в член 4 от Директива 2000/60/ЕО за свързаните обекти от повърхностни води, или до значимо влошаване на екологичното или химичното качество на тези обекти, или до значимо увреждане на екосистемите на подземните води или на сухоземните екосистеми, които зависят пряко от този обект от подземни води, се определят по-строги прагови стойности в съответствие с член 3 и приложение II към настоящата директива. Програмите и мерките, изисквани във връзка с тези прагови стойности, се прилагат и за дейностите, попадащи в обхвата на Директива 91/676/ЕИО.</w:t>
      </w:r>
      <w:r w:rsidR="006D417D" w:rsidRPr="00921C9B">
        <w:rPr>
          <w:b/>
          <w:szCs w:val="24"/>
          <w:lang w:eastAsia="en-US"/>
        </w:rPr>
        <w:t xml:space="preserve"> [Изм. 143]</w:t>
      </w:r>
    </w:p>
    <w:p w14:paraId="37334DDB" w14:textId="6DAB5DE9" w:rsidR="000B1908" w:rsidRPr="00921C9B" w:rsidRDefault="000B1908">
      <w:pPr>
        <w:widowControl/>
        <w:rPr>
          <w:b/>
          <w:szCs w:val="24"/>
          <w:lang w:eastAsia="en-US"/>
        </w:rPr>
      </w:pPr>
    </w:p>
    <w:p w14:paraId="623EB4BF" w14:textId="77777777" w:rsidR="000B1908" w:rsidRPr="00921C9B" w:rsidRDefault="000B1908">
      <w:pPr>
        <w:widowControl/>
        <w:rPr>
          <w:b/>
          <w:szCs w:val="24"/>
          <w:lang w:eastAsia="en-US"/>
        </w:rPr>
        <w:sectPr w:rsidR="000B1908" w:rsidRPr="00921C9B">
          <w:footnotePr>
            <w:numRestart w:val="eachSect"/>
          </w:footnotePr>
          <w:pgSz w:w="11909" w:h="16834"/>
          <w:pgMar w:top="1134" w:right="1417" w:bottom="1417" w:left="1417" w:header="1134" w:footer="567" w:gutter="0"/>
          <w:cols w:space="72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461"/>
        <w:gridCol w:w="3662"/>
        <w:gridCol w:w="2431"/>
        <w:gridCol w:w="1926"/>
        <w:gridCol w:w="1926"/>
        <w:gridCol w:w="2867"/>
      </w:tblGrid>
      <w:tr w:rsidR="000D29CC" w:rsidRPr="00921C9B" w14:paraId="60F59D98" w14:textId="77777777" w:rsidTr="004C279A">
        <w:trPr>
          <w:tblHeader/>
        </w:trPr>
        <w:tc>
          <w:tcPr>
            <w:tcW w:w="0" w:type="auto"/>
          </w:tcPr>
          <w:p w14:paraId="72A387D9" w14:textId="77777777" w:rsidR="000D29CC" w:rsidRPr="00921C9B" w:rsidRDefault="000D29CC" w:rsidP="000D29CC">
            <w:pPr>
              <w:spacing w:before="120" w:after="120" w:line="360" w:lineRule="auto"/>
              <w:rPr>
                <w:szCs w:val="24"/>
                <w:lang w:eastAsia="en-US"/>
              </w:rPr>
            </w:pPr>
            <w:r w:rsidRPr="00921C9B">
              <w:rPr>
                <w:szCs w:val="24"/>
                <w:lang w:eastAsia="en-US"/>
              </w:rPr>
              <w:lastRenderedPageBreak/>
              <w:t>(1)</w:t>
            </w:r>
          </w:p>
        </w:tc>
        <w:tc>
          <w:tcPr>
            <w:tcW w:w="0" w:type="auto"/>
          </w:tcPr>
          <w:p w14:paraId="069F95BC" w14:textId="77777777" w:rsidR="000D29CC" w:rsidRPr="00921C9B" w:rsidRDefault="000D29CC" w:rsidP="000D29CC">
            <w:pPr>
              <w:spacing w:before="120" w:after="120" w:line="360" w:lineRule="auto"/>
              <w:rPr>
                <w:szCs w:val="24"/>
                <w:lang w:eastAsia="en-US"/>
              </w:rPr>
            </w:pPr>
            <w:r w:rsidRPr="00921C9B">
              <w:rPr>
                <w:szCs w:val="24"/>
                <w:lang w:eastAsia="en-US"/>
              </w:rPr>
              <w:t>(2)</w:t>
            </w:r>
          </w:p>
        </w:tc>
        <w:tc>
          <w:tcPr>
            <w:tcW w:w="0" w:type="auto"/>
          </w:tcPr>
          <w:p w14:paraId="333FF130" w14:textId="77777777" w:rsidR="000D29CC" w:rsidRPr="00921C9B" w:rsidRDefault="000D29CC" w:rsidP="000D29CC">
            <w:pPr>
              <w:spacing w:before="120" w:after="120" w:line="360" w:lineRule="auto"/>
              <w:rPr>
                <w:szCs w:val="24"/>
                <w:lang w:eastAsia="en-US"/>
              </w:rPr>
            </w:pPr>
            <w:r w:rsidRPr="00921C9B">
              <w:rPr>
                <w:szCs w:val="24"/>
                <w:lang w:eastAsia="en-US"/>
              </w:rPr>
              <w:t>(3)</w:t>
            </w:r>
          </w:p>
        </w:tc>
        <w:tc>
          <w:tcPr>
            <w:tcW w:w="0" w:type="auto"/>
          </w:tcPr>
          <w:p w14:paraId="37149881" w14:textId="77777777" w:rsidR="000D29CC" w:rsidRPr="00921C9B" w:rsidRDefault="000D29CC" w:rsidP="000D29CC">
            <w:pPr>
              <w:spacing w:before="120" w:after="120" w:line="360" w:lineRule="auto"/>
              <w:rPr>
                <w:szCs w:val="24"/>
                <w:lang w:eastAsia="en-US"/>
              </w:rPr>
            </w:pPr>
            <w:r w:rsidRPr="00921C9B">
              <w:rPr>
                <w:szCs w:val="24"/>
                <w:lang w:eastAsia="en-US"/>
              </w:rPr>
              <w:t>(4)</w:t>
            </w:r>
          </w:p>
        </w:tc>
        <w:tc>
          <w:tcPr>
            <w:tcW w:w="0" w:type="auto"/>
          </w:tcPr>
          <w:p w14:paraId="2C2B4D14" w14:textId="77777777" w:rsidR="000D29CC" w:rsidRPr="00921C9B" w:rsidRDefault="000D29CC" w:rsidP="000D29CC">
            <w:pPr>
              <w:spacing w:before="120" w:after="120" w:line="360" w:lineRule="auto"/>
              <w:rPr>
                <w:szCs w:val="24"/>
                <w:lang w:eastAsia="en-US"/>
              </w:rPr>
            </w:pPr>
            <w:r w:rsidRPr="00921C9B">
              <w:rPr>
                <w:szCs w:val="24"/>
                <w:lang w:eastAsia="en-US"/>
              </w:rPr>
              <w:t>(5)</w:t>
            </w:r>
          </w:p>
        </w:tc>
        <w:tc>
          <w:tcPr>
            <w:tcW w:w="0" w:type="auto"/>
          </w:tcPr>
          <w:p w14:paraId="1438C54B" w14:textId="77777777" w:rsidR="000D29CC" w:rsidRPr="00921C9B" w:rsidRDefault="000D29CC" w:rsidP="000D29CC">
            <w:pPr>
              <w:spacing w:before="120" w:after="120" w:line="360" w:lineRule="auto"/>
              <w:rPr>
                <w:szCs w:val="24"/>
                <w:lang w:eastAsia="en-US"/>
              </w:rPr>
            </w:pPr>
            <w:r w:rsidRPr="00921C9B">
              <w:rPr>
                <w:szCs w:val="24"/>
                <w:lang w:eastAsia="en-US"/>
              </w:rPr>
              <w:t>(6)</w:t>
            </w:r>
          </w:p>
        </w:tc>
      </w:tr>
      <w:tr w:rsidR="000D29CC" w:rsidRPr="00921C9B" w14:paraId="21632FFA" w14:textId="77777777" w:rsidTr="004C279A">
        <w:tc>
          <w:tcPr>
            <w:tcW w:w="0" w:type="auto"/>
          </w:tcPr>
          <w:p w14:paraId="49ABB7C5" w14:textId="77777777" w:rsidR="000D29CC" w:rsidRPr="00921C9B" w:rsidRDefault="000D29CC" w:rsidP="000D29CC">
            <w:pPr>
              <w:spacing w:before="120" w:after="120" w:line="360" w:lineRule="auto"/>
              <w:rPr>
                <w:szCs w:val="24"/>
                <w:lang w:eastAsia="en-US"/>
              </w:rPr>
            </w:pPr>
            <w:r w:rsidRPr="00921C9B">
              <w:rPr>
                <w:szCs w:val="24"/>
                <w:lang w:eastAsia="en-US"/>
              </w:rPr>
              <w:t>[Запис] №</w:t>
            </w:r>
          </w:p>
        </w:tc>
        <w:tc>
          <w:tcPr>
            <w:tcW w:w="0" w:type="auto"/>
          </w:tcPr>
          <w:p w14:paraId="5BB5DB74" w14:textId="77777777" w:rsidR="000D29CC" w:rsidRPr="00921C9B" w:rsidRDefault="000D29CC" w:rsidP="000D29CC">
            <w:pPr>
              <w:spacing w:before="120" w:after="120" w:line="360" w:lineRule="auto"/>
              <w:rPr>
                <w:szCs w:val="24"/>
                <w:lang w:eastAsia="en-US"/>
              </w:rPr>
            </w:pPr>
            <w:r w:rsidRPr="00921C9B">
              <w:rPr>
                <w:szCs w:val="24"/>
                <w:lang w:eastAsia="en-US"/>
              </w:rPr>
              <w:t>Наименование на веществото</w:t>
            </w:r>
          </w:p>
        </w:tc>
        <w:tc>
          <w:tcPr>
            <w:tcW w:w="0" w:type="auto"/>
          </w:tcPr>
          <w:p w14:paraId="6AB0D7A4" w14:textId="77777777" w:rsidR="000D29CC" w:rsidRPr="00921C9B" w:rsidRDefault="000D29CC" w:rsidP="000D29CC">
            <w:pPr>
              <w:spacing w:before="120" w:after="120" w:line="360" w:lineRule="auto"/>
              <w:rPr>
                <w:szCs w:val="24"/>
                <w:lang w:eastAsia="en-US"/>
              </w:rPr>
            </w:pPr>
            <w:r w:rsidRPr="00921C9B">
              <w:rPr>
                <w:szCs w:val="24"/>
                <w:lang w:eastAsia="en-US"/>
              </w:rPr>
              <w:t>Категория на веществата</w:t>
            </w:r>
          </w:p>
        </w:tc>
        <w:tc>
          <w:tcPr>
            <w:tcW w:w="0" w:type="auto"/>
          </w:tcPr>
          <w:p w14:paraId="1D4D9B00" w14:textId="77777777" w:rsidR="000D29CC" w:rsidRPr="00921C9B" w:rsidRDefault="000D29CC" w:rsidP="000D29CC">
            <w:pPr>
              <w:spacing w:before="120" w:after="120" w:line="360" w:lineRule="auto"/>
              <w:rPr>
                <w:szCs w:val="24"/>
                <w:lang w:eastAsia="en-US"/>
              </w:rPr>
            </w:pPr>
            <w:r w:rsidRPr="00921C9B">
              <w:rPr>
                <w:szCs w:val="24"/>
                <w:lang w:eastAsia="en-US"/>
              </w:rPr>
              <w:t>Номер по CAS (1)</w:t>
            </w:r>
          </w:p>
        </w:tc>
        <w:tc>
          <w:tcPr>
            <w:tcW w:w="0" w:type="auto"/>
          </w:tcPr>
          <w:p w14:paraId="45402278" w14:textId="77777777" w:rsidR="000D29CC" w:rsidRPr="00921C9B" w:rsidRDefault="000D29CC" w:rsidP="000D29CC">
            <w:pPr>
              <w:spacing w:before="120" w:after="120" w:line="360" w:lineRule="auto"/>
              <w:rPr>
                <w:szCs w:val="24"/>
                <w:lang w:eastAsia="en-US"/>
              </w:rPr>
            </w:pPr>
            <w:r w:rsidRPr="00921C9B">
              <w:rPr>
                <w:szCs w:val="24"/>
                <w:lang w:eastAsia="en-US"/>
              </w:rPr>
              <w:t>Номер по ЕС (2)</w:t>
            </w:r>
          </w:p>
        </w:tc>
        <w:tc>
          <w:tcPr>
            <w:tcW w:w="0" w:type="auto"/>
          </w:tcPr>
          <w:p w14:paraId="48773CC5" w14:textId="77777777" w:rsidR="000D29CC" w:rsidRPr="00921C9B" w:rsidRDefault="000D29CC" w:rsidP="000D29CC">
            <w:pPr>
              <w:spacing w:before="120" w:after="120" w:line="360" w:lineRule="auto"/>
              <w:rPr>
                <w:szCs w:val="24"/>
                <w:lang w:eastAsia="en-US"/>
              </w:rPr>
            </w:pPr>
            <w:r w:rsidRPr="00921C9B">
              <w:rPr>
                <w:szCs w:val="24"/>
                <w:lang w:eastAsia="en-US"/>
              </w:rPr>
              <w:t>Стандарт за качество (3) (в µg/l, освен ако не е предвидено друго)</w:t>
            </w:r>
          </w:p>
        </w:tc>
      </w:tr>
      <w:tr w:rsidR="000D29CC" w:rsidRPr="00921C9B" w14:paraId="00C20831" w14:textId="77777777" w:rsidTr="004C279A">
        <w:tc>
          <w:tcPr>
            <w:tcW w:w="0" w:type="auto"/>
          </w:tcPr>
          <w:p w14:paraId="75345E90" w14:textId="77777777" w:rsidR="000D29CC" w:rsidRPr="00921C9B" w:rsidRDefault="000D29CC" w:rsidP="000D29CC">
            <w:pPr>
              <w:spacing w:before="120" w:after="120" w:line="360" w:lineRule="auto"/>
              <w:rPr>
                <w:szCs w:val="24"/>
                <w:lang w:eastAsia="en-US"/>
              </w:rPr>
            </w:pPr>
            <w:r w:rsidRPr="00921C9B">
              <w:rPr>
                <w:szCs w:val="24"/>
                <w:lang w:eastAsia="en-US"/>
              </w:rPr>
              <w:t>1</w:t>
            </w:r>
          </w:p>
        </w:tc>
        <w:tc>
          <w:tcPr>
            <w:tcW w:w="0" w:type="auto"/>
          </w:tcPr>
          <w:p w14:paraId="751CA4DC" w14:textId="77777777" w:rsidR="000D29CC" w:rsidRPr="00921C9B" w:rsidRDefault="000D29CC" w:rsidP="000D29CC">
            <w:pPr>
              <w:spacing w:before="120" w:after="120" w:line="360" w:lineRule="auto"/>
              <w:rPr>
                <w:szCs w:val="24"/>
                <w:lang w:eastAsia="en-US"/>
              </w:rPr>
            </w:pPr>
            <w:r w:rsidRPr="00921C9B">
              <w:rPr>
                <w:szCs w:val="24"/>
                <w:lang w:eastAsia="en-US"/>
              </w:rPr>
              <w:t>Нитрати</w:t>
            </w:r>
          </w:p>
        </w:tc>
        <w:tc>
          <w:tcPr>
            <w:tcW w:w="0" w:type="auto"/>
          </w:tcPr>
          <w:p w14:paraId="66ED7126" w14:textId="77777777" w:rsidR="000D29CC" w:rsidRPr="00921C9B" w:rsidRDefault="000D29CC" w:rsidP="000D29CC">
            <w:pPr>
              <w:spacing w:before="120" w:after="120" w:line="360" w:lineRule="auto"/>
              <w:rPr>
                <w:szCs w:val="24"/>
                <w:lang w:eastAsia="en-US"/>
              </w:rPr>
            </w:pPr>
            <w:r w:rsidRPr="00921C9B">
              <w:rPr>
                <w:szCs w:val="24"/>
                <w:lang w:eastAsia="en-US"/>
              </w:rPr>
              <w:t>Хранителни вещества</w:t>
            </w:r>
          </w:p>
        </w:tc>
        <w:tc>
          <w:tcPr>
            <w:tcW w:w="0" w:type="auto"/>
          </w:tcPr>
          <w:p w14:paraId="3E1AA7EE" w14:textId="77777777" w:rsidR="000D29CC" w:rsidRPr="00921C9B" w:rsidRDefault="000D29CC" w:rsidP="000D29CC">
            <w:pPr>
              <w:spacing w:before="120" w:after="120" w:line="360" w:lineRule="auto"/>
              <w:rPr>
                <w:szCs w:val="24"/>
                <w:lang w:eastAsia="en-US"/>
              </w:rPr>
            </w:pPr>
            <w:r w:rsidRPr="00921C9B">
              <w:rPr>
                <w:szCs w:val="24"/>
                <w:lang w:eastAsia="en-US"/>
              </w:rPr>
              <w:t>не се прилага</w:t>
            </w:r>
          </w:p>
        </w:tc>
        <w:tc>
          <w:tcPr>
            <w:tcW w:w="0" w:type="auto"/>
          </w:tcPr>
          <w:p w14:paraId="1FA9293C" w14:textId="77777777" w:rsidR="000D29CC" w:rsidRPr="00921C9B" w:rsidRDefault="000D29CC" w:rsidP="000D29CC">
            <w:pPr>
              <w:spacing w:before="120" w:after="120" w:line="360" w:lineRule="auto"/>
              <w:rPr>
                <w:szCs w:val="24"/>
                <w:lang w:eastAsia="en-US"/>
              </w:rPr>
            </w:pPr>
            <w:r w:rsidRPr="00921C9B">
              <w:rPr>
                <w:szCs w:val="24"/>
                <w:lang w:eastAsia="en-US"/>
              </w:rPr>
              <w:t>не се прилага</w:t>
            </w:r>
          </w:p>
        </w:tc>
        <w:tc>
          <w:tcPr>
            <w:tcW w:w="0" w:type="auto"/>
          </w:tcPr>
          <w:p w14:paraId="379F991F" w14:textId="77777777" w:rsidR="000D29CC" w:rsidRPr="00921C9B" w:rsidRDefault="000D29CC" w:rsidP="000D29CC">
            <w:pPr>
              <w:spacing w:before="120" w:after="120" w:line="360" w:lineRule="auto"/>
              <w:rPr>
                <w:szCs w:val="24"/>
                <w:lang w:eastAsia="en-US"/>
              </w:rPr>
            </w:pPr>
            <w:r w:rsidRPr="00921C9B">
              <w:rPr>
                <w:szCs w:val="24"/>
                <w:lang w:eastAsia="en-US"/>
              </w:rPr>
              <w:t>50 mg/l</w:t>
            </w:r>
          </w:p>
        </w:tc>
      </w:tr>
      <w:tr w:rsidR="000D29CC" w:rsidRPr="00921C9B" w14:paraId="216ABE03" w14:textId="77777777" w:rsidTr="004C279A">
        <w:tc>
          <w:tcPr>
            <w:tcW w:w="0" w:type="auto"/>
            <w:vMerge w:val="restart"/>
          </w:tcPr>
          <w:p w14:paraId="2EC0EFAE" w14:textId="77777777" w:rsidR="000D29CC" w:rsidRPr="00921C9B" w:rsidRDefault="000D29CC" w:rsidP="000D29CC">
            <w:pPr>
              <w:spacing w:before="120" w:after="120" w:line="360" w:lineRule="auto"/>
              <w:rPr>
                <w:szCs w:val="24"/>
                <w:lang w:eastAsia="en-US"/>
              </w:rPr>
            </w:pPr>
            <w:r w:rsidRPr="00921C9B">
              <w:rPr>
                <w:szCs w:val="24"/>
                <w:lang w:eastAsia="en-US"/>
              </w:rPr>
              <w:t>2</w:t>
            </w:r>
          </w:p>
        </w:tc>
        <w:tc>
          <w:tcPr>
            <w:tcW w:w="0" w:type="auto"/>
            <w:vMerge w:val="restart"/>
          </w:tcPr>
          <w:p w14:paraId="3AB7C2AD" w14:textId="77777777" w:rsidR="000D29CC" w:rsidRPr="00921C9B" w:rsidRDefault="000D29CC" w:rsidP="000D29CC">
            <w:pPr>
              <w:spacing w:before="120" w:after="120" w:line="360" w:lineRule="auto"/>
              <w:rPr>
                <w:szCs w:val="24"/>
                <w:lang w:eastAsia="en-US"/>
              </w:rPr>
            </w:pPr>
            <w:r w:rsidRPr="00921C9B">
              <w:rPr>
                <w:szCs w:val="24"/>
                <w:lang w:eastAsia="en-US"/>
              </w:rPr>
              <w:t>Активни вещества в пестициди, включително съответните им метаболити, продукти на разграждане и взаимодействие (4)</w:t>
            </w:r>
          </w:p>
        </w:tc>
        <w:tc>
          <w:tcPr>
            <w:tcW w:w="0" w:type="auto"/>
            <w:vMerge w:val="restart"/>
          </w:tcPr>
          <w:p w14:paraId="36B42B5F" w14:textId="77777777" w:rsidR="000D29CC" w:rsidRPr="00921C9B" w:rsidRDefault="000D29CC" w:rsidP="000D29CC">
            <w:pPr>
              <w:spacing w:before="120" w:after="120" w:line="360" w:lineRule="auto"/>
              <w:rPr>
                <w:szCs w:val="24"/>
                <w:lang w:eastAsia="en-US"/>
              </w:rPr>
            </w:pPr>
            <w:r w:rsidRPr="00921C9B">
              <w:rPr>
                <w:szCs w:val="24"/>
                <w:lang w:eastAsia="en-US"/>
              </w:rPr>
              <w:t>Пестициди</w:t>
            </w:r>
          </w:p>
        </w:tc>
        <w:tc>
          <w:tcPr>
            <w:tcW w:w="0" w:type="auto"/>
            <w:vMerge w:val="restart"/>
          </w:tcPr>
          <w:p w14:paraId="38F0A671" w14:textId="77777777" w:rsidR="000D29CC" w:rsidRPr="00921C9B" w:rsidRDefault="000D29CC" w:rsidP="000D29CC">
            <w:pPr>
              <w:spacing w:before="120" w:after="120" w:line="360" w:lineRule="auto"/>
              <w:rPr>
                <w:szCs w:val="24"/>
                <w:lang w:eastAsia="en-US"/>
              </w:rPr>
            </w:pPr>
            <w:r w:rsidRPr="00921C9B">
              <w:rPr>
                <w:szCs w:val="24"/>
                <w:lang w:eastAsia="en-US"/>
              </w:rPr>
              <w:t>не се прилага</w:t>
            </w:r>
          </w:p>
        </w:tc>
        <w:tc>
          <w:tcPr>
            <w:tcW w:w="0" w:type="auto"/>
            <w:vMerge w:val="restart"/>
          </w:tcPr>
          <w:p w14:paraId="032E091B" w14:textId="77777777" w:rsidR="000D29CC" w:rsidRPr="00921C9B" w:rsidRDefault="000D29CC" w:rsidP="000D29CC">
            <w:pPr>
              <w:spacing w:before="120" w:after="120" w:line="360" w:lineRule="auto"/>
              <w:rPr>
                <w:szCs w:val="24"/>
                <w:lang w:eastAsia="en-US"/>
              </w:rPr>
            </w:pPr>
            <w:r w:rsidRPr="00921C9B">
              <w:rPr>
                <w:szCs w:val="24"/>
                <w:lang w:eastAsia="en-US"/>
              </w:rPr>
              <w:t>не се прилага</w:t>
            </w:r>
          </w:p>
        </w:tc>
        <w:tc>
          <w:tcPr>
            <w:tcW w:w="0" w:type="auto"/>
          </w:tcPr>
          <w:p w14:paraId="1820124C" w14:textId="77777777" w:rsidR="000D29CC" w:rsidRPr="00921C9B" w:rsidRDefault="000D29CC" w:rsidP="000D29CC">
            <w:pPr>
              <w:spacing w:before="120" w:after="120" w:line="360" w:lineRule="auto"/>
              <w:rPr>
                <w:szCs w:val="24"/>
                <w:lang w:eastAsia="en-US"/>
              </w:rPr>
            </w:pPr>
            <w:r w:rsidRPr="00921C9B">
              <w:rPr>
                <w:strike/>
                <w:szCs w:val="24"/>
                <w:lang w:eastAsia="en-US"/>
              </w:rPr>
              <w:t>0,1</w:t>
            </w:r>
            <w:r w:rsidRPr="00921C9B">
              <w:rPr>
                <w:b/>
                <w:i/>
                <w:szCs w:val="24"/>
                <w:lang w:eastAsia="en-US"/>
              </w:rPr>
              <w:t>0,05</w:t>
            </w:r>
            <w:r w:rsidRPr="00921C9B">
              <w:rPr>
                <w:szCs w:val="24"/>
                <w:lang w:eastAsia="en-US"/>
              </w:rPr>
              <w:t xml:space="preserve"> (индивидуално)</w:t>
            </w:r>
            <w:r w:rsidRPr="00921C9B">
              <w:rPr>
                <w:b/>
                <w:i/>
                <w:szCs w:val="24"/>
                <w:lang w:eastAsia="en-US"/>
              </w:rPr>
              <w:t xml:space="preserve"> (4а)</w:t>
            </w:r>
          </w:p>
        </w:tc>
      </w:tr>
      <w:tr w:rsidR="000D29CC" w:rsidRPr="00921C9B" w14:paraId="57ED39D1" w14:textId="77777777" w:rsidTr="004C279A">
        <w:tc>
          <w:tcPr>
            <w:tcW w:w="0" w:type="auto"/>
            <w:vMerge/>
          </w:tcPr>
          <w:p w14:paraId="17083FC0" w14:textId="77777777" w:rsidR="000D29CC" w:rsidRPr="00921C9B" w:rsidRDefault="000D29CC" w:rsidP="000D29CC">
            <w:pPr>
              <w:spacing w:before="120" w:after="120" w:line="360" w:lineRule="auto"/>
              <w:rPr>
                <w:szCs w:val="24"/>
                <w:lang w:eastAsia="en-US"/>
              </w:rPr>
            </w:pPr>
          </w:p>
        </w:tc>
        <w:tc>
          <w:tcPr>
            <w:tcW w:w="0" w:type="auto"/>
            <w:vMerge/>
          </w:tcPr>
          <w:p w14:paraId="3282673E" w14:textId="77777777" w:rsidR="000D29CC" w:rsidRPr="00921C9B" w:rsidRDefault="000D29CC" w:rsidP="000D29CC">
            <w:pPr>
              <w:spacing w:before="120" w:after="120" w:line="360" w:lineRule="auto"/>
              <w:rPr>
                <w:szCs w:val="24"/>
                <w:lang w:eastAsia="en-US"/>
              </w:rPr>
            </w:pPr>
          </w:p>
        </w:tc>
        <w:tc>
          <w:tcPr>
            <w:tcW w:w="0" w:type="auto"/>
            <w:vMerge/>
          </w:tcPr>
          <w:p w14:paraId="4FBF7BBB" w14:textId="77777777" w:rsidR="000D29CC" w:rsidRPr="00921C9B" w:rsidRDefault="000D29CC" w:rsidP="000D29CC">
            <w:pPr>
              <w:spacing w:before="120" w:after="120" w:line="360" w:lineRule="auto"/>
              <w:rPr>
                <w:szCs w:val="24"/>
                <w:lang w:eastAsia="en-US"/>
              </w:rPr>
            </w:pPr>
          </w:p>
        </w:tc>
        <w:tc>
          <w:tcPr>
            <w:tcW w:w="0" w:type="auto"/>
            <w:vMerge/>
          </w:tcPr>
          <w:p w14:paraId="7FFA9656" w14:textId="77777777" w:rsidR="000D29CC" w:rsidRPr="00921C9B" w:rsidRDefault="000D29CC" w:rsidP="000D29CC">
            <w:pPr>
              <w:spacing w:before="120" w:after="120" w:line="360" w:lineRule="auto"/>
              <w:rPr>
                <w:szCs w:val="24"/>
                <w:lang w:eastAsia="en-US"/>
              </w:rPr>
            </w:pPr>
          </w:p>
        </w:tc>
        <w:tc>
          <w:tcPr>
            <w:tcW w:w="0" w:type="auto"/>
            <w:vMerge/>
          </w:tcPr>
          <w:p w14:paraId="4B66668A" w14:textId="77777777" w:rsidR="000D29CC" w:rsidRPr="00921C9B" w:rsidRDefault="000D29CC" w:rsidP="000D29CC">
            <w:pPr>
              <w:spacing w:before="120" w:after="120" w:line="360" w:lineRule="auto"/>
              <w:rPr>
                <w:szCs w:val="24"/>
                <w:lang w:eastAsia="en-US"/>
              </w:rPr>
            </w:pPr>
          </w:p>
        </w:tc>
        <w:tc>
          <w:tcPr>
            <w:tcW w:w="0" w:type="auto"/>
          </w:tcPr>
          <w:p w14:paraId="32789B5E" w14:textId="4308EE6E" w:rsidR="000D29CC" w:rsidRPr="00921C9B" w:rsidRDefault="000D29CC" w:rsidP="000D29CC">
            <w:pPr>
              <w:spacing w:before="120" w:after="120" w:line="360" w:lineRule="auto"/>
              <w:rPr>
                <w:b/>
                <w:szCs w:val="24"/>
                <w:lang w:eastAsia="en-US"/>
              </w:rPr>
            </w:pPr>
            <w:r w:rsidRPr="00921C9B">
              <w:rPr>
                <w:strike/>
                <w:szCs w:val="24"/>
                <w:lang w:eastAsia="en-US"/>
              </w:rPr>
              <w:t>0,5</w:t>
            </w:r>
            <w:r w:rsidRPr="00921C9B">
              <w:rPr>
                <w:b/>
                <w:i/>
                <w:szCs w:val="24"/>
                <w:lang w:eastAsia="en-US"/>
              </w:rPr>
              <w:t>0,25</w:t>
            </w:r>
            <w:r w:rsidRPr="00921C9B">
              <w:rPr>
                <w:szCs w:val="24"/>
                <w:lang w:eastAsia="en-US"/>
              </w:rPr>
              <w:t xml:space="preserve"> (общо) (5)</w:t>
            </w:r>
            <w:r w:rsidR="006D417D" w:rsidRPr="00921C9B">
              <w:rPr>
                <w:b/>
                <w:szCs w:val="24"/>
                <w:lang w:eastAsia="en-US"/>
              </w:rPr>
              <w:t xml:space="preserve"> [Изм. 144]</w:t>
            </w:r>
          </w:p>
        </w:tc>
      </w:tr>
      <w:tr w:rsidR="000D29CC" w:rsidRPr="00921C9B" w14:paraId="0F1CCF78" w14:textId="77777777" w:rsidTr="004C279A">
        <w:tc>
          <w:tcPr>
            <w:tcW w:w="0" w:type="auto"/>
          </w:tcPr>
          <w:p w14:paraId="42CFEA81" w14:textId="77777777" w:rsidR="000D29CC" w:rsidRPr="00921C9B" w:rsidRDefault="000D29CC" w:rsidP="000D29CC">
            <w:pPr>
              <w:spacing w:before="120" w:after="120" w:line="360" w:lineRule="auto"/>
              <w:rPr>
                <w:szCs w:val="24"/>
                <w:lang w:eastAsia="en-US"/>
              </w:rPr>
            </w:pPr>
            <w:r w:rsidRPr="00921C9B">
              <w:rPr>
                <w:szCs w:val="24"/>
                <w:lang w:eastAsia="en-US"/>
              </w:rPr>
              <w:t>3</w:t>
            </w:r>
          </w:p>
        </w:tc>
        <w:tc>
          <w:tcPr>
            <w:tcW w:w="0" w:type="auto"/>
          </w:tcPr>
          <w:p w14:paraId="3D644010" w14:textId="77777777" w:rsidR="000D29CC" w:rsidRPr="00921C9B" w:rsidRDefault="000D29CC" w:rsidP="000D29CC">
            <w:pPr>
              <w:spacing w:before="120" w:after="120" w:line="360" w:lineRule="auto"/>
              <w:rPr>
                <w:szCs w:val="24"/>
                <w:lang w:eastAsia="en-US"/>
              </w:rPr>
            </w:pPr>
            <w:r w:rsidRPr="00921C9B">
              <w:rPr>
                <w:szCs w:val="24"/>
                <w:lang w:eastAsia="en-US"/>
              </w:rPr>
              <w:t>Пер- и полифлуорирани алкилни вещества (PFAS) — сбор от 24 (6)</w:t>
            </w:r>
          </w:p>
        </w:tc>
        <w:tc>
          <w:tcPr>
            <w:tcW w:w="0" w:type="auto"/>
          </w:tcPr>
          <w:p w14:paraId="49FA808D" w14:textId="77777777" w:rsidR="000D29CC" w:rsidRPr="00921C9B" w:rsidRDefault="000D29CC" w:rsidP="000D29CC">
            <w:pPr>
              <w:spacing w:before="120" w:after="120" w:line="360" w:lineRule="auto"/>
              <w:rPr>
                <w:szCs w:val="24"/>
                <w:lang w:eastAsia="en-US"/>
              </w:rPr>
            </w:pPr>
            <w:r w:rsidRPr="00921C9B">
              <w:rPr>
                <w:szCs w:val="24"/>
                <w:lang w:eastAsia="en-US"/>
              </w:rPr>
              <w:t>Промишлени вещества</w:t>
            </w:r>
          </w:p>
        </w:tc>
        <w:tc>
          <w:tcPr>
            <w:tcW w:w="0" w:type="auto"/>
          </w:tcPr>
          <w:p w14:paraId="2A2279CA" w14:textId="77777777" w:rsidR="000D29CC" w:rsidRPr="00921C9B" w:rsidRDefault="000D29CC" w:rsidP="000D29CC">
            <w:pPr>
              <w:spacing w:before="120" w:after="120" w:line="360" w:lineRule="auto"/>
              <w:rPr>
                <w:szCs w:val="24"/>
                <w:lang w:eastAsia="en-US"/>
              </w:rPr>
            </w:pPr>
            <w:r w:rsidRPr="00921C9B">
              <w:rPr>
                <w:szCs w:val="24"/>
                <w:lang w:eastAsia="en-US"/>
              </w:rPr>
              <w:t>Вж. бележка 6 към таблицата</w:t>
            </w:r>
          </w:p>
        </w:tc>
        <w:tc>
          <w:tcPr>
            <w:tcW w:w="0" w:type="auto"/>
          </w:tcPr>
          <w:p w14:paraId="07A708B0" w14:textId="77777777" w:rsidR="000D29CC" w:rsidRPr="00921C9B" w:rsidRDefault="000D29CC" w:rsidP="000D29CC">
            <w:pPr>
              <w:spacing w:before="120" w:after="120" w:line="360" w:lineRule="auto"/>
              <w:rPr>
                <w:szCs w:val="24"/>
                <w:lang w:eastAsia="en-US"/>
              </w:rPr>
            </w:pPr>
            <w:r w:rsidRPr="00921C9B">
              <w:rPr>
                <w:szCs w:val="24"/>
                <w:lang w:eastAsia="en-US"/>
              </w:rPr>
              <w:t>Вж. бележка 6 към таблицата</w:t>
            </w:r>
          </w:p>
        </w:tc>
        <w:tc>
          <w:tcPr>
            <w:tcW w:w="0" w:type="auto"/>
          </w:tcPr>
          <w:p w14:paraId="2E04F44C" w14:textId="77777777" w:rsidR="000D29CC" w:rsidRPr="00921C9B" w:rsidRDefault="000D29CC" w:rsidP="000D29CC">
            <w:pPr>
              <w:spacing w:before="120" w:after="120" w:line="360" w:lineRule="auto"/>
              <w:rPr>
                <w:szCs w:val="24"/>
                <w:lang w:eastAsia="en-US"/>
              </w:rPr>
            </w:pPr>
            <w:r w:rsidRPr="00921C9B">
              <w:rPr>
                <w:szCs w:val="24"/>
                <w:lang w:eastAsia="en-US"/>
              </w:rPr>
              <w:t>0,0044 (7)</w:t>
            </w:r>
          </w:p>
        </w:tc>
      </w:tr>
      <w:tr w:rsidR="006D417D" w:rsidRPr="00921C9B" w14:paraId="422B075B" w14:textId="77777777" w:rsidTr="004C279A">
        <w:tc>
          <w:tcPr>
            <w:tcW w:w="0" w:type="auto"/>
          </w:tcPr>
          <w:p w14:paraId="08BC69A5" w14:textId="3AAC21C8" w:rsidR="006D417D" w:rsidRPr="00921C9B" w:rsidRDefault="006D417D" w:rsidP="006D417D">
            <w:pPr>
              <w:spacing w:before="120" w:after="120" w:line="360" w:lineRule="auto"/>
              <w:rPr>
                <w:szCs w:val="24"/>
                <w:lang w:eastAsia="en-US"/>
              </w:rPr>
            </w:pPr>
            <w:r w:rsidRPr="00921C9B">
              <w:rPr>
                <w:b/>
                <w:i/>
                <w:sz w:val="22"/>
              </w:rPr>
              <w:t>3a.</w:t>
            </w:r>
          </w:p>
        </w:tc>
        <w:tc>
          <w:tcPr>
            <w:tcW w:w="0" w:type="auto"/>
          </w:tcPr>
          <w:p w14:paraId="3F2D96FD" w14:textId="7898CD2B" w:rsidR="006D417D" w:rsidRPr="00921C9B" w:rsidRDefault="006D417D" w:rsidP="006D417D">
            <w:pPr>
              <w:spacing w:before="120" w:after="120" w:line="360" w:lineRule="auto"/>
              <w:rPr>
                <w:szCs w:val="24"/>
                <w:lang w:eastAsia="en-US"/>
              </w:rPr>
            </w:pPr>
            <w:r w:rsidRPr="00921C9B">
              <w:rPr>
                <w:b/>
                <w:i/>
                <w:sz w:val="22"/>
              </w:rPr>
              <w:t>PFAS – общо</w:t>
            </w:r>
          </w:p>
        </w:tc>
        <w:tc>
          <w:tcPr>
            <w:tcW w:w="0" w:type="auto"/>
          </w:tcPr>
          <w:p w14:paraId="53063CA7" w14:textId="1903F0D2" w:rsidR="006D417D" w:rsidRPr="00921C9B" w:rsidRDefault="006D417D" w:rsidP="006D417D">
            <w:pPr>
              <w:spacing w:before="120" w:after="120" w:line="360" w:lineRule="auto"/>
              <w:rPr>
                <w:szCs w:val="24"/>
                <w:lang w:eastAsia="en-US"/>
              </w:rPr>
            </w:pPr>
            <w:r w:rsidRPr="00921C9B">
              <w:rPr>
                <w:b/>
                <w:i/>
                <w:sz w:val="22"/>
              </w:rPr>
              <w:t>Фармацевтични продукти</w:t>
            </w:r>
          </w:p>
        </w:tc>
        <w:tc>
          <w:tcPr>
            <w:tcW w:w="0" w:type="auto"/>
          </w:tcPr>
          <w:p w14:paraId="3151BD38" w14:textId="473A680E" w:rsidR="006D417D" w:rsidRPr="00921C9B" w:rsidRDefault="006D417D" w:rsidP="006D417D">
            <w:pPr>
              <w:spacing w:before="120" w:after="120" w:line="360" w:lineRule="auto"/>
              <w:rPr>
                <w:szCs w:val="24"/>
                <w:lang w:eastAsia="en-US"/>
              </w:rPr>
            </w:pPr>
            <w:r w:rsidRPr="00921C9B">
              <w:rPr>
                <w:b/>
                <w:i/>
                <w:sz w:val="22"/>
              </w:rPr>
              <w:t>не се прилага</w:t>
            </w:r>
          </w:p>
        </w:tc>
        <w:tc>
          <w:tcPr>
            <w:tcW w:w="0" w:type="auto"/>
          </w:tcPr>
          <w:p w14:paraId="27D4CC0F" w14:textId="26B6AAAB" w:rsidR="006D417D" w:rsidRPr="00921C9B" w:rsidRDefault="006D417D" w:rsidP="006D417D">
            <w:pPr>
              <w:spacing w:before="120" w:after="120" w:line="360" w:lineRule="auto"/>
              <w:rPr>
                <w:szCs w:val="24"/>
                <w:lang w:eastAsia="en-US"/>
              </w:rPr>
            </w:pPr>
            <w:r w:rsidRPr="00921C9B">
              <w:rPr>
                <w:b/>
                <w:i/>
                <w:sz w:val="22"/>
              </w:rPr>
              <w:t>не се прилага</w:t>
            </w:r>
          </w:p>
        </w:tc>
        <w:tc>
          <w:tcPr>
            <w:tcW w:w="0" w:type="auto"/>
          </w:tcPr>
          <w:p w14:paraId="29A53690" w14:textId="1015F7E0" w:rsidR="006D417D" w:rsidRPr="00921C9B" w:rsidRDefault="006D417D" w:rsidP="006D417D">
            <w:pPr>
              <w:spacing w:before="120" w:after="120" w:line="360" w:lineRule="auto"/>
              <w:rPr>
                <w:b/>
                <w:strike/>
                <w:szCs w:val="24"/>
                <w:lang w:eastAsia="en-US"/>
              </w:rPr>
            </w:pPr>
            <w:r w:rsidRPr="00921C9B">
              <w:rPr>
                <w:b/>
                <w:i/>
                <w:sz w:val="22"/>
              </w:rPr>
              <w:t>(</w:t>
            </w:r>
            <w:r w:rsidRPr="00921C9B">
              <w:rPr>
                <w:b/>
                <w:i/>
                <w:sz w:val="22"/>
                <w:vertAlign w:val="superscript"/>
              </w:rPr>
              <w:t>7a</w:t>
            </w:r>
            <w:r w:rsidRPr="00921C9B">
              <w:rPr>
                <w:b/>
                <w:i/>
                <w:sz w:val="22"/>
              </w:rPr>
              <w:t>)</w:t>
            </w:r>
            <w:r w:rsidRPr="00921C9B">
              <w:rPr>
                <w:b/>
                <w:sz w:val="22"/>
              </w:rPr>
              <w:t xml:space="preserve"> [Изм. 145]</w:t>
            </w:r>
          </w:p>
        </w:tc>
      </w:tr>
      <w:tr w:rsidR="006D417D" w:rsidRPr="00921C9B" w14:paraId="46AF0B4B" w14:textId="77777777" w:rsidTr="004C279A">
        <w:tc>
          <w:tcPr>
            <w:tcW w:w="0" w:type="auto"/>
          </w:tcPr>
          <w:p w14:paraId="5F4FE97C" w14:textId="77777777" w:rsidR="006D417D" w:rsidRPr="00921C9B" w:rsidRDefault="006D417D" w:rsidP="006D417D">
            <w:pPr>
              <w:spacing w:before="120" w:after="120" w:line="360" w:lineRule="auto"/>
              <w:rPr>
                <w:szCs w:val="24"/>
                <w:lang w:eastAsia="en-US"/>
              </w:rPr>
            </w:pPr>
            <w:r w:rsidRPr="00921C9B">
              <w:rPr>
                <w:szCs w:val="24"/>
                <w:lang w:eastAsia="en-US"/>
              </w:rPr>
              <w:lastRenderedPageBreak/>
              <w:t>4</w:t>
            </w:r>
          </w:p>
        </w:tc>
        <w:tc>
          <w:tcPr>
            <w:tcW w:w="0" w:type="auto"/>
          </w:tcPr>
          <w:p w14:paraId="17BD3169" w14:textId="77777777" w:rsidR="006D417D" w:rsidRPr="00921C9B" w:rsidRDefault="006D417D" w:rsidP="006D417D">
            <w:pPr>
              <w:spacing w:before="120" w:after="120" w:line="360" w:lineRule="auto"/>
              <w:rPr>
                <w:szCs w:val="24"/>
                <w:lang w:eastAsia="en-US"/>
              </w:rPr>
            </w:pPr>
            <w:r w:rsidRPr="00921C9B">
              <w:rPr>
                <w:szCs w:val="24"/>
                <w:lang w:eastAsia="en-US"/>
              </w:rPr>
              <w:t>Карбамазепин</w:t>
            </w:r>
          </w:p>
        </w:tc>
        <w:tc>
          <w:tcPr>
            <w:tcW w:w="0" w:type="auto"/>
          </w:tcPr>
          <w:p w14:paraId="501D4A2E" w14:textId="77777777" w:rsidR="006D417D" w:rsidRPr="00921C9B" w:rsidRDefault="006D417D" w:rsidP="006D417D">
            <w:pPr>
              <w:spacing w:before="120" w:after="120" w:line="360" w:lineRule="auto"/>
              <w:rPr>
                <w:szCs w:val="24"/>
                <w:lang w:eastAsia="en-US"/>
              </w:rPr>
            </w:pPr>
            <w:r w:rsidRPr="00921C9B">
              <w:rPr>
                <w:szCs w:val="24"/>
                <w:lang w:eastAsia="en-US"/>
              </w:rPr>
              <w:t>Фармацевтични продукти</w:t>
            </w:r>
          </w:p>
        </w:tc>
        <w:tc>
          <w:tcPr>
            <w:tcW w:w="0" w:type="auto"/>
          </w:tcPr>
          <w:p w14:paraId="0EB3BA07" w14:textId="77777777" w:rsidR="006D417D" w:rsidRPr="00921C9B" w:rsidRDefault="006D417D" w:rsidP="006D417D">
            <w:pPr>
              <w:spacing w:before="120" w:after="120" w:line="360" w:lineRule="auto"/>
              <w:rPr>
                <w:szCs w:val="24"/>
                <w:lang w:eastAsia="en-US"/>
              </w:rPr>
            </w:pPr>
            <w:r w:rsidRPr="00921C9B">
              <w:rPr>
                <w:szCs w:val="24"/>
                <w:lang w:eastAsia="en-US"/>
              </w:rPr>
              <w:t>298-46-4</w:t>
            </w:r>
          </w:p>
        </w:tc>
        <w:tc>
          <w:tcPr>
            <w:tcW w:w="0" w:type="auto"/>
          </w:tcPr>
          <w:p w14:paraId="1FF466ED" w14:textId="77777777" w:rsidR="006D417D" w:rsidRPr="00921C9B" w:rsidRDefault="006D417D" w:rsidP="006D417D">
            <w:pPr>
              <w:spacing w:before="120" w:after="120" w:line="360" w:lineRule="auto"/>
              <w:rPr>
                <w:szCs w:val="24"/>
                <w:lang w:eastAsia="en-US"/>
              </w:rPr>
            </w:pPr>
            <w:r w:rsidRPr="00921C9B">
              <w:rPr>
                <w:szCs w:val="24"/>
                <w:lang w:eastAsia="en-US"/>
              </w:rPr>
              <w:t>не се прилага</w:t>
            </w:r>
          </w:p>
        </w:tc>
        <w:tc>
          <w:tcPr>
            <w:tcW w:w="0" w:type="auto"/>
          </w:tcPr>
          <w:p w14:paraId="7E1D5767" w14:textId="6B1150A0" w:rsidR="006D417D" w:rsidRPr="00921C9B" w:rsidRDefault="006D417D" w:rsidP="006D417D">
            <w:pPr>
              <w:spacing w:before="120" w:after="120" w:line="360" w:lineRule="auto"/>
              <w:rPr>
                <w:b/>
                <w:szCs w:val="24"/>
                <w:lang w:eastAsia="en-US"/>
              </w:rPr>
            </w:pPr>
            <w:r w:rsidRPr="00921C9B">
              <w:rPr>
                <w:strike/>
                <w:szCs w:val="24"/>
                <w:lang w:eastAsia="en-US"/>
              </w:rPr>
              <w:t>0,25</w:t>
            </w:r>
            <w:r w:rsidRPr="00921C9B">
              <w:rPr>
                <w:b/>
                <w:i/>
                <w:szCs w:val="24"/>
                <w:lang w:eastAsia="en-US"/>
              </w:rPr>
              <w:t>0,025</w:t>
            </w:r>
            <w:r w:rsidRPr="00921C9B">
              <w:rPr>
                <w:b/>
                <w:szCs w:val="24"/>
                <w:lang w:eastAsia="en-US"/>
              </w:rPr>
              <w:t xml:space="preserve"> [Изм. 146]</w:t>
            </w:r>
          </w:p>
        </w:tc>
      </w:tr>
      <w:tr w:rsidR="006D417D" w:rsidRPr="00921C9B" w14:paraId="17EC820A" w14:textId="77777777" w:rsidTr="004C279A">
        <w:tc>
          <w:tcPr>
            <w:tcW w:w="0" w:type="auto"/>
          </w:tcPr>
          <w:p w14:paraId="44512645" w14:textId="77777777" w:rsidR="006D417D" w:rsidRPr="00921C9B" w:rsidRDefault="006D417D" w:rsidP="006D417D">
            <w:pPr>
              <w:spacing w:before="120" w:after="120" w:line="360" w:lineRule="auto"/>
              <w:rPr>
                <w:szCs w:val="24"/>
                <w:lang w:eastAsia="en-US"/>
              </w:rPr>
            </w:pPr>
            <w:r w:rsidRPr="00921C9B">
              <w:rPr>
                <w:szCs w:val="24"/>
                <w:lang w:eastAsia="en-US"/>
              </w:rPr>
              <w:t>5</w:t>
            </w:r>
          </w:p>
        </w:tc>
        <w:tc>
          <w:tcPr>
            <w:tcW w:w="0" w:type="auto"/>
          </w:tcPr>
          <w:p w14:paraId="7835FFBA" w14:textId="77777777" w:rsidR="006D417D" w:rsidRPr="00921C9B" w:rsidRDefault="006D417D" w:rsidP="006D417D">
            <w:pPr>
              <w:spacing w:before="120" w:after="120" w:line="360" w:lineRule="auto"/>
              <w:rPr>
                <w:szCs w:val="24"/>
                <w:lang w:eastAsia="en-US"/>
              </w:rPr>
            </w:pPr>
            <w:r w:rsidRPr="00921C9B">
              <w:rPr>
                <w:szCs w:val="24"/>
                <w:lang w:eastAsia="en-US"/>
              </w:rPr>
              <w:t>Сулфаметоксазол</w:t>
            </w:r>
          </w:p>
        </w:tc>
        <w:tc>
          <w:tcPr>
            <w:tcW w:w="0" w:type="auto"/>
          </w:tcPr>
          <w:p w14:paraId="4AA07A88" w14:textId="77777777" w:rsidR="006D417D" w:rsidRPr="00921C9B" w:rsidRDefault="006D417D" w:rsidP="006D417D">
            <w:pPr>
              <w:spacing w:before="120" w:after="120" w:line="360" w:lineRule="auto"/>
              <w:rPr>
                <w:szCs w:val="24"/>
                <w:lang w:eastAsia="en-US"/>
              </w:rPr>
            </w:pPr>
            <w:r w:rsidRPr="00921C9B">
              <w:rPr>
                <w:szCs w:val="24"/>
                <w:lang w:eastAsia="en-US"/>
              </w:rPr>
              <w:t>Фармацевтични продукти</w:t>
            </w:r>
          </w:p>
        </w:tc>
        <w:tc>
          <w:tcPr>
            <w:tcW w:w="0" w:type="auto"/>
          </w:tcPr>
          <w:p w14:paraId="098985E8" w14:textId="77777777" w:rsidR="006D417D" w:rsidRPr="00921C9B" w:rsidRDefault="006D417D" w:rsidP="006D417D">
            <w:pPr>
              <w:spacing w:before="120" w:after="120" w:line="360" w:lineRule="auto"/>
              <w:rPr>
                <w:szCs w:val="24"/>
                <w:lang w:eastAsia="en-US"/>
              </w:rPr>
            </w:pPr>
            <w:r w:rsidRPr="00921C9B">
              <w:rPr>
                <w:szCs w:val="24"/>
                <w:lang w:eastAsia="en-US"/>
              </w:rPr>
              <w:t>723-46-6</w:t>
            </w:r>
          </w:p>
        </w:tc>
        <w:tc>
          <w:tcPr>
            <w:tcW w:w="0" w:type="auto"/>
          </w:tcPr>
          <w:p w14:paraId="7BE2C83B" w14:textId="77777777" w:rsidR="006D417D" w:rsidRPr="00921C9B" w:rsidRDefault="006D417D" w:rsidP="006D417D">
            <w:pPr>
              <w:spacing w:before="120" w:after="120" w:line="360" w:lineRule="auto"/>
              <w:rPr>
                <w:szCs w:val="24"/>
                <w:lang w:eastAsia="en-US"/>
              </w:rPr>
            </w:pPr>
            <w:r w:rsidRPr="00921C9B">
              <w:rPr>
                <w:szCs w:val="24"/>
                <w:lang w:eastAsia="en-US"/>
              </w:rPr>
              <w:t>не се прилага</w:t>
            </w:r>
          </w:p>
        </w:tc>
        <w:tc>
          <w:tcPr>
            <w:tcW w:w="0" w:type="auto"/>
          </w:tcPr>
          <w:p w14:paraId="46286D0E" w14:textId="77777777" w:rsidR="006D417D" w:rsidRPr="00921C9B" w:rsidRDefault="006D417D" w:rsidP="006D417D">
            <w:pPr>
              <w:spacing w:before="120" w:after="120" w:line="360" w:lineRule="auto"/>
              <w:rPr>
                <w:szCs w:val="24"/>
                <w:lang w:eastAsia="en-US"/>
              </w:rPr>
            </w:pPr>
            <w:r w:rsidRPr="00921C9B">
              <w:rPr>
                <w:szCs w:val="24"/>
                <w:lang w:eastAsia="en-US"/>
              </w:rPr>
              <w:t>0,01</w:t>
            </w:r>
          </w:p>
        </w:tc>
      </w:tr>
      <w:tr w:rsidR="006D417D" w:rsidRPr="00921C9B" w14:paraId="06F0A100" w14:textId="77777777" w:rsidTr="004C279A">
        <w:tc>
          <w:tcPr>
            <w:tcW w:w="0" w:type="auto"/>
          </w:tcPr>
          <w:p w14:paraId="674565D7" w14:textId="77777777" w:rsidR="006D417D" w:rsidRPr="00921C9B" w:rsidRDefault="006D417D" w:rsidP="006D417D">
            <w:pPr>
              <w:spacing w:before="120" w:after="120" w:line="360" w:lineRule="auto"/>
              <w:rPr>
                <w:szCs w:val="24"/>
                <w:lang w:eastAsia="en-US"/>
              </w:rPr>
            </w:pPr>
            <w:r w:rsidRPr="00921C9B">
              <w:rPr>
                <w:szCs w:val="24"/>
                <w:lang w:eastAsia="en-US"/>
              </w:rPr>
              <w:t>6</w:t>
            </w:r>
          </w:p>
        </w:tc>
        <w:tc>
          <w:tcPr>
            <w:tcW w:w="0" w:type="auto"/>
          </w:tcPr>
          <w:p w14:paraId="6C60C963" w14:textId="77777777" w:rsidR="006D417D" w:rsidRPr="00921C9B" w:rsidRDefault="006D417D" w:rsidP="006D417D">
            <w:pPr>
              <w:spacing w:before="120" w:after="120" w:line="360" w:lineRule="auto"/>
              <w:rPr>
                <w:szCs w:val="24"/>
                <w:lang w:eastAsia="en-US"/>
              </w:rPr>
            </w:pPr>
            <w:r w:rsidRPr="00921C9B">
              <w:rPr>
                <w:szCs w:val="24"/>
                <w:lang w:eastAsia="en-US"/>
              </w:rPr>
              <w:t>Фармацевтични активни вещества — общо (8)</w:t>
            </w:r>
          </w:p>
        </w:tc>
        <w:tc>
          <w:tcPr>
            <w:tcW w:w="0" w:type="auto"/>
          </w:tcPr>
          <w:p w14:paraId="581AC476" w14:textId="77777777" w:rsidR="006D417D" w:rsidRPr="00921C9B" w:rsidRDefault="006D417D" w:rsidP="006D417D">
            <w:pPr>
              <w:spacing w:before="120" w:after="120" w:line="360" w:lineRule="auto"/>
              <w:rPr>
                <w:szCs w:val="24"/>
                <w:lang w:eastAsia="en-US"/>
              </w:rPr>
            </w:pPr>
            <w:r w:rsidRPr="00921C9B">
              <w:rPr>
                <w:szCs w:val="24"/>
                <w:lang w:eastAsia="en-US"/>
              </w:rPr>
              <w:t>Фармацевтични продукти</w:t>
            </w:r>
          </w:p>
        </w:tc>
        <w:tc>
          <w:tcPr>
            <w:tcW w:w="0" w:type="auto"/>
          </w:tcPr>
          <w:p w14:paraId="15EFD97B" w14:textId="77777777" w:rsidR="006D417D" w:rsidRPr="00921C9B" w:rsidRDefault="006D417D" w:rsidP="006D417D">
            <w:pPr>
              <w:spacing w:before="120" w:after="120" w:line="360" w:lineRule="auto"/>
              <w:rPr>
                <w:szCs w:val="24"/>
                <w:lang w:eastAsia="en-US"/>
              </w:rPr>
            </w:pPr>
            <w:r w:rsidRPr="00921C9B">
              <w:rPr>
                <w:szCs w:val="24"/>
                <w:lang w:eastAsia="en-US"/>
              </w:rPr>
              <w:t>не се прилага</w:t>
            </w:r>
          </w:p>
        </w:tc>
        <w:tc>
          <w:tcPr>
            <w:tcW w:w="0" w:type="auto"/>
          </w:tcPr>
          <w:p w14:paraId="2D770BC4" w14:textId="77777777" w:rsidR="006D417D" w:rsidRPr="00921C9B" w:rsidRDefault="006D417D" w:rsidP="006D417D">
            <w:pPr>
              <w:spacing w:before="120" w:after="120" w:line="360" w:lineRule="auto"/>
              <w:rPr>
                <w:szCs w:val="24"/>
                <w:lang w:eastAsia="en-US"/>
              </w:rPr>
            </w:pPr>
            <w:r w:rsidRPr="00921C9B">
              <w:rPr>
                <w:szCs w:val="24"/>
                <w:lang w:eastAsia="en-US"/>
              </w:rPr>
              <w:t>не се прилага</w:t>
            </w:r>
          </w:p>
        </w:tc>
        <w:tc>
          <w:tcPr>
            <w:tcW w:w="0" w:type="auto"/>
          </w:tcPr>
          <w:p w14:paraId="4B0B2E00" w14:textId="36F4027E" w:rsidR="006D417D" w:rsidRPr="00921C9B" w:rsidRDefault="006D417D" w:rsidP="006D417D">
            <w:pPr>
              <w:spacing w:before="120" w:after="120" w:line="360" w:lineRule="auto"/>
              <w:rPr>
                <w:b/>
                <w:szCs w:val="24"/>
                <w:lang w:eastAsia="en-US"/>
              </w:rPr>
            </w:pPr>
            <w:r w:rsidRPr="00921C9B">
              <w:rPr>
                <w:strike/>
                <w:szCs w:val="24"/>
                <w:lang w:eastAsia="en-US"/>
              </w:rPr>
              <w:t>0,25</w:t>
            </w:r>
            <w:r w:rsidRPr="00921C9B">
              <w:rPr>
                <w:b/>
                <w:i/>
                <w:szCs w:val="24"/>
                <w:lang w:eastAsia="en-US"/>
              </w:rPr>
              <w:t>0,025</w:t>
            </w:r>
            <w:r w:rsidRPr="00921C9B">
              <w:rPr>
                <w:b/>
                <w:szCs w:val="24"/>
                <w:lang w:eastAsia="en-US"/>
              </w:rPr>
              <w:t xml:space="preserve"> [Изм. 147]</w:t>
            </w:r>
          </w:p>
        </w:tc>
      </w:tr>
      <w:tr w:rsidR="006D417D" w:rsidRPr="00921C9B" w14:paraId="2795026F" w14:textId="77777777" w:rsidTr="004C279A">
        <w:tc>
          <w:tcPr>
            <w:tcW w:w="0" w:type="auto"/>
            <w:vMerge w:val="restart"/>
          </w:tcPr>
          <w:p w14:paraId="585D3F29" w14:textId="77777777" w:rsidR="006D417D" w:rsidRPr="00921C9B" w:rsidRDefault="006D417D" w:rsidP="006D417D">
            <w:pPr>
              <w:spacing w:before="120" w:after="120" w:line="360" w:lineRule="auto"/>
              <w:rPr>
                <w:szCs w:val="24"/>
                <w:lang w:eastAsia="en-US"/>
              </w:rPr>
            </w:pPr>
            <w:r w:rsidRPr="00921C9B">
              <w:rPr>
                <w:szCs w:val="24"/>
                <w:lang w:eastAsia="en-US"/>
              </w:rPr>
              <w:t>7</w:t>
            </w:r>
          </w:p>
        </w:tc>
        <w:tc>
          <w:tcPr>
            <w:tcW w:w="0" w:type="auto"/>
            <w:vMerge w:val="restart"/>
          </w:tcPr>
          <w:p w14:paraId="0C4CF0A6" w14:textId="77777777" w:rsidR="006D417D" w:rsidRPr="00921C9B" w:rsidRDefault="006D417D" w:rsidP="006D417D">
            <w:pPr>
              <w:spacing w:before="120" w:after="120" w:line="360" w:lineRule="auto"/>
              <w:rPr>
                <w:szCs w:val="24"/>
                <w:lang w:eastAsia="en-US"/>
              </w:rPr>
            </w:pPr>
            <w:r w:rsidRPr="00921C9B">
              <w:rPr>
                <w:szCs w:val="24"/>
                <w:lang w:eastAsia="en-US"/>
              </w:rPr>
              <w:t>Нерелевантни метаболити на пестициди (nrMs)</w:t>
            </w:r>
          </w:p>
        </w:tc>
        <w:tc>
          <w:tcPr>
            <w:tcW w:w="0" w:type="auto"/>
            <w:vMerge w:val="restart"/>
          </w:tcPr>
          <w:p w14:paraId="7EB8C13B" w14:textId="77777777" w:rsidR="006D417D" w:rsidRPr="00921C9B" w:rsidRDefault="006D417D" w:rsidP="006D417D">
            <w:pPr>
              <w:spacing w:before="120" w:after="120" w:line="360" w:lineRule="auto"/>
              <w:rPr>
                <w:szCs w:val="24"/>
                <w:lang w:eastAsia="en-US"/>
              </w:rPr>
            </w:pPr>
            <w:r w:rsidRPr="00921C9B">
              <w:rPr>
                <w:szCs w:val="24"/>
                <w:lang w:eastAsia="en-US"/>
              </w:rPr>
              <w:t>Пестициди</w:t>
            </w:r>
          </w:p>
        </w:tc>
        <w:tc>
          <w:tcPr>
            <w:tcW w:w="0" w:type="auto"/>
            <w:vMerge w:val="restart"/>
          </w:tcPr>
          <w:p w14:paraId="10D9E5BA" w14:textId="77777777" w:rsidR="006D417D" w:rsidRPr="00921C9B" w:rsidRDefault="006D417D" w:rsidP="006D417D">
            <w:pPr>
              <w:spacing w:before="120" w:after="120" w:line="360" w:lineRule="auto"/>
              <w:rPr>
                <w:szCs w:val="24"/>
                <w:lang w:eastAsia="en-US"/>
              </w:rPr>
            </w:pPr>
            <w:r w:rsidRPr="00921C9B">
              <w:rPr>
                <w:szCs w:val="24"/>
                <w:lang w:eastAsia="en-US"/>
              </w:rPr>
              <w:t>не се прилага</w:t>
            </w:r>
          </w:p>
        </w:tc>
        <w:tc>
          <w:tcPr>
            <w:tcW w:w="0" w:type="auto"/>
            <w:vMerge w:val="restart"/>
          </w:tcPr>
          <w:p w14:paraId="124EDCA0" w14:textId="77777777" w:rsidR="006D417D" w:rsidRPr="00921C9B" w:rsidRDefault="006D417D" w:rsidP="006D417D">
            <w:pPr>
              <w:spacing w:before="120" w:after="120" w:line="360" w:lineRule="auto"/>
              <w:rPr>
                <w:szCs w:val="24"/>
                <w:lang w:eastAsia="en-US"/>
              </w:rPr>
            </w:pPr>
            <w:r w:rsidRPr="00921C9B">
              <w:rPr>
                <w:szCs w:val="24"/>
                <w:lang w:eastAsia="en-US"/>
              </w:rPr>
              <w:t>не се прилага</w:t>
            </w:r>
          </w:p>
        </w:tc>
        <w:tc>
          <w:tcPr>
            <w:tcW w:w="0" w:type="auto"/>
          </w:tcPr>
          <w:p w14:paraId="7672A79C" w14:textId="77777777" w:rsidR="006D417D" w:rsidRPr="00921C9B" w:rsidRDefault="006D417D" w:rsidP="006D417D">
            <w:pPr>
              <w:spacing w:before="120" w:after="120" w:line="360" w:lineRule="auto"/>
              <w:rPr>
                <w:szCs w:val="24"/>
                <w:lang w:eastAsia="en-US"/>
              </w:rPr>
            </w:pPr>
            <w:r w:rsidRPr="00921C9B">
              <w:rPr>
                <w:szCs w:val="24"/>
                <w:lang w:eastAsia="en-US"/>
              </w:rPr>
              <w:t>0,1</w:t>
            </w:r>
            <w:r w:rsidRPr="00921C9B">
              <w:rPr>
                <w:strike/>
                <w:szCs w:val="24"/>
                <w:lang w:eastAsia="en-US"/>
              </w:rPr>
              <w:t xml:space="preserve"> (9) или 1 (10) или 2,5 или 5 (11)</w:t>
            </w:r>
            <w:r w:rsidRPr="00921C9B">
              <w:rPr>
                <w:szCs w:val="24"/>
                <w:lang w:eastAsia="en-US"/>
              </w:rPr>
              <w:t xml:space="preserve"> (индивидуално)</w:t>
            </w:r>
          </w:p>
        </w:tc>
      </w:tr>
      <w:tr w:rsidR="006D417D" w:rsidRPr="00921C9B" w14:paraId="7131EA9F" w14:textId="77777777" w:rsidTr="004C279A">
        <w:tc>
          <w:tcPr>
            <w:tcW w:w="0" w:type="auto"/>
            <w:vMerge/>
          </w:tcPr>
          <w:p w14:paraId="1A8B326B" w14:textId="77777777" w:rsidR="006D417D" w:rsidRPr="00921C9B" w:rsidRDefault="006D417D" w:rsidP="006D417D">
            <w:pPr>
              <w:spacing w:before="120" w:after="120" w:line="360" w:lineRule="auto"/>
              <w:rPr>
                <w:szCs w:val="24"/>
                <w:lang w:eastAsia="en-US"/>
              </w:rPr>
            </w:pPr>
          </w:p>
        </w:tc>
        <w:tc>
          <w:tcPr>
            <w:tcW w:w="0" w:type="auto"/>
            <w:vMerge/>
          </w:tcPr>
          <w:p w14:paraId="691A0165" w14:textId="77777777" w:rsidR="006D417D" w:rsidRPr="00921C9B" w:rsidRDefault="006D417D" w:rsidP="006D417D">
            <w:pPr>
              <w:spacing w:before="120" w:after="120" w:line="360" w:lineRule="auto"/>
              <w:rPr>
                <w:szCs w:val="24"/>
                <w:lang w:eastAsia="en-US"/>
              </w:rPr>
            </w:pPr>
          </w:p>
        </w:tc>
        <w:tc>
          <w:tcPr>
            <w:tcW w:w="0" w:type="auto"/>
            <w:vMerge/>
          </w:tcPr>
          <w:p w14:paraId="25B46752" w14:textId="77777777" w:rsidR="006D417D" w:rsidRPr="00921C9B" w:rsidRDefault="006D417D" w:rsidP="006D417D">
            <w:pPr>
              <w:spacing w:before="120" w:after="120" w:line="360" w:lineRule="auto"/>
              <w:rPr>
                <w:szCs w:val="24"/>
                <w:lang w:eastAsia="en-US"/>
              </w:rPr>
            </w:pPr>
          </w:p>
        </w:tc>
        <w:tc>
          <w:tcPr>
            <w:tcW w:w="0" w:type="auto"/>
            <w:vMerge/>
          </w:tcPr>
          <w:p w14:paraId="14EC7049" w14:textId="77777777" w:rsidR="006D417D" w:rsidRPr="00921C9B" w:rsidRDefault="006D417D" w:rsidP="006D417D">
            <w:pPr>
              <w:spacing w:before="120" w:after="120" w:line="360" w:lineRule="auto"/>
              <w:rPr>
                <w:szCs w:val="24"/>
                <w:lang w:eastAsia="en-US"/>
              </w:rPr>
            </w:pPr>
          </w:p>
        </w:tc>
        <w:tc>
          <w:tcPr>
            <w:tcW w:w="0" w:type="auto"/>
            <w:vMerge/>
          </w:tcPr>
          <w:p w14:paraId="4D9C5C89" w14:textId="77777777" w:rsidR="006D417D" w:rsidRPr="00921C9B" w:rsidRDefault="006D417D" w:rsidP="006D417D">
            <w:pPr>
              <w:spacing w:before="120" w:after="120" w:line="360" w:lineRule="auto"/>
              <w:rPr>
                <w:szCs w:val="24"/>
                <w:lang w:eastAsia="en-US"/>
              </w:rPr>
            </w:pPr>
          </w:p>
        </w:tc>
        <w:tc>
          <w:tcPr>
            <w:tcW w:w="0" w:type="auto"/>
          </w:tcPr>
          <w:p w14:paraId="0296E092" w14:textId="08C84190" w:rsidR="006D417D" w:rsidRPr="00921C9B" w:rsidRDefault="006D417D" w:rsidP="006D417D">
            <w:pPr>
              <w:spacing w:before="120" w:after="120" w:line="360" w:lineRule="auto"/>
              <w:rPr>
                <w:b/>
                <w:szCs w:val="24"/>
                <w:lang w:eastAsia="en-US"/>
              </w:rPr>
            </w:pPr>
            <w:r w:rsidRPr="00921C9B">
              <w:rPr>
                <w:szCs w:val="24"/>
                <w:lang w:eastAsia="en-US"/>
              </w:rPr>
              <w:t>0,5</w:t>
            </w:r>
            <w:r w:rsidRPr="00921C9B">
              <w:rPr>
                <w:strike/>
                <w:szCs w:val="24"/>
                <w:lang w:eastAsia="en-US"/>
              </w:rPr>
              <w:t xml:space="preserve"> (9) или 5 (10) или 12,5 (11)</w:t>
            </w:r>
            <w:r w:rsidRPr="00921C9B">
              <w:rPr>
                <w:szCs w:val="24"/>
                <w:lang w:eastAsia="en-US"/>
              </w:rPr>
              <w:t xml:space="preserve"> (общо) (12)</w:t>
            </w:r>
            <w:r w:rsidRPr="00921C9B">
              <w:rPr>
                <w:b/>
                <w:szCs w:val="24"/>
                <w:lang w:eastAsia="en-US"/>
              </w:rPr>
              <w:t xml:space="preserve"> [Изм. 149]</w:t>
            </w:r>
          </w:p>
        </w:tc>
      </w:tr>
    </w:tbl>
    <w:p w14:paraId="5B0DCDCF" w14:textId="77777777" w:rsidR="000B1908" w:rsidRPr="00921C9B" w:rsidRDefault="000B1908" w:rsidP="000D29CC">
      <w:pPr>
        <w:spacing w:before="120" w:after="120" w:line="360" w:lineRule="auto"/>
        <w:ind w:left="1416" w:hanging="566"/>
        <w:rPr>
          <w:szCs w:val="24"/>
          <w:lang w:eastAsia="en-US"/>
        </w:rPr>
        <w:sectPr w:rsidR="000B1908" w:rsidRPr="00921C9B" w:rsidSect="000B1908">
          <w:footnotePr>
            <w:numRestart w:val="eachSect"/>
          </w:footnotePr>
          <w:pgSz w:w="16834" w:h="11909" w:orient="landscape"/>
          <w:pgMar w:top="1417" w:right="1134" w:bottom="1417" w:left="1417" w:header="1134" w:footer="567" w:gutter="0"/>
          <w:cols w:space="720"/>
          <w:docGrid w:linePitch="326"/>
        </w:sectPr>
      </w:pPr>
    </w:p>
    <w:p w14:paraId="2302CEB3" w14:textId="1AA8DC08" w:rsidR="000D29CC" w:rsidRPr="00921C9B" w:rsidRDefault="000D29CC" w:rsidP="000D29CC">
      <w:pPr>
        <w:spacing w:before="120" w:after="120" w:line="360" w:lineRule="auto"/>
        <w:ind w:left="1416" w:hanging="566"/>
        <w:rPr>
          <w:szCs w:val="24"/>
          <w:lang w:eastAsia="en-US"/>
        </w:rPr>
      </w:pPr>
      <w:r w:rsidRPr="00921C9B">
        <w:rPr>
          <w:szCs w:val="24"/>
          <w:vertAlign w:val="superscript"/>
          <w:lang w:eastAsia="en-US"/>
        </w:rPr>
        <w:lastRenderedPageBreak/>
        <w:t>(1)</w:t>
      </w:r>
      <w:r w:rsidRPr="00921C9B">
        <w:rPr>
          <w:szCs w:val="24"/>
          <w:lang w:eastAsia="en-US"/>
        </w:rPr>
        <w:tab/>
        <w:t>CAS: Служба за химични индекси.</w:t>
      </w:r>
    </w:p>
    <w:p w14:paraId="3DC07A06" w14:textId="77777777" w:rsidR="000D29CC" w:rsidRPr="00921C9B" w:rsidRDefault="000D29CC" w:rsidP="000D29CC">
      <w:pPr>
        <w:spacing w:before="120" w:after="120" w:line="360" w:lineRule="auto"/>
        <w:ind w:left="1416" w:hanging="566"/>
        <w:rPr>
          <w:szCs w:val="24"/>
          <w:lang w:eastAsia="en-US"/>
        </w:rPr>
      </w:pPr>
      <w:r w:rsidRPr="00921C9B">
        <w:rPr>
          <w:szCs w:val="24"/>
          <w:vertAlign w:val="subscript"/>
          <w:lang w:eastAsia="en-US"/>
        </w:rPr>
        <w:t>(2)</w:t>
      </w:r>
      <w:r w:rsidRPr="00921C9B">
        <w:rPr>
          <w:szCs w:val="24"/>
          <w:lang w:eastAsia="en-US"/>
        </w:rPr>
        <w:tab/>
        <w:t>Номер по ЕС: Списък на Европейската инвентаризация на наличните търговски химически вещества (EINECS) или списък на оповестените химически вещества (ELINCS).</w:t>
      </w:r>
    </w:p>
    <w:p w14:paraId="1C161F95" w14:textId="77777777" w:rsidR="000D29CC" w:rsidRPr="00921C9B" w:rsidRDefault="000D29CC" w:rsidP="000D29CC">
      <w:pPr>
        <w:spacing w:before="120" w:after="120" w:line="360" w:lineRule="auto"/>
        <w:ind w:left="1416" w:hanging="566"/>
        <w:rPr>
          <w:szCs w:val="24"/>
          <w:lang w:eastAsia="en-US"/>
        </w:rPr>
      </w:pPr>
      <w:r w:rsidRPr="00921C9B">
        <w:rPr>
          <w:szCs w:val="24"/>
          <w:vertAlign w:val="subscript"/>
          <w:lang w:eastAsia="en-US"/>
        </w:rPr>
        <w:t>(3)</w:t>
      </w:r>
      <w:r w:rsidRPr="00921C9B">
        <w:rPr>
          <w:szCs w:val="24"/>
          <w:lang w:eastAsia="en-US"/>
        </w:rPr>
        <w:tab/>
        <w:t>Този показател е изразеният като средна годишна стойност СК. Ако не е посочено друго, той се прилага за общата концентрация на всички вещества и изомери.</w:t>
      </w:r>
    </w:p>
    <w:p w14:paraId="17C66415" w14:textId="77777777" w:rsidR="000D29CC" w:rsidRPr="00921C9B" w:rsidRDefault="000D29CC" w:rsidP="000D29CC">
      <w:pPr>
        <w:spacing w:before="120" w:after="120" w:line="360" w:lineRule="auto"/>
        <w:ind w:left="1416" w:hanging="566"/>
        <w:rPr>
          <w:szCs w:val="24"/>
          <w:lang w:eastAsia="en-US"/>
        </w:rPr>
      </w:pPr>
      <w:r w:rsidRPr="00921C9B">
        <w:rPr>
          <w:szCs w:val="24"/>
          <w:vertAlign w:val="superscript"/>
          <w:lang w:eastAsia="en-US"/>
        </w:rPr>
        <w:t>(4)</w:t>
      </w:r>
      <w:r w:rsidRPr="00921C9B">
        <w:rPr>
          <w:szCs w:val="24"/>
          <w:lang w:eastAsia="en-US"/>
        </w:rPr>
        <w:tab/>
        <w:t>„Пестициди“ означава продукти за растителна защита и биоциди, посочени съответно в член 2 от Регламент (ЕО) № 1107/2009 на Европейския парламент и на Съвета от 21 октомври 2009 г. относно пускането на пазара на продукти за растителна защита и в член 3 от Регламент (ЕС) № 528/2012 на Европейския парламент и на Съвета от 22 май 2012 г. относно предоставянето на пазара и употребата на биоциди.</w:t>
      </w:r>
    </w:p>
    <w:p w14:paraId="30FA4203" w14:textId="77777777" w:rsidR="000D29CC" w:rsidRPr="00921C9B" w:rsidRDefault="000D29CC" w:rsidP="000D29CC">
      <w:pPr>
        <w:spacing w:before="120" w:after="120" w:line="360" w:lineRule="auto"/>
        <w:ind w:left="1416" w:hanging="566"/>
        <w:rPr>
          <w:szCs w:val="24"/>
          <w:lang w:eastAsia="en-US"/>
        </w:rPr>
      </w:pPr>
      <w:r w:rsidRPr="00921C9B">
        <w:rPr>
          <w:b/>
          <w:i/>
          <w:szCs w:val="24"/>
          <w:vertAlign w:val="superscript"/>
          <w:lang w:eastAsia="en-US"/>
        </w:rPr>
        <w:t>(4a)</w:t>
      </w:r>
      <w:r w:rsidRPr="00921C9B">
        <w:rPr>
          <w:szCs w:val="24"/>
          <w:lang w:eastAsia="en-US"/>
        </w:rPr>
        <w:tab/>
      </w:r>
      <w:r w:rsidRPr="00921C9B">
        <w:rPr>
          <w:b/>
          <w:i/>
          <w:szCs w:val="24"/>
          <w:lang w:eastAsia="en-US"/>
        </w:rPr>
        <w:t>Настоящата прагова стойност се прилага единствено докато Комисията не извърши преглед.</w:t>
      </w:r>
    </w:p>
    <w:p w14:paraId="0BC33267" w14:textId="77777777" w:rsidR="000D29CC" w:rsidRPr="00921C9B" w:rsidRDefault="000D29CC" w:rsidP="000D29CC">
      <w:pPr>
        <w:spacing w:before="120" w:after="120" w:line="360" w:lineRule="auto"/>
        <w:ind w:left="1416" w:hanging="566"/>
        <w:rPr>
          <w:szCs w:val="24"/>
          <w:lang w:eastAsia="en-US"/>
        </w:rPr>
      </w:pPr>
      <w:r w:rsidRPr="00921C9B">
        <w:rPr>
          <w:szCs w:val="24"/>
          <w:vertAlign w:val="superscript"/>
          <w:lang w:eastAsia="en-US"/>
        </w:rPr>
        <w:t>(5)</w:t>
      </w:r>
      <w:r w:rsidRPr="00921C9B">
        <w:rPr>
          <w:szCs w:val="24"/>
          <w:lang w:eastAsia="en-US"/>
        </w:rPr>
        <w:tab/>
        <w:t>„Общо“ означава сбора на всички отделни пестициди, открити и количествено определени при процедурата за мониторинг, включително съответните им метаболити, продукти на разграждане и взаимодействие.</w:t>
      </w:r>
      <w:r w:rsidRPr="00921C9B">
        <w:rPr>
          <w:b/>
          <w:i/>
          <w:szCs w:val="24"/>
          <w:lang w:eastAsia="en-US"/>
        </w:rPr>
        <w:t xml:space="preserve">  Праговата стойност, определена за сбора на всички отделни пестициди, се прилага единствено докато Комисията не извърши преглед.</w:t>
      </w:r>
    </w:p>
    <w:p w14:paraId="2257DA7E" w14:textId="77777777" w:rsidR="000B1908" w:rsidRPr="00921C9B" w:rsidRDefault="000B1908">
      <w:pPr>
        <w:widowControl/>
        <w:rPr>
          <w:szCs w:val="24"/>
          <w:lang w:eastAsia="en-US"/>
        </w:rPr>
      </w:pPr>
      <w:r w:rsidRPr="00921C9B">
        <w:rPr>
          <w:szCs w:val="24"/>
          <w:lang w:eastAsia="en-US"/>
        </w:rPr>
        <w:br w:type="page"/>
      </w:r>
    </w:p>
    <w:p w14:paraId="5A714D91" w14:textId="3B9D732A" w:rsidR="000D29CC" w:rsidRPr="00921C9B" w:rsidRDefault="000D29CC" w:rsidP="000D29CC">
      <w:pPr>
        <w:spacing w:before="120" w:after="120" w:line="360" w:lineRule="auto"/>
        <w:ind w:left="1416" w:hanging="566"/>
        <w:rPr>
          <w:szCs w:val="24"/>
          <w:lang w:eastAsia="en-US"/>
        </w:rPr>
      </w:pPr>
      <w:r w:rsidRPr="00921C9B">
        <w:rPr>
          <w:szCs w:val="24"/>
          <w:vertAlign w:val="superscript"/>
          <w:lang w:eastAsia="en-US"/>
        </w:rPr>
        <w:lastRenderedPageBreak/>
        <w:t>(6)</w:t>
      </w:r>
      <w:r w:rsidRPr="00921C9B">
        <w:rPr>
          <w:szCs w:val="24"/>
          <w:lang w:eastAsia="en-US"/>
        </w:rPr>
        <w:tab/>
        <w:t>Това се отнася за следните съединения, изброени с техния номер по CAS, номер по ЕС и коефициент на относителна потенция (RPF): перфлуорооктанова киселина (PFOA) (CAS 335-67-1, ЕС 206-397-9) (RPF 1), перфлуорооктан сулфонова киселина (PFOS) (CAS 1763-23-1, ЕС 217-179-8) (RPF 2), перфлуорохексан сулфонова киселина (PFHxS) (CAS 355-46-4, ЕС 206-587-1) (RPF 0,6), перфлуорононанова киселина (PFNA) (CAS 375-95-1, ЕС 206-801-3) (RPF 10), перфлуоробутан сулфонова киселина (PFBS) (CAS 375-73-5, ЕС 206-793-1) (RPF 0,001), перфлуорохексанова киселина (PFHxA) (CAS 307-24-4, ЕС 206-196-6) (RPF 0,01), перфлуоробутанова киселина (PFBA) (CAS 375-22-4, ЕС 206-786-3) (RPF 0,05), перфлуоропентанова киселина (PFPeA) (CAS 2706-90-3, ЕС 220-300-7) (RPF 0,03), перфлуоропентанова сулфонова киселина (PFPeS) (CAS 2706-91-4, ЕС 220-301-2) (RPF 0,3005), перфлуородеканова киселина (PFDA) (CAS 335-76-2, ЕС 206-400-3) (RPF 7), перфлуорододеканова киселина (PFDoDA или PFDoA) (CAS 307-55-1, ЕС 206-203-2) (RPF 3), перфлуороундеканова киселина (PFUnDA или PFUnA) (CAS 2058-94-8, ЕС 218-165-4) (RPF 4), перфлуорохептанова киселина (PFHpA) (CAS 375-85-9, ЕС 206-798-9) (RPF 0,505), перфлуоротридеканова киселина (PFTrDA) (CAS 72629-94-8, ЕС 276-745-2) (RPF 1,65), перфлуорохептан сулфонова киселина (PFHpS) (CAS 375-92-8, ЕС 206-800-8) (RPF 1,3), перфлуородеканова сулфонова киселина (PFDS) (CAS 335-77-3, ЕС 206-401-9) (RPF 2), перфлуоротетрадеканова киселина (PFTeDA) (CAS 376-06-7, ЕС 206-803-4) (RPF 0,3), перфлуорохексадеканова киселина (PFHxDA) (CAS 67905-19-5, ЕС 267-638-1) (RPF 0,02), перфлуорооктадеканова киселина (PFODA) (CAS 16517-11-6, ЕС 240-582-5) (RPF 0,02), амониев перфлуоро(2-метил-3-оксахексаноат) (HFPO-DA или Gen X) (CAS 62037-80-3) (RPF 0,06), пропанова киселина/амониев 2,2,3-трифлуоро-3-(1,1,2,2,3,3-хексафлуоро-3-(трифлуорометокси)пропокси)пропаноат (ADONA) (CAS 958445-44-8) (RPF 0,03), 2-(перфлуорохексил)етилов алкохол (6: 2 FTOH) (CAS 647-42-7, ЕС 211-477-1) (RPF 0,02), 2-(перфлуорооктил)етанол (8:2 FTOH) (CAS 678-39-7, ЕС 211-648-0) (RPF 0,04) и оцетна киселина/2,2-дифлуоро-2-((2,2,4,5-тетрафлуоро-5-(трифлуорометокси)-1,3-диоксолан-4-ил)окси)- (C6O4) (CAS 1190931-41-9) (RPF 0,06).</w:t>
      </w:r>
    </w:p>
    <w:p w14:paraId="47B99DB3" w14:textId="77777777" w:rsidR="000D29CC" w:rsidRPr="00921C9B" w:rsidRDefault="000D29CC" w:rsidP="000D29CC">
      <w:pPr>
        <w:spacing w:before="120" w:after="120" w:line="360" w:lineRule="auto"/>
        <w:ind w:left="1416" w:hanging="566"/>
        <w:rPr>
          <w:szCs w:val="24"/>
          <w:lang w:eastAsia="en-US"/>
        </w:rPr>
      </w:pPr>
      <w:r w:rsidRPr="00921C9B">
        <w:rPr>
          <w:szCs w:val="24"/>
          <w:vertAlign w:val="superscript"/>
          <w:lang w:eastAsia="en-US"/>
        </w:rPr>
        <w:lastRenderedPageBreak/>
        <w:t>(7)</w:t>
      </w:r>
      <w:r w:rsidRPr="00921C9B">
        <w:rPr>
          <w:szCs w:val="24"/>
          <w:lang w:eastAsia="en-US"/>
        </w:rPr>
        <w:tab/>
        <w:t>СК се отнася до сбора от 24-те PFAS, изброени в бележка под линия 6, изразен като еквиваленти на PFOA въз основа на потенциите на веществата спрямо тази на PFOA, т.е. RPF в бележка под линия 6.</w:t>
      </w:r>
    </w:p>
    <w:p w14:paraId="36E3B6B1" w14:textId="77777777" w:rsidR="000D29CC" w:rsidRPr="00921C9B" w:rsidRDefault="000D29CC" w:rsidP="000D29CC">
      <w:pPr>
        <w:spacing w:before="120" w:after="120" w:line="360" w:lineRule="auto"/>
        <w:ind w:left="1416" w:hanging="566"/>
        <w:rPr>
          <w:szCs w:val="24"/>
          <w:lang w:eastAsia="en-US"/>
        </w:rPr>
      </w:pPr>
      <w:r w:rsidRPr="00921C9B">
        <w:rPr>
          <w:b/>
          <w:i/>
          <w:szCs w:val="24"/>
          <w:vertAlign w:val="superscript"/>
          <w:lang w:eastAsia="en-US"/>
        </w:rPr>
        <w:t>(7a)</w:t>
      </w:r>
      <w:r w:rsidRPr="00921C9B">
        <w:rPr>
          <w:szCs w:val="24"/>
          <w:lang w:eastAsia="en-US"/>
        </w:rPr>
        <w:tab/>
      </w:r>
      <w:r w:rsidRPr="00921C9B">
        <w:rPr>
          <w:b/>
          <w:i/>
          <w:szCs w:val="24"/>
          <w:lang w:eastAsia="en-US"/>
        </w:rPr>
        <w:t>Стандартите за качество се определят от Комисията чрез делегиран акт.</w:t>
      </w:r>
    </w:p>
    <w:p w14:paraId="58E475E6" w14:textId="77777777" w:rsidR="000D29CC" w:rsidRPr="00921C9B" w:rsidRDefault="000D29CC" w:rsidP="000D29CC">
      <w:pPr>
        <w:spacing w:before="120" w:after="120" w:line="360" w:lineRule="auto"/>
        <w:ind w:left="1416" w:hanging="566"/>
        <w:rPr>
          <w:szCs w:val="24"/>
          <w:lang w:eastAsia="en-US"/>
        </w:rPr>
      </w:pPr>
      <w:r w:rsidRPr="00921C9B">
        <w:rPr>
          <w:szCs w:val="24"/>
          <w:vertAlign w:val="superscript"/>
          <w:lang w:eastAsia="en-US"/>
        </w:rPr>
        <w:t>(8)</w:t>
      </w:r>
      <w:r w:rsidRPr="00921C9B">
        <w:rPr>
          <w:szCs w:val="24"/>
          <w:lang w:eastAsia="en-US"/>
        </w:rPr>
        <w:tab/>
        <w:t>„Общо“ означава сбора на всички отделни фармацевтични продукти, открити и количествено определени при процедурата за мониторинг, включително съответните им метаболити и продукти на разграждане.</w:t>
      </w:r>
    </w:p>
    <w:p w14:paraId="4F8BCAFA" w14:textId="77777777" w:rsidR="000D29CC" w:rsidRPr="00921C9B" w:rsidRDefault="000D29CC" w:rsidP="000D29CC">
      <w:pPr>
        <w:spacing w:before="120" w:after="120" w:line="360" w:lineRule="auto"/>
        <w:ind w:left="1416" w:hanging="566"/>
        <w:rPr>
          <w:szCs w:val="24"/>
          <w:lang w:eastAsia="en-US"/>
        </w:rPr>
      </w:pPr>
      <w:r w:rsidRPr="00921C9B">
        <w:rPr>
          <w:strike/>
          <w:szCs w:val="24"/>
          <w:vertAlign w:val="superscript"/>
          <w:lang w:eastAsia="en-US"/>
        </w:rPr>
        <w:t>(9)</w:t>
      </w:r>
      <w:r w:rsidRPr="00921C9B">
        <w:rPr>
          <w:szCs w:val="24"/>
          <w:lang w:eastAsia="en-US"/>
        </w:rPr>
        <w:tab/>
      </w:r>
      <w:r w:rsidRPr="00921C9B">
        <w:rPr>
          <w:strike/>
          <w:szCs w:val="24"/>
          <w:lang w:eastAsia="en-US"/>
        </w:rPr>
        <w:t>Прилага се към „бедни на данни“ nrMs, т.е. nrMs, за които не са налични надеждни експериментални данни за хроничните или острите ефекти на nrMs върху таксономичната група, за която е сигурно, че ще бъде най-чувствителна.</w:t>
      </w:r>
    </w:p>
    <w:p w14:paraId="40F6AB2B" w14:textId="77777777" w:rsidR="000D29CC" w:rsidRPr="00921C9B" w:rsidRDefault="000D29CC" w:rsidP="000D29CC">
      <w:pPr>
        <w:spacing w:before="120" w:after="120" w:line="360" w:lineRule="auto"/>
        <w:ind w:left="1416" w:hanging="566"/>
        <w:rPr>
          <w:szCs w:val="24"/>
          <w:lang w:eastAsia="en-US"/>
        </w:rPr>
      </w:pPr>
      <w:r w:rsidRPr="00921C9B">
        <w:rPr>
          <w:strike/>
          <w:szCs w:val="24"/>
          <w:vertAlign w:val="superscript"/>
          <w:lang w:eastAsia="en-US"/>
        </w:rPr>
        <w:t>(10)</w:t>
      </w:r>
      <w:r w:rsidRPr="00921C9B">
        <w:rPr>
          <w:szCs w:val="24"/>
          <w:lang w:eastAsia="en-US"/>
        </w:rPr>
        <w:tab/>
      </w:r>
      <w:r w:rsidRPr="00921C9B">
        <w:rPr>
          <w:strike/>
          <w:szCs w:val="24"/>
          <w:lang w:eastAsia="en-US"/>
        </w:rPr>
        <w:t>Прилага се към „средни на данни“ nrMs, т.е. nrMs, за които са налични надеждни експериментални данни за хроничните или острите ефекти на nrMs върху таксономичната група, за която е сигурно, че ще бъде най-чувствителна, но данните са недостатъчни, за да се определят веществата като „богати на данни“.</w:t>
      </w:r>
    </w:p>
    <w:p w14:paraId="1F2F2D33" w14:textId="77777777" w:rsidR="000B1908" w:rsidRPr="00921C9B" w:rsidRDefault="000B1908">
      <w:pPr>
        <w:widowControl/>
        <w:rPr>
          <w:strike/>
          <w:szCs w:val="24"/>
          <w:vertAlign w:val="superscript"/>
          <w:lang w:eastAsia="en-US"/>
        </w:rPr>
      </w:pPr>
      <w:r w:rsidRPr="00921C9B">
        <w:rPr>
          <w:strike/>
          <w:szCs w:val="24"/>
          <w:vertAlign w:val="superscript"/>
          <w:lang w:eastAsia="en-US"/>
        </w:rPr>
        <w:br w:type="page"/>
      </w:r>
    </w:p>
    <w:p w14:paraId="52115C00" w14:textId="1F65CB26" w:rsidR="000D29CC" w:rsidRPr="00921C9B" w:rsidRDefault="000D29CC" w:rsidP="000D29CC">
      <w:pPr>
        <w:spacing w:before="120" w:after="120" w:line="360" w:lineRule="auto"/>
        <w:ind w:left="1416" w:hanging="566"/>
        <w:rPr>
          <w:szCs w:val="24"/>
          <w:lang w:eastAsia="en-US"/>
        </w:rPr>
      </w:pPr>
      <w:r w:rsidRPr="00921C9B">
        <w:rPr>
          <w:strike/>
          <w:szCs w:val="24"/>
          <w:vertAlign w:val="superscript"/>
          <w:lang w:eastAsia="en-US"/>
        </w:rPr>
        <w:lastRenderedPageBreak/>
        <w:t>(11)</w:t>
      </w:r>
      <w:r w:rsidRPr="00921C9B">
        <w:rPr>
          <w:szCs w:val="24"/>
          <w:lang w:eastAsia="en-US"/>
        </w:rPr>
        <w:tab/>
      </w:r>
      <w:r w:rsidRPr="00921C9B">
        <w:rPr>
          <w:strike/>
          <w:szCs w:val="24"/>
          <w:lang w:eastAsia="en-US"/>
        </w:rPr>
        <w:t>Прилага се към „богати на данни“ nrMs, т.е. nrMs, за които са налични надеждни експериментални данни или също толкова надеждни данни, получени чрез алтернативни научно утвърдени методи, за хроничните или острите ефекти на nrMs върху поне по един вид водорасли, безгръбначни и риби, което позволява сигурно потвърждаване на най-чувствителната таксономична група, и за които може да се изчисли СК, като се използва детерминистичен подход въз основа на надеждни експериментални данни за хроничната токсичност на тази таксономична група. За тази цел държавите членки могат да прилагат последните насоки, установени в рамките на Общата стратегия за прилагане на Директива 2000/60/ЕО (Ръководство № 27 със съответните му актуализации). Прилага се СК от 2,5 за отделните nrM, освен ако СК, изчислен чрез детерминистичния подход, е по-висок, като в този случай се прилага СК от 5.</w:t>
      </w:r>
    </w:p>
    <w:p w14:paraId="7F033B7F" w14:textId="77777777" w:rsidR="000D29CC" w:rsidRPr="00921C9B" w:rsidRDefault="000D29CC" w:rsidP="000D29CC">
      <w:pPr>
        <w:spacing w:before="120" w:after="120" w:line="360" w:lineRule="auto"/>
        <w:ind w:left="1416" w:hanging="566"/>
        <w:rPr>
          <w:szCs w:val="24"/>
          <w:lang w:eastAsia="en-US"/>
        </w:rPr>
      </w:pPr>
      <w:r w:rsidRPr="00921C9B">
        <w:rPr>
          <w:szCs w:val="24"/>
          <w:vertAlign w:val="superscript"/>
          <w:lang w:eastAsia="en-US"/>
        </w:rPr>
        <w:t>(12)</w:t>
      </w:r>
      <w:r w:rsidRPr="00921C9B">
        <w:rPr>
          <w:szCs w:val="24"/>
          <w:lang w:eastAsia="en-US"/>
        </w:rPr>
        <w:tab/>
        <w:t>„Общо“ означава сбора от всички отделни nrMs във всяка категория данни, открити и количествено определени при процедурата за мониторинг.“</w:t>
      </w:r>
    </w:p>
    <w:p w14:paraId="3A0E6CA0" w14:textId="77777777" w:rsidR="000D29CC" w:rsidRPr="00921C9B" w:rsidRDefault="000D29CC" w:rsidP="000D29CC">
      <w:pPr>
        <w:spacing w:before="120" w:after="120" w:line="360" w:lineRule="auto"/>
        <w:rPr>
          <w:szCs w:val="24"/>
          <w:lang w:eastAsia="en-US"/>
        </w:rPr>
        <w:sectPr w:rsidR="000D29CC" w:rsidRPr="00921C9B" w:rsidSect="000B1908">
          <w:footnotePr>
            <w:numRestart w:val="eachSect"/>
          </w:footnotePr>
          <w:pgSz w:w="11909" w:h="16834"/>
          <w:pgMar w:top="1417" w:right="1417" w:bottom="1134" w:left="1417" w:header="1134" w:footer="567" w:gutter="0"/>
          <w:cols w:space="720"/>
          <w:docGrid w:linePitch="326"/>
        </w:sectPr>
      </w:pPr>
    </w:p>
    <w:p w14:paraId="3CDF54D1" w14:textId="77777777" w:rsidR="000D29CC" w:rsidRPr="00921C9B" w:rsidRDefault="000D29CC" w:rsidP="000D29CC">
      <w:pPr>
        <w:spacing w:before="120" w:after="120" w:line="360" w:lineRule="auto"/>
        <w:jc w:val="center"/>
        <w:rPr>
          <w:lang w:eastAsia="en-US"/>
        </w:rPr>
      </w:pPr>
      <w:r w:rsidRPr="00921C9B">
        <w:rPr>
          <w:lang w:eastAsia="en-US"/>
        </w:rPr>
        <w:lastRenderedPageBreak/>
        <w:t>ПРИЛОЖЕНИЕ IV</w:t>
      </w:r>
    </w:p>
    <w:p w14:paraId="5EC5BB4D" w14:textId="77777777" w:rsidR="000D29CC" w:rsidRPr="00921C9B" w:rsidRDefault="000D29CC" w:rsidP="000D29CC">
      <w:pPr>
        <w:spacing w:before="120" w:after="120" w:line="360" w:lineRule="auto"/>
        <w:rPr>
          <w:szCs w:val="24"/>
          <w:lang w:eastAsia="en-US"/>
        </w:rPr>
      </w:pPr>
      <w:r w:rsidRPr="00921C9B">
        <w:rPr>
          <w:szCs w:val="24"/>
          <w:lang w:eastAsia="en-US"/>
        </w:rPr>
        <w:t>Приложение II към Директива 2006/118/ЕО се изменя, както следва:</w:t>
      </w:r>
    </w:p>
    <w:p w14:paraId="62AF6FF5"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(1)</w:t>
      </w:r>
      <w:r w:rsidRPr="00921C9B">
        <w:rPr>
          <w:szCs w:val="24"/>
          <w:lang w:eastAsia="en-US"/>
        </w:rPr>
        <w:tab/>
        <w:t>В част А след първата алинея се добавя следната алинея:</w:t>
      </w:r>
    </w:p>
    <w:p w14:paraId="7F66F4EC" w14:textId="77777777" w:rsidR="000D29CC" w:rsidRPr="00921C9B" w:rsidRDefault="000D29CC" w:rsidP="000D29CC">
      <w:pPr>
        <w:spacing w:before="120" w:after="120" w:line="360" w:lineRule="auto"/>
        <w:ind w:left="850"/>
        <w:rPr>
          <w:szCs w:val="24"/>
          <w:lang w:eastAsia="en-US"/>
        </w:rPr>
      </w:pPr>
      <w:r w:rsidRPr="00921C9B">
        <w:rPr>
          <w:szCs w:val="24"/>
          <w:lang w:eastAsia="en-US"/>
        </w:rPr>
        <w:t>„Държавите членки гарантират, че компетентните органи информират Европейската агенция по химикали (ECHA) за праговите стойности на замърсителите и показателите за замърсяване. ECHA публикува тази информация незабавно.;“</w:t>
      </w:r>
    </w:p>
    <w:p w14:paraId="2BCF09A8" w14:textId="0587D50F" w:rsidR="000D29CC" w:rsidRPr="00921C9B" w:rsidRDefault="006D417D" w:rsidP="000D29CC">
      <w:pPr>
        <w:spacing w:before="120" w:after="120" w:line="360" w:lineRule="auto"/>
        <w:ind w:left="850" w:hanging="850"/>
        <w:rPr>
          <w:szCs w:val="24"/>
          <w:lang w:eastAsia="en-US"/>
        </w:rPr>
      </w:pPr>
      <w:r w:rsidRPr="00921C9B">
        <w:rPr>
          <w:b/>
          <w:i/>
          <w:szCs w:val="24"/>
          <w:lang w:eastAsia="en-US"/>
        </w:rPr>
        <w:t>(</w:t>
      </w:r>
      <w:r w:rsidR="000D29CC" w:rsidRPr="00921C9B">
        <w:rPr>
          <w:b/>
          <w:i/>
          <w:szCs w:val="24"/>
          <w:lang w:eastAsia="en-US"/>
        </w:rPr>
        <w:t>1а)</w:t>
      </w:r>
      <w:r w:rsidR="000D29CC" w:rsidRPr="00921C9B">
        <w:rPr>
          <w:szCs w:val="24"/>
          <w:lang w:eastAsia="en-US"/>
        </w:rPr>
        <w:tab/>
      </w:r>
      <w:r w:rsidR="000D29CC" w:rsidRPr="00921C9B">
        <w:rPr>
          <w:b/>
          <w:i/>
          <w:szCs w:val="24"/>
          <w:lang w:eastAsia="en-US"/>
        </w:rPr>
        <w:t>в част В заглавието се заменя със следното:</w:t>
      </w:r>
    </w:p>
    <w:p w14:paraId="40B238B0" w14:textId="18DDE633" w:rsidR="000D29CC" w:rsidRPr="00921C9B" w:rsidRDefault="000D29CC" w:rsidP="000D29CC">
      <w:pPr>
        <w:spacing w:before="120" w:after="120" w:line="360" w:lineRule="auto"/>
        <w:ind w:left="850"/>
        <w:rPr>
          <w:b/>
          <w:szCs w:val="24"/>
          <w:lang w:eastAsia="en-US"/>
        </w:rPr>
      </w:pPr>
      <w:r w:rsidRPr="00921C9B">
        <w:rPr>
          <w:szCs w:val="24"/>
          <w:lang w:eastAsia="en-US"/>
        </w:rPr>
        <w:t>„</w:t>
      </w:r>
      <w:r w:rsidRPr="00921C9B">
        <w:rPr>
          <w:b/>
          <w:i/>
          <w:szCs w:val="24"/>
          <w:lang w:eastAsia="en-US"/>
        </w:rPr>
        <w:t xml:space="preserve">Минимален списък на замърсителите и техните показатели, за които държавите членки установяват прагови </w:t>
      </w:r>
      <w:r w:rsidR="006D417D" w:rsidRPr="00921C9B">
        <w:rPr>
          <w:b/>
          <w:i/>
          <w:szCs w:val="24"/>
          <w:lang w:eastAsia="en-US"/>
        </w:rPr>
        <w:t>стойности в съответствие с член </w:t>
      </w:r>
      <w:r w:rsidRPr="00921C9B">
        <w:rPr>
          <w:b/>
          <w:i/>
          <w:szCs w:val="24"/>
          <w:lang w:eastAsia="en-US"/>
        </w:rPr>
        <w:t>3</w:t>
      </w:r>
      <w:r w:rsidRPr="00921C9B">
        <w:rPr>
          <w:szCs w:val="24"/>
          <w:lang w:eastAsia="en-US"/>
        </w:rPr>
        <w:t>“</w:t>
      </w:r>
      <w:r w:rsidR="006D417D" w:rsidRPr="00921C9B">
        <w:rPr>
          <w:b/>
          <w:szCs w:val="24"/>
          <w:lang w:eastAsia="en-US"/>
        </w:rPr>
        <w:t xml:space="preserve"> [Изм. 149]</w:t>
      </w:r>
    </w:p>
    <w:p w14:paraId="5C146A65" w14:textId="77777777" w:rsidR="000B1908" w:rsidRPr="00921C9B" w:rsidRDefault="000B1908">
      <w:pPr>
        <w:widowControl/>
        <w:rPr>
          <w:szCs w:val="24"/>
          <w:lang w:eastAsia="en-US"/>
        </w:rPr>
      </w:pPr>
      <w:r w:rsidRPr="00921C9B">
        <w:rPr>
          <w:szCs w:val="24"/>
          <w:lang w:eastAsia="en-US"/>
        </w:rPr>
        <w:br w:type="page"/>
      </w:r>
    </w:p>
    <w:p w14:paraId="10359CCB" w14:textId="6FE5C070"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(2)</w:t>
      </w:r>
      <w:r w:rsidRPr="00921C9B">
        <w:rPr>
          <w:szCs w:val="24"/>
          <w:lang w:eastAsia="en-US"/>
        </w:rPr>
        <w:tab/>
        <w:t>в част Б точка 2 се заменя със следното:</w:t>
      </w:r>
    </w:p>
    <w:p w14:paraId="73CCDDF3"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w:t>
      </w:r>
      <w:r w:rsidRPr="00921C9B">
        <w:rPr>
          <w:szCs w:val="24"/>
          <w:lang w:eastAsia="en-US"/>
        </w:rPr>
        <w:tab/>
        <w:t>Изкуствени синтетични вещества</w:t>
      </w:r>
    </w:p>
    <w:p w14:paraId="156BBB0D" w14:textId="77777777" w:rsidR="000D29CC" w:rsidRPr="00921C9B" w:rsidRDefault="000D29CC" w:rsidP="000D29CC">
      <w:pPr>
        <w:spacing w:before="120" w:after="120" w:line="360" w:lineRule="auto"/>
        <w:ind w:left="1416"/>
        <w:rPr>
          <w:szCs w:val="24"/>
          <w:lang w:eastAsia="en-US"/>
        </w:rPr>
      </w:pPr>
      <w:r w:rsidRPr="00921C9B">
        <w:rPr>
          <w:szCs w:val="24"/>
          <w:lang w:eastAsia="en-US"/>
        </w:rPr>
        <w:t>Примидон</w:t>
      </w:r>
    </w:p>
    <w:p w14:paraId="60F39A4B" w14:textId="77777777" w:rsidR="000D29CC" w:rsidRPr="00921C9B" w:rsidRDefault="000D29CC" w:rsidP="000D29CC">
      <w:pPr>
        <w:spacing w:before="120" w:after="120" w:line="360" w:lineRule="auto"/>
        <w:ind w:left="1416"/>
        <w:rPr>
          <w:szCs w:val="24"/>
          <w:lang w:eastAsia="en-US"/>
        </w:rPr>
      </w:pPr>
      <w:r w:rsidRPr="00921C9B">
        <w:rPr>
          <w:szCs w:val="24"/>
          <w:lang w:eastAsia="en-US"/>
        </w:rPr>
        <w:t>Трихлороетилен</w:t>
      </w:r>
    </w:p>
    <w:p w14:paraId="7C730E67" w14:textId="77777777" w:rsidR="000D29CC" w:rsidRPr="00921C9B" w:rsidRDefault="000D29CC" w:rsidP="000D29CC">
      <w:pPr>
        <w:spacing w:before="120" w:after="120" w:line="360" w:lineRule="auto"/>
        <w:ind w:left="1416"/>
        <w:rPr>
          <w:szCs w:val="24"/>
          <w:lang w:eastAsia="en-US"/>
        </w:rPr>
      </w:pPr>
      <w:r w:rsidRPr="00921C9B">
        <w:rPr>
          <w:szCs w:val="24"/>
          <w:lang w:eastAsia="en-US"/>
        </w:rPr>
        <w:t>Тетрахлороетилен;“</w:t>
      </w:r>
    </w:p>
    <w:p w14:paraId="64FC797B"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(3)</w:t>
      </w:r>
      <w:r w:rsidRPr="00921C9B">
        <w:rPr>
          <w:szCs w:val="24"/>
          <w:lang w:eastAsia="en-US"/>
        </w:rPr>
        <w:tab/>
        <w:t>в част В заглавието се заменя със следното:</w:t>
      </w:r>
    </w:p>
    <w:p w14:paraId="44CD4B76" w14:textId="77777777" w:rsidR="000D29CC" w:rsidRPr="00921C9B" w:rsidRDefault="000D29CC" w:rsidP="000D29CC">
      <w:pPr>
        <w:spacing w:before="120" w:after="120" w:line="360" w:lineRule="auto"/>
        <w:ind w:left="850"/>
        <w:rPr>
          <w:szCs w:val="24"/>
          <w:lang w:eastAsia="en-US"/>
        </w:rPr>
      </w:pPr>
      <w:r w:rsidRPr="00921C9B">
        <w:rPr>
          <w:szCs w:val="24"/>
          <w:lang w:eastAsia="en-US"/>
        </w:rPr>
        <w:t>„Информация, която държавите членки са длъжни да представят по отношение на замърсителите и техните показатели, за които са въвели прагови стойности;“</w:t>
      </w:r>
    </w:p>
    <w:p w14:paraId="0F2E0265" w14:textId="77777777" w:rsidR="000B1908" w:rsidRPr="00921C9B" w:rsidRDefault="000B1908" w:rsidP="000D29CC">
      <w:pPr>
        <w:spacing w:before="120" w:after="120" w:line="360" w:lineRule="auto"/>
        <w:ind w:left="850" w:hanging="850"/>
        <w:rPr>
          <w:szCs w:val="24"/>
          <w:lang w:eastAsia="en-US"/>
        </w:rPr>
        <w:sectPr w:rsidR="000B1908" w:rsidRPr="00921C9B">
          <w:footnotePr>
            <w:numRestart w:val="eachSect"/>
          </w:footnotePr>
          <w:pgSz w:w="11909" w:h="16834"/>
          <w:pgMar w:top="1134" w:right="1417" w:bottom="1417" w:left="1417" w:header="1134" w:footer="567" w:gutter="0"/>
          <w:cols w:space="720"/>
        </w:sectPr>
      </w:pPr>
    </w:p>
    <w:p w14:paraId="12D4B74D" w14:textId="16427923"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(4)</w:t>
      </w:r>
      <w:r w:rsidRPr="00921C9B">
        <w:rPr>
          <w:szCs w:val="24"/>
          <w:lang w:eastAsia="en-US"/>
        </w:rPr>
        <w:tab/>
        <w:t>добавя се следната част Г:</w:t>
      </w:r>
    </w:p>
    <w:p w14:paraId="0588B8C1" w14:textId="77777777" w:rsidR="000D29CC" w:rsidRPr="00921C9B" w:rsidRDefault="000D29CC" w:rsidP="000D29CC">
      <w:pPr>
        <w:spacing w:before="120" w:after="120" w:line="360" w:lineRule="auto"/>
        <w:ind w:left="850"/>
        <w:rPr>
          <w:szCs w:val="24"/>
          <w:lang w:eastAsia="en-US"/>
        </w:rPr>
      </w:pPr>
      <w:r w:rsidRPr="00921C9B">
        <w:rPr>
          <w:szCs w:val="24"/>
          <w:lang w:eastAsia="en-US"/>
        </w:rPr>
        <w:t>„Част Г</w:t>
      </w:r>
    </w:p>
    <w:p w14:paraId="692464EE" w14:textId="77777777" w:rsidR="000D29CC" w:rsidRPr="00921C9B" w:rsidRDefault="000D29CC" w:rsidP="000D29CC">
      <w:pPr>
        <w:spacing w:before="120" w:after="120" w:line="360" w:lineRule="auto"/>
        <w:ind w:left="850"/>
        <w:rPr>
          <w:szCs w:val="24"/>
          <w:lang w:eastAsia="en-US"/>
        </w:rPr>
      </w:pPr>
      <w:r w:rsidRPr="00921C9B">
        <w:rPr>
          <w:szCs w:val="24"/>
          <w:lang w:eastAsia="en-US"/>
        </w:rPr>
        <w:t>Регистър на хармонизираните прагови стойности за замърсители на подземните води от национално, регионално или местно значение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513"/>
        <w:gridCol w:w="3548"/>
        <w:gridCol w:w="2394"/>
        <w:gridCol w:w="1708"/>
        <w:gridCol w:w="1813"/>
        <w:gridCol w:w="3297"/>
      </w:tblGrid>
      <w:tr w:rsidR="000D29CC" w:rsidRPr="00921C9B" w14:paraId="331663F1" w14:textId="77777777" w:rsidTr="004C279A">
        <w:trPr>
          <w:tblHeader/>
        </w:trPr>
        <w:tc>
          <w:tcPr>
            <w:tcW w:w="0" w:type="auto"/>
          </w:tcPr>
          <w:p w14:paraId="3440EDBB" w14:textId="77777777" w:rsidR="000D29CC" w:rsidRPr="00921C9B" w:rsidRDefault="000D29CC" w:rsidP="000D29CC">
            <w:pPr>
              <w:spacing w:before="120" w:after="120" w:line="360" w:lineRule="auto"/>
              <w:rPr>
                <w:szCs w:val="24"/>
                <w:lang w:eastAsia="en-US"/>
              </w:rPr>
            </w:pPr>
            <w:r w:rsidRPr="00921C9B">
              <w:rPr>
                <w:szCs w:val="24"/>
                <w:lang w:eastAsia="en-US"/>
              </w:rPr>
              <w:t>(1)</w:t>
            </w:r>
          </w:p>
        </w:tc>
        <w:tc>
          <w:tcPr>
            <w:tcW w:w="0" w:type="auto"/>
          </w:tcPr>
          <w:p w14:paraId="39ECEEA8" w14:textId="77777777" w:rsidR="000D29CC" w:rsidRPr="00921C9B" w:rsidRDefault="000D29CC" w:rsidP="000D29CC">
            <w:pPr>
              <w:spacing w:before="120" w:after="120" w:line="360" w:lineRule="auto"/>
              <w:rPr>
                <w:szCs w:val="24"/>
                <w:lang w:eastAsia="en-US"/>
              </w:rPr>
            </w:pPr>
            <w:r w:rsidRPr="00921C9B">
              <w:rPr>
                <w:szCs w:val="24"/>
                <w:lang w:eastAsia="en-US"/>
              </w:rPr>
              <w:t>(2)</w:t>
            </w:r>
          </w:p>
        </w:tc>
        <w:tc>
          <w:tcPr>
            <w:tcW w:w="0" w:type="auto"/>
          </w:tcPr>
          <w:p w14:paraId="518C870F" w14:textId="77777777" w:rsidR="000D29CC" w:rsidRPr="00921C9B" w:rsidRDefault="000D29CC" w:rsidP="000D29CC">
            <w:pPr>
              <w:spacing w:before="120" w:after="120" w:line="360" w:lineRule="auto"/>
              <w:rPr>
                <w:szCs w:val="24"/>
                <w:lang w:eastAsia="en-US"/>
              </w:rPr>
            </w:pPr>
            <w:r w:rsidRPr="00921C9B">
              <w:rPr>
                <w:szCs w:val="24"/>
                <w:lang w:eastAsia="en-US"/>
              </w:rPr>
              <w:t>(3)</w:t>
            </w:r>
          </w:p>
        </w:tc>
        <w:tc>
          <w:tcPr>
            <w:tcW w:w="0" w:type="auto"/>
          </w:tcPr>
          <w:p w14:paraId="17263719" w14:textId="77777777" w:rsidR="000D29CC" w:rsidRPr="00921C9B" w:rsidRDefault="000D29CC" w:rsidP="000D29CC">
            <w:pPr>
              <w:spacing w:before="120" w:after="120" w:line="360" w:lineRule="auto"/>
              <w:rPr>
                <w:szCs w:val="24"/>
                <w:lang w:eastAsia="en-US"/>
              </w:rPr>
            </w:pPr>
            <w:r w:rsidRPr="00921C9B">
              <w:rPr>
                <w:szCs w:val="24"/>
                <w:lang w:eastAsia="en-US"/>
              </w:rPr>
              <w:t>(4)</w:t>
            </w:r>
          </w:p>
        </w:tc>
        <w:tc>
          <w:tcPr>
            <w:tcW w:w="0" w:type="auto"/>
          </w:tcPr>
          <w:p w14:paraId="301C7C18" w14:textId="77777777" w:rsidR="000D29CC" w:rsidRPr="00921C9B" w:rsidRDefault="000D29CC" w:rsidP="000D29CC">
            <w:pPr>
              <w:spacing w:before="120" w:after="120" w:line="360" w:lineRule="auto"/>
              <w:rPr>
                <w:szCs w:val="24"/>
                <w:lang w:eastAsia="en-US"/>
              </w:rPr>
            </w:pPr>
            <w:r w:rsidRPr="00921C9B">
              <w:rPr>
                <w:szCs w:val="24"/>
                <w:lang w:eastAsia="en-US"/>
              </w:rPr>
              <w:t>(5)</w:t>
            </w:r>
          </w:p>
        </w:tc>
        <w:tc>
          <w:tcPr>
            <w:tcW w:w="0" w:type="auto"/>
          </w:tcPr>
          <w:p w14:paraId="4FD17F88" w14:textId="77777777" w:rsidR="000D29CC" w:rsidRPr="00921C9B" w:rsidRDefault="000D29CC" w:rsidP="000D29CC">
            <w:pPr>
              <w:spacing w:before="120" w:after="120" w:line="360" w:lineRule="auto"/>
              <w:rPr>
                <w:szCs w:val="24"/>
                <w:lang w:eastAsia="en-US"/>
              </w:rPr>
            </w:pPr>
            <w:r w:rsidRPr="00921C9B">
              <w:rPr>
                <w:szCs w:val="24"/>
                <w:lang w:eastAsia="en-US"/>
              </w:rPr>
              <w:t>(6)</w:t>
            </w:r>
          </w:p>
        </w:tc>
      </w:tr>
      <w:tr w:rsidR="000D29CC" w:rsidRPr="00921C9B" w14:paraId="77A38718" w14:textId="77777777" w:rsidTr="004C279A">
        <w:tc>
          <w:tcPr>
            <w:tcW w:w="0" w:type="auto"/>
          </w:tcPr>
          <w:p w14:paraId="7D04DEBA" w14:textId="77777777" w:rsidR="000D29CC" w:rsidRPr="00921C9B" w:rsidRDefault="000D29CC" w:rsidP="000D29CC">
            <w:pPr>
              <w:spacing w:before="120" w:after="120" w:line="360" w:lineRule="auto"/>
              <w:rPr>
                <w:szCs w:val="24"/>
                <w:lang w:eastAsia="en-US"/>
              </w:rPr>
            </w:pPr>
            <w:r w:rsidRPr="00921C9B">
              <w:rPr>
                <w:szCs w:val="24"/>
                <w:lang w:eastAsia="en-US"/>
              </w:rPr>
              <w:t>[Запис] №</w:t>
            </w:r>
          </w:p>
        </w:tc>
        <w:tc>
          <w:tcPr>
            <w:tcW w:w="0" w:type="auto"/>
          </w:tcPr>
          <w:p w14:paraId="3EE17F08" w14:textId="77777777" w:rsidR="000D29CC" w:rsidRPr="00921C9B" w:rsidRDefault="000D29CC" w:rsidP="000D29CC">
            <w:pPr>
              <w:spacing w:before="120" w:after="120" w:line="360" w:lineRule="auto"/>
              <w:rPr>
                <w:szCs w:val="24"/>
                <w:lang w:eastAsia="en-US"/>
              </w:rPr>
            </w:pPr>
            <w:r w:rsidRPr="00921C9B">
              <w:rPr>
                <w:szCs w:val="24"/>
                <w:lang w:eastAsia="en-US"/>
              </w:rPr>
              <w:t>Наименование на веществото</w:t>
            </w:r>
          </w:p>
        </w:tc>
        <w:tc>
          <w:tcPr>
            <w:tcW w:w="0" w:type="auto"/>
          </w:tcPr>
          <w:p w14:paraId="6BD31A50" w14:textId="77777777" w:rsidR="000D29CC" w:rsidRPr="00921C9B" w:rsidRDefault="000D29CC" w:rsidP="000D29CC">
            <w:pPr>
              <w:spacing w:before="120" w:after="120" w:line="360" w:lineRule="auto"/>
              <w:rPr>
                <w:szCs w:val="24"/>
                <w:lang w:eastAsia="en-US"/>
              </w:rPr>
            </w:pPr>
            <w:r w:rsidRPr="00921C9B">
              <w:rPr>
                <w:szCs w:val="24"/>
                <w:lang w:eastAsia="en-US"/>
              </w:rPr>
              <w:t>Категория на веществата</w:t>
            </w:r>
          </w:p>
        </w:tc>
        <w:tc>
          <w:tcPr>
            <w:tcW w:w="0" w:type="auto"/>
          </w:tcPr>
          <w:p w14:paraId="1CA5690C" w14:textId="77777777" w:rsidR="000D29CC" w:rsidRPr="00921C9B" w:rsidRDefault="000D29CC" w:rsidP="000D29CC">
            <w:pPr>
              <w:spacing w:before="120" w:after="120" w:line="360" w:lineRule="auto"/>
              <w:rPr>
                <w:szCs w:val="24"/>
                <w:lang w:eastAsia="en-US"/>
              </w:rPr>
            </w:pPr>
            <w:r w:rsidRPr="00921C9B">
              <w:rPr>
                <w:szCs w:val="24"/>
                <w:lang w:eastAsia="en-US"/>
              </w:rPr>
              <w:t xml:space="preserve">Номер по САS </w:t>
            </w:r>
            <w:r w:rsidRPr="00921C9B">
              <w:rPr>
                <w:szCs w:val="24"/>
                <w:vertAlign w:val="superscript"/>
                <w:lang w:eastAsia="en-US"/>
              </w:rPr>
              <w:t>(1)</w:t>
            </w:r>
          </w:p>
        </w:tc>
        <w:tc>
          <w:tcPr>
            <w:tcW w:w="0" w:type="auto"/>
          </w:tcPr>
          <w:p w14:paraId="10BBC01D" w14:textId="77777777" w:rsidR="000D29CC" w:rsidRPr="00921C9B" w:rsidRDefault="000D29CC" w:rsidP="000D29CC">
            <w:pPr>
              <w:spacing w:before="120" w:after="120" w:line="360" w:lineRule="auto"/>
              <w:rPr>
                <w:szCs w:val="24"/>
                <w:lang w:eastAsia="en-US"/>
              </w:rPr>
            </w:pPr>
            <w:r w:rsidRPr="00921C9B">
              <w:rPr>
                <w:szCs w:val="24"/>
                <w:lang w:eastAsia="en-US"/>
              </w:rPr>
              <w:t xml:space="preserve">Номер по ЕС </w:t>
            </w:r>
            <w:r w:rsidRPr="00921C9B">
              <w:rPr>
                <w:szCs w:val="24"/>
                <w:vertAlign w:val="superscript"/>
                <w:lang w:eastAsia="en-US"/>
              </w:rPr>
              <w:t>(2)</w:t>
            </w:r>
          </w:p>
        </w:tc>
        <w:tc>
          <w:tcPr>
            <w:tcW w:w="0" w:type="auto"/>
          </w:tcPr>
          <w:p w14:paraId="0DC5C858" w14:textId="77777777" w:rsidR="000D29CC" w:rsidRPr="00921C9B" w:rsidRDefault="000D29CC" w:rsidP="000D29CC">
            <w:pPr>
              <w:spacing w:before="120" w:after="120" w:line="360" w:lineRule="auto"/>
              <w:rPr>
                <w:szCs w:val="24"/>
                <w:lang w:eastAsia="en-US"/>
              </w:rPr>
            </w:pPr>
            <w:r w:rsidRPr="00921C9B">
              <w:rPr>
                <w:szCs w:val="24"/>
                <w:lang w:eastAsia="en-US"/>
              </w:rPr>
              <w:t>Прагова стойност (в µg/l, освен ако не е предвидено друго)</w:t>
            </w:r>
          </w:p>
        </w:tc>
      </w:tr>
      <w:tr w:rsidR="000D29CC" w:rsidRPr="00921C9B" w14:paraId="0A1EE7FB" w14:textId="77777777" w:rsidTr="004C279A">
        <w:tc>
          <w:tcPr>
            <w:tcW w:w="0" w:type="auto"/>
          </w:tcPr>
          <w:p w14:paraId="5782AD96" w14:textId="77777777" w:rsidR="000D29CC" w:rsidRPr="00921C9B" w:rsidRDefault="000D29CC" w:rsidP="000D29CC">
            <w:pPr>
              <w:spacing w:before="120" w:after="120" w:line="360" w:lineRule="auto"/>
              <w:rPr>
                <w:szCs w:val="24"/>
                <w:lang w:eastAsia="en-US"/>
              </w:rPr>
            </w:pPr>
            <w:r w:rsidRPr="00921C9B">
              <w:rPr>
                <w:szCs w:val="24"/>
                <w:lang w:eastAsia="en-US"/>
              </w:rPr>
              <w:t>1</w:t>
            </w:r>
          </w:p>
        </w:tc>
        <w:tc>
          <w:tcPr>
            <w:tcW w:w="0" w:type="auto"/>
          </w:tcPr>
          <w:p w14:paraId="4B4A35B9" w14:textId="77777777" w:rsidR="000D29CC" w:rsidRPr="00921C9B" w:rsidRDefault="000D29CC" w:rsidP="000D29CC">
            <w:pPr>
              <w:spacing w:before="120" w:after="120" w:line="360" w:lineRule="auto"/>
              <w:rPr>
                <w:szCs w:val="24"/>
                <w:lang w:eastAsia="en-US"/>
              </w:rPr>
            </w:pPr>
            <w:r w:rsidRPr="00921C9B">
              <w:rPr>
                <w:szCs w:val="24"/>
                <w:lang w:eastAsia="en-US"/>
              </w:rPr>
              <w:t>Трихлороетилен и тетрахлороетилен (сбор от двете)</w:t>
            </w:r>
          </w:p>
        </w:tc>
        <w:tc>
          <w:tcPr>
            <w:tcW w:w="0" w:type="auto"/>
          </w:tcPr>
          <w:p w14:paraId="78FBD910" w14:textId="77777777" w:rsidR="000D29CC" w:rsidRPr="00921C9B" w:rsidRDefault="000D29CC" w:rsidP="000D29CC">
            <w:pPr>
              <w:spacing w:before="120" w:after="120" w:line="360" w:lineRule="auto"/>
              <w:rPr>
                <w:szCs w:val="24"/>
                <w:lang w:eastAsia="en-US"/>
              </w:rPr>
            </w:pPr>
            <w:r w:rsidRPr="00921C9B">
              <w:rPr>
                <w:szCs w:val="24"/>
                <w:lang w:eastAsia="en-US"/>
              </w:rPr>
              <w:t>Промишлени вещества</w:t>
            </w:r>
          </w:p>
        </w:tc>
        <w:tc>
          <w:tcPr>
            <w:tcW w:w="0" w:type="auto"/>
          </w:tcPr>
          <w:p w14:paraId="70C3395D" w14:textId="77777777" w:rsidR="000D29CC" w:rsidRPr="00921C9B" w:rsidRDefault="000D29CC" w:rsidP="000D29CC">
            <w:pPr>
              <w:spacing w:before="120" w:after="120" w:line="360" w:lineRule="auto"/>
              <w:rPr>
                <w:szCs w:val="24"/>
                <w:lang w:eastAsia="en-US"/>
              </w:rPr>
            </w:pPr>
            <w:r w:rsidRPr="00921C9B">
              <w:rPr>
                <w:szCs w:val="24"/>
                <w:lang w:eastAsia="en-US"/>
              </w:rPr>
              <w:t>79-01-6 и 127-18-4</w:t>
            </w:r>
          </w:p>
        </w:tc>
        <w:tc>
          <w:tcPr>
            <w:tcW w:w="0" w:type="auto"/>
          </w:tcPr>
          <w:p w14:paraId="0C7C9D0C" w14:textId="77777777" w:rsidR="000D29CC" w:rsidRPr="00921C9B" w:rsidRDefault="000D29CC" w:rsidP="000D29CC">
            <w:pPr>
              <w:spacing w:before="120" w:after="120" w:line="360" w:lineRule="auto"/>
              <w:rPr>
                <w:szCs w:val="24"/>
                <w:lang w:eastAsia="en-US"/>
              </w:rPr>
            </w:pPr>
            <w:r w:rsidRPr="00921C9B">
              <w:rPr>
                <w:szCs w:val="24"/>
                <w:lang w:eastAsia="en-US"/>
              </w:rPr>
              <w:t>201-167-4 и 204-825-9</w:t>
            </w:r>
          </w:p>
        </w:tc>
        <w:tc>
          <w:tcPr>
            <w:tcW w:w="0" w:type="auto"/>
          </w:tcPr>
          <w:p w14:paraId="23A19D5E" w14:textId="77777777" w:rsidR="000D29CC" w:rsidRPr="00921C9B" w:rsidRDefault="000D29CC" w:rsidP="000D29CC">
            <w:pPr>
              <w:spacing w:before="120" w:after="120" w:line="360" w:lineRule="auto"/>
              <w:rPr>
                <w:szCs w:val="24"/>
                <w:lang w:eastAsia="en-US"/>
              </w:rPr>
            </w:pPr>
            <w:r w:rsidRPr="00921C9B">
              <w:rPr>
                <w:szCs w:val="24"/>
                <w:lang w:eastAsia="en-US"/>
              </w:rPr>
              <w:t>10 (общо)</w:t>
            </w:r>
            <w:r w:rsidRPr="00921C9B">
              <w:rPr>
                <w:szCs w:val="24"/>
                <w:vertAlign w:val="superscript"/>
                <w:lang w:eastAsia="en-US"/>
              </w:rPr>
              <w:t>(3)</w:t>
            </w:r>
          </w:p>
        </w:tc>
      </w:tr>
    </w:tbl>
    <w:p w14:paraId="5EB650F0" w14:textId="77777777" w:rsidR="000D29CC" w:rsidRPr="00921C9B" w:rsidRDefault="000D29CC" w:rsidP="000D29CC">
      <w:pPr>
        <w:spacing w:before="120" w:after="120" w:line="360" w:lineRule="auto"/>
        <w:ind w:left="1416" w:hanging="566"/>
        <w:rPr>
          <w:szCs w:val="24"/>
          <w:lang w:eastAsia="en-US"/>
        </w:rPr>
      </w:pPr>
      <w:r w:rsidRPr="00921C9B">
        <w:rPr>
          <w:szCs w:val="24"/>
          <w:vertAlign w:val="superscript"/>
          <w:lang w:eastAsia="en-US"/>
        </w:rPr>
        <w:t>(1)</w:t>
      </w:r>
      <w:r w:rsidRPr="00921C9B">
        <w:rPr>
          <w:szCs w:val="24"/>
          <w:lang w:eastAsia="en-US"/>
        </w:rPr>
        <w:tab/>
        <w:t>CAS: Служба за химични индекси.</w:t>
      </w:r>
    </w:p>
    <w:p w14:paraId="134BEF57" w14:textId="77777777" w:rsidR="000D29CC" w:rsidRPr="00921C9B" w:rsidRDefault="000D29CC" w:rsidP="000D29CC">
      <w:pPr>
        <w:spacing w:before="120" w:after="120" w:line="360" w:lineRule="auto"/>
        <w:ind w:left="1416" w:hanging="566"/>
        <w:rPr>
          <w:szCs w:val="24"/>
          <w:lang w:eastAsia="en-US"/>
        </w:rPr>
      </w:pPr>
      <w:r w:rsidRPr="00921C9B">
        <w:rPr>
          <w:szCs w:val="24"/>
          <w:vertAlign w:val="superscript"/>
          <w:lang w:eastAsia="en-US"/>
        </w:rPr>
        <w:t>(2)</w:t>
      </w:r>
      <w:r w:rsidRPr="00921C9B">
        <w:rPr>
          <w:szCs w:val="24"/>
          <w:lang w:eastAsia="en-US"/>
        </w:rPr>
        <w:tab/>
        <w:t>Номер по ЕС: Списък на Европейската инвентаризация на наличните търговски химически вещества (EINECS) или списък на оповестените химически вещества (ELINCS).</w:t>
      </w:r>
    </w:p>
    <w:p w14:paraId="6329A283" w14:textId="77777777" w:rsidR="000D29CC" w:rsidRPr="00921C9B" w:rsidRDefault="000D29CC" w:rsidP="000D29CC">
      <w:pPr>
        <w:spacing w:before="120" w:after="120" w:line="360" w:lineRule="auto"/>
        <w:ind w:left="1416" w:hanging="566"/>
        <w:rPr>
          <w:szCs w:val="24"/>
          <w:lang w:eastAsia="en-US"/>
        </w:rPr>
      </w:pPr>
      <w:r w:rsidRPr="00921C9B">
        <w:rPr>
          <w:szCs w:val="24"/>
          <w:vertAlign w:val="superscript"/>
          <w:lang w:eastAsia="en-US"/>
        </w:rPr>
        <w:t>(3)</w:t>
      </w:r>
      <w:r w:rsidRPr="00921C9B">
        <w:rPr>
          <w:szCs w:val="24"/>
          <w:lang w:eastAsia="en-US"/>
        </w:rPr>
        <w:tab/>
        <w:t>„Общо“ означава сбора от концентрациите на трихлороетилен и тетрахлороетилен.“</w:t>
      </w:r>
    </w:p>
    <w:p w14:paraId="4F4C677C" w14:textId="77777777" w:rsidR="000D29CC" w:rsidRPr="00921C9B" w:rsidRDefault="000D29CC" w:rsidP="000D29CC">
      <w:pPr>
        <w:spacing w:before="120" w:after="120" w:line="360" w:lineRule="auto"/>
        <w:rPr>
          <w:szCs w:val="24"/>
          <w:lang w:eastAsia="en-US"/>
        </w:rPr>
        <w:sectPr w:rsidR="000D29CC" w:rsidRPr="00921C9B" w:rsidSect="000B1908">
          <w:footnotePr>
            <w:numRestart w:val="eachSect"/>
          </w:footnotePr>
          <w:pgSz w:w="16834" w:h="11909" w:orient="landscape"/>
          <w:pgMar w:top="1417" w:right="1417" w:bottom="1417" w:left="1134" w:header="1134" w:footer="567" w:gutter="0"/>
          <w:cols w:space="720"/>
          <w:docGrid w:linePitch="326"/>
        </w:sectPr>
      </w:pPr>
    </w:p>
    <w:p w14:paraId="273185E5" w14:textId="77777777" w:rsidR="000D29CC" w:rsidRPr="00921C9B" w:rsidRDefault="000D29CC" w:rsidP="000D29CC">
      <w:pPr>
        <w:spacing w:before="120" w:after="120" w:line="360" w:lineRule="auto"/>
        <w:jc w:val="center"/>
        <w:rPr>
          <w:lang w:eastAsia="en-US"/>
        </w:rPr>
      </w:pPr>
      <w:r w:rsidRPr="00921C9B">
        <w:rPr>
          <w:lang w:eastAsia="en-US"/>
        </w:rPr>
        <w:lastRenderedPageBreak/>
        <w:t>ПРИЛОЖЕНИЕ V</w:t>
      </w:r>
    </w:p>
    <w:p w14:paraId="31EA579E" w14:textId="77777777" w:rsidR="000D29CC" w:rsidRPr="00921C9B" w:rsidRDefault="000D29CC" w:rsidP="000D29CC">
      <w:pPr>
        <w:spacing w:before="120" w:after="120" w:line="360" w:lineRule="auto"/>
        <w:rPr>
          <w:szCs w:val="24"/>
          <w:lang w:eastAsia="en-US"/>
        </w:rPr>
      </w:pPr>
      <w:r w:rsidRPr="00921C9B">
        <w:rPr>
          <w:szCs w:val="24"/>
          <w:lang w:eastAsia="en-US"/>
        </w:rPr>
        <w:t>Приложение I към Директива 2008/105/ЕО се изменя, както следва:</w:t>
      </w:r>
    </w:p>
    <w:p w14:paraId="06300F6F"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(1)</w:t>
      </w:r>
      <w:r w:rsidRPr="00921C9B">
        <w:rPr>
          <w:szCs w:val="24"/>
          <w:lang w:eastAsia="en-US"/>
        </w:rPr>
        <w:tab/>
        <w:t>заглавието се заменя със следното:</w:t>
      </w:r>
    </w:p>
    <w:p w14:paraId="7CCCD04A" w14:textId="77777777" w:rsidR="000D29CC" w:rsidRPr="00921C9B" w:rsidRDefault="000D29CC" w:rsidP="000D29CC">
      <w:pPr>
        <w:spacing w:before="120" w:after="120" w:line="360" w:lineRule="auto"/>
        <w:ind w:left="850"/>
        <w:rPr>
          <w:szCs w:val="24"/>
          <w:lang w:eastAsia="en-US"/>
        </w:rPr>
      </w:pPr>
      <w:r w:rsidRPr="00921C9B">
        <w:rPr>
          <w:szCs w:val="24"/>
          <w:lang w:eastAsia="en-US"/>
        </w:rPr>
        <w:t>„СТАНДАРТИ ЗА КАЧЕСТВО НА ОКОЛНАТА СРЕДА (СКОС) ЗА ПРИОРИТЕТНИ ВЕЩЕСТВА В ПОВЪРХНОСТНИТЕ ВОДИ;“</w:t>
      </w:r>
    </w:p>
    <w:p w14:paraId="585FA536" w14:textId="77777777" w:rsidR="000D29CC" w:rsidRPr="00921C9B" w:rsidRDefault="000D29CC" w:rsidP="000D29CC">
      <w:pPr>
        <w:spacing w:before="120" w:after="120" w:line="360" w:lineRule="auto"/>
        <w:ind w:left="850" w:hanging="850"/>
        <w:rPr>
          <w:szCs w:val="24"/>
          <w:lang w:eastAsia="en-US"/>
        </w:rPr>
      </w:pPr>
      <w:r w:rsidRPr="00921C9B">
        <w:rPr>
          <w:szCs w:val="24"/>
          <w:lang w:eastAsia="en-US"/>
        </w:rPr>
        <w:t>(2)</w:t>
      </w:r>
      <w:r w:rsidRPr="00921C9B">
        <w:rPr>
          <w:szCs w:val="24"/>
          <w:lang w:eastAsia="en-US"/>
        </w:rPr>
        <w:tab/>
        <w:t>част А се заменя със следното:</w:t>
      </w:r>
    </w:p>
    <w:p w14:paraId="6851EC0B" w14:textId="77777777" w:rsidR="000D29CC" w:rsidRPr="00921C9B" w:rsidRDefault="000D29CC" w:rsidP="000D29CC">
      <w:pPr>
        <w:spacing w:before="120" w:after="120" w:line="360" w:lineRule="auto"/>
        <w:ind w:left="850"/>
        <w:rPr>
          <w:szCs w:val="24"/>
          <w:lang w:eastAsia="en-US"/>
        </w:rPr>
      </w:pPr>
      <w:r w:rsidRPr="00921C9B">
        <w:rPr>
          <w:szCs w:val="24"/>
          <w:lang w:eastAsia="en-US"/>
        </w:rPr>
        <w:t>„Част А: СТАНДАРТИ ЗА КАЧЕСТВО НА ОКОЛНАТА СРЕДА</w:t>
      </w:r>
    </w:p>
    <w:p w14:paraId="29D963A0" w14:textId="77777777" w:rsidR="000D29CC" w:rsidRPr="00921C9B" w:rsidRDefault="000D29CC" w:rsidP="000D29CC">
      <w:pPr>
        <w:spacing w:before="120" w:after="120" w:line="360" w:lineRule="auto"/>
        <w:ind w:left="850"/>
        <w:rPr>
          <w:szCs w:val="24"/>
          <w:lang w:eastAsia="en-US"/>
        </w:rPr>
      </w:pPr>
      <w:r w:rsidRPr="00921C9B">
        <w:rPr>
          <w:szCs w:val="24"/>
          <w:lang w:eastAsia="en-US"/>
        </w:rPr>
        <w:t>Бележка 1: Когато СКОС е посочен в [], тази стойност подлежи на потвърждение с оглед на становището, поискано от Научния комитет по здравни, екологични и възникващи рискове.</w:t>
      </w:r>
    </w:p>
    <w:tbl>
      <w:tblPr>
        <w:tblW w:w="16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
        <w:gridCol w:w="34"/>
        <w:gridCol w:w="606"/>
        <w:gridCol w:w="11"/>
        <w:gridCol w:w="2193"/>
        <w:gridCol w:w="69"/>
        <w:gridCol w:w="24"/>
        <w:gridCol w:w="17"/>
        <w:gridCol w:w="1237"/>
        <w:gridCol w:w="75"/>
        <w:gridCol w:w="940"/>
        <w:gridCol w:w="52"/>
        <w:gridCol w:w="1134"/>
        <w:gridCol w:w="71"/>
        <w:gridCol w:w="1208"/>
        <w:gridCol w:w="49"/>
        <w:gridCol w:w="1230"/>
        <w:gridCol w:w="121"/>
        <w:gridCol w:w="1157"/>
        <w:gridCol w:w="89"/>
        <w:gridCol w:w="1188"/>
        <w:gridCol w:w="49"/>
        <w:gridCol w:w="1087"/>
        <w:gridCol w:w="1262"/>
        <w:gridCol w:w="17"/>
        <w:gridCol w:w="1136"/>
        <w:gridCol w:w="970"/>
      </w:tblGrid>
      <w:tr w:rsidR="00501E78" w:rsidRPr="00921C9B" w14:paraId="0979FFA0" w14:textId="77777777" w:rsidTr="004C279A">
        <w:trPr>
          <w:gridBefore w:val="1"/>
          <w:wBefore w:w="12" w:type="dxa"/>
          <w:cantSplit/>
          <w:trHeight w:val="309"/>
          <w:tblHeader/>
          <w:jc w:val="center"/>
        </w:trPr>
        <w:tc>
          <w:tcPr>
            <w:tcW w:w="640" w:type="dxa"/>
            <w:gridSpan w:val="2"/>
            <w:tcMar>
              <w:left w:w="28" w:type="dxa"/>
              <w:right w:w="28" w:type="dxa"/>
            </w:tcMar>
          </w:tcPr>
          <w:p w14:paraId="632F1B5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lastRenderedPageBreak/>
              <w:t>(1)</w:t>
            </w:r>
          </w:p>
        </w:tc>
        <w:tc>
          <w:tcPr>
            <w:tcW w:w="2273" w:type="dxa"/>
            <w:gridSpan w:val="3"/>
            <w:tcMar>
              <w:left w:w="28" w:type="dxa"/>
              <w:right w:w="28" w:type="dxa"/>
            </w:tcMar>
          </w:tcPr>
          <w:p w14:paraId="21380D6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w:t>
            </w:r>
          </w:p>
        </w:tc>
        <w:tc>
          <w:tcPr>
            <w:tcW w:w="1278" w:type="dxa"/>
            <w:gridSpan w:val="3"/>
            <w:tcMar>
              <w:left w:w="28" w:type="dxa"/>
              <w:right w:w="28" w:type="dxa"/>
            </w:tcMar>
          </w:tcPr>
          <w:p w14:paraId="7E660DF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(3)</w:t>
            </w:r>
          </w:p>
        </w:tc>
        <w:tc>
          <w:tcPr>
            <w:tcW w:w="1015" w:type="dxa"/>
            <w:gridSpan w:val="2"/>
            <w:tcMar>
              <w:left w:w="28" w:type="dxa"/>
              <w:right w:w="28" w:type="dxa"/>
            </w:tcMar>
          </w:tcPr>
          <w:p w14:paraId="2C33954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(4)</w:t>
            </w:r>
          </w:p>
        </w:tc>
        <w:tc>
          <w:tcPr>
            <w:tcW w:w="1257" w:type="dxa"/>
            <w:gridSpan w:val="3"/>
          </w:tcPr>
          <w:p w14:paraId="51F1994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w:t>
            </w:r>
          </w:p>
        </w:tc>
        <w:tc>
          <w:tcPr>
            <w:tcW w:w="1257" w:type="dxa"/>
            <w:gridSpan w:val="2"/>
            <w:tcMar>
              <w:left w:w="28" w:type="dxa"/>
              <w:right w:w="28" w:type="dxa"/>
            </w:tcMar>
          </w:tcPr>
          <w:p w14:paraId="3C92419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w:t>
            </w:r>
          </w:p>
        </w:tc>
        <w:tc>
          <w:tcPr>
            <w:tcW w:w="1351" w:type="dxa"/>
            <w:gridSpan w:val="2"/>
            <w:tcMar>
              <w:left w:w="28" w:type="dxa"/>
              <w:right w:w="28" w:type="dxa"/>
            </w:tcMar>
          </w:tcPr>
          <w:p w14:paraId="51EBF16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(7)</w:t>
            </w:r>
          </w:p>
        </w:tc>
        <w:tc>
          <w:tcPr>
            <w:tcW w:w="1246" w:type="dxa"/>
            <w:gridSpan w:val="2"/>
            <w:tcMar>
              <w:left w:w="28" w:type="dxa"/>
              <w:right w:w="28" w:type="dxa"/>
            </w:tcMar>
          </w:tcPr>
          <w:p w14:paraId="639A218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(8)</w:t>
            </w:r>
          </w:p>
        </w:tc>
        <w:tc>
          <w:tcPr>
            <w:tcW w:w="1237" w:type="dxa"/>
            <w:gridSpan w:val="2"/>
            <w:tcMar>
              <w:left w:w="28" w:type="dxa"/>
              <w:right w:w="28" w:type="dxa"/>
            </w:tcMar>
          </w:tcPr>
          <w:p w14:paraId="2B0497E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(9)</w:t>
            </w:r>
          </w:p>
        </w:tc>
        <w:tc>
          <w:tcPr>
            <w:tcW w:w="1087" w:type="dxa"/>
            <w:tcMar>
              <w:left w:w="28" w:type="dxa"/>
              <w:right w:w="28" w:type="dxa"/>
            </w:tcMar>
          </w:tcPr>
          <w:p w14:paraId="6A442F5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(10)</w:t>
            </w:r>
          </w:p>
        </w:tc>
        <w:tc>
          <w:tcPr>
            <w:tcW w:w="1262" w:type="dxa"/>
            <w:tcMar>
              <w:left w:w="28" w:type="dxa"/>
              <w:right w:w="28" w:type="dxa"/>
            </w:tcMar>
          </w:tcPr>
          <w:p w14:paraId="54D80B5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(11)</w:t>
            </w:r>
          </w:p>
        </w:tc>
        <w:tc>
          <w:tcPr>
            <w:tcW w:w="1153" w:type="dxa"/>
            <w:gridSpan w:val="2"/>
            <w:tcMar>
              <w:left w:w="28" w:type="dxa"/>
              <w:right w:w="28" w:type="dxa"/>
            </w:tcMar>
          </w:tcPr>
          <w:p w14:paraId="7F371AE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(12)</w:t>
            </w:r>
          </w:p>
        </w:tc>
        <w:tc>
          <w:tcPr>
            <w:tcW w:w="970" w:type="dxa"/>
            <w:tcMar>
              <w:left w:w="28" w:type="dxa"/>
              <w:right w:w="28" w:type="dxa"/>
            </w:tcMar>
          </w:tcPr>
          <w:p w14:paraId="0010397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(13)</w:t>
            </w:r>
          </w:p>
        </w:tc>
      </w:tr>
      <w:tr w:rsidR="00501E78" w:rsidRPr="00921C9B" w14:paraId="75585620" w14:textId="77777777" w:rsidTr="004C279A">
        <w:trPr>
          <w:gridBefore w:val="1"/>
          <w:wBefore w:w="12" w:type="dxa"/>
          <w:cantSplit/>
          <w:trHeight w:val="1020"/>
          <w:tblHeader/>
          <w:jc w:val="center"/>
        </w:trPr>
        <w:tc>
          <w:tcPr>
            <w:tcW w:w="640" w:type="dxa"/>
            <w:gridSpan w:val="2"/>
            <w:tcMar>
              <w:left w:w="28" w:type="dxa"/>
              <w:right w:w="28" w:type="dxa"/>
            </w:tcMar>
          </w:tcPr>
          <w:p w14:paraId="28504BB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[Запис] №</w:t>
            </w:r>
          </w:p>
        </w:tc>
        <w:tc>
          <w:tcPr>
            <w:tcW w:w="2273" w:type="dxa"/>
            <w:gridSpan w:val="3"/>
            <w:tcMar>
              <w:left w:w="28" w:type="dxa"/>
              <w:right w:w="28" w:type="dxa"/>
            </w:tcMar>
          </w:tcPr>
          <w:p w14:paraId="2B762BA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Наименование на веществото</w:t>
            </w:r>
          </w:p>
        </w:tc>
        <w:tc>
          <w:tcPr>
            <w:tcW w:w="1278" w:type="dxa"/>
            <w:gridSpan w:val="3"/>
            <w:shd w:val="clear" w:color="auto" w:fill="auto"/>
            <w:tcMar>
              <w:left w:w="28" w:type="dxa"/>
              <w:right w:w="28" w:type="dxa"/>
            </w:tcMar>
          </w:tcPr>
          <w:p w14:paraId="6F76854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Категория на веществата</w:t>
            </w:r>
          </w:p>
        </w:tc>
        <w:tc>
          <w:tcPr>
            <w:tcW w:w="1015" w:type="dxa"/>
            <w:gridSpan w:val="2"/>
            <w:tcMar>
              <w:left w:w="28" w:type="dxa"/>
              <w:right w:w="28" w:type="dxa"/>
            </w:tcMar>
          </w:tcPr>
          <w:p w14:paraId="30E4EC09"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Номер по САS (</w:t>
            </w:r>
            <w:r w:rsidRPr="00921C9B">
              <w:rPr>
                <w:rFonts w:eastAsia="Calibri"/>
                <w:noProof/>
                <w:sz w:val="22"/>
                <w:szCs w:val="22"/>
                <w:vertAlign w:val="superscript"/>
                <w:lang w:eastAsia="en-US"/>
              </w:rPr>
              <w:t>1</w:t>
            </w:r>
            <w:r w:rsidRPr="00921C9B">
              <w:rPr>
                <w:rFonts w:eastAsia="Calibri"/>
                <w:noProof/>
                <w:sz w:val="22"/>
                <w:szCs w:val="22"/>
                <w:lang w:eastAsia="en-US"/>
              </w:rPr>
              <w:t>)</w:t>
            </w:r>
            <w:bookmarkStart w:id="9" w:name="_DV_M292"/>
            <w:bookmarkEnd w:id="9"/>
          </w:p>
        </w:tc>
        <w:tc>
          <w:tcPr>
            <w:tcW w:w="1257" w:type="dxa"/>
            <w:gridSpan w:val="3"/>
          </w:tcPr>
          <w:p w14:paraId="593FE1E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Номер по ЕС (</w:t>
            </w:r>
            <w:r w:rsidRPr="00921C9B">
              <w:rPr>
                <w:rFonts w:eastAsia="Calibri"/>
                <w:noProof/>
                <w:sz w:val="22"/>
                <w:szCs w:val="22"/>
                <w:vertAlign w:val="superscript"/>
                <w:lang w:eastAsia="en-US"/>
              </w:rPr>
              <w:t>2</w:t>
            </w:r>
            <w:r w:rsidRPr="00921C9B">
              <w:rPr>
                <w:rFonts w:eastAsia="Calibri"/>
                <w:noProof/>
                <w:sz w:val="22"/>
                <w:szCs w:val="22"/>
                <w:lang w:eastAsia="en-US"/>
              </w:rPr>
              <w:t>)</w:t>
            </w:r>
          </w:p>
        </w:tc>
        <w:tc>
          <w:tcPr>
            <w:tcW w:w="1257" w:type="dxa"/>
            <w:gridSpan w:val="2"/>
            <w:tcMar>
              <w:left w:w="28" w:type="dxa"/>
              <w:right w:w="28" w:type="dxa"/>
            </w:tcMar>
          </w:tcPr>
          <w:p w14:paraId="02CAED9C" w14:textId="77777777" w:rsidR="00501E78" w:rsidRPr="00921C9B" w:rsidRDefault="00501E78" w:rsidP="00501E78">
            <w:pPr>
              <w:widowControl/>
              <w:spacing w:before="40" w:after="40"/>
              <w:rPr>
                <w:rFonts w:eastAsia="Calibri"/>
                <w:noProof/>
                <w:sz w:val="22"/>
                <w:szCs w:val="22"/>
                <w:vertAlign w:val="superscript"/>
                <w:lang w:eastAsia="en-US"/>
              </w:rPr>
            </w:pPr>
            <w:bookmarkStart w:id="10" w:name="_Hlk115349616"/>
            <w:bookmarkStart w:id="11" w:name="_Hlk115803578"/>
            <w:r w:rsidRPr="00921C9B">
              <w:rPr>
                <w:rFonts w:eastAsia="Calibri"/>
                <w:noProof/>
                <w:sz w:val="22"/>
                <w:szCs w:val="22"/>
                <w:lang w:eastAsia="en-US"/>
              </w:rPr>
              <w:t>СГС—СКОС </w:t>
            </w:r>
            <w:bookmarkEnd w:id="10"/>
            <w:r w:rsidRPr="00921C9B">
              <w:rPr>
                <w:rFonts w:eastAsia="Calibri"/>
                <w:noProof/>
                <w:sz w:val="22"/>
                <w:szCs w:val="22"/>
                <w:lang w:eastAsia="en-US"/>
              </w:rPr>
              <w:t>(</w:t>
            </w:r>
            <w:r w:rsidRPr="00921C9B">
              <w:rPr>
                <w:rFonts w:eastAsia="Calibri"/>
                <w:noProof/>
                <w:sz w:val="22"/>
                <w:szCs w:val="22"/>
                <w:vertAlign w:val="superscript"/>
                <w:lang w:eastAsia="en-US"/>
              </w:rPr>
              <w:t>3</w:t>
            </w:r>
            <w:r w:rsidRPr="00921C9B">
              <w:rPr>
                <w:rFonts w:eastAsia="Calibri"/>
                <w:noProof/>
                <w:sz w:val="22"/>
                <w:szCs w:val="22"/>
                <w:lang w:eastAsia="en-US"/>
              </w:rPr>
              <w:t xml:space="preserve">) </w:t>
            </w:r>
            <w:bookmarkStart w:id="12" w:name="_DV_M293"/>
            <w:bookmarkEnd w:id="12"/>
            <w:r w:rsidRPr="00921C9B">
              <w:rPr>
                <w:rFonts w:eastAsia="Calibri"/>
                <w:noProof/>
                <w:sz w:val="22"/>
                <w:szCs w:val="22"/>
                <w:lang w:eastAsia="en-US"/>
              </w:rPr>
              <w:t>Вътрешни повърхностни води </w:t>
            </w:r>
            <w:bookmarkEnd w:id="11"/>
            <w:r w:rsidRPr="00921C9B">
              <w:rPr>
                <w:rFonts w:eastAsia="Calibri"/>
                <w:noProof/>
                <w:sz w:val="22"/>
                <w:szCs w:val="22"/>
                <w:lang w:eastAsia="en-US"/>
              </w:rPr>
              <w:t>(</w:t>
            </w:r>
            <w:r w:rsidRPr="00921C9B">
              <w:rPr>
                <w:rFonts w:eastAsia="Calibri"/>
                <w:noProof/>
                <w:sz w:val="22"/>
                <w:szCs w:val="22"/>
                <w:vertAlign w:val="superscript"/>
                <w:lang w:eastAsia="en-US"/>
              </w:rPr>
              <w:t>4</w:t>
            </w:r>
            <w:r w:rsidRPr="00921C9B">
              <w:rPr>
                <w:rFonts w:eastAsia="Calibri"/>
                <w:noProof/>
                <w:sz w:val="22"/>
                <w:szCs w:val="22"/>
                <w:lang w:eastAsia="en-US"/>
              </w:rPr>
              <w:t>)</w:t>
            </w:r>
            <w:bookmarkStart w:id="13" w:name="_DV_M294"/>
            <w:bookmarkEnd w:id="13"/>
          </w:p>
          <w:p w14:paraId="3E0A291A" w14:textId="77777777" w:rsidR="00501E78" w:rsidRPr="00921C9B" w:rsidRDefault="00501E78" w:rsidP="00501E78">
            <w:pPr>
              <w:widowControl/>
              <w:spacing w:before="40" w:after="40"/>
              <w:rPr>
                <w:rFonts w:eastAsia="Calibri"/>
                <w:noProof/>
                <w:sz w:val="22"/>
                <w:szCs w:val="22"/>
                <w:lang w:eastAsia="en-US"/>
              </w:rPr>
            </w:pPr>
          </w:p>
          <w:p w14:paraId="26D7A37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[µg/l]</w:t>
            </w:r>
          </w:p>
        </w:tc>
        <w:tc>
          <w:tcPr>
            <w:tcW w:w="1351" w:type="dxa"/>
            <w:gridSpan w:val="2"/>
            <w:tcMar>
              <w:left w:w="28" w:type="dxa"/>
              <w:right w:w="28" w:type="dxa"/>
            </w:tcMar>
          </w:tcPr>
          <w:p w14:paraId="39A6CE9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СГС—СКОС</w:t>
            </w:r>
            <w:bookmarkStart w:id="14" w:name="_DV_M295"/>
            <w:bookmarkEnd w:id="14"/>
            <w:r w:rsidRPr="00921C9B">
              <w:rPr>
                <w:rFonts w:eastAsia="Calibri"/>
                <w:noProof/>
                <w:sz w:val="22"/>
                <w:szCs w:val="22"/>
                <w:lang w:eastAsia="en-US"/>
              </w:rPr>
              <w:t> (</w:t>
            </w:r>
            <w:r w:rsidRPr="00921C9B">
              <w:rPr>
                <w:rFonts w:eastAsia="Calibri"/>
                <w:noProof/>
                <w:sz w:val="22"/>
                <w:szCs w:val="22"/>
                <w:vertAlign w:val="superscript"/>
                <w:lang w:eastAsia="en-US"/>
              </w:rPr>
              <w:t>3</w:t>
            </w:r>
            <w:r w:rsidRPr="00921C9B">
              <w:rPr>
                <w:rFonts w:eastAsia="Calibri"/>
                <w:noProof/>
                <w:sz w:val="22"/>
                <w:szCs w:val="22"/>
                <w:lang w:eastAsia="en-US"/>
              </w:rPr>
              <w:t>)</w:t>
            </w:r>
          </w:p>
          <w:p w14:paraId="4F515AB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Други повърхностни води</w:t>
            </w:r>
          </w:p>
          <w:p w14:paraId="7F11033A" w14:textId="77777777" w:rsidR="00501E78" w:rsidRPr="00921C9B" w:rsidRDefault="00501E78" w:rsidP="00501E78">
            <w:pPr>
              <w:widowControl/>
              <w:spacing w:before="40" w:after="40"/>
              <w:rPr>
                <w:rFonts w:eastAsia="Calibri"/>
                <w:noProof/>
                <w:sz w:val="22"/>
                <w:szCs w:val="22"/>
                <w:lang w:eastAsia="en-US"/>
              </w:rPr>
            </w:pPr>
          </w:p>
          <w:p w14:paraId="4AB5BA7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[µg/l]</w:t>
            </w:r>
          </w:p>
        </w:tc>
        <w:tc>
          <w:tcPr>
            <w:tcW w:w="1246" w:type="dxa"/>
            <w:gridSpan w:val="2"/>
            <w:tcMar>
              <w:left w:w="28" w:type="dxa"/>
              <w:right w:w="28" w:type="dxa"/>
            </w:tcMar>
          </w:tcPr>
          <w:p w14:paraId="38C00EF9" w14:textId="77777777" w:rsidR="00501E78" w:rsidRPr="00921C9B" w:rsidRDefault="00501E78" w:rsidP="00501E78">
            <w:pPr>
              <w:widowControl/>
              <w:spacing w:before="40" w:after="40"/>
              <w:rPr>
                <w:rFonts w:eastAsia="Calibri"/>
                <w:noProof/>
                <w:sz w:val="22"/>
                <w:szCs w:val="22"/>
                <w:lang w:eastAsia="en-US"/>
              </w:rPr>
            </w:pPr>
            <w:bookmarkStart w:id="15" w:name="_Hlk115349625"/>
            <w:r w:rsidRPr="00921C9B">
              <w:rPr>
                <w:rFonts w:eastAsia="Calibri"/>
                <w:noProof/>
                <w:sz w:val="22"/>
                <w:szCs w:val="22"/>
                <w:lang w:eastAsia="en-US"/>
              </w:rPr>
              <w:t>МДК—СКОС </w:t>
            </w:r>
            <w:bookmarkEnd w:id="15"/>
            <w:r w:rsidRPr="00921C9B">
              <w:rPr>
                <w:rFonts w:eastAsia="Calibri"/>
                <w:noProof/>
                <w:sz w:val="22"/>
                <w:szCs w:val="22"/>
                <w:lang w:eastAsia="en-US"/>
              </w:rPr>
              <w:t>(</w:t>
            </w:r>
            <w:r w:rsidRPr="00921C9B">
              <w:rPr>
                <w:rFonts w:eastAsia="Calibri"/>
                <w:noProof/>
                <w:sz w:val="22"/>
                <w:szCs w:val="22"/>
                <w:vertAlign w:val="superscript"/>
                <w:lang w:eastAsia="en-US"/>
              </w:rPr>
              <w:t>5</w:t>
            </w:r>
            <w:r w:rsidRPr="00921C9B">
              <w:rPr>
                <w:rFonts w:eastAsia="Calibri"/>
                <w:noProof/>
                <w:sz w:val="22"/>
                <w:szCs w:val="22"/>
                <w:lang w:eastAsia="en-US"/>
              </w:rPr>
              <w:t>)</w:t>
            </w:r>
            <w:bookmarkStart w:id="16" w:name="_DV_M296"/>
            <w:bookmarkEnd w:id="16"/>
          </w:p>
          <w:p w14:paraId="3B0B3DD3"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Вътрешни повърхностни води </w:t>
            </w:r>
            <w:bookmarkStart w:id="17" w:name="_DV_M297"/>
            <w:bookmarkEnd w:id="17"/>
            <w:r w:rsidRPr="00921C9B">
              <w:rPr>
                <w:rFonts w:eastAsia="Calibri"/>
                <w:noProof/>
                <w:sz w:val="22"/>
                <w:szCs w:val="22"/>
                <w:lang w:eastAsia="en-US"/>
              </w:rPr>
              <w:t>(</w:t>
            </w:r>
            <w:r w:rsidRPr="00921C9B">
              <w:rPr>
                <w:rFonts w:eastAsia="Calibri"/>
                <w:noProof/>
                <w:sz w:val="22"/>
                <w:szCs w:val="22"/>
                <w:vertAlign w:val="superscript"/>
                <w:lang w:eastAsia="en-US"/>
              </w:rPr>
              <w:t>4</w:t>
            </w:r>
            <w:r w:rsidRPr="00921C9B">
              <w:rPr>
                <w:rFonts w:eastAsia="Calibri"/>
                <w:noProof/>
                <w:sz w:val="22"/>
                <w:szCs w:val="22"/>
                <w:lang w:eastAsia="en-US"/>
              </w:rPr>
              <w:t>)</w:t>
            </w:r>
          </w:p>
          <w:p w14:paraId="394F998D" w14:textId="77777777" w:rsidR="00501E78" w:rsidRPr="00921C9B" w:rsidRDefault="00501E78" w:rsidP="00501E78">
            <w:pPr>
              <w:widowControl/>
              <w:spacing w:before="40" w:after="40"/>
              <w:rPr>
                <w:rFonts w:eastAsia="Calibri"/>
                <w:noProof/>
                <w:sz w:val="22"/>
                <w:szCs w:val="22"/>
                <w:lang w:eastAsia="en-US"/>
              </w:rPr>
            </w:pPr>
          </w:p>
          <w:p w14:paraId="3DC27E2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[µg/l]</w:t>
            </w:r>
          </w:p>
        </w:tc>
        <w:tc>
          <w:tcPr>
            <w:tcW w:w="1237" w:type="dxa"/>
            <w:gridSpan w:val="2"/>
            <w:tcMar>
              <w:left w:w="28" w:type="dxa"/>
              <w:right w:w="28" w:type="dxa"/>
            </w:tcMar>
          </w:tcPr>
          <w:p w14:paraId="696E866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МДК—СКОС (</w:t>
            </w:r>
            <w:r w:rsidRPr="00921C9B">
              <w:rPr>
                <w:rFonts w:eastAsia="Calibri"/>
                <w:noProof/>
                <w:sz w:val="22"/>
                <w:szCs w:val="22"/>
                <w:vertAlign w:val="superscript"/>
                <w:lang w:eastAsia="en-US"/>
              </w:rPr>
              <w:t>5</w:t>
            </w:r>
            <w:r w:rsidRPr="00921C9B">
              <w:rPr>
                <w:rFonts w:eastAsia="Calibri"/>
                <w:noProof/>
                <w:sz w:val="22"/>
                <w:szCs w:val="22"/>
                <w:lang w:eastAsia="en-US"/>
              </w:rPr>
              <w:t>)</w:t>
            </w:r>
            <w:bookmarkStart w:id="18" w:name="_DV_M298"/>
            <w:bookmarkEnd w:id="18"/>
          </w:p>
          <w:p w14:paraId="50269D9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Други повърхностни води</w:t>
            </w:r>
          </w:p>
          <w:p w14:paraId="7477AB73" w14:textId="77777777" w:rsidR="00501E78" w:rsidRPr="00921C9B" w:rsidRDefault="00501E78" w:rsidP="00501E78">
            <w:pPr>
              <w:widowControl/>
              <w:spacing w:before="40" w:after="40"/>
              <w:rPr>
                <w:rFonts w:eastAsia="Calibri"/>
                <w:noProof/>
                <w:sz w:val="22"/>
                <w:szCs w:val="22"/>
                <w:lang w:eastAsia="en-US"/>
              </w:rPr>
            </w:pPr>
          </w:p>
          <w:p w14:paraId="2DF94A9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[µg/l]</w:t>
            </w:r>
          </w:p>
        </w:tc>
        <w:tc>
          <w:tcPr>
            <w:tcW w:w="1087" w:type="dxa"/>
            <w:tcMar>
              <w:left w:w="28" w:type="dxa"/>
              <w:right w:w="28" w:type="dxa"/>
            </w:tcMar>
          </w:tcPr>
          <w:p w14:paraId="4FAE9D2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СКОС</w:t>
            </w:r>
          </w:p>
          <w:p w14:paraId="78D0B4E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Биота </w:t>
            </w:r>
            <w:bookmarkStart w:id="19" w:name="_DV_M299"/>
            <w:bookmarkEnd w:id="19"/>
            <w:r w:rsidRPr="00921C9B">
              <w:rPr>
                <w:rFonts w:eastAsia="Calibri"/>
                <w:noProof/>
                <w:sz w:val="22"/>
                <w:szCs w:val="22"/>
                <w:lang w:eastAsia="en-US"/>
              </w:rPr>
              <w:t>(</w:t>
            </w:r>
            <w:r w:rsidRPr="00921C9B">
              <w:rPr>
                <w:rFonts w:eastAsia="Calibri"/>
                <w:noProof/>
                <w:sz w:val="22"/>
                <w:szCs w:val="22"/>
                <w:vertAlign w:val="superscript"/>
                <w:lang w:eastAsia="en-US"/>
              </w:rPr>
              <w:t>6</w:t>
            </w:r>
            <w:r w:rsidRPr="00921C9B">
              <w:rPr>
                <w:rFonts w:eastAsia="Calibri"/>
                <w:noProof/>
                <w:sz w:val="22"/>
                <w:szCs w:val="22"/>
                <w:lang w:eastAsia="en-US"/>
              </w:rPr>
              <w:t>)</w:t>
            </w:r>
          </w:p>
          <w:p w14:paraId="79B87E1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(µg/kg мокро тегло) </w:t>
            </w:r>
          </w:p>
          <w:p w14:paraId="35CA54E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или СКОС за седимент [µg /kg сухо тегло], когато това е посочено</w:t>
            </w:r>
          </w:p>
        </w:tc>
        <w:tc>
          <w:tcPr>
            <w:tcW w:w="1262" w:type="dxa"/>
            <w:tcMar>
              <w:left w:w="28" w:type="dxa"/>
              <w:right w:w="28" w:type="dxa"/>
            </w:tcMar>
          </w:tcPr>
          <w:p w14:paraId="2E2726D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Обозначено като приоритетно опасно вещество </w:t>
            </w:r>
          </w:p>
        </w:tc>
        <w:tc>
          <w:tcPr>
            <w:tcW w:w="1153" w:type="dxa"/>
            <w:gridSpan w:val="2"/>
            <w:tcMar>
              <w:left w:w="28" w:type="dxa"/>
              <w:right w:w="28" w:type="dxa"/>
            </w:tcMar>
          </w:tcPr>
          <w:p w14:paraId="2F08C2B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Обозначено като повсеместно, устойчиво, биоакумулиращо и токсично вещество (uPBT)</w:t>
            </w:r>
          </w:p>
        </w:tc>
        <w:tc>
          <w:tcPr>
            <w:tcW w:w="970" w:type="dxa"/>
            <w:tcMar>
              <w:left w:w="28" w:type="dxa"/>
              <w:right w:w="28" w:type="dxa"/>
            </w:tcMar>
          </w:tcPr>
          <w:p w14:paraId="7E21E4E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Обозначено като вещество, което има склонност да се натрупва в седимента и/или биотата </w:t>
            </w:r>
          </w:p>
        </w:tc>
      </w:tr>
      <w:tr w:rsidR="00501E78" w:rsidRPr="00921C9B" w14:paraId="0644BAE1" w14:textId="77777777" w:rsidTr="004C279A">
        <w:trPr>
          <w:gridBefore w:val="1"/>
          <w:wBefore w:w="12" w:type="dxa"/>
          <w:cantSplit/>
          <w:tblHeader/>
          <w:jc w:val="center"/>
        </w:trPr>
        <w:tc>
          <w:tcPr>
            <w:tcW w:w="651" w:type="dxa"/>
            <w:gridSpan w:val="3"/>
            <w:tcMar>
              <w:left w:w="28" w:type="dxa"/>
              <w:right w:w="28" w:type="dxa"/>
            </w:tcMar>
          </w:tcPr>
          <w:p w14:paraId="58ECF78B"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(1)</w:t>
            </w:r>
          </w:p>
        </w:tc>
        <w:tc>
          <w:tcPr>
            <w:tcW w:w="15375" w:type="dxa"/>
            <w:gridSpan w:val="23"/>
            <w:tcMar>
              <w:left w:w="28" w:type="dxa"/>
              <w:right w:w="28" w:type="dxa"/>
            </w:tcMar>
          </w:tcPr>
          <w:p w14:paraId="15E17B5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Веществото алахлор е преместено в част В от приложение II </w:t>
            </w:r>
          </w:p>
        </w:tc>
      </w:tr>
      <w:tr w:rsidR="00501E78" w:rsidRPr="00921C9B" w14:paraId="5499350F" w14:textId="77777777" w:rsidTr="004C279A">
        <w:trPr>
          <w:gridBefore w:val="1"/>
          <w:wBefore w:w="12" w:type="dxa"/>
          <w:cantSplit/>
          <w:tblHeader/>
          <w:jc w:val="center"/>
        </w:trPr>
        <w:tc>
          <w:tcPr>
            <w:tcW w:w="651" w:type="dxa"/>
            <w:gridSpan w:val="3"/>
            <w:tcMar>
              <w:left w:w="28" w:type="dxa"/>
              <w:right w:w="28" w:type="dxa"/>
            </w:tcMar>
          </w:tcPr>
          <w:p w14:paraId="15C20529"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(2)</w:t>
            </w:r>
          </w:p>
        </w:tc>
        <w:tc>
          <w:tcPr>
            <w:tcW w:w="2286" w:type="dxa"/>
            <w:gridSpan w:val="3"/>
            <w:tcMar>
              <w:left w:w="28" w:type="dxa"/>
              <w:right w:w="28" w:type="dxa"/>
            </w:tcMar>
          </w:tcPr>
          <w:p w14:paraId="4F4CAAF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Антрацен</w:t>
            </w:r>
          </w:p>
        </w:tc>
        <w:tc>
          <w:tcPr>
            <w:tcW w:w="1329" w:type="dxa"/>
            <w:gridSpan w:val="3"/>
            <w:tcMar>
              <w:left w:w="28" w:type="dxa"/>
              <w:right w:w="28" w:type="dxa"/>
            </w:tcMar>
          </w:tcPr>
          <w:p w14:paraId="4B46D07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Промишлени вещества </w:t>
            </w:r>
          </w:p>
        </w:tc>
        <w:tc>
          <w:tcPr>
            <w:tcW w:w="992" w:type="dxa"/>
            <w:gridSpan w:val="2"/>
            <w:tcMar>
              <w:left w:w="28" w:type="dxa"/>
              <w:right w:w="28" w:type="dxa"/>
            </w:tcMar>
          </w:tcPr>
          <w:p w14:paraId="76B85B2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120-12-7</w:t>
            </w:r>
          </w:p>
        </w:tc>
        <w:tc>
          <w:tcPr>
            <w:tcW w:w="1134" w:type="dxa"/>
          </w:tcPr>
          <w:p w14:paraId="198E56B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204-371-1</w:t>
            </w:r>
          </w:p>
        </w:tc>
        <w:tc>
          <w:tcPr>
            <w:tcW w:w="1279" w:type="dxa"/>
            <w:gridSpan w:val="2"/>
            <w:tcMar>
              <w:left w:w="28" w:type="dxa"/>
              <w:right w:w="28" w:type="dxa"/>
            </w:tcMar>
          </w:tcPr>
          <w:p w14:paraId="04A1791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w:t>
            </w:r>
          </w:p>
        </w:tc>
        <w:tc>
          <w:tcPr>
            <w:tcW w:w="1279" w:type="dxa"/>
            <w:gridSpan w:val="2"/>
            <w:tcMar>
              <w:left w:w="28" w:type="dxa"/>
              <w:right w:w="28" w:type="dxa"/>
            </w:tcMar>
          </w:tcPr>
          <w:p w14:paraId="41AEE2D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w:t>
            </w:r>
          </w:p>
        </w:tc>
        <w:tc>
          <w:tcPr>
            <w:tcW w:w="1278" w:type="dxa"/>
            <w:gridSpan w:val="2"/>
            <w:tcMar>
              <w:left w:w="28" w:type="dxa"/>
              <w:right w:w="28" w:type="dxa"/>
            </w:tcMar>
          </w:tcPr>
          <w:p w14:paraId="6D41EFA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w:t>
            </w:r>
          </w:p>
        </w:tc>
        <w:tc>
          <w:tcPr>
            <w:tcW w:w="1277" w:type="dxa"/>
            <w:gridSpan w:val="2"/>
            <w:tcMar>
              <w:left w:w="28" w:type="dxa"/>
              <w:right w:w="28" w:type="dxa"/>
            </w:tcMar>
          </w:tcPr>
          <w:p w14:paraId="1593E2C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w:t>
            </w:r>
          </w:p>
        </w:tc>
        <w:tc>
          <w:tcPr>
            <w:tcW w:w="1136" w:type="dxa"/>
            <w:gridSpan w:val="2"/>
            <w:tcMar>
              <w:left w:w="28" w:type="dxa"/>
              <w:right w:w="28" w:type="dxa"/>
            </w:tcMar>
          </w:tcPr>
          <w:p w14:paraId="65702271"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19E638B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3019D0DE"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696EA41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41FB32DD" w14:textId="77777777" w:rsidTr="004C279A">
        <w:trPr>
          <w:gridBefore w:val="1"/>
          <w:wBefore w:w="12" w:type="dxa"/>
          <w:cantSplit/>
          <w:tblHeader/>
          <w:jc w:val="center"/>
        </w:trPr>
        <w:tc>
          <w:tcPr>
            <w:tcW w:w="651" w:type="dxa"/>
            <w:gridSpan w:val="3"/>
            <w:tcMar>
              <w:left w:w="28" w:type="dxa"/>
              <w:right w:w="28" w:type="dxa"/>
            </w:tcMar>
          </w:tcPr>
          <w:p w14:paraId="14955738" w14:textId="1328450F" w:rsidR="00501E78" w:rsidRPr="00921C9B" w:rsidRDefault="00501E78" w:rsidP="00501E78">
            <w:pPr>
              <w:widowControl/>
              <w:spacing w:before="40" w:after="40"/>
              <w:jc w:val="both"/>
              <w:rPr>
                <w:rFonts w:eastAsia="Calibri"/>
                <w:b/>
                <w:noProof/>
                <w:sz w:val="22"/>
                <w:szCs w:val="22"/>
                <w:lang w:eastAsia="en-US"/>
              </w:rPr>
            </w:pPr>
            <w:r w:rsidRPr="00921C9B">
              <w:rPr>
                <w:rFonts w:eastAsia="Calibri"/>
                <w:noProof/>
                <w:sz w:val="22"/>
                <w:szCs w:val="22"/>
                <w:lang w:eastAsia="en-US"/>
              </w:rPr>
              <w:t>(3)</w:t>
            </w:r>
            <w:r w:rsidR="000B1908" w:rsidRPr="00921C9B">
              <w:rPr>
                <w:rFonts w:eastAsia="Calibri"/>
                <w:b/>
                <w:noProof/>
                <w:sz w:val="22"/>
                <w:szCs w:val="22"/>
                <w:lang w:eastAsia="en-US"/>
              </w:rPr>
              <w:t xml:space="preserve"> [Изм. 150]</w:t>
            </w:r>
          </w:p>
        </w:tc>
        <w:tc>
          <w:tcPr>
            <w:tcW w:w="2286" w:type="dxa"/>
            <w:gridSpan w:val="3"/>
            <w:tcMar>
              <w:left w:w="28" w:type="dxa"/>
              <w:right w:w="28" w:type="dxa"/>
            </w:tcMar>
          </w:tcPr>
          <w:p w14:paraId="403FBFD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Атразин</w:t>
            </w:r>
          </w:p>
        </w:tc>
        <w:tc>
          <w:tcPr>
            <w:tcW w:w="1329" w:type="dxa"/>
            <w:gridSpan w:val="3"/>
            <w:tcMar>
              <w:left w:w="28" w:type="dxa"/>
              <w:right w:w="28" w:type="dxa"/>
            </w:tcMar>
          </w:tcPr>
          <w:p w14:paraId="68B01D7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Хербициди</w:t>
            </w:r>
          </w:p>
        </w:tc>
        <w:tc>
          <w:tcPr>
            <w:tcW w:w="992" w:type="dxa"/>
            <w:gridSpan w:val="2"/>
            <w:tcMar>
              <w:left w:w="28" w:type="dxa"/>
              <w:right w:w="28" w:type="dxa"/>
            </w:tcMar>
          </w:tcPr>
          <w:p w14:paraId="4766F6B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1912-24-9</w:t>
            </w:r>
          </w:p>
        </w:tc>
        <w:tc>
          <w:tcPr>
            <w:tcW w:w="1134" w:type="dxa"/>
          </w:tcPr>
          <w:p w14:paraId="54144CF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217-617-8</w:t>
            </w:r>
          </w:p>
        </w:tc>
        <w:tc>
          <w:tcPr>
            <w:tcW w:w="1279" w:type="dxa"/>
            <w:gridSpan w:val="2"/>
            <w:tcMar>
              <w:left w:w="28" w:type="dxa"/>
              <w:right w:w="28" w:type="dxa"/>
            </w:tcMar>
          </w:tcPr>
          <w:p w14:paraId="29DA2C5A" w14:textId="6C098931" w:rsidR="00501E78" w:rsidRPr="00921C9B" w:rsidRDefault="00501E78" w:rsidP="00501E78">
            <w:pPr>
              <w:widowControl/>
              <w:spacing w:before="40" w:after="40"/>
              <w:rPr>
                <w:rFonts w:eastAsia="Calibri"/>
                <w:noProof/>
                <w:szCs w:val="24"/>
                <w:lang w:eastAsia="en-US"/>
              </w:rPr>
            </w:pPr>
            <w:r w:rsidRPr="00921C9B">
              <w:rPr>
                <w:rFonts w:eastAsia="Calibri"/>
                <w:strike/>
                <w:noProof/>
                <w:szCs w:val="24"/>
                <w:lang w:eastAsia="en-US"/>
              </w:rPr>
              <w:t>0,6</w:t>
            </w:r>
            <w:r w:rsidR="006D417D" w:rsidRPr="00921C9B">
              <w:rPr>
                <w:b/>
                <w:i/>
                <w:szCs w:val="24"/>
              </w:rPr>
              <w:t>0,1</w:t>
            </w:r>
          </w:p>
        </w:tc>
        <w:tc>
          <w:tcPr>
            <w:tcW w:w="1279" w:type="dxa"/>
            <w:gridSpan w:val="2"/>
            <w:tcMar>
              <w:left w:w="28" w:type="dxa"/>
              <w:right w:w="28" w:type="dxa"/>
            </w:tcMar>
          </w:tcPr>
          <w:p w14:paraId="31E43324" w14:textId="186A17CE" w:rsidR="00501E78" w:rsidRPr="00921C9B" w:rsidRDefault="00501E78" w:rsidP="00501E78">
            <w:pPr>
              <w:widowControl/>
              <w:spacing w:before="40" w:after="40"/>
              <w:rPr>
                <w:rFonts w:eastAsia="Calibri"/>
                <w:noProof/>
                <w:szCs w:val="24"/>
                <w:lang w:eastAsia="en-US"/>
              </w:rPr>
            </w:pPr>
            <w:r w:rsidRPr="00921C9B">
              <w:rPr>
                <w:rFonts w:eastAsia="Calibri"/>
                <w:strike/>
                <w:noProof/>
                <w:szCs w:val="24"/>
                <w:lang w:eastAsia="en-US"/>
              </w:rPr>
              <w:t>0,6</w:t>
            </w:r>
            <w:r w:rsidR="006D417D" w:rsidRPr="00921C9B">
              <w:rPr>
                <w:b/>
                <w:i/>
                <w:szCs w:val="24"/>
              </w:rPr>
              <w:t>0,01</w:t>
            </w:r>
          </w:p>
        </w:tc>
        <w:tc>
          <w:tcPr>
            <w:tcW w:w="1278" w:type="dxa"/>
            <w:gridSpan w:val="2"/>
            <w:tcMar>
              <w:left w:w="28" w:type="dxa"/>
              <w:right w:w="28" w:type="dxa"/>
            </w:tcMar>
          </w:tcPr>
          <w:p w14:paraId="1A8AB9A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w:t>
            </w:r>
          </w:p>
        </w:tc>
        <w:tc>
          <w:tcPr>
            <w:tcW w:w="1277" w:type="dxa"/>
            <w:gridSpan w:val="2"/>
            <w:tcMar>
              <w:left w:w="28" w:type="dxa"/>
              <w:right w:w="28" w:type="dxa"/>
            </w:tcMar>
          </w:tcPr>
          <w:p w14:paraId="57002F4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w:t>
            </w:r>
          </w:p>
        </w:tc>
        <w:tc>
          <w:tcPr>
            <w:tcW w:w="1136" w:type="dxa"/>
            <w:gridSpan w:val="2"/>
            <w:tcMar>
              <w:left w:w="28" w:type="dxa"/>
              <w:right w:w="28" w:type="dxa"/>
            </w:tcMar>
          </w:tcPr>
          <w:p w14:paraId="3D219B51"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4D504FF0"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1D17780A"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2864E6E9"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3022A55D" w14:textId="77777777" w:rsidTr="004C279A">
        <w:trPr>
          <w:gridBefore w:val="1"/>
          <w:wBefore w:w="12" w:type="dxa"/>
          <w:cantSplit/>
          <w:tblHeader/>
          <w:jc w:val="center"/>
        </w:trPr>
        <w:tc>
          <w:tcPr>
            <w:tcW w:w="651" w:type="dxa"/>
            <w:gridSpan w:val="3"/>
            <w:tcMar>
              <w:left w:w="28" w:type="dxa"/>
              <w:right w:w="28" w:type="dxa"/>
            </w:tcMar>
          </w:tcPr>
          <w:p w14:paraId="5CDB274B"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(4)</w:t>
            </w:r>
          </w:p>
        </w:tc>
        <w:tc>
          <w:tcPr>
            <w:tcW w:w="2286" w:type="dxa"/>
            <w:gridSpan w:val="3"/>
            <w:tcMar>
              <w:left w:w="28" w:type="dxa"/>
              <w:right w:w="28" w:type="dxa"/>
            </w:tcMar>
          </w:tcPr>
          <w:p w14:paraId="5E7F4E5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Бензен</w:t>
            </w:r>
          </w:p>
        </w:tc>
        <w:tc>
          <w:tcPr>
            <w:tcW w:w="1329" w:type="dxa"/>
            <w:gridSpan w:val="3"/>
            <w:tcMar>
              <w:left w:w="28" w:type="dxa"/>
              <w:right w:w="28" w:type="dxa"/>
            </w:tcMar>
          </w:tcPr>
          <w:p w14:paraId="54EE827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tcMar>
              <w:left w:w="28" w:type="dxa"/>
              <w:right w:w="28" w:type="dxa"/>
            </w:tcMar>
          </w:tcPr>
          <w:p w14:paraId="5D0F843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71-43-2</w:t>
            </w:r>
          </w:p>
        </w:tc>
        <w:tc>
          <w:tcPr>
            <w:tcW w:w="1134" w:type="dxa"/>
          </w:tcPr>
          <w:p w14:paraId="3750174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200-753-7</w:t>
            </w:r>
          </w:p>
        </w:tc>
        <w:tc>
          <w:tcPr>
            <w:tcW w:w="1279" w:type="dxa"/>
            <w:gridSpan w:val="2"/>
            <w:tcMar>
              <w:left w:w="28" w:type="dxa"/>
              <w:right w:w="28" w:type="dxa"/>
            </w:tcMar>
          </w:tcPr>
          <w:p w14:paraId="169A152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10</w:t>
            </w:r>
          </w:p>
        </w:tc>
        <w:tc>
          <w:tcPr>
            <w:tcW w:w="1279" w:type="dxa"/>
            <w:gridSpan w:val="2"/>
            <w:tcMar>
              <w:left w:w="28" w:type="dxa"/>
              <w:right w:w="28" w:type="dxa"/>
            </w:tcMar>
          </w:tcPr>
          <w:p w14:paraId="302B280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8</w:t>
            </w:r>
          </w:p>
        </w:tc>
        <w:tc>
          <w:tcPr>
            <w:tcW w:w="1278" w:type="dxa"/>
            <w:gridSpan w:val="2"/>
            <w:tcMar>
              <w:left w:w="28" w:type="dxa"/>
              <w:right w:w="28" w:type="dxa"/>
            </w:tcMar>
          </w:tcPr>
          <w:p w14:paraId="02AB75B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50</w:t>
            </w:r>
          </w:p>
        </w:tc>
        <w:tc>
          <w:tcPr>
            <w:tcW w:w="1277" w:type="dxa"/>
            <w:gridSpan w:val="2"/>
            <w:tcMar>
              <w:left w:w="28" w:type="dxa"/>
              <w:right w:w="28" w:type="dxa"/>
            </w:tcMar>
          </w:tcPr>
          <w:p w14:paraId="06D02A9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50</w:t>
            </w:r>
          </w:p>
        </w:tc>
        <w:tc>
          <w:tcPr>
            <w:tcW w:w="1136" w:type="dxa"/>
            <w:gridSpan w:val="2"/>
            <w:tcMar>
              <w:left w:w="28" w:type="dxa"/>
              <w:right w:w="28" w:type="dxa"/>
            </w:tcMar>
          </w:tcPr>
          <w:p w14:paraId="7AFF1B1A"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27BFBE61"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01F7693B"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0B8CB5AF"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4DEE06D6" w14:textId="77777777" w:rsidTr="004C279A">
        <w:trPr>
          <w:gridBefore w:val="1"/>
          <w:wBefore w:w="12" w:type="dxa"/>
          <w:cantSplit/>
          <w:trHeight w:val="567"/>
          <w:tblHeader/>
          <w:jc w:val="center"/>
        </w:trPr>
        <w:tc>
          <w:tcPr>
            <w:tcW w:w="651" w:type="dxa"/>
            <w:gridSpan w:val="3"/>
            <w:tcMar>
              <w:left w:w="28" w:type="dxa"/>
              <w:right w:w="28" w:type="dxa"/>
            </w:tcMar>
          </w:tcPr>
          <w:p w14:paraId="3C2EA064"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(5)</w:t>
            </w:r>
          </w:p>
        </w:tc>
        <w:tc>
          <w:tcPr>
            <w:tcW w:w="2286" w:type="dxa"/>
            <w:gridSpan w:val="3"/>
            <w:tcMar>
              <w:left w:w="28" w:type="dxa"/>
              <w:right w:w="28" w:type="dxa"/>
            </w:tcMar>
          </w:tcPr>
          <w:p w14:paraId="63CBEF16"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Бромирани дифенилетери</w:t>
            </w:r>
            <w:bookmarkStart w:id="20" w:name="_DV_M300"/>
            <w:bookmarkEnd w:id="20"/>
          </w:p>
        </w:tc>
        <w:tc>
          <w:tcPr>
            <w:tcW w:w="1329" w:type="dxa"/>
            <w:gridSpan w:val="3"/>
            <w:tcMar>
              <w:left w:w="28" w:type="dxa"/>
              <w:right w:w="28" w:type="dxa"/>
            </w:tcMar>
          </w:tcPr>
          <w:p w14:paraId="219FFD8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tcMar>
              <w:left w:w="28" w:type="dxa"/>
              <w:right w:w="28" w:type="dxa"/>
            </w:tcMar>
          </w:tcPr>
          <w:p w14:paraId="11CEECE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4" w:type="dxa"/>
          </w:tcPr>
          <w:p w14:paraId="4A633C3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9" w:type="dxa"/>
            <w:gridSpan w:val="2"/>
            <w:tcMar>
              <w:left w:w="28" w:type="dxa"/>
              <w:right w:w="28" w:type="dxa"/>
            </w:tcMar>
          </w:tcPr>
          <w:p w14:paraId="5C0A3C88" w14:textId="77777777" w:rsidR="00501E78" w:rsidRPr="00921C9B" w:rsidRDefault="00501E78" w:rsidP="00501E78">
            <w:pPr>
              <w:widowControl/>
              <w:spacing w:before="40" w:after="40"/>
              <w:rPr>
                <w:rFonts w:eastAsia="Calibri"/>
                <w:noProof/>
                <w:sz w:val="22"/>
                <w:szCs w:val="22"/>
                <w:lang w:eastAsia="en-US"/>
              </w:rPr>
            </w:pPr>
          </w:p>
        </w:tc>
        <w:tc>
          <w:tcPr>
            <w:tcW w:w="1279" w:type="dxa"/>
            <w:gridSpan w:val="2"/>
            <w:tcMar>
              <w:left w:w="28" w:type="dxa"/>
              <w:right w:w="28" w:type="dxa"/>
            </w:tcMar>
          </w:tcPr>
          <w:p w14:paraId="0FC127D8" w14:textId="77777777" w:rsidR="00501E78" w:rsidRPr="00921C9B" w:rsidRDefault="00501E78" w:rsidP="00501E78">
            <w:pPr>
              <w:widowControl/>
              <w:spacing w:before="40" w:after="40"/>
              <w:rPr>
                <w:rFonts w:eastAsia="Calibri"/>
                <w:noProof/>
                <w:sz w:val="22"/>
                <w:szCs w:val="22"/>
                <w:lang w:eastAsia="en-US"/>
              </w:rPr>
            </w:pPr>
          </w:p>
        </w:tc>
        <w:tc>
          <w:tcPr>
            <w:tcW w:w="1278" w:type="dxa"/>
            <w:gridSpan w:val="2"/>
            <w:tcMar>
              <w:left w:w="28" w:type="dxa"/>
              <w:right w:w="28" w:type="dxa"/>
            </w:tcMar>
          </w:tcPr>
          <w:p w14:paraId="0022354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0,14 (</w:t>
            </w:r>
            <w:r w:rsidRPr="00921C9B">
              <w:rPr>
                <w:rFonts w:eastAsia="Calibri"/>
                <w:noProof/>
                <w:sz w:val="22"/>
                <w:szCs w:val="22"/>
                <w:vertAlign w:val="superscript"/>
                <w:lang w:eastAsia="en-US"/>
              </w:rPr>
              <w:t>7</w:t>
            </w:r>
            <w:r w:rsidRPr="00921C9B">
              <w:rPr>
                <w:rFonts w:eastAsia="Calibri"/>
                <w:noProof/>
                <w:sz w:val="22"/>
                <w:szCs w:val="22"/>
                <w:lang w:eastAsia="en-US"/>
              </w:rPr>
              <w:t>)</w:t>
            </w:r>
          </w:p>
        </w:tc>
        <w:tc>
          <w:tcPr>
            <w:tcW w:w="1277" w:type="dxa"/>
            <w:gridSpan w:val="2"/>
            <w:tcMar>
              <w:left w:w="28" w:type="dxa"/>
              <w:right w:w="28" w:type="dxa"/>
            </w:tcMar>
          </w:tcPr>
          <w:p w14:paraId="3B63AEC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0,014 (</w:t>
            </w:r>
            <w:r w:rsidRPr="00921C9B">
              <w:rPr>
                <w:rFonts w:eastAsia="Calibri"/>
                <w:noProof/>
                <w:sz w:val="22"/>
                <w:szCs w:val="22"/>
                <w:vertAlign w:val="superscript"/>
                <w:lang w:eastAsia="en-US"/>
              </w:rPr>
              <w:t>7</w:t>
            </w:r>
            <w:r w:rsidRPr="00921C9B">
              <w:rPr>
                <w:rFonts w:eastAsia="Calibri"/>
                <w:noProof/>
                <w:sz w:val="22"/>
                <w:szCs w:val="22"/>
                <w:lang w:eastAsia="en-US"/>
              </w:rPr>
              <w:t>)</w:t>
            </w:r>
          </w:p>
        </w:tc>
        <w:tc>
          <w:tcPr>
            <w:tcW w:w="1136" w:type="dxa"/>
            <w:gridSpan w:val="2"/>
            <w:tcMar>
              <w:left w:w="28" w:type="dxa"/>
              <w:right w:w="28" w:type="dxa"/>
            </w:tcMar>
          </w:tcPr>
          <w:p w14:paraId="7A34E00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[0,00028] (</w:t>
            </w:r>
            <w:r w:rsidRPr="00921C9B">
              <w:rPr>
                <w:rFonts w:eastAsia="Calibri"/>
                <w:noProof/>
                <w:sz w:val="22"/>
                <w:szCs w:val="22"/>
                <w:vertAlign w:val="superscript"/>
                <w:lang w:eastAsia="en-US"/>
              </w:rPr>
              <w:t>7</w:t>
            </w:r>
            <w:r w:rsidRPr="00921C9B">
              <w:rPr>
                <w:rFonts w:eastAsia="Calibri"/>
                <w:noProof/>
                <w:sz w:val="22"/>
                <w:szCs w:val="22"/>
                <w:lang w:eastAsia="en-US"/>
              </w:rPr>
              <w:t>)</w:t>
            </w:r>
          </w:p>
        </w:tc>
        <w:tc>
          <w:tcPr>
            <w:tcW w:w="1262" w:type="dxa"/>
            <w:tcMar>
              <w:left w:w="28" w:type="dxa"/>
              <w:right w:w="28" w:type="dxa"/>
            </w:tcMar>
          </w:tcPr>
          <w:p w14:paraId="5983960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 (</w:t>
            </w:r>
            <w:r w:rsidRPr="00921C9B">
              <w:rPr>
                <w:rFonts w:eastAsia="Calibri"/>
                <w:noProof/>
                <w:sz w:val="22"/>
                <w:szCs w:val="22"/>
                <w:vertAlign w:val="superscript"/>
                <w:lang w:eastAsia="en-US"/>
              </w:rPr>
              <w:t>8</w:t>
            </w:r>
            <w:r w:rsidRPr="00921C9B">
              <w:rPr>
                <w:rFonts w:eastAsia="Calibri"/>
                <w:noProof/>
                <w:sz w:val="22"/>
                <w:szCs w:val="22"/>
                <w:lang w:eastAsia="en-US"/>
              </w:rPr>
              <w:t>)</w:t>
            </w:r>
          </w:p>
        </w:tc>
        <w:tc>
          <w:tcPr>
            <w:tcW w:w="1153" w:type="dxa"/>
            <w:gridSpan w:val="2"/>
            <w:tcMar>
              <w:left w:w="28" w:type="dxa"/>
              <w:right w:w="28" w:type="dxa"/>
            </w:tcMar>
          </w:tcPr>
          <w:p w14:paraId="281F85F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970" w:type="dxa"/>
            <w:tcMar>
              <w:left w:w="28" w:type="dxa"/>
              <w:right w:w="28" w:type="dxa"/>
            </w:tcMar>
          </w:tcPr>
          <w:p w14:paraId="5C629B5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36B60699" w14:textId="77777777" w:rsidTr="004C279A">
        <w:trPr>
          <w:gridBefore w:val="1"/>
          <w:wBefore w:w="12" w:type="dxa"/>
          <w:cantSplit/>
          <w:tblHeader/>
          <w:jc w:val="center"/>
        </w:trPr>
        <w:tc>
          <w:tcPr>
            <w:tcW w:w="651" w:type="dxa"/>
            <w:gridSpan w:val="3"/>
            <w:tcMar>
              <w:left w:w="28" w:type="dxa"/>
              <w:right w:w="28" w:type="dxa"/>
            </w:tcMar>
          </w:tcPr>
          <w:p w14:paraId="3F891C5B" w14:textId="77777777" w:rsidR="00501E78" w:rsidRPr="00921C9B" w:rsidRDefault="00501E78" w:rsidP="00501E78">
            <w:pPr>
              <w:keepNext/>
              <w:widowControl/>
              <w:spacing w:before="40" w:after="40"/>
              <w:jc w:val="both"/>
              <w:rPr>
                <w:rFonts w:eastAsia="Calibri"/>
                <w:noProof/>
                <w:sz w:val="22"/>
                <w:szCs w:val="22"/>
                <w:lang w:eastAsia="en-US"/>
              </w:rPr>
            </w:pPr>
            <w:r w:rsidRPr="00921C9B">
              <w:rPr>
                <w:rFonts w:eastAsia="Calibri"/>
                <w:noProof/>
                <w:sz w:val="22"/>
                <w:szCs w:val="22"/>
                <w:lang w:eastAsia="en-US"/>
              </w:rPr>
              <w:t>(6)</w:t>
            </w:r>
          </w:p>
        </w:tc>
        <w:tc>
          <w:tcPr>
            <w:tcW w:w="2286" w:type="dxa"/>
            <w:gridSpan w:val="3"/>
            <w:tcMar>
              <w:left w:w="28" w:type="dxa"/>
              <w:right w:w="28" w:type="dxa"/>
            </w:tcMar>
          </w:tcPr>
          <w:p w14:paraId="0A119605"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Кадмий и неговите съединения</w:t>
            </w:r>
          </w:p>
          <w:p w14:paraId="5FB4F1D1" w14:textId="77777777" w:rsidR="00501E78" w:rsidRPr="00921C9B" w:rsidRDefault="00501E78" w:rsidP="00501E78">
            <w:pPr>
              <w:keepNext/>
              <w:widowControl/>
              <w:spacing w:before="40" w:after="40"/>
              <w:rPr>
                <w:rFonts w:eastAsia="Calibri"/>
                <w:noProof/>
                <w:sz w:val="22"/>
                <w:szCs w:val="22"/>
                <w:vertAlign w:val="superscript"/>
                <w:lang w:eastAsia="en-US"/>
              </w:rPr>
            </w:pPr>
            <w:r w:rsidRPr="00921C9B">
              <w:rPr>
                <w:rFonts w:eastAsia="Calibri"/>
                <w:noProof/>
                <w:sz w:val="22"/>
                <w:szCs w:val="22"/>
                <w:lang w:eastAsia="en-US"/>
              </w:rPr>
              <w:t>(в зависимост от класовете твърдост на водата) (</w:t>
            </w:r>
            <w:r w:rsidRPr="00921C9B">
              <w:rPr>
                <w:rFonts w:eastAsia="Calibri"/>
                <w:noProof/>
                <w:sz w:val="22"/>
                <w:szCs w:val="22"/>
                <w:vertAlign w:val="superscript"/>
                <w:lang w:eastAsia="en-US"/>
              </w:rPr>
              <w:t>9</w:t>
            </w:r>
            <w:r w:rsidRPr="00921C9B">
              <w:rPr>
                <w:rFonts w:eastAsia="Calibri"/>
                <w:noProof/>
                <w:sz w:val="22"/>
                <w:szCs w:val="22"/>
                <w:lang w:eastAsia="en-US"/>
              </w:rPr>
              <w:t>)</w:t>
            </w:r>
          </w:p>
        </w:tc>
        <w:tc>
          <w:tcPr>
            <w:tcW w:w="1329" w:type="dxa"/>
            <w:gridSpan w:val="3"/>
            <w:tcMar>
              <w:left w:w="28" w:type="dxa"/>
              <w:right w:w="28" w:type="dxa"/>
            </w:tcMar>
          </w:tcPr>
          <w:p w14:paraId="3BADBB03"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Метали</w:t>
            </w:r>
          </w:p>
        </w:tc>
        <w:tc>
          <w:tcPr>
            <w:tcW w:w="992" w:type="dxa"/>
            <w:gridSpan w:val="2"/>
            <w:tcMar>
              <w:left w:w="28" w:type="dxa"/>
              <w:right w:w="28" w:type="dxa"/>
            </w:tcMar>
          </w:tcPr>
          <w:p w14:paraId="12EC4500"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7440-43-9</w:t>
            </w:r>
          </w:p>
        </w:tc>
        <w:tc>
          <w:tcPr>
            <w:tcW w:w="1134" w:type="dxa"/>
          </w:tcPr>
          <w:p w14:paraId="0D1FBB7D"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231-152-8</w:t>
            </w:r>
          </w:p>
        </w:tc>
        <w:tc>
          <w:tcPr>
            <w:tcW w:w="1279" w:type="dxa"/>
            <w:gridSpan w:val="2"/>
            <w:tcMar>
              <w:left w:w="28" w:type="dxa"/>
              <w:right w:w="28" w:type="dxa"/>
            </w:tcMar>
          </w:tcPr>
          <w:p w14:paraId="15685D84"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 0,08 (клас 1)</w:t>
            </w:r>
          </w:p>
          <w:p w14:paraId="5FD83FC8"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0,08 (клас 2)</w:t>
            </w:r>
          </w:p>
          <w:p w14:paraId="0613C9A8"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0,09 (клас 3)</w:t>
            </w:r>
          </w:p>
          <w:p w14:paraId="402BD805"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0,15 (клас 4)</w:t>
            </w:r>
          </w:p>
          <w:p w14:paraId="6D0B152D"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0,25 (клас 5)</w:t>
            </w:r>
          </w:p>
        </w:tc>
        <w:tc>
          <w:tcPr>
            <w:tcW w:w="1279" w:type="dxa"/>
            <w:gridSpan w:val="2"/>
            <w:tcMar>
              <w:left w:w="28" w:type="dxa"/>
              <w:right w:w="28" w:type="dxa"/>
            </w:tcMar>
          </w:tcPr>
          <w:p w14:paraId="5D3845A0"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0,2</w:t>
            </w:r>
          </w:p>
        </w:tc>
        <w:tc>
          <w:tcPr>
            <w:tcW w:w="1278" w:type="dxa"/>
            <w:gridSpan w:val="2"/>
            <w:tcMar>
              <w:left w:w="28" w:type="dxa"/>
              <w:right w:w="28" w:type="dxa"/>
            </w:tcMar>
          </w:tcPr>
          <w:p w14:paraId="52D3E2B7"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 0,45 (клас 1)</w:t>
            </w:r>
          </w:p>
          <w:p w14:paraId="25AD6D49"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0,45 (клас 2)</w:t>
            </w:r>
          </w:p>
          <w:p w14:paraId="09464517"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0,6 (клас 3)</w:t>
            </w:r>
          </w:p>
          <w:p w14:paraId="67D54657"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0,9 (клас 4)</w:t>
            </w:r>
          </w:p>
          <w:p w14:paraId="7BF86047"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1,5 (клас 5)</w:t>
            </w:r>
          </w:p>
        </w:tc>
        <w:tc>
          <w:tcPr>
            <w:tcW w:w="1277" w:type="dxa"/>
            <w:gridSpan w:val="2"/>
            <w:tcMar>
              <w:left w:w="28" w:type="dxa"/>
              <w:right w:w="28" w:type="dxa"/>
            </w:tcMar>
          </w:tcPr>
          <w:p w14:paraId="02927A7C"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 0,45 (клас 1)</w:t>
            </w:r>
          </w:p>
          <w:p w14:paraId="48718FBC"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0,45 (клас 2)</w:t>
            </w:r>
          </w:p>
          <w:p w14:paraId="47A3EAFA"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0,6 (клас 3)</w:t>
            </w:r>
          </w:p>
          <w:p w14:paraId="767A54D4"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0,9 (клас 4)</w:t>
            </w:r>
          </w:p>
          <w:p w14:paraId="4E154B51"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1,5 (клас 5)</w:t>
            </w:r>
          </w:p>
        </w:tc>
        <w:tc>
          <w:tcPr>
            <w:tcW w:w="1136" w:type="dxa"/>
            <w:gridSpan w:val="2"/>
            <w:tcMar>
              <w:left w:w="28" w:type="dxa"/>
              <w:right w:w="28" w:type="dxa"/>
            </w:tcMar>
          </w:tcPr>
          <w:p w14:paraId="21F73779" w14:textId="77777777" w:rsidR="00501E78" w:rsidRPr="00921C9B" w:rsidRDefault="00501E78" w:rsidP="00501E78">
            <w:pPr>
              <w:keepNext/>
              <w:widowControl/>
              <w:spacing w:before="40" w:after="40"/>
              <w:rPr>
                <w:rFonts w:eastAsia="Calibri"/>
                <w:noProof/>
                <w:sz w:val="22"/>
                <w:szCs w:val="22"/>
                <w:lang w:eastAsia="en-US"/>
              </w:rPr>
            </w:pPr>
          </w:p>
        </w:tc>
        <w:tc>
          <w:tcPr>
            <w:tcW w:w="1262" w:type="dxa"/>
            <w:tcMar>
              <w:left w:w="28" w:type="dxa"/>
              <w:right w:w="28" w:type="dxa"/>
            </w:tcMar>
          </w:tcPr>
          <w:p w14:paraId="2417D6A7"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41929943" w14:textId="77777777" w:rsidR="00501E78" w:rsidRPr="00921C9B" w:rsidRDefault="00501E78" w:rsidP="00501E78">
            <w:pPr>
              <w:keepNext/>
              <w:widowControl/>
              <w:spacing w:before="40" w:after="40"/>
              <w:rPr>
                <w:rFonts w:eastAsia="Calibri"/>
                <w:noProof/>
                <w:sz w:val="22"/>
                <w:szCs w:val="22"/>
                <w:lang w:eastAsia="en-US"/>
              </w:rPr>
            </w:pPr>
          </w:p>
        </w:tc>
        <w:tc>
          <w:tcPr>
            <w:tcW w:w="970" w:type="dxa"/>
            <w:tcMar>
              <w:left w:w="28" w:type="dxa"/>
              <w:right w:w="28" w:type="dxa"/>
            </w:tcMar>
          </w:tcPr>
          <w:p w14:paraId="300E7BF4"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30E5DFE8" w14:textId="77777777" w:rsidTr="004C279A">
        <w:trPr>
          <w:gridBefore w:val="1"/>
          <w:wBefore w:w="12" w:type="dxa"/>
          <w:cantSplit/>
          <w:tblHeader/>
          <w:jc w:val="center"/>
        </w:trPr>
        <w:tc>
          <w:tcPr>
            <w:tcW w:w="651" w:type="dxa"/>
            <w:gridSpan w:val="3"/>
            <w:tcMar>
              <w:left w:w="28" w:type="dxa"/>
              <w:right w:w="28" w:type="dxa"/>
            </w:tcMar>
          </w:tcPr>
          <w:p w14:paraId="0027F5F3"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lastRenderedPageBreak/>
              <w:t>(6a)</w:t>
            </w:r>
          </w:p>
        </w:tc>
        <w:tc>
          <w:tcPr>
            <w:tcW w:w="15375" w:type="dxa"/>
            <w:gridSpan w:val="23"/>
            <w:tcMar>
              <w:left w:w="28" w:type="dxa"/>
              <w:right w:w="28" w:type="dxa"/>
            </w:tcMar>
          </w:tcPr>
          <w:p w14:paraId="1813210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Веществото въглероден тетрахлорид е преместено в част В от приложение II </w:t>
            </w:r>
          </w:p>
        </w:tc>
      </w:tr>
      <w:tr w:rsidR="00501E78" w:rsidRPr="00921C9B" w14:paraId="495DD18A" w14:textId="77777777" w:rsidTr="004C279A">
        <w:trPr>
          <w:gridBefore w:val="1"/>
          <w:wBefore w:w="12" w:type="dxa"/>
          <w:cantSplit/>
          <w:tblHeader/>
          <w:jc w:val="center"/>
        </w:trPr>
        <w:tc>
          <w:tcPr>
            <w:tcW w:w="651" w:type="dxa"/>
            <w:gridSpan w:val="3"/>
            <w:tcMar>
              <w:left w:w="28" w:type="dxa"/>
              <w:right w:w="28" w:type="dxa"/>
            </w:tcMar>
          </w:tcPr>
          <w:p w14:paraId="7DCBA67E"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(7)</w:t>
            </w:r>
          </w:p>
        </w:tc>
        <w:tc>
          <w:tcPr>
            <w:tcW w:w="2286" w:type="dxa"/>
            <w:gridSpan w:val="3"/>
            <w:tcMar>
              <w:left w:w="28" w:type="dxa"/>
              <w:right w:w="28" w:type="dxa"/>
            </w:tcMar>
          </w:tcPr>
          <w:p w14:paraId="08BF32AD"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C</w:t>
            </w:r>
            <w:r w:rsidRPr="00921C9B">
              <w:rPr>
                <w:rFonts w:eastAsia="Calibri"/>
                <w:noProof/>
                <w:sz w:val="22"/>
                <w:szCs w:val="22"/>
                <w:vertAlign w:val="subscript"/>
                <w:lang w:eastAsia="en-US"/>
              </w:rPr>
              <w:t xml:space="preserve">10-13 </w:t>
            </w:r>
            <w:r w:rsidRPr="00921C9B">
              <w:rPr>
                <w:rFonts w:eastAsia="Calibri"/>
                <w:noProof/>
                <w:sz w:val="22"/>
                <w:szCs w:val="22"/>
                <w:lang w:eastAsia="en-US"/>
              </w:rPr>
              <w:t>хлороалкани (</w:t>
            </w:r>
            <w:r w:rsidRPr="00921C9B">
              <w:rPr>
                <w:rFonts w:eastAsia="Calibri"/>
                <w:noProof/>
                <w:sz w:val="22"/>
                <w:szCs w:val="22"/>
                <w:vertAlign w:val="superscript"/>
                <w:lang w:eastAsia="en-US"/>
              </w:rPr>
              <w:t>10</w:t>
            </w:r>
            <w:r w:rsidRPr="00921C9B">
              <w:rPr>
                <w:rFonts w:eastAsia="Calibri"/>
                <w:noProof/>
                <w:sz w:val="22"/>
                <w:szCs w:val="22"/>
                <w:lang w:eastAsia="en-US"/>
              </w:rPr>
              <w:t>)</w:t>
            </w:r>
          </w:p>
        </w:tc>
        <w:tc>
          <w:tcPr>
            <w:tcW w:w="1329" w:type="dxa"/>
            <w:gridSpan w:val="3"/>
            <w:tcMar>
              <w:left w:w="28" w:type="dxa"/>
              <w:right w:w="28" w:type="dxa"/>
            </w:tcMar>
          </w:tcPr>
          <w:p w14:paraId="2A07D6E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tcMar>
              <w:left w:w="28" w:type="dxa"/>
              <w:right w:w="28" w:type="dxa"/>
            </w:tcMar>
          </w:tcPr>
          <w:p w14:paraId="09CC8E1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85535-84-8</w:t>
            </w:r>
          </w:p>
        </w:tc>
        <w:tc>
          <w:tcPr>
            <w:tcW w:w="1134" w:type="dxa"/>
          </w:tcPr>
          <w:p w14:paraId="07742CA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287-476-5</w:t>
            </w:r>
          </w:p>
        </w:tc>
        <w:tc>
          <w:tcPr>
            <w:tcW w:w="1279" w:type="dxa"/>
            <w:gridSpan w:val="2"/>
            <w:tcMar>
              <w:left w:w="28" w:type="dxa"/>
              <w:right w:w="28" w:type="dxa"/>
            </w:tcMar>
          </w:tcPr>
          <w:p w14:paraId="0EE2A94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0,4 </w:t>
            </w:r>
          </w:p>
        </w:tc>
        <w:tc>
          <w:tcPr>
            <w:tcW w:w="1279" w:type="dxa"/>
            <w:gridSpan w:val="2"/>
            <w:tcMar>
              <w:left w:w="28" w:type="dxa"/>
              <w:right w:w="28" w:type="dxa"/>
            </w:tcMar>
          </w:tcPr>
          <w:p w14:paraId="2885377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0,4</w:t>
            </w:r>
          </w:p>
        </w:tc>
        <w:tc>
          <w:tcPr>
            <w:tcW w:w="1278" w:type="dxa"/>
            <w:gridSpan w:val="2"/>
            <w:tcMar>
              <w:left w:w="28" w:type="dxa"/>
              <w:right w:w="28" w:type="dxa"/>
            </w:tcMar>
          </w:tcPr>
          <w:p w14:paraId="19AD202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1,4</w:t>
            </w:r>
          </w:p>
        </w:tc>
        <w:tc>
          <w:tcPr>
            <w:tcW w:w="1277" w:type="dxa"/>
            <w:gridSpan w:val="2"/>
            <w:tcMar>
              <w:left w:w="28" w:type="dxa"/>
              <w:right w:w="28" w:type="dxa"/>
            </w:tcMar>
          </w:tcPr>
          <w:p w14:paraId="21B6544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1,4</w:t>
            </w:r>
          </w:p>
        </w:tc>
        <w:tc>
          <w:tcPr>
            <w:tcW w:w="1136" w:type="dxa"/>
            <w:gridSpan w:val="2"/>
            <w:tcMar>
              <w:left w:w="28" w:type="dxa"/>
              <w:right w:w="28" w:type="dxa"/>
            </w:tcMar>
          </w:tcPr>
          <w:p w14:paraId="6ACCDE4B"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5078D8A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471C9726"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2EDF58C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1BE7DB25" w14:textId="77777777" w:rsidTr="004C279A">
        <w:trPr>
          <w:gridBefore w:val="1"/>
          <w:wBefore w:w="12" w:type="dxa"/>
          <w:cantSplit/>
          <w:tblHeader/>
          <w:jc w:val="center"/>
        </w:trPr>
        <w:tc>
          <w:tcPr>
            <w:tcW w:w="651" w:type="dxa"/>
            <w:gridSpan w:val="3"/>
            <w:tcMar>
              <w:left w:w="28" w:type="dxa"/>
              <w:right w:w="28" w:type="dxa"/>
            </w:tcMar>
          </w:tcPr>
          <w:p w14:paraId="2F3C6FA7"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(8)</w:t>
            </w:r>
          </w:p>
        </w:tc>
        <w:tc>
          <w:tcPr>
            <w:tcW w:w="15375" w:type="dxa"/>
            <w:gridSpan w:val="23"/>
            <w:tcMar>
              <w:left w:w="28" w:type="dxa"/>
              <w:right w:w="28" w:type="dxa"/>
            </w:tcMar>
          </w:tcPr>
          <w:p w14:paraId="3C942F5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Веществото хлорофенвинфос е преместено в част В от приложение II </w:t>
            </w:r>
          </w:p>
        </w:tc>
      </w:tr>
      <w:tr w:rsidR="00501E78" w:rsidRPr="00921C9B" w14:paraId="375CCA11" w14:textId="77777777" w:rsidTr="004C279A">
        <w:trPr>
          <w:gridBefore w:val="1"/>
          <w:wBefore w:w="12" w:type="dxa"/>
          <w:cantSplit/>
          <w:tblHeader/>
          <w:jc w:val="center"/>
        </w:trPr>
        <w:tc>
          <w:tcPr>
            <w:tcW w:w="651" w:type="dxa"/>
            <w:gridSpan w:val="3"/>
            <w:tcMar>
              <w:left w:w="28" w:type="dxa"/>
              <w:right w:w="28" w:type="dxa"/>
            </w:tcMar>
          </w:tcPr>
          <w:p w14:paraId="28CECE12"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(9)</w:t>
            </w:r>
          </w:p>
        </w:tc>
        <w:tc>
          <w:tcPr>
            <w:tcW w:w="2286" w:type="dxa"/>
            <w:gridSpan w:val="3"/>
            <w:tcMar>
              <w:left w:w="28" w:type="dxa"/>
              <w:right w:w="28" w:type="dxa"/>
            </w:tcMar>
          </w:tcPr>
          <w:p w14:paraId="20C441C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Хлорпирифос (хлорпирифос-етил)</w:t>
            </w:r>
          </w:p>
        </w:tc>
        <w:tc>
          <w:tcPr>
            <w:tcW w:w="1329" w:type="dxa"/>
            <w:gridSpan w:val="3"/>
            <w:tcMar>
              <w:left w:w="28" w:type="dxa"/>
              <w:right w:w="28" w:type="dxa"/>
            </w:tcMar>
          </w:tcPr>
          <w:p w14:paraId="241C8D2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Органофосфатни пестициди</w:t>
            </w:r>
          </w:p>
        </w:tc>
        <w:tc>
          <w:tcPr>
            <w:tcW w:w="992" w:type="dxa"/>
            <w:gridSpan w:val="2"/>
            <w:tcMar>
              <w:left w:w="28" w:type="dxa"/>
              <w:right w:w="28" w:type="dxa"/>
            </w:tcMar>
          </w:tcPr>
          <w:p w14:paraId="7660799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2921-88-2</w:t>
            </w:r>
          </w:p>
        </w:tc>
        <w:tc>
          <w:tcPr>
            <w:tcW w:w="1134" w:type="dxa"/>
          </w:tcPr>
          <w:p w14:paraId="6E25A74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220-864-4</w:t>
            </w:r>
          </w:p>
        </w:tc>
        <w:tc>
          <w:tcPr>
            <w:tcW w:w="1279" w:type="dxa"/>
            <w:gridSpan w:val="2"/>
            <w:tcMar>
              <w:left w:w="28" w:type="dxa"/>
              <w:right w:w="28" w:type="dxa"/>
            </w:tcMar>
          </w:tcPr>
          <w:p w14:paraId="358FB17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4,6 × 10</w:t>
            </w:r>
            <w:r w:rsidRPr="00921C9B">
              <w:rPr>
                <w:rFonts w:eastAsia="Calibri"/>
                <w:noProof/>
                <w:sz w:val="22"/>
                <w:szCs w:val="22"/>
                <w:vertAlign w:val="superscript"/>
                <w:lang w:eastAsia="en-US"/>
              </w:rPr>
              <w:t>-4</w:t>
            </w:r>
          </w:p>
        </w:tc>
        <w:tc>
          <w:tcPr>
            <w:tcW w:w="1279" w:type="dxa"/>
            <w:gridSpan w:val="2"/>
            <w:tcMar>
              <w:left w:w="28" w:type="dxa"/>
              <w:right w:w="28" w:type="dxa"/>
            </w:tcMar>
          </w:tcPr>
          <w:p w14:paraId="6497747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4,6 × 10</w:t>
            </w:r>
            <w:r w:rsidRPr="00921C9B">
              <w:rPr>
                <w:rFonts w:eastAsia="Calibri"/>
                <w:noProof/>
                <w:sz w:val="22"/>
                <w:szCs w:val="22"/>
                <w:vertAlign w:val="superscript"/>
                <w:lang w:eastAsia="en-US"/>
              </w:rPr>
              <w:t>-5</w:t>
            </w:r>
          </w:p>
        </w:tc>
        <w:tc>
          <w:tcPr>
            <w:tcW w:w="1278" w:type="dxa"/>
            <w:gridSpan w:val="2"/>
            <w:tcMar>
              <w:left w:w="28" w:type="dxa"/>
              <w:right w:w="28" w:type="dxa"/>
            </w:tcMar>
          </w:tcPr>
          <w:p w14:paraId="215B3A4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0,0026</w:t>
            </w:r>
          </w:p>
        </w:tc>
        <w:tc>
          <w:tcPr>
            <w:tcW w:w="1277" w:type="dxa"/>
            <w:gridSpan w:val="2"/>
            <w:tcMar>
              <w:left w:w="28" w:type="dxa"/>
              <w:right w:w="28" w:type="dxa"/>
            </w:tcMar>
          </w:tcPr>
          <w:p w14:paraId="43D812E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5,2 × 10</w:t>
            </w:r>
            <w:r w:rsidRPr="00921C9B">
              <w:rPr>
                <w:rFonts w:eastAsia="Calibri"/>
                <w:noProof/>
                <w:sz w:val="22"/>
                <w:szCs w:val="22"/>
                <w:vertAlign w:val="superscript"/>
                <w:lang w:eastAsia="en-US"/>
              </w:rPr>
              <w:t>-4</w:t>
            </w:r>
          </w:p>
        </w:tc>
        <w:tc>
          <w:tcPr>
            <w:tcW w:w="1136" w:type="dxa"/>
            <w:gridSpan w:val="2"/>
            <w:tcMar>
              <w:left w:w="28" w:type="dxa"/>
              <w:right w:w="28" w:type="dxa"/>
            </w:tcMar>
          </w:tcPr>
          <w:p w14:paraId="535A28F2"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44E19D8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1E647D0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970" w:type="dxa"/>
            <w:tcMar>
              <w:left w:w="28" w:type="dxa"/>
              <w:right w:w="28" w:type="dxa"/>
            </w:tcMar>
          </w:tcPr>
          <w:p w14:paraId="101CAE7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212C2BDD" w14:textId="77777777" w:rsidTr="004C279A">
        <w:trPr>
          <w:gridBefore w:val="1"/>
          <w:wBefore w:w="12" w:type="dxa"/>
          <w:cantSplit/>
          <w:tblHeader/>
          <w:jc w:val="center"/>
        </w:trPr>
        <w:tc>
          <w:tcPr>
            <w:tcW w:w="651" w:type="dxa"/>
            <w:gridSpan w:val="3"/>
            <w:tcMar>
              <w:left w:w="28" w:type="dxa"/>
              <w:right w:w="28" w:type="dxa"/>
            </w:tcMar>
          </w:tcPr>
          <w:p w14:paraId="7DC0BDAC"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br w:type="page"/>
              <w:t>(9a)</w:t>
            </w:r>
          </w:p>
        </w:tc>
        <w:tc>
          <w:tcPr>
            <w:tcW w:w="2286" w:type="dxa"/>
            <w:gridSpan w:val="3"/>
            <w:tcMar>
              <w:left w:w="28" w:type="dxa"/>
              <w:right w:w="28" w:type="dxa"/>
            </w:tcMar>
          </w:tcPr>
          <w:p w14:paraId="663964F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Циклодиенови пестициди:</w:t>
            </w:r>
          </w:p>
          <w:p w14:paraId="42E3771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Алдрин </w:t>
            </w:r>
            <w:bookmarkStart w:id="21" w:name="_DV_M301"/>
            <w:bookmarkEnd w:id="21"/>
          </w:p>
          <w:p w14:paraId="2B5D07B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Диелдрин </w:t>
            </w:r>
            <w:bookmarkStart w:id="22" w:name="_DV_M302"/>
            <w:bookmarkEnd w:id="22"/>
          </w:p>
          <w:p w14:paraId="2AFD1D0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Ендрин </w:t>
            </w:r>
            <w:bookmarkStart w:id="23" w:name="_DV_M303"/>
            <w:bookmarkEnd w:id="23"/>
          </w:p>
          <w:p w14:paraId="4B4FFF9E"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 xml:space="preserve">Изодрин </w:t>
            </w:r>
            <w:bookmarkStart w:id="24" w:name="_DV_M304"/>
            <w:bookmarkEnd w:id="24"/>
          </w:p>
        </w:tc>
        <w:tc>
          <w:tcPr>
            <w:tcW w:w="1329" w:type="dxa"/>
            <w:gridSpan w:val="3"/>
            <w:tcMar>
              <w:left w:w="28" w:type="dxa"/>
              <w:right w:w="28" w:type="dxa"/>
            </w:tcMar>
          </w:tcPr>
          <w:p w14:paraId="570E3B5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Органохлорни пестициди</w:t>
            </w:r>
          </w:p>
        </w:tc>
        <w:tc>
          <w:tcPr>
            <w:tcW w:w="992" w:type="dxa"/>
            <w:gridSpan w:val="2"/>
            <w:tcMar>
              <w:left w:w="28" w:type="dxa"/>
              <w:right w:w="28" w:type="dxa"/>
            </w:tcMar>
          </w:tcPr>
          <w:p w14:paraId="58069A58" w14:textId="77777777" w:rsidR="00501E78" w:rsidRPr="00921C9B" w:rsidRDefault="00501E78" w:rsidP="00501E78">
            <w:pPr>
              <w:widowControl/>
              <w:spacing w:before="40" w:after="40"/>
              <w:rPr>
                <w:rFonts w:eastAsia="Calibri"/>
                <w:noProof/>
                <w:sz w:val="22"/>
                <w:szCs w:val="22"/>
                <w:lang w:eastAsia="en-US"/>
              </w:rPr>
            </w:pPr>
          </w:p>
          <w:p w14:paraId="105C0ED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309-00-2</w:t>
            </w:r>
          </w:p>
          <w:p w14:paraId="36B2250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60-57-1</w:t>
            </w:r>
          </w:p>
          <w:p w14:paraId="6B4325A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72-20-8</w:t>
            </w:r>
          </w:p>
          <w:p w14:paraId="0A07722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465-73-6</w:t>
            </w:r>
          </w:p>
        </w:tc>
        <w:tc>
          <w:tcPr>
            <w:tcW w:w="1134" w:type="dxa"/>
          </w:tcPr>
          <w:p w14:paraId="5AB2DB91" w14:textId="77777777" w:rsidR="00501E78" w:rsidRPr="00921C9B" w:rsidRDefault="00501E78" w:rsidP="00501E78">
            <w:pPr>
              <w:widowControl/>
              <w:spacing w:before="40" w:after="40"/>
              <w:rPr>
                <w:rFonts w:eastAsia="Calibri"/>
                <w:noProof/>
                <w:sz w:val="22"/>
                <w:szCs w:val="22"/>
                <w:lang w:eastAsia="en-US"/>
              </w:rPr>
            </w:pPr>
          </w:p>
          <w:p w14:paraId="1A9E399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206-215-8</w:t>
            </w:r>
          </w:p>
          <w:p w14:paraId="43154A7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200-484-5</w:t>
            </w:r>
          </w:p>
          <w:p w14:paraId="22D6E94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200-775-7</w:t>
            </w:r>
          </w:p>
          <w:p w14:paraId="29BF78F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207-366-2</w:t>
            </w:r>
          </w:p>
        </w:tc>
        <w:tc>
          <w:tcPr>
            <w:tcW w:w="1279" w:type="dxa"/>
            <w:gridSpan w:val="2"/>
            <w:tcMar>
              <w:left w:w="28" w:type="dxa"/>
              <w:right w:w="28" w:type="dxa"/>
            </w:tcMar>
          </w:tcPr>
          <w:p w14:paraId="3191975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Σ = 0,01</w:t>
            </w:r>
          </w:p>
        </w:tc>
        <w:tc>
          <w:tcPr>
            <w:tcW w:w="1279" w:type="dxa"/>
            <w:gridSpan w:val="2"/>
            <w:tcMar>
              <w:left w:w="28" w:type="dxa"/>
              <w:right w:w="28" w:type="dxa"/>
            </w:tcMar>
          </w:tcPr>
          <w:p w14:paraId="3966DF9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Σ = 0,005</w:t>
            </w:r>
          </w:p>
        </w:tc>
        <w:tc>
          <w:tcPr>
            <w:tcW w:w="1278" w:type="dxa"/>
            <w:gridSpan w:val="2"/>
            <w:tcMar>
              <w:left w:w="28" w:type="dxa"/>
              <w:right w:w="28" w:type="dxa"/>
            </w:tcMar>
          </w:tcPr>
          <w:p w14:paraId="3A9D2DB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tcMar>
              <w:left w:w="28" w:type="dxa"/>
              <w:right w:w="28" w:type="dxa"/>
            </w:tcMar>
          </w:tcPr>
          <w:p w14:paraId="3AEF178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tcMar>
              <w:left w:w="28" w:type="dxa"/>
              <w:right w:w="28" w:type="dxa"/>
            </w:tcMar>
          </w:tcPr>
          <w:p w14:paraId="016748CE"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7260AC5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01C1B8CB"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7FDB018F" w14:textId="77777777" w:rsidR="00501E78" w:rsidRPr="00921C9B" w:rsidRDefault="00501E78" w:rsidP="00501E78">
            <w:pPr>
              <w:widowControl/>
              <w:spacing w:before="40" w:after="40"/>
              <w:rPr>
                <w:rFonts w:eastAsia="Calibri"/>
                <w:noProof/>
                <w:sz w:val="22"/>
                <w:szCs w:val="22"/>
                <w:lang w:eastAsia="en-US"/>
              </w:rPr>
            </w:pPr>
          </w:p>
          <w:p w14:paraId="0FD7C58A" w14:textId="77777777" w:rsidR="00501E78" w:rsidRPr="00921C9B" w:rsidRDefault="00501E78" w:rsidP="00501E78">
            <w:pPr>
              <w:widowControl/>
              <w:spacing w:before="40" w:after="40"/>
              <w:rPr>
                <w:rFonts w:eastAsia="Calibri"/>
                <w:noProof/>
                <w:sz w:val="22"/>
                <w:szCs w:val="22"/>
                <w:lang w:eastAsia="en-US"/>
              </w:rPr>
            </w:pPr>
          </w:p>
          <w:p w14:paraId="63C1E99E"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581D0D39" w14:textId="77777777" w:rsidTr="004C279A">
        <w:trPr>
          <w:gridBefore w:val="1"/>
          <w:wBefore w:w="12" w:type="dxa"/>
          <w:cantSplit/>
          <w:tblHeader/>
          <w:jc w:val="center"/>
        </w:trPr>
        <w:tc>
          <w:tcPr>
            <w:tcW w:w="651" w:type="dxa"/>
            <w:gridSpan w:val="3"/>
            <w:tcMar>
              <w:left w:w="28" w:type="dxa"/>
              <w:right w:w="28" w:type="dxa"/>
            </w:tcMar>
          </w:tcPr>
          <w:p w14:paraId="369B927B"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(9б)</w:t>
            </w:r>
          </w:p>
        </w:tc>
        <w:tc>
          <w:tcPr>
            <w:tcW w:w="2286" w:type="dxa"/>
            <w:gridSpan w:val="3"/>
            <w:tcMar>
              <w:left w:w="28" w:type="dxa"/>
              <w:right w:w="28" w:type="dxa"/>
            </w:tcMar>
          </w:tcPr>
          <w:p w14:paraId="094F4052"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Общо ДДТ (</w:t>
            </w:r>
            <w:r w:rsidRPr="00921C9B">
              <w:rPr>
                <w:rFonts w:eastAsia="Calibri"/>
                <w:noProof/>
                <w:sz w:val="22"/>
                <w:szCs w:val="22"/>
                <w:vertAlign w:val="superscript"/>
                <w:lang w:eastAsia="en-US"/>
              </w:rPr>
              <w:t>11</w:t>
            </w:r>
            <w:r w:rsidRPr="00921C9B">
              <w:rPr>
                <w:rFonts w:eastAsia="Calibri"/>
                <w:noProof/>
                <w:sz w:val="22"/>
                <w:szCs w:val="22"/>
                <w:lang w:eastAsia="en-US"/>
              </w:rPr>
              <w:t>)</w:t>
            </w:r>
          </w:p>
        </w:tc>
        <w:tc>
          <w:tcPr>
            <w:tcW w:w="1329" w:type="dxa"/>
            <w:gridSpan w:val="3"/>
            <w:tcMar>
              <w:left w:w="28" w:type="dxa"/>
              <w:right w:w="28" w:type="dxa"/>
            </w:tcMar>
          </w:tcPr>
          <w:p w14:paraId="40632FC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Органохлорни пестициди</w:t>
            </w:r>
          </w:p>
        </w:tc>
        <w:tc>
          <w:tcPr>
            <w:tcW w:w="992" w:type="dxa"/>
            <w:gridSpan w:val="2"/>
            <w:tcMar>
              <w:left w:w="28" w:type="dxa"/>
              <w:right w:w="28" w:type="dxa"/>
            </w:tcMar>
          </w:tcPr>
          <w:p w14:paraId="382CC2A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4" w:type="dxa"/>
          </w:tcPr>
          <w:p w14:paraId="283466F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9" w:type="dxa"/>
            <w:gridSpan w:val="2"/>
            <w:tcMar>
              <w:left w:w="28" w:type="dxa"/>
              <w:right w:w="28" w:type="dxa"/>
            </w:tcMar>
          </w:tcPr>
          <w:p w14:paraId="7D5E296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0,025</w:t>
            </w:r>
          </w:p>
        </w:tc>
        <w:tc>
          <w:tcPr>
            <w:tcW w:w="1279" w:type="dxa"/>
            <w:gridSpan w:val="2"/>
            <w:tcMar>
              <w:left w:w="28" w:type="dxa"/>
              <w:right w:w="28" w:type="dxa"/>
            </w:tcMar>
          </w:tcPr>
          <w:p w14:paraId="206840C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0,025</w:t>
            </w:r>
          </w:p>
        </w:tc>
        <w:tc>
          <w:tcPr>
            <w:tcW w:w="1278" w:type="dxa"/>
            <w:gridSpan w:val="2"/>
            <w:tcMar>
              <w:left w:w="28" w:type="dxa"/>
              <w:right w:w="28" w:type="dxa"/>
            </w:tcMar>
          </w:tcPr>
          <w:p w14:paraId="5A8A91D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tcMar>
              <w:left w:w="28" w:type="dxa"/>
              <w:right w:w="28" w:type="dxa"/>
            </w:tcMar>
          </w:tcPr>
          <w:p w14:paraId="110B07F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tcMar>
              <w:left w:w="28" w:type="dxa"/>
              <w:right w:w="28" w:type="dxa"/>
            </w:tcMar>
          </w:tcPr>
          <w:p w14:paraId="6F3D03B7"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12C468C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13F4B0AD"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2D2AA588"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0FD0BAE5" w14:textId="77777777" w:rsidTr="004C279A">
        <w:trPr>
          <w:gridBefore w:val="1"/>
          <w:wBefore w:w="12" w:type="dxa"/>
          <w:cantSplit/>
          <w:tblHeader/>
          <w:jc w:val="center"/>
        </w:trPr>
        <w:tc>
          <w:tcPr>
            <w:tcW w:w="651" w:type="dxa"/>
            <w:gridSpan w:val="3"/>
            <w:tcMar>
              <w:left w:w="28" w:type="dxa"/>
              <w:right w:w="28" w:type="dxa"/>
            </w:tcMar>
          </w:tcPr>
          <w:p w14:paraId="6D913419" w14:textId="77777777" w:rsidR="00501E78" w:rsidRPr="00921C9B" w:rsidRDefault="00501E78" w:rsidP="00501E78">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76888E9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пара-пара-ДДТ</w:t>
            </w:r>
          </w:p>
        </w:tc>
        <w:tc>
          <w:tcPr>
            <w:tcW w:w="1329" w:type="dxa"/>
            <w:gridSpan w:val="3"/>
            <w:tcMar>
              <w:left w:w="28" w:type="dxa"/>
              <w:right w:w="28" w:type="dxa"/>
            </w:tcMar>
          </w:tcPr>
          <w:p w14:paraId="6FD39CF5" w14:textId="77777777" w:rsidR="00501E78" w:rsidRPr="00921C9B" w:rsidRDefault="00501E78" w:rsidP="00501E78">
            <w:pPr>
              <w:widowControl/>
              <w:spacing w:before="40" w:after="40"/>
              <w:rPr>
                <w:rFonts w:eastAsia="Calibri"/>
                <w:noProof/>
                <w:sz w:val="22"/>
                <w:szCs w:val="22"/>
                <w:lang w:eastAsia="en-US"/>
              </w:rPr>
            </w:pPr>
          </w:p>
        </w:tc>
        <w:tc>
          <w:tcPr>
            <w:tcW w:w="992" w:type="dxa"/>
            <w:gridSpan w:val="2"/>
            <w:tcMar>
              <w:left w:w="28" w:type="dxa"/>
              <w:right w:w="28" w:type="dxa"/>
            </w:tcMar>
          </w:tcPr>
          <w:p w14:paraId="24395C5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50-29-3</w:t>
            </w:r>
          </w:p>
        </w:tc>
        <w:tc>
          <w:tcPr>
            <w:tcW w:w="1134" w:type="dxa"/>
          </w:tcPr>
          <w:p w14:paraId="479745E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200-024-3</w:t>
            </w:r>
          </w:p>
        </w:tc>
        <w:tc>
          <w:tcPr>
            <w:tcW w:w="1279" w:type="dxa"/>
            <w:gridSpan w:val="2"/>
            <w:tcMar>
              <w:left w:w="28" w:type="dxa"/>
              <w:right w:w="28" w:type="dxa"/>
            </w:tcMar>
          </w:tcPr>
          <w:p w14:paraId="1161646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w:t>
            </w:r>
          </w:p>
        </w:tc>
        <w:tc>
          <w:tcPr>
            <w:tcW w:w="1279" w:type="dxa"/>
            <w:gridSpan w:val="2"/>
            <w:tcMar>
              <w:left w:w="28" w:type="dxa"/>
              <w:right w:w="28" w:type="dxa"/>
            </w:tcMar>
          </w:tcPr>
          <w:p w14:paraId="60562AD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w:t>
            </w:r>
          </w:p>
        </w:tc>
        <w:tc>
          <w:tcPr>
            <w:tcW w:w="1278" w:type="dxa"/>
            <w:gridSpan w:val="2"/>
            <w:tcMar>
              <w:left w:w="28" w:type="dxa"/>
              <w:right w:w="28" w:type="dxa"/>
            </w:tcMar>
          </w:tcPr>
          <w:p w14:paraId="64B78A3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tcMar>
              <w:left w:w="28" w:type="dxa"/>
              <w:right w:w="28" w:type="dxa"/>
            </w:tcMar>
          </w:tcPr>
          <w:p w14:paraId="703E850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tcMar>
              <w:left w:w="28" w:type="dxa"/>
              <w:right w:w="28" w:type="dxa"/>
            </w:tcMar>
          </w:tcPr>
          <w:p w14:paraId="2982FD1F"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21354722" w14:textId="77777777" w:rsidR="00501E78" w:rsidRPr="00921C9B" w:rsidDel="004E5B33"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13F6B806"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7AFE7B65"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4B614F02" w14:textId="77777777" w:rsidTr="004C279A">
        <w:trPr>
          <w:gridBefore w:val="1"/>
          <w:wBefore w:w="12" w:type="dxa"/>
          <w:cantSplit/>
          <w:tblHeader/>
          <w:jc w:val="center"/>
        </w:trPr>
        <w:tc>
          <w:tcPr>
            <w:tcW w:w="651" w:type="dxa"/>
            <w:gridSpan w:val="3"/>
            <w:tcMar>
              <w:left w:w="28" w:type="dxa"/>
              <w:right w:w="28" w:type="dxa"/>
            </w:tcMar>
          </w:tcPr>
          <w:p w14:paraId="559E9791"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(10)</w:t>
            </w:r>
          </w:p>
        </w:tc>
        <w:tc>
          <w:tcPr>
            <w:tcW w:w="2286" w:type="dxa"/>
            <w:gridSpan w:val="3"/>
            <w:tcMar>
              <w:left w:w="28" w:type="dxa"/>
              <w:right w:w="28" w:type="dxa"/>
            </w:tcMar>
          </w:tcPr>
          <w:p w14:paraId="40296E3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1,2-дихлороетан</w:t>
            </w:r>
          </w:p>
        </w:tc>
        <w:tc>
          <w:tcPr>
            <w:tcW w:w="1329" w:type="dxa"/>
            <w:gridSpan w:val="3"/>
            <w:tcMar>
              <w:left w:w="28" w:type="dxa"/>
              <w:right w:w="28" w:type="dxa"/>
            </w:tcMar>
          </w:tcPr>
          <w:p w14:paraId="10770ED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tcMar>
              <w:left w:w="28" w:type="dxa"/>
              <w:right w:w="28" w:type="dxa"/>
            </w:tcMar>
          </w:tcPr>
          <w:p w14:paraId="4280876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107-06-2</w:t>
            </w:r>
          </w:p>
        </w:tc>
        <w:tc>
          <w:tcPr>
            <w:tcW w:w="1134" w:type="dxa"/>
          </w:tcPr>
          <w:p w14:paraId="57D635B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203-458-1</w:t>
            </w:r>
          </w:p>
        </w:tc>
        <w:tc>
          <w:tcPr>
            <w:tcW w:w="1279" w:type="dxa"/>
            <w:gridSpan w:val="2"/>
            <w:tcMar>
              <w:left w:w="28" w:type="dxa"/>
              <w:right w:w="28" w:type="dxa"/>
            </w:tcMar>
          </w:tcPr>
          <w:p w14:paraId="4FD8283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10 </w:t>
            </w:r>
          </w:p>
        </w:tc>
        <w:tc>
          <w:tcPr>
            <w:tcW w:w="1279" w:type="dxa"/>
            <w:gridSpan w:val="2"/>
            <w:tcMar>
              <w:left w:w="28" w:type="dxa"/>
              <w:right w:w="28" w:type="dxa"/>
            </w:tcMar>
          </w:tcPr>
          <w:p w14:paraId="328AB0C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10 </w:t>
            </w:r>
          </w:p>
        </w:tc>
        <w:tc>
          <w:tcPr>
            <w:tcW w:w="1278" w:type="dxa"/>
            <w:gridSpan w:val="2"/>
            <w:tcMar>
              <w:left w:w="28" w:type="dxa"/>
              <w:right w:w="28" w:type="dxa"/>
            </w:tcMar>
          </w:tcPr>
          <w:p w14:paraId="0DAD698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tcMar>
              <w:left w:w="28" w:type="dxa"/>
              <w:right w:w="28" w:type="dxa"/>
            </w:tcMar>
          </w:tcPr>
          <w:p w14:paraId="50B5938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tcMar>
              <w:left w:w="28" w:type="dxa"/>
              <w:right w:w="28" w:type="dxa"/>
            </w:tcMar>
          </w:tcPr>
          <w:p w14:paraId="60EA03E0"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0CA3940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7A736ADF"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38D7D709"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56CD2179" w14:textId="77777777" w:rsidTr="004C279A">
        <w:trPr>
          <w:gridBefore w:val="1"/>
          <w:wBefore w:w="12" w:type="dxa"/>
          <w:cantSplit/>
          <w:tblHeader/>
          <w:jc w:val="center"/>
        </w:trPr>
        <w:tc>
          <w:tcPr>
            <w:tcW w:w="651" w:type="dxa"/>
            <w:gridSpan w:val="3"/>
            <w:tcMar>
              <w:left w:w="28" w:type="dxa"/>
              <w:right w:w="28" w:type="dxa"/>
            </w:tcMar>
          </w:tcPr>
          <w:p w14:paraId="6F20D84A" w14:textId="77777777" w:rsidR="00501E78" w:rsidRPr="00921C9B" w:rsidRDefault="00501E78" w:rsidP="00501E78">
            <w:pPr>
              <w:keepNext/>
              <w:widowControl/>
              <w:spacing w:before="40" w:after="40"/>
              <w:jc w:val="both"/>
              <w:rPr>
                <w:rFonts w:eastAsia="Calibri"/>
                <w:noProof/>
                <w:sz w:val="22"/>
                <w:szCs w:val="22"/>
                <w:lang w:eastAsia="en-US"/>
              </w:rPr>
            </w:pPr>
            <w:r w:rsidRPr="00921C9B">
              <w:rPr>
                <w:rFonts w:eastAsia="Calibri"/>
                <w:noProof/>
                <w:sz w:val="22"/>
                <w:szCs w:val="22"/>
                <w:lang w:eastAsia="en-US"/>
              </w:rPr>
              <w:t>(11)</w:t>
            </w:r>
          </w:p>
        </w:tc>
        <w:tc>
          <w:tcPr>
            <w:tcW w:w="2286" w:type="dxa"/>
            <w:gridSpan w:val="3"/>
            <w:tcMar>
              <w:left w:w="28" w:type="dxa"/>
              <w:right w:w="28" w:type="dxa"/>
            </w:tcMar>
          </w:tcPr>
          <w:p w14:paraId="5A16838B"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Дихлорометан</w:t>
            </w:r>
          </w:p>
        </w:tc>
        <w:tc>
          <w:tcPr>
            <w:tcW w:w="1329" w:type="dxa"/>
            <w:gridSpan w:val="3"/>
            <w:tcMar>
              <w:left w:w="28" w:type="dxa"/>
              <w:right w:w="28" w:type="dxa"/>
            </w:tcMar>
          </w:tcPr>
          <w:p w14:paraId="2CC164A8"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tcMar>
              <w:left w:w="28" w:type="dxa"/>
              <w:right w:w="28" w:type="dxa"/>
            </w:tcMar>
          </w:tcPr>
          <w:p w14:paraId="123F4FDC"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75-09-2</w:t>
            </w:r>
          </w:p>
        </w:tc>
        <w:tc>
          <w:tcPr>
            <w:tcW w:w="1134" w:type="dxa"/>
          </w:tcPr>
          <w:p w14:paraId="21E761B2"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200-838-9</w:t>
            </w:r>
          </w:p>
        </w:tc>
        <w:tc>
          <w:tcPr>
            <w:tcW w:w="1279" w:type="dxa"/>
            <w:gridSpan w:val="2"/>
            <w:tcMar>
              <w:left w:w="28" w:type="dxa"/>
              <w:right w:w="28" w:type="dxa"/>
            </w:tcMar>
          </w:tcPr>
          <w:p w14:paraId="449BBB09"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20</w:t>
            </w:r>
          </w:p>
        </w:tc>
        <w:tc>
          <w:tcPr>
            <w:tcW w:w="1279" w:type="dxa"/>
            <w:gridSpan w:val="2"/>
            <w:tcMar>
              <w:left w:w="28" w:type="dxa"/>
              <w:right w:w="28" w:type="dxa"/>
            </w:tcMar>
          </w:tcPr>
          <w:p w14:paraId="25632C27"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20</w:t>
            </w:r>
          </w:p>
        </w:tc>
        <w:tc>
          <w:tcPr>
            <w:tcW w:w="1278" w:type="dxa"/>
            <w:gridSpan w:val="2"/>
            <w:tcMar>
              <w:left w:w="28" w:type="dxa"/>
              <w:right w:w="28" w:type="dxa"/>
            </w:tcMar>
          </w:tcPr>
          <w:p w14:paraId="68A18C83"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tcMar>
              <w:left w:w="28" w:type="dxa"/>
              <w:right w:w="28" w:type="dxa"/>
            </w:tcMar>
          </w:tcPr>
          <w:p w14:paraId="18986E36"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tcMar>
              <w:left w:w="28" w:type="dxa"/>
              <w:right w:w="28" w:type="dxa"/>
            </w:tcMar>
          </w:tcPr>
          <w:p w14:paraId="2AC8C152" w14:textId="77777777" w:rsidR="00501E78" w:rsidRPr="00921C9B" w:rsidRDefault="00501E78" w:rsidP="00501E78">
            <w:pPr>
              <w:keepNext/>
              <w:widowControl/>
              <w:spacing w:before="40" w:after="40"/>
              <w:rPr>
                <w:rFonts w:eastAsia="Calibri"/>
                <w:noProof/>
                <w:sz w:val="22"/>
                <w:szCs w:val="22"/>
                <w:lang w:eastAsia="en-US"/>
              </w:rPr>
            </w:pPr>
          </w:p>
        </w:tc>
        <w:tc>
          <w:tcPr>
            <w:tcW w:w="1262" w:type="dxa"/>
            <w:tcMar>
              <w:left w:w="28" w:type="dxa"/>
              <w:right w:w="28" w:type="dxa"/>
            </w:tcMar>
          </w:tcPr>
          <w:p w14:paraId="72AD2700" w14:textId="77777777" w:rsidR="00501E78" w:rsidRPr="00921C9B" w:rsidRDefault="00501E78" w:rsidP="00501E78">
            <w:pPr>
              <w:keepNext/>
              <w:widowControl/>
              <w:spacing w:before="40" w:after="40"/>
              <w:rPr>
                <w:rFonts w:eastAsia="Calibri"/>
                <w:noProof/>
                <w:sz w:val="22"/>
                <w:szCs w:val="22"/>
                <w:lang w:eastAsia="en-US"/>
              </w:rPr>
            </w:pPr>
          </w:p>
        </w:tc>
        <w:tc>
          <w:tcPr>
            <w:tcW w:w="1153" w:type="dxa"/>
            <w:gridSpan w:val="2"/>
            <w:tcMar>
              <w:left w:w="28" w:type="dxa"/>
              <w:right w:w="28" w:type="dxa"/>
            </w:tcMar>
          </w:tcPr>
          <w:p w14:paraId="77BE1E63" w14:textId="77777777" w:rsidR="00501E78" w:rsidRPr="00921C9B" w:rsidRDefault="00501E78" w:rsidP="00501E78">
            <w:pPr>
              <w:keepNext/>
              <w:widowControl/>
              <w:spacing w:before="40" w:after="40"/>
              <w:rPr>
                <w:rFonts w:eastAsia="Calibri"/>
                <w:noProof/>
                <w:sz w:val="22"/>
                <w:szCs w:val="22"/>
                <w:lang w:eastAsia="en-US"/>
              </w:rPr>
            </w:pPr>
          </w:p>
        </w:tc>
        <w:tc>
          <w:tcPr>
            <w:tcW w:w="970" w:type="dxa"/>
            <w:tcMar>
              <w:left w:w="28" w:type="dxa"/>
              <w:right w:w="28" w:type="dxa"/>
            </w:tcMar>
          </w:tcPr>
          <w:p w14:paraId="53A0B1AD" w14:textId="77777777" w:rsidR="00501E78" w:rsidRPr="00921C9B" w:rsidRDefault="00501E78" w:rsidP="00501E78">
            <w:pPr>
              <w:keepNext/>
              <w:widowControl/>
              <w:spacing w:before="40" w:after="40"/>
              <w:rPr>
                <w:rFonts w:eastAsia="Calibri"/>
                <w:noProof/>
                <w:sz w:val="22"/>
                <w:szCs w:val="22"/>
                <w:lang w:eastAsia="en-US"/>
              </w:rPr>
            </w:pPr>
          </w:p>
        </w:tc>
      </w:tr>
      <w:tr w:rsidR="00501E78" w:rsidRPr="00921C9B" w14:paraId="05B2C800" w14:textId="77777777" w:rsidTr="004C279A">
        <w:trPr>
          <w:gridBefore w:val="1"/>
          <w:wBefore w:w="12" w:type="dxa"/>
          <w:cantSplit/>
          <w:tblHeader/>
          <w:jc w:val="center"/>
        </w:trPr>
        <w:tc>
          <w:tcPr>
            <w:tcW w:w="651" w:type="dxa"/>
            <w:gridSpan w:val="3"/>
            <w:tcMar>
              <w:left w:w="28" w:type="dxa"/>
              <w:right w:w="28" w:type="dxa"/>
            </w:tcMar>
          </w:tcPr>
          <w:p w14:paraId="168A00D1"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(12)</w:t>
            </w:r>
          </w:p>
        </w:tc>
        <w:tc>
          <w:tcPr>
            <w:tcW w:w="2286" w:type="dxa"/>
            <w:gridSpan w:val="3"/>
            <w:tcMar>
              <w:left w:w="28" w:type="dxa"/>
              <w:right w:w="28" w:type="dxa"/>
            </w:tcMar>
          </w:tcPr>
          <w:p w14:paraId="474E0DF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Ди(2-етилхексил)-фталат (DEHP)</w:t>
            </w:r>
          </w:p>
        </w:tc>
        <w:tc>
          <w:tcPr>
            <w:tcW w:w="1329" w:type="dxa"/>
            <w:gridSpan w:val="3"/>
            <w:tcMar>
              <w:left w:w="28" w:type="dxa"/>
              <w:right w:w="28" w:type="dxa"/>
            </w:tcMar>
          </w:tcPr>
          <w:p w14:paraId="1879C35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tcMar>
              <w:left w:w="28" w:type="dxa"/>
              <w:right w:w="28" w:type="dxa"/>
            </w:tcMar>
          </w:tcPr>
          <w:p w14:paraId="1247FD4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117-81-7</w:t>
            </w:r>
          </w:p>
        </w:tc>
        <w:tc>
          <w:tcPr>
            <w:tcW w:w="1134" w:type="dxa"/>
          </w:tcPr>
          <w:p w14:paraId="6ECC85B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204-211-0</w:t>
            </w:r>
          </w:p>
        </w:tc>
        <w:tc>
          <w:tcPr>
            <w:tcW w:w="1279" w:type="dxa"/>
            <w:gridSpan w:val="2"/>
            <w:tcMar>
              <w:left w:w="28" w:type="dxa"/>
              <w:right w:w="28" w:type="dxa"/>
            </w:tcMar>
          </w:tcPr>
          <w:p w14:paraId="373310D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1,3</w:t>
            </w:r>
          </w:p>
        </w:tc>
        <w:tc>
          <w:tcPr>
            <w:tcW w:w="1279" w:type="dxa"/>
            <w:gridSpan w:val="2"/>
            <w:tcMar>
              <w:left w:w="28" w:type="dxa"/>
              <w:right w:w="28" w:type="dxa"/>
            </w:tcMar>
          </w:tcPr>
          <w:p w14:paraId="3D1A64C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1,3</w:t>
            </w:r>
          </w:p>
        </w:tc>
        <w:tc>
          <w:tcPr>
            <w:tcW w:w="1278" w:type="dxa"/>
            <w:gridSpan w:val="2"/>
            <w:tcMar>
              <w:left w:w="28" w:type="dxa"/>
              <w:right w:w="28" w:type="dxa"/>
            </w:tcMar>
          </w:tcPr>
          <w:p w14:paraId="3898B0C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tcMar>
              <w:left w:w="28" w:type="dxa"/>
              <w:right w:w="28" w:type="dxa"/>
            </w:tcMar>
          </w:tcPr>
          <w:p w14:paraId="54C2D2F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tcMar>
              <w:left w:w="28" w:type="dxa"/>
              <w:right w:w="28" w:type="dxa"/>
            </w:tcMar>
          </w:tcPr>
          <w:p w14:paraId="5124B75B"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089B058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3E302CB1"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592F468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6B759694" w14:textId="77777777" w:rsidTr="004C279A">
        <w:trPr>
          <w:gridBefore w:val="1"/>
          <w:wBefore w:w="12" w:type="dxa"/>
          <w:cantSplit/>
          <w:tblHeader/>
          <w:jc w:val="center"/>
        </w:trPr>
        <w:tc>
          <w:tcPr>
            <w:tcW w:w="651" w:type="dxa"/>
            <w:gridSpan w:val="3"/>
            <w:tcMar>
              <w:left w:w="28" w:type="dxa"/>
              <w:right w:w="28" w:type="dxa"/>
            </w:tcMar>
          </w:tcPr>
          <w:p w14:paraId="36AF58A1"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(13)</w:t>
            </w:r>
          </w:p>
        </w:tc>
        <w:tc>
          <w:tcPr>
            <w:tcW w:w="2286" w:type="dxa"/>
            <w:gridSpan w:val="3"/>
            <w:tcMar>
              <w:left w:w="28" w:type="dxa"/>
              <w:right w:w="28" w:type="dxa"/>
            </w:tcMar>
          </w:tcPr>
          <w:p w14:paraId="7FE7EDE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Диурон</w:t>
            </w:r>
          </w:p>
        </w:tc>
        <w:tc>
          <w:tcPr>
            <w:tcW w:w="1329" w:type="dxa"/>
            <w:gridSpan w:val="3"/>
            <w:tcMar>
              <w:left w:w="28" w:type="dxa"/>
              <w:right w:w="28" w:type="dxa"/>
            </w:tcMar>
          </w:tcPr>
          <w:p w14:paraId="7F9EB9D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Хербициди</w:t>
            </w:r>
          </w:p>
        </w:tc>
        <w:tc>
          <w:tcPr>
            <w:tcW w:w="992" w:type="dxa"/>
            <w:gridSpan w:val="2"/>
            <w:tcMar>
              <w:left w:w="28" w:type="dxa"/>
              <w:right w:w="28" w:type="dxa"/>
            </w:tcMar>
          </w:tcPr>
          <w:p w14:paraId="074B6D5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330-54-1</w:t>
            </w:r>
          </w:p>
        </w:tc>
        <w:tc>
          <w:tcPr>
            <w:tcW w:w="1134" w:type="dxa"/>
          </w:tcPr>
          <w:p w14:paraId="73AEFB38" w14:textId="77777777" w:rsidR="00501E78" w:rsidRPr="00921C9B" w:rsidRDefault="00501E78" w:rsidP="00501E78">
            <w:pPr>
              <w:widowControl/>
              <w:spacing w:before="40" w:after="40"/>
              <w:rPr>
                <w:rFonts w:eastAsia="Calibri"/>
                <w:strike/>
                <w:noProof/>
                <w:sz w:val="22"/>
                <w:szCs w:val="22"/>
                <w:lang w:eastAsia="en-US"/>
              </w:rPr>
            </w:pPr>
            <w:r w:rsidRPr="00921C9B">
              <w:rPr>
                <w:rFonts w:eastAsia="Calibri"/>
                <w:noProof/>
                <w:sz w:val="22"/>
                <w:szCs w:val="22"/>
                <w:lang w:eastAsia="en-US"/>
              </w:rPr>
              <w:t>206-354-4</w:t>
            </w:r>
          </w:p>
        </w:tc>
        <w:tc>
          <w:tcPr>
            <w:tcW w:w="1279" w:type="dxa"/>
            <w:gridSpan w:val="2"/>
            <w:tcMar>
              <w:left w:w="28" w:type="dxa"/>
              <w:right w:w="28" w:type="dxa"/>
            </w:tcMar>
          </w:tcPr>
          <w:p w14:paraId="1AE89845" w14:textId="77777777" w:rsidR="00501E78" w:rsidRPr="00921C9B" w:rsidRDefault="00501E78" w:rsidP="00501E78">
            <w:pPr>
              <w:widowControl/>
              <w:spacing w:before="40" w:after="40"/>
              <w:rPr>
                <w:rFonts w:eastAsia="Calibri"/>
                <w:strike/>
                <w:noProof/>
                <w:sz w:val="22"/>
                <w:szCs w:val="22"/>
                <w:lang w:eastAsia="en-US"/>
              </w:rPr>
            </w:pPr>
            <w:r w:rsidRPr="00921C9B">
              <w:rPr>
                <w:rFonts w:eastAsia="Calibri"/>
                <w:noProof/>
                <w:sz w:val="22"/>
                <w:szCs w:val="22"/>
                <w:lang w:eastAsia="en-US"/>
              </w:rPr>
              <w:t>0,049</w:t>
            </w:r>
          </w:p>
        </w:tc>
        <w:tc>
          <w:tcPr>
            <w:tcW w:w="1279" w:type="dxa"/>
            <w:gridSpan w:val="2"/>
            <w:tcMar>
              <w:left w:w="28" w:type="dxa"/>
              <w:right w:w="28" w:type="dxa"/>
            </w:tcMar>
          </w:tcPr>
          <w:p w14:paraId="68264B8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0,0049</w:t>
            </w:r>
          </w:p>
        </w:tc>
        <w:tc>
          <w:tcPr>
            <w:tcW w:w="1278" w:type="dxa"/>
            <w:gridSpan w:val="2"/>
            <w:tcMar>
              <w:left w:w="28" w:type="dxa"/>
              <w:right w:w="28" w:type="dxa"/>
            </w:tcMar>
          </w:tcPr>
          <w:p w14:paraId="202C90A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0,27</w:t>
            </w:r>
          </w:p>
        </w:tc>
        <w:tc>
          <w:tcPr>
            <w:tcW w:w="1277" w:type="dxa"/>
            <w:gridSpan w:val="2"/>
            <w:tcMar>
              <w:left w:w="28" w:type="dxa"/>
              <w:right w:w="28" w:type="dxa"/>
            </w:tcMar>
          </w:tcPr>
          <w:p w14:paraId="68B60DE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0,054</w:t>
            </w:r>
          </w:p>
        </w:tc>
        <w:tc>
          <w:tcPr>
            <w:tcW w:w="1136" w:type="dxa"/>
            <w:gridSpan w:val="2"/>
            <w:tcMar>
              <w:left w:w="28" w:type="dxa"/>
              <w:right w:w="28" w:type="dxa"/>
            </w:tcMar>
          </w:tcPr>
          <w:p w14:paraId="2B3FB8A6"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469B8375"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570F0076"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75918A5A"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375F8DD5" w14:textId="77777777" w:rsidTr="004C279A">
        <w:trPr>
          <w:gridBefore w:val="1"/>
          <w:wBefore w:w="12" w:type="dxa"/>
          <w:cantSplit/>
          <w:tblHeader/>
          <w:jc w:val="center"/>
        </w:trPr>
        <w:tc>
          <w:tcPr>
            <w:tcW w:w="651" w:type="dxa"/>
            <w:gridSpan w:val="3"/>
            <w:tcMar>
              <w:left w:w="28" w:type="dxa"/>
              <w:right w:w="28" w:type="dxa"/>
            </w:tcMar>
          </w:tcPr>
          <w:p w14:paraId="191E9D96"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(14)</w:t>
            </w:r>
          </w:p>
        </w:tc>
        <w:tc>
          <w:tcPr>
            <w:tcW w:w="2286" w:type="dxa"/>
            <w:gridSpan w:val="3"/>
            <w:tcMar>
              <w:left w:w="28" w:type="dxa"/>
              <w:right w:w="28" w:type="dxa"/>
            </w:tcMar>
          </w:tcPr>
          <w:p w14:paraId="469033A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Ендосулфан</w:t>
            </w:r>
          </w:p>
        </w:tc>
        <w:tc>
          <w:tcPr>
            <w:tcW w:w="1329" w:type="dxa"/>
            <w:gridSpan w:val="3"/>
            <w:tcMar>
              <w:left w:w="28" w:type="dxa"/>
              <w:right w:w="28" w:type="dxa"/>
            </w:tcMar>
          </w:tcPr>
          <w:p w14:paraId="251B1F7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Органохлорни пестициди</w:t>
            </w:r>
          </w:p>
        </w:tc>
        <w:tc>
          <w:tcPr>
            <w:tcW w:w="992" w:type="dxa"/>
            <w:gridSpan w:val="2"/>
            <w:tcMar>
              <w:left w:w="28" w:type="dxa"/>
              <w:right w:w="28" w:type="dxa"/>
            </w:tcMar>
          </w:tcPr>
          <w:p w14:paraId="1C929A6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115-29-7</w:t>
            </w:r>
          </w:p>
        </w:tc>
        <w:tc>
          <w:tcPr>
            <w:tcW w:w="1134" w:type="dxa"/>
          </w:tcPr>
          <w:p w14:paraId="3F3A458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204-079-4</w:t>
            </w:r>
          </w:p>
        </w:tc>
        <w:tc>
          <w:tcPr>
            <w:tcW w:w="1279" w:type="dxa"/>
            <w:gridSpan w:val="2"/>
            <w:tcMar>
              <w:left w:w="28" w:type="dxa"/>
              <w:right w:w="28" w:type="dxa"/>
            </w:tcMar>
          </w:tcPr>
          <w:p w14:paraId="3989F2E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0,005</w:t>
            </w:r>
          </w:p>
        </w:tc>
        <w:tc>
          <w:tcPr>
            <w:tcW w:w="1279" w:type="dxa"/>
            <w:gridSpan w:val="2"/>
            <w:tcMar>
              <w:left w:w="28" w:type="dxa"/>
              <w:right w:w="28" w:type="dxa"/>
            </w:tcMar>
          </w:tcPr>
          <w:p w14:paraId="7C3978B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0,0005</w:t>
            </w:r>
          </w:p>
        </w:tc>
        <w:tc>
          <w:tcPr>
            <w:tcW w:w="1278" w:type="dxa"/>
            <w:gridSpan w:val="2"/>
            <w:tcMar>
              <w:left w:w="28" w:type="dxa"/>
              <w:right w:w="28" w:type="dxa"/>
            </w:tcMar>
          </w:tcPr>
          <w:p w14:paraId="43D8DFA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w:t>
            </w:r>
          </w:p>
        </w:tc>
        <w:tc>
          <w:tcPr>
            <w:tcW w:w="1277" w:type="dxa"/>
            <w:gridSpan w:val="2"/>
            <w:tcMar>
              <w:left w:w="28" w:type="dxa"/>
              <w:right w:w="28" w:type="dxa"/>
            </w:tcMar>
          </w:tcPr>
          <w:p w14:paraId="72097F3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0,004</w:t>
            </w:r>
          </w:p>
        </w:tc>
        <w:tc>
          <w:tcPr>
            <w:tcW w:w="1136" w:type="dxa"/>
            <w:gridSpan w:val="2"/>
            <w:tcMar>
              <w:left w:w="28" w:type="dxa"/>
              <w:right w:w="28" w:type="dxa"/>
            </w:tcMar>
          </w:tcPr>
          <w:p w14:paraId="7161F728"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5653B0B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63B04290"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7BF66A79"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4E00C36B" w14:textId="77777777" w:rsidTr="004C279A">
        <w:trPr>
          <w:gridBefore w:val="1"/>
          <w:wBefore w:w="12" w:type="dxa"/>
          <w:cantSplit/>
          <w:tblHeader/>
          <w:jc w:val="center"/>
        </w:trPr>
        <w:tc>
          <w:tcPr>
            <w:tcW w:w="651" w:type="dxa"/>
            <w:gridSpan w:val="3"/>
            <w:tcMar>
              <w:left w:w="28" w:type="dxa"/>
              <w:right w:w="28" w:type="dxa"/>
            </w:tcMar>
          </w:tcPr>
          <w:p w14:paraId="67D0F12E"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(15)</w:t>
            </w:r>
          </w:p>
        </w:tc>
        <w:tc>
          <w:tcPr>
            <w:tcW w:w="2286" w:type="dxa"/>
            <w:gridSpan w:val="3"/>
            <w:tcMar>
              <w:left w:w="28" w:type="dxa"/>
              <w:right w:w="28" w:type="dxa"/>
            </w:tcMar>
          </w:tcPr>
          <w:p w14:paraId="55C1528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Флуорантен</w:t>
            </w:r>
          </w:p>
        </w:tc>
        <w:tc>
          <w:tcPr>
            <w:tcW w:w="1329" w:type="dxa"/>
            <w:gridSpan w:val="3"/>
            <w:tcMar>
              <w:left w:w="28" w:type="dxa"/>
              <w:right w:w="28" w:type="dxa"/>
            </w:tcMar>
          </w:tcPr>
          <w:p w14:paraId="748785D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Промишлени вещества </w:t>
            </w:r>
          </w:p>
        </w:tc>
        <w:tc>
          <w:tcPr>
            <w:tcW w:w="992" w:type="dxa"/>
            <w:gridSpan w:val="2"/>
            <w:tcMar>
              <w:left w:w="28" w:type="dxa"/>
              <w:right w:w="28" w:type="dxa"/>
            </w:tcMar>
          </w:tcPr>
          <w:p w14:paraId="0E276F6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206-44-0</w:t>
            </w:r>
          </w:p>
        </w:tc>
        <w:tc>
          <w:tcPr>
            <w:tcW w:w="1134" w:type="dxa"/>
          </w:tcPr>
          <w:p w14:paraId="19EA005D" w14:textId="77777777" w:rsidR="00501E78" w:rsidRPr="00921C9B" w:rsidRDefault="00501E78" w:rsidP="00501E78">
            <w:pPr>
              <w:widowControl/>
              <w:spacing w:before="40" w:after="40"/>
              <w:rPr>
                <w:rFonts w:eastAsia="Calibri"/>
                <w:strike/>
                <w:noProof/>
                <w:sz w:val="22"/>
                <w:szCs w:val="22"/>
                <w:lang w:eastAsia="en-US"/>
              </w:rPr>
            </w:pPr>
            <w:r w:rsidRPr="00921C9B">
              <w:rPr>
                <w:rFonts w:eastAsia="Calibri"/>
                <w:noProof/>
                <w:sz w:val="22"/>
                <w:szCs w:val="22"/>
                <w:lang w:eastAsia="en-US"/>
              </w:rPr>
              <w:t>205-912-4</w:t>
            </w:r>
          </w:p>
        </w:tc>
        <w:tc>
          <w:tcPr>
            <w:tcW w:w="1279" w:type="dxa"/>
            <w:gridSpan w:val="2"/>
            <w:tcMar>
              <w:left w:w="28" w:type="dxa"/>
              <w:right w:w="28" w:type="dxa"/>
            </w:tcMar>
          </w:tcPr>
          <w:p w14:paraId="411CB4D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7,62 × 10</w:t>
            </w:r>
            <w:r w:rsidRPr="00921C9B">
              <w:rPr>
                <w:rFonts w:eastAsia="Calibri"/>
                <w:noProof/>
                <w:sz w:val="22"/>
                <w:szCs w:val="22"/>
                <w:vertAlign w:val="superscript"/>
                <w:lang w:eastAsia="en-US"/>
              </w:rPr>
              <w:t>-4</w:t>
            </w:r>
          </w:p>
        </w:tc>
        <w:tc>
          <w:tcPr>
            <w:tcW w:w="1279" w:type="dxa"/>
            <w:gridSpan w:val="2"/>
            <w:tcMar>
              <w:left w:w="28" w:type="dxa"/>
              <w:right w:w="28" w:type="dxa"/>
            </w:tcMar>
          </w:tcPr>
          <w:p w14:paraId="055394A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7,62 × 10</w:t>
            </w:r>
            <w:r w:rsidRPr="00921C9B">
              <w:rPr>
                <w:rFonts w:eastAsia="Calibri"/>
                <w:noProof/>
                <w:sz w:val="22"/>
                <w:szCs w:val="22"/>
                <w:vertAlign w:val="superscript"/>
                <w:lang w:eastAsia="en-US"/>
              </w:rPr>
              <w:t>-4</w:t>
            </w:r>
          </w:p>
        </w:tc>
        <w:tc>
          <w:tcPr>
            <w:tcW w:w="1278" w:type="dxa"/>
            <w:gridSpan w:val="2"/>
            <w:tcMar>
              <w:left w:w="28" w:type="dxa"/>
              <w:right w:w="28" w:type="dxa"/>
            </w:tcMar>
          </w:tcPr>
          <w:p w14:paraId="727967C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0,12</w:t>
            </w:r>
          </w:p>
        </w:tc>
        <w:tc>
          <w:tcPr>
            <w:tcW w:w="1277" w:type="dxa"/>
            <w:gridSpan w:val="2"/>
            <w:tcMar>
              <w:left w:w="28" w:type="dxa"/>
              <w:right w:w="28" w:type="dxa"/>
            </w:tcMar>
          </w:tcPr>
          <w:p w14:paraId="368F638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0,012</w:t>
            </w:r>
          </w:p>
        </w:tc>
        <w:tc>
          <w:tcPr>
            <w:tcW w:w="1136" w:type="dxa"/>
            <w:gridSpan w:val="2"/>
            <w:tcMar>
              <w:left w:w="28" w:type="dxa"/>
              <w:right w:w="28" w:type="dxa"/>
            </w:tcMar>
          </w:tcPr>
          <w:p w14:paraId="35EB413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6,1</w:t>
            </w:r>
          </w:p>
        </w:tc>
        <w:tc>
          <w:tcPr>
            <w:tcW w:w="1262" w:type="dxa"/>
            <w:tcMar>
              <w:left w:w="28" w:type="dxa"/>
              <w:right w:w="28" w:type="dxa"/>
            </w:tcMar>
          </w:tcPr>
          <w:p w14:paraId="1D3098EB" w14:textId="77777777" w:rsidR="00501E78" w:rsidRPr="00921C9B" w:rsidRDefault="00501E78" w:rsidP="00501E78">
            <w:pPr>
              <w:widowControl/>
              <w:spacing w:before="40" w:after="40"/>
              <w:rPr>
                <w:rFonts w:eastAsia="Calibri"/>
                <w:strike/>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6C6737F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970" w:type="dxa"/>
            <w:tcMar>
              <w:left w:w="28" w:type="dxa"/>
              <w:right w:w="28" w:type="dxa"/>
            </w:tcMar>
          </w:tcPr>
          <w:p w14:paraId="4EDB4C0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36456946" w14:textId="77777777" w:rsidTr="004C279A">
        <w:trPr>
          <w:gridBefore w:val="1"/>
          <w:wBefore w:w="12" w:type="dxa"/>
          <w:cantSplit/>
          <w:tblHeader/>
          <w:jc w:val="center"/>
        </w:trPr>
        <w:tc>
          <w:tcPr>
            <w:tcW w:w="651" w:type="dxa"/>
            <w:gridSpan w:val="3"/>
            <w:tcMar>
              <w:left w:w="28" w:type="dxa"/>
              <w:right w:w="28" w:type="dxa"/>
            </w:tcMar>
          </w:tcPr>
          <w:p w14:paraId="0E55CB06"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(16)</w:t>
            </w:r>
          </w:p>
        </w:tc>
        <w:tc>
          <w:tcPr>
            <w:tcW w:w="2286" w:type="dxa"/>
            <w:gridSpan w:val="3"/>
            <w:tcMar>
              <w:left w:w="28" w:type="dxa"/>
              <w:right w:w="28" w:type="dxa"/>
            </w:tcMar>
          </w:tcPr>
          <w:p w14:paraId="0C5A4EE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хексахлоробензен</w:t>
            </w:r>
          </w:p>
        </w:tc>
        <w:tc>
          <w:tcPr>
            <w:tcW w:w="1329" w:type="dxa"/>
            <w:gridSpan w:val="3"/>
            <w:tcMar>
              <w:left w:w="28" w:type="dxa"/>
              <w:right w:w="28" w:type="dxa"/>
            </w:tcMar>
          </w:tcPr>
          <w:p w14:paraId="7F92478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Органохлорни пестициди</w:t>
            </w:r>
          </w:p>
        </w:tc>
        <w:tc>
          <w:tcPr>
            <w:tcW w:w="992" w:type="dxa"/>
            <w:gridSpan w:val="2"/>
            <w:tcMar>
              <w:left w:w="28" w:type="dxa"/>
              <w:right w:w="28" w:type="dxa"/>
            </w:tcMar>
          </w:tcPr>
          <w:p w14:paraId="29CE6AF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118-74-1</w:t>
            </w:r>
          </w:p>
        </w:tc>
        <w:tc>
          <w:tcPr>
            <w:tcW w:w="1134" w:type="dxa"/>
          </w:tcPr>
          <w:p w14:paraId="6EEB7C9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204-273-9</w:t>
            </w:r>
          </w:p>
        </w:tc>
        <w:tc>
          <w:tcPr>
            <w:tcW w:w="1279" w:type="dxa"/>
            <w:gridSpan w:val="2"/>
            <w:tcMar>
              <w:left w:w="28" w:type="dxa"/>
              <w:right w:w="28" w:type="dxa"/>
            </w:tcMar>
          </w:tcPr>
          <w:p w14:paraId="5B17C9C1" w14:textId="77777777" w:rsidR="00501E78" w:rsidRPr="00921C9B" w:rsidRDefault="00501E78" w:rsidP="00501E78">
            <w:pPr>
              <w:widowControl/>
              <w:spacing w:before="40" w:after="40"/>
              <w:rPr>
                <w:rFonts w:eastAsia="Calibri"/>
                <w:noProof/>
                <w:sz w:val="22"/>
                <w:szCs w:val="22"/>
                <w:lang w:eastAsia="en-US"/>
              </w:rPr>
            </w:pPr>
          </w:p>
        </w:tc>
        <w:tc>
          <w:tcPr>
            <w:tcW w:w="1279" w:type="dxa"/>
            <w:gridSpan w:val="2"/>
            <w:tcMar>
              <w:left w:w="28" w:type="dxa"/>
              <w:right w:w="28" w:type="dxa"/>
            </w:tcMar>
          </w:tcPr>
          <w:p w14:paraId="3AA3D8BD" w14:textId="77777777" w:rsidR="00501E78" w:rsidRPr="00921C9B" w:rsidRDefault="00501E78" w:rsidP="00501E78">
            <w:pPr>
              <w:widowControl/>
              <w:spacing w:before="40" w:after="40"/>
              <w:rPr>
                <w:rFonts w:eastAsia="Calibri"/>
                <w:noProof/>
                <w:sz w:val="22"/>
                <w:szCs w:val="22"/>
                <w:lang w:eastAsia="en-US"/>
              </w:rPr>
            </w:pPr>
          </w:p>
        </w:tc>
        <w:tc>
          <w:tcPr>
            <w:tcW w:w="1278" w:type="dxa"/>
            <w:gridSpan w:val="2"/>
            <w:tcMar>
              <w:left w:w="28" w:type="dxa"/>
              <w:right w:w="28" w:type="dxa"/>
            </w:tcMar>
          </w:tcPr>
          <w:p w14:paraId="3ABEAC8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0,5</w:t>
            </w:r>
          </w:p>
        </w:tc>
        <w:tc>
          <w:tcPr>
            <w:tcW w:w="1277" w:type="dxa"/>
            <w:gridSpan w:val="2"/>
            <w:tcMar>
              <w:left w:w="28" w:type="dxa"/>
              <w:right w:w="28" w:type="dxa"/>
            </w:tcMar>
          </w:tcPr>
          <w:p w14:paraId="3FED265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0,05</w:t>
            </w:r>
          </w:p>
        </w:tc>
        <w:tc>
          <w:tcPr>
            <w:tcW w:w="1136" w:type="dxa"/>
            <w:gridSpan w:val="2"/>
            <w:tcMar>
              <w:left w:w="28" w:type="dxa"/>
              <w:right w:w="28" w:type="dxa"/>
            </w:tcMar>
          </w:tcPr>
          <w:p w14:paraId="07E477A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w:t>
            </w:r>
          </w:p>
        </w:tc>
        <w:tc>
          <w:tcPr>
            <w:tcW w:w="1262" w:type="dxa"/>
            <w:tcMar>
              <w:left w:w="28" w:type="dxa"/>
              <w:right w:w="28" w:type="dxa"/>
            </w:tcMar>
          </w:tcPr>
          <w:p w14:paraId="62CFF7C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5F621FAE"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5266367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35527908" w14:textId="77777777" w:rsidTr="004C279A">
        <w:trPr>
          <w:gridBefore w:val="1"/>
          <w:wBefore w:w="12" w:type="dxa"/>
          <w:cantSplit/>
          <w:tblHeader/>
          <w:jc w:val="center"/>
        </w:trPr>
        <w:tc>
          <w:tcPr>
            <w:tcW w:w="651" w:type="dxa"/>
            <w:gridSpan w:val="3"/>
            <w:tcMar>
              <w:left w:w="28" w:type="dxa"/>
              <w:right w:w="28" w:type="dxa"/>
            </w:tcMar>
          </w:tcPr>
          <w:p w14:paraId="1FE472AE"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lastRenderedPageBreak/>
              <w:t>(17)</w:t>
            </w:r>
          </w:p>
        </w:tc>
        <w:tc>
          <w:tcPr>
            <w:tcW w:w="2286" w:type="dxa"/>
            <w:gridSpan w:val="3"/>
            <w:tcMar>
              <w:left w:w="28" w:type="dxa"/>
              <w:right w:w="28" w:type="dxa"/>
            </w:tcMar>
          </w:tcPr>
          <w:p w14:paraId="1A10454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Хексахлоробутадиен</w:t>
            </w:r>
          </w:p>
        </w:tc>
        <w:tc>
          <w:tcPr>
            <w:tcW w:w="1329" w:type="dxa"/>
            <w:gridSpan w:val="3"/>
            <w:tcMar>
              <w:left w:w="28" w:type="dxa"/>
              <w:right w:w="28" w:type="dxa"/>
            </w:tcMar>
          </w:tcPr>
          <w:p w14:paraId="7D3F1E0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 (разтворители)</w:t>
            </w:r>
          </w:p>
        </w:tc>
        <w:tc>
          <w:tcPr>
            <w:tcW w:w="992" w:type="dxa"/>
            <w:gridSpan w:val="2"/>
            <w:tcMar>
              <w:left w:w="28" w:type="dxa"/>
              <w:right w:w="28" w:type="dxa"/>
            </w:tcMar>
          </w:tcPr>
          <w:p w14:paraId="797076F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87-68-3</w:t>
            </w:r>
          </w:p>
        </w:tc>
        <w:tc>
          <w:tcPr>
            <w:tcW w:w="1134" w:type="dxa"/>
          </w:tcPr>
          <w:p w14:paraId="6A91D6C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201-765-5</w:t>
            </w:r>
          </w:p>
        </w:tc>
        <w:tc>
          <w:tcPr>
            <w:tcW w:w="1279" w:type="dxa"/>
            <w:gridSpan w:val="2"/>
            <w:tcMar>
              <w:left w:w="28" w:type="dxa"/>
              <w:right w:w="28" w:type="dxa"/>
            </w:tcMar>
          </w:tcPr>
          <w:p w14:paraId="77EA38E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9 × 10</w:t>
            </w:r>
            <w:r w:rsidRPr="00921C9B">
              <w:rPr>
                <w:rFonts w:eastAsia="Calibri"/>
                <w:noProof/>
                <w:sz w:val="22"/>
                <w:szCs w:val="22"/>
                <w:vertAlign w:val="superscript"/>
                <w:lang w:eastAsia="en-US"/>
              </w:rPr>
              <w:t>-4</w:t>
            </w:r>
          </w:p>
        </w:tc>
        <w:tc>
          <w:tcPr>
            <w:tcW w:w="1279" w:type="dxa"/>
            <w:gridSpan w:val="2"/>
            <w:tcMar>
              <w:left w:w="28" w:type="dxa"/>
              <w:right w:w="28" w:type="dxa"/>
            </w:tcMar>
          </w:tcPr>
          <w:p w14:paraId="6F970715" w14:textId="77777777" w:rsidR="00501E78" w:rsidRPr="00921C9B" w:rsidRDefault="00501E78" w:rsidP="00501E78">
            <w:pPr>
              <w:widowControl/>
              <w:spacing w:before="40" w:after="40"/>
              <w:rPr>
                <w:rFonts w:eastAsia="Calibri"/>
                <w:noProof/>
                <w:sz w:val="22"/>
                <w:szCs w:val="22"/>
                <w:lang w:eastAsia="en-US"/>
              </w:rPr>
            </w:pPr>
          </w:p>
        </w:tc>
        <w:tc>
          <w:tcPr>
            <w:tcW w:w="1278" w:type="dxa"/>
            <w:gridSpan w:val="2"/>
            <w:tcMar>
              <w:left w:w="28" w:type="dxa"/>
              <w:right w:w="28" w:type="dxa"/>
            </w:tcMar>
          </w:tcPr>
          <w:p w14:paraId="0FF79DF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0,6</w:t>
            </w:r>
          </w:p>
        </w:tc>
        <w:tc>
          <w:tcPr>
            <w:tcW w:w="1277" w:type="dxa"/>
            <w:gridSpan w:val="2"/>
            <w:tcMar>
              <w:left w:w="28" w:type="dxa"/>
              <w:right w:w="28" w:type="dxa"/>
            </w:tcMar>
          </w:tcPr>
          <w:p w14:paraId="29734DB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0,6</w:t>
            </w:r>
          </w:p>
        </w:tc>
        <w:tc>
          <w:tcPr>
            <w:tcW w:w="1136" w:type="dxa"/>
            <w:gridSpan w:val="2"/>
            <w:tcMar>
              <w:left w:w="28" w:type="dxa"/>
              <w:right w:w="28" w:type="dxa"/>
            </w:tcMar>
          </w:tcPr>
          <w:p w14:paraId="4779488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21</w:t>
            </w:r>
          </w:p>
        </w:tc>
        <w:tc>
          <w:tcPr>
            <w:tcW w:w="1262" w:type="dxa"/>
            <w:tcMar>
              <w:left w:w="28" w:type="dxa"/>
              <w:right w:w="28" w:type="dxa"/>
            </w:tcMar>
          </w:tcPr>
          <w:p w14:paraId="12E08E8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4BC9AECF"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1344112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58ADA59E" w14:textId="77777777" w:rsidTr="004C279A">
        <w:trPr>
          <w:gridBefore w:val="1"/>
          <w:wBefore w:w="12" w:type="dxa"/>
          <w:cantSplit/>
          <w:tblHeader/>
          <w:jc w:val="center"/>
        </w:trPr>
        <w:tc>
          <w:tcPr>
            <w:tcW w:w="651" w:type="dxa"/>
            <w:gridSpan w:val="3"/>
            <w:tcMar>
              <w:left w:w="28" w:type="dxa"/>
              <w:right w:w="28" w:type="dxa"/>
            </w:tcMar>
          </w:tcPr>
          <w:p w14:paraId="37F9F169"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(18)</w:t>
            </w:r>
          </w:p>
        </w:tc>
        <w:tc>
          <w:tcPr>
            <w:tcW w:w="2286" w:type="dxa"/>
            <w:gridSpan w:val="3"/>
            <w:tcMar>
              <w:left w:w="28" w:type="dxa"/>
              <w:right w:w="28" w:type="dxa"/>
            </w:tcMar>
          </w:tcPr>
          <w:p w14:paraId="0AAF2A4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Хексахлороциклохексан</w:t>
            </w:r>
          </w:p>
        </w:tc>
        <w:tc>
          <w:tcPr>
            <w:tcW w:w="1329" w:type="dxa"/>
            <w:gridSpan w:val="3"/>
            <w:tcMar>
              <w:left w:w="28" w:type="dxa"/>
              <w:right w:w="28" w:type="dxa"/>
            </w:tcMar>
          </w:tcPr>
          <w:p w14:paraId="7CF4C2A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Инсектициди</w:t>
            </w:r>
          </w:p>
        </w:tc>
        <w:tc>
          <w:tcPr>
            <w:tcW w:w="992" w:type="dxa"/>
            <w:gridSpan w:val="2"/>
            <w:tcMar>
              <w:left w:w="28" w:type="dxa"/>
              <w:right w:w="28" w:type="dxa"/>
            </w:tcMar>
          </w:tcPr>
          <w:p w14:paraId="54DD302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608-73-1</w:t>
            </w:r>
          </w:p>
        </w:tc>
        <w:tc>
          <w:tcPr>
            <w:tcW w:w="1134" w:type="dxa"/>
          </w:tcPr>
          <w:p w14:paraId="448C2E5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210-168-9</w:t>
            </w:r>
          </w:p>
        </w:tc>
        <w:tc>
          <w:tcPr>
            <w:tcW w:w="1279" w:type="dxa"/>
            <w:gridSpan w:val="2"/>
            <w:tcMar>
              <w:left w:w="28" w:type="dxa"/>
              <w:right w:w="28" w:type="dxa"/>
            </w:tcMar>
          </w:tcPr>
          <w:p w14:paraId="50DA9CF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0,02</w:t>
            </w:r>
          </w:p>
        </w:tc>
        <w:tc>
          <w:tcPr>
            <w:tcW w:w="1279" w:type="dxa"/>
            <w:gridSpan w:val="2"/>
            <w:tcMar>
              <w:left w:w="28" w:type="dxa"/>
              <w:right w:w="28" w:type="dxa"/>
            </w:tcMar>
          </w:tcPr>
          <w:p w14:paraId="6DC4960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0,002</w:t>
            </w:r>
          </w:p>
        </w:tc>
        <w:tc>
          <w:tcPr>
            <w:tcW w:w="1278" w:type="dxa"/>
            <w:gridSpan w:val="2"/>
            <w:tcMar>
              <w:left w:w="28" w:type="dxa"/>
              <w:right w:w="28" w:type="dxa"/>
            </w:tcMar>
          </w:tcPr>
          <w:p w14:paraId="29BBA23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0,04</w:t>
            </w:r>
          </w:p>
        </w:tc>
        <w:tc>
          <w:tcPr>
            <w:tcW w:w="1277" w:type="dxa"/>
            <w:gridSpan w:val="2"/>
            <w:tcMar>
              <w:left w:w="28" w:type="dxa"/>
              <w:right w:w="28" w:type="dxa"/>
            </w:tcMar>
          </w:tcPr>
          <w:p w14:paraId="1E4C045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0,02</w:t>
            </w:r>
          </w:p>
        </w:tc>
        <w:tc>
          <w:tcPr>
            <w:tcW w:w="1136" w:type="dxa"/>
            <w:gridSpan w:val="2"/>
            <w:tcMar>
              <w:left w:w="28" w:type="dxa"/>
              <w:right w:w="28" w:type="dxa"/>
            </w:tcMar>
          </w:tcPr>
          <w:p w14:paraId="654FFD1C"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48AE042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56E1EBA3"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3419B12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5F10B2CC" w14:textId="77777777" w:rsidTr="004C279A">
        <w:trPr>
          <w:gridBefore w:val="1"/>
          <w:wBefore w:w="12" w:type="dxa"/>
          <w:cantSplit/>
          <w:tblHeader/>
          <w:jc w:val="center"/>
        </w:trPr>
        <w:tc>
          <w:tcPr>
            <w:tcW w:w="651" w:type="dxa"/>
            <w:gridSpan w:val="3"/>
            <w:tcMar>
              <w:left w:w="28" w:type="dxa"/>
              <w:right w:w="28" w:type="dxa"/>
            </w:tcMar>
          </w:tcPr>
          <w:p w14:paraId="18B77BB0"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(19)</w:t>
            </w:r>
          </w:p>
        </w:tc>
        <w:tc>
          <w:tcPr>
            <w:tcW w:w="2286" w:type="dxa"/>
            <w:gridSpan w:val="3"/>
            <w:tcMar>
              <w:left w:w="28" w:type="dxa"/>
              <w:right w:w="28" w:type="dxa"/>
            </w:tcMar>
          </w:tcPr>
          <w:p w14:paraId="5210C7E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Изопротурон</w:t>
            </w:r>
          </w:p>
        </w:tc>
        <w:tc>
          <w:tcPr>
            <w:tcW w:w="1329" w:type="dxa"/>
            <w:gridSpan w:val="3"/>
            <w:tcMar>
              <w:left w:w="28" w:type="dxa"/>
              <w:right w:w="28" w:type="dxa"/>
            </w:tcMar>
          </w:tcPr>
          <w:p w14:paraId="68D104B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Хербициди</w:t>
            </w:r>
          </w:p>
        </w:tc>
        <w:tc>
          <w:tcPr>
            <w:tcW w:w="992" w:type="dxa"/>
            <w:gridSpan w:val="2"/>
            <w:tcMar>
              <w:left w:w="28" w:type="dxa"/>
              <w:right w:w="28" w:type="dxa"/>
            </w:tcMar>
          </w:tcPr>
          <w:p w14:paraId="35AFA61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34123-59-6</w:t>
            </w:r>
          </w:p>
        </w:tc>
        <w:tc>
          <w:tcPr>
            <w:tcW w:w="1134" w:type="dxa"/>
          </w:tcPr>
          <w:p w14:paraId="2E84B67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251-835-4</w:t>
            </w:r>
          </w:p>
        </w:tc>
        <w:tc>
          <w:tcPr>
            <w:tcW w:w="1279" w:type="dxa"/>
            <w:gridSpan w:val="2"/>
            <w:tcMar>
              <w:left w:w="28" w:type="dxa"/>
              <w:right w:w="28" w:type="dxa"/>
            </w:tcMar>
          </w:tcPr>
          <w:p w14:paraId="3459172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0,3</w:t>
            </w:r>
          </w:p>
        </w:tc>
        <w:tc>
          <w:tcPr>
            <w:tcW w:w="1279" w:type="dxa"/>
            <w:gridSpan w:val="2"/>
            <w:tcMar>
              <w:left w:w="28" w:type="dxa"/>
              <w:right w:w="28" w:type="dxa"/>
            </w:tcMar>
          </w:tcPr>
          <w:p w14:paraId="58DADD4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0,3</w:t>
            </w:r>
          </w:p>
        </w:tc>
        <w:tc>
          <w:tcPr>
            <w:tcW w:w="1278" w:type="dxa"/>
            <w:gridSpan w:val="2"/>
            <w:tcMar>
              <w:left w:w="28" w:type="dxa"/>
              <w:right w:w="28" w:type="dxa"/>
            </w:tcMar>
          </w:tcPr>
          <w:p w14:paraId="5F68EFD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1,0</w:t>
            </w:r>
          </w:p>
        </w:tc>
        <w:tc>
          <w:tcPr>
            <w:tcW w:w="1277" w:type="dxa"/>
            <w:gridSpan w:val="2"/>
            <w:tcMar>
              <w:left w:w="28" w:type="dxa"/>
              <w:right w:w="28" w:type="dxa"/>
            </w:tcMar>
          </w:tcPr>
          <w:p w14:paraId="57C7257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1,0</w:t>
            </w:r>
          </w:p>
        </w:tc>
        <w:tc>
          <w:tcPr>
            <w:tcW w:w="1136" w:type="dxa"/>
            <w:gridSpan w:val="2"/>
            <w:tcMar>
              <w:left w:w="28" w:type="dxa"/>
              <w:right w:w="28" w:type="dxa"/>
            </w:tcMar>
          </w:tcPr>
          <w:p w14:paraId="0DF60055"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31778124"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50A207C3"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73109AD4"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050F0924" w14:textId="77777777" w:rsidTr="004C279A">
        <w:trPr>
          <w:gridBefore w:val="1"/>
          <w:wBefore w:w="12" w:type="dxa"/>
          <w:cantSplit/>
          <w:tblHeader/>
          <w:jc w:val="center"/>
        </w:trPr>
        <w:tc>
          <w:tcPr>
            <w:tcW w:w="651" w:type="dxa"/>
            <w:gridSpan w:val="3"/>
            <w:tcMar>
              <w:left w:w="28" w:type="dxa"/>
              <w:right w:w="28" w:type="dxa"/>
            </w:tcMar>
          </w:tcPr>
          <w:p w14:paraId="1EA818A6"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(20)</w:t>
            </w:r>
          </w:p>
        </w:tc>
        <w:tc>
          <w:tcPr>
            <w:tcW w:w="2286" w:type="dxa"/>
            <w:gridSpan w:val="3"/>
            <w:tcMar>
              <w:left w:w="28" w:type="dxa"/>
              <w:right w:w="28" w:type="dxa"/>
            </w:tcMar>
          </w:tcPr>
          <w:p w14:paraId="31C6584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Олово и неговите съединения</w:t>
            </w:r>
          </w:p>
        </w:tc>
        <w:tc>
          <w:tcPr>
            <w:tcW w:w="1329" w:type="dxa"/>
            <w:gridSpan w:val="3"/>
            <w:tcMar>
              <w:left w:w="28" w:type="dxa"/>
              <w:right w:w="28" w:type="dxa"/>
            </w:tcMar>
          </w:tcPr>
          <w:p w14:paraId="213613B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Метали</w:t>
            </w:r>
          </w:p>
        </w:tc>
        <w:tc>
          <w:tcPr>
            <w:tcW w:w="992" w:type="dxa"/>
            <w:gridSpan w:val="2"/>
            <w:tcMar>
              <w:left w:w="28" w:type="dxa"/>
              <w:right w:w="28" w:type="dxa"/>
            </w:tcMar>
          </w:tcPr>
          <w:p w14:paraId="329FC8A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7439-92-1</w:t>
            </w:r>
          </w:p>
        </w:tc>
        <w:tc>
          <w:tcPr>
            <w:tcW w:w="1134" w:type="dxa"/>
          </w:tcPr>
          <w:p w14:paraId="36E1485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231-100-4</w:t>
            </w:r>
          </w:p>
        </w:tc>
        <w:tc>
          <w:tcPr>
            <w:tcW w:w="1279" w:type="dxa"/>
            <w:gridSpan w:val="2"/>
            <w:tcMar>
              <w:left w:w="28" w:type="dxa"/>
              <w:right w:w="28" w:type="dxa"/>
            </w:tcMar>
          </w:tcPr>
          <w:p w14:paraId="7BA22399" w14:textId="77777777" w:rsidR="00501E78" w:rsidRPr="00921C9B" w:rsidRDefault="00501E78" w:rsidP="00501E78">
            <w:pPr>
              <w:widowControl/>
              <w:spacing w:before="40" w:after="40"/>
              <w:rPr>
                <w:rFonts w:eastAsia="Calibri"/>
                <w:i/>
                <w:noProof/>
                <w:sz w:val="22"/>
                <w:szCs w:val="22"/>
                <w:vertAlign w:val="superscript"/>
                <w:lang w:eastAsia="en-US"/>
              </w:rPr>
            </w:pPr>
            <w:bookmarkStart w:id="25" w:name="_DV_C331"/>
            <w:r w:rsidRPr="00921C9B">
              <w:rPr>
                <w:rFonts w:eastAsia="Calibri"/>
                <w:noProof/>
                <w:sz w:val="22"/>
                <w:szCs w:val="22"/>
                <w:lang w:eastAsia="en-US"/>
              </w:rPr>
              <w:t>1,2 </w:t>
            </w:r>
            <w:r w:rsidRPr="00921C9B">
              <w:rPr>
                <w:rFonts w:eastAsia="Calibri"/>
                <w:noProof/>
                <w:sz w:val="22"/>
                <w:szCs w:val="22"/>
                <w:vertAlign w:val="superscript"/>
                <w:lang w:eastAsia="en-US"/>
              </w:rPr>
              <w:t>(12)</w:t>
            </w:r>
            <w:bookmarkEnd w:id="25"/>
          </w:p>
        </w:tc>
        <w:tc>
          <w:tcPr>
            <w:tcW w:w="1279" w:type="dxa"/>
            <w:gridSpan w:val="2"/>
            <w:tcMar>
              <w:left w:w="28" w:type="dxa"/>
              <w:right w:w="28" w:type="dxa"/>
            </w:tcMar>
          </w:tcPr>
          <w:p w14:paraId="163CA28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1,3</w:t>
            </w:r>
          </w:p>
        </w:tc>
        <w:tc>
          <w:tcPr>
            <w:tcW w:w="1278" w:type="dxa"/>
            <w:gridSpan w:val="2"/>
            <w:tcMar>
              <w:left w:w="28" w:type="dxa"/>
              <w:right w:w="28" w:type="dxa"/>
            </w:tcMar>
          </w:tcPr>
          <w:p w14:paraId="2F3448A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14</w:t>
            </w:r>
          </w:p>
        </w:tc>
        <w:tc>
          <w:tcPr>
            <w:tcW w:w="1277" w:type="dxa"/>
            <w:gridSpan w:val="2"/>
            <w:tcMar>
              <w:left w:w="28" w:type="dxa"/>
              <w:right w:w="28" w:type="dxa"/>
            </w:tcMar>
          </w:tcPr>
          <w:p w14:paraId="03D3CAD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14</w:t>
            </w:r>
          </w:p>
        </w:tc>
        <w:tc>
          <w:tcPr>
            <w:tcW w:w="1136" w:type="dxa"/>
            <w:gridSpan w:val="2"/>
            <w:tcMar>
              <w:left w:w="28" w:type="dxa"/>
              <w:right w:w="28" w:type="dxa"/>
            </w:tcMar>
          </w:tcPr>
          <w:p w14:paraId="6F197F55"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4036C8E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10C71F6A"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420CEDE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4CDE7E82" w14:textId="77777777" w:rsidTr="004C279A">
        <w:trPr>
          <w:gridBefore w:val="1"/>
          <w:wBefore w:w="12" w:type="dxa"/>
          <w:cantSplit/>
          <w:tblHeader/>
          <w:jc w:val="center"/>
        </w:trPr>
        <w:tc>
          <w:tcPr>
            <w:tcW w:w="651" w:type="dxa"/>
            <w:gridSpan w:val="3"/>
            <w:tcMar>
              <w:left w:w="28" w:type="dxa"/>
              <w:right w:w="28" w:type="dxa"/>
            </w:tcMar>
          </w:tcPr>
          <w:p w14:paraId="2CDE5E3B"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(21)</w:t>
            </w:r>
          </w:p>
        </w:tc>
        <w:tc>
          <w:tcPr>
            <w:tcW w:w="2286" w:type="dxa"/>
            <w:gridSpan w:val="3"/>
            <w:tcMar>
              <w:left w:w="28" w:type="dxa"/>
              <w:right w:w="28" w:type="dxa"/>
            </w:tcMar>
          </w:tcPr>
          <w:p w14:paraId="69D1C11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Живак и неговите съединения</w:t>
            </w:r>
          </w:p>
        </w:tc>
        <w:tc>
          <w:tcPr>
            <w:tcW w:w="1329" w:type="dxa"/>
            <w:gridSpan w:val="3"/>
            <w:tcMar>
              <w:left w:w="28" w:type="dxa"/>
              <w:right w:w="28" w:type="dxa"/>
            </w:tcMar>
          </w:tcPr>
          <w:p w14:paraId="2EE9906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Метали</w:t>
            </w:r>
          </w:p>
        </w:tc>
        <w:tc>
          <w:tcPr>
            <w:tcW w:w="992" w:type="dxa"/>
            <w:gridSpan w:val="2"/>
            <w:tcMar>
              <w:left w:w="28" w:type="dxa"/>
              <w:right w:w="28" w:type="dxa"/>
            </w:tcMar>
          </w:tcPr>
          <w:p w14:paraId="5154D13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7439-97-6</w:t>
            </w:r>
          </w:p>
        </w:tc>
        <w:tc>
          <w:tcPr>
            <w:tcW w:w="1134" w:type="dxa"/>
          </w:tcPr>
          <w:p w14:paraId="3DEA63F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231-106-7</w:t>
            </w:r>
          </w:p>
        </w:tc>
        <w:tc>
          <w:tcPr>
            <w:tcW w:w="1279" w:type="dxa"/>
            <w:gridSpan w:val="2"/>
            <w:tcMar>
              <w:left w:w="28" w:type="dxa"/>
              <w:right w:w="28" w:type="dxa"/>
            </w:tcMar>
          </w:tcPr>
          <w:p w14:paraId="6409339F" w14:textId="77777777" w:rsidR="00501E78" w:rsidRPr="00921C9B" w:rsidRDefault="00501E78" w:rsidP="00501E78">
            <w:pPr>
              <w:widowControl/>
              <w:spacing w:before="40" w:after="40"/>
              <w:rPr>
                <w:rFonts w:eastAsia="Calibri"/>
                <w:noProof/>
                <w:sz w:val="22"/>
                <w:szCs w:val="22"/>
                <w:lang w:eastAsia="en-US"/>
              </w:rPr>
            </w:pPr>
          </w:p>
        </w:tc>
        <w:tc>
          <w:tcPr>
            <w:tcW w:w="1279" w:type="dxa"/>
            <w:gridSpan w:val="2"/>
            <w:tcMar>
              <w:left w:w="28" w:type="dxa"/>
              <w:right w:w="28" w:type="dxa"/>
            </w:tcMar>
          </w:tcPr>
          <w:p w14:paraId="500E4C81" w14:textId="77777777" w:rsidR="00501E78" w:rsidRPr="00921C9B" w:rsidRDefault="00501E78" w:rsidP="00501E78">
            <w:pPr>
              <w:widowControl/>
              <w:spacing w:before="40" w:after="40"/>
              <w:rPr>
                <w:rFonts w:eastAsia="Calibri"/>
                <w:noProof/>
                <w:sz w:val="22"/>
                <w:szCs w:val="22"/>
                <w:lang w:eastAsia="en-US"/>
              </w:rPr>
            </w:pPr>
          </w:p>
        </w:tc>
        <w:tc>
          <w:tcPr>
            <w:tcW w:w="1278" w:type="dxa"/>
            <w:gridSpan w:val="2"/>
            <w:tcMar>
              <w:left w:w="28" w:type="dxa"/>
              <w:right w:w="28" w:type="dxa"/>
            </w:tcMar>
          </w:tcPr>
          <w:p w14:paraId="4F99C05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0,07</w:t>
            </w:r>
          </w:p>
        </w:tc>
        <w:tc>
          <w:tcPr>
            <w:tcW w:w="1277" w:type="dxa"/>
            <w:gridSpan w:val="2"/>
            <w:tcMar>
              <w:left w:w="28" w:type="dxa"/>
              <w:right w:w="28" w:type="dxa"/>
            </w:tcMar>
          </w:tcPr>
          <w:p w14:paraId="58757EE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0,07</w:t>
            </w:r>
          </w:p>
        </w:tc>
        <w:tc>
          <w:tcPr>
            <w:tcW w:w="1136" w:type="dxa"/>
            <w:gridSpan w:val="2"/>
            <w:tcMar>
              <w:left w:w="28" w:type="dxa"/>
              <w:right w:w="28" w:type="dxa"/>
            </w:tcMar>
          </w:tcPr>
          <w:p w14:paraId="2E92834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[10] (</w:t>
            </w:r>
            <w:r w:rsidRPr="00921C9B">
              <w:rPr>
                <w:rFonts w:eastAsia="Calibri"/>
                <w:noProof/>
                <w:sz w:val="22"/>
                <w:szCs w:val="22"/>
                <w:vertAlign w:val="superscript"/>
                <w:lang w:eastAsia="en-US"/>
              </w:rPr>
              <w:t>13</w:t>
            </w:r>
            <w:r w:rsidRPr="00921C9B">
              <w:rPr>
                <w:rFonts w:eastAsia="Calibri"/>
                <w:noProof/>
                <w:sz w:val="22"/>
                <w:szCs w:val="22"/>
                <w:lang w:eastAsia="en-US"/>
              </w:rPr>
              <w:t>)</w:t>
            </w:r>
          </w:p>
        </w:tc>
        <w:tc>
          <w:tcPr>
            <w:tcW w:w="1262" w:type="dxa"/>
            <w:tcMar>
              <w:left w:w="28" w:type="dxa"/>
              <w:right w:w="28" w:type="dxa"/>
            </w:tcMar>
          </w:tcPr>
          <w:p w14:paraId="45C3952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7B3D1EB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970" w:type="dxa"/>
            <w:tcMar>
              <w:left w:w="28" w:type="dxa"/>
              <w:right w:w="28" w:type="dxa"/>
            </w:tcMar>
          </w:tcPr>
          <w:p w14:paraId="72D0BC8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74664309" w14:textId="77777777" w:rsidTr="004C279A">
        <w:trPr>
          <w:gridBefore w:val="1"/>
          <w:wBefore w:w="12" w:type="dxa"/>
          <w:cantSplit/>
          <w:tblHeader/>
          <w:jc w:val="center"/>
        </w:trPr>
        <w:tc>
          <w:tcPr>
            <w:tcW w:w="651" w:type="dxa"/>
            <w:gridSpan w:val="3"/>
            <w:tcMar>
              <w:left w:w="28" w:type="dxa"/>
              <w:right w:w="28" w:type="dxa"/>
            </w:tcMar>
          </w:tcPr>
          <w:p w14:paraId="0EA822DD"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(22)</w:t>
            </w:r>
          </w:p>
        </w:tc>
        <w:tc>
          <w:tcPr>
            <w:tcW w:w="2286" w:type="dxa"/>
            <w:gridSpan w:val="3"/>
            <w:tcMar>
              <w:left w:w="28" w:type="dxa"/>
              <w:right w:w="28" w:type="dxa"/>
            </w:tcMar>
          </w:tcPr>
          <w:p w14:paraId="634E1F6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Нафтален</w:t>
            </w:r>
          </w:p>
        </w:tc>
        <w:tc>
          <w:tcPr>
            <w:tcW w:w="1329" w:type="dxa"/>
            <w:gridSpan w:val="3"/>
            <w:tcMar>
              <w:left w:w="28" w:type="dxa"/>
              <w:right w:w="28" w:type="dxa"/>
            </w:tcMar>
          </w:tcPr>
          <w:p w14:paraId="47175ED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Промишлени вещества </w:t>
            </w:r>
          </w:p>
        </w:tc>
        <w:tc>
          <w:tcPr>
            <w:tcW w:w="992" w:type="dxa"/>
            <w:gridSpan w:val="2"/>
            <w:tcMar>
              <w:left w:w="28" w:type="dxa"/>
              <w:right w:w="28" w:type="dxa"/>
            </w:tcMar>
          </w:tcPr>
          <w:p w14:paraId="669EA00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91-20-3</w:t>
            </w:r>
          </w:p>
        </w:tc>
        <w:tc>
          <w:tcPr>
            <w:tcW w:w="1134" w:type="dxa"/>
          </w:tcPr>
          <w:p w14:paraId="6E6DBCF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202-049-5</w:t>
            </w:r>
          </w:p>
        </w:tc>
        <w:tc>
          <w:tcPr>
            <w:tcW w:w="1279" w:type="dxa"/>
            <w:gridSpan w:val="2"/>
            <w:tcMar>
              <w:left w:w="28" w:type="dxa"/>
              <w:right w:w="28" w:type="dxa"/>
            </w:tcMar>
          </w:tcPr>
          <w:p w14:paraId="02F6AE0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w:t>
            </w:r>
          </w:p>
        </w:tc>
        <w:tc>
          <w:tcPr>
            <w:tcW w:w="1279" w:type="dxa"/>
            <w:gridSpan w:val="2"/>
            <w:tcMar>
              <w:left w:w="28" w:type="dxa"/>
              <w:right w:w="28" w:type="dxa"/>
            </w:tcMar>
          </w:tcPr>
          <w:p w14:paraId="4C7E8D1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w:t>
            </w:r>
          </w:p>
        </w:tc>
        <w:tc>
          <w:tcPr>
            <w:tcW w:w="1278" w:type="dxa"/>
            <w:gridSpan w:val="2"/>
            <w:tcMar>
              <w:left w:w="28" w:type="dxa"/>
              <w:right w:w="28" w:type="dxa"/>
            </w:tcMar>
          </w:tcPr>
          <w:p w14:paraId="2DF8A48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130</w:t>
            </w:r>
          </w:p>
        </w:tc>
        <w:tc>
          <w:tcPr>
            <w:tcW w:w="1277" w:type="dxa"/>
            <w:gridSpan w:val="2"/>
            <w:tcMar>
              <w:left w:w="28" w:type="dxa"/>
              <w:right w:w="28" w:type="dxa"/>
            </w:tcMar>
          </w:tcPr>
          <w:p w14:paraId="36CD67E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130</w:t>
            </w:r>
          </w:p>
        </w:tc>
        <w:tc>
          <w:tcPr>
            <w:tcW w:w="1136" w:type="dxa"/>
            <w:gridSpan w:val="2"/>
            <w:tcMar>
              <w:left w:w="28" w:type="dxa"/>
              <w:right w:w="28" w:type="dxa"/>
            </w:tcMar>
          </w:tcPr>
          <w:p w14:paraId="0116CE20"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62EE5B9E"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6D3DACDD"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721D983D"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6438D816" w14:textId="77777777" w:rsidTr="004C279A">
        <w:trPr>
          <w:gridBefore w:val="1"/>
          <w:wBefore w:w="12" w:type="dxa"/>
          <w:cantSplit/>
          <w:tblHeader/>
          <w:jc w:val="center"/>
        </w:trPr>
        <w:tc>
          <w:tcPr>
            <w:tcW w:w="651" w:type="dxa"/>
            <w:gridSpan w:val="3"/>
            <w:tcMar>
              <w:left w:w="28" w:type="dxa"/>
              <w:right w:w="28" w:type="dxa"/>
            </w:tcMar>
          </w:tcPr>
          <w:p w14:paraId="1226993F"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(23)</w:t>
            </w:r>
          </w:p>
        </w:tc>
        <w:tc>
          <w:tcPr>
            <w:tcW w:w="2286" w:type="dxa"/>
            <w:gridSpan w:val="3"/>
            <w:tcMar>
              <w:left w:w="28" w:type="dxa"/>
              <w:right w:w="28" w:type="dxa"/>
            </w:tcMar>
          </w:tcPr>
          <w:p w14:paraId="6DD1CBC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Никел и неговите съединения</w:t>
            </w:r>
          </w:p>
        </w:tc>
        <w:tc>
          <w:tcPr>
            <w:tcW w:w="1329" w:type="dxa"/>
            <w:gridSpan w:val="3"/>
            <w:tcMar>
              <w:left w:w="28" w:type="dxa"/>
              <w:right w:w="28" w:type="dxa"/>
            </w:tcMar>
          </w:tcPr>
          <w:p w14:paraId="248416A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Метали</w:t>
            </w:r>
          </w:p>
        </w:tc>
        <w:tc>
          <w:tcPr>
            <w:tcW w:w="992" w:type="dxa"/>
            <w:gridSpan w:val="2"/>
            <w:tcMar>
              <w:left w:w="28" w:type="dxa"/>
              <w:right w:w="28" w:type="dxa"/>
            </w:tcMar>
          </w:tcPr>
          <w:p w14:paraId="7A6580F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7440-02-0</w:t>
            </w:r>
          </w:p>
        </w:tc>
        <w:tc>
          <w:tcPr>
            <w:tcW w:w="1134" w:type="dxa"/>
          </w:tcPr>
          <w:p w14:paraId="2312944D" w14:textId="77777777" w:rsidR="00501E78" w:rsidRPr="00921C9B" w:rsidDel="00EC120E" w:rsidRDefault="00501E78" w:rsidP="00501E78">
            <w:pPr>
              <w:widowControl/>
              <w:spacing w:before="40" w:after="40"/>
              <w:rPr>
                <w:rFonts w:eastAsia="Calibri"/>
                <w:strike/>
                <w:noProof/>
                <w:sz w:val="22"/>
                <w:szCs w:val="22"/>
                <w:lang w:eastAsia="en-US"/>
              </w:rPr>
            </w:pPr>
            <w:r w:rsidRPr="00921C9B">
              <w:rPr>
                <w:rFonts w:eastAsia="Calibri"/>
                <w:noProof/>
                <w:sz w:val="22"/>
                <w:szCs w:val="22"/>
                <w:lang w:eastAsia="en-US"/>
              </w:rPr>
              <w:t>231-111-4</w:t>
            </w:r>
          </w:p>
        </w:tc>
        <w:tc>
          <w:tcPr>
            <w:tcW w:w="1279" w:type="dxa"/>
            <w:gridSpan w:val="2"/>
            <w:tcMar>
              <w:left w:w="28" w:type="dxa"/>
              <w:right w:w="28" w:type="dxa"/>
            </w:tcMar>
          </w:tcPr>
          <w:p w14:paraId="1AD0038D"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2 (</w:t>
            </w:r>
            <w:r w:rsidRPr="00921C9B">
              <w:rPr>
                <w:rFonts w:eastAsia="Calibri"/>
                <w:noProof/>
                <w:sz w:val="22"/>
                <w:szCs w:val="22"/>
                <w:vertAlign w:val="superscript"/>
                <w:lang w:eastAsia="en-US"/>
              </w:rPr>
              <w:t>12</w:t>
            </w:r>
            <w:r w:rsidRPr="00921C9B">
              <w:rPr>
                <w:rFonts w:eastAsia="Calibri"/>
                <w:noProof/>
                <w:sz w:val="22"/>
                <w:szCs w:val="22"/>
                <w:lang w:eastAsia="en-US"/>
              </w:rPr>
              <w:t>)</w:t>
            </w:r>
          </w:p>
        </w:tc>
        <w:tc>
          <w:tcPr>
            <w:tcW w:w="1279" w:type="dxa"/>
            <w:gridSpan w:val="2"/>
            <w:tcMar>
              <w:left w:w="28" w:type="dxa"/>
              <w:right w:w="28" w:type="dxa"/>
            </w:tcMar>
          </w:tcPr>
          <w:p w14:paraId="3924E6D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3,1</w:t>
            </w:r>
          </w:p>
        </w:tc>
        <w:tc>
          <w:tcPr>
            <w:tcW w:w="1278" w:type="dxa"/>
            <w:gridSpan w:val="2"/>
            <w:tcMar>
              <w:left w:w="28" w:type="dxa"/>
              <w:right w:w="28" w:type="dxa"/>
            </w:tcMar>
          </w:tcPr>
          <w:p w14:paraId="57B82C1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8,2</w:t>
            </w:r>
          </w:p>
        </w:tc>
        <w:tc>
          <w:tcPr>
            <w:tcW w:w="1277" w:type="dxa"/>
            <w:gridSpan w:val="2"/>
            <w:tcMar>
              <w:left w:w="28" w:type="dxa"/>
              <w:right w:w="28" w:type="dxa"/>
            </w:tcMar>
          </w:tcPr>
          <w:p w14:paraId="4F80E08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8,2</w:t>
            </w:r>
          </w:p>
        </w:tc>
        <w:tc>
          <w:tcPr>
            <w:tcW w:w="1136" w:type="dxa"/>
            <w:gridSpan w:val="2"/>
            <w:tcMar>
              <w:left w:w="28" w:type="dxa"/>
              <w:right w:w="28" w:type="dxa"/>
            </w:tcMar>
          </w:tcPr>
          <w:p w14:paraId="1E3250EB"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0B5711DA" w14:textId="77777777" w:rsidR="00501E78" w:rsidRPr="00921C9B" w:rsidRDefault="00501E78" w:rsidP="00501E78">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2654A0CD" w14:textId="77777777" w:rsidR="00501E78" w:rsidRPr="00921C9B" w:rsidRDefault="00501E78" w:rsidP="00501E78">
            <w:pPr>
              <w:widowControl/>
              <w:spacing w:before="40" w:after="40"/>
              <w:rPr>
                <w:rFonts w:eastAsia="Calibri"/>
                <w:noProof/>
                <w:sz w:val="22"/>
                <w:szCs w:val="22"/>
                <w:vertAlign w:val="superscript"/>
                <w:lang w:eastAsia="en-US"/>
              </w:rPr>
            </w:pPr>
          </w:p>
        </w:tc>
        <w:tc>
          <w:tcPr>
            <w:tcW w:w="970" w:type="dxa"/>
            <w:tcMar>
              <w:left w:w="28" w:type="dxa"/>
              <w:right w:w="28" w:type="dxa"/>
            </w:tcMar>
          </w:tcPr>
          <w:p w14:paraId="17A9B2B0" w14:textId="77777777" w:rsidR="00501E78" w:rsidRPr="00921C9B" w:rsidRDefault="00501E78" w:rsidP="00501E78">
            <w:pPr>
              <w:widowControl/>
              <w:spacing w:before="40" w:after="40"/>
              <w:rPr>
                <w:rFonts w:eastAsia="Calibri"/>
                <w:noProof/>
                <w:sz w:val="22"/>
                <w:szCs w:val="22"/>
                <w:vertAlign w:val="superscript"/>
                <w:lang w:eastAsia="en-US"/>
              </w:rPr>
            </w:pPr>
          </w:p>
        </w:tc>
      </w:tr>
      <w:tr w:rsidR="00501E78" w:rsidRPr="00921C9B" w14:paraId="24076140" w14:textId="77777777" w:rsidTr="004C279A">
        <w:trPr>
          <w:gridBefore w:val="1"/>
          <w:wBefore w:w="12" w:type="dxa"/>
          <w:cantSplit/>
          <w:tblHeader/>
          <w:jc w:val="center"/>
        </w:trPr>
        <w:tc>
          <w:tcPr>
            <w:tcW w:w="651" w:type="dxa"/>
            <w:gridSpan w:val="3"/>
            <w:tcMar>
              <w:left w:w="28" w:type="dxa"/>
              <w:right w:w="28" w:type="dxa"/>
            </w:tcMar>
          </w:tcPr>
          <w:p w14:paraId="73C6AF23"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(24)</w:t>
            </w:r>
          </w:p>
        </w:tc>
        <w:tc>
          <w:tcPr>
            <w:tcW w:w="2286" w:type="dxa"/>
            <w:gridSpan w:val="3"/>
            <w:tcMar>
              <w:left w:w="28" w:type="dxa"/>
              <w:right w:w="28" w:type="dxa"/>
            </w:tcMar>
          </w:tcPr>
          <w:p w14:paraId="2839C82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Нонилфеноли (</w:t>
            </w:r>
            <w:r w:rsidRPr="00921C9B">
              <w:rPr>
                <w:rFonts w:eastAsia="Calibri"/>
                <w:noProof/>
                <w:sz w:val="22"/>
                <w:szCs w:val="22"/>
                <w:vertAlign w:val="superscript"/>
                <w:lang w:eastAsia="en-US"/>
              </w:rPr>
              <w:t>14</w:t>
            </w:r>
            <w:r w:rsidRPr="00921C9B">
              <w:rPr>
                <w:rFonts w:eastAsia="Calibri"/>
                <w:noProof/>
                <w:sz w:val="22"/>
                <w:szCs w:val="22"/>
                <w:lang w:eastAsia="en-US"/>
              </w:rPr>
              <w:t>)</w:t>
            </w:r>
            <w:r w:rsidRPr="00921C9B">
              <w:rPr>
                <w:rFonts w:eastAsia="Calibri"/>
                <w:noProof/>
                <w:szCs w:val="22"/>
                <w:lang w:eastAsia="en-US"/>
              </w:rPr>
              <w:t xml:space="preserve"> </w:t>
            </w:r>
            <w:r w:rsidRPr="00921C9B">
              <w:rPr>
                <w:rFonts w:eastAsia="Calibri"/>
                <w:noProof/>
                <w:szCs w:val="22"/>
                <w:lang w:eastAsia="en-US"/>
              </w:rPr>
              <w:cr/>
            </w:r>
            <w:r w:rsidRPr="00921C9B">
              <w:rPr>
                <w:rFonts w:eastAsia="Calibri"/>
                <w:noProof/>
                <w:szCs w:val="22"/>
                <w:lang w:eastAsia="en-US"/>
              </w:rPr>
              <w:br/>
            </w:r>
            <w:r w:rsidRPr="00921C9B">
              <w:rPr>
                <w:rFonts w:eastAsia="Calibri"/>
                <w:noProof/>
                <w:sz w:val="22"/>
                <w:szCs w:val="22"/>
                <w:lang w:eastAsia="en-US"/>
              </w:rPr>
              <w:t>(4-Нонилфенол)</w:t>
            </w:r>
          </w:p>
        </w:tc>
        <w:tc>
          <w:tcPr>
            <w:tcW w:w="1329" w:type="dxa"/>
            <w:gridSpan w:val="3"/>
            <w:tcMar>
              <w:left w:w="28" w:type="dxa"/>
              <w:right w:w="28" w:type="dxa"/>
            </w:tcMar>
          </w:tcPr>
          <w:p w14:paraId="4BC146E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tcMar>
              <w:left w:w="28" w:type="dxa"/>
              <w:right w:w="28" w:type="dxa"/>
            </w:tcMar>
          </w:tcPr>
          <w:p w14:paraId="50CAF77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84852-15-3</w:t>
            </w:r>
          </w:p>
        </w:tc>
        <w:tc>
          <w:tcPr>
            <w:tcW w:w="1134" w:type="dxa"/>
          </w:tcPr>
          <w:p w14:paraId="15849CB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284-325-5</w:t>
            </w:r>
          </w:p>
        </w:tc>
        <w:tc>
          <w:tcPr>
            <w:tcW w:w="1279" w:type="dxa"/>
            <w:gridSpan w:val="2"/>
            <w:tcMar>
              <w:left w:w="28" w:type="dxa"/>
              <w:right w:w="28" w:type="dxa"/>
            </w:tcMar>
          </w:tcPr>
          <w:p w14:paraId="1B7D2EC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0,037</w:t>
            </w:r>
          </w:p>
        </w:tc>
        <w:tc>
          <w:tcPr>
            <w:tcW w:w="1279" w:type="dxa"/>
            <w:gridSpan w:val="2"/>
            <w:tcMar>
              <w:left w:w="28" w:type="dxa"/>
              <w:right w:w="28" w:type="dxa"/>
            </w:tcMar>
          </w:tcPr>
          <w:p w14:paraId="2C78BD1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0,0018</w:t>
            </w:r>
          </w:p>
        </w:tc>
        <w:tc>
          <w:tcPr>
            <w:tcW w:w="1278" w:type="dxa"/>
            <w:gridSpan w:val="2"/>
            <w:tcMar>
              <w:left w:w="28" w:type="dxa"/>
              <w:right w:w="28" w:type="dxa"/>
            </w:tcMar>
          </w:tcPr>
          <w:p w14:paraId="2EFB270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2,1</w:t>
            </w:r>
          </w:p>
        </w:tc>
        <w:tc>
          <w:tcPr>
            <w:tcW w:w="1277" w:type="dxa"/>
            <w:gridSpan w:val="2"/>
            <w:tcMar>
              <w:left w:w="28" w:type="dxa"/>
              <w:right w:w="28" w:type="dxa"/>
            </w:tcMar>
          </w:tcPr>
          <w:p w14:paraId="7414DAD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0,17</w:t>
            </w:r>
          </w:p>
        </w:tc>
        <w:tc>
          <w:tcPr>
            <w:tcW w:w="1136" w:type="dxa"/>
            <w:gridSpan w:val="2"/>
            <w:tcMar>
              <w:left w:w="28" w:type="dxa"/>
              <w:right w:w="28" w:type="dxa"/>
            </w:tcMar>
          </w:tcPr>
          <w:p w14:paraId="5F1C0C6C"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52156C9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1AF2CEA5"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6FEE4CDB"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08919424" w14:textId="77777777" w:rsidTr="004C279A">
        <w:trPr>
          <w:gridBefore w:val="1"/>
          <w:wBefore w:w="12" w:type="dxa"/>
          <w:cantSplit/>
          <w:tblHeader/>
          <w:jc w:val="center"/>
        </w:trPr>
        <w:tc>
          <w:tcPr>
            <w:tcW w:w="651" w:type="dxa"/>
            <w:gridSpan w:val="3"/>
            <w:tcMar>
              <w:left w:w="28" w:type="dxa"/>
              <w:right w:w="28" w:type="dxa"/>
            </w:tcMar>
          </w:tcPr>
          <w:p w14:paraId="4A2A991C" w14:textId="77777777" w:rsidR="00501E78" w:rsidRPr="00921C9B" w:rsidRDefault="00501E78" w:rsidP="00501E78">
            <w:pPr>
              <w:keepNext/>
              <w:widowControl/>
              <w:spacing w:before="40" w:after="40"/>
              <w:jc w:val="both"/>
              <w:rPr>
                <w:rFonts w:eastAsia="Calibri"/>
                <w:noProof/>
                <w:sz w:val="22"/>
                <w:szCs w:val="22"/>
                <w:lang w:eastAsia="en-US"/>
              </w:rPr>
            </w:pPr>
            <w:r w:rsidRPr="00921C9B">
              <w:rPr>
                <w:rFonts w:eastAsia="Calibri"/>
                <w:noProof/>
                <w:sz w:val="22"/>
                <w:szCs w:val="22"/>
                <w:lang w:eastAsia="en-US"/>
              </w:rPr>
              <w:t>(25)</w:t>
            </w:r>
          </w:p>
        </w:tc>
        <w:tc>
          <w:tcPr>
            <w:tcW w:w="2286" w:type="dxa"/>
            <w:gridSpan w:val="3"/>
            <w:tcMar>
              <w:left w:w="28" w:type="dxa"/>
              <w:right w:w="28" w:type="dxa"/>
            </w:tcMar>
          </w:tcPr>
          <w:p w14:paraId="5F409E3D"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Октилфеноли (</w:t>
            </w:r>
            <w:r w:rsidRPr="00921C9B">
              <w:rPr>
                <w:rFonts w:eastAsia="Calibri"/>
                <w:noProof/>
                <w:sz w:val="22"/>
                <w:szCs w:val="22"/>
                <w:vertAlign w:val="superscript"/>
                <w:lang w:eastAsia="en-US"/>
              </w:rPr>
              <w:t>15</w:t>
            </w:r>
            <w:r w:rsidRPr="00921C9B">
              <w:rPr>
                <w:rFonts w:eastAsia="Calibri"/>
                <w:noProof/>
                <w:sz w:val="22"/>
                <w:szCs w:val="22"/>
                <w:lang w:eastAsia="en-US"/>
              </w:rPr>
              <w:t xml:space="preserve">) </w:t>
            </w:r>
            <w:r w:rsidRPr="00921C9B">
              <w:rPr>
                <w:rFonts w:eastAsia="Calibri"/>
                <w:noProof/>
                <w:szCs w:val="22"/>
                <w:lang w:eastAsia="en-US"/>
              </w:rPr>
              <w:t xml:space="preserve"> </w:t>
            </w:r>
            <w:r w:rsidRPr="00921C9B">
              <w:rPr>
                <w:rFonts w:eastAsia="Calibri"/>
                <w:noProof/>
                <w:szCs w:val="22"/>
                <w:lang w:eastAsia="en-US"/>
              </w:rPr>
              <w:cr/>
            </w:r>
            <w:r w:rsidRPr="00921C9B">
              <w:rPr>
                <w:rFonts w:eastAsia="Calibri"/>
                <w:noProof/>
                <w:szCs w:val="22"/>
                <w:lang w:eastAsia="en-US"/>
              </w:rPr>
              <w:br/>
            </w:r>
            <w:r w:rsidRPr="00921C9B">
              <w:rPr>
                <w:rFonts w:eastAsia="Calibri"/>
                <w:noProof/>
                <w:sz w:val="22"/>
                <w:szCs w:val="22"/>
                <w:lang w:eastAsia="en-US"/>
              </w:rPr>
              <w:t>((4-(1,1',3,3'-тетраметилбутил)-фенол))</w:t>
            </w:r>
          </w:p>
        </w:tc>
        <w:tc>
          <w:tcPr>
            <w:tcW w:w="1329" w:type="dxa"/>
            <w:gridSpan w:val="3"/>
            <w:tcMar>
              <w:left w:w="28" w:type="dxa"/>
              <w:right w:w="28" w:type="dxa"/>
            </w:tcMar>
          </w:tcPr>
          <w:p w14:paraId="4D03668C"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tcMar>
              <w:left w:w="28" w:type="dxa"/>
              <w:right w:w="28" w:type="dxa"/>
            </w:tcMar>
          </w:tcPr>
          <w:p w14:paraId="1681E147"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140-66-9</w:t>
            </w:r>
          </w:p>
        </w:tc>
        <w:tc>
          <w:tcPr>
            <w:tcW w:w="1134" w:type="dxa"/>
          </w:tcPr>
          <w:p w14:paraId="0FAC2129"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205-426-2</w:t>
            </w:r>
          </w:p>
        </w:tc>
        <w:tc>
          <w:tcPr>
            <w:tcW w:w="1279" w:type="dxa"/>
            <w:gridSpan w:val="2"/>
            <w:tcMar>
              <w:left w:w="28" w:type="dxa"/>
              <w:right w:w="28" w:type="dxa"/>
            </w:tcMar>
          </w:tcPr>
          <w:p w14:paraId="5980D67E"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0,1</w:t>
            </w:r>
          </w:p>
        </w:tc>
        <w:tc>
          <w:tcPr>
            <w:tcW w:w="1279" w:type="dxa"/>
            <w:gridSpan w:val="2"/>
            <w:tcMar>
              <w:left w:w="28" w:type="dxa"/>
              <w:right w:w="28" w:type="dxa"/>
            </w:tcMar>
          </w:tcPr>
          <w:p w14:paraId="3EB18D3E"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0,01</w:t>
            </w:r>
          </w:p>
        </w:tc>
        <w:tc>
          <w:tcPr>
            <w:tcW w:w="1278" w:type="dxa"/>
            <w:gridSpan w:val="2"/>
            <w:tcMar>
              <w:left w:w="28" w:type="dxa"/>
              <w:right w:w="28" w:type="dxa"/>
            </w:tcMar>
          </w:tcPr>
          <w:p w14:paraId="3C846BD3"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tcMar>
              <w:left w:w="28" w:type="dxa"/>
              <w:right w:w="28" w:type="dxa"/>
            </w:tcMar>
          </w:tcPr>
          <w:p w14:paraId="3F29517F"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tcMar>
              <w:left w:w="28" w:type="dxa"/>
              <w:right w:w="28" w:type="dxa"/>
            </w:tcMar>
          </w:tcPr>
          <w:p w14:paraId="2F2858CB" w14:textId="77777777" w:rsidR="00501E78" w:rsidRPr="00921C9B" w:rsidRDefault="00501E78" w:rsidP="00501E78">
            <w:pPr>
              <w:keepNext/>
              <w:widowControl/>
              <w:spacing w:before="40" w:after="40"/>
              <w:rPr>
                <w:rFonts w:eastAsia="Calibri"/>
                <w:noProof/>
                <w:sz w:val="22"/>
                <w:szCs w:val="22"/>
                <w:lang w:eastAsia="en-US"/>
              </w:rPr>
            </w:pPr>
          </w:p>
        </w:tc>
        <w:tc>
          <w:tcPr>
            <w:tcW w:w="1262" w:type="dxa"/>
            <w:tcMar>
              <w:left w:w="28" w:type="dxa"/>
              <w:right w:w="28" w:type="dxa"/>
            </w:tcMar>
          </w:tcPr>
          <w:p w14:paraId="39E32D8D"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5B5750D7" w14:textId="77777777" w:rsidR="00501E78" w:rsidRPr="00921C9B" w:rsidRDefault="00501E78" w:rsidP="00501E78">
            <w:pPr>
              <w:keepNext/>
              <w:widowControl/>
              <w:spacing w:before="40" w:after="40"/>
              <w:rPr>
                <w:rFonts w:eastAsia="Calibri"/>
                <w:noProof/>
                <w:sz w:val="22"/>
                <w:szCs w:val="22"/>
                <w:lang w:eastAsia="en-US"/>
              </w:rPr>
            </w:pPr>
          </w:p>
        </w:tc>
        <w:tc>
          <w:tcPr>
            <w:tcW w:w="970" w:type="dxa"/>
            <w:tcMar>
              <w:left w:w="28" w:type="dxa"/>
              <w:right w:w="28" w:type="dxa"/>
            </w:tcMar>
          </w:tcPr>
          <w:p w14:paraId="3FC5210C" w14:textId="77777777" w:rsidR="00501E78" w:rsidRPr="00921C9B" w:rsidRDefault="00501E78" w:rsidP="00501E78">
            <w:pPr>
              <w:keepNext/>
              <w:widowControl/>
              <w:spacing w:before="40" w:after="40"/>
              <w:rPr>
                <w:rFonts w:eastAsia="Calibri"/>
                <w:noProof/>
                <w:sz w:val="22"/>
                <w:szCs w:val="22"/>
                <w:lang w:eastAsia="en-US"/>
              </w:rPr>
            </w:pPr>
          </w:p>
        </w:tc>
      </w:tr>
      <w:tr w:rsidR="00501E78" w:rsidRPr="00921C9B" w14:paraId="7CDD29ED" w14:textId="77777777" w:rsidTr="004C279A">
        <w:trPr>
          <w:gridBefore w:val="1"/>
          <w:wBefore w:w="12" w:type="dxa"/>
          <w:cantSplit/>
          <w:tblHeader/>
          <w:jc w:val="center"/>
        </w:trPr>
        <w:tc>
          <w:tcPr>
            <w:tcW w:w="651" w:type="dxa"/>
            <w:gridSpan w:val="3"/>
            <w:tcMar>
              <w:left w:w="28" w:type="dxa"/>
              <w:right w:w="28" w:type="dxa"/>
            </w:tcMar>
          </w:tcPr>
          <w:p w14:paraId="53ECE731"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(26)</w:t>
            </w:r>
          </w:p>
        </w:tc>
        <w:tc>
          <w:tcPr>
            <w:tcW w:w="2286" w:type="dxa"/>
            <w:gridSpan w:val="3"/>
            <w:tcMar>
              <w:left w:w="28" w:type="dxa"/>
              <w:right w:w="28" w:type="dxa"/>
            </w:tcMar>
          </w:tcPr>
          <w:p w14:paraId="426E32E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Пентахлоробензен</w:t>
            </w:r>
          </w:p>
        </w:tc>
        <w:tc>
          <w:tcPr>
            <w:tcW w:w="1329" w:type="dxa"/>
            <w:gridSpan w:val="3"/>
            <w:tcMar>
              <w:left w:w="28" w:type="dxa"/>
              <w:right w:w="28" w:type="dxa"/>
            </w:tcMar>
          </w:tcPr>
          <w:p w14:paraId="18A34AD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tcMar>
              <w:left w:w="28" w:type="dxa"/>
              <w:right w:w="28" w:type="dxa"/>
            </w:tcMar>
          </w:tcPr>
          <w:p w14:paraId="4B7AF72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608-93-5</w:t>
            </w:r>
          </w:p>
        </w:tc>
        <w:tc>
          <w:tcPr>
            <w:tcW w:w="1134" w:type="dxa"/>
          </w:tcPr>
          <w:p w14:paraId="4768F70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210-172-0</w:t>
            </w:r>
          </w:p>
        </w:tc>
        <w:tc>
          <w:tcPr>
            <w:tcW w:w="1279" w:type="dxa"/>
            <w:gridSpan w:val="2"/>
            <w:tcMar>
              <w:left w:w="28" w:type="dxa"/>
              <w:right w:w="28" w:type="dxa"/>
            </w:tcMar>
          </w:tcPr>
          <w:p w14:paraId="20D9892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0,007</w:t>
            </w:r>
          </w:p>
        </w:tc>
        <w:tc>
          <w:tcPr>
            <w:tcW w:w="1279" w:type="dxa"/>
            <w:gridSpan w:val="2"/>
            <w:tcMar>
              <w:left w:w="28" w:type="dxa"/>
              <w:right w:w="28" w:type="dxa"/>
            </w:tcMar>
          </w:tcPr>
          <w:p w14:paraId="5470880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0,0007</w:t>
            </w:r>
          </w:p>
        </w:tc>
        <w:tc>
          <w:tcPr>
            <w:tcW w:w="1278" w:type="dxa"/>
            <w:gridSpan w:val="2"/>
            <w:tcMar>
              <w:left w:w="28" w:type="dxa"/>
              <w:right w:w="28" w:type="dxa"/>
            </w:tcMar>
          </w:tcPr>
          <w:p w14:paraId="7C20022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tcMar>
              <w:left w:w="28" w:type="dxa"/>
              <w:right w:w="28" w:type="dxa"/>
            </w:tcMar>
          </w:tcPr>
          <w:p w14:paraId="72FEC10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tcMar>
              <w:left w:w="28" w:type="dxa"/>
              <w:right w:w="28" w:type="dxa"/>
            </w:tcMar>
          </w:tcPr>
          <w:p w14:paraId="323FC199"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52F2C9E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473842B0"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5463346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033AA52F" w14:textId="77777777" w:rsidTr="004C279A">
        <w:trPr>
          <w:gridBefore w:val="1"/>
          <w:wBefore w:w="12" w:type="dxa"/>
          <w:cantSplit/>
          <w:tblHeader/>
          <w:jc w:val="center"/>
        </w:trPr>
        <w:tc>
          <w:tcPr>
            <w:tcW w:w="651" w:type="dxa"/>
            <w:gridSpan w:val="3"/>
            <w:tcMar>
              <w:left w:w="28" w:type="dxa"/>
              <w:right w:w="28" w:type="dxa"/>
            </w:tcMar>
          </w:tcPr>
          <w:p w14:paraId="4B9E6E3F"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(27)</w:t>
            </w:r>
          </w:p>
        </w:tc>
        <w:tc>
          <w:tcPr>
            <w:tcW w:w="2286" w:type="dxa"/>
            <w:gridSpan w:val="3"/>
            <w:tcMar>
              <w:left w:w="28" w:type="dxa"/>
              <w:right w:w="28" w:type="dxa"/>
            </w:tcMar>
          </w:tcPr>
          <w:p w14:paraId="17F8383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Пентахлорофенол</w:t>
            </w:r>
          </w:p>
        </w:tc>
        <w:tc>
          <w:tcPr>
            <w:tcW w:w="1329" w:type="dxa"/>
            <w:gridSpan w:val="3"/>
            <w:tcMar>
              <w:left w:w="28" w:type="dxa"/>
              <w:right w:w="28" w:type="dxa"/>
            </w:tcMar>
          </w:tcPr>
          <w:p w14:paraId="28903FF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Органохлорни пестициди</w:t>
            </w:r>
          </w:p>
        </w:tc>
        <w:tc>
          <w:tcPr>
            <w:tcW w:w="992" w:type="dxa"/>
            <w:gridSpan w:val="2"/>
            <w:tcMar>
              <w:left w:w="28" w:type="dxa"/>
              <w:right w:w="28" w:type="dxa"/>
            </w:tcMar>
          </w:tcPr>
          <w:p w14:paraId="40F3896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87-86-5</w:t>
            </w:r>
          </w:p>
        </w:tc>
        <w:tc>
          <w:tcPr>
            <w:tcW w:w="1134" w:type="dxa"/>
          </w:tcPr>
          <w:p w14:paraId="59EA181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201-778-6</w:t>
            </w:r>
          </w:p>
        </w:tc>
        <w:tc>
          <w:tcPr>
            <w:tcW w:w="1279" w:type="dxa"/>
            <w:gridSpan w:val="2"/>
            <w:tcMar>
              <w:left w:w="28" w:type="dxa"/>
              <w:right w:w="28" w:type="dxa"/>
            </w:tcMar>
          </w:tcPr>
          <w:p w14:paraId="04AC147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0,4</w:t>
            </w:r>
          </w:p>
        </w:tc>
        <w:tc>
          <w:tcPr>
            <w:tcW w:w="1279" w:type="dxa"/>
            <w:gridSpan w:val="2"/>
            <w:tcMar>
              <w:left w:w="28" w:type="dxa"/>
              <w:right w:w="28" w:type="dxa"/>
            </w:tcMar>
          </w:tcPr>
          <w:p w14:paraId="589AADD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0,4</w:t>
            </w:r>
          </w:p>
        </w:tc>
        <w:tc>
          <w:tcPr>
            <w:tcW w:w="1278" w:type="dxa"/>
            <w:gridSpan w:val="2"/>
            <w:tcMar>
              <w:left w:w="28" w:type="dxa"/>
              <w:right w:w="28" w:type="dxa"/>
            </w:tcMar>
          </w:tcPr>
          <w:p w14:paraId="410CE8C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w:t>
            </w:r>
          </w:p>
        </w:tc>
        <w:tc>
          <w:tcPr>
            <w:tcW w:w="1277" w:type="dxa"/>
            <w:gridSpan w:val="2"/>
            <w:tcMar>
              <w:left w:w="28" w:type="dxa"/>
              <w:right w:w="28" w:type="dxa"/>
            </w:tcMar>
          </w:tcPr>
          <w:p w14:paraId="274BE16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w:t>
            </w:r>
          </w:p>
        </w:tc>
        <w:tc>
          <w:tcPr>
            <w:tcW w:w="1136" w:type="dxa"/>
            <w:gridSpan w:val="2"/>
            <w:tcMar>
              <w:left w:w="28" w:type="dxa"/>
              <w:right w:w="28" w:type="dxa"/>
            </w:tcMar>
          </w:tcPr>
          <w:p w14:paraId="25141473"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0E61514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4678C26D"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21C7A611"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4E21A97A" w14:textId="77777777" w:rsidTr="004C279A">
        <w:trPr>
          <w:gridBefore w:val="1"/>
          <w:wBefore w:w="12" w:type="dxa"/>
          <w:cantSplit/>
          <w:tblHeader/>
          <w:jc w:val="center"/>
        </w:trPr>
        <w:tc>
          <w:tcPr>
            <w:tcW w:w="651" w:type="dxa"/>
            <w:gridSpan w:val="3"/>
            <w:tcMar>
              <w:left w:w="28" w:type="dxa"/>
              <w:right w:w="28" w:type="dxa"/>
            </w:tcMar>
          </w:tcPr>
          <w:p w14:paraId="7BDFA8BA"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lastRenderedPageBreak/>
              <w:t>(28)</w:t>
            </w:r>
          </w:p>
        </w:tc>
        <w:tc>
          <w:tcPr>
            <w:tcW w:w="2286" w:type="dxa"/>
            <w:gridSpan w:val="3"/>
            <w:tcMar>
              <w:left w:w="28" w:type="dxa"/>
              <w:right w:w="28" w:type="dxa"/>
            </w:tcMar>
          </w:tcPr>
          <w:p w14:paraId="4E58F1A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Многопръстенни ароматни въглеводороди (PAH) (</w:t>
            </w:r>
            <w:r w:rsidRPr="00921C9B">
              <w:rPr>
                <w:rFonts w:eastAsia="Calibri"/>
                <w:noProof/>
                <w:sz w:val="22"/>
                <w:szCs w:val="22"/>
                <w:vertAlign w:val="superscript"/>
                <w:lang w:eastAsia="en-US"/>
              </w:rPr>
              <w:t>16</w:t>
            </w:r>
            <w:r w:rsidRPr="00921C9B">
              <w:rPr>
                <w:rFonts w:eastAsia="Calibri"/>
                <w:noProof/>
                <w:sz w:val="22"/>
                <w:szCs w:val="22"/>
                <w:lang w:eastAsia="en-US"/>
              </w:rPr>
              <w:t>)</w:t>
            </w:r>
          </w:p>
        </w:tc>
        <w:tc>
          <w:tcPr>
            <w:tcW w:w="1329" w:type="dxa"/>
            <w:gridSpan w:val="3"/>
            <w:tcMar>
              <w:left w:w="28" w:type="dxa"/>
              <w:right w:w="28" w:type="dxa"/>
            </w:tcMar>
          </w:tcPr>
          <w:p w14:paraId="453BEE8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Продукти на горенето</w:t>
            </w:r>
          </w:p>
        </w:tc>
        <w:tc>
          <w:tcPr>
            <w:tcW w:w="992" w:type="dxa"/>
            <w:gridSpan w:val="2"/>
            <w:tcMar>
              <w:left w:w="28" w:type="dxa"/>
              <w:right w:w="28" w:type="dxa"/>
            </w:tcMar>
          </w:tcPr>
          <w:p w14:paraId="273AC73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4" w:type="dxa"/>
          </w:tcPr>
          <w:p w14:paraId="14F8C9A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9" w:type="dxa"/>
            <w:gridSpan w:val="2"/>
            <w:tcMar>
              <w:left w:w="28" w:type="dxa"/>
              <w:right w:w="28" w:type="dxa"/>
            </w:tcMar>
          </w:tcPr>
          <w:p w14:paraId="275D6C4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9" w:type="dxa"/>
            <w:gridSpan w:val="2"/>
            <w:tcMar>
              <w:left w:w="28" w:type="dxa"/>
              <w:right w:w="28" w:type="dxa"/>
            </w:tcMar>
          </w:tcPr>
          <w:p w14:paraId="4610B53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8" w:type="dxa"/>
            <w:gridSpan w:val="2"/>
            <w:tcMar>
              <w:left w:w="28" w:type="dxa"/>
              <w:right w:w="28" w:type="dxa"/>
            </w:tcMar>
          </w:tcPr>
          <w:p w14:paraId="0A05DB4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tcMar>
              <w:left w:w="28" w:type="dxa"/>
              <w:right w:w="28" w:type="dxa"/>
            </w:tcMar>
          </w:tcPr>
          <w:p w14:paraId="1DB8E3E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tcMar>
              <w:left w:w="28" w:type="dxa"/>
              <w:right w:w="28" w:type="dxa"/>
            </w:tcMar>
          </w:tcPr>
          <w:p w14:paraId="590C74A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Сбор на еквивалентите на бензо(а)пирен [0,6]</w:t>
            </w:r>
            <w:r w:rsidRPr="00921C9B">
              <w:rPr>
                <w:rFonts w:eastAsia="Calibri"/>
                <w:noProof/>
                <w:sz w:val="22"/>
                <w:szCs w:val="22"/>
                <w:vertAlign w:val="superscript"/>
                <w:lang w:eastAsia="en-US"/>
              </w:rPr>
              <w:t> </w:t>
            </w:r>
            <w:r w:rsidRPr="00921C9B">
              <w:rPr>
                <w:rFonts w:eastAsia="Calibri"/>
                <w:noProof/>
                <w:sz w:val="22"/>
                <w:szCs w:val="22"/>
                <w:lang w:eastAsia="en-US"/>
              </w:rPr>
              <w:t>(</w:t>
            </w:r>
            <w:r w:rsidRPr="00921C9B">
              <w:rPr>
                <w:rFonts w:eastAsia="Calibri"/>
                <w:noProof/>
                <w:sz w:val="22"/>
                <w:szCs w:val="22"/>
                <w:vertAlign w:val="superscript"/>
                <w:lang w:eastAsia="en-US"/>
              </w:rPr>
              <w:t>17</w:t>
            </w:r>
            <w:r w:rsidRPr="00921C9B">
              <w:rPr>
                <w:rFonts w:eastAsia="Calibri"/>
                <w:noProof/>
                <w:sz w:val="22"/>
                <w:szCs w:val="22"/>
                <w:lang w:eastAsia="en-US"/>
              </w:rPr>
              <w:t>)</w:t>
            </w:r>
          </w:p>
        </w:tc>
        <w:tc>
          <w:tcPr>
            <w:tcW w:w="1262" w:type="dxa"/>
            <w:tcMar>
              <w:left w:w="28" w:type="dxa"/>
              <w:right w:w="28" w:type="dxa"/>
            </w:tcMar>
          </w:tcPr>
          <w:p w14:paraId="4DE4130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X </w:t>
            </w:r>
          </w:p>
        </w:tc>
        <w:tc>
          <w:tcPr>
            <w:tcW w:w="1153" w:type="dxa"/>
            <w:gridSpan w:val="2"/>
            <w:tcMar>
              <w:left w:w="28" w:type="dxa"/>
              <w:right w:w="28" w:type="dxa"/>
            </w:tcMar>
          </w:tcPr>
          <w:p w14:paraId="41BB67C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970" w:type="dxa"/>
            <w:tcMar>
              <w:left w:w="28" w:type="dxa"/>
              <w:right w:w="28" w:type="dxa"/>
            </w:tcMar>
          </w:tcPr>
          <w:p w14:paraId="4D8A4FB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5ED38B0E" w14:textId="77777777" w:rsidTr="004C279A">
        <w:trPr>
          <w:gridBefore w:val="1"/>
          <w:wBefore w:w="12" w:type="dxa"/>
          <w:cantSplit/>
          <w:tblHeader/>
          <w:jc w:val="center"/>
        </w:trPr>
        <w:tc>
          <w:tcPr>
            <w:tcW w:w="651" w:type="dxa"/>
            <w:gridSpan w:val="3"/>
            <w:vMerge w:val="restart"/>
            <w:tcMar>
              <w:left w:w="28" w:type="dxa"/>
              <w:right w:w="28" w:type="dxa"/>
            </w:tcMar>
          </w:tcPr>
          <w:p w14:paraId="7C6F806A" w14:textId="77777777" w:rsidR="00501E78" w:rsidRPr="00921C9B" w:rsidRDefault="00501E78" w:rsidP="00501E78">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5C9E4D3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Бензо(a)пирен</w:t>
            </w:r>
          </w:p>
        </w:tc>
        <w:tc>
          <w:tcPr>
            <w:tcW w:w="1329" w:type="dxa"/>
            <w:gridSpan w:val="3"/>
            <w:tcMar>
              <w:left w:w="28" w:type="dxa"/>
              <w:right w:w="28" w:type="dxa"/>
            </w:tcMar>
          </w:tcPr>
          <w:p w14:paraId="4004B6E8" w14:textId="77777777" w:rsidR="00501E78" w:rsidRPr="00921C9B" w:rsidRDefault="00501E78" w:rsidP="00501E78">
            <w:pPr>
              <w:widowControl/>
              <w:spacing w:before="40" w:after="40"/>
              <w:rPr>
                <w:rFonts w:eastAsia="Calibri"/>
                <w:noProof/>
                <w:sz w:val="22"/>
                <w:szCs w:val="22"/>
                <w:lang w:eastAsia="en-US"/>
              </w:rPr>
            </w:pPr>
          </w:p>
        </w:tc>
        <w:tc>
          <w:tcPr>
            <w:tcW w:w="992" w:type="dxa"/>
            <w:gridSpan w:val="2"/>
            <w:tcMar>
              <w:left w:w="28" w:type="dxa"/>
              <w:right w:w="28" w:type="dxa"/>
            </w:tcMar>
          </w:tcPr>
          <w:p w14:paraId="0FE9B52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50-32-8</w:t>
            </w:r>
          </w:p>
        </w:tc>
        <w:tc>
          <w:tcPr>
            <w:tcW w:w="1134" w:type="dxa"/>
            <w:shd w:val="clear" w:color="auto" w:fill="auto"/>
          </w:tcPr>
          <w:p w14:paraId="13D76EF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200-028-5</w:t>
            </w:r>
          </w:p>
        </w:tc>
        <w:tc>
          <w:tcPr>
            <w:tcW w:w="1279" w:type="dxa"/>
            <w:gridSpan w:val="2"/>
            <w:shd w:val="clear" w:color="auto" w:fill="auto"/>
            <w:tcMar>
              <w:left w:w="28" w:type="dxa"/>
              <w:right w:w="28" w:type="dxa"/>
            </w:tcMar>
          </w:tcPr>
          <w:p w14:paraId="4AC8AC62" w14:textId="77777777" w:rsidR="00501E78" w:rsidRPr="00921C9B" w:rsidRDefault="00501E78" w:rsidP="00501E78">
            <w:pPr>
              <w:widowControl/>
              <w:spacing w:before="40" w:after="40"/>
              <w:rPr>
                <w:rFonts w:eastAsia="Calibri"/>
                <w:noProof/>
                <w:sz w:val="22"/>
                <w:szCs w:val="22"/>
                <w:vertAlign w:val="superscript"/>
                <w:lang w:eastAsia="en-US"/>
              </w:rPr>
            </w:pPr>
          </w:p>
        </w:tc>
        <w:tc>
          <w:tcPr>
            <w:tcW w:w="1279" w:type="dxa"/>
            <w:gridSpan w:val="2"/>
            <w:shd w:val="clear" w:color="auto" w:fill="auto"/>
            <w:tcMar>
              <w:left w:w="28" w:type="dxa"/>
              <w:right w:w="28" w:type="dxa"/>
            </w:tcMar>
          </w:tcPr>
          <w:p w14:paraId="0F89FD5A" w14:textId="77777777" w:rsidR="00501E78" w:rsidRPr="00921C9B" w:rsidRDefault="00501E78" w:rsidP="00501E78">
            <w:pPr>
              <w:widowControl/>
              <w:spacing w:before="40" w:after="40"/>
              <w:rPr>
                <w:rFonts w:eastAsia="Calibri"/>
                <w:noProof/>
                <w:sz w:val="22"/>
                <w:szCs w:val="22"/>
                <w:lang w:eastAsia="en-US"/>
              </w:rPr>
            </w:pPr>
          </w:p>
        </w:tc>
        <w:tc>
          <w:tcPr>
            <w:tcW w:w="1278" w:type="dxa"/>
            <w:gridSpan w:val="2"/>
            <w:tcMar>
              <w:left w:w="28" w:type="dxa"/>
              <w:right w:w="28" w:type="dxa"/>
            </w:tcMar>
          </w:tcPr>
          <w:p w14:paraId="3BC91FB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0,27</w:t>
            </w:r>
          </w:p>
        </w:tc>
        <w:tc>
          <w:tcPr>
            <w:tcW w:w="1277" w:type="dxa"/>
            <w:gridSpan w:val="2"/>
            <w:tcMar>
              <w:left w:w="28" w:type="dxa"/>
              <w:right w:w="28" w:type="dxa"/>
            </w:tcMar>
          </w:tcPr>
          <w:p w14:paraId="2DD1936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0,027</w:t>
            </w:r>
          </w:p>
        </w:tc>
        <w:tc>
          <w:tcPr>
            <w:tcW w:w="1136" w:type="dxa"/>
            <w:gridSpan w:val="2"/>
            <w:tcMar>
              <w:left w:w="28" w:type="dxa"/>
              <w:right w:w="28" w:type="dxa"/>
            </w:tcMar>
          </w:tcPr>
          <w:p w14:paraId="5C10C8E8" w14:textId="77777777" w:rsidR="00501E78" w:rsidRPr="00921C9B" w:rsidRDefault="00501E78" w:rsidP="00501E78">
            <w:pPr>
              <w:widowControl/>
              <w:spacing w:before="40" w:after="40"/>
              <w:rPr>
                <w:rFonts w:eastAsia="Calibri"/>
                <w:b/>
                <w:i/>
                <w:noProof/>
                <w:sz w:val="22"/>
                <w:szCs w:val="22"/>
                <w:lang w:eastAsia="en-US"/>
              </w:rPr>
            </w:pPr>
            <w:bookmarkStart w:id="26" w:name="_DV_C335"/>
            <w:r w:rsidRPr="00921C9B">
              <w:rPr>
                <w:rFonts w:eastAsia="Calibri"/>
                <w:noProof/>
                <w:sz w:val="22"/>
                <w:szCs w:val="22"/>
                <w:lang w:eastAsia="en-US"/>
              </w:rPr>
              <w:t>[0,6</w:t>
            </w:r>
            <w:bookmarkEnd w:id="26"/>
            <w:r w:rsidRPr="00921C9B">
              <w:rPr>
                <w:rFonts w:eastAsia="Calibri"/>
                <w:noProof/>
                <w:sz w:val="22"/>
                <w:szCs w:val="22"/>
                <w:lang w:eastAsia="en-US"/>
              </w:rPr>
              <w:t>]</w:t>
            </w:r>
          </w:p>
        </w:tc>
        <w:tc>
          <w:tcPr>
            <w:tcW w:w="1262" w:type="dxa"/>
            <w:tcMar>
              <w:left w:w="28" w:type="dxa"/>
              <w:right w:w="28" w:type="dxa"/>
            </w:tcMar>
          </w:tcPr>
          <w:p w14:paraId="0AF85B1B"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74CBC0B8" w14:textId="77777777" w:rsidR="00501E78" w:rsidRPr="00921C9B" w:rsidRDefault="00501E78" w:rsidP="00501E78">
            <w:pPr>
              <w:widowControl/>
              <w:spacing w:before="40" w:after="40"/>
              <w:rPr>
                <w:rFonts w:eastAsia="Calibri"/>
                <w:strike/>
                <w:noProof/>
                <w:sz w:val="22"/>
                <w:szCs w:val="22"/>
                <w:lang w:eastAsia="en-US"/>
              </w:rPr>
            </w:pPr>
          </w:p>
        </w:tc>
        <w:tc>
          <w:tcPr>
            <w:tcW w:w="970" w:type="dxa"/>
            <w:tcMar>
              <w:left w:w="28" w:type="dxa"/>
              <w:right w:w="28" w:type="dxa"/>
            </w:tcMar>
          </w:tcPr>
          <w:p w14:paraId="47AD4F99" w14:textId="77777777" w:rsidR="00501E78" w:rsidRPr="00921C9B" w:rsidRDefault="00501E78" w:rsidP="00501E78">
            <w:pPr>
              <w:widowControl/>
              <w:spacing w:before="40" w:after="40"/>
              <w:rPr>
                <w:rFonts w:eastAsia="Calibri"/>
                <w:strike/>
                <w:noProof/>
                <w:sz w:val="22"/>
                <w:szCs w:val="22"/>
                <w:lang w:eastAsia="en-US"/>
              </w:rPr>
            </w:pPr>
          </w:p>
        </w:tc>
      </w:tr>
      <w:tr w:rsidR="00501E78" w:rsidRPr="00921C9B" w14:paraId="250C57E2" w14:textId="77777777" w:rsidTr="004C279A">
        <w:trPr>
          <w:gridBefore w:val="1"/>
          <w:wBefore w:w="12" w:type="dxa"/>
          <w:cantSplit/>
          <w:tblHeader/>
          <w:jc w:val="center"/>
        </w:trPr>
        <w:tc>
          <w:tcPr>
            <w:tcW w:w="651" w:type="dxa"/>
            <w:gridSpan w:val="3"/>
            <w:vMerge/>
            <w:tcMar>
              <w:left w:w="28" w:type="dxa"/>
              <w:right w:w="28" w:type="dxa"/>
            </w:tcMar>
          </w:tcPr>
          <w:p w14:paraId="748A7631" w14:textId="77777777" w:rsidR="00501E78" w:rsidRPr="00921C9B" w:rsidRDefault="00501E78" w:rsidP="00501E78">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7EE53B6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Бензо(b)флуорантен</w:t>
            </w:r>
          </w:p>
        </w:tc>
        <w:tc>
          <w:tcPr>
            <w:tcW w:w="1329" w:type="dxa"/>
            <w:gridSpan w:val="3"/>
            <w:tcMar>
              <w:left w:w="28" w:type="dxa"/>
              <w:right w:w="28" w:type="dxa"/>
            </w:tcMar>
          </w:tcPr>
          <w:p w14:paraId="3B248CCD" w14:textId="77777777" w:rsidR="00501E78" w:rsidRPr="00921C9B" w:rsidRDefault="00501E78" w:rsidP="00501E78">
            <w:pPr>
              <w:widowControl/>
              <w:spacing w:before="40" w:after="40"/>
              <w:rPr>
                <w:rFonts w:eastAsia="Calibri"/>
                <w:noProof/>
                <w:sz w:val="22"/>
                <w:szCs w:val="22"/>
                <w:lang w:eastAsia="en-US"/>
              </w:rPr>
            </w:pPr>
          </w:p>
        </w:tc>
        <w:tc>
          <w:tcPr>
            <w:tcW w:w="992" w:type="dxa"/>
            <w:gridSpan w:val="2"/>
            <w:tcMar>
              <w:left w:w="28" w:type="dxa"/>
              <w:right w:w="28" w:type="dxa"/>
            </w:tcMar>
          </w:tcPr>
          <w:p w14:paraId="043A58B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205-99-2</w:t>
            </w:r>
          </w:p>
        </w:tc>
        <w:tc>
          <w:tcPr>
            <w:tcW w:w="1134" w:type="dxa"/>
          </w:tcPr>
          <w:p w14:paraId="4D6AE9FB" w14:textId="77777777" w:rsidR="00501E78" w:rsidRPr="00921C9B" w:rsidDel="00BD2DD7"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205-911-9</w:t>
            </w:r>
          </w:p>
        </w:tc>
        <w:tc>
          <w:tcPr>
            <w:tcW w:w="1279" w:type="dxa"/>
            <w:gridSpan w:val="2"/>
            <w:tcMar>
              <w:left w:w="28" w:type="dxa"/>
              <w:right w:w="28" w:type="dxa"/>
            </w:tcMar>
          </w:tcPr>
          <w:p w14:paraId="199F192E" w14:textId="77777777" w:rsidR="00501E78" w:rsidRPr="00921C9B" w:rsidRDefault="00501E78" w:rsidP="00501E78">
            <w:pPr>
              <w:widowControl/>
              <w:spacing w:before="40" w:after="40"/>
              <w:rPr>
                <w:rFonts w:eastAsia="Calibri"/>
                <w:b/>
                <w:i/>
                <w:noProof/>
                <w:sz w:val="22"/>
                <w:szCs w:val="22"/>
                <w:lang w:eastAsia="en-US"/>
              </w:rPr>
            </w:pPr>
          </w:p>
        </w:tc>
        <w:tc>
          <w:tcPr>
            <w:tcW w:w="1279" w:type="dxa"/>
            <w:gridSpan w:val="2"/>
            <w:tcMar>
              <w:left w:w="28" w:type="dxa"/>
              <w:right w:w="28" w:type="dxa"/>
            </w:tcMar>
          </w:tcPr>
          <w:p w14:paraId="0795A8C5" w14:textId="77777777" w:rsidR="00501E78" w:rsidRPr="00921C9B" w:rsidRDefault="00501E78" w:rsidP="00501E78">
            <w:pPr>
              <w:widowControl/>
              <w:spacing w:before="40" w:after="40"/>
              <w:rPr>
                <w:rFonts w:eastAsia="Calibri"/>
                <w:b/>
                <w:i/>
                <w:noProof/>
                <w:sz w:val="22"/>
                <w:szCs w:val="22"/>
                <w:lang w:eastAsia="en-US"/>
              </w:rPr>
            </w:pPr>
          </w:p>
        </w:tc>
        <w:tc>
          <w:tcPr>
            <w:tcW w:w="1278" w:type="dxa"/>
            <w:gridSpan w:val="2"/>
            <w:tcMar>
              <w:left w:w="28" w:type="dxa"/>
              <w:right w:w="28" w:type="dxa"/>
            </w:tcMar>
          </w:tcPr>
          <w:p w14:paraId="137843B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0,017</w:t>
            </w:r>
          </w:p>
        </w:tc>
        <w:tc>
          <w:tcPr>
            <w:tcW w:w="1277" w:type="dxa"/>
            <w:gridSpan w:val="2"/>
            <w:tcMar>
              <w:left w:w="28" w:type="dxa"/>
              <w:right w:w="28" w:type="dxa"/>
            </w:tcMar>
          </w:tcPr>
          <w:p w14:paraId="07CB900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0,017</w:t>
            </w:r>
          </w:p>
        </w:tc>
        <w:tc>
          <w:tcPr>
            <w:tcW w:w="1136" w:type="dxa"/>
            <w:gridSpan w:val="2"/>
            <w:tcMar>
              <w:left w:w="28" w:type="dxa"/>
              <w:right w:w="28" w:type="dxa"/>
            </w:tcMar>
          </w:tcPr>
          <w:p w14:paraId="2760A194" w14:textId="77777777" w:rsidR="00501E78" w:rsidRPr="00921C9B" w:rsidRDefault="00501E78" w:rsidP="00501E78">
            <w:pPr>
              <w:widowControl/>
              <w:spacing w:before="40" w:after="40"/>
              <w:rPr>
                <w:rFonts w:eastAsia="Calibri"/>
                <w:b/>
                <w:noProof/>
                <w:sz w:val="22"/>
                <w:szCs w:val="22"/>
                <w:lang w:eastAsia="en-US"/>
              </w:rPr>
            </w:pPr>
            <w:bookmarkStart w:id="27" w:name="_DV_C338"/>
            <w:r w:rsidRPr="00921C9B">
              <w:rPr>
                <w:rFonts w:eastAsia="Calibri"/>
                <w:noProof/>
                <w:sz w:val="22"/>
                <w:szCs w:val="22"/>
                <w:lang w:eastAsia="en-US"/>
              </w:rPr>
              <w:t>Вж. бележка под линия </w:t>
            </w:r>
            <w:bookmarkEnd w:id="27"/>
            <w:r w:rsidRPr="00921C9B">
              <w:rPr>
                <w:rFonts w:eastAsia="Calibri"/>
                <w:noProof/>
                <w:sz w:val="22"/>
                <w:szCs w:val="22"/>
                <w:lang w:eastAsia="en-US"/>
              </w:rPr>
              <w:t>17</w:t>
            </w:r>
          </w:p>
        </w:tc>
        <w:tc>
          <w:tcPr>
            <w:tcW w:w="1262" w:type="dxa"/>
            <w:tcMar>
              <w:left w:w="28" w:type="dxa"/>
              <w:right w:w="28" w:type="dxa"/>
            </w:tcMar>
          </w:tcPr>
          <w:p w14:paraId="4123601D"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052B1EF7" w14:textId="77777777" w:rsidR="00501E78" w:rsidRPr="00921C9B" w:rsidRDefault="00501E78" w:rsidP="00501E78">
            <w:pPr>
              <w:widowControl/>
              <w:spacing w:before="40" w:after="40"/>
              <w:rPr>
                <w:rFonts w:eastAsia="Calibri"/>
                <w:i/>
                <w:noProof/>
                <w:sz w:val="22"/>
                <w:szCs w:val="22"/>
                <w:lang w:eastAsia="en-US"/>
              </w:rPr>
            </w:pPr>
          </w:p>
        </w:tc>
        <w:tc>
          <w:tcPr>
            <w:tcW w:w="970" w:type="dxa"/>
            <w:tcMar>
              <w:left w:w="28" w:type="dxa"/>
              <w:right w:w="28" w:type="dxa"/>
            </w:tcMar>
          </w:tcPr>
          <w:p w14:paraId="624FA8D1" w14:textId="77777777" w:rsidR="00501E78" w:rsidRPr="00921C9B" w:rsidRDefault="00501E78" w:rsidP="00501E78">
            <w:pPr>
              <w:widowControl/>
              <w:spacing w:before="40" w:after="40"/>
              <w:rPr>
                <w:rFonts w:eastAsia="Calibri"/>
                <w:i/>
                <w:noProof/>
                <w:sz w:val="22"/>
                <w:szCs w:val="22"/>
                <w:lang w:eastAsia="en-US"/>
              </w:rPr>
            </w:pPr>
          </w:p>
        </w:tc>
      </w:tr>
      <w:tr w:rsidR="00501E78" w:rsidRPr="00921C9B" w14:paraId="18CA7E12" w14:textId="77777777" w:rsidTr="004C279A">
        <w:trPr>
          <w:gridBefore w:val="1"/>
          <w:wBefore w:w="12" w:type="dxa"/>
          <w:cantSplit/>
          <w:tblHeader/>
          <w:jc w:val="center"/>
        </w:trPr>
        <w:tc>
          <w:tcPr>
            <w:tcW w:w="651" w:type="dxa"/>
            <w:gridSpan w:val="3"/>
            <w:vMerge/>
            <w:tcMar>
              <w:left w:w="28" w:type="dxa"/>
              <w:right w:w="28" w:type="dxa"/>
            </w:tcMar>
          </w:tcPr>
          <w:p w14:paraId="6594398A" w14:textId="77777777" w:rsidR="00501E78" w:rsidRPr="00921C9B" w:rsidRDefault="00501E78" w:rsidP="00501E78">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0270451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Бензо(k)флуорантен</w:t>
            </w:r>
          </w:p>
        </w:tc>
        <w:tc>
          <w:tcPr>
            <w:tcW w:w="1329" w:type="dxa"/>
            <w:gridSpan w:val="3"/>
            <w:tcMar>
              <w:left w:w="28" w:type="dxa"/>
              <w:right w:w="28" w:type="dxa"/>
            </w:tcMar>
          </w:tcPr>
          <w:p w14:paraId="2816602A" w14:textId="77777777" w:rsidR="00501E78" w:rsidRPr="00921C9B" w:rsidRDefault="00501E78" w:rsidP="00501E78">
            <w:pPr>
              <w:widowControl/>
              <w:spacing w:before="40" w:after="40"/>
              <w:rPr>
                <w:rFonts w:eastAsia="Calibri"/>
                <w:noProof/>
                <w:sz w:val="22"/>
                <w:szCs w:val="22"/>
                <w:lang w:eastAsia="en-US"/>
              </w:rPr>
            </w:pPr>
          </w:p>
        </w:tc>
        <w:tc>
          <w:tcPr>
            <w:tcW w:w="992" w:type="dxa"/>
            <w:gridSpan w:val="2"/>
            <w:tcMar>
              <w:left w:w="28" w:type="dxa"/>
              <w:right w:w="28" w:type="dxa"/>
            </w:tcMar>
          </w:tcPr>
          <w:p w14:paraId="7D73ED9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207-08-9</w:t>
            </w:r>
          </w:p>
        </w:tc>
        <w:tc>
          <w:tcPr>
            <w:tcW w:w="1134" w:type="dxa"/>
          </w:tcPr>
          <w:p w14:paraId="636DE15D" w14:textId="77777777" w:rsidR="00501E78" w:rsidRPr="00921C9B" w:rsidDel="00BD2DD7"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205-916-6</w:t>
            </w:r>
          </w:p>
        </w:tc>
        <w:tc>
          <w:tcPr>
            <w:tcW w:w="1279" w:type="dxa"/>
            <w:gridSpan w:val="2"/>
            <w:tcMar>
              <w:left w:w="28" w:type="dxa"/>
              <w:right w:w="28" w:type="dxa"/>
            </w:tcMar>
          </w:tcPr>
          <w:p w14:paraId="096B9936" w14:textId="77777777" w:rsidR="00501E78" w:rsidRPr="00921C9B" w:rsidRDefault="00501E78" w:rsidP="00501E78">
            <w:pPr>
              <w:widowControl/>
              <w:spacing w:before="40" w:after="40"/>
              <w:rPr>
                <w:rFonts w:eastAsia="Calibri"/>
                <w:b/>
                <w:i/>
                <w:noProof/>
                <w:sz w:val="22"/>
                <w:szCs w:val="22"/>
                <w:lang w:eastAsia="en-US"/>
              </w:rPr>
            </w:pPr>
          </w:p>
        </w:tc>
        <w:tc>
          <w:tcPr>
            <w:tcW w:w="1279" w:type="dxa"/>
            <w:gridSpan w:val="2"/>
            <w:tcMar>
              <w:left w:w="28" w:type="dxa"/>
              <w:right w:w="28" w:type="dxa"/>
            </w:tcMar>
          </w:tcPr>
          <w:p w14:paraId="7FE159B8" w14:textId="77777777" w:rsidR="00501E78" w:rsidRPr="00921C9B" w:rsidRDefault="00501E78" w:rsidP="00501E78">
            <w:pPr>
              <w:widowControl/>
              <w:spacing w:before="40" w:after="40"/>
              <w:rPr>
                <w:rFonts w:eastAsia="Calibri"/>
                <w:b/>
                <w:i/>
                <w:noProof/>
                <w:sz w:val="22"/>
                <w:szCs w:val="22"/>
                <w:lang w:eastAsia="en-US"/>
              </w:rPr>
            </w:pPr>
          </w:p>
        </w:tc>
        <w:tc>
          <w:tcPr>
            <w:tcW w:w="1278" w:type="dxa"/>
            <w:gridSpan w:val="2"/>
            <w:tcMar>
              <w:left w:w="28" w:type="dxa"/>
              <w:right w:w="28" w:type="dxa"/>
            </w:tcMar>
          </w:tcPr>
          <w:p w14:paraId="033BF56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0,017</w:t>
            </w:r>
          </w:p>
        </w:tc>
        <w:tc>
          <w:tcPr>
            <w:tcW w:w="1277" w:type="dxa"/>
            <w:gridSpan w:val="2"/>
            <w:tcMar>
              <w:left w:w="28" w:type="dxa"/>
              <w:right w:w="28" w:type="dxa"/>
            </w:tcMar>
          </w:tcPr>
          <w:p w14:paraId="2E418F1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0,017</w:t>
            </w:r>
          </w:p>
        </w:tc>
        <w:tc>
          <w:tcPr>
            <w:tcW w:w="1136" w:type="dxa"/>
            <w:gridSpan w:val="2"/>
            <w:tcMar>
              <w:left w:w="28" w:type="dxa"/>
              <w:right w:w="28" w:type="dxa"/>
            </w:tcMar>
          </w:tcPr>
          <w:p w14:paraId="241B1AB5" w14:textId="77777777" w:rsidR="00501E78" w:rsidRPr="00921C9B" w:rsidRDefault="00501E78" w:rsidP="00501E78">
            <w:pPr>
              <w:widowControl/>
              <w:spacing w:before="40" w:after="40"/>
              <w:rPr>
                <w:rFonts w:eastAsia="Calibri"/>
                <w:b/>
                <w:noProof/>
                <w:sz w:val="22"/>
                <w:szCs w:val="22"/>
                <w:lang w:eastAsia="en-US"/>
              </w:rPr>
            </w:pPr>
            <w:bookmarkStart w:id="28" w:name="_DV_C341"/>
            <w:r w:rsidRPr="00921C9B">
              <w:rPr>
                <w:rFonts w:eastAsia="Calibri"/>
                <w:noProof/>
                <w:sz w:val="22"/>
                <w:szCs w:val="22"/>
                <w:lang w:eastAsia="en-US"/>
              </w:rPr>
              <w:t>Вж. бележка под линия </w:t>
            </w:r>
            <w:bookmarkEnd w:id="28"/>
            <w:r w:rsidRPr="00921C9B">
              <w:rPr>
                <w:rFonts w:eastAsia="Calibri"/>
                <w:noProof/>
                <w:sz w:val="22"/>
                <w:szCs w:val="22"/>
                <w:lang w:eastAsia="en-US"/>
              </w:rPr>
              <w:t>17</w:t>
            </w:r>
          </w:p>
        </w:tc>
        <w:tc>
          <w:tcPr>
            <w:tcW w:w="1262" w:type="dxa"/>
            <w:tcMar>
              <w:left w:w="28" w:type="dxa"/>
              <w:right w:w="28" w:type="dxa"/>
            </w:tcMar>
          </w:tcPr>
          <w:p w14:paraId="3EDC68D2"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28AE1CAD" w14:textId="77777777" w:rsidR="00501E78" w:rsidRPr="00921C9B" w:rsidRDefault="00501E78" w:rsidP="00501E78">
            <w:pPr>
              <w:widowControl/>
              <w:spacing w:before="40" w:after="40"/>
              <w:rPr>
                <w:rFonts w:eastAsia="Calibri"/>
                <w:i/>
                <w:noProof/>
                <w:sz w:val="22"/>
                <w:szCs w:val="22"/>
                <w:lang w:eastAsia="en-US"/>
              </w:rPr>
            </w:pPr>
          </w:p>
        </w:tc>
        <w:tc>
          <w:tcPr>
            <w:tcW w:w="970" w:type="dxa"/>
            <w:tcMar>
              <w:left w:w="28" w:type="dxa"/>
              <w:right w:w="28" w:type="dxa"/>
            </w:tcMar>
          </w:tcPr>
          <w:p w14:paraId="3A8EF144" w14:textId="77777777" w:rsidR="00501E78" w:rsidRPr="00921C9B" w:rsidRDefault="00501E78" w:rsidP="00501E78">
            <w:pPr>
              <w:widowControl/>
              <w:spacing w:before="40" w:after="40"/>
              <w:rPr>
                <w:rFonts w:eastAsia="Calibri"/>
                <w:i/>
                <w:noProof/>
                <w:sz w:val="22"/>
                <w:szCs w:val="22"/>
                <w:lang w:eastAsia="en-US"/>
              </w:rPr>
            </w:pPr>
          </w:p>
        </w:tc>
      </w:tr>
      <w:tr w:rsidR="00501E78" w:rsidRPr="00921C9B" w14:paraId="7833EA67" w14:textId="77777777" w:rsidTr="004C279A">
        <w:trPr>
          <w:gridBefore w:val="1"/>
          <w:wBefore w:w="12" w:type="dxa"/>
          <w:cantSplit/>
          <w:tblHeader/>
          <w:jc w:val="center"/>
        </w:trPr>
        <w:tc>
          <w:tcPr>
            <w:tcW w:w="651" w:type="dxa"/>
            <w:gridSpan w:val="3"/>
            <w:vMerge/>
            <w:tcMar>
              <w:left w:w="28" w:type="dxa"/>
              <w:right w:w="28" w:type="dxa"/>
            </w:tcMar>
          </w:tcPr>
          <w:p w14:paraId="2B532D24" w14:textId="77777777" w:rsidR="00501E78" w:rsidRPr="00921C9B" w:rsidRDefault="00501E78" w:rsidP="00501E78">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30F7853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Бензо(g,h,i)перилен</w:t>
            </w:r>
          </w:p>
        </w:tc>
        <w:tc>
          <w:tcPr>
            <w:tcW w:w="1329" w:type="dxa"/>
            <w:gridSpan w:val="3"/>
            <w:tcMar>
              <w:left w:w="28" w:type="dxa"/>
              <w:right w:w="28" w:type="dxa"/>
            </w:tcMar>
          </w:tcPr>
          <w:p w14:paraId="22BD4460" w14:textId="77777777" w:rsidR="00501E78" w:rsidRPr="00921C9B" w:rsidRDefault="00501E78" w:rsidP="00501E78">
            <w:pPr>
              <w:widowControl/>
              <w:spacing w:before="40" w:after="40"/>
              <w:rPr>
                <w:rFonts w:eastAsia="Calibri"/>
                <w:noProof/>
                <w:sz w:val="22"/>
                <w:szCs w:val="22"/>
                <w:lang w:eastAsia="en-US"/>
              </w:rPr>
            </w:pPr>
          </w:p>
        </w:tc>
        <w:tc>
          <w:tcPr>
            <w:tcW w:w="992" w:type="dxa"/>
            <w:gridSpan w:val="2"/>
            <w:tcMar>
              <w:left w:w="28" w:type="dxa"/>
              <w:right w:w="28" w:type="dxa"/>
            </w:tcMar>
          </w:tcPr>
          <w:p w14:paraId="51F4EAB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191-24-2</w:t>
            </w:r>
          </w:p>
        </w:tc>
        <w:tc>
          <w:tcPr>
            <w:tcW w:w="1134" w:type="dxa"/>
          </w:tcPr>
          <w:p w14:paraId="3BDD7880" w14:textId="77777777" w:rsidR="00501E78" w:rsidRPr="00921C9B" w:rsidDel="00BD2DD7"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205-883-8</w:t>
            </w:r>
          </w:p>
        </w:tc>
        <w:tc>
          <w:tcPr>
            <w:tcW w:w="1279" w:type="dxa"/>
            <w:gridSpan w:val="2"/>
            <w:tcMar>
              <w:left w:w="28" w:type="dxa"/>
              <w:right w:w="28" w:type="dxa"/>
            </w:tcMar>
          </w:tcPr>
          <w:p w14:paraId="3A64904E" w14:textId="77777777" w:rsidR="00501E78" w:rsidRPr="00921C9B" w:rsidRDefault="00501E78" w:rsidP="00501E78">
            <w:pPr>
              <w:widowControl/>
              <w:spacing w:before="40" w:after="40"/>
              <w:rPr>
                <w:rFonts w:eastAsia="Calibri"/>
                <w:b/>
                <w:i/>
                <w:noProof/>
                <w:sz w:val="22"/>
                <w:szCs w:val="22"/>
                <w:lang w:eastAsia="en-US"/>
              </w:rPr>
            </w:pPr>
          </w:p>
        </w:tc>
        <w:tc>
          <w:tcPr>
            <w:tcW w:w="1279" w:type="dxa"/>
            <w:gridSpan w:val="2"/>
            <w:tcMar>
              <w:left w:w="28" w:type="dxa"/>
              <w:right w:w="28" w:type="dxa"/>
            </w:tcMar>
          </w:tcPr>
          <w:p w14:paraId="3F00D6F4" w14:textId="77777777" w:rsidR="00501E78" w:rsidRPr="00921C9B" w:rsidRDefault="00501E78" w:rsidP="00501E78">
            <w:pPr>
              <w:widowControl/>
              <w:spacing w:before="40" w:after="40"/>
              <w:rPr>
                <w:rFonts w:eastAsia="Calibri"/>
                <w:b/>
                <w:i/>
                <w:noProof/>
                <w:sz w:val="22"/>
                <w:szCs w:val="22"/>
                <w:lang w:eastAsia="en-US"/>
              </w:rPr>
            </w:pPr>
          </w:p>
        </w:tc>
        <w:tc>
          <w:tcPr>
            <w:tcW w:w="1278" w:type="dxa"/>
            <w:gridSpan w:val="2"/>
            <w:tcMar>
              <w:left w:w="28" w:type="dxa"/>
              <w:right w:w="28" w:type="dxa"/>
            </w:tcMar>
          </w:tcPr>
          <w:p w14:paraId="1E432795"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8,2 × 10</w:t>
            </w:r>
            <w:r w:rsidRPr="00921C9B">
              <w:rPr>
                <w:rFonts w:eastAsia="Calibri"/>
                <w:noProof/>
                <w:sz w:val="22"/>
                <w:szCs w:val="22"/>
                <w:vertAlign w:val="superscript"/>
                <w:lang w:eastAsia="en-US"/>
              </w:rPr>
              <w:t>-3</w:t>
            </w:r>
          </w:p>
        </w:tc>
        <w:tc>
          <w:tcPr>
            <w:tcW w:w="1277" w:type="dxa"/>
            <w:gridSpan w:val="2"/>
            <w:tcMar>
              <w:left w:w="28" w:type="dxa"/>
              <w:right w:w="28" w:type="dxa"/>
            </w:tcMar>
          </w:tcPr>
          <w:p w14:paraId="115249E9"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8,2 × 10</w:t>
            </w:r>
            <w:r w:rsidRPr="00921C9B">
              <w:rPr>
                <w:rFonts w:eastAsia="Calibri"/>
                <w:noProof/>
                <w:sz w:val="22"/>
                <w:szCs w:val="22"/>
                <w:vertAlign w:val="superscript"/>
                <w:lang w:eastAsia="en-US"/>
              </w:rPr>
              <w:t>-4</w:t>
            </w:r>
          </w:p>
        </w:tc>
        <w:tc>
          <w:tcPr>
            <w:tcW w:w="1136" w:type="dxa"/>
            <w:gridSpan w:val="2"/>
            <w:tcMar>
              <w:left w:w="28" w:type="dxa"/>
              <w:right w:w="28" w:type="dxa"/>
            </w:tcMar>
          </w:tcPr>
          <w:p w14:paraId="1CEA2DC3" w14:textId="77777777" w:rsidR="00501E78" w:rsidRPr="00921C9B" w:rsidRDefault="00501E78" w:rsidP="00501E78">
            <w:pPr>
              <w:widowControl/>
              <w:spacing w:before="40" w:after="40"/>
              <w:rPr>
                <w:rFonts w:eastAsia="Calibri"/>
                <w:b/>
                <w:noProof/>
                <w:sz w:val="22"/>
                <w:szCs w:val="22"/>
                <w:lang w:eastAsia="en-US"/>
              </w:rPr>
            </w:pPr>
            <w:bookmarkStart w:id="29" w:name="_DV_C344"/>
            <w:r w:rsidRPr="00921C9B">
              <w:rPr>
                <w:rFonts w:eastAsia="Calibri"/>
                <w:noProof/>
                <w:sz w:val="22"/>
                <w:szCs w:val="22"/>
                <w:lang w:eastAsia="en-US"/>
              </w:rPr>
              <w:t>Вж. бележка под линия </w:t>
            </w:r>
            <w:bookmarkEnd w:id="29"/>
            <w:r w:rsidRPr="00921C9B">
              <w:rPr>
                <w:rFonts w:eastAsia="Calibri"/>
                <w:noProof/>
                <w:sz w:val="22"/>
                <w:szCs w:val="22"/>
                <w:lang w:eastAsia="en-US"/>
              </w:rPr>
              <w:t>17</w:t>
            </w:r>
          </w:p>
        </w:tc>
        <w:tc>
          <w:tcPr>
            <w:tcW w:w="1262" w:type="dxa"/>
            <w:tcMar>
              <w:left w:w="28" w:type="dxa"/>
              <w:right w:w="28" w:type="dxa"/>
            </w:tcMar>
          </w:tcPr>
          <w:p w14:paraId="5EEA5B91"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5FC7BFB0" w14:textId="77777777" w:rsidR="00501E78" w:rsidRPr="00921C9B" w:rsidRDefault="00501E78" w:rsidP="00501E78">
            <w:pPr>
              <w:widowControl/>
              <w:spacing w:before="40" w:after="40"/>
              <w:rPr>
                <w:rFonts w:eastAsia="Calibri"/>
                <w:i/>
                <w:noProof/>
                <w:sz w:val="22"/>
                <w:szCs w:val="22"/>
                <w:lang w:eastAsia="en-US"/>
              </w:rPr>
            </w:pPr>
          </w:p>
        </w:tc>
        <w:tc>
          <w:tcPr>
            <w:tcW w:w="970" w:type="dxa"/>
            <w:tcMar>
              <w:left w:w="28" w:type="dxa"/>
              <w:right w:w="28" w:type="dxa"/>
            </w:tcMar>
          </w:tcPr>
          <w:p w14:paraId="0D11A000" w14:textId="77777777" w:rsidR="00501E78" w:rsidRPr="00921C9B" w:rsidRDefault="00501E78" w:rsidP="00501E78">
            <w:pPr>
              <w:widowControl/>
              <w:spacing w:before="40" w:after="40"/>
              <w:rPr>
                <w:rFonts w:eastAsia="Calibri"/>
                <w:i/>
                <w:noProof/>
                <w:sz w:val="22"/>
                <w:szCs w:val="22"/>
                <w:lang w:eastAsia="en-US"/>
              </w:rPr>
            </w:pPr>
          </w:p>
        </w:tc>
      </w:tr>
      <w:tr w:rsidR="00501E78" w:rsidRPr="00921C9B" w14:paraId="668126CC" w14:textId="77777777" w:rsidTr="004C279A">
        <w:trPr>
          <w:gridBefore w:val="1"/>
          <w:wBefore w:w="12" w:type="dxa"/>
          <w:cantSplit/>
          <w:tblHeader/>
          <w:jc w:val="center"/>
        </w:trPr>
        <w:tc>
          <w:tcPr>
            <w:tcW w:w="651" w:type="dxa"/>
            <w:gridSpan w:val="3"/>
            <w:vMerge/>
            <w:tcMar>
              <w:left w:w="28" w:type="dxa"/>
              <w:right w:w="28" w:type="dxa"/>
            </w:tcMar>
          </w:tcPr>
          <w:p w14:paraId="7AB4596A" w14:textId="77777777" w:rsidR="00501E78" w:rsidRPr="00921C9B" w:rsidRDefault="00501E78" w:rsidP="00501E78">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73D73C3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Индено(1,2,3-cd)пирен</w:t>
            </w:r>
          </w:p>
        </w:tc>
        <w:tc>
          <w:tcPr>
            <w:tcW w:w="1329" w:type="dxa"/>
            <w:gridSpan w:val="3"/>
            <w:tcMar>
              <w:left w:w="28" w:type="dxa"/>
              <w:right w:w="28" w:type="dxa"/>
            </w:tcMar>
          </w:tcPr>
          <w:p w14:paraId="232D8B1B" w14:textId="77777777" w:rsidR="00501E78" w:rsidRPr="00921C9B" w:rsidRDefault="00501E78" w:rsidP="00501E78">
            <w:pPr>
              <w:widowControl/>
              <w:spacing w:before="40" w:after="40"/>
              <w:rPr>
                <w:rFonts w:eastAsia="Calibri"/>
                <w:noProof/>
                <w:sz w:val="22"/>
                <w:szCs w:val="22"/>
                <w:lang w:eastAsia="en-US"/>
              </w:rPr>
            </w:pPr>
          </w:p>
        </w:tc>
        <w:tc>
          <w:tcPr>
            <w:tcW w:w="992" w:type="dxa"/>
            <w:gridSpan w:val="2"/>
            <w:tcMar>
              <w:left w:w="28" w:type="dxa"/>
              <w:right w:w="28" w:type="dxa"/>
            </w:tcMar>
          </w:tcPr>
          <w:p w14:paraId="253E5A2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193-39-5</w:t>
            </w:r>
          </w:p>
        </w:tc>
        <w:tc>
          <w:tcPr>
            <w:tcW w:w="1134" w:type="dxa"/>
          </w:tcPr>
          <w:p w14:paraId="64159815" w14:textId="77777777" w:rsidR="00501E78" w:rsidRPr="00921C9B" w:rsidDel="00BD2DD7"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205-893-2</w:t>
            </w:r>
          </w:p>
        </w:tc>
        <w:tc>
          <w:tcPr>
            <w:tcW w:w="1279" w:type="dxa"/>
            <w:gridSpan w:val="2"/>
            <w:tcMar>
              <w:left w:w="28" w:type="dxa"/>
              <w:right w:w="28" w:type="dxa"/>
            </w:tcMar>
          </w:tcPr>
          <w:p w14:paraId="2B783885" w14:textId="77777777" w:rsidR="00501E78" w:rsidRPr="00921C9B" w:rsidRDefault="00501E78" w:rsidP="00501E78">
            <w:pPr>
              <w:widowControl/>
              <w:spacing w:before="40" w:after="40"/>
              <w:rPr>
                <w:rFonts w:eastAsia="Calibri"/>
                <w:b/>
                <w:i/>
                <w:noProof/>
                <w:sz w:val="22"/>
                <w:szCs w:val="22"/>
                <w:lang w:eastAsia="en-US"/>
              </w:rPr>
            </w:pPr>
          </w:p>
        </w:tc>
        <w:tc>
          <w:tcPr>
            <w:tcW w:w="1279" w:type="dxa"/>
            <w:gridSpan w:val="2"/>
            <w:tcMar>
              <w:left w:w="28" w:type="dxa"/>
              <w:right w:w="28" w:type="dxa"/>
            </w:tcMar>
          </w:tcPr>
          <w:p w14:paraId="3E1D0675" w14:textId="77777777" w:rsidR="00501E78" w:rsidRPr="00921C9B" w:rsidRDefault="00501E78" w:rsidP="00501E78">
            <w:pPr>
              <w:widowControl/>
              <w:spacing w:before="40" w:after="40"/>
              <w:rPr>
                <w:rFonts w:eastAsia="Calibri"/>
                <w:b/>
                <w:i/>
                <w:noProof/>
                <w:sz w:val="22"/>
                <w:szCs w:val="22"/>
                <w:lang w:eastAsia="en-US"/>
              </w:rPr>
            </w:pPr>
          </w:p>
        </w:tc>
        <w:tc>
          <w:tcPr>
            <w:tcW w:w="1278" w:type="dxa"/>
            <w:gridSpan w:val="2"/>
            <w:tcMar>
              <w:left w:w="28" w:type="dxa"/>
              <w:right w:w="28" w:type="dxa"/>
            </w:tcMar>
          </w:tcPr>
          <w:p w14:paraId="7A8D7C8F" w14:textId="77777777" w:rsidR="00501E78" w:rsidRPr="00921C9B" w:rsidRDefault="00501E78" w:rsidP="00501E78">
            <w:pPr>
              <w:widowControl/>
              <w:spacing w:before="40" w:after="40"/>
              <w:rPr>
                <w:rFonts w:eastAsia="Calibri"/>
                <w:b/>
                <w:i/>
                <w:noProof/>
                <w:sz w:val="22"/>
                <w:szCs w:val="22"/>
                <w:lang w:eastAsia="en-US"/>
              </w:rPr>
            </w:pPr>
            <w:bookmarkStart w:id="30" w:name="_DV_C347"/>
            <w:r w:rsidRPr="00921C9B">
              <w:rPr>
                <w:rFonts w:eastAsia="Calibri"/>
                <w:noProof/>
                <w:sz w:val="22"/>
                <w:szCs w:val="22"/>
                <w:lang w:eastAsia="en-US"/>
              </w:rPr>
              <w:t>не се прилага</w:t>
            </w:r>
            <w:bookmarkEnd w:id="30"/>
          </w:p>
        </w:tc>
        <w:tc>
          <w:tcPr>
            <w:tcW w:w="1277" w:type="dxa"/>
            <w:gridSpan w:val="2"/>
            <w:tcMar>
              <w:left w:w="28" w:type="dxa"/>
              <w:right w:w="28" w:type="dxa"/>
            </w:tcMar>
          </w:tcPr>
          <w:p w14:paraId="20F073C9" w14:textId="77777777" w:rsidR="00501E78" w:rsidRPr="00921C9B" w:rsidRDefault="00501E78" w:rsidP="00501E78">
            <w:pPr>
              <w:widowControl/>
              <w:spacing w:before="40" w:after="40"/>
              <w:rPr>
                <w:rFonts w:eastAsia="Calibri"/>
                <w:b/>
                <w:i/>
                <w:noProof/>
                <w:sz w:val="22"/>
                <w:szCs w:val="22"/>
                <w:lang w:eastAsia="en-US"/>
              </w:rPr>
            </w:pPr>
            <w:bookmarkStart w:id="31" w:name="_DV_C348"/>
            <w:r w:rsidRPr="00921C9B">
              <w:rPr>
                <w:rFonts w:eastAsia="Calibri"/>
                <w:noProof/>
                <w:sz w:val="22"/>
                <w:szCs w:val="22"/>
                <w:lang w:eastAsia="en-US"/>
              </w:rPr>
              <w:t>не се прилага</w:t>
            </w:r>
            <w:bookmarkEnd w:id="31"/>
          </w:p>
        </w:tc>
        <w:tc>
          <w:tcPr>
            <w:tcW w:w="1136" w:type="dxa"/>
            <w:gridSpan w:val="2"/>
            <w:tcMar>
              <w:left w:w="28" w:type="dxa"/>
              <w:right w:w="28" w:type="dxa"/>
            </w:tcMar>
          </w:tcPr>
          <w:p w14:paraId="4396A6FC" w14:textId="77777777" w:rsidR="00501E78" w:rsidRPr="00921C9B" w:rsidRDefault="00501E78" w:rsidP="00501E78">
            <w:pPr>
              <w:widowControl/>
              <w:spacing w:before="40" w:after="40"/>
              <w:rPr>
                <w:rFonts w:eastAsia="Calibri"/>
                <w:b/>
                <w:noProof/>
                <w:sz w:val="22"/>
                <w:szCs w:val="22"/>
                <w:lang w:eastAsia="en-US"/>
              </w:rPr>
            </w:pPr>
            <w:bookmarkStart w:id="32" w:name="_DV_C349"/>
            <w:r w:rsidRPr="00921C9B">
              <w:rPr>
                <w:rFonts w:eastAsia="Calibri"/>
                <w:noProof/>
                <w:sz w:val="22"/>
                <w:szCs w:val="22"/>
                <w:lang w:eastAsia="en-US"/>
              </w:rPr>
              <w:t>Вж. бележка под линия </w:t>
            </w:r>
            <w:bookmarkEnd w:id="32"/>
            <w:r w:rsidRPr="00921C9B">
              <w:rPr>
                <w:rFonts w:eastAsia="Calibri"/>
                <w:noProof/>
                <w:sz w:val="22"/>
                <w:szCs w:val="22"/>
                <w:lang w:eastAsia="en-US"/>
              </w:rPr>
              <w:t>17</w:t>
            </w:r>
          </w:p>
        </w:tc>
        <w:tc>
          <w:tcPr>
            <w:tcW w:w="1262" w:type="dxa"/>
            <w:tcMar>
              <w:left w:w="28" w:type="dxa"/>
              <w:right w:w="28" w:type="dxa"/>
            </w:tcMar>
          </w:tcPr>
          <w:p w14:paraId="0590D789"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20A948E9" w14:textId="77777777" w:rsidR="00501E78" w:rsidRPr="00921C9B" w:rsidRDefault="00501E78" w:rsidP="00501E78">
            <w:pPr>
              <w:widowControl/>
              <w:spacing w:before="40" w:after="40"/>
              <w:rPr>
                <w:rFonts w:eastAsia="Calibri"/>
                <w:i/>
                <w:noProof/>
                <w:sz w:val="22"/>
                <w:szCs w:val="22"/>
                <w:lang w:eastAsia="en-US"/>
              </w:rPr>
            </w:pPr>
          </w:p>
        </w:tc>
        <w:tc>
          <w:tcPr>
            <w:tcW w:w="970" w:type="dxa"/>
            <w:tcMar>
              <w:left w:w="28" w:type="dxa"/>
              <w:right w:w="28" w:type="dxa"/>
            </w:tcMar>
          </w:tcPr>
          <w:p w14:paraId="195ED795" w14:textId="77777777" w:rsidR="00501E78" w:rsidRPr="00921C9B" w:rsidRDefault="00501E78" w:rsidP="00501E78">
            <w:pPr>
              <w:widowControl/>
              <w:spacing w:before="40" w:after="40"/>
              <w:rPr>
                <w:rFonts w:eastAsia="Calibri"/>
                <w:i/>
                <w:noProof/>
                <w:sz w:val="22"/>
                <w:szCs w:val="22"/>
                <w:lang w:eastAsia="en-US"/>
              </w:rPr>
            </w:pPr>
          </w:p>
        </w:tc>
      </w:tr>
      <w:tr w:rsidR="00501E78" w:rsidRPr="00921C9B" w14:paraId="690C1174" w14:textId="77777777" w:rsidTr="004C279A">
        <w:trPr>
          <w:gridBefore w:val="1"/>
          <w:wBefore w:w="12" w:type="dxa"/>
          <w:cantSplit/>
          <w:tblHeader/>
          <w:jc w:val="center"/>
        </w:trPr>
        <w:tc>
          <w:tcPr>
            <w:tcW w:w="651" w:type="dxa"/>
            <w:gridSpan w:val="3"/>
            <w:vMerge/>
            <w:tcMar>
              <w:left w:w="28" w:type="dxa"/>
              <w:right w:w="28" w:type="dxa"/>
            </w:tcMar>
          </w:tcPr>
          <w:p w14:paraId="03BA5EBE" w14:textId="77777777" w:rsidR="00501E78" w:rsidRPr="00921C9B" w:rsidRDefault="00501E78" w:rsidP="00501E78">
            <w:pPr>
              <w:widowControl/>
              <w:spacing w:before="40" w:after="40"/>
              <w:jc w:val="both"/>
              <w:rPr>
                <w:rFonts w:eastAsia="Calibri"/>
                <w:noProof/>
                <w:sz w:val="22"/>
                <w:szCs w:val="22"/>
                <w:lang w:eastAsia="en-US"/>
              </w:rPr>
            </w:pPr>
            <w:bookmarkStart w:id="33" w:name="_Hlk115700632"/>
          </w:p>
        </w:tc>
        <w:tc>
          <w:tcPr>
            <w:tcW w:w="2286" w:type="dxa"/>
            <w:gridSpan w:val="3"/>
            <w:tcMar>
              <w:left w:w="28" w:type="dxa"/>
              <w:right w:w="28" w:type="dxa"/>
            </w:tcMar>
          </w:tcPr>
          <w:p w14:paraId="1FD1517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Хризен</w:t>
            </w:r>
          </w:p>
        </w:tc>
        <w:tc>
          <w:tcPr>
            <w:tcW w:w="1329" w:type="dxa"/>
            <w:gridSpan w:val="3"/>
            <w:tcMar>
              <w:left w:w="28" w:type="dxa"/>
              <w:right w:w="28" w:type="dxa"/>
            </w:tcMar>
          </w:tcPr>
          <w:p w14:paraId="3C2E8BFC" w14:textId="77777777" w:rsidR="00501E78" w:rsidRPr="00921C9B" w:rsidRDefault="00501E78" w:rsidP="00501E78">
            <w:pPr>
              <w:widowControl/>
              <w:spacing w:before="40" w:after="40"/>
              <w:rPr>
                <w:rFonts w:eastAsia="Calibri"/>
                <w:noProof/>
                <w:sz w:val="22"/>
                <w:szCs w:val="22"/>
                <w:lang w:eastAsia="en-US"/>
              </w:rPr>
            </w:pPr>
          </w:p>
        </w:tc>
        <w:tc>
          <w:tcPr>
            <w:tcW w:w="992" w:type="dxa"/>
            <w:gridSpan w:val="2"/>
            <w:tcMar>
              <w:left w:w="28" w:type="dxa"/>
              <w:right w:w="28" w:type="dxa"/>
            </w:tcMar>
          </w:tcPr>
          <w:p w14:paraId="60BD08E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218-01-9</w:t>
            </w:r>
          </w:p>
        </w:tc>
        <w:tc>
          <w:tcPr>
            <w:tcW w:w="1134" w:type="dxa"/>
          </w:tcPr>
          <w:p w14:paraId="4F0B754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205-923-4</w:t>
            </w:r>
          </w:p>
        </w:tc>
        <w:tc>
          <w:tcPr>
            <w:tcW w:w="1279" w:type="dxa"/>
            <w:gridSpan w:val="2"/>
            <w:tcMar>
              <w:left w:w="28" w:type="dxa"/>
              <w:right w:w="28" w:type="dxa"/>
            </w:tcMar>
          </w:tcPr>
          <w:p w14:paraId="059E6209" w14:textId="77777777" w:rsidR="00501E78" w:rsidRPr="00921C9B" w:rsidRDefault="00501E78" w:rsidP="00501E78">
            <w:pPr>
              <w:widowControl/>
              <w:spacing w:before="40" w:after="40"/>
              <w:rPr>
                <w:rFonts w:eastAsia="Calibri"/>
                <w:i/>
                <w:noProof/>
                <w:sz w:val="22"/>
                <w:szCs w:val="22"/>
                <w:lang w:eastAsia="en-US"/>
              </w:rPr>
            </w:pPr>
          </w:p>
        </w:tc>
        <w:tc>
          <w:tcPr>
            <w:tcW w:w="1279" w:type="dxa"/>
            <w:gridSpan w:val="2"/>
            <w:tcMar>
              <w:left w:w="28" w:type="dxa"/>
              <w:right w:w="28" w:type="dxa"/>
            </w:tcMar>
          </w:tcPr>
          <w:p w14:paraId="2823ACD1" w14:textId="77777777" w:rsidR="00501E78" w:rsidRPr="00921C9B" w:rsidRDefault="00501E78" w:rsidP="00501E78">
            <w:pPr>
              <w:widowControl/>
              <w:spacing w:before="40" w:after="40"/>
              <w:rPr>
                <w:rFonts w:eastAsia="Calibri"/>
                <w:i/>
                <w:noProof/>
                <w:sz w:val="22"/>
                <w:szCs w:val="22"/>
                <w:lang w:eastAsia="en-US"/>
              </w:rPr>
            </w:pPr>
          </w:p>
        </w:tc>
        <w:tc>
          <w:tcPr>
            <w:tcW w:w="1278" w:type="dxa"/>
            <w:gridSpan w:val="2"/>
            <w:tcMar>
              <w:left w:w="28" w:type="dxa"/>
              <w:right w:w="28" w:type="dxa"/>
            </w:tcMar>
          </w:tcPr>
          <w:p w14:paraId="7BA9949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0,07</w:t>
            </w:r>
          </w:p>
        </w:tc>
        <w:tc>
          <w:tcPr>
            <w:tcW w:w="1277" w:type="dxa"/>
            <w:gridSpan w:val="2"/>
            <w:tcMar>
              <w:left w:w="28" w:type="dxa"/>
              <w:right w:w="28" w:type="dxa"/>
            </w:tcMar>
          </w:tcPr>
          <w:p w14:paraId="33B5FCF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0,007</w:t>
            </w:r>
          </w:p>
        </w:tc>
        <w:tc>
          <w:tcPr>
            <w:tcW w:w="1136" w:type="dxa"/>
            <w:gridSpan w:val="2"/>
            <w:tcMar>
              <w:left w:w="28" w:type="dxa"/>
              <w:right w:w="28" w:type="dxa"/>
            </w:tcMar>
          </w:tcPr>
          <w:p w14:paraId="67B715E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Вж. бележка под линия 17</w:t>
            </w:r>
          </w:p>
        </w:tc>
        <w:tc>
          <w:tcPr>
            <w:tcW w:w="1262" w:type="dxa"/>
            <w:tcMar>
              <w:left w:w="28" w:type="dxa"/>
              <w:right w:w="28" w:type="dxa"/>
            </w:tcMar>
          </w:tcPr>
          <w:p w14:paraId="75D02E42" w14:textId="77777777" w:rsidR="00501E78" w:rsidRPr="00921C9B" w:rsidRDefault="00501E78" w:rsidP="00501E78">
            <w:pPr>
              <w:widowControl/>
              <w:spacing w:before="40" w:after="40"/>
              <w:rPr>
                <w:rFonts w:eastAsia="Calibri"/>
                <w:i/>
                <w:noProof/>
                <w:sz w:val="22"/>
                <w:szCs w:val="22"/>
                <w:lang w:eastAsia="en-US"/>
              </w:rPr>
            </w:pPr>
          </w:p>
        </w:tc>
        <w:tc>
          <w:tcPr>
            <w:tcW w:w="1153" w:type="dxa"/>
            <w:gridSpan w:val="2"/>
            <w:tcMar>
              <w:left w:w="28" w:type="dxa"/>
              <w:right w:w="28" w:type="dxa"/>
            </w:tcMar>
          </w:tcPr>
          <w:p w14:paraId="4E8B9708" w14:textId="77777777" w:rsidR="00501E78" w:rsidRPr="00921C9B" w:rsidRDefault="00501E78" w:rsidP="00501E78">
            <w:pPr>
              <w:widowControl/>
              <w:spacing w:before="40" w:after="40"/>
              <w:rPr>
                <w:rFonts w:eastAsia="Calibri"/>
                <w:i/>
                <w:noProof/>
                <w:sz w:val="22"/>
                <w:szCs w:val="22"/>
                <w:lang w:eastAsia="en-US"/>
              </w:rPr>
            </w:pPr>
          </w:p>
        </w:tc>
        <w:tc>
          <w:tcPr>
            <w:tcW w:w="970" w:type="dxa"/>
            <w:tcMar>
              <w:left w:w="28" w:type="dxa"/>
              <w:right w:w="28" w:type="dxa"/>
            </w:tcMar>
          </w:tcPr>
          <w:p w14:paraId="5C2DEDE3" w14:textId="77777777" w:rsidR="00501E78" w:rsidRPr="00921C9B" w:rsidRDefault="00501E78" w:rsidP="00501E78">
            <w:pPr>
              <w:widowControl/>
              <w:spacing w:before="40" w:after="40"/>
              <w:rPr>
                <w:rFonts w:eastAsia="Calibri"/>
                <w:i/>
                <w:noProof/>
                <w:sz w:val="22"/>
                <w:szCs w:val="22"/>
                <w:lang w:eastAsia="en-US"/>
              </w:rPr>
            </w:pPr>
          </w:p>
        </w:tc>
      </w:tr>
      <w:tr w:rsidR="00501E78" w:rsidRPr="00921C9B" w14:paraId="6560610C" w14:textId="77777777" w:rsidTr="004C279A">
        <w:trPr>
          <w:gridBefore w:val="1"/>
          <w:wBefore w:w="12" w:type="dxa"/>
          <w:cantSplit/>
          <w:tblHeader/>
          <w:jc w:val="center"/>
        </w:trPr>
        <w:tc>
          <w:tcPr>
            <w:tcW w:w="651" w:type="dxa"/>
            <w:gridSpan w:val="3"/>
            <w:vMerge/>
            <w:tcMar>
              <w:left w:w="28" w:type="dxa"/>
              <w:right w:w="28" w:type="dxa"/>
            </w:tcMar>
          </w:tcPr>
          <w:p w14:paraId="0F066FE0" w14:textId="77777777" w:rsidR="00501E78" w:rsidRPr="00921C9B" w:rsidRDefault="00501E78" w:rsidP="00501E78">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04FEAAF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Бензо(а)антрацен</w:t>
            </w:r>
          </w:p>
        </w:tc>
        <w:tc>
          <w:tcPr>
            <w:tcW w:w="1329" w:type="dxa"/>
            <w:gridSpan w:val="3"/>
            <w:vMerge w:val="restart"/>
            <w:tcMar>
              <w:left w:w="28" w:type="dxa"/>
              <w:right w:w="28" w:type="dxa"/>
            </w:tcMar>
          </w:tcPr>
          <w:p w14:paraId="38F156E4" w14:textId="77777777" w:rsidR="00501E78" w:rsidRPr="00921C9B" w:rsidRDefault="00501E78" w:rsidP="00501E78">
            <w:pPr>
              <w:widowControl/>
              <w:spacing w:before="40" w:after="40"/>
              <w:rPr>
                <w:rFonts w:eastAsia="Calibri"/>
                <w:noProof/>
                <w:sz w:val="22"/>
                <w:szCs w:val="22"/>
                <w:lang w:eastAsia="en-US"/>
              </w:rPr>
            </w:pPr>
          </w:p>
        </w:tc>
        <w:tc>
          <w:tcPr>
            <w:tcW w:w="992" w:type="dxa"/>
            <w:gridSpan w:val="2"/>
            <w:tcMar>
              <w:left w:w="28" w:type="dxa"/>
              <w:right w:w="28" w:type="dxa"/>
            </w:tcMar>
          </w:tcPr>
          <w:p w14:paraId="1D9F332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56-55-3</w:t>
            </w:r>
          </w:p>
        </w:tc>
        <w:tc>
          <w:tcPr>
            <w:tcW w:w="1134" w:type="dxa"/>
          </w:tcPr>
          <w:p w14:paraId="7F7A668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200-280-6</w:t>
            </w:r>
          </w:p>
        </w:tc>
        <w:tc>
          <w:tcPr>
            <w:tcW w:w="1279" w:type="dxa"/>
            <w:gridSpan w:val="2"/>
            <w:tcMar>
              <w:left w:w="28" w:type="dxa"/>
              <w:right w:w="28" w:type="dxa"/>
            </w:tcMar>
          </w:tcPr>
          <w:p w14:paraId="15BD84C5" w14:textId="77777777" w:rsidR="00501E78" w:rsidRPr="00921C9B" w:rsidRDefault="00501E78" w:rsidP="00501E78">
            <w:pPr>
              <w:widowControl/>
              <w:spacing w:before="40" w:after="40"/>
              <w:rPr>
                <w:rFonts w:eastAsia="Calibri"/>
                <w:i/>
                <w:noProof/>
                <w:sz w:val="22"/>
                <w:szCs w:val="22"/>
                <w:lang w:eastAsia="en-US"/>
              </w:rPr>
            </w:pPr>
          </w:p>
        </w:tc>
        <w:tc>
          <w:tcPr>
            <w:tcW w:w="1279" w:type="dxa"/>
            <w:gridSpan w:val="2"/>
            <w:tcMar>
              <w:left w:w="28" w:type="dxa"/>
              <w:right w:w="28" w:type="dxa"/>
            </w:tcMar>
          </w:tcPr>
          <w:p w14:paraId="229B471F" w14:textId="77777777" w:rsidR="00501E78" w:rsidRPr="00921C9B" w:rsidRDefault="00501E78" w:rsidP="00501E78">
            <w:pPr>
              <w:widowControl/>
              <w:spacing w:before="40" w:after="40"/>
              <w:rPr>
                <w:rFonts w:eastAsia="Calibri"/>
                <w:i/>
                <w:noProof/>
                <w:sz w:val="22"/>
                <w:szCs w:val="22"/>
                <w:lang w:eastAsia="en-US"/>
              </w:rPr>
            </w:pPr>
          </w:p>
        </w:tc>
        <w:tc>
          <w:tcPr>
            <w:tcW w:w="1278" w:type="dxa"/>
            <w:gridSpan w:val="2"/>
            <w:tcMar>
              <w:left w:w="28" w:type="dxa"/>
              <w:right w:w="28" w:type="dxa"/>
            </w:tcMar>
          </w:tcPr>
          <w:p w14:paraId="3A0423A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w:t>
            </w:r>
          </w:p>
        </w:tc>
        <w:tc>
          <w:tcPr>
            <w:tcW w:w="1277" w:type="dxa"/>
            <w:gridSpan w:val="2"/>
            <w:tcMar>
              <w:left w:w="28" w:type="dxa"/>
              <w:right w:w="28" w:type="dxa"/>
            </w:tcMar>
          </w:tcPr>
          <w:p w14:paraId="4BD8FB7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w:t>
            </w:r>
          </w:p>
        </w:tc>
        <w:tc>
          <w:tcPr>
            <w:tcW w:w="1136" w:type="dxa"/>
            <w:gridSpan w:val="2"/>
            <w:tcMar>
              <w:left w:w="28" w:type="dxa"/>
              <w:right w:w="28" w:type="dxa"/>
            </w:tcMar>
          </w:tcPr>
          <w:p w14:paraId="5E33BB6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Вж. бележка под линия 17</w:t>
            </w:r>
          </w:p>
        </w:tc>
        <w:tc>
          <w:tcPr>
            <w:tcW w:w="1262" w:type="dxa"/>
            <w:tcMar>
              <w:left w:w="28" w:type="dxa"/>
              <w:right w:w="28" w:type="dxa"/>
            </w:tcMar>
          </w:tcPr>
          <w:p w14:paraId="01A84618" w14:textId="77777777" w:rsidR="00501E78" w:rsidRPr="00921C9B" w:rsidRDefault="00501E78" w:rsidP="00501E78">
            <w:pPr>
              <w:widowControl/>
              <w:spacing w:before="40" w:after="40"/>
              <w:rPr>
                <w:rFonts w:eastAsia="Calibri"/>
                <w:i/>
                <w:noProof/>
                <w:sz w:val="22"/>
                <w:szCs w:val="22"/>
                <w:lang w:eastAsia="en-US"/>
              </w:rPr>
            </w:pPr>
          </w:p>
        </w:tc>
        <w:tc>
          <w:tcPr>
            <w:tcW w:w="1153" w:type="dxa"/>
            <w:gridSpan w:val="2"/>
            <w:tcMar>
              <w:left w:w="28" w:type="dxa"/>
              <w:right w:w="28" w:type="dxa"/>
            </w:tcMar>
          </w:tcPr>
          <w:p w14:paraId="2F95AFA2" w14:textId="77777777" w:rsidR="00501E78" w:rsidRPr="00921C9B" w:rsidRDefault="00501E78" w:rsidP="00501E78">
            <w:pPr>
              <w:widowControl/>
              <w:spacing w:before="40" w:after="40"/>
              <w:rPr>
                <w:rFonts w:eastAsia="Calibri"/>
                <w:i/>
                <w:noProof/>
                <w:sz w:val="22"/>
                <w:szCs w:val="22"/>
                <w:lang w:eastAsia="en-US"/>
              </w:rPr>
            </w:pPr>
          </w:p>
        </w:tc>
        <w:tc>
          <w:tcPr>
            <w:tcW w:w="970" w:type="dxa"/>
            <w:tcMar>
              <w:left w:w="28" w:type="dxa"/>
              <w:right w:w="28" w:type="dxa"/>
            </w:tcMar>
          </w:tcPr>
          <w:p w14:paraId="1C7F9413" w14:textId="77777777" w:rsidR="00501E78" w:rsidRPr="00921C9B" w:rsidRDefault="00501E78" w:rsidP="00501E78">
            <w:pPr>
              <w:widowControl/>
              <w:spacing w:before="40" w:after="40"/>
              <w:rPr>
                <w:rFonts w:eastAsia="Calibri"/>
                <w:i/>
                <w:noProof/>
                <w:sz w:val="22"/>
                <w:szCs w:val="22"/>
                <w:lang w:eastAsia="en-US"/>
              </w:rPr>
            </w:pPr>
          </w:p>
        </w:tc>
      </w:tr>
      <w:tr w:rsidR="00501E78" w:rsidRPr="00921C9B" w14:paraId="647C762A" w14:textId="77777777" w:rsidTr="004C279A">
        <w:trPr>
          <w:gridBefore w:val="1"/>
          <w:wBefore w:w="12" w:type="dxa"/>
          <w:cantSplit/>
          <w:tblHeader/>
          <w:jc w:val="center"/>
        </w:trPr>
        <w:tc>
          <w:tcPr>
            <w:tcW w:w="651" w:type="dxa"/>
            <w:gridSpan w:val="3"/>
            <w:vMerge/>
            <w:tcMar>
              <w:left w:w="28" w:type="dxa"/>
              <w:right w:w="28" w:type="dxa"/>
            </w:tcMar>
          </w:tcPr>
          <w:p w14:paraId="3D77FE23" w14:textId="77777777" w:rsidR="00501E78" w:rsidRPr="00921C9B" w:rsidRDefault="00501E78" w:rsidP="00501E78">
            <w:pPr>
              <w:widowControl/>
              <w:spacing w:before="40" w:after="40"/>
              <w:jc w:val="both"/>
              <w:rPr>
                <w:rFonts w:eastAsia="Calibri"/>
                <w:noProof/>
                <w:sz w:val="22"/>
                <w:szCs w:val="22"/>
                <w:lang w:eastAsia="en-US"/>
              </w:rPr>
            </w:pPr>
          </w:p>
        </w:tc>
        <w:tc>
          <w:tcPr>
            <w:tcW w:w="2286" w:type="dxa"/>
            <w:gridSpan w:val="3"/>
            <w:tcMar>
              <w:left w:w="28" w:type="dxa"/>
              <w:right w:w="28" w:type="dxa"/>
            </w:tcMar>
          </w:tcPr>
          <w:p w14:paraId="3F5D4EB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Дибенз(a,h)антрацен</w:t>
            </w:r>
          </w:p>
        </w:tc>
        <w:tc>
          <w:tcPr>
            <w:tcW w:w="1329" w:type="dxa"/>
            <w:gridSpan w:val="3"/>
            <w:vMerge/>
            <w:tcMar>
              <w:left w:w="28" w:type="dxa"/>
              <w:right w:w="28" w:type="dxa"/>
            </w:tcMar>
          </w:tcPr>
          <w:p w14:paraId="79A2BA8B" w14:textId="77777777" w:rsidR="00501E78" w:rsidRPr="00921C9B" w:rsidRDefault="00501E78" w:rsidP="00501E78">
            <w:pPr>
              <w:widowControl/>
              <w:spacing w:before="40" w:after="40"/>
              <w:rPr>
                <w:rFonts w:eastAsia="Calibri"/>
                <w:noProof/>
                <w:sz w:val="22"/>
                <w:szCs w:val="22"/>
                <w:lang w:eastAsia="en-US"/>
              </w:rPr>
            </w:pPr>
          </w:p>
        </w:tc>
        <w:tc>
          <w:tcPr>
            <w:tcW w:w="992" w:type="dxa"/>
            <w:gridSpan w:val="2"/>
            <w:tcMar>
              <w:left w:w="28" w:type="dxa"/>
              <w:right w:w="28" w:type="dxa"/>
            </w:tcMar>
          </w:tcPr>
          <w:p w14:paraId="72DB596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53-70-3</w:t>
            </w:r>
          </w:p>
        </w:tc>
        <w:tc>
          <w:tcPr>
            <w:tcW w:w="1134" w:type="dxa"/>
          </w:tcPr>
          <w:p w14:paraId="6402E9B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200-181-8</w:t>
            </w:r>
          </w:p>
        </w:tc>
        <w:tc>
          <w:tcPr>
            <w:tcW w:w="1279" w:type="dxa"/>
            <w:gridSpan w:val="2"/>
            <w:tcMar>
              <w:left w:w="28" w:type="dxa"/>
              <w:right w:w="28" w:type="dxa"/>
            </w:tcMar>
          </w:tcPr>
          <w:p w14:paraId="5ECDDF96" w14:textId="77777777" w:rsidR="00501E78" w:rsidRPr="00921C9B" w:rsidRDefault="00501E78" w:rsidP="00501E78">
            <w:pPr>
              <w:widowControl/>
              <w:spacing w:before="40" w:after="40"/>
              <w:rPr>
                <w:rFonts w:eastAsia="Calibri"/>
                <w:i/>
                <w:noProof/>
                <w:sz w:val="22"/>
                <w:szCs w:val="22"/>
                <w:lang w:eastAsia="en-US"/>
              </w:rPr>
            </w:pPr>
          </w:p>
        </w:tc>
        <w:tc>
          <w:tcPr>
            <w:tcW w:w="1279" w:type="dxa"/>
            <w:gridSpan w:val="2"/>
            <w:tcMar>
              <w:left w:w="28" w:type="dxa"/>
              <w:right w:w="28" w:type="dxa"/>
            </w:tcMar>
          </w:tcPr>
          <w:p w14:paraId="1B0754DC" w14:textId="77777777" w:rsidR="00501E78" w:rsidRPr="00921C9B" w:rsidRDefault="00501E78" w:rsidP="00501E78">
            <w:pPr>
              <w:widowControl/>
              <w:spacing w:before="40" w:after="40"/>
              <w:rPr>
                <w:rFonts w:eastAsia="Calibri"/>
                <w:i/>
                <w:noProof/>
                <w:sz w:val="22"/>
                <w:szCs w:val="22"/>
                <w:lang w:eastAsia="en-US"/>
              </w:rPr>
            </w:pPr>
          </w:p>
        </w:tc>
        <w:tc>
          <w:tcPr>
            <w:tcW w:w="1278" w:type="dxa"/>
            <w:gridSpan w:val="2"/>
            <w:tcMar>
              <w:left w:w="28" w:type="dxa"/>
              <w:right w:w="28" w:type="dxa"/>
            </w:tcMar>
          </w:tcPr>
          <w:p w14:paraId="034F4DD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0,014</w:t>
            </w:r>
          </w:p>
        </w:tc>
        <w:tc>
          <w:tcPr>
            <w:tcW w:w="1277" w:type="dxa"/>
            <w:gridSpan w:val="2"/>
            <w:tcMar>
              <w:left w:w="28" w:type="dxa"/>
              <w:right w:w="28" w:type="dxa"/>
            </w:tcMar>
          </w:tcPr>
          <w:p w14:paraId="1469393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0,0014</w:t>
            </w:r>
          </w:p>
        </w:tc>
        <w:tc>
          <w:tcPr>
            <w:tcW w:w="1136" w:type="dxa"/>
            <w:gridSpan w:val="2"/>
            <w:tcMar>
              <w:left w:w="28" w:type="dxa"/>
              <w:right w:w="28" w:type="dxa"/>
            </w:tcMar>
          </w:tcPr>
          <w:p w14:paraId="23C5019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Вж. бележка под линия 17</w:t>
            </w:r>
          </w:p>
        </w:tc>
        <w:tc>
          <w:tcPr>
            <w:tcW w:w="1262" w:type="dxa"/>
            <w:tcMar>
              <w:left w:w="28" w:type="dxa"/>
              <w:right w:w="28" w:type="dxa"/>
            </w:tcMar>
          </w:tcPr>
          <w:p w14:paraId="57DA21EB" w14:textId="77777777" w:rsidR="00501E78" w:rsidRPr="00921C9B" w:rsidRDefault="00501E78" w:rsidP="00501E78">
            <w:pPr>
              <w:widowControl/>
              <w:spacing w:before="40" w:after="40"/>
              <w:rPr>
                <w:rFonts w:eastAsia="Calibri"/>
                <w:i/>
                <w:noProof/>
                <w:sz w:val="22"/>
                <w:szCs w:val="22"/>
                <w:lang w:eastAsia="en-US"/>
              </w:rPr>
            </w:pPr>
          </w:p>
        </w:tc>
        <w:tc>
          <w:tcPr>
            <w:tcW w:w="1153" w:type="dxa"/>
            <w:gridSpan w:val="2"/>
            <w:tcMar>
              <w:left w:w="28" w:type="dxa"/>
              <w:right w:w="28" w:type="dxa"/>
            </w:tcMar>
          </w:tcPr>
          <w:p w14:paraId="66541314" w14:textId="77777777" w:rsidR="00501E78" w:rsidRPr="00921C9B" w:rsidRDefault="00501E78" w:rsidP="00501E78">
            <w:pPr>
              <w:widowControl/>
              <w:spacing w:before="40" w:after="40"/>
              <w:rPr>
                <w:rFonts w:eastAsia="Calibri"/>
                <w:i/>
                <w:noProof/>
                <w:sz w:val="22"/>
                <w:szCs w:val="22"/>
                <w:lang w:eastAsia="en-US"/>
              </w:rPr>
            </w:pPr>
          </w:p>
        </w:tc>
        <w:tc>
          <w:tcPr>
            <w:tcW w:w="970" w:type="dxa"/>
            <w:tcMar>
              <w:left w:w="28" w:type="dxa"/>
              <w:right w:w="28" w:type="dxa"/>
            </w:tcMar>
          </w:tcPr>
          <w:p w14:paraId="426CD6E2" w14:textId="77777777" w:rsidR="00501E78" w:rsidRPr="00921C9B" w:rsidRDefault="00501E78" w:rsidP="00501E78">
            <w:pPr>
              <w:widowControl/>
              <w:spacing w:before="40" w:after="40"/>
              <w:rPr>
                <w:rFonts w:eastAsia="Calibri"/>
                <w:i/>
                <w:noProof/>
                <w:sz w:val="22"/>
                <w:szCs w:val="22"/>
                <w:lang w:eastAsia="en-US"/>
              </w:rPr>
            </w:pPr>
          </w:p>
        </w:tc>
      </w:tr>
      <w:tr w:rsidR="00501E78" w:rsidRPr="00921C9B" w14:paraId="1447C1EB" w14:textId="77777777" w:rsidTr="004C279A">
        <w:trPr>
          <w:gridBefore w:val="1"/>
          <w:wBefore w:w="12" w:type="dxa"/>
          <w:cantSplit/>
          <w:tblHeader/>
          <w:jc w:val="center"/>
        </w:trPr>
        <w:tc>
          <w:tcPr>
            <w:tcW w:w="651" w:type="dxa"/>
            <w:gridSpan w:val="3"/>
            <w:tcMar>
              <w:left w:w="28" w:type="dxa"/>
              <w:right w:w="28" w:type="dxa"/>
            </w:tcMar>
          </w:tcPr>
          <w:p w14:paraId="15CE0FD6"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(29)</w:t>
            </w:r>
          </w:p>
        </w:tc>
        <w:tc>
          <w:tcPr>
            <w:tcW w:w="15375" w:type="dxa"/>
            <w:gridSpan w:val="23"/>
            <w:tcMar>
              <w:left w:w="28" w:type="dxa"/>
              <w:right w:w="28" w:type="dxa"/>
            </w:tcMar>
          </w:tcPr>
          <w:p w14:paraId="1D4251C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Веществото симазин е преместено в част В от приложение II </w:t>
            </w:r>
          </w:p>
        </w:tc>
      </w:tr>
      <w:bookmarkEnd w:id="33"/>
      <w:tr w:rsidR="00501E78" w:rsidRPr="00921C9B" w14:paraId="3C464C60" w14:textId="77777777" w:rsidTr="004C279A">
        <w:trPr>
          <w:gridBefore w:val="1"/>
          <w:wBefore w:w="12" w:type="dxa"/>
          <w:cantSplit/>
          <w:tblHeader/>
          <w:jc w:val="center"/>
        </w:trPr>
        <w:tc>
          <w:tcPr>
            <w:tcW w:w="651" w:type="dxa"/>
            <w:gridSpan w:val="3"/>
            <w:tcMar>
              <w:left w:w="28" w:type="dxa"/>
              <w:right w:w="28" w:type="dxa"/>
            </w:tcMar>
          </w:tcPr>
          <w:p w14:paraId="1FE71590"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(29a)</w:t>
            </w:r>
          </w:p>
        </w:tc>
        <w:tc>
          <w:tcPr>
            <w:tcW w:w="2286" w:type="dxa"/>
            <w:gridSpan w:val="3"/>
            <w:tcMar>
              <w:left w:w="28" w:type="dxa"/>
              <w:right w:w="28" w:type="dxa"/>
            </w:tcMar>
          </w:tcPr>
          <w:p w14:paraId="7F32E9D5"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 xml:space="preserve">Тетрахлороетилен </w:t>
            </w:r>
            <w:bookmarkStart w:id="34" w:name="_DV_M305"/>
            <w:bookmarkEnd w:id="34"/>
          </w:p>
        </w:tc>
        <w:tc>
          <w:tcPr>
            <w:tcW w:w="1329" w:type="dxa"/>
            <w:gridSpan w:val="3"/>
            <w:tcMar>
              <w:left w:w="28" w:type="dxa"/>
              <w:right w:w="28" w:type="dxa"/>
            </w:tcMar>
          </w:tcPr>
          <w:p w14:paraId="5F419D3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tcMar>
              <w:left w:w="28" w:type="dxa"/>
              <w:right w:w="28" w:type="dxa"/>
            </w:tcMar>
          </w:tcPr>
          <w:p w14:paraId="733A3FF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127-18-4</w:t>
            </w:r>
          </w:p>
        </w:tc>
        <w:tc>
          <w:tcPr>
            <w:tcW w:w="1134" w:type="dxa"/>
          </w:tcPr>
          <w:p w14:paraId="1CB3FA6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204-825-9</w:t>
            </w:r>
          </w:p>
        </w:tc>
        <w:tc>
          <w:tcPr>
            <w:tcW w:w="1279" w:type="dxa"/>
            <w:gridSpan w:val="2"/>
            <w:tcMar>
              <w:left w:w="28" w:type="dxa"/>
              <w:right w:w="28" w:type="dxa"/>
            </w:tcMar>
          </w:tcPr>
          <w:p w14:paraId="3F9968E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10</w:t>
            </w:r>
          </w:p>
        </w:tc>
        <w:tc>
          <w:tcPr>
            <w:tcW w:w="1279" w:type="dxa"/>
            <w:gridSpan w:val="2"/>
            <w:tcMar>
              <w:left w:w="28" w:type="dxa"/>
              <w:right w:w="28" w:type="dxa"/>
            </w:tcMar>
          </w:tcPr>
          <w:p w14:paraId="7B5B387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10</w:t>
            </w:r>
          </w:p>
        </w:tc>
        <w:tc>
          <w:tcPr>
            <w:tcW w:w="1278" w:type="dxa"/>
            <w:gridSpan w:val="2"/>
            <w:tcMar>
              <w:left w:w="28" w:type="dxa"/>
              <w:right w:w="28" w:type="dxa"/>
            </w:tcMar>
          </w:tcPr>
          <w:p w14:paraId="759139E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tcMar>
              <w:left w:w="28" w:type="dxa"/>
              <w:right w:w="28" w:type="dxa"/>
            </w:tcMar>
          </w:tcPr>
          <w:p w14:paraId="5F67B16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tcMar>
              <w:left w:w="28" w:type="dxa"/>
              <w:right w:w="28" w:type="dxa"/>
            </w:tcMar>
          </w:tcPr>
          <w:p w14:paraId="280CBB51"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0B7AED8B"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05F79C2E"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072F4A69"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486055B3" w14:textId="77777777" w:rsidTr="004C279A">
        <w:trPr>
          <w:gridBefore w:val="1"/>
          <w:wBefore w:w="12" w:type="dxa"/>
          <w:cantSplit/>
          <w:tblHeader/>
          <w:jc w:val="center"/>
        </w:trPr>
        <w:tc>
          <w:tcPr>
            <w:tcW w:w="651" w:type="dxa"/>
            <w:gridSpan w:val="3"/>
            <w:tcMar>
              <w:left w:w="28" w:type="dxa"/>
              <w:right w:w="28" w:type="dxa"/>
            </w:tcMar>
          </w:tcPr>
          <w:p w14:paraId="6FECDB7C" w14:textId="77777777" w:rsidR="00501E78" w:rsidRPr="00921C9B" w:rsidRDefault="00501E78" w:rsidP="00501E78">
            <w:pPr>
              <w:keepNext/>
              <w:widowControl/>
              <w:spacing w:before="40" w:after="40"/>
              <w:jc w:val="both"/>
              <w:rPr>
                <w:rFonts w:eastAsia="Calibri"/>
                <w:noProof/>
                <w:sz w:val="22"/>
                <w:szCs w:val="22"/>
                <w:lang w:eastAsia="en-US"/>
              </w:rPr>
            </w:pPr>
            <w:r w:rsidRPr="00921C9B">
              <w:rPr>
                <w:rFonts w:eastAsia="Calibri"/>
                <w:noProof/>
                <w:sz w:val="22"/>
                <w:szCs w:val="22"/>
                <w:lang w:eastAsia="en-US"/>
              </w:rPr>
              <w:t>(29б)</w:t>
            </w:r>
          </w:p>
        </w:tc>
        <w:tc>
          <w:tcPr>
            <w:tcW w:w="2286" w:type="dxa"/>
            <w:gridSpan w:val="3"/>
            <w:tcMar>
              <w:left w:w="28" w:type="dxa"/>
              <w:right w:w="28" w:type="dxa"/>
            </w:tcMar>
          </w:tcPr>
          <w:p w14:paraId="6CAD115D" w14:textId="77777777" w:rsidR="00501E78" w:rsidRPr="00921C9B" w:rsidRDefault="00501E78" w:rsidP="00501E78">
            <w:pPr>
              <w:keepNext/>
              <w:widowControl/>
              <w:spacing w:before="40" w:after="40"/>
              <w:rPr>
                <w:rFonts w:eastAsia="Calibri"/>
                <w:noProof/>
                <w:sz w:val="22"/>
                <w:szCs w:val="22"/>
                <w:vertAlign w:val="superscript"/>
                <w:lang w:eastAsia="en-US"/>
              </w:rPr>
            </w:pPr>
            <w:r w:rsidRPr="00921C9B">
              <w:rPr>
                <w:rFonts w:eastAsia="Calibri"/>
                <w:noProof/>
                <w:sz w:val="22"/>
                <w:szCs w:val="22"/>
                <w:lang w:eastAsia="en-US"/>
              </w:rPr>
              <w:t xml:space="preserve">Трихлороетилен </w:t>
            </w:r>
            <w:bookmarkStart w:id="35" w:name="_DV_M306"/>
            <w:bookmarkEnd w:id="35"/>
          </w:p>
        </w:tc>
        <w:tc>
          <w:tcPr>
            <w:tcW w:w="1329" w:type="dxa"/>
            <w:gridSpan w:val="3"/>
            <w:tcMar>
              <w:left w:w="28" w:type="dxa"/>
              <w:right w:w="28" w:type="dxa"/>
            </w:tcMar>
          </w:tcPr>
          <w:p w14:paraId="46801D96"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tcMar>
              <w:left w:w="28" w:type="dxa"/>
              <w:right w:w="28" w:type="dxa"/>
            </w:tcMar>
          </w:tcPr>
          <w:p w14:paraId="3BFBE69F"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79-01-6</w:t>
            </w:r>
          </w:p>
        </w:tc>
        <w:tc>
          <w:tcPr>
            <w:tcW w:w="1134" w:type="dxa"/>
          </w:tcPr>
          <w:p w14:paraId="49CB4784"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201-167-4</w:t>
            </w:r>
          </w:p>
        </w:tc>
        <w:tc>
          <w:tcPr>
            <w:tcW w:w="1279" w:type="dxa"/>
            <w:gridSpan w:val="2"/>
            <w:tcMar>
              <w:left w:w="28" w:type="dxa"/>
              <w:right w:w="28" w:type="dxa"/>
            </w:tcMar>
          </w:tcPr>
          <w:p w14:paraId="1683600F"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10</w:t>
            </w:r>
          </w:p>
        </w:tc>
        <w:tc>
          <w:tcPr>
            <w:tcW w:w="1279" w:type="dxa"/>
            <w:gridSpan w:val="2"/>
            <w:tcMar>
              <w:left w:w="28" w:type="dxa"/>
              <w:right w:w="28" w:type="dxa"/>
            </w:tcMar>
          </w:tcPr>
          <w:p w14:paraId="4908CF67"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10</w:t>
            </w:r>
          </w:p>
        </w:tc>
        <w:tc>
          <w:tcPr>
            <w:tcW w:w="1278" w:type="dxa"/>
            <w:gridSpan w:val="2"/>
            <w:tcMar>
              <w:left w:w="28" w:type="dxa"/>
              <w:right w:w="28" w:type="dxa"/>
            </w:tcMar>
          </w:tcPr>
          <w:p w14:paraId="720985D8"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tcMar>
              <w:left w:w="28" w:type="dxa"/>
              <w:right w:w="28" w:type="dxa"/>
            </w:tcMar>
          </w:tcPr>
          <w:p w14:paraId="7260B118"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tcMar>
              <w:left w:w="28" w:type="dxa"/>
              <w:right w:w="28" w:type="dxa"/>
            </w:tcMar>
          </w:tcPr>
          <w:p w14:paraId="0276C8DA" w14:textId="77777777" w:rsidR="00501E78" w:rsidRPr="00921C9B" w:rsidRDefault="00501E78" w:rsidP="00501E78">
            <w:pPr>
              <w:keepNext/>
              <w:widowControl/>
              <w:spacing w:before="40" w:after="40"/>
              <w:rPr>
                <w:rFonts w:eastAsia="Calibri"/>
                <w:noProof/>
                <w:sz w:val="22"/>
                <w:szCs w:val="22"/>
                <w:lang w:eastAsia="en-US"/>
              </w:rPr>
            </w:pPr>
          </w:p>
        </w:tc>
        <w:tc>
          <w:tcPr>
            <w:tcW w:w="1262" w:type="dxa"/>
            <w:tcMar>
              <w:left w:w="28" w:type="dxa"/>
              <w:right w:w="28" w:type="dxa"/>
            </w:tcMar>
          </w:tcPr>
          <w:p w14:paraId="220412A9"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114CB178" w14:textId="77777777" w:rsidR="00501E78" w:rsidRPr="00921C9B" w:rsidRDefault="00501E78" w:rsidP="00501E78">
            <w:pPr>
              <w:keepNext/>
              <w:widowControl/>
              <w:spacing w:before="40" w:after="40"/>
              <w:rPr>
                <w:rFonts w:eastAsia="Calibri"/>
                <w:noProof/>
                <w:sz w:val="22"/>
                <w:szCs w:val="22"/>
                <w:lang w:eastAsia="en-US"/>
              </w:rPr>
            </w:pPr>
          </w:p>
        </w:tc>
        <w:tc>
          <w:tcPr>
            <w:tcW w:w="970" w:type="dxa"/>
            <w:tcMar>
              <w:left w:w="28" w:type="dxa"/>
              <w:right w:w="28" w:type="dxa"/>
            </w:tcMar>
          </w:tcPr>
          <w:p w14:paraId="46410B6E" w14:textId="77777777" w:rsidR="00501E78" w:rsidRPr="00921C9B" w:rsidRDefault="00501E78" w:rsidP="00501E78">
            <w:pPr>
              <w:keepNext/>
              <w:widowControl/>
              <w:spacing w:before="40" w:after="40"/>
              <w:rPr>
                <w:rFonts w:eastAsia="Calibri"/>
                <w:noProof/>
                <w:sz w:val="22"/>
                <w:szCs w:val="22"/>
                <w:lang w:eastAsia="en-US"/>
              </w:rPr>
            </w:pPr>
          </w:p>
        </w:tc>
      </w:tr>
      <w:tr w:rsidR="00501E78" w:rsidRPr="00921C9B" w14:paraId="30B351EC" w14:textId="77777777" w:rsidTr="004C279A">
        <w:trPr>
          <w:gridBefore w:val="1"/>
          <w:wBefore w:w="12" w:type="dxa"/>
          <w:cantSplit/>
          <w:tblHeader/>
          <w:jc w:val="center"/>
        </w:trPr>
        <w:tc>
          <w:tcPr>
            <w:tcW w:w="651" w:type="dxa"/>
            <w:gridSpan w:val="3"/>
            <w:tcMar>
              <w:left w:w="28" w:type="dxa"/>
              <w:right w:w="28" w:type="dxa"/>
            </w:tcMar>
          </w:tcPr>
          <w:p w14:paraId="32C48C98"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(30)</w:t>
            </w:r>
          </w:p>
        </w:tc>
        <w:tc>
          <w:tcPr>
            <w:tcW w:w="2286" w:type="dxa"/>
            <w:gridSpan w:val="3"/>
            <w:tcMar>
              <w:left w:w="28" w:type="dxa"/>
              <w:right w:w="28" w:type="dxa"/>
            </w:tcMar>
          </w:tcPr>
          <w:p w14:paraId="3952718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Трибутилкалаени съединения (</w:t>
            </w:r>
            <w:r w:rsidRPr="00921C9B">
              <w:rPr>
                <w:rFonts w:eastAsia="Calibri"/>
                <w:noProof/>
                <w:sz w:val="22"/>
                <w:szCs w:val="22"/>
                <w:vertAlign w:val="superscript"/>
                <w:lang w:eastAsia="en-US"/>
              </w:rPr>
              <w:t>18</w:t>
            </w:r>
            <w:r w:rsidRPr="00921C9B">
              <w:rPr>
                <w:rFonts w:eastAsia="Calibri"/>
                <w:noProof/>
                <w:sz w:val="22"/>
                <w:szCs w:val="22"/>
                <w:lang w:eastAsia="en-US"/>
              </w:rPr>
              <w:t>) (</w:t>
            </w:r>
            <w:bookmarkStart w:id="36" w:name="_DV_C351"/>
            <w:r w:rsidRPr="00921C9B">
              <w:rPr>
                <w:rFonts w:eastAsia="Calibri"/>
                <w:noProof/>
                <w:sz w:val="22"/>
                <w:szCs w:val="22"/>
                <w:lang w:eastAsia="en-US"/>
              </w:rPr>
              <w:t xml:space="preserve">трибутилкалаен </w:t>
            </w:r>
            <w:bookmarkStart w:id="37" w:name="_DV_M307"/>
            <w:bookmarkEnd w:id="36"/>
            <w:bookmarkEnd w:id="37"/>
            <w:r w:rsidRPr="00921C9B">
              <w:rPr>
                <w:rFonts w:eastAsia="Calibri"/>
                <w:noProof/>
                <w:sz w:val="22"/>
                <w:szCs w:val="22"/>
                <w:lang w:eastAsia="en-US"/>
              </w:rPr>
              <w:t>катион)</w:t>
            </w:r>
          </w:p>
        </w:tc>
        <w:tc>
          <w:tcPr>
            <w:tcW w:w="1329" w:type="dxa"/>
            <w:gridSpan w:val="3"/>
            <w:tcMar>
              <w:left w:w="28" w:type="dxa"/>
              <w:right w:w="28" w:type="dxa"/>
            </w:tcMar>
          </w:tcPr>
          <w:p w14:paraId="2AD9CE0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Биоциди</w:t>
            </w:r>
          </w:p>
        </w:tc>
        <w:tc>
          <w:tcPr>
            <w:tcW w:w="992" w:type="dxa"/>
            <w:gridSpan w:val="2"/>
            <w:tcMar>
              <w:left w:w="28" w:type="dxa"/>
              <w:right w:w="28" w:type="dxa"/>
            </w:tcMar>
          </w:tcPr>
          <w:p w14:paraId="00C21D7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36643-28-4</w:t>
            </w:r>
          </w:p>
        </w:tc>
        <w:tc>
          <w:tcPr>
            <w:tcW w:w="1134" w:type="dxa"/>
          </w:tcPr>
          <w:p w14:paraId="31F225A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9" w:type="dxa"/>
            <w:gridSpan w:val="2"/>
            <w:tcMar>
              <w:left w:w="28" w:type="dxa"/>
              <w:right w:w="28" w:type="dxa"/>
            </w:tcMar>
          </w:tcPr>
          <w:p w14:paraId="319BE21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0,0002</w:t>
            </w:r>
          </w:p>
        </w:tc>
        <w:tc>
          <w:tcPr>
            <w:tcW w:w="1279" w:type="dxa"/>
            <w:gridSpan w:val="2"/>
            <w:tcMar>
              <w:left w:w="28" w:type="dxa"/>
              <w:right w:w="28" w:type="dxa"/>
            </w:tcMar>
          </w:tcPr>
          <w:p w14:paraId="443E8BC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0,0002</w:t>
            </w:r>
          </w:p>
        </w:tc>
        <w:tc>
          <w:tcPr>
            <w:tcW w:w="1278" w:type="dxa"/>
            <w:gridSpan w:val="2"/>
            <w:tcMar>
              <w:left w:w="28" w:type="dxa"/>
              <w:right w:w="28" w:type="dxa"/>
            </w:tcMar>
          </w:tcPr>
          <w:p w14:paraId="2E86131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0,0015</w:t>
            </w:r>
          </w:p>
        </w:tc>
        <w:tc>
          <w:tcPr>
            <w:tcW w:w="1277" w:type="dxa"/>
            <w:gridSpan w:val="2"/>
            <w:tcMar>
              <w:left w:w="28" w:type="dxa"/>
              <w:right w:w="28" w:type="dxa"/>
            </w:tcMar>
          </w:tcPr>
          <w:p w14:paraId="689688B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0,0015</w:t>
            </w:r>
          </w:p>
        </w:tc>
        <w:tc>
          <w:tcPr>
            <w:tcW w:w="1136" w:type="dxa"/>
            <w:gridSpan w:val="2"/>
            <w:tcMar>
              <w:left w:w="28" w:type="dxa"/>
              <w:right w:w="28" w:type="dxa"/>
            </w:tcMar>
          </w:tcPr>
          <w:p w14:paraId="72085D0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[1,3] (</w:t>
            </w:r>
            <w:r w:rsidRPr="00921C9B">
              <w:rPr>
                <w:rFonts w:eastAsia="Calibri"/>
                <w:noProof/>
                <w:sz w:val="22"/>
                <w:szCs w:val="22"/>
                <w:vertAlign w:val="superscript"/>
                <w:lang w:eastAsia="en-US"/>
              </w:rPr>
              <w:t>19</w:t>
            </w:r>
            <w:r w:rsidRPr="00921C9B">
              <w:rPr>
                <w:rFonts w:eastAsia="Calibri"/>
                <w:noProof/>
                <w:sz w:val="22"/>
                <w:szCs w:val="22"/>
                <w:lang w:eastAsia="en-US"/>
              </w:rPr>
              <w:t>)</w:t>
            </w:r>
          </w:p>
        </w:tc>
        <w:tc>
          <w:tcPr>
            <w:tcW w:w="1262" w:type="dxa"/>
            <w:tcMar>
              <w:left w:w="28" w:type="dxa"/>
              <w:right w:w="28" w:type="dxa"/>
            </w:tcMar>
          </w:tcPr>
          <w:p w14:paraId="45E6A3D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X </w:t>
            </w:r>
          </w:p>
        </w:tc>
        <w:tc>
          <w:tcPr>
            <w:tcW w:w="1153" w:type="dxa"/>
            <w:gridSpan w:val="2"/>
            <w:tcMar>
              <w:left w:w="28" w:type="dxa"/>
              <w:right w:w="28" w:type="dxa"/>
            </w:tcMar>
          </w:tcPr>
          <w:p w14:paraId="3C298E6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970" w:type="dxa"/>
            <w:tcMar>
              <w:left w:w="28" w:type="dxa"/>
              <w:right w:w="28" w:type="dxa"/>
            </w:tcMar>
          </w:tcPr>
          <w:p w14:paraId="214A0BC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32E731EC" w14:textId="77777777" w:rsidTr="004C279A">
        <w:trPr>
          <w:gridBefore w:val="1"/>
          <w:wBefore w:w="12" w:type="dxa"/>
          <w:cantSplit/>
          <w:tblHeader/>
          <w:jc w:val="center"/>
        </w:trPr>
        <w:tc>
          <w:tcPr>
            <w:tcW w:w="651" w:type="dxa"/>
            <w:gridSpan w:val="3"/>
            <w:tcMar>
              <w:left w:w="28" w:type="dxa"/>
              <w:right w:w="28" w:type="dxa"/>
            </w:tcMar>
          </w:tcPr>
          <w:p w14:paraId="6A5AA924"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(31)</w:t>
            </w:r>
          </w:p>
        </w:tc>
        <w:tc>
          <w:tcPr>
            <w:tcW w:w="2286" w:type="dxa"/>
            <w:gridSpan w:val="3"/>
            <w:tcMar>
              <w:left w:w="28" w:type="dxa"/>
              <w:right w:w="28" w:type="dxa"/>
            </w:tcMar>
          </w:tcPr>
          <w:p w14:paraId="3317C53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Трихлоробензени</w:t>
            </w:r>
          </w:p>
        </w:tc>
        <w:tc>
          <w:tcPr>
            <w:tcW w:w="1329" w:type="dxa"/>
            <w:gridSpan w:val="3"/>
            <w:tcMar>
              <w:left w:w="28" w:type="dxa"/>
              <w:right w:w="28" w:type="dxa"/>
            </w:tcMar>
          </w:tcPr>
          <w:p w14:paraId="31F486A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 (разтворители)</w:t>
            </w:r>
          </w:p>
        </w:tc>
        <w:tc>
          <w:tcPr>
            <w:tcW w:w="992" w:type="dxa"/>
            <w:gridSpan w:val="2"/>
            <w:tcMar>
              <w:left w:w="28" w:type="dxa"/>
              <w:right w:w="28" w:type="dxa"/>
            </w:tcMar>
          </w:tcPr>
          <w:p w14:paraId="0CDD66D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12002-48-1</w:t>
            </w:r>
          </w:p>
        </w:tc>
        <w:tc>
          <w:tcPr>
            <w:tcW w:w="1134" w:type="dxa"/>
          </w:tcPr>
          <w:p w14:paraId="24BF213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234-413-4</w:t>
            </w:r>
          </w:p>
        </w:tc>
        <w:tc>
          <w:tcPr>
            <w:tcW w:w="1279" w:type="dxa"/>
            <w:gridSpan w:val="2"/>
            <w:tcMar>
              <w:left w:w="28" w:type="dxa"/>
              <w:right w:w="28" w:type="dxa"/>
            </w:tcMar>
          </w:tcPr>
          <w:p w14:paraId="536A366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0,4 </w:t>
            </w:r>
          </w:p>
        </w:tc>
        <w:tc>
          <w:tcPr>
            <w:tcW w:w="1279" w:type="dxa"/>
            <w:gridSpan w:val="2"/>
            <w:tcMar>
              <w:left w:w="28" w:type="dxa"/>
              <w:right w:w="28" w:type="dxa"/>
            </w:tcMar>
          </w:tcPr>
          <w:p w14:paraId="2CB5540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0,4</w:t>
            </w:r>
          </w:p>
        </w:tc>
        <w:tc>
          <w:tcPr>
            <w:tcW w:w="1278" w:type="dxa"/>
            <w:gridSpan w:val="2"/>
            <w:tcMar>
              <w:left w:w="28" w:type="dxa"/>
              <w:right w:w="28" w:type="dxa"/>
            </w:tcMar>
          </w:tcPr>
          <w:p w14:paraId="43653EC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tcMar>
              <w:left w:w="28" w:type="dxa"/>
              <w:right w:w="28" w:type="dxa"/>
            </w:tcMar>
          </w:tcPr>
          <w:p w14:paraId="1E260E8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tcMar>
              <w:left w:w="28" w:type="dxa"/>
              <w:right w:w="28" w:type="dxa"/>
            </w:tcMar>
          </w:tcPr>
          <w:p w14:paraId="3508B174"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298C8981"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0F83F5F4"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547F4E2F"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652B88D5" w14:textId="77777777" w:rsidTr="004C279A">
        <w:trPr>
          <w:gridBefore w:val="1"/>
          <w:wBefore w:w="12" w:type="dxa"/>
          <w:cantSplit/>
          <w:tblHeader/>
          <w:jc w:val="center"/>
        </w:trPr>
        <w:tc>
          <w:tcPr>
            <w:tcW w:w="651" w:type="dxa"/>
            <w:gridSpan w:val="3"/>
            <w:tcMar>
              <w:left w:w="28" w:type="dxa"/>
              <w:right w:w="28" w:type="dxa"/>
            </w:tcMar>
          </w:tcPr>
          <w:p w14:paraId="6A730432"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(32)</w:t>
            </w:r>
          </w:p>
        </w:tc>
        <w:tc>
          <w:tcPr>
            <w:tcW w:w="2286" w:type="dxa"/>
            <w:gridSpan w:val="3"/>
            <w:tcMar>
              <w:left w:w="28" w:type="dxa"/>
              <w:right w:w="28" w:type="dxa"/>
            </w:tcMar>
          </w:tcPr>
          <w:p w14:paraId="5974EDB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Трихлорометан</w:t>
            </w:r>
          </w:p>
        </w:tc>
        <w:tc>
          <w:tcPr>
            <w:tcW w:w="1329" w:type="dxa"/>
            <w:gridSpan w:val="3"/>
            <w:tcMar>
              <w:left w:w="28" w:type="dxa"/>
              <w:right w:w="28" w:type="dxa"/>
            </w:tcMar>
          </w:tcPr>
          <w:p w14:paraId="75D099D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tcMar>
              <w:left w:w="28" w:type="dxa"/>
              <w:right w:w="28" w:type="dxa"/>
            </w:tcMar>
          </w:tcPr>
          <w:p w14:paraId="5EAA997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67-66-3</w:t>
            </w:r>
          </w:p>
        </w:tc>
        <w:tc>
          <w:tcPr>
            <w:tcW w:w="1134" w:type="dxa"/>
          </w:tcPr>
          <w:p w14:paraId="51CDFAF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200-663-8</w:t>
            </w:r>
          </w:p>
        </w:tc>
        <w:tc>
          <w:tcPr>
            <w:tcW w:w="1279" w:type="dxa"/>
            <w:gridSpan w:val="2"/>
            <w:tcMar>
              <w:left w:w="28" w:type="dxa"/>
              <w:right w:w="28" w:type="dxa"/>
            </w:tcMar>
          </w:tcPr>
          <w:p w14:paraId="6620B66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2,5 </w:t>
            </w:r>
          </w:p>
        </w:tc>
        <w:tc>
          <w:tcPr>
            <w:tcW w:w="1279" w:type="dxa"/>
            <w:gridSpan w:val="2"/>
            <w:tcMar>
              <w:left w:w="28" w:type="dxa"/>
              <w:right w:w="28" w:type="dxa"/>
            </w:tcMar>
          </w:tcPr>
          <w:p w14:paraId="100393B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2,5 </w:t>
            </w:r>
          </w:p>
        </w:tc>
        <w:tc>
          <w:tcPr>
            <w:tcW w:w="1278" w:type="dxa"/>
            <w:gridSpan w:val="2"/>
            <w:tcMar>
              <w:left w:w="28" w:type="dxa"/>
              <w:right w:w="28" w:type="dxa"/>
            </w:tcMar>
          </w:tcPr>
          <w:p w14:paraId="7446DA0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tcMar>
              <w:left w:w="28" w:type="dxa"/>
              <w:right w:w="28" w:type="dxa"/>
            </w:tcMar>
          </w:tcPr>
          <w:p w14:paraId="5D28074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tcMar>
              <w:left w:w="28" w:type="dxa"/>
              <w:right w:w="28" w:type="dxa"/>
            </w:tcMar>
          </w:tcPr>
          <w:p w14:paraId="63AB1D0E"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36869720"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646075D3"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6394F944"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7EA8FE9F" w14:textId="77777777" w:rsidTr="004C279A">
        <w:trPr>
          <w:gridBefore w:val="1"/>
          <w:wBefore w:w="12" w:type="dxa"/>
          <w:cantSplit/>
          <w:tblHeader/>
          <w:jc w:val="center"/>
        </w:trPr>
        <w:tc>
          <w:tcPr>
            <w:tcW w:w="651" w:type="dxa"/>
            <w:gridSpan w:val="3"/>
            <w:tcMar>
              <w:left w:w="28" w:type="dxa"/>
              <w:right w:w="28" w:type="dxa"/>
            </w:tcMar>
          </w:tcPr>
          <w:p w14:paraId="522D3921"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(33)</w:t>
            </w:r>
          </w:p>
        </w:tc>
        <w:tc>
          <w:tcPr>
            <w:tcW w:w="2286" w:type="dxa"/>
            <w:gridSpan w:val="3"/>
            <w:tcMar>
              <w:left w:w="28" w:type="dxa"/>
              <w:right w:w="28" w:type="dxa"/>
            </w:tcMar>
          </w:tcPr>
          <w:p w14:paraId="2BF59A7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Трифлуралин</w:t>
            </w:r>
          </w:p>
        </w:tc>
        <w:tc>
          <w:tcPr>
            <w:tcW w:w="1329" w:type="dxa"/>
            <w:gridSpan w:val="3"/>
            <w:tcMar>
              <w:left w:w="28" w:type="dxa"/>
              <w:right w:w="28" w:type="dxa"/>
            </w:tcMar>
          </w:tcPr>
          <w:p w14:paraId="08332A7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Хербициди</w:t>
            </w:r>
          </w:p>
        </w:tc>
        <w:tc>
          <w:tcPr>
            <w:tcW w:w="992" w:type="dxa"/>
            <w:gridSpan w:val="2"/>
            <w:tcMar>
              <w:left w:w="28" w:type="dxa"/>
              <w:right w:w="28" w:type="dxa"/>
            </w:tcMar>
          </w:tcPr>
          <w:p w14:paraId="2DF0ADE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1582-09-8</w:t>
            </w:r>
          </w:p>
        </w:tc>
        <w:tc>
          <w:tcPr>
            <w:tcW w:w="1134" w:type="dxa"/>
          </w:tcPr>
          <w:p w14:paraId="054D851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216-428-8</w:t>
            </w:r>
          </w:p>
        </w:tc>
        <w:tc>
          <w:tcPr>
            <w:tcW w:w="1279" w:type="dxa"/>
            <w:gridSpan w:val="2"/>
            <w:tcMar>
              <w:left w:w="28" w:type="dxa"/>
              <w:right w:w="28" w:type="dxa"/>
            </w:tcMar>
          </w:tcPr>
          <w:p w14:paraId="09F77FF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0,03</w:t>
            </w:r>
          </w:p>
        </w:tc>
        <w:tc>
          <w:tcPr>
            <w:tcW w:w="1279" w:type="dxa"/>
            <w:gridSpan w:val="2"/>
            <w:tcMar>
              <w:left w:w="28" w:type="dxa"/>
              <w:right w:w="28" w:type="dxa"/>
            </w:tcMar>
          </w:tcPr>
          <w:p w14:paraId="76F54B4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0,03</w:t>
            </w:r>
          </w:p>
        </w:tc>
        <w:tc>
          <w:tcPr>
            <w:tcW w:w="1278" w:type="dxa"/>
            <w:gridSpan w:val="2"/>
            <w:tcMar>
              <w:left w:w="28" w:type="dxa"/>
              <w:right w:w="28" w:type="dxa"/>
            </w:tcMar>
          </w:tcPr>
          <w:p w14:paraId="3B5591C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tcMar>
              <w:left w:w="28" w:type="dxa"/>
              <w:right w:w="28" w:type="dxa"/>
            </w:tcMar>
          </w:tcPr>
          <w:p w14:paraId="5CC62E9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tcMar>
              <w:left w:w="28" w:type="dxa"/>
              <w:right w:w="28" w:type="dxa"/>
            </w:tcMar>
          </w:tcPr>
          <w:p w14:paraId="39F5887B"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1B81B0A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59639617"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5C81E7DD"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034C065D" w14:textId="77777777" w:rsidTr="004C279A">
        <w:trPr>
          <w:gridBefore w:val="1"/>
          <w:wBefore w:w="12" w:type="dxa"/>
          <w:cantSplit/>
          <w:tblHeader/>
          <w:jc w:val="center"/>
        </w:trPr>
        <w:tc>
          <w:tcPr>
            <w:tcW w:w="651" w:type="dxa"/>
            <w:gridSpan w:val="3"/>
            <w:tcMar>
              <w:left w:w="28" w:type="dxa"/>
              <w:right w:w="28" w:type="dxa"/>
            </w:tcMar>
          </w:tcPr>
          <w:p w14:paraId="343D04D6"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(34)</w:t>
            </w:r>
          </w:p>
        </w:tc>
        <w:tc>
          <w:tcPr>
            <w:tcW w:w="2286" w:type="dxa"/>
            <w:gridSpan w:val="3"/>
            <w:tcMar>
              <w:left w:w="28" w:type="dxa"/>
              <w:right w:w="28" w:type="dxa"/>
            </w:tcMar>
          </w:tcPr>
          <w:p w14:paraId="23EF4EF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Дикофол</w:t>
            </w:r>
          </w:p>
        </w:tc>
        <w:tc>
          <w:tcPr>
            <w:tcW w:w="1329" w:type="dxa"/>
            <w:gridSpan w:val="3"/>
            <w:tcMar>
              <w:left w:w="28" w:type="dxa"/>
              <w:right w:w="28" w:type="dxa"/>
            </w:tcMar>
          </w:tcPr>
          <w:p w14:paraId="2EB4858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Органохлорни пестициди</w:t>
            </w:r>
          </w:p>
        </w:tc>
        <w:tc>
          <w:tcPr>
            <w:tcW w:w="992" w:type="dxa"/>
            <w:gridSpan w:val="2"/>
            <w:tcMar>
              <w:left w:w="28" w:type="dxa"/>
              <w:right w:w="28" w:type="dxa"/>
            </w:tcMar>
          </w:tcPr>
          <w:p w14:paraId="5E72C62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115-32-2</w:t>
            </w:r>
          </w:p>
        </w:tc>
        <w:tc>
          <w:tcPr>
            <w:tcW w:w="1134" w:type="dxa"/>
          </w:tcPr>
          <w:p w14:paraId="7427F47E" w14:textId="77777777" w:rsidR="00501E78" w:rsidRPr="00921C9B" w:rsidRDefault="00501E78" w:rsidP="00501E78">
            <w:pPr>
              <w:widowControl/>
              <w:spacing w:before="40" w:after="40"/>
              <w:rPr>
                <w:rFonts w:eastAsia="Calibri"/>
                <w:strike/>
                <w:noProof/>
                <w:sz w:val="22"/>
                <w:szCs w:val="22"/>
                <w:lang w:eastAsia="en-US"/>
              </w:rPr>
            </w:pPr>
            <w:r w:rsidRPr="00921C9B">
              <w:rPr>
                <w:rFonts w:eastAsia="Calibri"/>
                <w:noProof/>
                <w:sz w:val="22"/>
                <w:szCs w:val="22"/>
                <w:lang w:eastAsia="en-US"/>
              </w:rPr>
              <w:t>204-082-0</w:t>
            </w:r>
          </w:p>
        </w:tc>
        <w:tc>
          <w:tcPr>
            <w:tcW w:w="1279" w:type="dxa"/>
            <w:gridSpan w:val="2"/>
            <w:tcMar>
              <w:left w:w="28" w:type="dxa"/>
              <w:right w:w="28" w:type="dxa"/>
            </w:tcMar>
          </w:tcPr>
          <w:p w14:paraId="3BDB866D"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[4,45 × 10</w:t>
            </w:r>
            <w:r w:rsidRPr="00921C9B">
              <w:rPr>
                <w:rFonts w:eastAsia="Calibri"/>
                <w:noProof/>
                <w:sz w:val="22"/>
                <w:szCs w:val="22"/>
                <w:vertAlign w:val="superscript"/>
                <w:lang w:eastAsia="en-US"/>
              </w:rPr>
              <w:t>-3</w:t>
            </w:r>
            <w:r w:rsidRPr="00921C9B">
              <w:rPr>
                <w:rFonts w:eastAsia="Calibri"/>
                <w:noProof/>
                <w:sz w:val="22"/>
                <w:szCs w:val="22"/>
                <w:lang w:eastAsia="en-US"/>
              </w:rPr>
              <w:t>]</w:t>
            </w:r>
          </w:p>
        </w:tc>
        <w:tc>
          <w:tcPr>
            <w:tcW w:w="1279" w:type="dxa"/>
            <w:gridSpan w:val="2"/>
            <w:tcMar>
              <w:left w:w="28" w:type="dxa"/>
              <w:right w:w="28" w:type="dxa"/>
            </w:tcMar>
          </w:tcPr>
          <w:p w14:paraId="6FC0D8C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[0,185 × 10</w:t>
            </w:r>
            <w:r w:rsidRPr="00921C9B">
              <w:rPr>
                <w:rFonts w:eastAsia="Calibri"/>
                <w:noProof/>
                <w:sz w:val="22"/>
                <w:szCs w:val="22"/>
                <w:vertAlign w:val="superscript"/>
                <w:lang w:eastAsia="en-US"/>
              </w:rPr>
              <w:t>-3</w:t>
            </w:r>
            <w:r w:rsidRPr="00921C9B">
              <w:rPr>
                <w:rFonts w:eastAsia="Calibri"/>
                <w:noProof/>
                <w:sz w:val="22"/>
                <w:szCs w:val="22"/>
                <w:lang w:eastAsia="en-US"/>
              </w:rPr>
              <w:t>]</w:t>
            </w:r>
          </w:p>
        </w:tc>
        <w:tc>
          <w:tcPr>
            <w:tcW w:w="1278" w:type="dxa"/>
            <w:gridSpan w:val="2"/>
            <w:tcMar>
              <w:left w:w="28" w:type="dxa"/>
              <w:right w:w="28" w:type="dxa"/>
            </w:tcMar>
          </w:tcPr>
          <w:p w14:paraId="5449AB60"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не се прилага </w:t>
            </w:r>
            <w:bookmarkStart w:id="38" w:name="_DV_M308"/>
            <w:bookmarkStart w:id="39" w:name="_Ref101447957"/>
            <w:bookmarkEnd w:id="38"/>
            <w:r w:rsidRPr="00921C9B">
              <w:rPr>
                <w:rFonts w:eastAsia="Calibri"/>
                <w:noProof/>
                <w:sz w:val="22"/>
                <w:szCs w:val="22"/>
                <w:lang w:eastAsia="en-US"/>
              </w:rPr>
              <w:t>(</w:t>
            </w:r>
            <w:r w:rsidRPr="00921C9B">
              <w:rPr>
                <w:rFonts w:eastAsia="Calibri"/>
                <w:noProof/>
                <w:sz w:val="22"/>
                <w:szCs w:val="22"/>
                <w:vertAlign w:val="superscript"/>
                <w:lang w:eastAsia="en-US"/>
              </w:rPr>
              <w:t>20</w:t>
            </w:r>
            <w:r w:rsidRPr="00921C9B">
              <w:rPr>
                <w:rFonts w:eastAsia="Calibri"/>
                <w:noProof/>
                <w:sz w:val="22"/>
                <w:szCs w:val="22"/>
                <w:lang w:eastAsia="en-US"/>
              </w:rPr>
              <w:t>)</w:t>
            </w:r>
            <w:bookmarkEnd w:id="39"/>
          </w:p>
        </w:tc>
        <w:tc>
          <w:tcPr>
            <w:tcW w:w="1277" w:type="dxa"/>
            <w:gridSpan w:val="2"/>
            <w:tcMar>
              <w:left w:w="28" w:type="dxa"/>
              <w:right w:w="28" w:type="dxa"/>
            </w:tcMar>
          </w:tcPr>
          <w:p w14:paraId="29407498"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не се прилага (</w:t>
            </w:r>
            <w:r w:rsidRPr="00921C9B">
              <w:rPr>
                <w:rFonts w:eastAsia="Calibri"/>
                <w:noProof/>
                <w:sz w:val="22"/>
                <w:szCs w:val="22"/>
                <w:vertAlign w:val="superscript"/>
                <w:lang w:eastAsia="en-US"/>
              </w:rPr>
              <w:t>20</w:t>
            </w:r>
            <w:r w:rsidRPr="00921C9B">
              <w:rPr>
                <w:rFonts w:eastAsia="Calibri"/>
                <w:noProof/>
                <w:sz w:val="22"/>
                <w:szCs w:val="22"/>
                <w:lang w:eastAsia="en-US"/>
              </w:rPr>
              <w:t>)</w:t>
            </w:r>
            <w:bookmarkStart w:id="40" w:name="_DV_M309"/>
            <w:bookmarkEnd w:id="40"/>
          </w:p>
        </w:tc>
        <w:tc>
          <w:tcPr>
            <w:tcW w:w="1136" w:type="dxa"/>
            <w:gridSpan w:val="2"/>
            <w:tcMar>
              <w:left w:w="28" w:type="dxa"/>
              <w:right w:w="28" w:type="dxa"/>
            </w:tcMar>
          </w:tcPr>
          <w:p w14:paraId="28C5A23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[5,45]</w:t>
            </w:r>
          </w:p>
        </w:tc>
        <w:tc>
          <w:tcPr>
            <w:tcW w:w="1262" w:type="dxa"/>
            <w:tcMar>
              <w:left w:w="28" w:type="dxa"/>
              <w:right w:w="28" w:type="dxa"/>
            </w:tcMar>
          </w:tcPr>
          <w:p w14:paraId="40ECFE4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5EE3017E"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45BD1E9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783ACD44" w14:textId="77777777" w:rsidTr="004C279A">
        <w:trPr>
          <w:gridBefore w:val="1"/>
          <w:wBefore w:w="12" w:type="dxa"/>
          <w:cantSplit/>
          <w:tblHeader/>
          <w:jc w:val="center"/>
        </w:trPr>
        <w:tc>
          <w:tcPr>
            <w:tcW w:w="651" w:type="dxa"/>
            <w:gridSpan w:val="3"/>
            <w:tcMar>
              <w:left w:w="28" w:type="dxa"/>
              <w:right w:w="28" w:type="dxa"/>
            </w:tcMar>
          </w:tcPr>
          <w:p w14:paraId="169CE066"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(35)</w:t>
            </w:r>
          </w:p>
        </w:tc>
        <w:tc>
          <w:tcPr>
            <w:tcW w:w="2286" w:type="dxa"/>
            <w:gridSpan w:val="3"/>
            <w:tcMar>
              <w:left w:w="28" w:type="dxa"/>
              <w:right w:w="28" w:type="dxa"/>
            </w:tcMar>
          </w:tcPr>
          <w:p w14:paraId="1B596EE5" w14:textId="77777777" w:rsidR="00501E78" w:rsidRPr="00921C9B" w:rsidRDefault="00501E78" w:rsidP="00501E78">
            <w:pPr>
              <w:pageBreakBefore/>
              <w:widowControl/>
              <w:spacing w:before="40" w:after="40"/>
              <w:rPr>
                <w:rFonts w:eastAsia="Calibri"/>
                <w:noProof/>
                <w:sz w:val="22"/>
                <w:szCs w:val="22"/>
                <w:lang w:eastAsia="en-US"/>
              </w:rPr>
            </w:pPr>
            <w:r w:rsidRPr="00921C9B">
              <w:rPr>
                <w:rFonts w:eastAsia="Calibri"/>
                <w:noProof/>
                <w:sz w:val="22"/>
                <w:szCs w:val="22"/>
                <w:lang w:eastAsia="en-US"/>
              </w:rPr>
              <w:t>Перфлуорооктан сулфонова киселина и нейните производни (PFOS)</w:t>
            </w:r>
          </w:p>
        </w:tc>
        <w:tc>
          <w:tcPr>
            <w:tcW w:w="1329" w:type="dxa"/>
            <w:gridSpan w:val="3"/>
            <w:tcMar>
              <w:left w:w="28" w:type="dxa"/>
              <w:right w:w="28" w:type="dxa"/>
            </w:tcMar>
          </w:tcPr>
          <w:p w14:paraId="50FFF66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tcMar>
              <w:left w:w="28" w:type="dxa"/>
              <w:right w:w="28" w:type="dxa"/>
            </w:tcMar>
          </w:tcPr>
          <w:p w14:paraId="069C6B2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1763-23-1</w:t>
            </w:r>
          </w:p>
        </w:tc>
        <w:tc>
          <w:tcPr>
            <w:tcW w:w="1134" w:type="dxa"/>
          </w:tcPr>
          <w:p w14:paraId="39C8085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217-179-8</w:t>
            </w:r>
          </w:p>
        </w:tc>
        <w:tc>
          <w:tcPr>
            <w:tcW w:w="9634" w:type="dxa"/>
            <w:gridSpan w:val="14"/>
            <w:tcMar>
              <w:left w:w="28" w:type="dxa"/>
              <w:right w:w="28" w:type="dxa"/>
            </w:tcMar>
          </w:tcPr>
          <w:p w14:paraId="49F5DD6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Покрива се от група вещества 65 (пер- и полифлуорирани алкилни вещества (PFAS) — сбор от 24)</w:t>
            </w:r>
          </w:p>
        </w:tc>
      </w:tr>
      <w:tr w:rsidR="00501E78" w:rsidRPr="00921C9B" w14:paraId="450BFE9D" w14:textId="77777777" w:rsidTr="004C279A">
        <w:trPr>
          <w:gridBefore w:val="1"/>
          <w:wBefore w:w="12" w:type="dxa"/>
          <w:cantSplit/>
          <w:tblHeader/>
          <w:jc w:val="center"/>
        </w:trPr>
        <w:tc>
          <w:tcPr>
            <w:tcW w:w="651" w:type="dxa"/>
            <w:gridSpan w:val="3"/>
            <w:tcMar>
              <w:left w:w="28" w:type="dxa"/>
              <w:right w:w="28" w:type="dxa"/>
            </w:tcMar>
          </w:tcPr>
          <w:p w14:paraId="02E1B3A6"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(36)</w:t>
            </w:r>
          </w:p>
        </w:tc>
        <w:tc>
          <w:tcPr>
            <w:tcW w:w="2286" w:type="dxa"/>
            <w:gridSpan w:val="3"/>
            <w:tcMar>
              <w:left w:w="28" w:type="dxa"/>
              <w:right w:w="28" w:type="dxa"/>
            </w:tcMar>
          </w:tcPr>
          <w:p w14:paraId="27B5AA38" w14:textId="77777777" w:rsidR="00501E78" w:rsidRPr="00921C9B" w:rsidRDefault="00501E78" w:rsidP="00501E78">
            <w:pPr>
              <w:pageBreakBefore/>
              <w:widowControl/>
              <w:spacing w:before="40" w:after="40"/>
              <w:rPr>
                <w:rFonts w:eastAsia="Calibri"/>
                <w:noProof/>
                <w:sz w:val="22"/>
                <w:szCs w:val="22"/>
                <w:lang w:eastAsia="en-US"/>
              </w:rPr>
            </w:pPr>
            <w:r w:rsidRPr="00921C9B">
              <w:rPr>
                <w:rFonts w:eastAsia="Calibri"/>
                <w:noProof/>
                <w:sz w:val="22"/>
                <w:szCs w:val="22"/>
                <w:lang w:eastAsia="en-US"/>
              </w:rPr>
              <w:t>Хиноксифен</w:t>
            </w:r>
          </w:p>
        </w:tc>
        <w:tc>
          <w:tcPr>
            <w:tcW w:w="1329" w:type="dxa"/>
            <w:gridSpan w:val="3"/>
            <w:tcMar>
              <w:left w:w="28" w:type="dxa"/>
              <w:right w:w="28" w:type="dxa"/>
            </w:tcMar>
          </w:tcPr>
          <w:p w14:paraId="7F4FE1B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Продукти за растителна защита</w:t>
            </w:r>
          </w:p>
        </w:tc>
        <w:tc>
          <w:tcPr>
            <w:tcW w:w="992" w:type="dxa"/>
            <w:gridSpan w:val="2"/>
            <w:tcMar>
              <w:left w:w="28" w:type="dxa"/>
              <w:right w:w="28" w:type="dxa"/>
            </w:tcMar>
          </w:tcPr>
          <w:p w14:paraId="3692086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124495-18-7</w:t>
            </w:r>
          </w:p>
        </w:tc>
        <w:tc>
          <w:tcPr>
            <w:tcW w:w="1134" w:type="dxa"/>
          </w:tcPr>
          <w:p w14:paraId="1B5883B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9" w:type="dxa"/>
            <w:gridSpan w:val="2"/>
            <w:tcMar>
              <w:left w:w="28" w:type="dxa"/>
              <w:right w:w="28" w:type="dxa"/>
            </w:tcMar>
          </w:tcPr>
          <w:p w14:paraId="2DC22E2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0,15</w:t>
            </w:r>
          </w:p>
        </w:tc>
        <w:tc>
          <w:tcPr>
            <w:tcW w:w="1279" w:type="dxa"/>
            <w:gridSpan w:val="2"/>
            <w:tcMar>
              <w:left w:w="28" w:type="dxa"/>
              <w:right w:w="28" w:type="dxa"/>
            </w:tcMar>
          </w:tcPr>
          <w:p w14:paraId="0D71F8E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0,015</w:t>
            </w:r>
          </w:p>
        </w:tc>
        <w:tc>
          <w:tcPr>
            <w:tcW w:w="1278" w:type="dxa"/>
            <w:gridSpan w:val="2"/>
            <w:tcMar>
              <w:left w:w="28" w:type="dxa"/>
              <w:right w:w="28" w:type="dxa"/>
            </w:tcMar>
          </w:tcPr>
          <w:p w14:paraId="68672C4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2,7</w:t>
            </w:r>
          </w:p>
        </w:tc>
        <w:tc>
          <w:tcPr>
            <w:tcW w:w="1277" w:type="dxa"/>
            <w:gridSpan w:val="2"/>
            <w:tcMar>
              <w:left w:w="28" w:type="dxa"/>
              <w:right w:w="28" w:type="dxa"/>
            </w:tcMar>
          </w:tcPr>
          <w:p w14:paraId="591AA8F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0,54</w:t>
            </w:r>
          </w:p>
        </w:tc>
        <w:tc>
          <w:tcPr>
            <w:tcW w:w="1136" w:type="dxa"/>
            <w:gridSpan w:val="2"/>
            <w:tcMar>
              <w:left w:w="28" w:type="dxa"/>
              <w:right w:w="28" w:type="dxa"/>
            </w:tcMar>
          </w:tcPr>
          <w:p w14:paraId="6ED1BBC9"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7F1E11F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3FA42BFD"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18385B1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5272918B" w14:textId="77777777" w:rsidTr="004C279A">
        <w:trPr>
          <w:cantSplit/>
          <w:tblHeader/>
          <w:jc w:val="center"/>
        </w:trPr>
        <w:tc>
          <w:tcPr>
            <w:tcW w:w="663" w:type="dxa"/>
            <w:gridSpan w:val="4"/>
            <w:tcMar>
              <w:left w:w="28" w:type="dxa"/>
              <w:right w:w="28" w:type="dxa"/>
            </w:tcMar>
          </w:tcPr>
          <w:p w14:paraId="7833A4C6"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lastRenderedPageBreak/>
              <w:t>(37)</w:t>
            </w:r>
          </w:p>
        </w:tc>
        <w:tc>
          <w:tcPr>
            <w:tcW w:w="2193" w:type="dxa"/>
            <w:tcMar>
              <w:left w:w="28" w:type="dxa"/>
              <w:right w:w="28" w:type="dxa"/>
            </w:tcMar>
          </w:tcPr>
          <w:p w14:paraId="704534AA" w14:textId="77777777" w:rsidR="00501E78" w:rsidRPr="00921C9B" w:rsidRDefault="00501E78" w:rsidP="00501E78">
            <w:pPr>
              <w:widowControl/>
              <w:spacing w:before="40" w:after="40"/>
              <w:rPr>
                <w:rFonts w:eastAsia="Calibri"/>
                <w:noProof/>
                <w:color w:val="F79646"/>
                <w:sz w:val="22"/>
                <w:szCs w:val="22"/>
                <w:lang w:eastAsia="en-US"/>
              </w:rPr>
            </w:pPr>
            <w:r w:rsidRPr="00921C9B">
              <w:rPr>
                <w:rFonts w:eastAsia="Calibri"/>
                <w:noProof/>
                <w:sz w:val="22"/>
                <w:szCs w:val="22"/>
                <w:lang w:eastAsia="en-US"/>
              </w:rPr>
              <w:t>Диоксини и диоксиноподобни съединения (</w:t>
            </w:r>
            <w:r w:rsidRPr="00921C9B">
              <w:rPr>
                <w:rFonts w:eastAsia="Calibri"/>
                <w:noProof/>
                <w:sz w:val="22"/>
                <w:szCs w:val="22"/>
                <w:vertAlign w:val="superscript"/>
                <w:lang w:eastAsia="en-US"/>
              </w:rPr>
              <w:t>21</w:t>
            </w:r>
            <w:r w:rsidRPr="00921C9B">
              <w:rPr>
                <w:rFonts w:eastAsia="Calibri"/>
                <w:noProof/>
                <w:sz w:val="22"/>
                <w:szCs w:val="22"/>
                <w:lang w:eastAsia="en-US"/>
              </w:rPr>
              <w:t>)</w:t>
            </w:r>
          </w:p>
        </w:tc>
        <w:tc>
          <w:tcPr>
            <w:tcW w:w="1422" w:type="dxa"/>
            <w:gridSpan w:val="5"/>
            <w:tcMar>
              <w:left w:w="28" w:type="dxa"/>
              <w:right w:w="28" w:type="dxa"/>
            </w:tcMar>
          </w:tcPr>
          <w:p w14:paraId="2A025DF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Странични промишлени продукти</w:t>
            </w:r>
          </w:p>
        </w:tc>
        <w:tc>
          <w:tcPr>
            <w:tcW w:w="992" w:type="dxa"/>
            <w:gridSpan w:val="2"/>
            <w:tcMar>
              <w:left w:w="28" w:type="dxa"/>
              <w:right w:w="28" w:type="dxa"/>
            </w:tcMar>
          </w:tcPr>
          <w:p w14:paraId="37DB781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4" w:type="dxa"/>
          </w:tcPr>
          <w:p w14:paraId="799BD0E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9" w:type="dxa"/>
            <w:gridSpan w:val="2"/>
            <w:tcMar>
              <w:left w:w="28" w:type="dxa"/>
              <w:right w:w="28" w:type="dxa"/>
            </w:tcMar>
          </w:tcPr>
          <w:p w14:paraId="69A9AB4B" w14:textId="77777777" w:rsidR="00501E78" w:rsidRPr="00921C9B" w:rsidRDefault="00501E78" w:rsidP="00501E78">
            <w:pPr>
              <w:widowControl/>
              <w:spacing w:before="40" w:after="40"/>
              <w:rPr>
                <w:rFonts w:eastAsia="Calibri"/>
                <w:noProof/>
                <w:sz w:val="22"/>
                <w:szCs w:val="22"/>
                <w:lang w:eastAsia="en-US"/>
              </w:rPr>
            </w:pPr>
          </w:p>
        </w:tc>
        <w:tc>
          <w:tcPr>
            <w:tcW w:w="1279" w:type="dxa"/>
            <w:gridSpan w:val="2"/>
            <w:tcMar>
              <w:left w:w="28" w:type="dxa"/>
              <w:right w:w="28" w:type="dxa"/>
            </w:tcMar>
          </w:tcPr>
          <w:p w14:paraId="2D1D4ED0" w14:textId="77777777" w:rsidR="00501E78" w:rsidRPr="00921C9B" w:rsidRDefault="00501E78" w:rsidP="00501E78">
            <w:pPr>
              <w:widowControl/>
              <w:spacing w:before="40" w:after="40"/>
              <w:rPr>
                <w:rFonts w:eastAsia="Calibri"/>
                <w:noProof/>
                <w:sz w:val="22"/>
                <w:szCs w:val="22"/>
                <w:lang w:eastAsia="en-US"/>
              </w:rPr>
            </w:pPr>
          </w:p>
        </w:tc>
        <w:tc>
          <w:tcPr>
            <w:tcW w:w="1278" w:type="dxa"/>
            <w:gridSpan w:val="2"/>
            <w:tcMar>
              <w:left w:w="28" w:type="dxa"/>
              <w:right w:w="28" w:type="dxa"/>
            </w:tcMar>
          </w:tcPr>
          <w:p w14:paraId="586550FC" w14:textId="77777777" w:rsidR="00501E78" w:rsidRPr="00921C9B" w:rsidRDefault="00501E78" w:rsidP="00501E78">
            <w:pPr>
              <w:widowControl/>
              <w:spacing w:before="40" w:after="40"/>
              <w:rPr>
                <w:rFonts w:eastAsia="Calibri"/>
                <w:b/>
                <w:i/>
                <w:noProof/>
                <w:sz w:val="22"/>
                <w:szCs w:val="22"/>
                <w:lang w:eastAsia="en-US"/>
              </w:rPr>
            </w:pPr>
            <w:bookmarkStart w:id="41" w:name="_DV_C352"/>
            <w:r w:rsidRPr="00921C9B">
              <w:rPr>
                <w:rFonts w:eastAsia="Calibri"/>
                <w:noProof/>
                <w:sz w:val="22"/>
                <w:szCs w:val="22"/>
                <w:lang w:eastAsia="en-US"/>
              </w:rPr>
              <w:t>не се прилага</w:t>
            </w:r>
            <w:bookmarkEnd w:id="41"/>
          </w:p>
        </w:tc>
        <w:tc>
          <w:tcPr>
            <w:tcW w:w="1277" w:type="dxa"/>
            <w:gridSpan w:val="2"/>
            <w:tcMar>
              <w:left w:w="28" w:type="dxa"/>
              <w:right w:w="28" w:type="dxa"/>
            </w:tcMar>
          </w:tcPr>
          <w:p w14:paraId="41E0C211" w14:textId="77777777" w:rsidR="00501E78" w:rsidRPr="00921C9B" w:rsidRDefault="00501E78" w:rsidP="00501E78">
            <w:pPr>
              <w:widowControl/>
              <w:spacing w:before="40" w:after="40"/>
              <w:rPr>
                <w:rFonts w:eastAsia="Calibri"/>
                <w:b/>
                <w:i/>
                <w:noProof/>
                <w:sz w:val="22"/>
                <w:szCs w:val="22"/>
                <w:lang w:eastAsia="en-US"/>
              </w:rPr>
            </w:pPr>
            <w:bookmarkStart w:id="42" w:name="_DV_C353"/>
            <w:r w:rsidRPr="00921C9B">
              <w:rPr>
                <w:rFonts w:eastAsia="Calibri"/>
                <w:noProof/>
                <w:sz w:val="22"/>
                <w:szCs w:val="22"/>
                <w:lang w:eastAsia="en-US"/>
              </w:rPr>
              <w:t>не се прилага</w:t>
            </w:r>
            <w:bookmarkEnd w:id="42"/>
          </w:p>
        </w:tc>
        <w:tc>
          <w:tcPr>
            <w:tcW w:w="1136" w:type="dxa"/>
            <w:gridSpan w:val="2"/>
            <w:tcMar>
              <w:left w:w="28" w:type="dxa"/>
              <w:right w:w="28" w:type="dxa"/>
            </w:tcMar>
          </w:tcPr>
          <w:p w14:paraId="6681DCF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Сбор от PCDD+ PCDF+ PCB-DL</w:t>
            </w:r>
          </w:p>
          <w:p w14:paraId="1F05F06E"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еквиваленти [3,5 10</w:t>
            </w:r>
            <w:r w:rsidRPr="00921C9B">
              <w:rPr>
                <w:rFonts w:eastAsia="Calibri"/>
                <w:noProof/>
                <w:sz w:val="22"/>
                <w:szCs w:val="22"/>
                <w:vertAlign w:val="superscript"/>
                <w:lang w:eastAsia="en-US"/>
              </w:rPr>
              <w:t>-5</w:t>
            </w:r>
            <w:r w:rsidRPr="00921C9B">
              <w:rPr>
                <w:rFonts w:eastAsia="Calibri"/>
                <w:noProof/>
                <w:sz w:val="22"/>
                <w:szCs w:val="22"/>
                <w:lang w:eastAsia="en-US"/>
              </w:rPr>
              <w:t>] (</w:t>
            </w:r>
            <w:r w:rsidRPr="00921C9B">
              <w:rPr>
                <w:rFonts w:eastAsia="Calibri"/>
                <w:noProof/>
                <w:sz w:val="22"/>
                <w:szCs w:val="22"/>
                <w:vertAlign w:val="superscript"/>
                <w:lang w:eastAsia="en-US"/>
              </w:rPr>
              <w:t>22</w:t>
            </w:r>
            <w:r w:rsidRPr="00921C9B">
              <w:rPr>
                <w:rFonts w:eastAsia="Calibri"/>
                <w:noProof/>
                <w:sz w:val="22"/>
                <w:szCs w:val="22"/>
                <w:lang w:eastAsia="en-US"/>
              </w:rPr>
              <w:t>)</w:t>
            </w:r>
          </w:p>
        </w:tc>
        <w:tc>
          <w:tcPr>
            <w:tcW w:w="1262" w:type="dxa"/>
            <w:tcMar>
              <w:left w:w="28" w:type="dxa"/>
              <w:right w:w="28" w:type="dxa"/>
            </w:tcMar>
          </w:tcPr>
          <w:p w14:paraId="41E56E7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19CCE35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970" w:type="dxa"/>
            <w:tcMar>
              <w:left w:w="28" w:type="dxa"/>
              <w:right w:w="28" w:type="dxa"/>
            </w:tcMar>
          </w:tcPr>
          <w:p w14:paraId="643B4FD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1CEAF2CC" w14:textId="77777777" w:rsidTr="004C279A">
        <w:trPr>
          <w:gridBefore w:val="1"/>
          <w:wBefore w:w="12" w:type="dxa"/>
          <w:cantSplit/>
          <w:tblHeader/>
          <w:jc w:val="center"/>
        </w:trPr>
        <w:tc>
          <w:tcPr>
            <w:tcW w:w="651" w:type="dxa"/>
            <w:gridSpan w:val="3"/>
            <w:tcMar>
              <w:left w:w="28" w:type="dxa"/>
              <w:right w:w="28" w:type="dxa"/>
            </w:tcMar>
          </w:tcPr>
          <w:p w14:paraId="1046624F"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(38)</w:t>
            </w:r>
          </w:p>
        </w:tc>
        <w:tc>
          <w:tcPr>
            <w:tcW w:w="2286" w:type="dxa"/>
            <w:gridSpan w:val="3"/>
            <w:tcMar>
              <w:left w:w="28" w:type="dxa"/>
              <w:right w:w="28" w:type="dxa"/>
            </w:tcMar>
          </w:tcPr>
          <w:p w14:paraId="773617E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Аклонифен</w:t>
            </w:r>
          </w:p>
        </w:tc>
        <w:tc>
          <w:tcPr>
            <w:tcW w:w="1329" w:type="dxa"/>
            <w:gridSpan w:val="3"/>
            <w:tcMar>
              <w:left w:w="28" w:type="dxa"/>
              <w:right w:w="28" w:type="dxa"/>
            </w:tcMar>
          </w:tcPr>
          <w:p w14:paraId="713F393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Хербициди</w:t>
            </w:r>
          </w:p>
        </w:tc>
        <w:tc>
          <w:tcPr>
            <w:tcW w:w="992" w:type="dxa"/>
            <w:gridSpan w:val="2"/>
            <w:tcMar>
              <w:left w:w="28" w:type="dxa"/>
              <w:right w:w="28" w:type="dxa"/>
            </w:tcMar>
          </w:tcPr>
          <w:p w14:paraId="2183574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74070-46-5</w:t>
            </w:r>
          </w:p>
        </w:tc>
        <w:tc>
          <w:tcPr>
            <w:tcW w:w="1134" w:type="dxa"/>
          </w:tcPr>
          <w:p w14:paraId="46B8770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277-704-1</w:t>
            </w:r>
          </w:p>
        </w:tc>
        <w:tc>
          <w:tcPr>
            <w:tcW w:w="1279" w:type="dxa"/>
            <w:gridSpan w:val="2"/>
            <w:tcMar>
              <w:left w:w="28" w:type="dxa"/>
              <w:right w:w="28" w:type="dxa"/>
            </w:tcMar>
          </w:tcPr>
          <w:p w14:paraId="2DBBAD9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0,12</w:t>
            </w:r>
          </w:p>
        </w:tc>
        <w:tc>
          <w:tcPr>
            <w:tcW w:w="1279" w:type="dxa"/>
            <w:gridSpan w:val="2"/>
            <w:tcMar>
              <w:left w:w="28" w:type="dxa"/>
              <w:right w:w="28" w:type="dxa"/>
            </w:tcMar>
          </w:tcPr>
          <w:p w14:paraId="13FEAC4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0,012</w:t>
            </w:r>
          </w:p>
        </w:tc>
        <w:tc>
          <w:tcPr>
            <w:tcW w:w="1278" w:type="dxa"/>
            <w:gridSpan w:val="2"/>
            <w:tcMar>
              <w:left w:w="28" w:type="dxa"/>
              <w:right w:w="28" w:type="dxa"/>
            </w:tcMar>
          </w:tcPr>
          <w:p w14:paraId="2C25064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0,12</w:t>
            </w:r>
          </w:p>
        </w:tc>
        <w:tc>
          <w:tcPr>
            <w:tcW w:w="1277" w:type="dxa"/>
            <w:gridSpan w:val="2"/>
            <w:tcMar>
              <w:left w:w="28" w:type="dxa"/>
              <w:right w:w="28" w:type="dxa"/>
            </w:tcMar>
          </w:tcPr>
          <w:p w14:paraId="236D9DE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0,012</w:t>
            </w:r>
          </w:p>
        </w:tc>
        <w:tc>
          <w:tcPr>
            <w:tcW w:w="1136" w:type="dxa"/>
            <w:gridSpan w:val="2"/>
            <w:tcMar>
              <w:left w:w="28" w:type="dxa"/>
              <w:right w:w="28" w:type="dxa"/>
            </w:tcMar>
          </w:tcPr>
          <w:p w14:paraId="3F4F0919"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561CD2AE"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2ACB4BCF"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5427FB92"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63864F02" w14:textId="77777777" w:rsidTr="004C279A">
        <w:trPr>
          <w:gridBefore w:val="1"/>
          <w:wBefore w:w="12" w:type="dxa"/>
          <w:cantSplit/>
          <w:tblHeader/>
          <w:jc w:val="center"/>
        </w:trPr>
        <w:tc>
          <w:tcPr>
            <w:tcW w:w="651" w:type="dxa"/>
            <w:gridSpan w:val="3"/>
            <w:tcMar>
              <w:left w:w="28" w:type="dxa"/>
              <w:right w:w="28" w:type="dxa"/>
            </w:tcMar>
          </w:tcPr>
          <w:p w14:paraId="7C713F04"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(39)</w:t>
            </w:r>
          </w:p>
        </w:tc>
        <w:tc>
          <w:tcPr>
            <w:tcW w:w="2286" w:type="dxa"/>
            <w:gridSpan w:val="3"/>
            <w:tcMar>
              <w:left w:w="28" w:type="dxa"/>
              <w:right w:w="28" w:type="dxa"/>
            </w:tcMar>
          </w:tcPr>
          <w:p w14:paraId="1F8B848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Бифенокс</w:t>
            </w:r>
          </w:p>
        </w:tc>
        <w:tc>
          <w:tcPr>
            <w:tcW w:w="1329" w:type="dxa"/>
            <w:gridSpan w:val="3"/>
            <w:tcMar>
              <w:left w:w="28" w:type="dxa"/>
              <w:right w:w="28" w:type="dxa"/>
            </w:tcMar>
          </w:tcPr>
          <w:p w14:paraId="4667DD2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Хербициди</w:t>
            </w:r>
          </w:p>
        </w:tc>
        <w:tc>
          <w:tcPr>
            <w:tcW w:w="992" w:type="dxa"/>
            <w:gridSpan w:val="2"/>
            <w:tcMar>
              <w:left w:w="28" w:type="dxa"/>
              <w:right w:w="28" w:type="dxa"/>
            </w:tcMar>
          </w:tcPr>
          <w:p w14:paraId="199AE34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42576-02-3</w:t>
            </w:r>
          </w:p>
        </w:tc>
        <w:tc>
          <w:tcPr>
            <w:tcW w:w="1134" w:type="dxa"/>
          </w:tcPr>
          <w:p w14:paraId="660ED02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255-894-7</w:t>
            </w:r>
          </w:p>
        </w:tc>
        <w:tc>
          <w:tcPr>
            <w:tcW w:w="1279" w:type="dxa"/>
            <w:gridSpan w:val="2"/>
            <w:tcMar>
              <w:left w:w="28" w:type="dxa"/>
              <w:right w:w="28" w:type="dxa"/>
            </w:tcMar>
          </w:tcPr>
          <w:p w14:paraId="6155019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0,012</w:t>
            </w:r>
          </w:p>
        </w:tc>
        <w:tc>
          <w:tcPr>
            <w:tcW w:w="1279" w:type="dxa"/>
            <w:gridSpan w:val="2"/>
            <w:tcMar>
              <w:left w:w="28" w:type="dxa"/>
              <w:right w:w="28" w:type="dxa"/>
            </w:tcMar>
          </w:tcPr>
          <w:p w14:paraId="152B2DB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0,0012</w:t>
            </w:r>
          </w:p>
        </w:tc>
        <w:tc>
          <w:tcPr>
            <w:tcW w:w="1278" w:type="dxa"/>
            <w:gridSpan w:val="2"/>
            <w:tcMar>
              <w:left w:w="28" w:type="dxa"/>
              <w:right w:w="28" w:type="dxa"/>
            </w:tcMar>
          </w:tcPr>
          <w:p w14:paraId="348584D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0,04</w:t>
            </w:r>
          </w:p>
        </w:tc>
        <w:tc>
          <w:tcPr>
            <w:tcW w:w="1277" w:type="dxa"/>
            <w:gridSpan w:val="2"/>
            <w:tcMar>
              <w:left w:w="28" w:type="dxa"/>
              <w:right w:w="28" w:type="dxa"/>
            </w:tcMar>
          </w:tcPr>
          <w:p w14:paraId="01472C1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0,004</w:t>
            </w:r>
          </w:p>
        </w:tc>
        <w:tc>
          <w:tcPr>
            <w:tcW w:w="1136" w:type="dxa"/>
            <w:gridSpan w:val="2"/>
            <w:tcMar>
              <w:left w:w="28" w:type="dxa"/>
              <w:right w:w="28" w:type="dxa"/>
            </w:tcMar>
          </w:tcPr>
          <w:p w14:paraId="22742ADB"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5D9CD0A0"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63FC70E3"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6683A60E"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56E63256" w14:textId="77777777" w:rsidTr="004C279A">
        <w:trPr>
          <w:gridBefore w:val="1"/>
          <w:wBefore w:w="12" w:type="dxa"/>
          <w:cantSplit/>
          <w:tblHeader/>
          <w:jc w:val="center"/>
        </w:trPr>
        <w:tc>
          <w:tcPr>
            <w:tcW w:w="651" w:type="dxa"/>
            <w:gridSpan w:val="3"/>
            <w:tcMar>
              <w:left w:w="28" w:type="dxa"/>
              <w:right w:w="28" w:type="dxa"/>
            </w:tcMar>
          </w:tcPr>
          <w:p w14:paraId="3291FD75"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(40)</w:t>
            </w:r>
          </w:p>
        </w:tc>
        <w:tc>
          <w:tcPr>
            <w:tcW w:w="2286" w:type="dxa"/>
            <w:gridSpan w:val="3"/>
            <w:tcMar>
              <w:left w:w="28" w:type="dxa"/>
              <w:right w:w="28" w:type="dxa"/>
            </w:tcMar>
          </w:tcPr>
          <w:p w14:paraId="25B5436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Цибутрин</w:t>
            </w:r>
          </w:p>
        </w:tc>
        <w:tc>
          <w:tcPr>
            <w:tcW w:w="1329" w:type="dxa"/>
            <w:gridSpan w:val="3"/>
            <w:tcMar>
              <w:left w:w="28" w:type="dxa"/>
              <w:right w:w="28" w:type="dxa"/>
            </w:tcMar>
          </w:tcPr>
          <w:p w14:paraId="35E78E5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Биоциди</w:t>
            </w:r>
          </w:p>
        </w:tc>
        <w:tc>
          <w:tcPr>
            <w:tcW w:w="992" w:type="dxa"/>
            <w:gridSpan w:val="2"/>
            <w:tcMar>
              <w:left w:w="28" w:type="dxa"/>
              <w:right w:w="28" w:type="dxa"/>
            </w:tcMar>
          </w:tcPr>
          <w:p w14:paraId="0F4CD49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28159-98-0</w:t>
            </w:r>
          </w:p>
        </w:tc>
        <w:tc>
          <w:tcPr>
            <w:tcW w:w="1134" w:type="dxa"/>
          </w:tcPr>
          <w:p w14:paraId="11833ED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248-872-3</w:t>
            </w:r>
          </w:p>
        </w:tc>
        <w:tc>
          <w:tcPr>
            <w:tcW w:w="1279" w:type="dxa"/>
            <w:gridSpan w:val="2"/>
            <w:tcMar>
              <w:left w:w="28" w:type="dxa"/>
              <w:right w:w="28" w:type="dxa"/>
            </w:tcMar>
          </w:tcPr>
          <w:p w14:paraId="730E0C6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0,0025</w:t>
            </w:r>
          </w:p>
        </w:tc>
        <w:tc>
          <w:tcPr>
            <w:tcW w:w="1279" w:type="dxa"/>
            <w:gridSpan w:val="2"/>
            <w:tcMar>
              <w:left w:w="28" w:type="dxa"/>
              <w:right w:w="28" w:type="dxa"/>
            </w:tcMar>
          </w:tcPr>
          <w:p w14:paraId="7CFFA16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0,0025</w:t>
            </w:r>
          </w:p>
        </w:tc>
        <w:tc>
          <w:tcPr>
            <w:tcW w:w="1278" w:type="dxa"/>
            <w:gridSpan w:val="2"/>
            <w:tcMar>
              <w:left w:w="28" w:type="dxa"/>
              <w:right w:w="28" w:type="dxa"/>
            </w:tcMar>
          </w:tcPr>
          <w:p w14:paraId="75DF537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0,016</w:t>
            </w:r>
          </w:p>
        </w:tc>
        <w:tc>
          <w:tcPr>
            <w:tcW w:w="1277" w:type="dxa"/>
            <w:gridSpan w:val="2"/>
            <w:tcMar>
              <w:left w:w="28" w:type="dxa"/>
              <w:right w:w="28" w:type="dxa"/>
            </w:tcMar>
          </w:tcPr>
          <w:p w14:paraId="1391E9D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0,016</w:t>
            </w:r>
          </w:p>
        </w:tc>
        <w:tc>
          <w:tcPr>
            <w:tcW w:w="1136" w:type="dxa"/>
            <w:gridSpan w:val="2"/>
            <w:tcMar>
              <w:left w:w="28" w:type="dxa"/>
              <w:right w:w="28" w:type="dxa"/>
            </w:tcMar>
          </w:tcPr>
          <w:p w14:paraId="5FC52024"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286EFE04"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4513995F"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1BEFBB03"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0D0E9B38" w14:textId="77777777" w:rsidTr="004C279A">
        <w:trPr>
          <w:gridBefore w:val="1"/>
          <w:wBefore w:w="12" w:type="dxa"/>
          <w:cantSplit/>
          <w:tblHeader/>
          <w:jc w:val="center"/>
        </w:trPr>
        <w:tc>
          <w:tcPr>
            <w:tcW w:w="651" w:type="dxa"/>
            <w:gridSpan w:val="3"/>
            <w:tcMar>
              <w:left w:w="28" w:type="dxa"/>
              <w:right w:w="28" w:type="dxa"/>
            </w:tcMar>
          </w:tcPr>
          <w:p w14:paraId="5825FBAF"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(41)</w:t>
            </w:r>
          </w:p>
        </w:tc>
        <w:tc>
          <w:tcPr>
            <w:tcW w:w="2286" w:type="dxa"/>
            <w:gridSpan w:val="3"/>
            <w:tcMar>
              <w:left w:w="28" w:type="dxa"/>
              <w:right w:w="28" w:type="dxa"/>
            </w:tcMar>
          </w:tcPr>
          <w:p w14:paraId="44355EB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Циперметрин (</w:t>
            </w:r>
            <w:r w:rsidRPr="00921C9B">
              <w:rPr>
                <w:rFonts w:eastAsia="Calibri"/>
                <w:noProof/>
                <w:sz w:val="22"/>
                <w:szCs w:val="22"/>
                <w:vertAlign w:val="superscript"/>
                <w:lang w:eastAsia="en-US"/>
              </w:rPr>
              <w:t>23</w:t>
            </w:r>
            <w:r w:rsidRPr="00921C9B">
              <w:rPr>
                <w:rFonts w:eastAsia="Calibri"/>
                <w:noProof/>
                <w:sz w:val="22"/>
                <w:szCs w:val="22"/>
                <w:lang w:eastAsia="en-US"/>
              </w:rPr>
              <w:t>)</w:t>
            </w:r>
          </w:p>
        </w:tc>
        <w:tc>
          <w:tcPr>
            <w:tcW w:w="1329" w:type="dxa"/>
            <w:gridSpan w:val="3"/>
            <w:tcMar>
              <w:left w:w="28" w:type="dxa"/>
              <w:right w:w="28" w:type="dxa"/>
            </w:tcMar>
          </w:tcPr>
          <w:p w14:paraId="4E803D4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Пиретроидни пестициди</w:t>
            </w:r>
          </w:p>
        </w:tc>
        <w:tc>
          <w:tcPr>
            <w:tcW w:w="992" w:type="dxa"/>
            <w:gridSpan w:val="2"/>
            <w:tcMar>
              <w:left w:w="28" w:type="dxa"/>
              <w:right w:w="28" w:type="dxa"/>
            </w:tcMar>
          </w:tcPr>
          <w:p w14:paraId="28BC4EC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52315-07-8</w:t>
            </w:r>
          </w:p>
        </w:tc>
        <w:tc>
          <w:tcPr>
            <w:tcW w:w="1134" w:type="dxa"/>
          </w:tcPr>
          <w:p w14:paraId="5B26C451" w14:textId="77777777" w:rsidR="00501E78" w:rsidRPr="00921C9B" w:rsidRDefault="00501E78" w:rsidP="00501E78">
            <w:pPr>
              <w:widowControl/>
              <w:spacing w:before="40" w:after="40"/>
              <w:rPr>
                <w:rFonts w:eastAsia="Calibri"/>
                <w:strike/>
                <w:noProof/>
                <w:sz w:val="22"/>
                <w:szCs w:val="22"/>
                <w:lang w:eastAsia="en-US"/>
              </w:rPr>
            </w:pPr>
            <w:r w:rsidRPr="00921C9B">
              <w:rPr>
                <w:rFonts w:eastAsia="Calibri"/>
                <w:noProof/>
                <w:sz w:val="22"/>
                <w:szCs w:val="22"/>
                <w:lang w:eastAsia="en-US"/>
              </w:rPr>
              <w:t>257-842-9</w:t>
            </w:r>
          </w:p>
        </w:tc>
        <w:tc>
          <w:tcPr>
            <w:tcW w:w="1279" w:type="dxa"/>
            <w:gridSpan w:val="2"/>
            <w:tcMar>
              <w:left w:w="28" w:type="dxa"/>
              <w:right w:w="28" w:type="dxa"/>
            </w:tcMar>
          </w:tcPr>
          <w:p w14:paraId="79462EB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3 × 10</w:t>
            </w:r>
            <w:r w:rsidRPr="00921C9B">
              <w:rPr>
                <w:rFonts w:eastAsia="Calibri"/>
                <w:noProof/>
                <w:sz w:val="22"/>
                <w:szCs w:val="22"/>
                <w:vertAlign w:val="superscript"/>
                <w:lang w:eastAsia="en-US"/>
              </w:rPr>
              <w:t>-5</w:t>
            </w:r>
          </w:p>
        </w:tc>
        <w:tc>
          <w:tcPr>
            <w:tcW w:w="1279" w:type="dxa"/>
            <w:gridSpan w:val="2"/>
            <w:tcMar>
              <w:left w:w="28" w:type="dxa"/>
              <w:right w:w="28" w:type="dxa"/>
            </w:tcMar>
          </w:tcPr>
          <w:p w14:paraId="147B13C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3 × 10</w:t>
            </w:r>
            <w:r w:rsidRPr="00921C9B">
              <w:rPr>
                <w:rFonts w:eastAsia="Calibri"/>
                <w:noProof/>
                <w:sz w:val="22"/>
                <w:szCs w:val="22"/>
                <w:vertAlign w:val="superscript"/>
                <w:lang w:eastAsia="en-US"/>
              </w:rPr>
              <w:t>-6</w:t>
            </w:r>
          </w:p>
        </w:tc>
        <w:tc>
          <w:tcPr>
            <w:tcW w:w="1278" w:type="dxa"/>
            <w:gridSpan w:val="2"/>
            <w:tcMar>
              <w:left w:w="28" w:type="dxa"/>
              <w:right w:w="28" w:type="dxa"/>
            </w:tcMar>
          </w:tcPr>
          <w:p w14:paraId="50B25EFB"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6 × 10</w:t>
            </w:r>
            <w:r w:rsidRPr="00921C9B">
              <w:rPr>
                <w:rFonts w:eastAsia="Calibri"/>
                <w:noProof/>
                <w:sz w:val="22"/>
                <w:szCs w:val="22"/>
                <w:vertAlign w:val="superscript"/>
                <w:lang w:eastAsia="en-US"/>
              </w:rPr>
              <w:t>-4</w:t>
            </w:r>
          </w:p>
        </w:tc>
        <w:tc>
          <w:tcPr>
            <w:tcW w:w="1277" w:type="dxa"/>
            <w:gridSpan w:val="2"/>
            <w:tcMar>
              <w:left w:w="28" w:type="dxa"/>
              <w:right w:w="28" w:type="dxa"/>
            </w:tcMar>
          </w:tcPr>
          <w:p w14:paraId="65F2AB08"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6 × 10</w:t>
            </w:r>
            <w:r w:rsidRPr="00921C9B">
              <w:rPr>
                <w:rFonts w:eastAsia="Calibri"/>
                <w:noProof/>
                <w:sz w:val="22"/>
                <w:szCs w:val="22"/>
                <w:vertAlign w:val="superscript"/>
                <w:lang w:eastAsia="en-US"/>
              </w:rPr>
              <w:t>-5</w:t>
            </w:r>
          </w:p>
        </w:tc>
        <w:tc>
          <w:tcPr>
            <w:tcW w:w="1136" w:type="dxa"/>
            <w:gridSpan w:val="2"/>
            <w:tcMar>
              <w:left w:w="28" w:type="dxa"/>
              <w:right w:w="28" w:type="dxa"/>
            </w:tcMar>
          </w:tcPr>
          <w:p w14:paraId="299848AB"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52289E23" w14:textId="77777777" w:rsidR="00501E78" w:rsidRPr="00921C9B" w:rsidRDefault="00501E78" w:rsidP="00501E78">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7B4792A2" w14:textId="77777777" w:rsidR="00501E78" w:rsidRPr="00921C9B" w:rsidRDefault="00501E78" w:rsidP="00501E78">
            <w:pPr>
              <w:widowControl/>
              <w:spacing w:before="40" w:after="40"/>
              <w:rPr>
                <w:rFonts w:eastAsia="Calibri"/>
                <w:noProof/>
                <w:sz w:val="22"/>
                <w:szCs w:val="22"/>
                <w:vertAlign w:val="superscript"/>
                <w:lang w:eastAsia="en-US"/>
              </w:rPr>
            </w:pPr>
          </w:p>
        </w:tc>
        <w:tc>
          <w:tcPr>
            <w:tcW w:w="970" w:type="dxa"/>
            <w:tcMar>
              <w:left w:w="28" w:type="dxa"/>
              <w:right w:w="28" w:type="dxa"/>
            </w:tcMar>
          </w:tcPr>
          <w:p w14:paraId="03D13C9A"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X</w:t>
            </w:r>
          </w:p>
        </w:tc>
      </w:tr>
      <w:tr w:rsidR="00501E78" w:rsidRPr="00921C9B" w14:paraId="39C43EAF" w14:textId="77777777" w:rsidTr="004C279A">
        <w:trPr>
          <w:gridBefore w:val="1"/>
          <w:wBefore w:w="12" w:type="dxa"/>
          <w:cantSplit/>
          <w:tblHeader/>
          <w:jc w:val="center"/>
        </w:trPr>
        <w:tc>
          <w:tcPr>
            <w:tcW w:w="651" w:type="dxa"/>
            <w:gridSpan w:val="3"/>
            <w:tcMar>
              <w:left w:w="28" w:type="dxa"/>
              <w:right w:w="28" w:type="dxa"/>
            </w:tcMar>
          </w:tcPr>
          <w:p w14:paraId="04655A76"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(42)</w:t>
            </w:r>
          </w:p>
        </w:tc>
        <w:tc>
          <w:tcPr>
            <w:tcW w:w="2286" w:type="dxa"/>
            <w:gridSpan w:val="3"/>
            <w:tcMar>
              <w:left w:w="28" w:type="dxa"/>
              <w:right w:w="28" w:type="dxa"/>
            </w:tcMar>
          </w:tcPr>
          <w:p w14:paraId="3F4C0D4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Дихлорвос</w:t>
            </w:r>
          </w:p>
        </w:tc>
        <w:tc>
          <w:tcPr>
            <w:tcW w:w="1329" w:type="dxa"/>
            <w:gridSpan w:val="3"/>
            <w:tcMar>
              <w:left w:w="28" w:type="dxa"/>
              <w:right w:w="28" w:type="dxa"/>
            </w:tcMar>
          </w:tcPr>
          <w:p w14:paraId="63A711C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Органофосфатни пестициди</w:t>
            </w:r>
          </w:p>
        </w:tc>
        <w:tc>
          <w:tcPr>
            <w:tcW w:w="992" w:type="dxa"/>
            <w:gridSpan w:val="2"/>
            <w:tcMar>
              <w:left w:w="28" w:type="dxa"/>
              <w:right w:w="28" w:type="dxa"/>
            </w:tcMar>
          </w:tcPr>
          <w:p w14:paraId="1B629C3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62-73-7</w:t>
            </w:r>
          </w:p>
        </w:tc>
        <w:tc>
          <w:tcPr>
            <w:tcW w:w="1134" w:type="dxa"/>
          </w:tcPr>
          <w:p w14:paraId="3110EE4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200-547-7</w:t>
            </w:r>
          </w:p>
        </w:tc>
        <w:tc>
          <w:tcPr>
            <w:tcW w:w="1279" w:type="dxa"/>
            <w:gridSpan w:val="2"/>
            <w:tcMar>
              <w:left w:w="28" w:type="dxa"/>
              <w:right w:w="28" w:type="dxa"/>
            </w:tcMar>
          </w:tcPr>
          <w:p w14:paraId="71913DDA"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6 × 10</w:t>
            </w:r>
            <w:r w:rsidRPr="00921C9B">
              <w:rPr>
                <w:rFonts w:eastAsia="Calibri"/>
                <w:noProof/>
                <w:sz w:val="22"/>
                <w:szCs w:val="22"/>
                <w:vertAlign w:val="superscript"/>
                <w:lang w:eastAsia="en-US"/>
              </w:rPr>
              <w:t>-4</w:t>
            </w:r>
          </w:p>
        </w:tc>
        <w:tc>
          <w:tcPr>
            <w:tcW w:w="1279" w:type="dxa"/>
            <w:gridSpan w:val="2"/>
            <w:tcMar>
              <w:left w:w="28" w:type="dxa"/>
              <w:right w:w="28" w:type="dxa"/>
            </w:tcMar>
          </w:tcPr>
          <w:p w14:paraId="6BFED944"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6 × 10</w:t>
            </w:r>
            <w:r w:rsidRPr="00921C9B">
              <w:rPr>
                <w:rFonts w:eastAsia="Calibri"/>
                <w:noProof/>
                <w:sz w:val="22"/>
                <w:szCs w:val="22"/>
                <w:vertAlign w:val="superscript"/>
                <w:lang w:eastAsia="en-US"/>
              </w:rPr>
              <w:t>-5</w:t>
            </w:r>
          </w:p>
        </w:tc>
        <w:tc>
          <w:tcPr>
            <w:tcW w:w="1278" w:type="dxa"/>
            <w:gridSpan w:val="2"/>
            <w:tcMar>
              <w:left w:w="28" w:type="dxa"/>
              <w:right w:w="28" w:type="dxa"/>
            </w:tcMar>
          </w:tcPr>
          <w:p w14:paraId="2AE1F652"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7 × 10</w:t>
            </w:r>
            <w:r w:rsidRPr="00921C9B">
              <w:rPr>
                <w:rFonts w:eastAsia="Calibri"/>
                <w:noProof/>
                <w:sz w:val="22"/>
                <w:szCs w:val="22"/>
                <w:vertAlign w:val="superscript"/>
                <w:lang w:eastAsia="en-US"/>
              </w:rPr>
              <w:t>-4</w:t>
            </w:r>
          </w:p>
        </w:tc>
        <w:tc>
          <w:tcPr>
            <w:tcW w:w="1277" w:type="dxa"/>
            <w:gridSpan w:val="2"/>
            <w:tcMar>
              <w:left w:w="28" w:type="dxa"/>
              <w:right w:w="28" w:type="dxa"/>
            </w:tcMar>
          </w:tcPr>
          <w:p w14:paraId="39B381EE"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7 × 10</w:t>
            </w:r>
            <w:r w:rsidRPr="00921C9B">
              <w:rPr>
                <w:rFonts w:eastAsia="Calibri"/>
                <w:noProof/>
                <w:sz w:val="22"/>
                <w:szCs w:val="22"/>
                <w:vertAlign w:val="superscript"/>
                <w:lang w:eastAsia="en-US"/>
              </w:rPr>
              <w:t>-5</w:t>
            </w:r>
          </w:p>
        </w:tc>
        <w:tc>
          <w:tcPr>
            <w:tcW w:w="1136" w:type="dxa"/>
            <w:gridSpan w:val="2"/>
            <w:tcMar>
              <w:left w:w="28" w:type="dxa"/>
              <w:right w:w="28" w:type="dxa"/>
            </w:tcMar>
          </w:tcPr>
          <w:p w14:paraId="368C4EA5" w14:textId="77777777" w:rsidR="00501E78" w:rsidRPr="00921C9B" w:rsidRDefault="00501E78" w:rsidP="00501E78">
            <w:pPr>
              <w:widowControl/>
              <w:spacing w:before="40" w:after="40"/>
              <w:rPr>
                <w:rFonts w:eastAsia="Calibri"/>
                <w:noProof/>
                <w:sz w:val="22"/>
                <w:szCs w:val="22"/>
                <w:vertAlign w:val="superscript"/>
                <w:lang w:eastAsia="en-US"/>
              </w:rPr>
            </w:pPr>
          </w:p>
        </w:tc>
        <w:tc>
          <w:tcPr>
            <w:tcW w:w="1262" w:type="dxa"/>
            <w:tcMar>
              <w:left w:w="28" w:type="dxa"/>
              <w:right w:w="28" w:type="dxa"/>
            </w:tcMar>
          </w:tcPr>
          <w:p w14:paraId="3FB1D8D9" w14:textId="77777777" w:rsidR="00501E78" w:rsidRPr="00921C9B" w:rsidRDefault="00501E78" w:rsidP="00501E78">
            <w:pPr>
              <w:widowControl/>
              <w:spacing w:before="40" w:after="40"/>
              <w:rPr>
                <w:rFonts w:eastAsia="Calibri"/>
                <w:noProof/>
                <w:sz w:val="22"/>
                <w:szCs w:val="22"/>
                <w:vertAlign w:val="superscript"/>
                <w:lang w:eastAsia="en-US"/>
              </w:rPr>
            </w:pPr>
          </w:p>
        </w:tc>
        <w:tc>
          <w:tcPr>
            <w:tcW w:w="1153" w:type="dxa"/>
            <w:gridSpan w:val="2"/>
            <w:tcMar>
              <w:left w:w="28" w:type="dxa"/>
              <w:right w:w="28" w:type="dxa"/>
            </w:tcMar>
          </w:tcPr>
          <w:p w14:paraId="24D8CC8F" w14:textId="77777777" w:rsidR="00501E78" w:rsidRPr="00921C9B" w:rsidRDefault="00501E78" w:rsidP="00501E78">
            <w:pPr>
              <w:widowControl/>
              <w:spacing w:before="40" w:after="40"/>
              <w:rPr>
                <w:rFonts w:eastAsia="Calibri"/>
                <w:noProof/>
                <w:sz w:val="22"/>
                <w:szCs w:val="22"/>
                <w:vertAlign w:val="superscript"/>
                <w:lang w:eastAsia="en-US"/>
              </w:rPr>
            </w:pPr>
          </w:p>
        </w:tc>
        <w:tc>
          <w:tcPr>
            <w:tcW w:w="970" w:type="dxa"/>
            <w:tcMar>
              <w:left w:w="28" w:type="dxa"/>
              <w:right w:w="28" w:type="dxa"/>
            </w:tcMar>
          </w:tcPr>
          <w:p w14:paraId="2C2C479E" w14:textId="77777777" w:rsidR="00501E78" w:rsidRPr="00921C9B" w:rsidRDefault="00501E78" w:rsidP="00501E78">
            <w:pPr>
              <w:widowControl/>
              <w:spacing w:before="40" w:after="40"/>
              <w:rPr>
                <w:rFonts w:eastAsia="Calibri"/>
                <w:noProof/>
                <w:sz w:val="22"/>
                <w:szCs w:val="22"/>
                <w:vertAlign w:val="superscript"/>
                <w:lang w:eastAsia="en-US"/>
              </w:rPr>
            </w:pPr>
          </w:p>
        </w:tc>
      </w:tr>
      <w:tr w:rsidR="00501E78" w:rsidRPr="00921C9B" w14:paraId="6ACF48B5" w14:textId="77777777" w:rsidTr="004C279A">
        <w:trPr>
          <w:gridBefore w:val="1"/>
          <w:wBefore w:w="12" w:type="dxa"/>
          <w:cantSplit/>
          <w:tblHeader/>
          <w:jc w:val="center"/>
        </w:trPr>
        <w:tc>
          <w:tcPr>
            <w:tcW w:w="651" w:type="dxa"/>
            <w:gridSpan w:val="3"/>
            <w:tcMar>
              <w:left w:w="28" w:type="dxa"/>
              <w:right w:w="28" w:type="dxa"/>
            </w:tcMar>
          </w:tcPr>
          <w:p w14:paraId="38A58196"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(43)</w:t>
            </w:r>
          </w:p>
        </w:tc>
        <w:tc>
          <w:tcPr>
            <w:tcW w:w="2286" w:type="dxa"/>
            <w:gridSpan w:val="3"/>
            <w:tcMar>
              <w:left w:w="28" w:type="dxa"/>
              <w:right w:w="28" w:type="dxa"/>
            </w:tcMar>
          </w:tcPr>
          <w:p w14:paraId="4069324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Хексабромоциклододекан (HBCDD) (</w:t>
            </w:r>
            <w:r w:rsidRPr="00921C9B">
              <w:rPr>
                <w:rFonts w:eastAsia="Calibri"/>
                <w:noProof/>
                <w:sz w:val="22"/>
                <w:szCs w:val="22"/>
                <w:vertAlign w:val="superscript"/>
                <w:lang w:eastAsia="en-US"/>
              </w:rPr>
              <w:t>24</w:t>
            </w:r>
            <w:r w:rsidRPr="00921C9B">
              <w:rPr>
                <w:rFonts w:eastAsia="Calibri"/>
                <w:noProof/>
                <w:sz w:val="22"/>
                <w:szCs w:val="22"/>
                <w:lang w:eastAsia="en-US"/>
              </w:rPr>
              <w:t>)</w:t>
            </w:r>
            <w:r w:rsidRPr="00921C9B">
              <w:rPr>
                <w:rFonts w:eastAsia="Calibri"/>
                <w:noProof/>
                <w:szCs w:val="22"/>
                <w:u w:val="single"/>
                <w:lang w:eastAsia="en-US"/>
              </w:rPr>
              <w:t xml:space="preserve"> </w:t>
            </w:r>
          </w:p>
        </w:tc>
        <w:tc>
          <w:tcPr>
            <w:tcW w:w="1329" w:type="dxa"/>
            <w:gridSpan w:val="3"/>
            <w:tcMar>
              <w:left w:w="28" w:type="dxa"/>
              <w:right w:w="28" w:type="dxa"/>
            </w:tcMar>
          </w:tcPr>
          <w:p w14:paraId="1EBBB9D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tcMar>
              <w:left w:w="28" w:type="dxa"/>
              <w:right w:w="28" w:type="dxa"/>
            </w:tcMar>
          </w:tcPr>
          <w:p w14:paraId="22D66A3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Вж. бележка под линия 24</w:t>
            </w:r>
          </w:p>
        </w:tc>
        <w:tc>
          <w:tcPr>
            <w:tcW w:w="1134" w:type="dxa"/>
          </w:tcPr>
          <w:p w14:paraId="16B4ACE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Вж. бележка под линия 24</w:t>
            </w:r>
          </w:p>
        </w:tc>
        <w:tc>
          <w:tcPr>
            <w:tcW w:w="1279" w:type="dxa"/>
            <w:gridSpan w:val="2"/>
            <w:tcMar>
              <w:left w:w="28" w:type="dxa"/>
              <w:right w:w="28" w:type="dxa"/>
            </w:tcMar>
          </w:tcPr>
          <w:p w14:paraId="2C59B7E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[4,6 × 10</w:t>
            </w:r>
            <w:r w:rsidRPr="00921C9B">
              <w:rPr>
                <w:rFonts w:eastAsia="Calibri"/>
                <w:noProof/>
                <w:sz w:val="22"/>
                <w:szCs w:val="22"/>
                <w:vertAlign w:val="superscript"/>
                <w:lang w:eastAsia="en-US"/>
              </w:rPr>
              <w:t>-4</w:t>
            </w:r>
            <w:r w:rsidRPr="00921C9B">
              <w:rPr>
                <w:rFonts w:eastAsia="Calibri"/>
                <w:noProof/>
                <w:sz w:val="22"/>
                <w:szCs w:val="22"/>
                <w:lang w:eastAsia="en-US"/>
              </w:rPr>
              <w:t>]</w:t>
            </w:r>
          </w:p>
        </w:tc>
        <w:tc>
          <w:tcPr>
            <w:tcW w:w="1279" w:type="dxa"/>
            <w:gridSpan w:val="2"/>
            <w:tcMar>
              <w:left w:w="28" w:type="dxa"/>
              <w:right w:w="28" w:type="dxa"/>
            </w:tcMar>
          </w:tcPr>
          <w:p w14:paraId="08F0727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 × 10</w:t>
            </w:r>
            <w:r w:rsidRPr="00921C9B">
              <w:rPr>
                <w:rFonts w:eastAsia="Calibri"/>
                <w:noProof/>
                <w:sz w:val="22"/>
                <w:szCs w:val="22"/>
                <w:vertAlign w:val="superscript"/>
                <w:lang w:eastAsia="en-US"/>
              </w:rPr>
              <w:t>-5</w:t>
            </w:r>
            <w:r w:rsidRPr="00921C9B">
              <w:rPr>
                <w:rFonts w:eastAsia="Calibri"/>
                <w:noProof/>
                <w:sz w:val="22"/>
                <w:szCs w:val="22"/>
                <w:lang w:eastAsia="en-US"/>
              </w:rPr>
              <w:t>]</w:t>
            </w:r>
          </w:p>
        </w:tc>
        <w:tc>
          <w:tcPr>
            <w:tcW w:w="1278" w:type="dxa"/>
            <w:gridSpan w:val="2"/>
            <w:tcMar>
              <w:left w:w="28" w:type="dxa"/>
              <w:right w:w="28" w:type="dxa"/>
            </w:tcMar>
          </w:tcPr>
          <w:p w14:paraId="0B64AB8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0,5</w:t>
            </w:r>
          </w:p>
        </w:tc>
        <w:tc>
          <w:tcPr>
            <w:tcW w:w="1277" w:type="dxa"/>
            <w:gridSpan w:val="2"/>
            <w:tcMar>
              <w:left w:w="28" w:type="dxa"/>
              <w:right w:w="28" w:type="dxa"/>
            </w:tcMar>
          </w:tcPr>
          <w:p w14:paraId="30163C6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0,05</w:t>
            </w:r>
          </w:p>
        </w:tc>
        <w:tc>
          <w:tcPr>
            <w:tcW w:w="1136" w:type="dxa"/>
            <w:gridSpan w:val="2"/>
            <w:tcMar>
              <w:left w:w="28" w:type="dxa"/>
              <w:right w:w="28" w:type="dxa"/>
            </w:tcMar>
          </w:tcPr>
          <w:p w14:paraId="60172E4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[3,5]</w:t>
            </w:r>
          </w:p>
        </w:tc>
        <w:tc>
          <w:tcPr>
            <w:tcW w:w="1262" w:type="dxa"/>
            <w:tcMar>
              <w:left w:w="28" w:type="dxa"/>
              <w:right w:w="28" w:type="dxa"/>
            </w:tcMar>
          </w:tcPr>
          <w:p w14:paraId="7456455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2CAFBAC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970" w:type="dxa"/>
            <w:tcMar>
              <w:left w:w="28" w:type="dxa"/>
              <w:right w:w="28" w:type="dxa"/>
            </w:tcMar>
          </w:tcPr>
          <w:p w14:paraId="6C9D54E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16167C35" w14:textId="77777777" w:rsidTr="004C279A">
        <w:trPr>
          <w:gridBefore w:val="1"/>
          <w:wBefore w:w="12" w:type="dxa"/>
          <w:cantSplit/>
          <w:tblHeader/>
          <w:jc w:val="center"/>
        </w:trPr>
        <w:tc>
          <w:tcPr>
            <w:tcW w:w="651" w:type="dxa"/>
            <w:gridSpan w:val="3"/>
            <w:tcMar>
              <w:left w:w="28" w:type="dxa"/>
              <w:right w:w="28" w:type="dxa"/>
            </w:tcMar>
          </w:tcPr>
          <w:p w14:paraId="2D252E7B"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(44)</w:t>
            </w:r>
          </w:p>
        </w:tc>
        <w:tc>
          <w:tcPr>
            <w:tcW w:w="2286" w:type="dxa"/>
            <w:gridSpan w:val="3"/>
            <w:tcMar>
              <w:left w:w="28" w:type="dxa"/>
              <w:right w:w="28" w:type="dxa"/>
            </w:tcMar>
          </w:tcPr>
          <w:p w14:paraId="0674FFB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Хептахлор и хептахлор епоксид</w:t>
            </w:r>
          </w:p>
        </w:tc>
        <w:tc>
          <w:tcPr>
            <w:tcW w:w="1329" w:type="dxa"/>
            <w:gridSpan w:val="3"/>
            <w:tcMar>
              <w:left w:w="28" w:type="dxa"/>
              <w:right w:w="28" w:type="dxa"/>
            </w:tcMar>
          </w:tcPr>
          <w:p w14:paraId="51832A4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Органохлорни пестициди</w:t>
            </w:r>
          </w:p>
        </w:tc>
        <w:tc>
          <w:tcPr>
            <w:tcW w:w="992" w:type="dxa"/>
            <w:gridSpan w:val="2"/>
            <w:tcMar>
              <w:left w:w="28" w:type="dxa"/>
              <w:right w:w="28" w:type="dxa"/>
            </w:tcMar>
          </w:tcPr>
          <w:p w14:paraId="2FF9F05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76-44-8 / 1024-57-3</w:t>
            </w:r>
          </w:p>
        </w:tc>
        <w:tc>
          <w:tcPr>
            <w:tcW w:w="1134" w:type="dxa"/>
          </w:tcPr>
          <w:p w14:paraId="2285E777" w14:textId="77777777" w:rsidR="00501E78" w:rsidRPr="00921C9B" w:rsidRDefault="00501E78" w:rsidP="00501E78">
            <w:pPr>
              <w:widowControl/>
              <w:spacing w:before="40" w:after="40"/>
              <w:rPr>
                <w:rFonts w:eastAsia="Calibri"/>
                <w:strike/>
                <w:noProof/>
                <w:sz w:val="22"/>
                <w:szCs w:val="22"/>
                <w:lang w:eastAsia="en-US"/>
              </w:rPr>
            </w:pPr>
            <w:r w:rsidRPr="00921C9B">
              <w:rPr>
                <w:rFonts w:eastAsia="Calibri"/>
                <w:noProof/>
                <w:sz w:val="22"/>
                <w:szCs w:val="22"/>
                <w:lang w:eastAsia="en-US"/>
              </w:rPr>
              <w:t>200-962-3/ 213-831-0</w:t>
            </w:r>
          </w:p>
        </w:tc>
        <w:tc>
          <w:tcPr>
            <w:tcW w:w="1279" w:type="dxa"/>
            <w:gridSpan w:val="2"/>
            <w:tcMar>
              <w:left w:w="28" w:type="dxa"/>
              <w:right w:w="28" w:type="dxa"/>
            </w:tcMar>
          </w:tcPr>
          <w:p w14:paraId="060D7A0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[1,7 × 10</w:t>
            </w:r>
            <w:r w:rsidRPr="00921C9B">
              <w:rPr>
                <w:rFonts w:eastAsia="Calibri"/>
                <w:noProof/>
                <w:sz w:val="22"/>
                <w:szCs w:val="22"/>
                <w:vertAlign w:val="superscript"/>
                <w:lang w:eastAsia="en-US"/>
              </w:rPr>
              <w:t>-7</w:t>
            </w:r>
            <w:r w:rsidRPr="00921C9B">
              <w:rPr>
                <w:rFonts w:eastAsia="Calibri"/>
                <w:noProof/>
                <w:sz w:val="22"/>
                <w:szCs w:val="22"/>
                <w:lang w:eastAsia="en-US"/>
              </w:rPr>
              <w:t>]</w:t>
            </w:r>
          </w:p>
        </w:tc>
        <w:tc>
          <w:tcPr>
            <w:tcW w:w="1279" w:type="dxa"/>
            <w:gridSpan w:val="2"/>
            <w:tcMar>
              <w:left w:w="28" w:type="dxa"/>
              <w:right w:w="28" w:type="dxa"/>
            </w:tcMar>
          </w:tcPr>
          <w:p w14:paraId="4E0E2D9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[1,7 × 10</w:t>
            </w:r>
            <w:r w:rsidRPr="00921C9B">
              <w:rPr>
                <w:rFonts w:eastAsia="Calibri"/>
                <w:noProof/>
                <w:sz w:val="22"/>
                <w:szCs w:val="22"/>
                <w:vertAlign w:val="superscript"/>
                <w:lang w:eastAsia="en-US"/>
              </w:rPr>
              <w:t>-7</w:t>
            </w:r>
            <w:r w:rsidRPr="00921C9B">
              <w:rPr>
                <w:rFonts w:eastAsia="Calibri"/>
                <w:noProof/>
                <w:sz w:val="22"/>
                <w:szCs w:val="22"/>
                <w:lang w:eastAsia="en-US"/>
              </w:rPr>
              <w:t>]</w:t>
            </w:r>
          </w:p>
        </w:tc>
        <w:tc>
          <w:tcPr>
            <w:tcW w:w="1278" w:type="dxa"/>
            <w:gridSpan w:val="2"/>
            <w:tcMar>
              <w:left w:w="28" w:type="dxa"/>
              <w:right w:w="28" w:type="dxa"/>
            </w:tcMar>
          </w:tcPr>
          <w:p w14:paraId="10F6C5CE"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3 × 10</w:t>
            </w:r>
            <w:r w:rsidRPr="00921C9B">
              <w:rPr>
                <w:rFonts w:eastAsia="Calibri"/>
                <w:noProof/>
                <w:sz w:val="22"/>
                <w:szCs w:val="22"/>
                <w:vertAlign w:val="superscript"/>
                <w:lang w:eastAsia="en-US"/>
              </w:rPr>
              <w:t>-4</w:t>
            </w:r>
          </w:p>
        </w:tc>
        <w:tc>
          <w:tcPr>
            <w:tcW w:w="1277" w:type="dxa"/>
            <w:gridSpan w:val="2"/>
            <w:tcMar>
              <w:left w:w="28" w:type="dxa"/>
              <w:right w:w="28" w:type="dxa"/>
            </w:tcMar>
          </w:tcPr>
          <w:p w14:paraId="660F372A"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lang w:eastAsia="en-US"/>
              </w:rPr>
              <w:t>3 × 10</w:t>
            </w:r>
            <w:r w:rsidRPr="00921C9B">
              <w:rPr>
                <w:rFonts w:eastAsia="Calibri"/>
                <w:noProof/>
                <w:sz w:val="22"/>
                <w:szCs w:val="22"/>
                <w:vertAlign w:val="superscript"/>
                <w:lang w:eastAsia="en-US"/>
              </w:rPr>
              <w:t>-5</w:t>
            </w:r>
          </w:p>
        </w:tc>
        <w:tc>
          <w:tcPr>
            <w:tcW w:w="1136" w:type="dxa"/>
            <w:gridSpan w:val="2"/>
            <w:tcMar>
              <w:left w:w="28" w:type="dxa"/>
              <w:right w:w="28" w:type="dxa"/>
            </w:tcMar>
          </w:tcPr>
          <w:p w14:paraId="70C44376" w14:textId="77777777" w:rsidR="00501E78" w:rsidRPr="00921C9B" w:rsidRDefault="00501E78" w:rsidP="00501E78">
            <w:pPr>
              <w:widowControl/>
              <w:spacing w:before="40" w:after="40"/>
              <w:rPr>
                <w:rFonts w:eastAsia="Calibri"/>
                <w:noProof/>
                <w:sz w:val="22"/>
                <w:szCs w:val="22"/>
                <w:vertAlign w:val="superscript"/>
                <w:lang w:eastAsia="en-US"/>
              </w:rPr>
            </w:pPr>
            <w:r w:rsidRPr="00921C9B">
              <w:rPr>
                <w:rFonts w:eastAsia="Calibri"/>
                <w:noProof/>
                <w:sz w:val="22"/>
                <w:szCs w:val="22"/>
                <w:vertAlign w:val="superscript"/>
                <w:lang w:eastAsia="en-US"/>
              </w:rPr>
              <w:t xml:space="preserve"> </w:t>
            </w:r>
            <w:r w:rsidRPr="00921C9B">
              <w:rPr>
                <w:rFonts w:eastAsia="Calibri"/>
                <w:noProof/>
                <w:sz w:val="22"/>
                <w:szCs w:val="22"/>
                <w:lang w:eastAsia="en-US"/>
              </w:rPr>
              <w:t>[0,013]</w:t>
            </w:r>
          </w:p>
        </w:tc>
        <w:tc>
          <w:tcPr>
            <w:tcW w:w="1262" w:type="dxa"/>
            <w:tcMar>
              <w:left w:w="28" w:type="dxa"/>
              <w:right w:w="28" w:type="dxa"/>
            </w:tcMar>
          </w:tcPr>
          <w:p w14:paraId="345CF3B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6CFE720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c>
          <w:tcPr>
            <w:tcW w:w="970" w:type="dxa"/>
            <w:tcMar>
              <w:left w:w="28" w:type="dxa"/>
              <w:right w:w="28" w:type="dxa"/>
            </w:tcMar>
          </w:tcPr>
          <w:p w14:paraId="786A038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0A86DE53" w14:textId="77777777" w:rsidTr="004C279A">
        <w:trPr>
          <w:gridBefore w:val="1"/>
          <w:wBefore w:w="12" w:type="dxa"/>
          <w:cantSplit/>
          <w:tblHeader/>
          <w:jc w:val="center"/>
        </w:trPr>
        <w:tc>
          <w:tcPr>
            <w:tcW w:w="651" w:type="dxa"/>
            <w:gridSpan w:val="3"/>
            <w:tcMar>
              <w:left w:w="28" w:type="dxa"/>
              <w:right w:w="28" w:type="dxa"/>
            </w:tcMar>
          </w:tcPr>
          <w:p w14:paraId="77A7C435"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(45)</w:t>
            </w:r>
          </w:p>
        </w:tc>
        <w:tc>
          <w:tcPr>
            <w:tcW w:w="2286" w:type="dxa"/>
            <w:gridSpan w:val="3"/>
            <w:tcMar>
              <w:left w:w="28" w:type="dxa"/>
              <w:right w:w="28" w:type="dxa"/>
            </w:tcMar>
          </w:tcPr>
          <w:p w14:paraId="7A1F25F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Тербутрин</w:t>
            </w:r>
          </w:p>
        </w:tc>
        <w:tc>
          <w:tcPr>
            <w:tcW w:w="1329" w:type="dxa"/>
            <w:gridSpan w:val="3"/>
            <w:tcMar>
              <w:left w:w="28" w:type="dxa"/>
              <w:right w:w="28" w:type="dxa"/>
            </w:tcMar>
          </w:tcPr>
          <w:p w14:paraId="1800EA6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Хербициди</w:t>
            </w:r>
          </w:p>
        </w:tc>
        <w:tc>
          <w:tcPr>
            <w:tcW w:w="992" w:type="dxa"/>
            <w:gridSpan w:val="2"/>
            <w:tcMar>
              <w:left w:w="28" w:type="dxa"/>
              <w:right w:w="28" w:type="dxa"/>
            </w:tcMar>
          </w:tcPr>
          <w:p w14:paraId="762DFBC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886-50-0</w:t>
            </w:r>
          </w:p>
        </w:tc>
        <w:tc>
          <w:tcPr>
            <w:tcW w:w="1134" w:type="dxa"/>
          </w:tcPr>
          <w:p w14:paraId="5D2143F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212-950-5</w:t>
            </w:r>
          </w:p>
        </w:tc>
        <w:tc>
          <w:tcPr>
            <w:tcW w:w="1279" w:type="dxa"/>
            <w:gridSpan w:val="2"/>
            <w:tcMar>
              <w:left w:w="28" w:type="dxa"/>
              <w:right w:w="28" w:type="dxa"/>
            </w:tcMar>
          </w:tcPr>
          <w:p w14:paraId="6038E43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0,065</w:t>
            </w:r>
          </w:p>
        </w:tc>
        <w:tc>
          <w:tcPr>
            <w:tcW w:w="1279" w:type="dxa"/>
            <w:gridSpan w:val="2"/>
            <w:tcMar>
              <w:left w:w="28" w:type="dxa"/>
              <w:right w:w="28" w:type="dxa"/>
            </w:tcMar>
          </w:tcPr>
          <w:p w14:paraId="0199215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0,0065</w:t>
            </w:r>
          </w:p>
        </w:tc>
        <w:tc>
          <w:tcPr>
            <w:tcW w:w="1278" w:type="dxa"/>
            <w:gridSpan w:val="2"/>
            <w:tcMar>
              <w:left w:w="28" w:type="dxa"/>
              <w:right w:w="28" w:type="dxa"/>
            </w:tcMar>
          </w:tcPr>
          <w:p w14:paraId="6AA132B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0,34</w:t>
            </w:r>
          </w:p>
        </w:tc>
        <w:tc>
          <w:tcPr>
            <w:tcW w:w="1277" w:type="dxa"/>
            <w:gridSpan w:val="2"/>
            <w:tcMar>
              <w:left w:w="28" w:type="dxa"/>
              <w:right w:w="28" w:type="dxa"/>
            </w:tcMar>
          </w:tcPr>
          <w:p w14:paraId="4523791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0,034</w:t>
            </w:r>
          </w:p>
        </w:tc>
        <w:tc>
          <w:tcPr>
            <w:tcW w:w="1136" w:type="dxa"/>
            <w:gridSpan w:val="2"/>
            <w:tcMar>
              <w:left w:w="28" w:type="dxa"/>
              <w:right w:w="28" w:type="dxa"/>
            </w:tcMar>
          </w:tcPr>
          <w:p w14:paraId="7CE927CA"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17A878AE"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352A6E46"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37D53CB6"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7122AE2E" w14:textId="77777777" w:rsidTr="004C279A">
        <w:trPr>
          <w:gridBefore w:val="1"/>
          <w:wBefore w:w="12" w:type="dxa"/>
          <w:cantSplit/>
          <w:tblHeader/>
          <w:jc w:val="center"/>
        </w:trPr>
        <w:tc>
          <w:tcPr>
            <w:tcW w:w="651" w:type="dxa"/>
            <w:gridSpan w:val="3"/>
            <w:tcMar>
              <w:left w:w="28" w:type="dxa"/>
              <w:right w:w="28" w:type="dxa"/>
            </w:tcMar>
          </w:tcPr>
          <w:p w14:paraId="730BBF36"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(46)</w:t>
            </w:r>
          </w:p>
        </w:tc>
        <w:tc>
          <w:tcPr>
            <w:tcW w:w="2286" w:type="dxa"/>
            <w:gridSpan w:val="3"/>
            <w:shd w:val="clear" w:color="auto" w:fill="auto"/>
            <w:tcMar>
              <w:left w:w="28" w:type="dxa"/>
              <w:right w:w="28" w:type="dxa"/>
            </w:tcMar>
          </w:tcPr>
          <w:p w14:paraId="24B3692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17-алфа-етинилестрадиол (ЕЕ2)</w:t>
            </w:r>
          </w:p>
        </w:tc>
        <w:tc>
          <w:tcPr>
            <w:tcW w:w="1329" w:type="dxa"/>
            <w:gridSpan w:val="3"/>
            <w:shd w:val="clear" w:color="auto" w:fill="auto"/>
            <w:tcMar>
              <w:left w:w="28" w:type="dxa"/>
              <w:right w:w="28" w:type="dxa"/>
            </w:tcMar>
          </w:tcPr>
          <w:p w14:paraId="11D53A8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Фармацевтични продукти (естрогенни хормони)</w:t>
            </w:r>
          </w:p>
        </w:tc>
        <w:tc>
          <w:tcPr>
            <w:tcW w:w="992" w:type="dxa"/>
            <w:gridSpan w:val="2"/>
            <w:shd w:val="clear" w:color="auto" w:fill="auto"/>
            <w:tcMar>
              <w:left w:w="28" w:type="dxa"/>
              <w:right w:w="28" w:type="dxa"/>
            </w:tcMar>
          </w:tcPr>
          <w:p w14:paraId="3C34476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57-63-6</w:t>
            </w:r>
          </w:p>
        </w:tc>
        <w:tc>
          <w:tcPr>
            <w:tcW w:w="1134" w:type="dxa"/>
          </w:tcPr>
          <w:p w14:paraId="3CA52BB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200-342-2</w:t>
            </w:r>
          </w:p>
        </w:tc>
        <w:tc>
          <w:tcPr>
            <w:tcW w:w="1279" w:type="dxa"/>
            <w:gridSpan w:val="2"/>
            <w:shd w:val="clear" w:color="auto" w:fill="auto"/>
            <w:tcMar>
              <w:left w:w="28" w:type="dxa"/>
              <w:right w:w="28" w:type="dxa"/>
            </w:tcMar>
          </w:tcPr>
          <w:p w14:paraId="278BD74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1,7 × 10</w:t>
            </w:r>
            <w:r w:rsidRPr="00921C9B">
              <w:rPr>
                <w:rFonts w:eastAsia="Calibri"/>
                <w:noProof/>
                <w:sz w:val="22"/>
                <w:szCs w:val="22"/>
                <w:vertAlign w:val="superscript"/>
                <w:lang w:eastAsia="en-US"/>
              </w:rPr>
              <w:t>-5</w:t>
            </w:r>
          </w:p>
        </w:tc>
        <w:tc>
          <w:tcPr>
            <w:tcW w:w="1279" w:type="dxa"/>
            <w:gridSpan w:val="2"/>
            <w:shd w:val="clear" w:color="auto" w:fill="auto"/>
            <w:tcMar>
              <w:left w:w="28" w:type="dxa"/>
              <w:right w:w="28" w:type="dxa"/>
            </w:tcMar>
          </w:tcPr>
          <w:p w14:paraId="3ACE0AD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1,6 × 10</w:t>
            </w:r>
            <w:r w:rsidRPr="00921C9B">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0D83C53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са получени</w:t>
            </w:r>
          </w:p>
        </w:tc>
        <w:tc>
          <w:tcPr>
            <w:tcW w:w="1277" w:type="dxa"/>
            <w:gridSpan w:val="2"/>
            <w:shd w:val="clear" w:color="auto" w:fill="auto"/>
            <w:tcMar>
              <w:left w:w="28" w:type="dxa"/>
              <w:right w:w="28" w:type="dxa"/>
            </w:tcMar>
          </w:tcPr>
          <w:p w14:paraId="133164F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са получени</w:t>
            </w:r>
          </w:p>
        </w:tc>
        <w:tc>
          <w:tcPr>
            <w:tcW w:w="1136" w:type="dxa"/>
            <w:gridSpan w:val="2"/>
            <w:shd w:val="clear" w:color="auto" w:fill="auto"/>
            <w:tcMar>
              <w:left w:w="28" w:type="dxa"/>
              <w:right w:w="28" w:type="dxa"/>
            </w:tcMar>
          </w:tcPr>
          <w:p w14:paraId="68FA0721"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5AF062D1"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530BBFFF"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04D16BD6"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26A89661" w14:textId="77777777" w:rsidTr="004C279A">
        <w:trPr>
          <w:gridBefore w:val="1"/>
          <w:wBefore w:w="12" w:type="dxa"/>
          <w:cantSplit/>
          <w:tblHeader/>
          <w:jc w:val="center"/>
        </w:trPr>
        <w:tc>
          <w:tcPr>
            <w:tcW w:w="651" w:type="dxa"/>
            <w:gridSpan w:val="3"/>
            <w:tcMar>
              <w:left w:w="28" w:type="dxa"/>
              <w:right w:w="28" w:type="dxa"/>
            </w:tcMar>
          </w:tcPr>
          <w:p w14:paraId="5A8118D0"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lastRenderedPageBreak/>
              <w:t>(47)</w:t>
            </w:r>
          </w:p>
        </w:tc>
        <w:tc>
          <w:tcPr>
            <w:tcW w:w="2286" w:type="dxa"/>
            <w:gridSpan w:val="3"/>
            <w:shd w:val="clear" w:color="auto" w:fill="auto"/>
            <w:tcMar>
              <w:left w:w="28" w:type="dxa"/>
              <w:right w:w="28" w:type="dxa"/>
            </w:tcMar>
          </w:tcPr>
          <w:p w14:paraId="25A1D86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17-бета-естрадиол (Е2)</w:t>
            </w:r>
          </w:p>
        </w:tc>
        <w:tc>
          <w:tcPr>
            <w:tcW w:w="1329" w:type="dxa"/>
            <w:gridSpan w:val="3"/>
            <w:shd w:val="clear" w:color="auto" w:fill="auto"/>
            <w:tcMar>
              <w:left w:w="28" w:type="dxa"/>
              <w:right w:w="28" w:type="dxa"/>
            </w:tcMar>
          </w:tcPr>
          <w:p w14:paraId="4CF6BB8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Фармацевтични продукти (естрогенни хормони)</w:t>
            </w:r>
          </w:p>
        </w:tc>
        <w:tc>
          <w:tcPr>
            <w:tcW w:w="992" w:type="dxa"/>
            <w:gridSpan w:val="2"/>
            <w:shd w:val="clear" w:color="auto" w:fill="auto"/>
            <w:tcMar>
              <w:left w:w="28" w:type="dxa"/>
              <w:right w:w="28" w:type="dxa"/>
            </w:tcMar>
          </w:tcPr>
          <w:p w14:paraId="3085366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50-28-2</w:t>
            </w:r>
          </w:p>
        </w:tc>
        <w:tc>
          <w:tcPr>
            <w:tcW w:w="1134" w:type="dxa"/>
          </w:tcPr>
          <w:p w14:paraId="01842F9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200-023-8</w:t>
            </w:r>
          </w:p>
        </w:tc>
        <w:tc>
          <w:tcPr>
            <w:tcW w:w="1279" w:type="dxa"/>
            <w:gridSpan w:val="2"/>
            <w:shd w:val="clear" w:color="auto" w:fill="auto"/>
            <w:tcMar>
              <w:left w:w="28" w:type="dxa"/>
              <w:right w:w="28" w:type="dxa"/>
            </w:tcMar>
          </w:tcPr>
          <w:p w14:paraId="47233DA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0,00018</w:t>
            </w:r>
          </w:p>
        </w:tc>
        <w:tc>
          <w:tcPr>
            <w:tcW w:w="1279" w:type="dxa"/>
            <w:gridSpan w:val="2"/>
            <w:shd w:val="clear" w:color="auto" w:fill="auto"/>
            <w:tcMar>
              <w:left w:w="28" w:type="dxa"/>
              <w:right w:w="28" w:type="dxa"/>
            </w:tcMar>
          </w:tcPr>
          <w:p w14:paraId="2E0007A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9 × 10</w:t>
            </w:r>
            <w:r w:rsidRPr="00921C9B">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52337A5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са получени</w:t>
            </w:r>
          </w:p>
        </w:tc>
        <w:tc>
          <w:tcPr>
            <w:tcW w:w="1277" w:type="dxa"/>
            <w:gridSpan w:val="2"/>
            <w:shd w:val="clear" w:color="auto" w:fill="auto"/>
            <w:tcMar>
              <w:left w:w="28" w:type="dxa"/>
              <w:right w:w="28" w:type="dxa"/>
            </w:tcMar>
          </w:tcPr>
          <w:p w14:paraId="1BEA786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са получени</w:t>
            </w:r>
          </w:p>
        </w:tc>
        <w:tc>
          <w:tcPr>
            <w:tcW w:w="1136" w:type="dxa"/>
            <w:gridSpan w:val="2"/>
            <w:shd w:val="clear" w:color="auto" w:fill="auto"/>
            <w:tcMar>
              <w:left w:w="28" w:type="dxa"/>
              <w:right w:w="28" w:type="dxa"/>
            </w:tcMar>
          </w:tcPr>
          <w:p w14:paraId="0D193AB2"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1BED7224"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7F40A0BF"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6D63BF23"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5C2232F5" w14:textId="77777777" w:rsidTr="004C279A">
        <w:trPr>
          <w:gridBefore w:val="1"/>
          <w:wBefore w:w="12" w:type="dxa"/>
          <w:cantSplit/>
          <w:tblHeader/>
          <w:jc w:val="center"/>
        </w:trPr>
        <w:tc>
          <w:tcPr>
            <w:tcW w:w="651" w:type="dxa"/>
            <w:gridSpan w:val="3"/>
            <w:tcMar>
              <w:left w:w="28" w:type="dxa"/>
              <w:right w:w="28" w:type="dxa"/>
            </w:tcMar>
          </w:tcPr>
          <w:p w14:paraId="2C9DDA09"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(48)</w:t>
            </w:r>
          </w:p>
        </w:tc>
        <w:tc>
          <w:tcPr>
            <w:tcW w:w="2286" w:type="dxa"/>
            <w:gridSpan w:val="3"/>
            <w:shd w:val="clear" w:color="auto" w:fill="auto"/>
            <w:tcMar>
              <w:left w:w="28" w:type="dxa"/>
              <w:right w:w="28" w:type="dxa"/>
            </w:tcMar>
          </w:tcPr>
          <w:p w14:paraId="3EC25A1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Ацетамиприд</w:t>
            </w:r>
          </w:p>
        </w:tc>
        <w:tc>
          <w:tcPr>
            <w:tcW w:w="1329" w:type="dxa"/>
            <w:gridSpan w:val="3"/>
            <w:shd w:val="clear" w:color="auto" w:fill="auto"/>
            <w:tcMar>
              <w:left w:w="28" w:type="dxa"/>
              <w:right w:w="28" w:type="dxa"/>
            </w:tcMar>
          </w:tcPr>
          <w:p w14:paraId="410727D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Неоникотиноидни пестициди</w:t>
            </w:r>
          </w:p>
        </w:tc>
        <w:tc>
          <w:tcPr>
            <w:tcW w:w="992" w:type="dxa"/>
            <w:gridSpan w:val="2"/>
            <w:shd w:val="clear" w:color="auto" w:fill="auto"/>
            <w:tcMar>
              <w:left w:w="28" w:type="dxa"/>
              <w:right w:w="28" w:type="dxa"/>
            </w:tcMar>
          </w:tcPr>
          <w:p w14:paraId="4A90CDE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135410-20-7/160430-64-8</w:t>
            </w:r>
          </w:p>
        </w:tc>
        <w:tc>
          <w:tcPr>
            <w:tcW w:w="1134" w:type="dxa"/>
          </w:tcPr>
          <w:p w14:paraId="3039075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603-921-1</w:t>
            </w:r>
          </w:p>
        </w:tc>
        <w:tc>
          <w:tcPr>
            <w:tcW w:w="1279" w:type="dxa"/>
            <w:gridSpan w:val="2"/>
            <w:shd w:val="clear" w:color="auto" w:fill="auto"/>
            <w:tcMar>
              <w:left w:w="28" w:type="dxa"/>
              <w:right w:w="28" w:type="dxa"/>
            </w:tcMar>
          </w:tcPr>
          <w:p w14:paraId="16DB735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0,037</w:t>
            </w:r>
          </w:p>
        </w:tc>
        <w:tc>
          <w:tcPr>
            <w:tcW w:w="1279" w:type="dxa"/>
            <w:gridSpan w:val="2"/>
            <w:shd w:val="clear" w:color="auto" w:fill="auto"/>
            <w:tcMar>
              <w:left w:w="28" w:type="dxa"/>
              <w:right w:w="28" w:type="dxa"/>
            </w:tcMar>
          </w:tcPr>
          <w:p w14:paraId="7BE3B4A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0,0037</w:t>
            </w:r>
          </w:p>
        </w:tc>
        <w:tc>
          <w:tcPr>
            <w:tcW w:w="1278" w:type="dxa"/>
            <w:gridSpan w:val="2"/>
            <w:shd w:val="clear" w:color="auto" w:fill="auto"/>
            <w:tcMar>
              <w:left w:w="28" w:type="dxa"/>
              <w:right w:w="28" w:type="dxa"/>
            </w:tcMar>
          </w:tcPr>
          <w:p w14:paraId="6997514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0,16</w:t>
            </w:r>
          </w:p>
        </w:tc>
        <w:tc>
          <w:tcPr>
            <w:tcW w:w="1277" w:type="dxa"/>
            <w:gridSpan w:val="2"/>
            <w:shd w:val="clear" w:color="auto" w:fill="auto"/>
            <w:tcMar>
              <w:left w:w="28" w:type="dxa"/>
              <w:right w:w="28" w:type="dxa"/>
            </w:tcMar>
          </w:tcPr>
          <w:p w14:paraId="6D15D12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0,016</w:t>
            </w:r>
          </w:p>
        </w:tc>
        <w:tc>
          <w:tcPr>
            <w:tcW w:w="1136" w:type="dxa"/>
            <w:gridSpan w:val="2"/>
            <w:shd w:val="clear" w:color="auto" w:fill="auto"/>
            <w:tcMar>
              <w:left w:w="28" w:type="dxa"/>
              <w:right w:w="28" w:type="dxa"/>
            </w:tcMar>
          </w:tcPr>
          <w:p w14:paraId="7905C67E"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6D9CBD64"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311A9BA4"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64D1B539"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7C85F9EB" w14:textId="77777777" w:rsidTr="004C279A">
        <w:trPr>
          <w:gridBefore w:val="1"/>
          <w:wBefore w:w="12" w:type="dxa"/>
          <w:cantSplit/>
          <w:tblHeader/>
          <w:jc w:val="center"/>
        </w:trPr>
        <w:tc>
          <w:tcPr>
            <w:tcW w:w="651" w:type="dxa"/>
            <w:gridSpan w:val="3"/>
            <w:tcMar>
              <w:left w:w="28" w:type="dxa"/>
              <w:right w:w="28" w:type="dxa"/>
            </w:tcMar>
          </w:tcPr>
          <w:p w14:paraId="2709C662"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(49)</w:t>
            </w:r>
          </w:p>
        </w:tc>
        <w:tc>
          <w:tcPr>
            <w:tcW w:w="2286" w:type="dxa"/>
            <w:gridSpan w:val="3"/>
            <w:shd w:val="clear" w:color="auto" w:fill="auto"/>
            <w:tcMar>
              <w:left w:w="28" w:type="dxa"/>
              <w:right w:w="28" w:type="dxa"/>
            </w:tcMar>
          </w:tcPr>
          <w:p w14:paraId="3D0C6E3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Азитромицин</w:t>
            </w:r>
          </w:p>
        </w:tc>
        <w:tc>
          <w:tcPr>
            <w:tcW w:w="1329" w:type="dxa"/>
            <w:gridSpan w:val="3"/>
            <w:shd w:val="clear" w:color="auto" w:fill="auto"/>
            <w:tcMar>
              <w:left w:w="28" w:type="dxa"/>
              <w:right w:w="28" w:type="dxa"/>
            </w:tcMar>
          </w:tcPr>
          <w:p w14:paraId="20ED6BA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Фармацевтични продукти (макролидни антибиотици)</w:t>
            </w:r>
          </w:p>
        </w:tc>
        <w:tc>
          <w:tcPr>
            <w:tcW w:w="992" w:type="dxa"/>
            <w:gridSpan w:val="2"/>
            <w:shd w:val="clear" w:color="auto" w:fill="auto"/>
            <w:tcMar>
              <w:left w:w="28" w:type="dxa"/>
              <w:right w:w="28" w:type="dxa"/>
            </w:tcMar>
          </w:tcPr>
          <w:p w14:paraId="4F46E10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83905-01-5</w:t>
            </w:r>
          </w:p>
        </w:tc>
        <w:tc>
          <w:tcPr>
            <w:tcW w:w="1134" w:type="dxa"/>
          </w:tcPr>
          <w:p w14:paraId="6D344FD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617-500-5</w:t>
            </w:r>
          </w:p>
        </w:tc>
        <w:tc>
          <w:tcPr>
            <w:tcW w:w="1279" w:type="dxa"/>
            <w:gridSpan w:val="2"/>
            <w:shd w:val="clear" w:color="auto" w:fill="auto"/>
            <w:tcMar>
              <w:left w:w="28" w:type="dxa"/>
              <w:right w:w="28" w:type="dxa"/>
            </w:tcMar>
          </w:tcPr>
          <w:p w14:paraId="0AE8CE9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0,019</w:t>
            </w:r>
          </w:p>
        </w:tc>
        <w:tc>
          <w:tcPr>
            <w:tcW w:w="1279" w:type="dxa"/>
            <w:gridSpan w:val="2"/>
            <w:shd w:val="clear" w:color="auto" w:fill="auto"/>
            <w:tcMar>
              <w:left w:w="28" w:type="dxa"/>
              <w:right w:w="28" w:type="dxa"/>
            </w:tcMar>
          </w:tcPr>
          <w:p w14:paraId="20495F2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0,0019</w:t>
            </w:r>
          </w:p>
        </w:tc>
        <w:tc>
          <w:tcPr>
            <w:tcW w:w="1278" w:type="dxa"/>
            <w:gridSpan w:val="2"/>
            <w:shd w:val="clear" w:color="auto" w:fill="auto"/>
            <w:tcMar>
              <w:left w:w="28" w:type="dxa"/>
              <w:right w:w="28" w:type="dxa"/>
            </w:tcMar>
          </w:tcPr>
          <w:p w14:paraId="39D32F4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0,18</w:t>
            </w:r>
          </w:p>
        </w:tc>
        <w:tc>
          <w:tcPr>
            <w:tcW w:w="1277" w:type="dxa"/>
            <w:gridSpan w:val="2"/>
            <w:shd w:val="clear" w:color="auto" w:fill="auto"/>
            <w:tcMar>
              <w:left w:w="28" w:type="dxa"/>
              <w:right w:w="28" w:type="dxa"/>
            </w:tcMar>
          </w:tcPr>
          <w:p w14:paraId="75C9C32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0,018</w:t>
            </w:r>
          </w:p>
        </w:tc>
        <w:tc>
          <w:tcPr>
            <w:tcW w:w="1136" w:type="dxa"/>
            <w:gridSpan w:val="2"/>
            <w:shd w:val="clear" w:color="auto" w:fill="auto"/>
            <w:tcMar>
              <w:left w:w="28" w:type="dxa"/>
              <w:right w:w="28" w:type="dxa"/>
            </w:tcMar>
          </w:tcPr>
          <w:p w14:paraId="584FD15B"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091F8061"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188CC76E"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6BCB97A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2F562AAD" w14:textId="77777777" w:rsidTr="004C279A">
        <w:trPr>
          <w:gridBefore w:val="1"/>
          <w:wBefore w:w="12" w:type="dxa"/>
          <w:cantSplit/>
          <w:tblHeader/>
          <w:jc w:val="center"/>
        </w:trPr>
        <w:tc>
          <w:tcPr>
            <w:tcW w:w="651" w:type="dxa"/>
            <w:gridSpan w:val="3"/>
            <w:tcMar>
              <w:left w:w="28" w:type="dxa"/>
              <w:right w:w="28" w:type="dxa"/>
            </w:tcMar>
          </w:tcPr>
          <w:p w14:paraId="3AD1B02C"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(50)</w:t>
            </w:r>
          </w:p>
        </w:tc>
        <w:tc>
          <w:tcPr>
            <w:tcW w:w="2286" w:type="dxa"/>
            <w:gridSpan w:val="3"/>
            <w:shd w:val="clear" w:color="auto" w:fill="auto"/>
            <w:tcMar>
              <w:left w:w="28" w:type="dxa"/>
              <w:right w:w="28" w:type="dxa"/>
            </w:tcMar>
          </w:tcPr>
          <w:p w14:paraId="19604EF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Бифентрин</w:t>
            </w:r>
          </w:p>
        </w:tc>
        <w:tc>
          <w:tcPr>
            <w:tcW w:w="1329" w:type="dxa"/>
            <w:gridSpan w:val="3"/>
            <w:shd w:val="clear" w:color="auto" w:fill="auto"/>
            <w:tcMar>
              <w:left w:w="28" w:type="dxa"/>
              <w:right w:w="28" w:type="dxa"/>
            </w:tcMar>
          </w:tcPr>
          <w:p w14:paraId="1EC14DE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Пиретроидни пестициди</w:t>
            </w:r>
          </w:p>
        </w:tc>
        <w:tc>
          <w:tcPr>
            <w:tcW w:w="992" w:type="dxa"/>
            <w:gridSpan w:val="2"/>
            <w:shd w:val="clear" w:color="auto" w:fill="auto"/>
            <w:tcMar>
              <w:left w:w="28" w:type="dxa"/>
              <w:right w:w="28" w:type="dxa"/>
            </w:tcMar>
          </w:tcPr>
          <w:p w14:paraId="78D6E61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82657-04-3</w:t>
            </w:r>
          </w:p>
        </w:tc>
        <w:tc>
          <w:tcPr>
            <w:tcW w:w="1134" w:type="dxa"/>
          </w:tcPr>
          <w:p w14:paraId="6746099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617-373-6</w:t>
            </w:r>
          </w:p>
        </w:tc>
        <w:tc>
          <w:tcPr>
            <w:tcW w:w="1279" w:type="dxa"/>
            <w:gridSpan w:val="2"/>
            <w:shd w:val="clear" w:color="auto" w:fill="auto"/>
            <w:tcMar>
              <w:left w:w="28" w:type="dxa"/>
              <w:right w:w="28" w:type="dxa"/>
            </w:tcMar>
          </w:tcPr>
          <w:p w14:paraId="04EC0FF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9,5 × 10</w:t>
            </w:r>
            <w:r w:rsidRPr="00921C9B">
              <w:rPr>
                <w:rFonts w:eastAsia="Calibri"/>
                <w:noProof/>
                <w:sz w:val="22"/>
                <w:szCs w:val="22"/>
                <w:vertAlign w:val="superscript"/>
                <w:lang w:eastAsia="en-US"/>
              </w:rPr>
              <w:t>-5</w:t>
            </w:r>
          </w:p>
        </w:tc>
        <w:tc>
          <w:tcPr>
            <w:tcW w:w="1279" w:type="dxa"/>
            <w:gridSpan w:val="2"/>
            <w:shd w:val="clear" w:color="auto" w:fill="auto"/>
            <w:tcMar>
              <w:left w:w="28" w:type="dxa"/>
              <w:right w:w="28" w:type="dxa"/>
            </w:tcMar>
          </w:tcPr>
          <w:p w14:paraId="6F2D9CE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9,5 × 10</w:t>
            </w:r>
            <w:r w:rsidRPr="00921C9B">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43E9DEE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0,011</w:t>
            </w:r>
          </w:p>
        </w:tc>
        <w:tc>
          <w:tcPr>
            <w:tcW w:w="1277" w:type="dxa"/>
            <w:gridSpan w:val="2"/>
            <w:shd w:val="clear" w:color="auto" w:fill="auto"/>
            <w:tcMar>
              <w:left w:w="28" w:type="dxa"/>
              <w:right w:w="28" w:type="dxa"/>
            </w:tcMar>
          </w:tcPr>
          <w:p w14:paraId="7E1A182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0,001</w:t>
            </w:r>
          </w:p>
        </w:tc>
        <w:tc>
          <w:tcPr>
            <w:tcW w:w="1136" w:type="dxa"/>
            <w:gridSpan w:val="2"/>
            <w:shd w:val="clear" w:color="auto" w:fill="auto"/>
            <w:tcMar>
              <w:left w:w="28" w:type="dxa"/>
              <w:right w:w="28" w:type="dxa"/>
            </w:tcMar>
          </w:tcPr>
          <w:p w14:paraId="4A1DFCF1"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7B7D82C9"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190F660A"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7ECA3B6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59A2750F" w14:textId="77777777" w:rsidTr="004C279A">
        <w:trPr>
          <w:gridBefore w:val="1"/>
          <w:wBefore w:w="12" w:type="dxa"/>
          <w:cantSplit/>
          <w:tblHeader/>
          <w:jc w:val="center"/>
        </w:trPr>
        <w:tc>
          <w:tcPr>
            <w:tcW w:w="651" w:type="dxa"/>
            <w:gridSpan w:val="3"/>
            <w:tcMar>
              <w:left w:w="28" w:type="dxa"/>
              <w:right w:w="28" w:type="dxa"/>
            </w:tcMar>
          </w:tcPr>
          <w:p w14:paraId="17AFE852" w14:textId="77777777" w:rsidR="00501E78" w:rsidRPr="00921C9B" w:rsidRDefault="00501E78" w:rsidP="00501E78">
            <w:pPr>
              <w:keepNext/>
              <w:widowControl/>
              <w:spacing w:before="40" w:after="40"/>
              <w:jc w:val="both"/>
              <w:rPr>
                <w:rFonts w:eastAsia="Calibri"/>
                <w:noProof/>
                <w:sz w:val="22"/>
                <w:szCs w:val="22"/>
                <w:lang w:eastAsia="en-US"/>
              </w:rPr>
            </w:pPr>
            <w:r w:rsidRPr="00921C9B">
              <w:rPr>
                <w:rFonts w:eastAsia="Calibri"/>
                <w:noProof/>
                <w:sz w:val="22"/>
                <w:szCs w:val="22"/>
                <w:lang w:eastAsia="en-US"/>
              </w:rPr>
              <w:t>(51)</w:t>
            </w:r>
          </w:p>
        </w:tc>
        <w:tc>
          <w:tcPr>
            <w:tcW w:w="2286" w:type="dxa"/>
            <w:gridSpan w:val="3"/>
            <w:shd w:val="clear" w:color="auto" w:fill="auto"/>
            <w:tcMar>
              <w:left w:w="28" w:type="dxa"/>
              <w:right w:w="28" w:type="dxa"/>
            </w:tcMar>
          </w:tcPr>
          <w:p w14:paraId="5270517A"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Бисфенол A (BPA)</w:t>
            </w:r>
          </w:p>
        </w:tc>
        <w:tc>
          <w:tcPr>
            <w:tcW w:w="1329" w:type="dxa"/>
            <w:gridSpan w:val="3"/>
            <w:shd w:val="clear" w:color="auto" w:fill="auto"/>
            <w:tcMar>
              <w:left w:w="28" w:type="dxa"/>
              <w:right w:w="28" w:type="dxa"/>
            </w:tcMar>
          </w:tcPr>
          <w:p w14:paraId="39F29E4C"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shd w:val="clear" w:color="auto" w:fill="auto"/>
            <w:tcMar>
              <w:left w:w="28" w:type="dxa"/>
              <w:right w:w="28" w:type="dxa"/>
            </w:tcMar>
          </w:tcPr>
          <w:p w14:paraId="2BAF8F72"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80-05-7</w:t>
            </w:r>
          </w:p>
        </w:tc>
        <w:tc>
          <w:tcPr>
            <w:tcW w:w="1134" w:type="dxa"/>
          </w:tcPr>
          <w:p w14:paraId="091EC6FC" w14:textId="77777777" w:rsidR="00501E78" w:rsidRPr="00921C9B" w:rsidDel="00E110E0"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201-245-8</w:t>
            </w:r>
          </w:p>
        </w:tc>
        <w:tc>
          <w:tcPr>
            <w:tcW w:w="1279" w:type="dxa"/>
            <w:gridSpan w:val="2"/>
            <w:shd w:val="clear" w:color="auto" w:fill="auto"/>
            <w:tcMar>
              <w:left w:w="28" w:type="dxa"/>
              <w:right w:w="28" w:type="dxa"/>
            </w:tcMar>
          </w:tcPr>
          <w:p w14:paraId="7CC4585B"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3,4 × 10</w:t>
            </w:r>
            <w:r w:rsidRPr="00921C9B">
              <w:rPr>
                <w:rFonts w:eastAsia="Calibri"/>
                <w:noProof/>
                <w:sz w:val="22"/>
                <w:szCs w:val="22"/>
                <w:vertAlign w:val="superscript"/>
                <w:lang w:eastAsia="en-US"/>
              </w:rPr>
              <w:t>-5</w:t>
            </w:r>
            <w:r w:rsidRPr="00921C9B">
              <w:rPr>
                <w:rFonts w:eastAsia="Calibri"/>
                <w:noProof/>
                <w:sz w:val="22"/>
                <w:szCs w:val="22"/>
                <w:lang w:eastAsia="en-US"/>
              </w:rPr>
              <w:t xml:space="preserve"> </w:t>
            </w:r>
          </w:p>
        </w:tc>
        <w:tc>
          <w:tcPr>
            <w:tcW w:w="1279" w:type="dxa"/>
            <w:gridSpan w:val="2"/>
            <w:shd w:val="clear" w:color="auto" w:fill="auto"/>
            <w:tcMar>
              <w:left w:w="28" w:type="dxa"/>
              <w:right w:w="28" w:type="dxa"/>
            </w:tcMar>
          </w:tcPr>
          <w:p w14:paraId="137E9EB6"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3,4 × 10</w:t>
            </w:r>
            <w:r w:rsidRPr="00921C9B">
              <w:rPr>
                <w:rFonts w:eastAsia="Calibri"/>
                <w:noProof/>
                <w:sz w:val="22"/>
                <w:szCs w:val="22"/>
                <w:vertAlign w:val="superscript"/>
                <w:lang w:eastAsia="en-US"/>
              </w:rPr>
              <w:t>-5</w:t>
            </w:r>
            <w:r w:rsidRPr="00921C9B">
              <w:rPr>
                <w:rFonts w:eastAsia="Calibri"/>
                <w:noProof/>
                <w:sz w:val="22"/>
                <w:szCs w:val="22"/>
                <w:lang w:eastAsia="en-US"/>
              </w:rPr>
              <w:t xml:space="preserve"> </w:t>
            </w:r>
          </w:p>
        </w:tc>
        <w:tc>
          <w:tcPr>
            <w:tcW w:w="1278" w:type="dxa"/>
            <w:gridSpan w:val="2"/>
            <w:shd w:val="clear" w:color="auto" w:fill="auto"/>
            <w:tcMar>
              <w:left w:w="28" w:type="dxa"/>
              <w:right w:w="28" w:type="dxa"/>
            </w:tcMar>
          </w:tcPr>
          <w:p w14:paraId="7B9B6522"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130</w:t>
            </w:r>
          </w:p>
        </w:tc>
        <w:tc>
          <w:tcPr>
            <w:tcW w:w="1277" w:type="dxa"/>
            <w:gridSpan w:val="2"/>
            <w:shd w:val="clear" w:color="auto" w:fill="auto"/>
            <w:tcMar>
              <w:left w:w="28" w:type="dxa"/>
              <w:right w:w="28" w:type="dxa"/>
            </w:tcMar>
          </w:tcPr>
          <w:p w14:paraId="1383D253"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51</w:t>
            </w:r>
          </w:p>
        </w:tc>
        <w:tc>
          <w:tcPr>
            <w:tcW w:w="1136" w:type="dxa"/>
            <w:gridSpan w:val="2"/>
            <w:shd w:val="clear" w:color="auto" w:fill="auto"/>
            <w:tcMar>
              <w:left w:w="28" w:type="dxa"/>
              <w:right w:w="28" w:type="dxa"/>
            </w:tcMar>
          </w:tcPr>
          <w:p w14:paraId="43286F20"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0,005</w:t>
            </w:r>
          </w:p>
        </w:tc>
        <w:tc>
          <w:tcPr>
            <w:tcW w:w="1262" w:type="dxa"/>
            <w:tcMar>
              <w:left w:w="28" w:type="dxa"/>
              <w:right w:w="28" w:type="dxa"/>
            </w:tcMar>
          </w:tcPr>
          <w:p w14:paraId="013C0894"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7721C318" w14:textId="77777777" w:rsidR="00501E78" w:rsidRPr="00921C9B" w:rsidRDefault="00501E78" w:rsidP="00501E78">
            <w:pPr>
              <w:keepNext/>
              <w:widowControl/>
              <w:spacing w:before="40" w:after="40"/>
              <w:rPr>
                <w:rFonts w:eastAsia="Calibri"/>
                <w:noProof/>
                <w:sz w:val="22"/>
                <w:szCs w:val="22"/>
                <w:lang w:eastAsia="en-US"/>
              </w:rPr>
            </w:pPr>
          </w:p>
        </w:tc>
        <w:tc>
          <w:tcPr>
            <w:tcW w:w="970" w:type="dxa"/>
            <w:tcMar>
              <w:left w:w="28" w:type="dxa"/>
              <w:right w:w="28" w:type="dxa"/>
            </w:tcMar>
          </w:tcPr>
          <w:p w14:paraId="65466BCD" w14:textId="77777777" w:rsidR="00501E78" w:rsidRPr="00921C9B" w:rsidRDefault="00501E78" w:rsidP="00501E78">
            <w:pPr>
              <w:keepNext/>
              <w:widowControl/>
              <w:spacing w:before="40" w:after="40"/>
              <w:rPr>
                <w:rFonts w:eastAsia="Calibri"/>
                <w:noProof/>
                <w:sz w:val="22"/>
                <w:szCs w:val="22"/>
                <w:lang w:eastAsia="en-US"/>
              </w:rPr>
            </w:pPr>
          </w:p>
        </w:tc>
      </w:tr>
      <w:tr w:rsidR="00501E78" w:rsidRPr="00921C9B" w14:paraId="4A568A15" w14:textId="77777777" w:rsidTr="004C279A">
        <w:trPr>
          <w:gridBefore w:val="1"/>
          <w:wBefore w:w="12" w:type="dxa"/>
          <w:cantSplit/>
          <w:tblHeader/>
          <w:jc w:val="center"/>
        </w:trPr>
        <w:tc>
          <w:tcPr>
            <w:tcW w:w="651" w:type="dxa"/>
            <w:gridSpan w:val="3"/>
            <w:tcMar>
              <w:left w:w="28" w:type="dxa"/>
              <w:right w:w="28" w:type="dxa"/>
            </w:tcMar>
          </w:tcPr>
          <w:p w14:paraId="48719545"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(52)</w:t>
            </w:r>
          </w:p>
        </w:tc>
        <w:tc>
          <w:tcPr>
            <w:tcW w:w="2286" w:type="dxa"/>
            <w:gridSpan w:val="3"/>
            <w:shd w:val="clear" w:color="auto" w:fill="auto"/>
            <w:tcMar>
              <w:left w:w="28" w:type="dxa"/>
              <w:right w:w="28" w:type="dxa"/>
            </w:tcMar>
          </w:tcPr>
          <w:p w14:paraId="4878433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Карбамазепин</w:t>
            </w:r>
          </w:p>
        </w:tc>
        <w:tc>
          <w:tcPr>
            <w:tcW w:w="1329" w:type="dxa"/>
            <w:gridSpan w:val="3"/>
            <w:shd w:val="clear" w:color="auto" w:fill="auto"/>
            <w:tcMar>
              <w:left w:w="28" w:type="dxa"/>
              <w:right w:w="28" w:type="dxa"/>
            </w:tcMar>
          </w:tcPr>
          <w:p w14:paraId="48B79C4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Фармацевтични продукти</w:t>
            </w:r>
          </w:p>
        </w:tc>
        <w:tc>
          <w:tcPr>
            <w:tcW w:w="992" w:type="dxa"/>
            <w:gridSpan w:val="2"/>
            <w:shd w:val="clear" w:color="auto" w:fill="auto"/>
            <w:tcMar>
              <w:left w:w="28" w:type="dxa"/>
              <w:right w:w="28" w:type="dxa"/>
            </w:tcMar>
          </w:tcPr>
          <w:p w14:paraId="46F4117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298-46-4</w:t>
            </w:r>
          </w:p>
        </w:tc>
        <w:tc>
          <w:tcPr>
            <w:tcW w:w="1134" w:type="dxa"/>
          </w:tcPr>
          <w:p w14:paraId="1C4EAD64" w14:textId="77777777" w:rsidR="00501E78" w:rsidRPr="00921C9B" w:rsidDel="00F376D5"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206-062-7</w:t>
            </w:r>
          </w:p>
        </w:tc>
        <w:tc>
          <w:tcPr>
            <w:tcW w:w="1279" w:type="dxa"/>
            <w:gridSpan w:val="2"/>
            <w:shd w:val="clear" w:color="auto" w:fill="auto"/>
            <w:tcMar>
              <w:left w:w="28" w:type="dxa"/>
              <w:right w:w="28" w:type="dxa"/>
            </w:tcMar>
          </w:tcPr>
          <w:p w14:paraId="115EA0C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2,5</w:t>
            </w:r>
          </w:p>
        </w:tc>
        <w:tc>
          <w:tcPr>
            <w:tcW w:w="1279" w:type="dxa"/>
            <w:gridSpan w:val="2"/>
            <w:shd w:val="clear" w:color="auto" w:fill="auto"/>
            <w:tcMar>
              <w:left w:w="28" w:type="dxa"/>
              <w:right w:w="28" w:type="dxa"/>
            </w:tcMar>
          </w:tcPr>
          <w:p w14:paraId="764AEF1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0,25</w:t>
            </w:r>
          </w:p>
        </w:tc>
        <w:tc>
          <w:tcPr>
            <w:tcW w:w="1278" w:type="dxa"/>
            <w:gridSpan w:val="2"/>
            <w:shd w:val="clear" w:color="auto" w:fill="auto"/>
            <w:tcMar>
              <w:left w:w="28" w:type="dxa"/>
              <w:right w:w="28" w:type="dxa"/>
            </w:tcMar>
          </w:tcPr>
          <w:p w14:paraId="33C469A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1,6 × 10</w:t>
            </w:r>
            <w:r w:rsidRPr="00921C9B">
              <w:rPr>
                <w:rFonts w:eastAsia="Calibri"/>
                <w:noProof/>
                <w:sz w:val="22"/>
                <w:szCs w:val="22"/>
                <w:vertAlign w:val="superscript"/>
                <w:lang w:eastAsia="en-US"/>
              </w:rPr>
              <w:t>3</w:t>
            </w:r>
          </w:p>
        </w:tc>
        <w:tc>
          <w:tcPr>
            <w:tcW w:w="1277" w:type="dxa"/>
            <w:gridSpan w:val="2"/>
            <w:shd w:val="clear" w:color="auto" w:fill="auto"/>
            <w:tcMar>
              <w:left w:w="28" w:type="dxa"/>
              <w:right w:w="28" w:type="dxa"/>
            </w:tcMar>
          </w:tcPr>
          <w:p w14:paraId="1115189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160</w:t>
            </w:r>
          </w:p>
        </w:tc>
        <w:tc>
          <w:tcPr>
            <w:tcW w:w="1136" w:type="dxa"/>
            <w:gridSpan w:val="2"/>
            <w:shd w:val="clear" w:color="auto" w:fill="auto"/>
            <w:tcMar>
              <w:left w:w="28" w:type="dxa"/>
              <w:right w:w="28" w:type="dxa"/>
            </w:tcMar>
          </w:tcPr>
          <w:p w14:paraId="715CF6D3"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1675EFAC"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45784611"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3224D6F0"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77F606CB" w14:textId="77777777" w:rsidTr="004C279A">
        <w:trPr>
          <w:gridBefore w:val="1"/>
          <w:wBefore w:w="12" w:type="dxa"/>
          <w:cantSplit/>
          <w:tblHeader/>
          <w:jc w:val="center"/>
        </w:trPr>
        <w:tc>
          <w:tcPr>
            <w:tcW w:w="651" w:type="dxa"/>
            <w:gridSpan w:val="3"/>
            <w:tcMar>
              <w:left w:w="28" w:type="dxa"/>
              <w:right w:w="28" w:type="dxa"/>
            </w:tcMar>
          </w:tcPr>
          <w:p w14:paraId="74FC19BF"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(53)</w:t>
            </w:r>
          </w:p>
        </w:tc>
        <w:tc>
          <w:tcPr>
            <w:tcW w:w="2286" w:type="dxa"/>
            <w:gridSpan w:val="3"/>
            <w:shd w:val="clear" w:color="auto" w:fill="auto"/>
            <w:tcMar>
              <w:left w:w="28" w:type="dxa"/>
              <w:right w:w="28" w:type="dxa"/>
            </w:tcMar>
          </w:tcPr>
          <w:p w14:paraId="0674B79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Кларитромицин</w:t>
            </w:r>
          </w:p>
        </w:tc>
        <w:tc>
          <w:tcPr>
            <w:tcW w:w="1329" w:type="dxa"/>
            <w:gridSpan w:val="3"/>
            <w:shd w:val="clear" w:color="auto" w:fill="auto"/>
            <w:tcMar>
              <w:left w:w="28" w:type="dxa"/>
              <w:right w:w="28" w:type="dxa"/>
            </w:tcMar>
          </w:tcPr>
          <w:p w14:paraId="46B3D16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Фармацевтични продукти (макролидни антибиотици)</w:t>
            </w:r>
          </w:p>
        </w:tc>
        <w:tc>
          <w:tcPr>
            <w:tcW w:w="992" w:type="dxa"/>
            <w:gridSpan w:val="2"/>
            <w:shd w:val="clear" w:color="auto" w:fill="auto"/>
            <w:tcMar>
              <w:left w:w="28" w:type="dxa"/>
              <w:right w:w="28" w:type="dxa"/>
            </w:tcMar>
          </w:tcPr>
          <w:p w14:paraId="7B763DE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81103-11-9</w:t>
            </w:r>
          </w:p>
        </w:tc>
        <w:tc>
          <w:tcPr>
            <w:tcW w:w="1134" w:type="dxa"/>
          </w:tcPr>
          <w:p w14:paraId="0232AC8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658-034-2</w:t>
            </w:r>
          </w:p>
        </w:tc>
        <w:tc>
          <w:tcPr>
            <w:tcW w:w="1279" w:type="dxa"/>
            <w:gridSpan w:val="2"/>
            <w:shd w:val="clear" w:color="auto" w:fill="auto"/>
            <w:tcMar>
              <w:left w:w="28" w:type="dxa"/>
              <w:right w:w="28" w:type="dxa"/>
            </w:tcMar>
          </w:tcPr>
          <w:p w14:paraId="6D12760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0,13</w:t>
            </w:r>
          </w:p>
        </w:tc>
        <w:tc>
          <w:tcPr>
            <w:tcW w:w="1279" w:type="dxa"/>
            <w:gridSpan w:val="2"/>
            <w:shd w:val="clear" w:color="auto" w:fill="auto"/>
            <w:tcMar>
              <w:left w:w="28" w:type="dxa"/>
              <w:right w:w="28" w:type="dxa"/>
            </w:tcMar>
          </w:tcPr>
          <w:p w14:paraId="7846344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0,013</w:t>
            </w:r>
          </w:p>
        </w:tc>
        <w:tc>
          <w:tcPr>
            <w:tcW w:w="1278" w:type="dxa"/>
            <w:gridSpan w:val="2"/>
            <w:shd w:val="clear" w:color="auto" w:fill="auto"/>
            <w:tcMar>
              <w:left w:w="28" w:type="dxa"/>
              <w:right w:w="28" w:type="dxa"/>
            </w:tcMar>
          </w:tcPr>
          <w:p w14:paraId="3851250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0,13</w:t>
            </w:r>
          </w:p>
        </w:tc>
        <w:tc>
          <w:tcPr>
            <w:tcW w:w="1277" w:type="dxa"/>
            <w:gridSpan w:val="2"/>
            <w:shd w:val="clear" w:color="auto" w:fill="auto"/>
            <w:tcMar>
              <w:left w:w="28" w:type="dxa"/>
              <w:right w:w="28" w:type="dxa"/>
            </w:tcMar>
          </w:tcPr>
          <w:p w14:paraId="1C07045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0,013</w:t>
            </w:r>
          </w:p>
        </w:tc>
        <w:tc>
          <w:tcPr>
            <w:tcW w:w="1136" w:type="dxa"/>
            <w:gridSpan w:val="2"/>
            <w:shd w:val="clear" w:color="auto" w:fill="auto"/>
            <w:tcMar>
              <w:left w:w="28" w:type="dxa"/>
              <w:right w:w="28" w:type="dxa"/>
            </w:tcMar>
          </w:tcPr>
          <w:p w14:paraId="543D71CA"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54432E78"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305A9480"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1DFFC35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0BFD117B" w14:textId="77777777" w:rsidTr="004C279A">
        <w:trPr>
          <w:gridBefore w:val="1"/>
          <w:wBefore w:w="12" w:type="dxa"/>
          <w:cantSplit/>
          <w:tblHeader/>
          <w:jc w:val="center"/>
        </w:trPr>
        <w:tc>
          <w:tcPr>
            <w:tcW w:w="651" w:type="dxa"/>
            <w:gridSpan w:val="3"/>
            <w:tcMar>
              <w:left w:w="28" w:type="dxa"/>
              <w:right w:w="28" w:type="dxa"/>
            </w:tcMar>
          </w:tcPr>
          <w:p w14:paraId="346F954E"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(54)</w:t>
            </w:r>
          </w:p>
        </w:tc>
        <w:tc>
          <w:tcPr>
            <w:tcW w:w="2286" w:type="dxa"/>
            <w:gridSpan w:val="3"/>
            <w:shd w:val="clear" w:color="auto" w:fill="auto"/>
            <w:tcMar>
              <w:left w:w="28" w:type="dxa"/>
              <w:right w:w="28" w:type="dxa"/>
            </w:tcMar>
          </w:tcPr>
          <w:p w14:paraId="37BF990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Клотианидин</w:t>
            </w:r>
          </w:p>
        </w:tc>
        <w:tc>
          <w:tcPr>
            <w:tcW w:w="1329" w:type="dxa"/>
            <w:gridSpan w:val="3"/>
            <w:shd w:val="clear" w:color="auto" w:fill="auto"/>
            <w:tcMar>
              <w:left w:w="28" w:type="dxa"/>
              <w:right w:w="28" w:type="dxa"/>
            </w:tcMar>
          </w:tcPr>
          <w:p w14:paraId="4C5F0E5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Неоникотиноидни пестициди</w:t>
            </w:r>
          </w:p>
        </w:tc>
        <w:tc>
          <w:tcPr>
            <w:tcW w:w="992" w:type="dxa"/>
            <w:gridSpan w:val="2"/>
            <w:shd w:val="clear" w:color="auto" w:fill="auto"/>
            <w:tcMar>
              <w:left w:w="28" w:type="dxa"/>
              <w:right w:w="28" w:type="dxa"/>
            </w:tcMar>
          </w:tcPr>
          <w:p w14:paraId="75B512A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210880-92-5</w:t>
            </w:r>
          </w:p>
        </w:tc>
        <w:tc>
          <w:tcPr>
            <w:tcW w:w="1134" w:type="dxa"/>
          </w:tcPr>
          <w:p w14:paraId="3E99EA6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433-460-1</w:t>
            </w:r>
          </w:p>
        </w:tc>
        <w:tc>
          <w:tcPr>
            <w:tcW w:w="1279" w:type="dxa"/>
            <w:gridSpan w:val="2"/>
            <w:shd w:val="clear" w:color="auto" w:fill="auto"/>
            <w:tcMar>
              <w:left w:w="28" w:type="dxa"/>
              <w:right w:w="28" w:type="dxa"/>
            </w:tcMar>
          </w:tcPr>
          <w:p w14:paraId="31C2924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w:t>
            </w:r>
          </w:p>
        </w:tc>
        <w:tc>
          <w:tcPr>
            <w:tcW w:w="1279" w:type="dxa"/>
            <w:gridSpan w:val="2"/>
            <w:shd w:val="clear" w:color="auto" w:fill="auto"/>
            <w:tcMar>
              <w:left w:w="28" w:type="dxa"/>
              <w:right w:w="28" w:type="dxa"/>
            </w:tcMar>
          </w:tcPr>
          <w:p w14:paraId="1072FA0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0,001</w:t>
            </w:r>
          </w:p>
        </w:tc>
        <w:tc>
          <w:tcPr>
            <w:tcW w:w="1278" w:type="dxa"/>
            <w:gridSpan w:val="2"/>
            <w:shd w:val="clear" w:color="auto" w:fill="auto"/>
            <w:tcMar>
              <w:left w:w="28" w:type="dxa"/>
              <w:right w:w="28" w:type="dxa"/>
            </w:tcMar>
          </w:tcPr>
          <w:p w14:paraId="25EF7E0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0,34</w:t>
            </w:r>
          </w:p>
        </w:tc>
        <w:tc>
          <w:tcPr>
            <w:tcW w:w="1277" w:type="dxa"/>
            <w:gridSpan w:val="2"/>
            <w:shd w:val="clear" w:color="auto" w:fill="auto"/>
            <w:tcMar>
              <w:left w:w="28" w:type="dxa"/>
              <w:right w:w="28" w:type="dxa"/>
            </w:tcMar>
          </w:tcPr>
          <w:p w14:paraId="6FC3441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0,034</w:t>
            </w:r>
          </w:p>
        </w:tc>
        <w:tc>
          <w:tcPr>
            <w:tcW w:w="1136" w:type="dxa"/>
            <w:gridSpan w:val="2"/>
            <w:shd w:val="clear" w:color="auto" w:fill="auto"/>
            <w:tcMar>
              <w:left w:w="28" w:type="dxa"/>
              <w:right w:w="28" w:type="dxa"/>
            </w:tcMar>
          </w:tcPr>
          <w:p w14:paraId="3118D764"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210BDC7D"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5F1673FC"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7B6C7CCF"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2C9E9A36" w14:textId="77777777" w:rsidTr="004C279A">
        <w:trPr>
          <w:gridBefore w:val="1"/>
          <w:wBefore w:w="12" w:type="dxa"/>
          <w:cantSplit/>
          <w:tblHeader/>
          <w:jc w:val="center"/>
        </w:trPr>
        <w:tc>
          <w:tcPr>
            <w:tcW w:w="651" w:type="dxa"/>
            <w:gridSpan w:val="3"/>
            <w:tcMar>
              <w:left w:w="28" w:type="dxa"/>
              <w:right w:w="28" w:type="dxa"/>
            </w:tcMar>
          </w:tcPr>
          <w:p w14:paraId="06944DF7"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(55)</w:t>
            </w:r>
          </w:p>
        </w:tc>
        <w:tc>
          <w:tcPr>
            <w:tcW w:w="2286" w:type="dxa"/>
            <w:gridSpan w:val="3"/>
            <w:shd w:val="clear" w:color="auto" w:fill="auto"/>
            <w:tcMar>
              <w:left w:w="28" w:type="dxa"/>
              <w:right w:w="28" w:type="dxa"/>
            </w:tcMar>
          </w:tcPr>
          <w:p w14:paraId="027FABA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Делтаметрин</w:t>
            </w:r>
          </w:p>
        </w:tc>
        <w:tc>
          <w:tcPr>
            <w:tcW w:w="1329" w:type="dxa"/>
            <w:gridSpan w:val="3"/>
            <w:shd w:val="clear" w:color="auto" w:fill="auto"/>
            <w:tcMar>
              <w:left w:w="28" w:type="dxa"/>
              <w:right w:w="28" w:type="dxa"/>
            </w:tcMar>
          </w:tcPr>
          <w:p w14:paraId="76E85AD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Пиретроидни пестициди</w:t>
            </w:r>
          </w:p>
        </w:tc>
        <w:tc>
          <w:tcPr>
            <w:tcW w:w="992" w:type="dxa"/>
            <w:gridSpan w:val="2"/>
            <w:shd w:val="clear" w:color="auto" w:fill="auto"/>
            <w:tcMar>
              <w:left w:w="28" w:type="dxa"/>
              <w:right w:w="28" w:type="dxa"/>
            </w:tcMar>
          </w:tcPr>
          <w:p w14:paraId="4AF0CC2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52918-63-5</w:t>
            </w:r>
          </w:p>
        </w:tc>
        <w:tc>
          <w:tcPr>
            <w:tcW w:w="1134" w:type="dxa"/>
          </w:tcPr>
          <w:p w14:paraId="12D50F5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258-256-6</w:t>
            </w:r>
          </w:p>
        </w:tc>
        <w:tc>
          <w:tcPr>
            <w:tcW w:w="1279" w:type="dxa"/>
            <w:gridSpan w:val="2"/>
            <w:shd w:val="clear" w:color="auto" w:fill="auto"/>
            <w:tcMar>
              <w:left w:w="28" w:type="dxa"/>
              <w:right w:w="28" w:type="dxa"/>
            </w:tcMar>
          </w:tcPr>
          <w:p w14:paraId="12BA83A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1,7 × 10</w:t>
            </w:r>
            <w:r w:rsidRPr="00921C9B">
              <w:rPr>
                <w:rFonts w:eastAsia="Calibri"/>
                <w:noProof/>
                <w:sz w:val="22"/>
                <w:szCs w:val="22"/>
                <w:vertAlign w:val="superscript"/>
                <w:lang w:eastAsia="en-US"/>
              </w:rPr>
              <w:t>-6</w:t>
            </w:r>
          </w:p>
        </w:tc>
        <w:tc>
          <w:tcPr>
            <w:tcW w:w="1279" w:type="dxa"/>
            <w:gridSpan w:val="2"/>
            <w:shd w:val="clear" w:color="auto" w:fill="auto"/>
            <w:tcMar>
              <w:left w:w="28" w:type="dxa"/>
              <w:right w:w="28" w:type="dxa"/>
            </w:tcMar>
          </w:tcPr>
          <w:p w14:paraId="1858771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1,7 × 10</w:t>
            </w:r>
            <w:r w:rsidRPr="00921C9B">
              <w:rPr>
                <w:rFonts w:eastAsia="Calibri"/>
                <w:noProof/>
                <w:sz w:val="22"/>
                <w:szCs w:val="22"/>
                <w:vertAlign w:val="superscript"/>
                <w:lang w:eastAsia="en-US"/>
              </w:rPr>
              <w:t>-7</w:t>
            </w:r>
          </w:p>
        </w:tc>
        <w:tc>
          <w:tcPr>
            <w:tcW w:w="1278" w:type="dxa"/>
            <w:gridSpan w:val="2"/>
            <w:shd w:val="clear" w:color="auto" w:fill="auto"/>
            <w:tcMar>
              <w:left w:w="28" w:type="dxa"/>
              <w:right w:w="28" w:type="dxa"/>
            </w:tcMar>
          </w:tcPr>
          <w:p w14:paraId="14DE027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1,7 × 10</w:t>
            </w:r>
            <w:r w:rsidRPr="00921C9B">
              <w:rPr>
                <w:rFonts w:eastAsia="Calibri"/>
                <w:noProof/>
                <w:sz w:val="22"/>
                <w:szCs w:val="22"/>
                <w:vertAlign w:val="superscript"/>
                <w:lang w:eastAsia="en-US"/>
              </w:rPr>
              <w:t>-5</w:t>
            </w:r>
          </w:p>
        </w:tc>
        <w:tc>
          <w:tcPr>
            <w:tcW w:w="1277" w:type="dxa"/>
            <w:gridSpan w:val="2"/>
            <w:shd w:val="clear" w:color="auto" w:fill="auto"/>
            <w:tcMar>
              <w:left w:w="28" w:type="dxa"/>
              <w:right w:w="28" w:type="dxa"/>
            </w:tcMar>
          </w:tcPr>
          <w:p w14:paraId="2410E61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3,4 × 10</w:t>
            </w:r>
            <w:r w:rsidRPr="00921C9B">
              <w:rPr>
                <w:rFonts w:eastAsia="Calibri"/>
                <w:noProof/>
                <w:sz w:val="22"/>
                <w:szCs w:val="22"/>
                <w:vertAlign w:val="superscript"/>
                <w:lang w:eastAsia="en-US"/>
              </w:rPr>
              <w:t>-6</w:t>
            </w:r>
          </w:p>
        </w:tc>
        <w:tc>
          <w:tcPr>
            <w:tcW w:w="1136" w:type="dxa"/>
            <w:gridSpan w:val="2"/>
            <w:shd w:val="clear" w:color="auto" w:fill="auto"/>
            <w:tcMar>
              <w:left w:w="28" w:type="dxa"/>
              <w:right w:w="28" w:type="dxa"/>
            </w:tcMar>
          </w:tcPr>
          <w:p w14:paraId="37580B46"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47B54D21"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shd w:val="clear" w:color="auto" w:fill="auto"/>
            <w:tcMar>
              <w:left w:w="28" w:type="dxa"/>
              <w:right w:w="28" w:type="dxa"/>
            </w:tcMar>
          </w:tcPr>
          <w:p w14:paraId="115CB685" w14:textId="77777777" w:rsidR="00501E78" w:rsidRPr="00921C9B" w:rsidRDefault="00501E78" w:rsidP="00501E78">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2CD2C36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573DC2D9" w14:textId="77777777" w:rsidTr="004C279A">
        <w:trPr>
          <w:gridBefore w:val="1"/>
          <w:wBefore w:w="12" w:type="dxa"/>
          <w:cantSplit/>
          <w:tblHeader/>
          <w:jc w:val="center"/>
        </w:trPr>
        <w:tc>
          <w:tcPr>
            <w:tcW w:w="651" w:type="dxa"/>
            <w:gridSpan w:val="3"/>
            <w:tcMar>
              <w:left w:w="28" w:type="dxa"/>
              <w:right w:w="28" w:type="dxa"/>
            </w:tcMar>
          </w:tcPr>
          <w:p w14:paraId="5B8EDD03"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(56)</w:t>
            </w:r>
          </w:p>
        </w:tc>
        <w:tc>
          <w:tcPr>
            <w:tcW w:w="2286" w:type="dxa"/>
            <w:gridSpan w:val="3"/>
            <w:shd w:val="clear" w:color="auto" w:fill="auto"/>
            <w:tcMar>
              <w:left w:w="28" w:type="dxa"/>
              <w:right w:w="28" w:type="dxa"/>
            </w:tcMar>
          </w:tcPr>
          <w:p w14:paraId="12C19C4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Диклофенак</w:t>
            </w:r>
          </w:p>
        </w:tc>
        <w:tc>
          <w:tcPr>
            <w:tcW w:w="1329" w:type="dxa"/>
            <w:gridSpan w:val="3"/>
            <w:shd w:val="clear" w:color="auto" w:fill="auto"/>
            <w:tcMar>
              <w:left w:w="28" w:type="dxa"/>
              <w:right w:w="28" w:type="dxa"/>
            </w:tcMar>
          </w:tcPr>
          <w:p w14:paraId="2895F22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Фармацевтични продукти</w:t>
            </w:r>
          </w:p>
        </w:tc>
        <w:tc>
          <w:tcPr>
            <w:tcW w:w="992" w:type="dxa"/>
            <w:gridSpan w:val="2"/>
            <w:shd w:val="clear" w:color="auto" w:fill="auto"/>
            <w:tcMar>
              <w:left w:w="28" w:type="dxa"/>
              <w:right w:w="28" w:type="dxa"/>
            </w:tcMar>
          </w:tcPr>
          <w:p w14:paraId="1B77237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 xml:space="preserve">15307-86-5/15307-79-6 </w:t>
            </w:r>
          </w:p>
        </w:tc>
        <w:tc>
          <w:tcPr>
            <w:tcW w:w="1134" w:type="dxa"/>
          </w:tcPr>
          <w:p w14:paraId="4497BA7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239-348-5/239-346-4</w:t>
            </w:r>
          </w:p>
        </w:tc>
        <w:tc>
          <w:tcPr>
            <w:tcW w:w="1279" w:type="dxa"/>
            <w:gridSpan w:val="2"/>
            <w:shd w:val="clear" w:color="auto" w:fill="auto"/>
            <w:tcMar>
              <w:left w:w="28" w:type="dxa"/>
              <w:right w:w="28" w:type="dxa"/>
            </w:tcMar>
          </w:tcPr>
          <w:p w14:paraId="0BD9FA5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0,04</w:t>
            </w:r>
          </w:p>
        </w:tc>
        <w:tc>
          <w:tcPr>
            <w:tcW w:w="1279" w:type="dxa"/>
            <w:gridSpan w:val="2"/>
            <w:shd w:val="clear" w:color="auto" w:fill="auto"/>
            <w:tcMar>
              <w:left w:w="28" w:type="dxa"/>
              <w:right w:w="28" w:type="dxa"/>
            </w:tcMar>
          </w:tcPr>
          <w:p w14:paraId="4466C16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0,004</w:t>
            </w:r>
          </w:p>
        </w:tc>
        <w:tc>
          <w:tcPr>
            <w:tcW w:w="1278" w:type="dxa"/>
            <w:gridSpan w:val="2"/>
            <w:shd w:val="clear" w:color="auto" w:fill="auto"/>
            <w:tcMar>
              <w:left w:w="28" w:type="dxa"/>
              <w:right w:w="28" w:type="dxa"/>
            </w:tcMar>
          </w:tcPr>
          <w:p w14:paraId="3515D99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250</w:t>
            </w:r>
          </w:p>
        </w:tc>
        <w:tc>
          <w:tcPr>
            <w:tcW w:w="1277" w:type="dxa"/>
            <w:gridSpan w:val="2"/>
            <w:shd w:val="clear" w:color="auto" w:fill="auto"/>
            <w:tcMar>
              <w:left w:w="28" w:type="dxa"/>
              <w:right w:w="28" w:type="dxa"/>
            </w:tcMar>
          </w:tcPr>
          <w:p w14:paraId="224A566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25</w:t>
            </w:r>
          </w:p>
        </w:tc>
        <w:tc>
          <w:tcPr>
            <w:tcW w:w="1136" w:type="dxa"/>
            <w:gridSpan w:val="2"/>
            <w:shd w:val="clear" w:color="auto" w:fill="auto"/>
            <w:tcMar>
              <w:left w:w="28" w:type="dxa"/>
              <w:right w:w="28" w:type="dxa"/>
            </w:tcMar>
          </w:tcPr>
          <w:p w14:paraId="18E12BEC"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115EBE4D"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shd w:val="clear" w:color="auto" w:fill="auto"/>
            <w:tcMar>
              <w:left w:w="28" w:type="dxa"/>
              <w:right w:w="28" w:type="dxa"/>
            </w:tcMar>
          </w:tcPr>
          <w:p w14:paraId="7AB740F9" w14:textId="77777777" w:rsidR="00501E78" w:rsidRPr="00921C9B" w:rsidRDefault="00501E78" w:rsidP="00501E78">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634488B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5D02E60A" w14:textId="77777777" w:rsidTr="004C279A">
        <w:trPr>
          <w:gridBefore w:val="1"/>
          <w:wBefore w:w="12" w:type="dxa"/>
          <w:cantSplit/>
          <w:tblHeader/>
          <w:jc w:val="center"/>
        </w:trPr>
        <w:tc>
          <w:tcPr>
            <w:tcW w:w="651" w:type="dxa"/>
            <w:gridSpan w:val="3"/>
            <w:tcMar>
              <w:left w:w="28" w:type="dxa"/>
              <w:right w:w="28" w:type="dxa"/>
            </w:tcMar>
          </w:tcPr>
          <w:p w14:paraId="7768EE06"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lastRenderedPageBreak/>
              <w:t>(57)</w:t>
            </w:r>
          </w:p>
        </w:tc>
        <w:tc>
          <w:tcPr>
            <w:tcW w:w="2286" w:type="dxa"/>
            <w:gridSpan w:val="3"/>
            <w:shd w:val="clear" w:color="auto" w:fill="auto"/>
            <w:tcMar>
              <w:left w:w="28" w:type="dxa"/>
              <w:right w:w="28" w:type="dxa"/>
            </w:tcMar>
          </w:tcPr>
          <w:p w14:paraId="0F804B4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Еритромицин</w:t>
            </w:r>
          </w:p>
        </w:tc>
        <w:tc>
          <w:tcPr>
            <w:tcW w:w="1329" w:type="dxa"/>
            <w:gridSpan w:val="3"/>
            <w:shd w:val="clear" w:color="auto" w:fill="auto"/>
            <w:tcMar>
              <w:left w:w="28" w:type="dxa"/>
              <w:right w:w="28" w:type="dxa"/>
            </w:tcMar>
          </w:tcPr>
          <w:p w14:paraId="47D58AD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Фармацевтични продукти (макролидни антибиотици)</w:t>
            </w:r>
          </w:p>
        </w:tc>
        <w:tc>
          <w:tcPr>
            <w:tcW w:w="992" w:type="dxa"/>
            <w:gridSpan w:val="2"/>
            <w:shd w:val="clear" w:color="auto" w:fill="auto"/>
            <w:tcMar>
              <w:left w:w="28" w:type="dxa"/>
              <w:right w:w="28" w:type="dxa"/>
            </w:tcMar>
          </w:tcPr>
          <w:p w14:paraId="663C009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114-07-8</w:t>
            </w:r>
          </w:p>
        </w:tc>
        <w:tc>
          <w:tcPr>
            <w:tcW w:w="1134" w:type="dxa"/>
          </w:tcPr>
          <w:p w14:paraId="26F0952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204-040-1</w:t>
            </w:r>
          </w:p>
        </w:tc>
        <w:tc>
          <w:tcPr>
            <w:tcW w:w="1279" w:type="dxa"/>
            <w:gridSpan w:val="2"/>
            <w:shd w:val="clear" w:color="auto" w:fill="auto"/>
            <w:tcMar>
              <w:left w:w="28" w:type="dxa"/>
              <w:right w:w="28" w:type="dxa"/>
            </w:tcMar>
          </w:tcPr>
          <w:p w14:paraId="7697A8C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0,5</w:t>
            </w:r>
          </w:p>
        </w:tc>
        <w:tc>
          <w:tcPr>
            <w:tcW w:w="1279" w:type="dxa"/>
            <w:gridSpan w:val="2"/>
            <w:shd w:val="clear" w:color="auto" w:fill="auto"/>
            <w:tcMar>
              <w:left w:w="28" w:type="dxa"/>
              <w:right w:w="28" w:type="dxa"/>
            </w:tcMar>
          </w:tcPr>
          <w:p w14:paraId="3332B46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0,05</w:t>
            </w:r>
          </w:p>
        </w:tc>
        <w:tc>
          <w:tcPr>
            <w:tcW w:w="1278" w:type="dxa"/>
            <w:gridSpan w:val="2"/>
            <w:shd w:val="clear" w:color="auto" w:fill="auto"/>
            <w:tcMar>
              <w:left w:w="28" w:type="dxa"/>
              <w:right w:w="28" w:type="dxa"/>
            </w:tcMar>
          </w:tcPr>
          <w:p w14:paraId="3B40CD9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w:t>
            </w:r>
          </w:p>
        </w:tc>
        <w:tc>
          <w:tcPr>
            <w:tcW w:w="1277" w:type="dxa"/>
            <w:gridSpan w:val="2"/>
            <w:shd w:val="clear" w:color="auto" w:fill="auto"/>
            <w:tcMar>
              <w:left w:w="28" w:type="dxa"/>
              <w:right w:w="28" w:type="dxa"/>
            </w:tcMar>
          </w:tcPr>
          <w:p w14:paraId="401B9D0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0,1</w:t>
            </w:r>
          </w:p>
        </w:tc>
        <w:tc>
          <w:tcPr>
            <w:tcW w:w="1136" w:type="dxa"/>
            <w:gridSpan w:val="2"/>
            <w:shd w:val="clear" w:color="auto" w:fill="auto"/>
            <w:tcMar>
              <w:left w:w="28" w:type="dxa"/>
              <w:right w:w="28" w:type="dxa"/>
            </w:tcMar>
          </w:tcPr>
          <w:p w14:paraId="7E62FAF6"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3642BA23"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shd w:val="clear" w:color="auto" w:fill="auto"/>
            <w:tcMar>
              <w:left w:w="28" w:type="dxa"/>
              <w:right w:w="28" w:type="dxa"/>
            </w:tcMar>
          </w:tcPr>
          <w:p w14:paraId="38EB937A" w14:textId="77777777" w:rsidR="00501E78" w:rsidRPr="00921C9B" w:rsidRDefault="00501E78" w:rsidP="00501E78">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4085831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25D6AABB" w14:textId="77777777" w:rsidTr="004C279A">
        <w:trPr>
          <w:gridBefore w:val="1"/>
          <w:wBefore w:w="12" w:type="dxa"/>
          <w:cantSplit/>
          <w:tblHeader/>
          <w:jc w:val="center"/>
        </w:trPr>
        <w:tc>
          <w:tcPr>
            <w:tcW w:w="651" w:type="dxa"/>
            <w:gridSpan w:val="3"/>
            <w:tcMar>
              <w:left w:w="28" w:type="dxa"/>
              <w:right w:w="28" w:type="dxa"/>
            </w:tcMar>
          </w:tcPr>
          <w:p w14:paraId="534001EC"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(58)</w:t>
            </w:r>
          </w:p>
        </w:tc>
        <w:tc>
          <w:tcPr>
            <w:tcW w:w="2286" w:type="dxa"/>
            <w:gridSpan w:val="3"/>
            <w:shd w:val="clear" w:color="auto" w:fill="auto"/>
            <w:tcMar>
              <w:left w:w="28" w:type="dxa"/>
              <w:right w:w="28" w:type="dxa"/>
            </w:tcMar>
          </w:tcPr>
          <w:p w14:paraId="599690F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Есфенвалерат</w:t>
            </w:r>
          </w:p>
        </w:tc>
        <w:tc>
          <w:tcPr>
            <w:tcW w:w="1329" w:type="dxa"/>
            <w:gridSpan w:val="3"/>
            <w:shd w:val="clear" w:color="auto" w:fill="auto"/>
            <w:tcMar>
              <w:left w:w="28" w:type="dxa"/>
              <w:right w:w="28" w:type="dxa"/>
            </w:tcMar>
          </w:tcPr>
          <w:p w14:paraId="0044A34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Пиретроидни пестициди</w:t>
            </w:r>
          </w:p>
        </w:tc>
        <w:tc>
          <w:tcPr>
            <w:tcW w:w="992" w:type="dxa"/>
            <w:gridSpan w:val="2"/>
            <w:shd w:val="clear" w:color="auto" w:fill="auto"/>
            <w:tcMar>
              <w:left w:w="28" w:type="dxa"/>
              <w:right w:w="28" w:type="dxa"/>
            </w:tcMar>
          </w:tcPr>
          <w:p w14:paraId="6438E08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66230-04-4</w:t>
            </w:r>
          </w:p>
        </w:tc>
        <w:tc>
          <w:tcPr>
            <w:tcW w:w="1134" w:type="dxa"/>
          </w:tcPr>
          <w:p w14:paraId="750AF0B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613-911-9</w:t>
            </w:r>
          </w:p>
        </w:tc>
        <w:tc>
          <w:tcPr>
            <w:tcW w:w="1279" w:type="dxa"/>
            <w:gridSpan w:val="2"/>
            <w:shd w:val="clear" w:color="auto" w:fill="auto"/>
            <w:tcMar>
              <w:left w:w="28" w:type="dxa"/>
              <w:right w:w="28" w:type="dxa"/>
            </w:tcMar>
          </w:tcPr>
          <w:p w14:paraId="3FC26C6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1,7 × 10</w:t>
            </w:r>
            <w:r w:rsidRPr="00921C9B">
              <w:rPr>
                <w:rFonts w:eastAsia="Calibri"/>
                <w:noProof/>
                <w:sz w:val="22"/>
                <w:szCs w:val="22"/>
                <w:vertAlign w:val="superscript"/>
                <w:lang w:eastAsia="en-US"/>
              </w:rPr>
              <w:t>-5</w:t>
            </w:r>
          </w:p>
        </w:tc>
        <w:tc>
          <w:tcPr>
            <w:tcW w:w="1279" w:type="dxa"/>
            <w:gridSpan w:val="2"/>
            <w:shd w:val="clear" w:color="auto" w:fill="auto"/>
            <w:tcMar>
              <w:left w:w="28" w:type="dxa"/>
              <w:right w:w="28" w:type="dxa"/>
            </w:tcMar>
          </w:tcPr>
          <w:p w14:paraId="20C4D0D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1,7 × 10</w:t>
            </w:r>
            <w:r w:rsidRPr="00921C9B">
              <w:rPr>
                <w:rFonts w:eastAsia="Calibri"/>
                <w:noProof/>
                <w:sz w:val="22"/>
                <w:szCs w:val="22"/>
                <w:vertAlign w:val="superscript"/>
                <w:lang w:eastAsia="en-US"/>
              </w:rPr>
              <w:t>-6</w:t>
            </w:r>
          </w:p>
        </w:tc>
        <w:tc>
          <w:tcPr>
            <w:tcW w:w="1278" w:type="dxa"/>
            <w:gridSpan w:val="2"/>
            <w:shd w:val="clear" w:color="auto" w:fill="auto"/>
            <w:tcMar>
              <w:left w:w="28" w:type="dxa"/>
              <w:right w:w="28" w:type="dxa"/>
            </w:tcMar>
          </w:tcPr>
          <w:p w14:paraId="398C3E1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0,0085</w:t>
            </w:r>
          </w:p>
        </w:tc>
        <w:tc>
          <w:tcPr>
            <w:tcW w:w="1277" w:type="dxa"/>
            <w:gridSpan w:val="2"/>
            <w:shd w:val="clear" w:color="auto" w:fill="auto"/>
            <w:tcMar>
              <w:left w:w="28" w:type="dxa"/>
              <w:right w:w="28" w:type="dxa"/>
            </w:tcMar>
          </w:tcPr>
          <w:p w14:paraId="5435DEF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0,00085</w:t>
            </w:r>
          </w:p>
        </w:tc>
        <w:tc>
          <w:tcPr>
            <w:tcW w:w="1136" w:type="dxa"/>
            <w:gridSpan w:val="2"/>
            <w:shd w:val="clear" w:color="auto" w:fill="auto"/>
            <w:tcMar>
              <w:left w:w="28" w:type="dxa"/>
              <w:right w:w="28" w:type="dxa"/>
            </w:tcMar>
          </w:tcPr>
          <w:p w14:paraId="31B7FDA1"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7A89D709"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shd w:val="clear" w:color="auto" w:fill="auto"/>
            <w:tcMar>
              <w:left w:w="28" w:type="dxa"/>
              <w:right w:w="28" w:type="dxa"/>
            </w:tcMar>
          </w:tcPr>
          <w:p w14:paraId="150B7466" w14:textId="77777777" w:rsidR="00501E78" w:rsidRPr="00921C9B" w:rsidRDefault="00501E78" w:rsidP="00501E78">
            <w:pPr>
              <w:widowControl/>
              <w:spacing w:before="40" w:after="40"/>
              <w:rPr>
                <w:rFonts w:eastAsia="Calibri"/>
                <w:noProof/>
                <w:sz w:val="22"/>
                <w:szCs w:val="22"/>
                <w:lang w:eastAsia="en-US"/>
              </w:rPr>
            </w:pPr>
          </w:p>
        </w:tc>
        <w:tc>
          <w:tcPr>
            <w:tcW w:w="970" w:type="dxa"/>
            <w:shd w:val="clear" w:color="auto" w:fill="auto"/>
            <w:tcMar>
              <w:left w:w="28" w:type="dxa"/>
              <w:right w:w="28" w:type="dxa"/>
            </w:tcMar>
          </w:tcPr>
          <w:p w14:paraId="737D37E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2174B292" w14:textId="77777777" w:rsidTr="004C279A">
        <w:trPr>
          <w:gridBefore w:val="1"/>
          <w:wBefore w:w="12" w:type="dxa"/>
          <w:cantSplit/>
          <w:tblHeader/>
          <w:jc w:val="center"/>
        </w:trPr>
        <w:tc>
          <w:tcPr>
            <w:tcW w:w="651" w:type="dxa"/>
            <w:gridSpan w:val="3"/>
            <w:tcMar>
              <w:left w:w="28" w:type="dxa"/>
              <w:right w:w="28" w:type="dxa"/>
            </w:tcMar>
          </w:tcPr>
          <w:p w14:paraId="37608DB1"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(59)</w:t>
            </w:r>
          </w:p>
        </w:tc>
        <w:tc>
          <w:tcPr>
            <w:tcW w:w="2286" w:type="dxa"/>
            <w:gridSpan w:val="3"/>
            <w:shd w:val="clear" w:color="auto" w:fill="auto"/>
            <w:tcMar>
              <w:left w:w="28" w:type="dxa"/>
              <w:right w:w="28" w:type="dxa"/>
            </w:tcMar>
          </w:tcPr>
          <w:p w14:paraId="0E289D4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Естрон (E1)</w:t>
            </w:r>
          </w:p>
        </w:tc>
        <w:tc>
          <w:tcPr>
            <w:tcW w:w="1329" w:type="dxa"/>
            <w:gridSpan w:val="3"/>
            <w:shd w:val="clear" w:color="auto" w:fill="auto"/>
            <w:tcMar>
              <w:left w:w="28" w:type="dxa"/>
              <w:right w:w="28" w:type="dxa"/>
            </w:tcMar>
          </w:tcPr>
          <w:p w14:paraId="4725E4A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Фармацевтични продукти (естрогенни хормони)</w:t>
            </w:r>
          </w:p>
        </w:tc>
        <w:tc>
          <w:tcPr>
            <w:tcW w:w="992" w:type="dxa"/>
            <w:gridSpan w:val="2"/>
            <w:shd w:val="clear" w:color="auto" w:fill="auto"/>
            <w:tcMar>
              <w:left w:w="28" w:type="dxa"/>
              <w:right w:w="28" w:type="dxa"/>
            </w:tcMar>
          </w:tcPr>
          <w:p w14:paraId="13C11E2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53-16-7</w:t>
            </w:r>
          </w:p>
        </w:tc>
        <w:tc>
          <w:tcPr>
            <w:tcW w:w="1134" w:type="dxa"/>
          </w:tcPr>
          <w:p w14:paraId="72AD947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200-164-5</w:t>
            </w:r>
          </w:p>
        </w:tc>
        <w:tc>
          <w:tcPr>
            <w:tcW w:w="1279" w:type="dxa"/>
            <w:gridSpan w:val="2"/>
            <w:shd w:val="clear" w:color="auto" w:fill="auto"/>
            <w:tcMar>
              <w:left w:w="28" w:type="dxa"/>
              <w:right w:w="28" w:type="dxa"/>
            </w:tcMar>
          </w:tcPr>
          <w:p w14:paraId="08251663"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3,6 × 10</w:t>
            </w:r>
            <w:r w:rsidRPr="00921C9B">
              <w:rPr>
                <w:rFonts w:eastAsia="Calibri"/>
                <w:noProof/>
                <w:sz w:val="22"/>
                <w:szCs w:val="22"/>
                <w:vertAlign w:val="superscript"/>
                <w:lang w:eastAsia="en-US"/>
              </w:rPr>
              <w:t>-4</w:t>
            </w:r>
          </w:p>
        </w:tc>
        <w:tc>
          <w:tcPr>
            <w:tcW w:w="1279" w:type="dxa"/>
            <w:gridSpan w:val="2"/>
            <w:shd w:val="clear" w:color="auto" w:fill="auto"/>
            <w:tcMar>
              <w:left w:w="28" w:type="dxa"/>
              <w:right w:w="28" w:type="dxa"/>
            </w:tcMar>
          </w:tcPr>
          <w:p w14:paraId="11D88B5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1,8 × 10</w:t>
            </w:r>
            <w:r w:rsidRPr="00921C9B">
              <w:rPr>
                <w:rFonts w:eastAsia="Calibri"/>
                <w:noProof/>
                <w:sz w:val="22"/>
                <w:szCs w:val="22"/>
                <w:vertAlign w:val="superscript"/>
                <w:lang w:eastAsia="en-US"/>
              </w:rPr>
              <w:t>-5</w:t>
            </w:r>
          </w:p>
        </w:tc>
        <w:tc>
          <w:tcPr>
            <w:tcW w:w="1278" w:type="dxa"/>
            <w:gridSpan w:val="2"/>
            <w:shd w:val="clear" w:color="auto" w:fill="auto"/>
            <w:tcMar>
              <w:left w:w="28" w:type="dxa"/>
              <w:right w:w="28" w:type="dxa"/>
            </w:tcMar>
          </w:tcPr>
          <w:p w14:paraId="3B66450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са получени</w:t>
            </w:r>
          </w:p>
        </w:tc>
        <w:tc>
          <w:tcPr>
            <w:tcW w:w="1277" w:type="dxa"/>
            <w:gridSpan w:val="2"/>
            <w:shd w:val="clear" w:color="auto" w:fill="auto"/>
            <w:tcMar>
              <w:left w:w="28" w:type="dxa"/>
              <w:right w:w="28" w:type="dxa"/>
            </w:tcMar>
          </w:tcPr>
          <w:p w14:paraId="5D71D3E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са получени</w:t>
            </w:r>
          </w:p>
        </w:tc>
        <w:tc>
          <w:tcPr>
            <w:tcW w:w="1136" w:type="dxa"/>
            <w:gridSpan w:val="2"/>
            <w:shd w:val="clear" w:color="auto" w:fill="auto"/>
            <w:tcMar>
              <w:left w:w="28" w:type="dxa"/>
              <w:right w:w="28" w:type="dxa"/>
            </w:tcMar>
          </w:tcPr>
          <w:p w14:paraId="72DB7359"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67E51823"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5ADBEBD4"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41F2FA2F"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416149CB" w14:textId="77777777" w:rsidTr="004C279A">
        <w:trPr>
          <w:gridBefore w:val="1"/>
          <w:wBefore w:w="12" w:type="dxa"/>
          <w:cantSplit/>
          <w:tblHeader/>
          <w:jc w:val="center"/>
        </w:trPr>
        <w:tc>
          <w:tcPr>
            <w:tcW w:w="651" w:type="dxa"/>
            <w:gridSpan w:val="3"/>
            <w:tcMar>
              <w:left w:w="28" w:type="dxa"/>
              <w:right w:w="28" w:type="dxa"/>
            </w:tcMar>
          </w:tcPr>
          <w:p w14:paraId="14F3482F" w14:textId="1ED0753D" w:rsidR="00501E78" w:rsidRPr="00921C9B" w:rsidRDefault="00501E78" w:rsidP="00501E78">
            <w:pPr>
              <w:widowControl/>
              <w:spacing w:before="40" w:after="40"/>
              <w:jc w:val="both"/>
              <w:rPr>
                <w:rFonts w:eastAsia="Calibri"/>
                <w:b/>
                <w:noProof/>
                <w:sz w:val="22"/>
                <w:szCs w:val="22"/>
                <w:lang w:eastAsia="en-US"/>
              </w:rPr>
            </w:pPr>
            <w:r w:rsidRPr="00921C9B">
              <w:rPr>
                <w:rFonts w:eastAsia="Calibri"/>
                <w:noProof/>
                <w:sz w:val="22"/>
                <w:szCs w:val="22"/>
                <w:lang w:eastAsia="en-US"/>
              </w:rPr>
              <w:t>(60)</w:t>
            </w:r>
            <w:r w:rsidR="000B1908" w:rsidRPr="00921C9B">
              <w:rPr>
                <w:rFonts w:eastAsia="Calibri"/>
                <w:b/>
                <w:noProof/>
                <w:sz w:val="22"/>
                <w:szCs w:val="22"/>
                <w:lang w:eastAsia="en-US"/>
              </w:rPr>
              <w:t xml:space="preserve"> [Изм. 151]</w:t>
            </w:r>
          </w:p>
        </w:tc>
        <w:tc>
          <w:tcPr>
            <w:tcW w:w="2286" w:type="dxa"/>
            <w:gridSpan w:val="3"/>
            <w:shd w:val="clear" w:color="auto" w:fill="auto"/>
            <w:tcMar>
              <w:left w:w="28" w:type="dxa"/>
              <w:right w:w="28" w:type="dxa"/>
            </w:tcMar>
          </w:tcPr>
          <w:p w14:paraId="5424EEF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Глифосат</w:t>
            </w:r>
          </w:p>
        </w:tc>
        <w:tc>
          <w:tcPr>
            <w:tcW w:w="1329" w:type="dxa"/>
            <w:gridSpan w:val="3"/>
            <w:shd w:val="clear" w:color="auto" w:fill="auto"/>
            <w:tcMar>
              <w:left w:w="28" w:type="dxa"/>
              <w:right w:w="28" w:type="dxa"/>
            </w:tcMar>
          </w:tcPr>
          <w:p w14:paraId="27EF726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Хербициди</w:t>
            </w:r>
          </w:p>
        </w:tc>
        <w:tc>
          <w:tcPr>
            <w:tcW w:w="992" w:type="dxa"/>
            <w:gridSpan w:val="2"/>
            <w:shd w:val="clear" w:color="auto" w:fill="auto"/>
            <w:tcMar>
              <w:left w:w="28" w:type="dxa"/>
              <w:right w:w="28" w:type="dxa"/>
            </w:tcMar>
          </w:tcPr>
          <w:p w14:paraId="2804FE5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1071-83-6</w:t>
            </w:r>
          </w:p>
        </w:tc>
        <w:tc>
          <w:tcPr>
            <w:tcW w:w="1134" w:type="dxa"/>
          </w:tcPr>
          <w:p w14:paraId="629DFB1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213-997-4</w:t>
            </w:r>
          </w:p>
        </w:tc>
        <w:tc>
          <w:tcPr>
            <w:tcW w:w="1279" w:type="dxa"/>
            <w:gridSpan w:val="2"/>
            <w:shd w:val="clear" w:color="auto" w:fill="auto"/>
            <w:tcMar>
              <w:left w:w="28" w:type="dxa"/>
              <w:right w:w="28" w:type="dxa"/>
            </w:tcMar>
          </w:tcPr>
          <w:p w14:paraId="61B57C23" w14:textId="77777777" w:rsidR="00501E78" w:rsidRPr="00921C9B" w:rsidRDefault="00501E78" w:rsidP="00501E78">
            <w:pPr>
              <w:widowControl/>
              <w:spacing w:before="40" w:after="40"/>
              <w:rPr>
                <w:rFonts w:eastAsia="Calibri"/>
                <w:strike/>
                <w:noProof/>
                <w:sz w:val="22"/>
                <w:szCs w:val="22"/>
                <w:lang w:eastAsia="en-US"/>
              </w:rPr>
            </w:pPr>
            <w:r w:rsidRPr="00921C9B">
              <w:rPr>
                <w:rFonts w:eastAsia="Calibri"/>
                <w:noProof/>
                <w:sz w:val="22"/>
                <w:szCs w:val="22"/>
                <w:lang w:eastAsia="en-US"/>
              </w:rPr>
              <w:t>0,1</w:t>
            </w:r>
            <w:r w:rsidRPr="00921C9B">
              <w:rPr>
                <w:rFonts w:eastAsia="Calibri"/>
                <w:strike/>
                <w:noProof/>
                <w:sz w:val="22"/>
                <w:szCs w:val="22"/>
                <w:lang w:eastAsia="en-US"/>
              </w:rPr>
              <w:t xml:space="preserve"> (</w:t>
            </w:r>
            <w:r w:rsidRPr="00921C9B">
              <w:rPr>
                <w:rFonts w:eastAsia="Calibri"/>
                <w:strike/>
                <w:noProof/>
                <w:sz w:val="22"/>
                <w:szCs w:val="22"/>
                <w:vertAlign w:val="superscript"/>
                <w:lang w:eastAsia="en-US"/>
              </w:rPr>
              <w:t>25</w:t>
            </w:r>
            <w:r w:rsidRPr="00921C9B">
              <w:rPr>
                <w:rFonts w:eastAsia="Calibri"/>
                <w:strike/>
                <w:noProof/>
                <w:sz w:val="22"/>
                <w:szCs w:val="22"/>
                <w:lang w:eastAsia="en-US"/>
              </w:rPr>
              <w:t>)</w:t>
            </w:r>
          </w:p>
          <w:p w14:paraId="0A68371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strike/>
                <w:noProof/>
                <w:sz w:val="22"/>
                <w:szCs w:val="22"/>
                <w:lang w:eastAsia="en-US"/>
              </w:rPr>
              <w:t>86,7 (</w:t>
            </w:r>
            <w:r w:rsidRPr="00921C9B">
              <w:rPr>
                <w:rFonts w:eastAsia="Calibri"/>
                <w:strike/>
                <w:noProof/>
                <w:sz w:val="22"/>
                <w:szCs w:val="22"/>
                <w:vertAlign w:val="superscript"/>
                <w:lang w:eastAsia="en-US"/>
              </w:rPr>
              <w:t>26</w:t>
            </w:r>
            <w:r w:rsidRPr="00921C9B">
              <w:rPr>
                <w:rFonts w:eastAsia="Calibri"/>
                <w:strike/>
                <w:noProof/>
                <w:sz w:val="22"/>
                <w:szCs w:val="22"/>
                <w:lang w:eastAsia="en-US"/>
              </w:rPr>
              <w:t>)</w:t>
            </w:r>
          </w:p>
        </w:tc>
        <w:tc>
          <w:tcPr>
            <w:tcW w:w="1279" w:type="dxa"/>
            <w:gridSpan w:val="2"/>
            <w:shd w:val="clear" w:color="auto" w:fill="auto"/>
            <w:tcMar>
              <w:left w:w="28" w:type="dxa"/>
              <w:right w:w="28" w:type="dxa"/>
            </w:tcMar>
          </w:tcPr>
          <w:p w14:paraId="5B152D50" w14:textId="1DE5592F" w:rsidR="00501E78" w:rsidRPr="00921C9B" w:rsidRDefault="006D417D" w:rsidP="00501E78">
            <w:pPr>
              <w:widowControl/>
              <w:spacing w:before="40" w:after="40"/>
              <w:rPr>
                <w:rFonts w:eastAsia="Calibri"/>
                <w:noProof/>
                <w:sz w:val="22"/>
                <w:szCs w:val="22"/>
                <w:lang w:eastAsia="en-US"/>
              </w:rPr>
            </w:pPr>
            <w:r w:rsidRPr="00921C9B">
              <w:rPr>
                <w:rFonts w:eastAsia="Calibri"/>
                <w:strike/>
                <w:noProof/>
                <w:sz w:val="22"/>
                <w:szCs w:val="22"/>
                <w:lang w:eastAsia="en-US"/>
              </w:rPr>
              <w:t>8,67</w:t>
            </w:r>
            <w:r w:rsidRPr="00921C9B">
              <w:rPr>
                <w:b/>
                <w:i/>
                <w:sz w:val="22"/>
                <w:szCs w:val="22"/>
              </w:rPr>
              <w:t>0,01</w:t>
            </w:r>
          </w:p>
        </w:tc>
        <w:tc>
          <w:tcPr>
            <w:tcW w:w="1278" w:type="dxa"/>
            <w:gridSpan w:val="2"/>
            <w:shd w:val="clear" w:color="auto" w:fill="auto"/>
            <w:tcMar>
              <w:left w:w="28" w:type="dxa"/>
              <w:right w:w="28" w:type="dxa"/>
            </w:tcMar>
          </w:tcPr>
          <w:p w14:paraId="5678415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398,6</w:t>
            </w:r>
          </w:p>
        </w:tc>
        <w:tc>
          <w:tcPr>
            <w:tcW w:w="1277" w:type="dxa"/>
            <w:gridSpan w:val="2"/>
            <w:shd w:val="clear" w:color="auto" w:fill="auto"/>
            <w:tcMar>
              <w:left w:w="28" w:type="dxa"/>
              <w:right w:w="28" w:type="dxa"/>
            </w:tcMar>
          </w:tcPr>
          <w:p w14:paraId="5E70447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39,86</w:t>
            </w:r>
          </w:p>
        </w:tc>
        <w:tc>
          <w:tcPr>
            <w:tcW w:w="1136" w:type="dxa"/>
            <w:gridSpan w:val="2"/>
            <w:shd w:val="clear" w:color="auto" w:fill="auto"/>
            <w:tcMar>
              <w:left w:w="28" w:type="dxa"/>
              <w:right w:w="28" w:type="dxa"/>
            </w:tcMar>
          </w:tcPr>
          <w:p w14:paraId="13FF14C6"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3BCCA25B"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347D6044"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48E2D710"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62ABDBD0" w14:textId="77777777" w:rsidTr="004C279A">
        <w:trPr>
          <w:gridBefore w:val="2"/>
          <w:wBefore w:w="46" w:type="dxa"/>
          <w:cantSplit/>
          <w:tblHeader/>
          <w:jc w:val="center"/>
        </w:trPr>
        <w:tc>
          <w:tcPr>
            <w:tcW w:w="617" w:type="dxa"/>
            <w:gridSpan w:val="2"/>
            <w:tcMar>
              <w:left w:w="28" w:type="dxa"/>
              <w:right w:w="28" w:type="dxa"/>
            </w:tcMar>
          </w:tcPr>
          <w:p w14:paraId="4C58C770"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(61)</w:t>
            </w:r>
          </w:p>
        </w:tc>
        <w:tc>
          <w:tcPr>
            <w:tcW w:w="2303" w:type="dxa"/>
            <w:gridSpan w:val="4"/>
            <w:shd w:val="clear" w:color="auto" w:fill="auto"/>
            <w:tcMar>
              <w:left w:w="28" w:type="dxa"/>
              <w:right w:w="28" w:type="dxa"/>
            </w:tcMar>
          </w:tcPr>
          <w:p w14:paraId="04E7F39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Ибупрофен</w:t>
            </w:r>
          </w:p>
        </w:tc>
        <w:tc>
          <w:tcPr>
            <w:tcW w:w="1312" w:type="dxa"/>
            <w:gridSpan w:val="2"/>
            <w:shd w:val="clear" w:color="auto" w:fill="auto"/>
            <w:tcMar>
              <w:left w:w="28" w:type="dxa"/>
              <w:right w:w="28" w:type="dxa"/>
            </w:tcMar>
          </w:tcPr>
          <w:p w14:paraId="5178FB3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Фармацевтични продукти</w:t>
            </w:r>
          </w:p>
        </w:tc>
        <w:tc>
          <w:tcPr>
            <w:tcW w:w="992" w:type="dxa"/>
            <w:gridSpan w:val="2"/>
            <w:shd w:val="clear" w:color="auto" w:fill="auto"/>
            <w:tcMar>
              <w:left w:w="28" w:type="dxa"/>
              <w:right w:w="28" w:type="dxa"/>
            </w:tcMar>
          </w:tcPr>
          <w:p w14:paraId="294B380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15687-27-1</w:t>
            </w:r>
          </w:p>
        </w:tc>
        <w:tc>
          <w:tcPr>
            <w:tcW w:w="1134" w:type="dxa"/>
          </w:tcPr>
          <w:p w14:paraId="45B0B7A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239-784-6</w:t>
            </w:r>
          </w:p>
        </w:tc>
        <w:tc>
          <w:tcPr>
            <w:tcW w:w="1279" w:type="dxa"/>
            <w:gridSpan w:val="2"/>
            <w:shd w:val="clear" w:color="auto" w:fill="auto"/>
            <w:tcMar>
              <w:left w:w="28" w:type="dxa"/>
              <w:right w:w="28" w:type="dxa"/>
            </w:tcMar>
          </w:tcPr>
          <w:p w14:paraId="2782AFC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0,22</w:t>
            </w:r>
          </w:p>
        </w:tc>
        <w:tc>
          <w:tcPr>
            <w:tcW w:w="1279" w:type="dxa"/>
            <w:gridSpan w:val="2"/>
            <w:shd w:val="clear" w:color="auto" w:fill="auto"/>
            <w:tcMar>
              <w:left w:w="28" w:type="dxa"/>
              <w:right w:w="28" w:type="dxa"/>
            </w:tcMar>
          </w:tcPr>
          <w:p w14:paraId="5B9F2A6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0,022</w:t>
            </w:r>
          </w:p>
        </w:tc>
        <w:tc>
          <w:tcPr>
            <w:tcW w:w="1278" w:type="dxa"/>
            <w:gridSpan w:val="2"/>
            <w:shd w:val="clear" w:color="auto" w:fill="auto"/>
            <w:tcMar>
              <w:left w:w="28" w:type="dxa"/>
              <w:right w:w="28" w:type="dxa"/>
            </w:tcMar>
          </w:tcPr>
          <w:p w14:paraId="042AB6F2" w14:textId="77777777" w:rsidR="00501E78" w:rsidRPr="00921C9B" w:rsidRDefault="00501E78" w:rsidP="00501E78">
            <w:pPr>
              <w:widowControl/>
              <w:spacing w:before="40" w:after="40"/>
              <w:rPr>
                <w:rFonts w:eastAsia="Calibri"/>
                <w:noProof/>
                <w:sz w:val="22"/>
                <w:szCs w:val="22"/>
                <w:lang w:eastAsia="en-US"/>
              </w:rPr>
            </w:pPr>
          </w:p>
        </w:tc>
        <w:tc>
          <w:tcPr>
            <w:tcW w:w="1277" w:type="dxa"/>
            <w:gridSpan w:val="2"/>
            <w:shd w:val="clear" w:color="auto" w:fill="auto"/>
            <w:tcMar>
              <w:left w:w="28" w:type="dxa"/>
              <w:right w:w="28" w:type="dxa"/>
            </w:tcMar>
          </w:tcPr>
          <w:p w14:paraId="75B90940" w14:textId="77777777" w:rsidR="00501E78" w:rsidRPr="00921C9B" w:rsidRDefault="00501E78" w:rsidP="00501E78">
            <w:pPr>
              <w:widowControl/>
              <w:spacing w:before="40" w:after="40"/>
              <w:rPr>
                <w:rFonts w:eastAsia="Calibri"/>
                <w:noProof/>
                <w:sz w:val="22"/>
                <w:szCs w:val="22"/>
                <w:lang w:eastAsia="en-US"/>
              </w:rPr>
            </w:pPr>
          </w:p>
        </w:tc>
        <w:tc>
          <w:tcPr>
            <w:tcW w:w="1136" w:type="dxa"/>
            <w:gridSpan w:val="2"/>
            <w:shd w:val="clear" w:color="auto" w:fill="auto"/>
            <w:tcMar>
              <w:left w:w="28" w:type="dxa"/>
              <w:right w:w="28" w:type="dxa"/>
            </w:tcMar>
          </w:tcPr>
          <w:p w14:paraId="56A4C3F3" w14:textId="77777777" w:rsidR="00501E78" w:rsidRPr="00921C9B" w:rsidRDefault="00501E78" w:rsidP="00501E78">
            <w:pPr>
              <w:widowControl/>
              <w:spacing w:before="40" w:after="40"/>
              <w:rPr>
                <w:rFonts w:eastAsia="Calibri"/>
                <w:noProof/>
                <w:sz w:val="22"/>
                <w:szCs w:val="22"/>
                <w:lang w:eastAsia="en-US"/>
              </w:rPr>
            </w:pPr>
          </w:p>
        </w:tc>
        <w:tc>
          <w:tcPr>
            <w:tcW w:w="1279" w:type="dxa"/>
            <w:gridSpan w:val="2"/>
            <w:tcMar>
              <w:left w:w="28" w:type="dxa"/>
              <w:right w:w="28" w:type="dxa"/>
            </w:tcMar>
          </w:tcPr>
          <w:p w14:paraId="09FE2A1B" w14:textId="77777777" w:rsidR="00501E78" w:rsidRPr="00921C9B" w:rsidRDefault="00501E78" w:rsidP="00501E78">
            <w:pPr>
              <w:widowControl/>
              <w:spacing w:before="40" w:after="40"/>
              <w:rPr>
                <w:rFonts w:eastAsia="Calibri"/>
                <w:noProof/>
                <w:sz w:val="22"/>
                <w:szCs w:val="22"/>
                <w:lang w:eastAsia="en-US"/>
              </w:rPr>
            </w:pPr>
          </w:p>
        </w:tc>
        <w:tc>
          <w:tcPr>
            <w:tcW w:w="1136" w:type="dxa"/>
            <w:tcMar>
              <w:left w:w="28" w:type="dxa"/>
              <w:right w:w="28" w:type="dxa"/>
            </w:tcMar>
          </w:tcPr>
          <w:p w14:paraId="76A205B4"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40C1B79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634415F7" w14:textId="77777777" w:rsidTr="004C279A">
        <w:trPr>
          <w:gridBefore w:val="1"/>
          <w:wBefore w:w="12" w:type="dxa"/>
          <w:cantSplit/>
          <w:tblHeader/>
          <w:jc w:val="center"/>
        </w:trPr>
        <w:tc>
          <w:tcPr>
            <w:tcW w:w="651" w:type="dxa"/>
            <w:gridSpan w:val="3"/>
            <w:tcMar>
              <w:left w:w="28" w:type="dxa"/>
              <w:right w:w="28" w:type="dxa"/>
            </w:tcMar>
          </w:tcPr>
          <w:p w14:paraId="761CA5DB"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(62)</w:t>
            </w:r>
          </w:p>
        </w:tc>
        <w:tc>
          <w:tcPr>
            <w:tcW w:w="2286" w:type="dxa"/>
            <w:gridSpan w:val="3"/>
            <w:shd w:val="clear" w:color="auto" w:fill="auto"/>
            <w:tcMar>
              <w:left w:w="28" w:type="dxa"/>
              <w:right w:w="28" w:type="dxa"/>
            </w:tcMar>
          </w:tcPr>
          <w:p w14:paraId="4413C6F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Имидаклоприд</w:t>
            </w:r>
          </w:p>
        </w:tc>
        <w:tc>
          <w:tcPr>
            <w:tcW w:w="1329" w:type="dxa"/>
            <w:gridSpan w:val="3"/>
            <w:shd w:val="clear" w:color="auto" w:fill="auto"/>
            <w:tcMar>
              <w:left w:w="28" w:type="dxa"/>
              <w:right w:w="28" w:type="dxa"/>
            </w:tcMar>
          </w:tcPr>
          <w:p w14:paraId="45C47D5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Неоникотиноидни пестициди</w:t>
            </w:r>
          </w:p>
        </w:tc>
        <w:tc>
          <w:tcPr>
            <w:tcW w:w="992" w:type="dxa"/>
            <w:gridSpan w:val="2"/>
            <w:shd w:val="clear" w:color="auto" w:fill="auto"/>
            <w:tcMar>
              <w:left w:w="28" w:type="dxa"/>
              <w:right w:w="28" w:type="dxa"/>
            </w:tcMar>
          </w:tcPr>
          <w:p w14:paraId="1E0978B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138261-41-3/105827-78-9</w:t>
            </w:r>
          </w:p>
        </w:tc>
        <w:tc>
          <w:tcPr>
            <w:tcW w:w="1134" w:type="dxa"/>
          </w:tcPr>
          <w:p w14:paraId="6C6956A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428-040-8</w:t>
            </w:r>
          </w:p>
        </w:tc>
        <w:tc>
          <w:tcPr>
            <w:tcW w:w="1279" w:type="dxa"/>
            <w:gridSpan w:val="2"/>
            <w:shd w:val="clear" w:color="auto" w:fill="auto"/>
            <w:tcMar>
              <w:left w:w="28" w:type="dxa"/>
              <w:right w:w="28" w:type="dxa"/>
            </w:tcMar>
          </w:tcPr>
          <w:p w14:paraId="202E31C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0,0068</w:t>
            </w:r>
          </w:p>
        </w:tc>
        <w:tc>
          <w:tcPr>
            <w:tcW w:w="1279" w:type="dxa"/>
            <w:gridSpan w:val="2"/>
            <w:shd w:val="clear" w:color="auto" w:fill="auto"/>
            <w:tcMar>
              <w:left w:w="28" w:type="dxa"/>
              <w:right w:w="28" w:type="dxa"/>
            </w:tcMar>
          </w:tcPr>
          <w:p w14:paraId="2737F1A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6,8 × 10</w:t>
            </w:r>
            <w:r w:rsidRPr="00921C9B">
              <w:rPr>
                <w:rFonts w:eastAsia="Calibri"/>
                <w:noProof/>
                <w:sz w:val="22"/>
                <w:szCs w:val="22"/>
                <w:vertAlign w:val="superscript"/>
                <w:lang w:eastAsia="en-US"/>
              </w:rPr>
              <w:t>-4</w:t>
            </w:r>
          </w:p>
        </w:tc>
        <w:tc>
          <w:tcPr>
            <w:tcW w:w="1278" w:type="dxa"/>
            <w:gridSpan w:val="2"/>
            <w:shd w:val="clear" w:color="auto" w:fill="auto"/>
            <w:tcMar>
              <w:left w:w="28" w:type="dxa"/>
              <w:right w:w="28" w:type="dxa"/>
            </w:tcMar>
          </w:tcPr>
          <w:p w14:paraId="283EC8D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0,057</w:t>
            </w:r>
          </w:p>
        </w:tc>
        <w:tc>
          <w:tcPr>
            <w:tcW w:w="1277" w:type="dxa"/>
            <w:gridSpan w:val="2"/>
            <w:shd w:val="clear" w:color="auto" w:fill="auto"/>
            <w:tcMar>
              <w:left w:w="28" w:type="dxa"/>
              <w:right w:w="28" w:type="dxa"/>
            </w:tcMar>
          </w:tcPr>
          <w:p w14:paraId="0BABE84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0,0057</w:t>
            </w:r>
          </w:p>
        </w:tc>
        <w:tc>
          <w:tcPr>
            <w:tcW w:w="1136" w:type="dxa"/>
            <w:gridSpan w:val="2"/>
            <w:shd w:val="clear" w:color="auto" w:fill="auto"/>
            <w:tcMar>
              <w:left w:w="28" w:type="dxa"/>
              <w:right w:w="28" w:type="dxa"/>
            </w:tcMar>
          </w:tcPr>
          <w:p w14:paraId="5CF9BAA9"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737AD64F"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4A7C8AA3"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26DF6576"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217D7751" w14:textId="77777777" w:rsidTr="004C279A">
        <w:trPr>
          <w:gridBefore w:val="1"/>
          <w:wBefore w:w="12" w:type="dxa"/>
          <w:cantSplit/>
          <w:tblHeader/>
          <w:jc w:val="center"/>
        </w:trPr>
        <w:tc>
          <w:tcPr>
            <w:tcW w:w="651" w:type="dxa"/>
            <w:gridSpan w:val="3"/>
            <w:tcMar>
              <w:left w:w="28" w:type="dxa"/>
              <w:right w:w="28" w:type="dxa"/>
            </w:tcMar>
          </w:tcPr>
          <w:p w14:paraId="460B841D"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(63)</w:t>
            </w:r>
          </w:p>
        </w:tc>
        <w:tc>
          <w:tcPr>
            <w:tcW w:w="2286" w:type="dxa"/>
            <w:gridSpan w:val="3"/>
            <w:shd w:val="clear" w:color="auto" w:fill="auto"/>
            <w:tcMar>
              <w:left w:w="28" w:type="dxa"/>
              <w:right w:w="28" w:type="dxa"/>
            </w:tcMar>
          </w:tcPr>
          <w:p w14:paraId="42D82F2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Никосулфурон</w:t>
            </w:r>
          </w:p>
        </w:tc>
        <w:tc>
          <w:tcPr>
            <w:tcW w:w="1329" w:type="dxa"/>
            <w:gridSpan w:val="3"/>
            <w:shd w:val="clear" w:color="auto" w:fill="auto"/>
            <w:tcMar>
              <w:left w:w="28" w:type="dxa"/>
              <w:right w:w="28" w:type="dxa"/>
            </w:tcMar>
          </w:tcPr>
          <w:p w14:paraId="7A95536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Хербициди</w:t>
            </w:r>
          </w:p>
        </w:tc>
        <w:tc>
          <w:tcPr>
            <w:tcW w:w="992" w:type="dxa"/>
            <w:gridSpan w:val="2"/>
            <w:shd w:val="clear" w:color="auto" w:fill="auto"/>
            <w:tcMar>
              <w:left w:w="28" w:type="dxa"/>
              <w:right w:w="28" w:type="dxa"/>
            </w:tcMar>
          </w:tcPr>
          <w:p w14:paraId="4DADF37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111991-09-4</w:t>
            </w:r>
          </w:p>
        </w:tc>
        <w:tc>
          <w:tcPr>
            <w:tcW w:w="1134" w:type="dxa"/>
          </w:tcPr>
          <w:p w14:paraId="2561A35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601-148-4</w:t>
            </w:r>
          </w:p>
        </w:tc>
        <w:tc>
          <w:tcPr>
            <w:tcW w:w="1279" w:type="dxa"/>
            <w:gridSpan w:val="2"/>
            <w:shd w:val="clear" w:color="auto" w:fill="auto"/>
            <w:tcMar>
              <w:left w:w="28" w:type="dxa"/>
              <w:right w:w="28" w:type="dxa"/>
            </w:tcMar>
          </w:tcPr>
          <w:p w14:paraId="2DC470FD"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0,0087</w:t>
            </w:r>
          </w:p>
        </w:tc>
        <w:tc>
          <w:tcPr>
            <w:tcW w:w="1279" w:type="dxa"/>
            <w:gridSpan w:val="2"/>
            <w:shd w:val="clear" w:color="auto" w:fill="auto"/>
            <w:tcMar>
              <w:left w:w="28" w:type="dxa"/>
              <w:right w:w="28" w:type="dxa"/>
            </w:tcMar>
          </w:tcPr>
          <w:p w14:paraId="642F63B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8,7 × 10</w:t>
            </w:r>
            <w:r w:rsidRPr="00921C9B">
              <w:rPr>
                <w:rFonts w:eastAsia="Calibri"/>
                <w:noProof/>
                <w:sz w:val="22"/>
                <w:szCs w:val="22"/>
                <w:vertAlign w:val="superscript"/>
                <w:lang w:eastAsia="en-US"/>
              </w:rPr>
              <w:t>-4</w:t>
            </w:r>
          </w:p>
        </w:tc>
        <w:tc>
          <w:tcPr>
            <w:tcW w:w="1278" w:type="dxa"/>
            <w:gridSpan w:val="2"/>
            <w:shd w:val="clear" w:color="auto" w:fill="auto"/>
            <w:tcMar>
              <w:left w:w="28" w:type="dxa"/>
              <w:right w:w="28" w:type="dxa"/>
            </w:tcMar>
          </w:tcPr>
          <w:p w14:paraId="09113A1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0,23</w:t>
            </w:r>
          </w:p>
        </w:tc>
        <w:tc>
          <w:tcPr>
            <w:tcW w:w="1277" w:type="dxa"/>
            <w:gridSpan w:val="2"/>
            <w:shd w:val="clear" w:color="auto" w:fill="auto"/>
            <w:tcMar>
              <w:left w:w="28" w:type="dxa"/>
              <w:right w:w="28" w:type="dxa"/>
            </w:tcMar>
          </w:tcPr>
          <w:p w14:paraId="74EEAA05"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0,023</w:t>
            </w:r>
          </w:p>
        </w:tc>
        <w:tc>
          <w:tcPr>
            <w:tcW w:w="1136" w:type="dxa"/>
            <w:gridSpan w:val="2"/>
            <w:shd w:val="clear" w:color="auto" w:fill="auto"/>
            <w:tcMar>
              <w:left w:w="28" w:type="dxa"/>
              <w:right w:w="28" w:type="dxa"/>
            </w:tcMar>
          </w:tcPr>
          <w:p w14:paraId="02FD72F6"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503005A2"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5D54EF85"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1E759FBA"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41C4BF32" w14:textId="77777777" w:rsidTr="004C279A">
        <w:trPr>
          <w:gridBefore w:val="1"/>
          <w:wBefore w:w="12" w:type="dxa"/>
          <w:cantSplit/>
          <w:tblHeader/>
          <w:jc w:val="center"/>
        </w:trPr>
        <w:tc>
          <w:tcPr>
            <w:tcW w:w="651" w:type="dxa"/>
            <w:gridSpan w:val="3"/>
            <w:tcMar>
              <w:left w:w="28" w:type="dxa"/>
              <w:right w:w="28" w:type="dxa"/>
            </w:tcMar>
          </w:tcPr>
          <w:p w14:paraId="6557229C"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(64)</w:t>
            </w:r>
          </w:p>
        </w:tc>
        <w:tc>
          <w:tcPr>
            <w:tcW w:w="2286" w:type="dxa"/>
            <w:gridSpan w:val="3"/>
            <w:shd w:val="clear" w:color="auto" w:fill="auto"/>
            <w:tcMar>
              <w:left w:w="28" w:type="dxa"/>
              <w:right w:w="28" w:type="dxa"/>
            </w:tcMar>
          </w:tcPr>
          <w:p w14:paraId="5AD79FC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Перметрин</w:t>
            </w:r>
          </w:p>
        </w:tc>
        <w:tc>
          <w:tcPr>
            <w:tcW w:w="1329" w:type="dxa"/>
            <w:gridSpan w:val="3"/>
            <w:shd w:val="clear" w:color="auto" w:fill="auto"/>
            <w:tcMar>
              <w:left w:w="28" w:type="dxa"/>
              <w:right w:w="28" w:type="dxa"/>
            </w:tcMar>
          </w:tcPr>
          <w:p w14:paraId="1D1863D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Пиретроидни пестициди</w:t>
            </w:r>
          </w:p>
        </w:tc>
        <w:tc>
          <w:tcPr>
            <w:tcW w:w="992" w:type="dxa"/>
            <w:gridSpan w:val="2"/>
            <w:shd w:val="clear" w:color="auto" w:fill="auto"/>
            <w:tcMar>
              <w:left w:w="28" w:type="dxa"/>
              <w:right w:w="28" w:type="dxa"/>
            </w:tcMar>
          </w:tcPr>
          <w:p w14:paraId="4BBBEA5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52645-53-1</w:t>
            </w:r>
          </w:p>
        </w:tc>
        <w:tc>
          <w:tcPr>
            <w:tcW w:w="1134" w:type="dxa"/>
          </w:tcPr>
          <w:p w14:paraId="0319789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258-067-9</w:t>
            </w:r>
          </w:p>
        </w:tc>
        <w:tc>
          <w:tcPr>
            <w:tcW w:w="1279" w:type="dxa"/>
            <w:gridSpan w:val="2"/>
            <w:shd w:val="clear" w:color="auto" w:fill="auto"/>
            <w:tcMar>
              <w:left w:w="28" w:type="dxa"/>
              <w:right w:w="28" w:type="dxa"/>
            </w:tcMar>
          </w:tcPr>
          <w:p w14:paraId="0333740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2,7× 10</w:t>
            </w:r>
            <w:r w:rsidRPr="00921C9B">
              <w:rPr>
                <w:rFonts w:eastAsia="Calibri"/>
                <w:noProof/>
                <w:sz w:val="22"/>
                <w:szCs w:val="22"/>
                <w:vertAlign w:val="superscript"/>
                <w:lang w:eastAsia="en-US"/>
              </w:rPr>
              <w:t>-4</w:t>
            </w:r>
          </w:p>
        </w:tc>
        <w:tc>
          <w:tcPr>
            <w:tcW w:w="1279" w:type="dxa"/>
            <w:gridSpan w:val="2"/>
            <w:shd w:val="clear" w:color="auto" w:fill="auto"/>
            <w:tcMar>
              <w:left w:w="28" w:type="dxa"/>
              <w:right w:w="28" w:type="dxa"/>
            </w:tcMar>
          </w:tcPr>
          <w:p w14:paraId="67F5DA4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2.7 × 10</w:t>
            </w:r>
            <w:r w:rsidRPr="00921C9B">
              <w:rPr>
                <w:rFonts w:eastAsia="Calibri"/>
                <w:noProof/>
                <w:sz w:val="22"/>
                <w:szCs w:val="22"/>
                <w:vertAlign w:val="superscript"/>
                <w:lang w:eastAsia="en-US"/>
              </w:rPr>
              <w:t>-5</w:t>
            </w:r>
          </w:p>
        </w:tc>
        <w:tc>
          <w:tcPr>
            <w:tcW w:w="1278" w:type="dxa"/>
            <w:gridSpan w:val="2"/>
            <w:shd w:val="clear" w:color="auto" w:fill="auto"/>
            <w:tcMar>
              <w:left w:w="28" w:type="dxa"/>
              <w:right w:w="28" w:type="dxa"/>
            </w:tcMar>
          </w:tcPr>
          <w:p w14:paraId="5DC2A73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0,0025</w:t>
            </w:r>
          </w:p>
        </w:tc>
        <w:tc>
          <w:tcPr>
            <w:tcW w:w="1277" w:type="dxa"/>
            <w:gridSpan w:val="2"/>
            <w:shd w:val="clear" w:color="auto" w:fill="auto"/>
            <w:tcMar>
              <w:left w:w="28" w:type="dxa"/>
              <w:right w:w="28" w:type="dxa"/>
            </w:tcMar>
          </w:tcPr>
          <w:p w14:paraId="0F9565E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2,5 × 10</w:t>
            </w:r>
            <w:r w:rsidRPr="00921C9B">
              <w:rPr>
                <w:rFonts w:eastAsia="Calibri"/>
                <w:noProof/>
                <w:sz w:val="22"/>
                <w:szCs w:val="22"/>
                <w:vertAlign w:val="superscript"/>
                <w:lang w:eastAsia="en-US"/>
              </w:rPr>
              <w:t>-4</w:t>
            </w:r>
          </w:p>
        </w:tc>
        <w:tc>
          <w:tcPr>
            <w:tcW w:w="1136" w:type="dxa"/>
            <w:gridSpan w:val="2"/>
            <w:shd w:val="clear" w:color="auto" w:fill="auto"/>
            <w:tcMar>
              <w:left w:w="28" w:type="dxa"/>
              <w:right w:w="28" w:type="dxa"/>
            </w:tcMar>
          </w:tcPr>
          <w:p w14:paraId="71736453"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72DCA555"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15BF9E59"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732A888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0ADEAF98" w14:textId="77777777" w:rsidTr="004C279A">
        <w:trPr>
          <w:gridBefore w:val="1"/>
          <w:wBefore w:w="12" w:type="dxa"/>
          <w:cantSplit/>
          <w:tblHeader/>
          <w:jc w:val="center"/>
        </w:trPr>
        <w:tc>
          <w:tcPr>
            <w:tcW w:w="651" w:type="dxa"/>
            <w:gridSpan w:val="3"/>
            <w:tcMar>
              <w:left w:w="28" w:type="dxa"/>
              <w:right w:w="28" w:type="dxa"/>
            </w:tcMar>
          </w:tcPr>
          <w:p w14:paraId="33E7A952" w14:textId="77777777" w:rsidR="00501E78" w:rsidRPr="00921C9B" w:rsidRDefault="00501E78" w:rsidP="00501E78">
            <w:pPr>
              <w:keepNext/>
              <w:widowControl/>
              <w:spacing w:before="40" w:after="40"/>
              <w:jc w:val="both"/>
              <w:rPr>
                <w:rFonts w:eastAsia="Calibri"/>
                <w:noProof/>
                <w:sz w:val="22"/>
                <w:szCs w:val="22"/>
                <w:lang w:eastAsia="en-US"/>
              </w:rPr>
            </w:pPr>
            <w:r w:rsidRPr="00921C9B">
              <w:rPr>
                <w:rFonts w:eastAsia="Calibri"/>
                <w:noProof/>
                <w:sz w:val="22"/>
                <w:szCs w:val="22"/>
                <w:lang w:eastAsia="en-US"/>
              </w:rPr>
              <w:t>(65)</w:t>
            </w:r>
          </w:p>
        </w:tc>
        <w:tc>
          <w:tcPr>
            <w:tcW w:w="2286" w:type="dxa"/>
            <w:gridSpan w:val="3"/>
            <w:shd w:val="clear" w:color="auto" w:fill="auto"/>
            <w:tcMar>
              <w:left w:w="28" w:type="dxa"/>
              <w:right w:w="28" w:type="dxa"/>
            </w:tcMar>
          </w:tcPr>
          <w:p w14:paraId="5957858E"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Пер- и полифлуорирани алкилни вещества (PFAS) — сбор от 24</w:t>
            </w:r>
            <w:bookmarkStart w:id="43" w:name="_Ref101448197"/>
            <w:r w:rsidRPr="00921C9B">
              <w:rPr>
                <w:rFonts w:eastAsia="Calibri"/>
                <w:noProof/>
                <w:sz w:val="22"/>
                <w:szCs w:val="22"/>
                <w:lang w:eastAsia="en-US"/>
              </w:rPr>
              <w:t> (</w:t>
            </w:r>
            <w:r w:rsidRPr="00921C9B">
              <w:rPr>
                <w:rFonts w:eastAsia="Calibri"/>
                <w:noProof/>
                <w:sz w:val="22"/>
                <w:szCs w:val="22"/>
                <w:vertAlign w:val="superscript"/>
                <w:lang w:eastAsia="en-US"/>
              </w:rPr>
              <w:t>27</w:t>
            </w:r>
            <w:r w:rsidRPr="00921C9B">
              <w:rPr>
                <w:rFonts w:eastAsia="Calibri"/>
                <w:noProof/>
                <w:sz w:val="22"/>
                <w:szCs w:val="22"/>
                <w:lang w:eastAsia="en-US"/>
              </w:rPr>
              <w:t>)</w:t>
            </w:r>
            <w:bookmarkEnd w:id="43"/>
          </w:p>
        </w:tc>
        <w:tc>
          <w:tcPr>
            <w:tcW w:w="1329" w:type="dxa"/>
            <w:gridSpan w:val="3"/>
            <w:shd w:val="clear" w:color="auto" w:fill="auto"/>
            <w:tcMar>
              <w:left w:w="28" w:type="dxa"/>
              <w:right w:w="28" w:type="dxa"/>
            </w:tcMar>
          </w:tcPr>
          <w:p w14:paraId="0DAB7F77"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Промишлени вещества</w:t>
            </w:r>
          </w:p>
        </w:tc>
        <w:tc>
          <w:tcPr>
            <w:tcW w:w="992" w:type="dxa"/>
            <w:gridSpan w:val="2"/>
            <w:shd w:val="clear" w:color="auto" w:fill="auto"/>
            <w:tcMar>
              <w:left w:w="28" w:type="dxa"/>
              <w:right w:w="28" w:type="dxa"/>
            </w:tcMar>
          </w:tcPr>
          <w:p w14:paraId="0745BAC5"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4" w:type="dxa"/>
          </w:tcPr>
          <w:p w14:paraId="191AD66F"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9" w:type="dxa"/>
            <w:gridSpan w:val="2"/>
            <w:shd w:val="clear" w:color="auto" w:fill="auto"/>
            <w:tcMar>
              <w:left w:w="28" w:type="dxa"/>
              <w:right w:w="28" w:type="dxa"/>
            </w:tcMar>
          </w:tcPr>
          <w:p w14:paraId="35A12303"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Сбор от еквиваленти на PFOA 0,0044 </w:t>
            </w:r>
            <w:bookmarkStart w:id="44" w:name="_Ref101448285"/>
            <w:r w:rsidRPr="00921C9B">
              <w:rPr>
                <w:rFonts w:eastAsia="Calibri"/>
                <w:noProof/>
                <w:sz w:val="22"/>
                <w:szCs w:val="22"/>
                <w:lang w:eastAsia="en-US"/>
              </w:rPr>
              <w:t>(</w:t>
            </w:r>
            <w:r w:rsidRPr="00921C9B">
              <w:rPr>
                <w:rFonts w:eastAsia="Calibri"/>
                <w:noProof/>
                <w:sz w:val="22"/>
                <w:szCs w:val="22"/>
                <w:vertAlign w:val="superscript"/>
                <w:lang w:eastAsia="en-US"/>
              </w:rPr>
              <w:t>28</w:t>
            </w:r>
            <w:r w:rsidRPr="00921C9B">
              <w:rPr>
                <w:rFonts w:eastAsia="Calibri"/>
                <w:noProof/>
                <w:sz w:val="22"/>
                <w:szCs w:val="22"/>
                <w:lang w:eastAsia="en-US"/>
              </w:rPr>
              <w:t>)</w:t>
            </w:r>
            <w:bookmarkEnd w:id="44"/>
          </w:p>
        </w:tc>
        <w:tc>
          <w:tcPr>
            <w:tcW w:w="1279" w:type="dxa"/>
            <w:gridSpan w:val="2"/>
            <w:shd w:val="clear" w:color="auto" w:fill="auto"/>
            <w:tcMar>
              <w:left w:w="28" w:type="dxa"/>
              <w:right w:w="28" w:type="dxa"/>
            </w:tcMar>
          </w:tcPr>
          <w:p w14:paraId="01C8F6E5"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Сбор от еквиваленти на PFOA 0,0044 (</w:t>
            </w:r>
            <w:r w:rsidRPr="00921C9B">
              <w:rPr>
                <w:rFonts w:eastAsia="Calibri"/>
                <w:noProof/>
                <w:sz w:val="22"/>
                <w:szCs w:val="22"/>
                <w:vertAlign w:val="superscript"/>
                <w:lang w:eastAsia="en-US"/>
              </w:rPr>
              <w:t>28</w:t>
            </w:r>
            <w:r w:rsidRPr="00921C9B">
              <w:rPr>
                <w:rFonts w:eastAsia="Calibri"/>
                <w:noProof/>
                <w:sz w:val="22"/>
                <w:szCs w:val="22"/>
                <w:lang w:eastAsia="en-US"/>
              </w:rPr>
              <w:t>)</w:t>
            </w:r>
          </w:p>
        </w:tc>
        <w:tc>
          <w:tcPr>
            <w:tcW w:w="1278" w:type="dxa"/>
            <w:gridSpan w:val="2"/>
            <w:shd w:val="clear" w:color="auto" w:fill="auto"/>
            <w:tcMar>
              <w:left w:w="28" w:type="dxa"/>
              <w:right w:w="28" w:type="dxa"/>
            </w:tcMar>
          </w:tcPr>
          <w:p w14:paraId="15B469A3"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277" w:type="dxa"/>
            <w:gridSpan w:val="2"/>
            <w:shd w:val="clear" w:color="auto" w:fill="auto"/>
            <w:tcMar>
              <w:left w:w="28" w:type="dxa"/>
              <w:right w:w="28" w:type="dxa"/>
            </w:tcMar>
          </w:tcPr>
          <w:p w14:paraId="45455FC5"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не се прилага</w:t>
            </w:r>
          </w:p>
        </w:tc>
        <w:tc>
          <w:tcPr>
            <w:tcW w:w="1136" w:type="dxa"/>
            <w:gridSpan w:val="2"/>
            <w:shd w:val="clear" w:color="auto" w:fill="auto"/>
            <w:tcMar>
              <w:left w:w="28" w:type="dxa"/>
              <w:right w:w="28" w:type="dxa"/>
            </w:tcMar>
          </w:tcPr>
          <w:p w14:paraId="1177D2F9"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Сбор от еквиваленти на PFOA 0,077 (</w:t>
            </w:r>
            <w:r w:rsidRPr="00921C9B">
              <w:rPr>
                <w:rFonts w:eastAsia="Calibri"/>
                <w:noProof/>
                <w:sz w:val="22"/>
                <w:szCs w:val="22"/>
                <w:vertAlign w:val="superscript"/>
                <w:lang w:eastAsia="en-US"/>
              </w:rPr>
              <w:t>28</w:t>
            </w:r>
            <w:r w:rsidRPr="00921C9B">
              <w:rPr>
                <w:rFonts w:eastAsia="Calibri"/>
                <w:noProof/>
                <w:sz w:val="22"/>
                <w:szCs w:val="22"/>
                <w:lang w:eastAsia="en-US"/>
              </w:rPr>
              <w:t xml:space="preserve">) </w:t>
            </w:r>
          </w:p>
        </w:tc>
        <w:tc>
          <w:tcPr>
            <w:tcW w:w="1262" w:type="dxa"/>
            <w:tcMar>
              <w:left w:w="28" w:type="dxa"/>
              <w:right w:w="28" w:type="dxa"/>
            </w:tcMar>
          </w:tcPr>
          <w:p w14:paraId="3CE55C18"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X</w:t>
            </w:r>
          </w:p>
        </w:tc>
        <w:tc>
          <w:tcPr>
            <w:tcW w:w="1153" w:type="dxa"/>
            <w:gridSpan w:val="2"/>
            <w:tcMar>
              <w:left w:w="28" w:type="dxa"/>
              <w:right w:w="28" w:type="dxa"/>
            </w:tcMar>
          </w:tcPr>
          <w:p w14:paraId="460AE30E"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X</w:t>
            </w:r>
          </w:p>
        </w:tc>
        <w:tc>
          <w:tcPr>
            <w:tcW w:w="970" w:type="dxa"/>
            <w:tcMar>
              <w:left w:w="28" w:type="dxa"/>
              <w:right w:w="28" w:type="dxa"/>
            </w:tcMar>
          </w:tcPr>
          <w:p w14:paraId="2AB55DDD" w14:textId="77777777" w:rsidR="00501E78" w:rsidRPr="00921C9B" w:rsidRDefault="00501E78" w:rsidP="00501E78">
            <w:pPr>
              <w:keepNext/>
              <w:widowControl/>
              <w:spacing w:before="40" w:after="40"/>
              <w:rPr>
                <w:rFonts w:eastAsia="Calibri"/>
                <w:noProof/>
                <w:sz w:val="22"/>
                <w:szCs w:val="22"/>
                <w:lang w:eastAsia="en-US"/>
              </w:rPr>
            </w:pPr>
            <w:r w:rsidRPr="00921C9B">
              <w:rPr>
                <w:rFonts w:eastAsia="Calibri"/>
                <w:noProof/>
                <w:sz w:val="22"/>
                <w:szCs w:val="22"/>
                <w:lang w:eastAsia="en-US"/>
              </w:rPr>
              <w:t>X</w:t>
            </w:r>
          </w:p>
        </w:tc>
      </w:tr>
      <w:tr w:rsidR="00501E78" w:rsidRPr="00921C9B" w14:paraId="3AF1BDEC" w14:textId="77777777" w:rsidTr="004C279A">
        <w:trPr>
          <w:gridBefore w:val="1"/>
          <w:wBefore w:w="12" w:type="dxa"/>
          <w:cantSplit/>
          <w:tblHeader/>
          <w:jc w:val="center"/>
        </w:trPr>
        <w:tc>
          <w:tcPr>
            <w:tcW w:w="651" w:type="dxa"/>
            <w:gridSpan w:val="3"/>
            <w:tcMar>
              <w:left w:w="28" w:type="dxa"/>
              <w:right w:w="28" w:type="dxa"/>
            </w:tcMar>
          </w:tcPr>
          <w:p w14:paraId="1C031890"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lastRenderedPageBreak/>
              <w:t>(66)</w:t>
            </w:r>
          </w:p>
        </w:tc>
        <w:tc>
          <w:tcPr>
            <w:tcW w:w="2286" w:type="dxa"/>
            <w:gridSpan w:val="3"/>
            <w:shd w:val="clear" w:color="auto" w:fill="auto"/>
            <w:tcMar>
              <w:left w:w="28" w:type="dxa"/>
              <w:right w:w="28" w:type="dxa"/>
            </w:tcMar>
          </w:tcPr>
          <w:p w14:paraId="3DD2049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Сребро</w:t>
            </w:r>
          </w:p>
        </w:tc>
        <w:tc>
          <w:tcPr>
            <w:tcW w:w="1329" w:type="dxa"/>
            <w:gridSpan w:val="3"/>
            <w:shd w:val="clear" w:color="auto" w:fill="auto"/>
            <w:tcMar>
              <w:left w:w="28" w:type="dxa"/>
              <w:right w:w="28" w:type="dxa"/>
            </w:tcMar>
          </w:tcPr>
          <w:p w14:paraId="3D06B1C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Метали</w:t>
            </w:r>
          </w:p>
        </w:tc>
        <w:tc>
          <w:tcPr>
            <w:tcW w:w="992" w:type="dxa"/>
            <w:gridSpan w:val="2"/>
            <w:shd w:val="clear" w:color="auto" w:fill="auto"/>
            <w:tcMar>
              <w:left w:w="28" w:type="dxa"/>
              <w:right w:w="28" w:type="dxa"/>
            </w:tcMar>
          </w:tcPr>
          <w:p w14:paraId="44DEFD7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7440-22-4</w:t>
            </w:r>
          </w:p>
        </w:tc>
        <w:tc>
          <w:tcPr>
            <w:tcW w:w="1134" w:type="dxa"/>
          </w:tcPr>
          <w:p w14:paraId="39AF178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231-131-3</w:t>
            </w:r>
          </w:p>
        </w:tc>
        <w:tc>
          <w:tcPr>
            <w:tcW w:w="1279" w:type="dxa"/>
            <w:gridSpan w:val="2"/>
            <w:shd w:val="clear" w:color="auto" w:fill="auto"/>
            <w:tcMar>
              <w:left w:w="28" w:type="dxa"/>
              <w:right w:w="28" w:type="dxa"/>
            </w:tcMar>
          </w:tcPr>
          <w:p w14:paraId="0D26403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w:t>
            </w:r>
          </w:p>
        </w:tc>
        <w:tc>
          <w:tcPr>
            <w:tcW w:w="1279" w:type="dxa"/>
            <w:gridSpan w:val="2"/>
            <w:shd w:val="clear" w:color="auto" w:fill="auto"/>
            <w:tcMar>
              <w:left w:w="28" w:type="dxa"/>
              <w:right w:w="28" w:type="dxa"/>
            </w:tcMar>
          </w:tcPr>
          <w:p w14:paraId="0F7AD50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0,006 (10 % соленост)</w:t>
            </w:r>
            <w:r w:rsidRPr="00921C9B">
              <w:rPr>
                <w:rFonts w:eastAsia="Calibri"/>
                <w:noProof/>
                <w:szCs w:val="22"/>
                <w:lang w:eastAsia="en-US"/>
              </w:rPr>
              <w:t xml:space="preserve"> </w:t>
            </w:r>
            <w:r w:rsidRPr="00921C9B">
              <w:rPr>
                <w:rFonts w:eastAsia="Calibri"/>
                <w:noProof/>
                <w:szCs w:val="22"/>
                <w:lang w:eastAsia="en-US"/>
              </w:rPr>
              <w:cr/>
            </w:r>
            <w:r w:rsidRPr="00921C9B">
              <w:rPr>
                <w:rFonts w:eastAsia="Calibri"/>
                <w:noProof/>
                <w:szCs w:val="22"/>
                <w:lang w:eastAsia="en-US"/>
              </w:rPr>
              <w:br/>
            </w:r>
            <w:r w:rsidRPr="00921C9B">
              <w:rPr>
                <w:rFonts w:eastAsia="Calibri"/>
                <w:noProof/>
                <w:sz w:val="22"/>
                <w:szCs w:val="22"/>
                <w:lang w:eastAsia="en-US"/>
              </w:rPr>
              <w:t>0,17 (30 % соленост)</w:t>
            </w:r>
          </w:p>
        </w:tc>
        <w:tc>
          <w:tcPr>
            <w:tcW w:w="1278" w:type="dxa"/>
            <w:gridSpan w:val="2"/>
            <w:shd w:val="clear" w:color="auto" w:fill="auto"/>
            <w:tcMar>
              <w:left w:w="28" w:type="dxa"/>
              <w:right w:w="28" w:type="dxa"/>
            </w:tcMar>
          </w:tcPr>
          <w:p w14:paraId="764B2CD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0,022</w:t>
            </w:r>
          </w:p>
        </w:tc>
        <w:tc>
          <w:tcPr>
            <w:tcW w:w="1277" w:type="dxa"/>
            <w:gridSpan w:val="2"/>
            <w:shd w:val="clear" w:color="auto" w:fill="auto"/>
            <w:tcMar>
              <w:left w:w="28" w:type="dxa"/>
              <w:right w:w="28" w:type="dxa"/>
            </w:tcMar>
          </w:tcPr>
          <w:p w14:paraId="3D04BA0E"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 са получени</w:t>
            </w:r>
          </w:p>
        </w:tc>
        <w:tc>
          <w:tcPr>
            <w:tcW w:w="1136" w:type="dxa"/>
            <w:gridSpan w:val="2"/>
            <w:shd w:val="clear" w:color="auto" w:fill="auto"/>
            <w:tcMar>
              <w:left w:w="28" w:type="dxa"/>
              <w:right w:w="28" w:type="dxa"/>
            </w:tcMar>
          </w:tcPr>
          <w:p w14:paraId="79628585" w14:textId="77777777" w:rsidR="00501E78" w:rsidRPr="00921C9B" w:rsidDel="00974569"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53A948BC"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2058333C"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72B23D97"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31220F80" w14:textId="77777777" w:rsidTr="004C279A">
        <w:trPr>
          <w:gridBefore w:val="1"/>
          <w:wBefore w:w="12" w:type="dxa"/>
          <w:cantSplit/>
          <w:tblHeader/>
          <w:jc w:val="center"/>
        </w:trPr>
        <w:tc>
          <w:tcPr>
            <w:tcW w:w="651" w:type="dxa"/>
            <w:gridSpan w:val="3"/>
            <w:tcMar>
              <w:left w:w="28" w:type="dxa"/>
              <w:right w:w="28" w:type="dxa"/>
            </w:tcMar>
          </w:tcPr>
          <w:p w14:paraId="670FC825"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(67)</w:t>
            </w:r>
          </w:p>
        </w:tc>
        <w:tc>
          <w:tcPr>
            <w:tcW w:w="2286" w:type="dxa"/>
            <w:gridSpan w:val="3"/>
            <w:shd w:val="clear" w:color="auto" w:fill="auto"/>
            <w:tcMar>
              <w:left w:w="28" w:type="dxa"/>
              <w:right w:w="28" w:type="dxa"/>
            </w:tcMar>
          </w:tcPr>
          <w:p w14:paraId="637E233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Тиаклоприд</w:t>
            </w:r>
          </w:p>
        </w:tc>
        <w:tc>
          <w:tcPr>
            <w:tcW w:w="1329" w:type="dxa"/>
            <w:gridSpan w:val="3"/>
            <w:shd w:val="clear" w:color="auto" w:fill="auto"/>
            <w:tcMar>
              <w:left w:w="28" w:type="dxa"/>
              <w:right w:w="28" w:type="dxa"/>
            </w:tcMar>
          </w:tcPr>
          <w:p w14:paraId="791A8EE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Неоникотиноидни пестициди</w:t>
            </w:r>
          </w:p>
        </w:tc>
        <w:tc>
          <w:tcPr>
            <w:tcW w:w="992" w:type="dxa"/>
            <w:gridSpan w:val="2"/>
            <w:shd w:val="clear" w:color="auto" w:fill="auto"/>
            <w:tcMar>
              <w:left w:w="28" w:type="dxa"/>
              <w:right w:w="28" w:type="dxa"/>
            </w:tcMar>
          </w:tcPr>
          <w:p w14:paraId="0AEA545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111988-49-9</w:t>
            </w:r>
          </w:p>
        </w:tc>
        <w:tc>
          <w:tcPr>
            <w:tcW w:w="1134" w:type="dxa"/>
          </w:tcPr>
          <w:p w14:paraId="5AB38991"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601-147-9</w:t>
            </w:r>
          </w:p>
        </w:tc>
        <w:tc>
          <w:tcPr>
            <w:tcW w:w="1279" w:type="dxa"/>
            <w:gridSpan w:val="2"/>
            <w:shd w:val="clear" w:color="auto" w:fill="auto"/>
            <w:tcMar>
              <w:left w:w="28" w:type="dxa"/>
              <w:right w:w="28" w:type="dxa"/>
            </w:tcMar>
          </w:tcPr>
          <w:p w14:paraId="34B15D5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0,01</w:t>
            </w:r>
          </w:p>
        </w:tc>
        <w:tc>
          <w:tcPr>
            <w:tcW w:w="1279" w:type="dxa"/>
            <w:gridSpan w:val="2"/>
            <w:shd w:val="clear" w:color="auto" w:fill="auto"/>
            <w:tcMar>
              <w:left w:w="28" w:type="dxa"/>
              <w:right w:w="28" w:type="dxa"/>
            </w:tcMar>
          </w:tcPr>
          <w:p w14:paraId="1356880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0,001</w:t>
            </w:r>
          </w:p>
        </w:tc>
        <w:tc>
          <w:tcPr>
            <w:tcW w:w="1278" w:type="dxa"/>
            <w:gridSpan w:val="2"/>
            <w:shd w:val="clear" w:color="auto" w:fill="auto"/>
            <w:tcMar>
              <w:left w:w="28" w:type="dxa"/>
              <w:right w:w="28" w:type="dxa"/>
            </w:tcMar>
          </w:tcPr>
          <w:p w14:paraId="79AD61E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0,05</w:t>
            </w:r>
          </w:p>
        </w:tc>
        <w:tc>
          <w:tcPr>
            <w:tcW w:w="1277" w:type="dxa"/>
            <w:gridSpan w:val="2"/>
            <w:shd w:val="clear" w:color="auto" w:fill="auto"/>
            <w:tcMar>
              <w:left w:w="28" w:type="dxa"/>
              <w:right w:w="28" w:type="dxa"/>
            </w:tcMar>
          </w:tcPr>
          <w:p w14:paraId="0B93158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0,005</w:t>
            </w:r>
          </w:p>
        </w:tc>
        <w:tc>
          <w:tcPr>
            <w:tcW w:w="1136" w:type="dxa"/>
            <w:gridSpan w:val="2"/>
            <w:shd w:val="clear" w:color="auto" w:fill="auto"/>
            <w:tcMar>
              <w:left w:w="28" w:type="dxa"/>
              <w:right w:w="28" w:type="dxa"/>
            </w:tcMar>
          </w:tcPr>
          <w:p w14:paraId="24AD675C"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2B62F84F"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0EDCB7E8"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44880484"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145A705E" w14:textId="77777777" w:rsidTr="004C279A">
        <w:trPr>
          <w:gridBefore w:val="1"/>
          <w:wBefore w:w="12" w:type="dxa"/>
          <w:cantSplit/>
          <w:tblHeader/>
          <w:jc w:val="center"/>
        </w:trPr>
        <w:tc>
          <w:tcPr>
            <w:tcW w:w="651" w:type="dxa"/>
            <w:gridSpan w:val="3"/>
            <w:tcMar>
              <w:left w:w="28" w:type="dxa"/>
              <w:right w:w="28" w:type="dxa"/>
            </w:tcMar>
          </w:tcPr>
          <w:p w14:paraId="02B9694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(68)</w:t>
            </w:r>
          </w:p>
        </w:tc>
        <w:tc>
          <w:tcPr>
            <w:tcW w:w="2286" w:type="dxa"/>
            <w:gridSpan w:val="3"/>
            <w:shd w:val="clear" w:color="auto" w:fill="auto"/>
            <w:tcMar>
              <w:left w:w="28" w:type="dxa"/>
              <w:right w:w="28" w:type="dxa"/>
            </w:tcMar>
          </w:tcPr>
          <w:p w14:paraId="1E08C97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Тиаметоксам</w:t>
            </w:r>
          </w:p>
        </w:tc>
        <w:tc>
          <w:tcPr>
            <w:tcW w:w="1329" w:type="dxa"/>
            <w:gridSpan w:val="3"/>
            <w:shd w:val="clear" w:color="auto" w:fill="auto"/>
            <w:tcMar>
              <w:left w:w="28" w:type="dxa"/>
              <w:right w:w="28" w:type="dxa"/>
            </w:tcMar>
          </w:tcPr>
          <w:p w14:paraId="5224EF8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Неоникотиноидни пестициди</w:t>
            </w:r>
          </w:p>
        </w:tc>
        <w:tc>
          <w:tcPr>
            <w:tcW w:w="992" w:type="dxa"/>
            <w:gridSpan w:val="2"/>
            <w:shd w:val="clear" w:color="auto" w:fill="auto"/>
            <w:tcMar>
              <w:left w:w="28" w:type="dxa"/>
              <w:right w:w="28" w:type="dxa"/>
            </w:tcMar>
          </w:tcPr>
          <w:p w14:paraId="6E06326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153719-23-4</w:t>
            </w:r>
          </w:p>
        </w:tc>
        <w:tc>
          <w:tcPr>
            <w:tcW w:w="1134" w:type="dxa"/>
          </w:tcPr>
          <w:p w14:paraId="7EC9BA1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428-650-4</w:t>
            </w:r>
          </w:p>
        </w:tc>
        <w:tc>
          <w:tcPr>
            <w:tcW w:w="1279" w:type="dxa"/>
            <w:gridSpan w:val="2"/>
            <w:shd w:val="clear" w:color="auto" w:fill="auto"/>
            <w:tcMar>
              <w:left w:w="28" w:type="dxa"/>
              <w:right w:w="28" w:type="dxa"/>
            </w:tcMar>
          </w:tcPr>
          <w:p w14:paraId="1BF5089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0,04</w:t>
            </w:r>
          </w:p>
        </w:tc>
        <w:tc>
          <w:tcPr>
            <w:tcW w:w="1279" w:type="dxa"/>
            <w:gridSpan w:val="2"/>
            <w:shd w:val="clear" w:color="auto" w:fill="auto"/>
            <w:tcMar>
              <w:left w:w="28" w:type="dxa"/>
              <w:right w:w="28" w:type="dxa"/>
            </w:tcMar>
          </w:tcPr>
          <w:p w14:paraId="2257ECB7"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0,004</w:t>
            </w:r>
          </w:p>
        </w:tc>
        <w:tc>
          <w:tcPr>
            <w:tcW w:w="1278" w:type="dxa"/>
            <w:gridSpan w:val="2"/>
            <w:shd w:val="clear" w:color="auto" w:fill="auto"/>
            <w:tcMar>
              <w:left w:w="28" w:type="dxa"/>
              <w:right w:w="28" w:type="dxa"/>
            </w:tcMar>
          </w:tcPr>
          <w:p w14:paraId="2220EA1F"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0,77</w:t>
            </w:r>
          </w:p>
        </w:tc>
        <w:tc>
          <w:tcPr>
            <w:tcW w:w="1277" w:type="dxa"/>
            <w:gridSpan w:val="2"/>
            <w:shd w:val="clear" w:color="auto" w:fill="auto"/>
            <w:tcMar>
              <w:left w:w="28" w:type="dxa"/>
              <w:right w:w="28" w:type="dxa"/>
            </w:tcMar>
          </w:tcPr>
          <w:p w14:paraId="63C25F3B"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0,077</w:t>
            </w:r>
          </w:p>
        </w:tc>
        <w:tc>
          <w:tcPr>
            <w:tcW w:w="1136" w:type="dxa"/>
            <w:gridSpan w:val="2"/>
            <w:shd w:val="clear" w:color="auto" w:fill="auto"/>
            <w:tcMar>
              <w:left w:w="28" w:type="dxa"/>
              <w:right w:w="28" w:type="dxa"/>
            </w:tcMar>
          </w:tcPr>
          <w:p w14:paraId="32CC4E93"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62EF25B5"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0B867576"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4054E823"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624D13A1" w14:textId="77777777" w:rsidTr="004C279A">
        <w:trPr>
          <w:gridBefore w:val="1"/>
          <w:wBefore w:w="12" w:type="dxa"/>
          <w:cantSplit/>
          <w:tblHeader/>
          <w:jc w:val="center"/>
        </w:trPr>
        <w:tc>
          <w:tcPr>
            <w:tcW w:w="651" w:type="dxa"/>
            <w:gridSpan w:val="3"/>
            <w:tcMar>
              <w:left w:w="28" w:type="dxa"/>
              <w:right w:w="28" w:type="dxa"/>
            </w:tcMar>
          </w:tcPr>
          <w:p w14:paraId="6C957DF8"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(69)</w:t>
            </w:r>
          </w:p>
        </w:tc>
        <w:tc>
          <w:tcPr>
            <w:tcW w:w="2286" w:type="dxa"/>
            <w:gridSpan w:val="3"/>
            <w:shd w:val="clear" w:color="auto" w:fill="auto"/>
            <w:tcMar>
              <w:left w:w="28" w:type="dxa"/>
              <w:right w:w="28" w:type="dxa"/>
            </w:tcMar>
          </w:tcPr>
          <w:p w14:paraId="3E0E794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Триклозан</w:t>
            </w:r>
          </w:p>
        </w:tc>
        <w:tc>
          <w:tcPr>
            <w:tcW w:w="1329" w:type="dxa"/>
            <w:gridSpan w:val="3"/>
            <w:shd w:val="clear" w:color="auto" w:fill="auto"/>
            <w:tcMar>
              <w:left w:w="28" w:type="dxa"/>
              <w:right w:w="28" w:type="dxa"/>
            </w:tcMar>
          </w:tcPr>
          <w:p w14:paraId="4C502928"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Биоциди</w:t>
            </w:r>
          </w:p>
        </w:tc>
        <w:tc>
          <w:tcPr>
            <w:tcW w:w="992" w:type="dxa"/>
            <w:gridSpan w:val="2"/>
            <w:shd w:val="clear" w:color="auto" w:fill="auto"/>
            <w:tcMar>
              <w:left w:w="28" w:type="dxa"/>
              <w:right w:w="28" w:type="dxa"/>
            </w:tcMar>
          </w:tcPr>
          <w:p w14:paraId="3A47C77C"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3380-34-5</w:t>
            </w:r>
          </w:p>
        </w:tc>
        <w:tc>
          <w:tcPr>
            <w:tcW w:w="1134" w:type="dxa"/>
          </w:tcPr>
          <w:p w14:paraId="6EBCC5B9"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222-182-2</w:t>
            </w:r>
          </w:p>
        </w:tc>
        <w:tc>
          <w:tcPr>
            <w:tcW w:w="1279" w:type="dxa"/>
            <w:gridSpan w:val="2"/>
            <w:shd w:val="clear" w:color="auto" w:fill="auto"/>
            <w:tcMar>
              <w:left w:w="28" w:type="dxa"/>
              <w:right w:w="28" w:type="dxa"/>
            </w:tcMar>
          </w:tcPr>
          <w:p w14:paraId="5AFA36B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0,02</w:t>
            </w:r>
          </w:p>
        </w:tc>
        <w:tc>
          <w:tcPr>
            <w:tcW w:w="1279" w:type="dxa"/>
            <w:gridSpan w:val="2"/>
            <w:shd w:val="clear" w:color="auto" w:fill="auto"/>
            <w:tcMar>
              <w:left w:w="28" w:type="dxa"/>
              <w:right w:w="28" w:type="dxa"/>
            </w:tcMar>
          </w:tcPr>
          <w:p w14:paraId="4C1171D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0,002</w:t>
            </w:r>
          </w:p>
        </w:tc>
        <w:tc>
          <w:tcPr>
            <w:tcW w:w="1278" w:type="dxa"/>
            <w:gridSpan w:val="2"/>
            <w:shd w:val="clear" w:color="auto" w:fill="auto"/>
            <w:tcMar>
              <w:left w:w="28" w:type="dxa"/>
              <w:right w:w="28" w:type="dxa"/>
            </w:tcMar>
          </w:tcPr>
          <w:p w14:paraId="5448B512"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0,02</w:t>
            </w:r>
          </w:p>
        </w:tc>
        <w:tc>
          <w:tcPr>
            <w:tcW w:w="1277" w:type="dxa"/>
            <w:gridSpan w:val="2"/>
            <w:shd w:val="clear" w:color="auto" w:fill="auto"/>
            <w:tcMar>
              <w:left w:w="28" w:type="dxa"/>
              <w:right w:w="28" w:type="dxa"/>
            </w:tcMar>
          </w:tcPr>
          <w:p w14:paraId="0457525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0,002</w:t>
            </w:r>
          </w:p>
        </w:tc>
        <w:tc>
          <w:tcPr>
            <w:tcW w:w="1136" w:type="dxa"/>
            <w:gridSpan w:val="2"/>
            <w:shd w:val="clear" w:color="auto" w:fill="auto"/>
            <w:tcMar>
              <w:left w:w="28" w:type="dxa"/>
              <w:right w:w="28" w:type="dxa"/>
            </w:tcMar>
          </w:tcPr>
          <w:p w14:paraId="24FE0B60"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410737D1"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4CF533E0"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75D4083D" w14:textId="77777777" w:rsidR="00501E78" w:rsidRPr="00921C9B" w:rsidRDefault="00501E78" w:rsidP="00501E78">
            <w:pPr>
              <w:widowControl/>
              <w:spacing w:before="40" w:after="40"/>
              <w:rPr>
                <w:rFonts w:eastAsia="Calibri"/>
                <w:noProof/>
                <w:sz w:val="22"/>
                <w:szCs w:val="22"/>
                <w:lang w:eastAsia="en-US"/>
              </w:rPr>
            </w:pPr>
          </w:p>
        </w:tc>
      </w:tr>
      <w:tr w:rsidR="00501E78" w:rsidRPr="00921C9B" w14:paraId="19362D1C" w14:textId="77777777" w:rsidTr="004C279A">
        <w:trPr>
          <w:gridBefore w:val="1"/>
          <w:wBefore w:w="12" w:type="dxa"/>
          <w:cantSplit/>
          <w:tblHeader/>
          <w:jc w:val="center"/>
        </w:trPr>
        <w:tc>
          <w:tcPr>
            <w:tcW w:w="651" w:type="dxa"/>
            <w:gridSpan w:val="3"/>
            <w:tcMar>
              <w:left w:w="28" w:type="dxa"/>
              <w:right w:w="28" w:type="dxa"/>
            </w:tcMar>
          </w:tcPr>
          <w:p w14:paraId="41F6F0EA" w14:textId="77777777" w:rsidR="00501E78" w:rsidRPr="00921C9B" w:rsidRDefault="00501E78" w:rsidP="00501E78">
            <w:pPr>
              <w:widowControl/>
              <w:spacing w:before="40" w:after="40"/>
              <w:jc w:val="both"/>
              <w:rPr>
                <w:rFonts w:eastAsia="Calibri"/>
                <w:noProof/>
                <w:sz w:val="22"/>
                <w:szCs w:val="22"/>
                <w:lang w:eastAsia="en-US"/>
              </w:rPr>
            </w:pPr>
            <w:r w:rsidRPr="00921C9B">
              <w:rPr>
                <w:rFonts w:eastAsia="Calibri"/>
                <w:noProof/>
                <w:sz w:val="22"/>
                <w:szCs w:val="22"/>
                <w:lang w:eastAsia="en-US"/>
              </w:rPr>
              <w:t>(70)</w:t>
            </w:r>
          </w:p>
        </w:tc>
        <w:tc>
          <w:tcPr>
            <w:tcW w:w="2286" w:type="dxa"/>
            <w:gridSpan w:val="3"/>
            <w:shd w:val="clear" w:color="auto" w:fill="auto"/>
            <w:tcMar>
              <w:left w:w="28" w:type="dxa"/>
              <w:right w:w="28" w:type="dxa"/>
            </w:tcMar>
          </w:tcPr>
          <w:p w14:paraId="39850A4A"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Общо активни вещества в пестициди, включително съответните им метаболити, продукти на разграждане и взаимодействие (</w:t>
            </w:r>
            <w:r w:rsidRPr="00921C9B">
              <w:rPr>
                <w:rFonts w:eastAsia="Calibri"/>
                <w:noProof/>
                <w:sz w:val="22"/>
                <w:szCs w:val="22"/>
                <w:vertAlign w:val="superscript"/>
                <w:lang w:eastAsia="en-US"/>
              </w:rPr>
              <w:t>29</w:t>
            </w:r>
            <w:r w:rsidRPr="00921C9B">
              <w:rPr>
                <w:rFonts w:eastAsia="Calibri"/>
                <w:noProof/>
                <w:sz w:val="22"/>
                <w:szCs w:val="22"/>
                <w:lang w:eastAsia="en-US"/>
              </w:rPr>
              <w:t>)</w:t>
            </w:r>
          </w:p>
        </w:tc>
        <w:tc>
          <w:tcPr>
            <w:tcW w:w="1329" w:type="dxa"/>
            <w:gridSpan w:val="3"/>
            <w:shd w:val="clear" w:color="auto" w:fill="auto"/>
            <w:tcMar>
              <w:left w:w="28" w:type="dxa"/>
              <w:right w:w="28" w:type="dxa"/>
            </w:tcMar>
          </w:tcPr>
          <w:p w14:paraId="3FE88516"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Продукти за растителна защита и биоциди</w:t>
            </w:r>
          </w:p>
        </w:tc>
        <w:tc>
          <w:tcPr>
            <w:tcW w:w="992" w:type="dxa"/>
            <w:gridSpan w:val="2"/>
            <w:shd w:val="clear" w:color="auto" w:fill="auto"/>
            <w:tcMar>
              <w:left w:w="28" w:type="dxa"/>
              <w:right w:w="28" w:type="dxa"/>
            </w:tcMar>
          </w:tcPr>
          <w:p w14:paraId="56466C6A" w14:textId="77777777" w:rsidR="00501E78" w:rsidRPr="00921C9B" w:rsidRDefault="00501E78" w:rsidP="00501E78">
            <w:pPr>
              <w:widowControl/>
              <w:spacing w:before="40" w:after="40"/>
              <w:rPr>
                <w:rFonts w:eastAsia="Calibri"/>
                <w:noProof/>
                <w:sz w:val="22"/>
                <w:szCs w:val="22"/>
                <w:lang w:eastAsia="en-US"/>
              </w:rPr>
            </w:pPr>
          </w:p>
        </w:tc>
        <w:tc>
          <w:tcPr>
            <w:tcW w:w="1134" w:type="dxa"/>
          </w:tcPr>
          <w:p w14:paraId="66BA0D06" w14:textId="77777777" w:rsidR="00501E78" w:rsidRPr="00921C9B" w:rsidRDefault="00501E78" w:rsidP="00501E78">
            <w:pPr>
              <w:widowControl/>
              <w:spacing w:before="40" w:after="40"/>
              <w:rPr>
                <w:rFonts w:eastAsia="Calibri"/>
                <w:noProof/>
                <w:sz w:val="22"/>
                <w:szCs w:val="22"/>
                <w:lang w:eastAsia="en-US"/>
              </w:rPr>
            </w:pPr>
          </w:p>
        </w:tc>
        <w:tc>
          <w:tcPr>
            <w:tcW w:w="1279" w:type="dxa"/>
            <w:gridSpan w:val="2"/>
            <w:shd w:val="clear" w:color="auto" w:fill="auto"/>
            <w:tcMar>
              <w:left w:w="28" w:type="dxa"/>
              <w:right w:w="28" w:type="dxa"/>
            </w:tcMar>
          </w:tcPr>
          <w:p w14:paraId="0A929C50"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0,5 (</w:t>
            </w:r>
            <w:r w:rsidRPr="00921C9B">
              <w:rPr>
                <w:rFonts w:eastAsia="Calibri"/>
                <w:noProof/>
                <w:sz w:val="22"/>
                <w:szCs w:val="22"/>
                <w:vertAlign w:val="superscript"/>
                <w:lang w:eastAsia="en-US"/>
              </w:rPr>
              <w:t>30</w:t>
            </w:r>
            <w:r w:rsidRPr="00921C9B">
              <w:rPr>
                <w:rFonts w:eastAsia="Calibri"/>
                <w:noProof/>
                <w:sz w:val="22"/>
                <w:szCs w:val="22"/>
                <w:lang w:eastAsia="en-US"/>
              </w:rPr>
              <w:t>)</w:t>
            </w:r>
          </w:p>
        </w:tc>
        <w:tc>
          <w:tcPr>
            <w:tcW w:w="1279" w:type="dxa"/>
            <w:gridSpan w:val="2"/>
            <w:shd w:val="clear" w:color="auto" w:fill="auto"/>
            <w:tcMar>
              <w:left w:w="28" w:type="dxa"/>
              <w:right w:w="28" w:type="dxa"/>
            </w:tcMar>
          </w:tcPr>
          <w:p w14:paraId="35836994" w14:textId="77777777" w:rsidR="00501E78" w:rsidRPr="00921C9B" w:rsidRDefault="00501E78" w:rsidP="00501E78">
            <w:pPr>
              <w:widowControl/>
              <w:spacing w:before="40" w:after="40"/>
              <w:rPr>
                <w:rFonts w:eastAsia="Calibri"/>
                <w:noProof/>
                <w:sz w:val="22"/>
                <w:szCs w:val="22"/>
                <w:lang w:eastAsia="en-US"/>
              </w:rPr>
            </w:pPr>
            <w:r w:rsidRPr="00921C9B">
              <w:rPr>
                <w:rFonts w:eastAsia="Calibri"/>
                <w:noProof/>
                <w:sz w:val="22"/>
                <w:szCs w:val="22"/>
                <w:lang w:eastAsia="en-US"/>
              </w:rPr>
              <w:t>0,5 (</w:t>
            </w:r>
            <w:r w:rsidRPr="00921C9B">
              <w:rPr>
                <w:rFonts w:eastAsia="Calibri"/>
                <w:noProof/>
                <w:sz w:val="22"/>
                <w:szCs w:val="22"/>
                <w:vertAlign w:val="superscript"/>
                <w:lang w:eastAsia="en-US"/>
              </w:rPr>
              <w:t>30</w:t>
            </w:r>
            <w:r w:rsidRPr="00921C9B">
              <w:rPr>
                <w:rFonts w:eastAsia="Calibri"/>
                <w:noProof/>
                <w:sz w:val="22"/>
                <w:szCs w:val="22"/>
                <w:lang w:eastAsia="en-US"/>
              </w:rPr>
              <w:t>)</w:t>
            </w:r>
          </w:p>
        </w:tc>
        <w:tc>
          <w:tcPr>
            <w:tcW w:w="1278" w:type="dxa"/>
            <w:gridSpan w:val="2"/>
            <w:shd w:val="clear" w:color="auto" w:fill="auto"/>
            <w:tcMar>
              <w:left w:w="28" w:type="dxa"/>
              <w:right w:w="28" w:type="dxa"/>
            </w:tcMar>
          </w:tcPr>
          <w:p w14:paraId="0D76154E" w14:textId="77777777" w:rsidR="00501E78" w:rsidRPr="00921C9B" w:rsidRDefault="00501E78" w:rsidP="00501E78">
            <w:pPr>
              <w:widowControl/>
              <w:spacing w:before="40" w:after="40"/>
              <w:rPr>
                <w:rFonts w:eastAsia="Calibri"/>
                <w:noProof/>
                <w:sz w:val="22"/>
                <w:szCs w:val="22"/>
                <w:lang w:eastAsia="en-US"/>
              </w:rPr>
            </w:pPr>
          </w:p>
        </w:tc>
        <w:tc>
          <w:tcPr>
            <w:tcW w:w="1277" w:type="dxa"/>
            <w:gridSpan w:val="2"/>
            <w:shd w:val="clear" w:color="auto" w:fill="auto"/>
            <w:tcMar>
              <w:left w:w="28" w:type="dxa"/>
              <w:right w:w="28" w:type="dxa"/>
            </w:tcMar>
          </w:tcPr>
          <w:p w14:paraId="061C1034" w14:textId="77777777" w:rsidR="00501E78" w:rsidRPr="00921C9B" w:rsidRDefault="00501E78" w:rsidP="00501E78">
            <w:pPr>
              <w:widowControl/>
              <w:spacing w:before="40" w:after="40"/>
              <w:rPr>
                <w:rFonts w:eastAsia="Calibri"/>
                <w:noProof/>
                <w:sz w:val="22"/>
                <w:szCs w:val="22"/>
                <w:lang w:eastAsia="en-US"/>
              </w:rPr>
            </w:pPr>
          </w:p>
        </w:tc>
        <w:tc>
          <w:tcPr>
            <w:tcW w:w="1136" w:type="dxa"/>
            <w:gridSpan w:val="2"/>
            <w:shd w:val="clear" w:color="auto" w:fill="auto"/>
            <w:tcMar>
              <w:left w:w="28" w:type="dxa"/>
              <w:right w:w="28" w:type="dxa"/>
            </w:tcMar>
          </w:tcPr>
          <w:p w14:paraId="7DA65D93" w14:textId="77777777" w:rsidR="00501E78" w:rsidRPr="00921C9B" w:rsidRDefault="00501E78" w:rsidP="00501E78">
            <w:pPr>
              <w:widowControl/>
              <w:spacing w:before="40" w:after="40"/>
              <w:rPr>
                <w:rFonts w:eastAsia="Calibri"/>
                <w:noProof/>
                <w:sz w:val="22"/>
                <w:szCs w:val="22"/>
                <w:lang w:eastAsia="en-US"/>
              </w:rPr>
            </w:pPr>
          </w:p>
        </w:tc>
        <w:tc>
          <w:tcPr>
            <w:tcW w:w="1262" w:type="dxa"/>
            <w:tcMar>
              <w:left w:w="28" w:type="dxa"/>
              <w:right w:w="28" w:type="dxa"/>
            </w:tcMar>
          </w:tcPr>
          <w:p w14:paraId="7260C390" w14:textId="77777777" w:rsidR="00501E78" w:rsidRPr="00921C9B" w:rsidRDefault="00501E78" w:rsidP="00501E78">
            <w:pPr>
              <w:widowControl/>
              <w:spacing w:before="40" w:after="40"/>
              <w:rPr>
                <w:rFonts w:eastAsia="Calibri"/>
                <w:noProof/>
                <w:sz w:val="22"/>
                <w:szCs w:val="22"/>
                <w:lang w:eastAsia="en-US"/>
              </w:rPr>
            </w:pPr>
          </w:p>
        </w:tc>
        <w:tc>
          <w:tcPr>
            <w:tcW w:w="1153" w:type="dxa"/>
            <w:gridSpan w:val="2"/>
            <w:tcMar>
              <w:left w:w="28" w:type="dxa"/>
              <w:right w:w="28" w:type="dxa"/>
            </w:tcMar>
          </w:tcPr>
          <w:p w14:paraId="053B7290" w14:textId="77777777" w:rsidR="00501E78" w:rsidRPr="00921C9B" w:rsidRDefault="00501E78" w:rsidP="00501E78">
            <w:pPr>
              <w:widowControl/>
              <w:spacing w:before="40" w:after="40"/>
              <w:rPr>
                <w:rFonts w:eastAsia="Calibri"/>
                <w:noProof/>
                <w:sz w:val="22"/>
                <w:szCs w:val="22"/>
                <w:lang w:eastAsia="en-US"/>
              </w:rPr>
            </w:pPr>
          </w:p>
        </w:tc>
        <w:tc>
          <w:tcPr>
            <w:tcW w:w="970" w:type="dxa"/>
            <w:tcMar>
              <w:left w:w="28" w:type="dxa"/>
              <w:right w:w="28" w:type="dxa"/>
            </w:tcMar>
          </w:tcPr>
          <w:p w14:paraId="54A6AC8B" w14:textId="77777777" w:rsidR="00501E78" w:rsidRPr="00921C9B" w:rsidRDefault="00501E78" w:rsidP="00501E78">
            <w:pPr>
              <w:widowControl/>
              <w:spacing w:before="40" w:after="40"/>
              <w:rPr>
                <w:rFonts w:eastAsia="Calibri"/>
                <w:noProof/>
                <w:sz w:val="22"/>
                <w:szCs w:val="22"/>
                <w:lang w:eastAsia="en-US"/>
              </w:rPr>
            </w:pPr>
          </w:p>
        </w:tc>
      </w:tr>
      <w:tr w:rsidR="006D417D" w:rsidRPr="00921C9B" w14:paraId="179295DF" w14:textId="77777777" w:rsidTr="004C279A">
        <w:trPr>
          <w:gridBefore w:val="1"/>
          <w:wBefore w:w="12" w:type="dxa"/>
          <w:cantSplit/>
          <w:tblHeader/>
          <w:jc w:val="center"/>
        </w:trPr>
        <w:tc>
          <w:tcPr>
            <w:tcW w:w="651" w:type="dxa"/>
            <w:gridSpan w:val="3"/>
            <w:tcMar>
              <w:left w:w="28" w:type="dxa"/>
              <w:right w:w="28" w:type="dxa"/>
            </w:tcMar>
          </w:tcPr>
          <w:p w14:paraId="7422286C" w14:textId="4B49F07F" w:rsidR="006D417D" w:rsidRPr="00921C9B" w:rsidRDefault="006D417D" w:rsidP="006D417D">
            <w:pPr>
              <w:widowControl/>
              <w:spacing w:before="40" w:after="40"/>
              <w:jc w:val="both"/>
              <w:rPr>
                <w:rFonts w:eastAsia="Calibri"/>
                <w:b/>
                <w:noProof/>
                <w:sz w:val="22"/>
                <w:szCs w:val="22"/>
                <w:lang w:eastAsia="en-US"/>
              </w:rPr>
            </w:pPr>
            <w:r w:rsidRPr="00921C9B">
              <w:rPr>
                <w:rFonts w:eastAsia="Calibri"/>
                <w:b/>
                <w:i/>
                <w:noProof/>
                <w:sz w:val="22"/>
                <w:szCs w:val="22"/>
                <w:lang w:eastAsia="en-US"/>
              </w:rPr>
              <w:t>(70а)</w:t>
            </w:r>
            <w:r w:rsidR="000B1908" w:rsidRPr="00921C9B">
              <w:rPr>
                <w:rFonts w:eastAsia="Calibri"/>
                <w:b/>
                <w:noProof/>
                <w:sz w:val="22"/>
                <w:szCs w:val="22"/>
                <w:lang w:eastAsia="en-US"/>
              </w:rPr>
              <w:t xml:space="preserve"> [Изм. 152]</w:t>
            </w:r>
          </w:p>
        </w:tc>
        <w:tc>
          <w:tcPr>
            <w:tcW w:w="2286" w:type="dxa"/>
            <w:gridSpan w:val="3"/>
            <w:shd w:val="clear" w:color="auto" w:fill="auto"/>
            <w:tcMar>
              <w:left w:w="28" w:type="dxa"/>
              <w:right w:w="28" w:type="dxa"/>
            </w:tcMar>
          </w:tcPr>
          <w:p w14:paraId="5D759F15" w14:textId="7E8F3C26" w:rsidR="006D417D" w:rsidRPr="00921C9B" w:rsidRDefault="006D417D" w:rsidP="006D417D">
            <w:pPr>
              <w:widowControl/>
              <w:spacing w:before="40" w:after="40"/>
              <w:rPr>
                <w:rFonts w:eastAsia="Calibri"/>
                <w:b/>
                <w:i/>
                <w:noProof/>
                <w:sz w:val="22"/>
                <w:szCs w:val="22"/>
                <w:lang w:eastAsia="en-US"/>
              </w:rPr>
            </w:pPr>
            <w:r w:rsidRPr="00921C9B">
              <w:rPr>
                <w:rFonts w:eastAsia="Calibri"/>
                <w:b/>
                <w:i/>
                <w:noProof/>
                <w:sz w:val="22"/>
                <w:szCs w:val="22"/>
                <w:lang w:eastAsia="en-US"/>
              </w:rPr>
              <w:t>Бисфеноли</w:t>
            </w:r>
          </w:p>
        </w:tc>
        <w:tc>
          <w:tcPr>
            <w:tcW w:w="1329" w:type="dxa"/>
            <w:gridSpan w:val="3"/>
            <w:shd w:val="clear" w:color="auto" w:fill="auto"/>
            <w:tcMar>
              <w:left w:w="28" w:type="dxa"/>
              <w:right w:w="28" w:type="dxa"/>
            </w:tcMar>
          </w:tcPr>
          <w:p w14:paraId="0464DF8B" w14:textId="6BC4C121" w:rsidR="006D417D" w:rsidRPr="00921C9B" w:rsidRDefault="006D417D" w:rsidP="006D417D">
            <w:pPr>
              <w:widowControl/>
              <w:spacing w:before="40" w:after="40"/>
              <w:rPr>
                <w:rFonts w:eastAsia="Calibri"/>
                <w:b/>
                <w:i/>
                <w:noProof/>
                <w:sz w:val="22"/>
                <w:szCs w:val="22"/>
                <w:lang w:eastAsia="en-US"/>
              </w:rPr>
            </w:pPr>
            <w:r w:rsidRPr="00921C9B">
              <w:rPr>
                <w:rFonts w:eastAsia="Calibri"/>
                <w:b/>
                <w:i/>
                <w:noProof/>
                <w:sz w:val="22"/>
                <w:szCs w:val="22"/>
                <w:lang w:eastAsia="en-US"/>
              </w:rPr>
              <w:t>Промишлени химикали</w:t>
            </w:r>
          </w:p>
        </w:tc>
        <w:tc>
          <w:tcPr>
            <w:tcW w:w="992" w:type="dxa"/>
            <w:gridSpan w:val="2"/>
            <w:shd w:val="clear" w:color="auto" w:fill="auto"/>
            <w:tcMar>
              <w:left w:w="28" w:type="dxa"/>
              <w:right w:w="28" w:type="dxa"/>
            </w:tcMar>
          </w:tcPr>
          <w:p w14:paraId="2CE09517" w14:textId="252A083D" w:rsidR="006D417D" w:rsidRPr="00921C9B" w:rsidRDefault="006D417D" w:rsidP="006D417D">
            <w:pPr>
              <w:widowControl/>
              <w:spacing w:before="40" w:after="40"/>
              <w:rPr>
                <w:rFonts w:eastAsia="Calibri"/>
                <w:b/>
                <w:i/>
                <w:noProof/>
                <w:sz w:val="22"/>
                <w:szCs w:val="22"/>
                <w:lang w:eastAsia="en-US"/>
              </w:rPr>
            </w:pPr>
            <w:r w:rsidRPr="00921C9B">
              <w:rPr>
                <w:rFonts w:eastAsia="Calibri"/>
                <w:b/>
                <w:i/>
                <w:noProof/>
                <w:sz w:val="22"/>
                <w:szCs w:val="22"/>
                <w:lang w:eastAsia="en-US"/>
              </w:rPr>
              <w:t>не се прилага</w:t>
            </w:r>
          </w:p>
        </w:tc>
        <w:tc>
          <w:tcPr>
            <w:tcW w:w="1134" w:type="dxa"/>
          </w:tcPr>
          <w:p w14:paraId="3EC452AC" w14:textId="38322F5D" w:rsidR="006D417D" w:rsidRPr="00921C9B" w:rsidRDefault="006D417D" w:rsidP="006D417D">
            <w:pPr>
              <w:widowControl/>
              <w:spacing w:before="40" w:after="40"/>
              <w:rPr>
                <w:rFonts w:eastAsia="Calibri"/>
                <w:b/>
                <w:i/>
                <w:noProof/>
                <w:sz w:val="22"/>
                <w:szCs w:val="22"/>
                <w:lang w:eastAsia="en-US"/>
              </w:rPr>
            </w:pPr>
            <w:r w:rsidRPr="00921C9B">
              <w:rPr>
                <w:rFonts w:eastAsia="Calibri"/>
                <w:b/>
                <w:i/>
                <w:noProof/>
                <w:sz w:val="22"/>
                <w:szCs w:val="22"/>
                <w:lang w:eastAsia="en-US"/>
              </w:rPr>
              <w:t>не се прилага</w:t>
            </w:r>
          </w:p>
        </w:tc>
        <w:tc>
          <w:tcPr>
            <w:tcW w:w="1279" w:type="dxa"/>
            <w:gridSpan w:val="2"/>
            <w:shd w:val="clear" w:color="auto" w:fill="auto"/>
            <w:tcMar>
              <w:left w:w="28" w:type="dxa"/>
              <w:right w:w="28" w:type="dxa"/>
            </w:tcMar>
          </w:tcPr>
          <w:p w14:paraId="0CA4569F" w14:textId="26E0A939" w:rsidR="006D417D" w:rsidRPr="00921C9B" w:rsidRDefault="006D417D" w:rsidP="006D417D">
            <w:pPr>
              <w:widowControl/>
              <w:spacing w:before="40" w:after="40"/>
              <w:jc w:val="center"/>
              <w:rPr>
                <w:rFonts w:eastAsia="Calibri"/>
                <w:b/>
                <w:i/>
                <w:noProof/>
                <w:sz w:val="22"/>
                <w:szCs w:val="22"/>
                <w:lang w:eastAsia="en-US"/>
              </w:rPr>
            </w:pPr>
            <w:r w:rsidRPr="00921C9B">
              <w:rPr>
                <w:b/>
                <w:i/>
              </w:rPr>
              <w:t>*</w:t>
            </w:r>
          </w:p>
        </w:tc>
        <w:tc>
          <w:tcPr>
            <w:tcW w:w="1279" w:type="dxa"/>
            <w:gridSpan w:val="2"/>
            <w:shd w:val="clear" w:color="auto" w:fill="auto"/>
            <w:tcMar>
              <w:left w:w="28" w:type="dxa"/>
              <w:right w:w="28" w:type="dxa"/>
            </w:tcMar>
          </w:tcPr>
          <w:p w14:paraId="179BC5D7" w14:textId="13C8C3EE" w:rsidR="006D417D" w:rsidRPr="00921C9B" w:rsidRDefault="006D417D" w:rsidP="006D417D">
            <w:pPr>
              <w:widowControl/>
              <w:spacing w:before="40" w:after="40"/>
              <w:jc w:val="center"/>
              <w:rPr>
                <w:rFonts w:eastAsia="Calibri"/>
                <w:b/>
                <w:i/>
                <w:noProof/>
                <w:sz w:val="22"/>
                <w:szCs w:val="22"/>
                <w:lang w:eastAsia="en-US"/>
              </w:rPr>
            </w:pPr>
            <w:r w:rsidRPr="00921C9B">
              <w:rPr>
                <w:b/>
                <w:i/>
              </w:rPr>
              <w:t>*</w:t>
            </w:r>
          </w:p>
        </w:tc>
        <w:tc>
          <w:tcPr>
            <w:tcW w:w="1278" w:type="dxa"/>
            <w:gridSpan w:val="2"/>
            <w:shd w:val="clear" w:color="auto" w:fill="auto"/>
            <w:tcMar>
              <w:left w:w="28" w:type="dxa"/>
              <w:right w:w="28" w:type="dxa"/>
            </w:tcMar>
          </w:tcPr>
          <w:p w14:paraId="4E0185CC" w14:textId="18113B3C" w:rsidR="006D417D" w:rsidRPr="00921C9B" w:rsidRDefault="006D417D" w:rsidP="006D417D">
            <w:pPr>
              <w:widowControl/>
              <w:spacing w:before="40" w:after="40"/>
              <w:jc w:val="center"/>
              <w:rPr>
                <w:rFonts w:eastAsia="Calibri"/>
                <w:b/>
                <w:i/>
                <w:noProof/>
                <w:sz w:val="22"/>
                <w:szCs w:val="22"/>
                <w:lang w:eastAsia="en-US"/>
              </w:rPr>
            </w:pPr>
            <w:r w:rsidRPr="00921C9B">
              <w:rPr>
                <w:b/>
                <w:i/>
              </w:rPr>
              <w:t>*</w:t>
            </w:r>
          </w:p>
        </w:tc>
        <w:tc>
          <w:tcPr>
            <w:tcW w:w="1277" w:type="dxa"/>
            <w:gridSpan w:val="2"/>
            <w:shd w:val="clear" w:color="auto" w:fill="auto"/>
            <w:tcMar>
              <w:left w:w="28" w:type="dxa"/>
              <w:right w:w="28" w:type="dxa"/>
            </w:tcMar>
          </w:tcPr>
          <w:p w14:paraId="2B76C1E5" w14:textId="681A21FE" w:rsidR="006D417D" w:rsidRPr="00921C9B" w:rsidRDefault="006D417D" w:rsidP="006D417D">
            <w:pPr>
              <w:widowControl/>
              <w:spacing w:before="40" w:after="40"/>
              <w:jc w:val="center"/>
              <w:rPr>
                <w:rFonts w:eastAsia="Calibri"/>
                <w:b/>
                <w:i/>
                <w:noProof/>
                <w:sz w:val="22"/>
                <w:szCs w:val="22"/>
                <w:lang w:eastAsia="en-US"/>
              </w:rPr>
            </w:pPr>
            <w:r w:rsidRPr="00921C9B">
              <w:rPr>
                <w:b/>
                <w:i/>
              </w:rPr>
              <w:t>*</w:t>
            </w:r>
          </w:p>
        </w:tc>
        <w:tc>
          <w:tcPr>
            <w:tcW w:w="1136" w:type="dxa"/>
            <w:gridSpan w:val="2"/>
            <w:shd w:val="clear" w:color="auto" w:fill="auto"/>
            <w:tcMar>
              <w:left w:w="28" w:type="dxa"/>
              <w:right w:w="28" w:type="dxa"/>
            </w:tcMar>
          </w:tcPr>
          <w:p w14:paraId="05F93F6B" w14:textId="77777777" w:rsidR="006D417D" w:rsidRPr="00921C9B" w:rsidRDefault="006D417D" w:rsidP="006D417D">
            <w:pPr>
              <w:widowControl/>
              <w:spacing w:before="40" w:after="40"/>
              <w:rPr>
                <w:rFonts w:eastAsia="Calibri"/>
                <w:b/>
                <w:i/>
                <w:noProof/>
                <w:sz w:val="22"/>
                <w:szCs w:val="22"/>
                <w:lang w:eastAsia="en-US"/>
              </w:rPr>
            </w:pPr>
          </w:p>
        </w:tc>
        <w:tc>
          <w:tcPr>
            <w:tcW w:w="1262" w:type="dxa"/>
            <w:tcMar>
              <w:left w:w="28" w:type="dxa"/>
              <w:right w:w="28" w:type="dxa"/>
            </w:tcMar>
          </w:tcPr>
          <w:p w14:paraId="46029B73" w14:textId="77777777" w:rsidR="006D417D" w:rsidRPr="00921C9B" w:rsidRDefault="006D417D" w:rsidP="006D417D">
            <w:pPr>
              <w:widowControl/>
              <w:spacing w:before="40" w:after="40"/>
              <w:rPr>
                <w:rFonts w:eastAsia="Calibri"/>
                <w:b/>
                <w:i/>
                <w:noProof/>
                <w:sz w:val="22"/>
                <w:szCs w:val="22"/>
                <w:lang w:eastAsia="en-US"/>
              </w:rPr>
            </w:pPr>
          </w:p>
        </w:tc>
        <w:tc>
          <w:tcPr>
            <w:tcW w:w="1153" w:type="dxa"/>
            <w:gridSpan w:val="2"/>
            <w:tcMar>
              <w:left w:w="28" w:type="dxa"/>
              <w:right w:w="28" w:type="dxa"/>
            </w:tcMar>
          </w:tcPr>
          <w:p w14:paraId="6D1271BA" w14:textId="77777777" w:rsidR="006D417D" w:rsidRPr="00921C9B" w:rsidRDefault="006D417D" w:rsidP="006D417D">
            <w:pPr>
              <w:widowControl/>
              <w:spacing w:before="40" w:after="40"/>
              <w:rPr>
                <w:rFonts w:eastAsia="Calibri"/>
                <w:b/>
                <w:i/>
                <w:noProof/>
                <w:sz w:val="22"/>
                <w:szCs w:val="22"/>
                <w:lang w:eastAsia="en-US"/>
              </w:rPr>
            </w:pPr>
          </w:p>
        </w:tc>
        <w:tc>
          <w:tcPr>
            <w:tcW w:w="970" w:type="dxa"/>
            <w:tcMar>
              <w:left w:w="28" w:type="dxa"/>
              <w:right w:w="28" w:type="dxa"/>
            </w:tcMar>
          </w:tcPr>
          <w:p w14:paraId="77A1DC6F" w14:textId="77777777" w:rsidR="006D417D" w:rsidRPr="00921C9B" w:rsidRDefault="006D417D" w:rsidP="006D417D">
            <w:pPr>
              <w:widowControl/>
              <w:spacing w:before="40" w:after="40"/>
              <w:rPr>
                <w:rFonts w:eastAsia="Calibri"/>
                <w:b/>
                <w:i/>
                <w:noProof/>
                <w:sz w:val="22"/>
                <w:szCs w:val="22"/>
                <w:lang w:eastAsia="en-US"/>
              </w:rPr>
            </w:pPr>
          </w:p>
        </w:tc>
      </w:tr>
      <w:tr w:rsidR="006D417D" w:rsidRPr="00921C9B" w14:paraId="0D28722C" w14:textId="77777777" w:rsidTr="004C279A">
        <w:trPr>
          <w:gridBefore w:val="1"/>
          <w:wBefore w:w="12" w:type="dxa"/>
          <w:cantSplit/>
          <w:tblHeader/>
          <w:jc w:val="center"/>
        </w:trPr>
        <w:tc>
          <w:tcPr>
            <w:tcW w:w="651" w:type="dxa"/>
            <w:gridSpan w:val="3"/>
            <w:tcMar>
              <w:left w:w="28" w:type="dxa"/>
              <w:right w:w="28" w:type="dxa"/>
            </w:tcMar>
          </w:tcPr>
          <w:p w14:paraId="1191F8D9" w14:textId="25FF8EC8" w:rsidR="006D417D" w:rsidRPr="00921C9B" w:rsidRDefault="006D417D" w:rsidP="006D417D">
            <w:pPr>
              <w:widowControl/>
              <w:spacing w:before="40" w:after="40"/>
              <w:jc w:val="both"/>
              <w:rPr>
                <w:rFonts w:eastAsia="Calibri"/>
                <w:b/>
                <w:noProof/>
                <w:sz w:val="22"/>
                <w:szCs w:val="22"/>
                <w:lang w:eastAsia="en-US"/>
              </w:rPr>
            </w:pPr>
            <w:r w:rsidRPr="00921C9B">
              <w:rPr>
                <w:rFonts w:eastAsia="Calibri"/>
                <w:b/>
                <w:i/>
                <w:noProof/>
                <w:sz w:val="22"/>
                <w:szCs w:val="22"/>
                <w:lang w:eastAsia="en-US"/>
              </w:rPr>
              <w:t>(70б)</w:t>
            </w:r>
            <w:r w:rsidR="000B1908" w:rsidRPr="00921C9B">
              <w:rPr>
                <w:rFonts w:eastAsia="Calibri"/>
                <w:b/>
                <w:noProof/>
                <w:sz w:val="22"/>
                <w:szCs w:val="22"/>
                <w:lang w:eastAsia="en-US"/>
              </w:rPr>
              <w:t xml:space="preserve"> [Изм. 153]</w:t>
            </w:r>
          </w:p>
        </w:tc>
        <w:tc>
          <w:tcPr>
            <w:tcW w:w="2286" w:type="dxa"/>
            <w:gridSpan w:val="3"/>
            <w:shd w:val="clear" w:color="auto" w:fill="auto"/>
            <w:tcMar>
              <w:left w:w="28" w:type="dxa"/>
              <w:right w:w="28" w:type="dxa"/>
            </w:tcMar>
          </w:tcPr>
          <w:p w14:paraId="28046524" w14:textId="2ED42F43" w:rsidR="006D417D" w:rsidRPr="00921C9B" w:rsidRDefault="006D417D" w:rsidP="006D417D">
            <w:pPr>
              <w:widowControl/>
              <w:spacing w:before="40" w:after="40"/>
              <w:rPr>
                <w:rFonts w:eastAsia="Calibri"/>
                <w:b/>
                <w:i/>
                <w:noProof/>
                <w:sz w:val="22"/>
                <w:szCs w:val="22"/>
                <w:lang w:eastAsia="en-US"/>
              </w:rPr>
            </w:pPr>
            <w:r w:rsidRPr="00921C9B">
              <w:rPr>
                <w:rFonts w:eastAsia="Calibri"/>
                <w:b/>
                <w:i/>
                <w:noProof/>
                <w:sz w:val="22"/>
                <w:szCs w:val="22"/>
                <w:lang w:eastAsia="en-US"/>
              </w:rPr>
              <w:t>PFAS – общо</w:t>
            </w:r>
          </w:p>
        </w:tc>
        <w:tc>
          <w:tcPr>
            <w:tcW w:w="1329" w:type="dxa"/>
            <w:gridSpan w:val="3"/>
            <w:shd w:val="clear" w:color="auto" w:fill="auto"/>
            <w:tcMar>
              <w:left w:w="28" w:type="dxa"/>
              <w:right w:w="28" w:type="dxa"/>
            </w:tcMar>
          </w:tcPr>
          <w:p w14:paraId="4BA8D46B" w14:textId="35845DDB" w:rsidR="006D417D" w:rsidRPr="00921C9B" w:rsidRDefault="006D417D" w:rsidP="006D417D">
            <w:pPr>
              <w:widowControl/>
              <w:spacing w:before="40" w:after="40"/>
              <w:rPr>
                <w:rFonts w:eastAsia="Calibri"/>
                <w:b/>
                <w:i/>
                <w:noProof/>
                <w:sz w:val="22"/>
                <w:szCs w:val="22"/>
                <w:lang w:eastAsia="en-US"/>
              </w:rPr>
            </w:pPr>
            <w:r w:rsidRPr="00921C9B">
              <w:rPr>
                <w:rFonts w:eastAsia="Calibri"/>
                <w:b/>
                <w:i/>
                <w:noProof/>
                <w:sz w:val="22"/>
                <w:szCs w:val="22"/>
                <w:lang w:eastAsia="en-US"/>
              </w:rPr>
              <w:t>Промишлени химикали</w:t>
            </w:r>
          </w:p>
        </w:tc>
        <w:tc>
          <w:tcPr>
            <w:tcW w:w="992" w:type="dxa"/>
            <w:gridSpan w:val="2"/>
            <w:shd w:val="clear" w:color="auto" w:fill="auto"/>
            <w:tcMar>
              <w:left w:w="28" w:type="dxa"/>
              <w:right w:w="28" w:type="dxa"/>
            </w:tcMar>
          </w:tcPr>
          <w:p w14:paraId="26E9EB82" w14:textId="3FC469BE" w:rsidR="006D417D" w:rsidRPr="00921C9B" w:rsidRDefault="006D417D" w:rsidP="006D417D">
            <w:pPr>
              <w:widowControl/>
              <w:spacing w:before="40" w:after="40"/>
              <w:rPr>
                <w:rFonts w:eastAsia="Calibri"/>
                <w:b/>
                <w:i/>
                <w:noProof/>
                <w:sz w:val="22"/>
                <w:szCs w:val="22"/>
                <w:lang w:eastAsia="en-US"/>
              </w:rPr>
            </w:pPr>
            <w:r w:rsidRPr="00921C9B">
              <w:rPr>
                <w:rFonts w:eastAsia="Calibri"/>
                <w:b/>
                <w:i/>
                <w:noProof/>
                <w:sz w:val="22"/>
                <w:szCs w:val="22"/>
                <w:lang w:eastAsia="en-US"/>
              </w:rPr>
              <w:t>не се прилага</w:t>
            </w:r>
          </w:p>
        </w:tc>
        <w:tc>
          <w:tcPr>
            <w:tcW w:w="1134" w:type="dxa"/>
          </w:tcPr>
          <w:p w14:paraId="76FC9D82" w14:textId="0702A4EC" w:rsidR="006D417D" w:rsidRPr="00921C9B" w:rsidRDefault="006D417D" w:rsidP="006D417D">
            <w:pPr>
              <w:widowControl/>
              <w:spacing w:before="40" w:after="40"/>
              <w:rPr>
                <w:rFonts w:eastAsia="Calibri"/>
                <w:b/>
                <w:i/>
                <w:noProof/>
                <w:sz w:val="22"/>
                <w:szCs w:val="22"/>
                <w:lang w:eastAsia="en-US"/>
              </w:rPr>
            </w:pPr>
            <w:r w:rsidRPr="00921C9B">
              <w:rPr>
                <w:rFonts w:eastAsia="Calibri"/>
                <w:b/>
                <w:i/>
                <w:noProof/>
                <w:sz w:val="22"/>
                <w:szCs w:val="22"/>
                <w:lang w:eastAsia="en-US"/>
              </w:rPr>
              <w:t>не се прилага</w:t>
            </w:r>
          </w:p>
        </w:tc>
        <w:tc>
          <w:tcPr>
            <w:tcW w:w="1279" w:type="dxa"/>
            <w:gridSpan w:val="2"/>
            <w:shd w:val="clear" w:color="auto" w:fill="auto"/>
            <w:tcMar>
              <w:left w:w="28" w:type="dxa"/>
              <w:right w:w="28" w:type="dxa"/>
            </w:tcMar>
          </w:tcPr>
          <w:p w14:paraId="543388C6" w14:textId="12F31448" w:rsidR="006D417D" w:rsidRPr="00921C9B" w:rsidRDefault="006D417D" w:rsidP="006D417D">
            <w:pPr>
              <w:widowControl/>
              <w:spacing w:before="40" w:after="40"/>
              <w:jc w:val="center"/>
              <w:rPr>
                <w:b/>
                <w:i/>
              </w:rPr>
            </w:pPr>
            <w:r w:rsidRPr="00921C9B">
              <w:rPr>
                <w:b/>
                <w:i/>
              </w:rPr>
              <w:t>*</w:t>
            </w:r>
          </w:p>
        </w:tc>
        <w:tc>
          <w:tcPr>
            <w:tcW w:w="1279" w:type="dxa"/>
            <w:gridSpan w:val="2"/>
            <w:shd w:val="clear" w:color="auto" w:fill="auto"/>
            <w:tcMar>
              <w:left w:w="28" w:type="dxa"/>
              <w:right w:w="28" w:type="dxa"/>
            </w:tcMar>
          </w:tcPr>
          <w:p w14:paraId="5812FA35" w14:textId="125DBFB0" w:rsidR="006D417D" w:rsidRPr="00921C9B" w:rsidRDefault="006D417D" w:rsidP="006D417D">
            <w:pPr>
              <w:widowControl/>
              <w:spacing w:before="40" w:after="40"/>
              <w:jc w:val="center"/>
              <w:rPr>
                <w:b/>
                <w:i/>
              </w:rPr>
            </w:pPr>
            <w:r w:rsidRPr="00921C9B">
              <w:rPr>
                <w:b/>
                <w:i/>
              </w:rPr>
              <w:t>*</w:t>
            </w:r>
          </w:p>
        </w:tc>
        <w:tc>
          <w:tcPr>
            <w:tcW w:w="1278" w:type="dxa"/>
            <w:gridSpan w:val="2"/>
            <w:shd w:val="clear" w:color="auto" w:fill="auto"/>
            <w:tcMar>
              <w:left w:w="28" w:type="dxa"/>
              <w:right w:w="28" w:type="dxa"/>
            </w:tcMar>
          </w:tcPr>
          <w:p w14:paraId="6B159AC5" w14:textId="318F78E3" w:rsidR="006D417D" w:rsidRPr="00921C9B" w:rsidRDefault="006D417D" w:rsidP="006D417D">
            <w:pPr>
              <w:widowControl/>
              <w:spacing w:before="40" w:after="40"/>
              <w:jc w:val="center"/>
              <w:rPr>
                <w:b/>
                <w:i/>
              </w:rPr>
            </w:pPr>
            <w:r w:rsidRPr="00921C9B">
              <w:rPr>
                <w:b/>
                <w:i/>
              </w:rPr>
              <w:t>*</w:t>
            </w:r>
          </w:p>
        </w:tc>
        <w:tc>
          <w:tcPr>
            <w:tcW w:w="1277" w:type="dxa"/>
            <w:gridSpan w:val="2"/>
            <w:shd w:val="clear" w:color="auto" w:fill="auto"/>
            <w:tcMar>
              <w:left w:w="28" w:type="dxa"/>
              <w:right w:w="28" w:type="dxa"/>
            </w:tcMar>
          </w:tcPr>
          <w:p w14:paraId="36DF5767" w14:textId="681D6DE9" w:rsidR="006D417D" w:rsidRPr="00921C9B" w:rsidRDefault="006D417D" w:rsidP="006D417D">
            <w:pPr>
              <w:widowControl/>
              <w:spacing w:before="40" w:after="40"/>
              <w:jc w:val="center"/>
              <w:rPr>
                <w:b/>
                <w:i/>
              </w:rPr>
            </w:pPr>
            <w:r w:rsidRPr="00921C9B">
              <w:rPr>
                <w:b/>
                <w:i/>
              </w:rPr>
              <w:t>*</w:t>
            </w:r>
          </w:p>
        </w:tc>
        <w:tc>
          <w:tcPr>
            <w:tcW w:w="1136" w:type="dxa"/>
            <w:gridSpan w:val="2"/>
            <w:shd w:val="clear" w:color="auto" w:fill="auto"/>
            <w:tcMar>
              <w:left w:w="28" w:type="dxa"/>
              <w:right w:w="28" w:type="dxa"/>
            </w:tcMar>
          </w:tcPr>
          <w:p w14:paraId="3128CA2F" w14:textId="77777777" w:rsidR="006D417D" w:rsidRPr="00921C9B" w:rsidRDefault="006D417D" w:rsidP="006D417D">
            <w:pPr>
              <w:widowControl/>
              <w:spacing w:before="40" w:after="40"/>
              <w:rPr>
                <w:rFonts w:eastAsia="Calibri"/>
                <w:b/>
                <w:i/>
                <w:noProof/>
                <w:sz w:val="22"/>
                <w:szCs w:val="22"/>
                <w:lang w:eastAsia="en-US"/>
              </w:rPr>
            </w:pPr>
          </w:p>
        </w:tc>
        <w:tc>
          <w:tcPr>
            <w:tcW w:w="1262" w:type="dxa"/>
            <w:tcMar>
              <w:left w:w="28" w:type="dxa"/>
              <w:right w:w="28" w:type="dxa"/>
            </w:tcMar>
          </w:tcPr>
          <w:p w14:paraId="04E136A8" w14:textId="77777777" w:rsidR="006D417D" w:rsidRPr="00921C9B" w:rsidRDefault="006D417D" w:rsidP="006D417D">
            <w:pPr>
              <w:widowControl/>
              <w:spacing w:before="40" w:after="40"/>
              <w:rPr>
                <w:rFonts w:eastAsia="Calibri"/>
                <w:b/>
                <w:i/>
                <w:noProof/>
                <w:sz w:val="22"/>
                <w:szCs w:val="22"/>
                <w:lang w:eastAsia="en-US"/>
              </w:rPr>
            </w:pPr>
          </w:p>
        </w:tc>
        <w:tc>
          <w:tcPr>
            <w:tcW w:w="1153" w:type="dxa"/>
            <w:gridSpan w:val="2"/>
            <w:tcMar>
              <w:left w:w="28" w:type="dxa"/>
              <w:right w:w="28" w:type="dxa"/>
            </w:tcMar>
          </w:tcPr>
          <w:p w14:paraId="4EFA8CBE" w14:textId="77777777" w:rsidR="006D417D" w:rsidRPr="00921C9B" w:rsidRDefault="006D417D" w:rsidP="006D417D">
            <w:pPr>
              <w:widowControl/>
              <w:spacing w:before="40" w:after="40"/>
              <w:rPr>
                <w:rFonts w:eastAsia="Calibri"/>
                <w:b/>
                <w:i/>
                <w:noProof/>
                <w:sz w:val="22"/>
                <w:szCs w:val="22"/>
                <w:lang w:eastAsia="en-US"/>
              </w:rPr>
            </w:pPr>
          </w:p>
        </w:tc>
        <w:tc>
          <w:tcPr>
            <w:tcW w:w="970" w:type="dxa"/>
            <w:tcMar>
              <w:left w:w="28" w:type="dxa"/>
              <w:right w:w="28" w:type="dxa"/>
            </w:tcMar>
          </w:tcPr>
          <w:p w14:paraId="7CF63A53" w14:textId="77777777" w:rsidR="006D417D" w:rsidRPr="00921C9B" w:rsidRDefault="006D417D" w:rsidP="006D417D">
            <w:pPr>
              <w:widowControl/>
              <w:spacing w:before="40" w:after="40"/>
              <w:rPr>
                <w:rFonts w:eastAsia="Calibri"/>
                <w:b/>
                <w:i/>
                <w:noProof/>
                <w:sz w:val="22"/>
                <w:szCs w:val="22"/>
                <w:lang w:eastAsia="en-US"/>
              </w:rPr>
            </w:pPr>
          </w:p>
        </w:tc>
      </w:tr>
      <w:tr w:rsidR="00891938" w:rsidRPr="00921C9B" w14:paraId="77DDAB9F" w14:textId="77777777" w:rsidTr="004C279A">
        <w:trPr>
          <w:gridBefore w:val="1"/>
          <w:wBefore w:w="12" w:type="dxa"/>
          <w:cantSplit/>
          <w:tblHeader/>
          <w:jc w:val="center"/>
        </w:trPr>
        <w:tc>
          <w:tcPr>
            <w:tcW w:w="651" w:type="dxa"/>
            <w:gridSpan w:val="3"/>
            <w:tcMar>
              <w:left w:w="28" w:type="dxa"/>
              <w:right w:w="28" w:type="dxa"/>
            </w:tcMar>
          </w:tcPr>
          <w:p w14:paraId="5FCF3C4A" w14:textId="50F808A5" w:rsidR="00891938" w:rsidRPr="00921C9B" w:rsidRDefault="00891938" w:rsidP="006D417D">
            <w:pPr>
              <w:widowControl/>
              <w:spacing w:before="40" w:after="40"/>
              <w:jc w:val="both"/>
              <w:rPr>
                <w:rFonts w:eastAsia="Calibri"/>
                <w:b/>
                <w:noProof/>
                <w:sz w:val="22"/>
                <w:szCs w:val="22"/>
                <w:lang w:eastAsia="en-US"/>
              </w:rPr>
            </w:pPr>
            <w:r w:rsidRPr="00921C9B">
              <w:rPr>
                <w:rFonts w:eastAsia="Calibri"/>
                <w:b/>
                <w:i/>
                <w:noProof/>
                <w:sz w:val="22"/>
                <w:szCs w:val="22"/>
                <w:lang w:eastAsia="en-US"/>
              </w:rPr>
              <w:t>(70в)</w:t>
            </w:r>
            <w:r w:rsidR="000B1908" w:rsidRPr="00921C9B">
              <w:rPr>
                <w:rFonts w:eastAsia="Calibri"/>
                <w:b/>
                <w:noProof/>
                <w:sz w:val="22"/>
                <w:szCs w:val="22"/>
                <w:lang w:eastAsia="en-US"/>
              </w:rPr>
              <w:t xml:space="preserve"> [Изм. 154]</w:t>
            </w:r>
          </w:p>
        </w:tc>
        <w:tc>
          <w:tcPr>
            <w:tcW w:w="2286" w:type="dxa"/>
            <w:gridSpan w:val="3"/>
            <w:shd w:val="clear" w:color="auto" w:fill="auto"/>
            <w:tcMar>
              <w:left w:w="28" w:type="dxa"/>
              <w:right w:w="28" w:type="dxa"/>
            </w:tcMar>
          </w:tcPr>
          <w:p w14:paraId="2C48D41A" w14:textId="7AEFD421" w:rsidR="00891938" w:rsidRPr="00921C9B" w:rsidRDefault="00891938" w:rsidP="006D417D">
            <w:pPr>
              <w:widowControl/>
              <w:spacing w:before="40" w:after="40"/>
              <w:rPr>
                <w:rFonts w:eastAsia="Calibri"/>
                <w:b/>
                <w:i/>
                <w:noProof/>
                <w:sz w:val="22"/>
                <w:szCs w:val="22"/>
                <w:lang w:eastAsia="en-US"/>
              </w:rPr>
            </w:pPr>
            <w:r w:rsidRPr="00921C9B">
              <w:rPr>
                <w:rFonts w:eastAsia="Calibri"/>
                <w:b/>
                <w:i/>
                <w:noProof/>
                <w:sz w:val="22"/>
                <w:szCs w:val="22"/>
                <w:lang w:eastAsia="en-US"/>
              </w:rPr>
              <w:t>Фармацевтични активни вещества – общо</w:t>
            </w:r>
          </w:p>
        </w:tc>
        <w:tc>
          <w:tcPr>
            <w:tcW w:w="1329" w:type="dxa"/>
            <w:gridSpan w:val="3"/>
            <w:shd w:val="clear" w:color="auto" w:fill="auto"/>
            <w:tcMar>
              <w:left w:w="28" w:type="dxa"/>
              <w:right w:w="28" w:type="dxa"/>
            </w:tcMar>
          </w:tcPr>
          <w:p w14:paraId="00FDAE89" w14:textId="6EAA8A32" w:rsidR="00891938" w:rsidRPr="00921C9B" w:rsidRDefault="00891938" w:rsidP="006D417D">
            <w:pPr>
              <w:widowControl/>
              <w:spacing w:before="40" w:after="40"/>
              <w:rPr>
                <w:rFonts w:eastAsia="Calibri"/>
                <w:b/>
                <w:i/>
                <w:noProof/>
                <w:sz w:val="22"/>
                <w:szCs w:val="22"/>
                <w:lang w:eastAsia="en-US"/>
              </w:rPr>
            </w:pPr>
            <w:r w:rsidRPr="00921C9B">
              <w:rPr>
                <w:rFonts w:eastAsia="Calibri"/>
                <w:b/>
                <w:i/>
                <w:noProof/>
                <w:sz w:val="22"/>
                <w:szCs w:val="22"/>
                <w:lang w:eastAsia="en-US"/>
              </w:rPr>
              <w:t>Фармацевтични продукти</w:t>
            </w:r>
          </w:p>
        </w:tc>
        <w:tc>
          <w:tcPr>
            <w:tcW w:w="992" w:type="dxa"/>
            <w:gridSpan w:val="2"/>
            <w:shd w:val="clear" w:color="auto" w:fill="auto"/>
            <w:tcMar>
              <w:left w:w="28" w:type="dxa"/>
              <w:right w:w="28" w:type="dxa"/>
            </w:tcMar>
          </w:tcPr>
          <w:p w14:paraId="1F1D5D04" w14:textId="3F01E717" w:rsidR="00891938" w:rsidRPr="00921C9B" w:rsidRDefault="00891938" w:rsidP="006D417D">
            <w:pPr>
              <w:widowControl/>
              <w:spacing w:before="40" w:after="40"/>
              <w:rPr>
                <w:rFonts w:eastAsia="Calibri"/>
                <w:b/>
                <w:i/>
                <w:noProof/>
                <w:sz w:val="22"/>
                <w:szCs w:val="22"/>
                <w:lang w:eastAsia="en-US"/>
              </w:rPr>
            </w:pPr>
            <w:r w:rsidRPr="00921C9B">
              <w:rPr>
                <w:rFonts w:eastAsia="Calibri"/>
                <w:b/>
                <w:i/>
                <w:noProof/>
                <w:sz w:val="22"/>
                <w:szCs w:val="22"/>
                <w:lang w:eastAsia="en-US"/>
              </w:rPr>
              <w:t>не се прилага</w:t>
            </w:r>
          </w:p>
        </w:tc>
        <w:tc>
          <w:tcPr>
            <w:tcW w:w="1134" w:type="dxa"/>
          </w:tcPr>
          <w:p w14:paraId="4486327A" w14:textId="79731557" w:rsidR="00891938" w:rsidRPr="00921C9B" w:rsidRDefault="00891938" w:rsidP="006D417D">
            <w:pPr>
              <w:widowControl/>
              <w:spacing w:before="40" w:after="40"/>
              <w:rPr>
                <w:rFonts w:eastAsia="Calibri"/>
                <w:b/>
                <w:i/>
                <w:noProof/>
                <w:sz w:val="22"/>
                <w:szCs w:val="22"/>
                <w:lang w:eastAsia="en-US"/>
              </w:rPr>
            </w:pPr>
            <w:r w:rsidRPr="00921C9B">
              <w:rPr>
                <w:rFonts w:eastAsia="Calibri"/>
                <w:b/>
                <w:i/>
                <w:noProof/>
                <w:sz w:val="22"/>
                <w:szCs w:val="22"/>
                <w:lang w:eastAsia="en-US"/>
              </w:rPr>
              <w:t>не се прилага</w:t>
            </w:r>
          </w:p>
        </w:tc>
        <w:tc>
          <w:tcPr>
            <w:tcW w:w="1279" w:type="dxa"/>
            <w:gridSpan w:val="2"/>
            <w:shd w:val="clear" w:color="auto" w:fill="auto"/>
            <w:tcMar>
              <w:left w:w="28" w:type="dxa"/>
              <w:right w:w="28" w:type="dxa"/>
            </w:tcMar>
          </w:tcPr>
          <w:p w14:paraId="6B4B575C" w14:textId="4C078C4F" w:rsidR="00891938" w:rsidRPr="00921C9B" w:rsidRDefault="00891938" w:rsidP="006D417D">
            <w:pPr>
              <w:widowControl/>
              <w:spacing w:before="40" w:after="40"/>
              <w:jc w:val="center"/>
              <w:rPr>
                <w:b/>
                <w:i/>
              </w:rPr>
            </w:pPr>
            <w:r w:rsidRPr="00921C9B">
              <w:rPr>
                <w:b/>
                <w:i/>
              </w:rPr>
              <w:t>0,25</w:t>
            </w:r>
          </w:p>
        </w:tc>
        <w:tc>
          <w:tcPr>
            <w:tcW w:w="1279" w:type="dxa"/>
            <w:gridSpan w:val="2"/>
            <w:shd w:val="clear" w:color="auto" w:fill="auto"/>
            <w:tcMar>
              <w:left w:w="28" w:type="dxa"/>
              <w:right w:w="28" w:type="dxa"/>
            </w:tcMar>
          </w:tcPr>
          <w:p w14:paraId="44634F45" w14:textId="08FD4E0E" w:rsidR="00891938" w:rsidRPr="00921C9B" w:rsidRDefault="00891938" w:rsidP="006D417D">
            <w:pPr>
              <w:widowControl/>
              <w:spacing w:before="40" w:after="40"/>
              <w:jc w:val="center"/>
              <w:rPr>
                <w:b/>
                <w:i/>
              </w:rPr>
            </w:pPr>
            <w:r w:rsidRPr="00921C9B">
              <w:rPr>
                <w:b/>
                <w:i/>
              </w:rPr>
              <w:t>0,025</w:t>
            </w:r>
          </w:p>
        </w:tc>
        <w:tc>
          <w:tcPr>
            <w:tcW w:w="1278" w:type="dxa"/>
            <w:gridSpan w:val="2"/>
            <w:shd w:val="clear" w:color="auto" w:fill="auto"/>
            <w:tcMar>
              <w:left w:w="28" w:type="dxa"/>
              <w:right w:w="28" w:type="dxa"/>
            </w:tcMar>
          </w:tcPr>
          <w:p w14:paraId="30E4E4CE" w14:textId="77777777" w:rsidR="00891938" w:rsidRPr="00921C9B" w:rsidRDefault="00891938" w:rsidP="006D417D">
            <w:pPr>
              <w:widowControl/>
              <w:spacing w:before="40" w:after="40"/>
              <w:jc w:val="center"/>
              <w:rPr>
                <w:i/>
              </w:rPr>
            </w:pPr>
          </w:p>
        </w:tc>
        <w:tc>
          <w:tcPr>
            <w:tcW w:w="1277" w:type="dxa"/>
            <w:gridSpan w:val="2"/>
            <w:shd w:val="clear" w:color="auto" w:fill="auto"/>
            <w:tcMar>
              <w:left w:w="28" w:type="dxa"/>
              <w:right w:w="28" w:type="dxa"/>
            </w:tcMar>
          </w:tcPr>
          <w:p w14:paraId="582A8B66" w14:textId="77777777" w:rsidR="00891938" w:rsidRPr="00921C9B" w:rsidRDefault="00891938" w:rsidP="006D417D">
            <w:pPr>
              <w:widowControl/>
              <w:spacing w:before="40" w:after="40"/>
              <w:jc w:val="center"/>
              <w:rPr>
                <w:i/>
              </w:rPr>
            </w:pPr>
          </w:p>
        </w:tc>
        <w:tc>
          <w:tcPr>
            <w:tcW w:w="1136" w:type="dxa"/>
            <w:gridSpan w:val="2"/>
            <w:shd w:val="clear" w:color="auto" w:fill="auto"/>
            <w:tcMar>
              <w:left w:w="28" w:type="dxa"/>
              <w:right w:w="28" w:type="dxa"/>
            </w:tcMar>
          </w:tcPr>
          <w:p w14:paraId="7332BCB7" w14:textId="77777777" w:rsidR="00891938" w:rsidRPr="00921C9B" w:rsidRDefault="00891938" w:rsidP="006D417D">
            <w:pPr>
              <w:widowControl/>
              <w:spacing w:before="40" w:after="40"/>
              <w:rPr>
                <w:rFonts w:eastAsia="Calibri"/>
                <w:b/>
                <w:i/>
                <w:noProof/>
                <w:sz w:val="22"/>
                <w:szCs w:val="22"/>
                <w:lang w:eastAsia="en-US"/>
              </w:rPr>
            </w:pPr>
          </w:p>
        </w:tc>
        <w:tc>
          <w:tcPr>
            <w:tcW w:w="1262" w:type="dxa"/>
            <w:tcMar>
              <w:left w:w="28" w:type="dxa"/>
              <w:right w:w="28" w:type="dxa"/>
            </w:tcMar>
          </w:tcPr>
          <w:p w14:paraId="7C7EB190" w14:textId="77777777" w:rsidR="00891938" w:rsidRPr="00921C9B" w:rsidRDefault="00891938" w:rsidP="006D417D">
            <w:pPr>
              <w:widowControl/>
              <w:spacing w:before="40" w:after="40"/>
              <w:rPr>
                <w:rFonts w:eastAsia="Calibri"/>
                <w:b/>
                <w:i/>
                <w:noProof/>
                <w:sz w:val="22"/>
                <w:szCs w:val="22"/>
                <w:lang w:eastAsia="en-US"/>
              </w:rPr>
            </w:pPr>
          </w:p>
        </w:tc>
        <w:tc>
          <w:tcPr>
            <w:tcW w:w="1153" w:type="dxa"/>
            <w:gridSpan w:val="2"/>
            <w:tcMar>
              <w:left w:w="28" w:type="dxa"/>
              <w:right w:w="28" w:type="dxa"/>
            </w:tcMar>
          </w:tcPr>
          <w:p w14:paraId="236ECF89" w14:textId="77777777" w:rsidR="00891938" w:rsidRPr="00921C9B" w:rsidRDefault="00891938" w:rsidP="006D417D">
            <w:pPr>
              <w:widowControl/>
              <w:spacing w:before="40" w:after="40"/>
              <w:rPr>
                <w:rFonts w:eastAsia="Calibri"/>
                <w:b/>
                <w:i/>
                <w:noProof/>
                <w:sz w:val="22"/>
                <w:szCs w:val="22"/>
                <w:lang w:eastAsia="en-US"/>
              </w:rPr>
            </w:pPr>
          </w:p>
        </w:tc>
        <w:tc>
          <w:tcPr>
            <w:tcW w:w="970" w:type="dxa"/>
            <w:tcMar>
              <w:left w:w="28" w:type="dxa"/>
              <w:right w:w="28" w:type="dxa"/>
            </w:tcMar>
          </w:tcPr>
          <w:p w14:paraId="6D1C75BC" w14:textId="77777777" w:rsidR="00891938" w:rsidRPr="00921C9B" w:rsidRDefault="00891938" w:rsidP="006D417D">
            <w:pPr>
              <w:widowControl/>
              <w:spacing w:before="40" w:after="40"/>
              <w:rPr>
                <w:rFonts w:eastAsia="Calibri"/>
                <w:b/>
                <w:i/>
                <w:noProof/>
                <w:sz w:val="22"/>
                <w:szCs w:val="22"/>
                <w:lang w:eastAsia="en-US"/>
              </w:rPr>
            </w:pPr>
          </w:p>
        </w:tc>
      </w:tr>
    </w:tbl>
    <w:p w14:paraId="0914AADA" w14:textId="77777777" w:rsidR="00501E78" w:rsidRPr="00921C9B" w:rsidRDefault="00501E78" w:rsidP="000D29CC">
      <w:pPr>
        <w:spacing w:before="120" w:after="120" w:line="360" w:lineRule="auto"/>
        <w:ind w:left="1416" w:hanging="566"/>
        <w:rPr>
          <w:szCs w:val="24"/>
          <w:lang w:eastAsia="en-US"/>
        </w:rPr>
      </w:pPr>
    </w:p>
    <w:p w14:paraId="74D82B55" w14:textId="240340CF" w:rsidR="006D417D" w:rsidRPr="00921C9B" w:rsidRDefault="006D417D" w:rsidP="000D29CC">
      <w:pPr>
        <w:spacing w:before="120" w:after="120" w:line="360" w:lineRule="auto"/>
        <w:ind w:left="1416" w:hanging="566"/>
        <w:rPr>
          <w:szCs w:val="24"/>
          <w:lang w:eastAsia="en-US"/>
        </w:rPr>
      </w:pPr>
      <w:r w:rsidRPr="00921C9B">
        <w:rPr>
          <w:sz w:val="22"/>
          <w:vertAlign w:val="superscript"/>
        </w:rPr>
        <w:t>*</w:t>
      </w:r>
      <w:r w:rsidRPr="00921C9B">
        <w:rPr>
          <w:b/>
          <w:i/>
        </w:rPr>
        <w:t>Стандартите за качество се определят от Комисията чрез делегиран акт.</w:t>
      </w:r>
    </w:p>
    <w:p w14:paraId="32A2EC57" w14:textId="77777777" w:rsidR="000B1908" w:rsidRPr="00921C9B" w:rsidRDefault="000B1908" w:rsidP="000D29CC">
      <w:pPr>
        <w:spacing w:before="120" w:after="120" w:line="360" w:lineRule="auto"/>
        <w:ind w:left="1416" w:hanging="566"/>
        <w:rPr>
          <w:szCs w:val="24"/>
          <w:lang w:eastAsia="en-US"/>
        </w:rPr>
        <w:sectPr w:rsidR="000B1908" w:rsidRPr="00921C9B" w:rsidSect="00501E78">
          <w:footnotePr>
            <w:numRestart w:val="eachSect"/>
          </w:footnotePr>
          <w:pgSz w:w="16834" w:h="11909" w:orient="landscape"/>
          <w:pgMar w:top="1417" w:right="1134" w:bottom="1417" w:left="1417" w:header="1134" w:footer="567" w:gutter="0"/>
          <w:cols w:space="720"/>
          <w:docGrid w:linePitch="326"/>
        </w:sectPr>
      </w:pPr>
    </w:p>
    <w:p w14:paraId="6110B5E9" w14:textId="567070C4"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(1)</w:t>
      </w:r>
      <w:r w:rsidRPr="00921C9B">
        <w:rPr>
          <w:szCs w:val="24"/>
          <w:lang w:eastAsia="en-US"/>
        </w:rPr>
        <w:tab/>
        <w:t>CAS: Служба за химични индекси.</w:t>
      </w:r>
    </w:p>
    <w:p w14:paraId="591F9405"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w:t>
      </w:r>
      <w:r w:rsidRPr="00921C9B">
        <w:rPr>
          <w:szCs w:val="24"/>
          <w:lang w:eastAsia="en-US"/>
        </w:rPr>
        <w:tab/>
        <w:t>Номер по ЕС: Списък на Европейската инвентаризация на наличните търговски химически вещества (EINECS) или списък на оповестените химически вещества (ELINCS).</w:t>
      </w:r>
    </w:p>
    <w:p w14:paraId="2B7E5EA2"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(3)</w:t>
      </w:r>
      <w:r w:rsidRPr="00921C9B">
        <w:rPr>
          <w:szCs w:val="24"/>
          <w:lang w:eastAsia="en-US"/>
        </w:rPr>
        <w:tab/>
        <w:t>Този показател е изразеният като средна годишна стойност СКОС (СГС—СКОС). Ако не е посочено друго, той се прилага за общата концентрация на всички вещества и изомери.</w:t>
      </w:r>
    </w:p>
    <w:p w14:paraId="2A012606"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(4)</w:t>
      </w:r>
      <w:r w:rsidRPr="00921C9B">
        <w:rPr>
          <w:szCs w:val="24"/>
          <w:lang w:eastAsia="en-US"/>
        </w:rPr>
        <w:tab/>
        <w:t>Вътрешните повърхностни води обхващат реки, езера и подобни изкуствени или силно модифицирани водни тела.</w:t>
      </w:r>
    </w:p>
    <w:p w14:paraId="091C7E5D"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(5)</w:t>
      </w:r>
      <w:r w:rsidRPr="00921C9B">
        <w:rPr>
          <w:szCs w:val="24"/>
          <w:lang w:eastAsia="en-US"/>
        </w:rPr>
        <w:tab/>
        <w:t>Този показател е СКОС, изразен като максимално допустима концентрация (МДК–СКОС). Когато за МДК–СКОС е обозначено „не се прилага“, стойностите за СГС–СКОС се считат за защитни срещу краткосрочни големи замърсявания при непрекъснати зауствания, тъй като те са значително по-ниски от стойностите, получени на база остра токсичност.</w:t>
      </w:r>
    </w:p>
    <w:p w14:paraId="6819D8B3" w14:textId="77777777" w:rsidR="000B1908" w:rsidRPr="00921C9B" w:rsidRDefault="000B1908">
      <w:pPr>
        <w:widowControl/>
        <w:rPr>
          <w:szCs w:val="24"/>
          <w:lang w:eastAsia="en-US"/>
        </w:rPr>
      </w:pPr>
      <w:r w:rsidRPr="00921C9B">
        <w:rPr>
          <w:szCs w:val="24"/>
          <w:lang w:eastAsia="en-US"/>
        </w:rPr>
        <w:br w:type="page"/>
      </w:r>
    </w:p>
    <w:p w14:paraId="25286285" w14:textId="2F5196FB"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(6)</w:t>
      </w:r>
      <w:r w:rsidRPr="00921C9B">
        <w:rPr>
          <w:szCs w:val="24"/>
          <w:lang w:eastAsia="en-US"/>
        </w:rPr>
        <w:tab/>
        <w:t>Ако е даден СКОС за биота, се прилага той, а не СКОС за вода, без да се засяга разпоредбата на член 3, параграф 3 от настоящата директива, която позволява вместо това да се наблюдава алтернативен таксон от биота или друга матрица, стига приложеният СКОС да осигурява еквивалентно ниво на защита. Освен ако не е посочено друго, СКОС за биота се отнасят за рибата. За вещества с номера 15 (флуорантен), 28 (PAH) и 51 (бисфенол А) СКОС за биота се отнася за ракообразни и мекотели. За целите на оценката на химичното състояние не е целесъобразно да се извършва мониторинг на флуорантен и PAH, както и на бисфенол А в рибите. За вещество с номер 37 (диоксини и диоксиноподобни съединения) СКОС за биота се отнася за риби, ракообразни и мекотели в съответствие с раздел 5.3 от приложението към Регламент (ЕС) № 1259/2011 на Комисията*.</w:t>
      </w:r>
    </w:p>
    <w:p w14:paraId="19584CA7"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(7)</w:t>
      </w:r>
      <w:r w:rsidRPr="00921C9B">
        <w:rPr>
          <w:szCs w:val="24"/>
          <w:lang w:eastAsia="en-US"/>
        </w:rPr>
        <w:tab/>
        <w:t>За групата приоритетни вещества, обхванати от „бромирани дифенилетери“ (№ 5), СКОС се отнася за сбора от концентрациите на еднородни вещества, обозначени с номера 28, 47, 99, 100, 153 и 154.</w:t>
      </w:r>
    </w:p>
    <w:p w14:paraId="00D0AE47" w14:textId="77777777" w:rsidR="00605ED0" w:rsidRPr="00921C9B" w:rsidRDefault="00605ED0">
      <w:pPr>
        <w:widowControl/>
        <w:rPr>
          <w:szCs w:val="24"/>
          <w:lang w:eastAsia="en-US"/>
        </w:rPr>
      </w:pPr>
      <w:r w:rsidRPr="00921C9B">
        <w:rPr>
          <w:szCs w:val="24"/>
          <w:lang w:eastAsia="en-US"/>
        </w:rPr>
        <w:br w:type="page"/>
      </w:r>
    </w:p>
    <w:p w14:paraId="6B816F51" w14:textId="0A552DF4"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(8)</w:t>
      </w:r>
      <w:r w:rsidRPr="00921C9B">
        <w:rPr>
          <w:szCs w:val="24"/>
          <w:lang w:eastAsia="en-US"/>
        </w:rPr>
        <w:tab/>
        <w:t>Тетра-, пента-, хекса-, хепта-, окта- и декабромодифенилетер (съответно номера по CAS 40088-47-9, 32534-81-9, 36483-60-0, 68928-80-3, 32536-52-0, 1163-19-5).</w:t>
      </w:r>
    </w:p>
    <w:p w14:paraId="5F986FA8"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(9)</w:t>
      </w:r>
      <w:r w:rsidRPr="00921C9B">
        <w:rPr>
          <w:szCs w:val="24"/>
          <w:lang w:eastAsia="en-US"/>
        </w:rPr>
        <w:tab/>
        <w:t>За кадмий и неговите съединения (№ 6) стойностите на СКОС варират в зависимост от твърдостта на водата, определена в пет класа (клас 1: &lt; 40 mg CaCO3/l, клас 2: от 40 до &lt; 50 mg CaCO3/l, клас 3: от 50 до &lt; 100 mg CaCO3/l, клас 4: от 100 до &lt; 200 mg CaCO3/l, и клас 5: ≥ 200 mg CaCO3/l).</w:t>
      </w:r>
    </w:p>
    <w:p w14:paraId="76007C56"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(10)</w:t>
      </w:r>
      <w:r w:rsidRPr="00921C9B">
        <w:rPr>
          <w:szCs w:val="24"/>
          <w:lang w:eastAsia="en-US"/>
        </w:rPr>
        <w:tab/>
        <w:t>За тази група вещества не е предвиден индикативен показател. Индикативните показатели трябва да се определят чрез аналитичния метод.</w:t>
      </w:r>
    </w:p>
    <w:p w14:paraId="0BAED632"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(11)</w:t>
      </w:r>
      <w:r w:rsidRPr="00921C9B">
        <w:rPr>
          <w:szCs w:val="24"/>
          <w:lang w:eastAsia="en-US"/>
        </w:rPr>
        <w:tab/>
        <w:t>ДДТ общо включва сбора от изомерите 1,1,1,1 трихлоро 2,2 бис (р-хлорофенил) етан (CAS 50 29 3, ЕС 200 024 3); 1,1,1 трихлоро 2 (о-хлорофенил) 2 (р-хлорофенил) етан (CAS 789 02 6, ЕС 212 332 5); 1,1-дихлоро 2,2 бис (p-хлорофенил) етилен (CAS 72 55 9, ЕС 200 784 6); и 1,1 дихлоро 2,2 бис (p-хлорофенил) етан (CAS 72 54 8, ЕС 200 783 0).</w:t>
      </w:r>
    </w:p>
    <w:p w14:paraId="4D5C05D1"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(12)</w:t>
      </w:r>
      <w:r w:rsidRPr="00921C9B">
        <w:rPr>
          <w:szCs w:val="24"/>
          <w:lang w:eastAsia="en-US"/>
        </w:rPr>
        <w:tab/>
        <w:t>Тези СКОС се отнасят до бионалични концентрации на веществата.</w:t>
      </w:r>
    </w:p>
    <w:p w14:paraId="71FDC864" w14:textId="77777777" w:rsidR="00605ED0" w:rsidRPr="00921C9B" w:rsidRDefault="00605ED0">
      <w:pPr>
        <w:widowControl/>
        <w:rPr>
          <w:szCs w:val="24"/>
          <w:lang w:eastAsia="en-US"/>
        </w:rPr>
      </w:pPr>
      <w:r w:rsidRPr="00921C9B">
        <w:rPr>
          <w:szCs w:val="24"/>
          <w:lang w:eastAsia="en-US"/>
        </w:rPr>
        <w:br w:type="page"/>
      </w:r>
    </w:p>
    <w:p w14:paraId="5E5811F8" w14:textId="60BA9BF4"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(13)</w:t>
      </w:r>
      <w:r w:rsidRPr="00921C9B">
        <w:rPr>
          <w:szCs w:val="24"/>
          <w:lang w:eastAsia="en-US"/>
        </w:rPr>
        <w:tab/>
        <w:t>СКОС за биота се отнася за метилживака.</w:t>
      </w:r>
    </w:p>
    <w:p w14:paraId="73B63846"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(14)</w:t>
      </w:r>
      <w:r w:rsidRPr="00921C9B">
        <w:rPr>
          <w:szCs w:val="24"/>
          <w:lang w:eastAsia="en-US"/>
        </w:rPr>
        <w:tab/>
        <w:t>Нонилфенол (CAS 25154-52-3, ЕС 246-672-0), включващ изомери 4-нонилфенол (CAS 104-40-5, ЕС 203-199-4) и 4-нонилфенол (разклонен) (CAS 84852-15-3, ЕС 284-325-5).</w:t>
      </w:r>
    </w:p>
    <w:p w14:paraId="3099C5D3"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(15)</w:t>
      </w:r>
      <w:r w:rsidRPr="00921C9B">
        <w:rPr>
          <w:szCs w:val="24"/>
          <w:lang w:eastAsia="en-US"/>
        </w:rPr>
        <w:tab/>
        <w:t>Октилфенол (CAS 1806-26-4, ЕС 217-302-5), включващ изомер 4-(1,1’,3,3’-тетраметилбутил)-фенол (CAS 140-66-9, ЕС 205-426-2).</w:t>
      </w:r>
    </w:p>
    <w:p w14:paraId="1646F4D0"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(16)</w:t>
      </w:r>
      <w:r w:rsidRPr="00921C9B">
        <w:rPr>
          <w:szCs w:val="24"/>
          <w:lang w:eastAsia="en-US"/>
        </w:rPr>
        <w:tab/>
        <w:t>Бензо(а)пирен (CAS 50-32-8) (RPF 1), бензо(b)флуорантен (CAS 205-99-2) (RPF 0,1), бензо(k)флуорантен (CAS 207-08-9) (RPF 0,1), бензо(g,h,i)перилен (CAS 191-24-2) (RPF 0), индено(1,2,3-cd)пирен (CAS 193-39-5) (RPF 0,1), хризен (CAS 218-01-9) (RPF 0,01), бензо(a)антрацен (CAS 56-55-3) (RPF 0,1) и дибенз(a,h)антрацен (CAS 53-70-3) (RPF 1). Многопръстенните ароматни въглеводороди (PAH) антрацен, флуорантен и нафтален са изброени отделно.</w:t>
      </w:r>
    </w:p>
    <w:p w14:paraId="2C341A0E" w14:textId="77777777" w:rsidR="00605ED0" w:rsidRPr="00921C9B" w:rsidRDefault="00605ED0">
      <w:pPr>
        <w:widowControl/>
        <w:rPr>
          <w:szCs w:val="24"/>
          <w:lang w:eastAsia="en-US"/>
        </w:rPr>
      </w:pPr>
      <w:r w:rsidRPr="00921C9B">
        <w:rPr>
          <w:szCs w:val="24"/>
          <w:lang w:eastAsia="en-US"/>
        </w:rPr>
        <w:br w:type="page"/>
      </w:r>
    </w:p>
    <w:p w14:paraId="3B2A9C24" w14:textId="2FFD8716"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(17)</w:t>
      </w:r>
      <w:r w:rsidRPr="00921C9B">
        <w:rPr>
          <w:szCs w:val="24"/>
          <w:lang w:eastAsia="en-US"/>
        </w:rPr>
        <w:tab/>
        <w:t>За групата на многопръстенните въглеводороди (PAH) (№ 28) СКОС за биота се отнася до сбора от концентрациите на седем от осемте PAH, изброени в бележка под линия 17, изразени като еквиваленти на бензо(а)пирен въз основа на канцерогенния потенциал на веществата спрямо този на бензо(а)пирен, т.е. RPF в бележка под линия 16. Не е необходимо да се измерва съдържанието на бензо(g,h,i)перилен в биотата за целите на определяне на съответствието с общия СКОС за биота.</w:t>
      </w:r>
    </w:p>
    <w:p w14:paraId="6CB4DCFA"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(18)</w:t>
      </w:r>
      <w:r w:rsidRPr="00921C9B">
        <w:rPr>
          <w:szCs w:val="24"/>
          <w:lang w:eastAsia="en-US"/>
        </w:rPr>
        <w:tab/>
        <w:t>Трибутилкалаени съединения, включително трибутилкалаен катион (CAS 36643-28-4).</w:t>
      </w:r>
    </w:p>
    <w:p w14:paraId="718E6318"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(19)</w:t>
      </w:r>
      <w:r w:rsidRPr="00921C9B">
        <w:rPr>
          <w:szCs w:val="24"/>
          <w:lang w:eastAsia="en-US"/>
        </w:rPr>
        <w:tab/>
        <w:t>СКОС за седимент.</w:t>
      </w:r>
    </w:p>
    <w:p w14:paraId="7E7C8EB8"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(20)</w:t>
      </w:r>
      <w:r w:rsidRPr="00921C9B">
        <w:rPr>
          <w:szCs w:val="24"/>
          <w:lang w:eastAsia="en-US"/>
        </w:rPr>
        <w:tab/>
        <w:t>Наличната информация е недостатъчна за определяне на МДК–СКОС за тези вещества.</w:t>
      </w:r>
    </w:p>
    <w:p w14:paraId="0B7C248E"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(21)</w:t>
      </w:r>
      <w:r w:rsidRPr="00921C9B">
        <w:rPr>
          <w:szCs w:val="24"/>
          <w:lang w:eastAsia="en-US"/>
        </w:rPr>
        <w:tab/>
        <w:t>Това се отнася за следните съединения:</w:t>
      </w:r>
    </w:p>
    <w:p w14:paraId="34930ADE" w14:textId="77777777" w:rsidR="000D29CC" w:rsidRPr="00921C9B" w:rsidRDefault="000D29CC" w:rsidP="000D29CC">
      <w:pPr>
        <w:spacing w:before="120" w:after="120" w:line="360" w:lineRule="auto"/>
        <w:ind w:left="1416"/>
        <w:rPr>
          <w:szCs w:val="24"/>
          <w:lang w:eastAsia="en-US"/>
        </w:rPr>
      </w:pPr>
      <w:r w:rsidRPr="00921C9B">
        <w:rPr>
          <w:szCs w:val="24"/>
          <w:lang w:eastAsia="en-US"/>
        </w:rPr>
        <w:tab/>
        <w:t>7 полихлорирани дибензо-p-диоксини (PCDD): 2,3,7,8-T4CDD (CAS 1746-01-6, ЕС 217-122-7), 1,2,3,7,8-P5CDD (CAS 40321-76-4), 1,2,3,4,7,8-H6CDD (CAS 39227-28-6), 1,2,3,6,7,8-H6CDD (CAS 57653-85-7), 1,2,3,7,8,9-H6CDD (CAS 19408-74-3), 1,2,3,4,6,7,8-H7CDD (CAS 35822-46-9), 1,2,3,4,6,7,8,9-O8CDD (CAS 3268-87-9).</w:t>
      </w:r>
    </w:p>
    <w:p w14:paraId="3729665A" w14:textId="77777777" w:rsidR="00605ED0" w:rsidRPr="00921C9B" w:rsidRDefault="00605ED0">
      <w:pPr>
        <w:widowControl/>
        <w:rPr>
          <w:szCs w:val="24"/>
          <w:lang w:eastAsia="en-US"/>
        </w:rPr>
      </w:pPr>
      <w:r w:rsidRPr="00921C9B">
        <w:rPr>
          <w:szCs w:val="24"/>
          <w:lang w:eastAsia="en-US"/>
        </w:rPr>
        <w:br w:type="page"/>
      </w:r>
    </w:p>
    <w:p w14:paraId="0814B1BB" w14:textId="65D8545D" w:rsidR="000D29CC" w:rsidRPr="00921C9B" w:rsidRDefault="000D29CC" w:rsidP="000D29CC">
      <w:pPr>
        <w:spacing w:before="120" w:after="120" w:line="360" w:lineRule="auto"/>
        <w:ind w:left="1416"/>
        <w:rPr>
          <w:szCs w:val="24"/>
          <w:lang w:eastAsia="en-US"/>
        </w:rPr>
      </w:pPr>
      <w:r w:rsidRPr="00921C9B">
        <w:rPr>
          <w:szCs w:val="24"/>
          <w:lang w:eastAsia="en-US"/>
        </w:rPr>
        <w:lastRenderedPageBreak/>
        <w:tab/>
        <w:t>10 полихлорирани дибензофурани (PCDF): 2,3,7,8-T4CDF (CAS 51207-31-9), 1,2,3,7,8-P5CDF (CAS 57117-41-6), 2,3,4,7,8-P5CDF (CAS 57117-31-4), 1,2,3,4,7,8-H6CDF (CAS 70648-26-9), 1,2,3,6,7,8-H6CDF (CAS 57117-44-9), 1,2,3,7,8,9-H6CDF (CAS 72918-21-9), 2,3,4,6,7,8-H6CDF (CAS 60851-34-5), 1,2,3,4,6,7,8-H7CDF (CAS 67562-39-4), 1,2,3,4,7,8,9-H7CDF (CAS 55673-89-7), 1,2,3,4,6,7,8,9-O8CDF (CAS 39001-02-0).</w:t>
      </w:r>
    </w:p>
    <w:p w14:paraId="1CF30690" w14:textId="77777777" w:rsidR="000D29CC" w:rsidRPr="00921C9B" w:rsidRDefault="000D29CC" w:rsidP="000D29CC">
      <w:pPr>
        <w:spacing w:before="120" w:after="120" w:line="360" w:lineRule="auto"/>
        <w:ind w:left="1416"/>
        <w:rPr>
          <w:szCs w:val="24"/>
          <w:lang w:eastAsia="en-US"/>
        </w:rPr>
      </w:pPr>
      <w:r w:rsidRPr="00921C9B">
        <w:rPr>
          <w:szCs w:val="24"/>
          <w:lang w:eastAsia="en-US"/>
        </w:rPr>
        <w:tab/>
        <w:t>12 диоксиноподобни полихлорирани бифенили (PCB-DL): 3,3’,4,4’-T4CB (PCB 77, CAS 32598-13-3), 3,3’,4’,5-T4CB (PCB 81, CAS 70362-50-4), 2,3,3',4,4'-P5CB (PCB 105, CAS 32598-14-4), 2,3,4,4',5-P5CB (PCB 114, CAS 74472-37-0), 2,3',4,4',5-P5CB (PCB 118, CAS 31508-00-6), 2,3',4,4',5'-P5CB (PCB 123, CAS 65510-44-3), 3,3’,4,4’,5-P5CB (PCB 126, CAS 57465-28-8), 2,3,3',4,4',5-H6CB (PCB 156, CAS 38380-08-4), 2,3,3',4,4',5'-H6CB (PCB 157, CAS 69782-90-7), 2,3',4,4',5,5'-H6CB (PCB 167, CAS 52663-72-6), 3,3’,4,4’,5,5’-H6CB (PCB 169, CAS 32774-16-6), 2,3,3',4,4',5,5'-H7CB (PCB 189, CAS 39635-31-9).</w:t>
      </w:r>
    </w:p>
    <w:p w14:paraId="54B61F6B" w14:textId="77777777" w:rsidR="00605ED0" w:rsidRPr="00921C9B" w:rsidRDefault="00605ED0">
      <w:pPr>
        <w:widowControl/>
        <w:rPr>
          <w:szCs w:val="24"/>
          <w:lang w:eastAsia="en-US"/>
        </w:rPr>
      </w:pPr>
      <w:r w:rsidRPr="00921C9B">
        <w:rPr>
          <w:szCs w:val="24"/>
          <w:lang w:eastAsia="en-US"/>
        </w:rPr>
        <w:br w:type="page"/>
      </w:r>
    </w:p>
    <w:p w14:paraId="324F7B8F" w14:textId="4A485A1E"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(22)</w:t>
      </w:r>
      <w:r w:rsidRPr="00921C9B">
        <w:rPr>
          <w:szCs w:val="24"/>
          <w:lang w:eastAsia="en-US"/>
        </w:rPr>
        <w:tab/>
        <w:t>За групата на диоксините и диоксиноподобните съединения (№ 37) СКОС за биота се отнася до сбора от концентрациите на веществата, изброени в бележка под линия 20, изразени като токсични еквиваленти въз основа на токсичните коефициенти за еквивалентност на Световната здравна организация от 2005 г.</w:t>
      </w:r>
    </w:p>
    <w:p w14:paraId="2E43EE19"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(23)</w:t>
      </w:r>
      <w:r w:rsidRPr="00921C9B">
        <w:rPr>
          <w:szCs w:val="24"/>
          <w:lang w:eastAsia="en-US"/>
        </w:rPr>
        <w:tab/>
        <w:t>CAS 52315-07-8 се отнася до смес от изомери на циперметрин, алфа-циперметрин (CAS 67375-30-8, ЕС 257-842-9), бета-циперметрин (CAS 65731-84-2, ЕС 265-898-0), тета-циперметрин (CAS 71691-59-1) и зета-циперметрин (CAS 52315-07-8, ЕС 257-842-9).</w:t>
      </w:r>
    </w:p>
    <w:p w14:paraId="7F12040E"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(24)</w:t>
      </w:r>
      <w:r w:rsidRPr="00921C9B">
        <w:rPr>
          <w:szCs w:val="24"/>
          <w:lang w:eastAsia="en-US"/>
        </w:rPr>
        <w:tab/>
        <w:t>Това се отнася за 1,3,5,7,9,11-хексабромоциклододекан (CAS 25637-99-4, ЕС 247-148-4), 1,2,5,6,9,10-хексабромоциклододекан (CAS 3194-55-6, ЕС 221-695-9), α-хексабромоциклододекан (CAS 134237-50-6), β-хексабромоциклододекан (CAS 134237-51-7) и γ-хексабромоциклододекан (CAS 134237-52-8).</w:t>
      </w:r>
    </w:p>
    <w:p w14:paraId="71327828" w14:textId="77777777" w:rsidR="000D29CC" w:rsidRPr="00921C9B" w:rsidRDefault="000D29CC" w:rsidP="000D29CC">
      <w:pPr>
        <w:spacing w:before="120" w:after="120" w:line="360" w:lineRule="auto"/>
        <w:ind w:left="1416" w:hanging="566"/>
        <w:rPr>
          <w:szCs w:val="24"/>
          <w:lang w:eastAsia="en-US"/>
        </w:rPr>
      </w:pPr>
      <w:r w:rsidRPr="00921C9B">
        <w:rPr>
          <w:strike/>
          <w:szCs w:val="24"/>
          <w:lang w:eastAsia="en-US"/>
        </w:rPr>
        <w:t>(25)</w:t>
      </w:r>
      <w:r w:rsidRPr="00921C9B">
        <w:rPr>
          <w:szCs w:val="24"/>
          <w:lang w:eastAsia="en-US"/>
        </w:rPr>
        <w:tab/>
      </w:r>
      <w:r w:rsidRPr="00921C9B">
        <w:rPr>
          <w:strike/>
          <w:szCs w:val="24"/>
          <w:lang w:eastAsia="en-US"/>
        </w:rPr>
        <w:t>За сладка вода, използвана за добив и приготвяне на питейна вода.</w:t>
      </w:r>
    </w:p>
    <w:p w14:paraId="3838861A" w14:textId="77777777" w:rsidR="000D29CC" w:rsidRPr="00921C9B" w:rsidRDefault="000D29CC" w:rsidP="000D29CC">
      <w:pPr>
        <w:spacing w:before="120" w:after="120" w:line="360" w:lineRule="auto"/>
        <w:ind w:left="1416" w:hanging="566"/>
        <w:rPr>
          <w:szCs w:val="24"/>
          <w:lang w:eastAsia="en-US"/>
        </w:rPr>
      </w:pPr>
      <w:r w:rsidRPr="00921C9B">
        <w:rPr>
          <w:strike/>
          <w:szCs w:val="24"/>
          <w:lang w:eastAsia="en-US"/>
        </w:rPr>
        <w:t>(26)</w:t>
      </w:r>
      <w:r w:rsidRPr="00921C9B">
        <w:rPr>
          <w:szCs w:val="24"/>
          <w:lang w:eastAsia="en-US"/>
        </w:rPr>
        <w:tab/>
      </w:r>
      <w:r w:rsidRPr="00921C9B">
        <w:rPr>
          <w:strike/>
          <w:szCs w:val="24"/>
          <w:lang w:eastAsia="en-US"/>
        </w:rPr>
        <w:t>За сладка вода, която не се използва за добив и приготвяне на питейна вода.</w:t>
      </w:r>
    </w:p>
    <w:p w14:paraId="569DAE17" w14:textId="77777777" w:rsidR="00605ED0" w:rsidRPr="00921C9B" w:rsidRDefault="00605ED0">
      <w:pPr>
        <w:widowControl/>
        <w:rPr>
          <w:szCs w:val="24"/>
          <w:lang w:eastAsia="en-US"/>
        </w:rPr>
      </w:pPr>
      <w:r w:rsidRPr="00921C9B">
        <w:rPr>
          <w:szCs w:val="24"/>
          <w:lang w:eastAsia="en-US"/>
        </w:rPr>
        <w:br w:type="page"/>
      </w:r>
    </w:p>
    <w:p w14:paraId="6B7D58C0" w14:textId="69E022A3"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(27)</w:t>
      </w:r>
      <w:r w:rsidRPr="00921C9B">
        <w:rPr>
          <w:szCs w:val="24"/>
          <w:lang w:eastAsia="en-US"/>
        </w:rPr>
        <w:tab/>
        <w:t>Това се отнася за следните съединения, изброени с техния номер по CAS, номер по ЕС и коефициент на относителна потенция (RPF):</w:t>
      </w:r>
    </w:p>
    <w:p w14:paraId="1ACD4FD8" w14:textId="517CD43B" w:rsidR="00605ED0" w:rsidRPr="00921C9B" w:rsidRDefault="000D29CC" w:rsidP="00605ED0">
      <w:pPr>
        <w:spacing w:before="120" w:after="120" w:line="360" w:lineRule="auto"/>
        <w:ind w:left="1416"/>
        <w:rPr>
          <w:szCs w:val="24"/>
          <w:lang w:eastAsia="en-US"/>
        </w:rPr>
      </w:pPr>
      <w:r w:rsidRPr="00921C9B">
        <w:rPr>
          <w:szCs w:val="24"/>
          <w:lang w:eastAsia="en-US"/>
        </w:rPr>
        <w:tab/>
        <w:t>Перфлуорооктанова киселина (PFOA) (CAS 335-67-1, ЕС 206-397-9) (RPF 1), перфлуорооктан сулфонова киселина (PFOS) (CAS 1763-23-1, ЕС 217-179-8) (RPF 2), перфлуорохексан сулфонова киселина (PFHxS) (CAS 355-46-4, ЕС 206-587-1) (RPF 0,6), перфлуорононанова киселина (PFNA) (CAS 375-95-1, ЕС 206-801-3) (RPF 10), перфлуоробутан сулфонова киселина (PFBS) (CAS 375-73-5, ЕС 206-793-1) (RPF 0,001), перфлуорохексанова киселина (PFHxA) (CAS 307-24-4, ЕС 206-196-6) (RPF 0,01), перфлуоробутанова киселина (PFBA) (CAS 375-22-4, ЕС 206-786-3) (RPF 0,05), перфлуоропентанова киселина (PFPeA) (CAS 2706-90-3, ЕС 220-300-7) (RPF 0,03), перфлуоропентанова сулфонова киселина (PFPeS) (CAS 2706-91-4, ЕС 220-301-2) (RPF 0,3005), перфлуородеканова киселина (PFDA) (CAS 335-76-2, ЕС 206-400-3) (RPF 7), перфлуорододеканова киселина (PFDoDA или PFDoA) (CAS 307-55-1, ЕС 206-203-2) (RPF 3), перфлуороундеканова киселина (PFUnDA или PFUnA) (CAS 2058-94-8, ЕС 218-165-4) (RPF 4), перфлуорохептанова киселина (PFHpA) (CAS 375-85-9, ЕС 206-798-9) (RPF 0,505), перфлуоротридеканова киселина (PFTrDA) (CAS 72629-94-8, ЕС 276-745-2) (RPF 1,65), перфлуорохептан сулфонова киселина (PFHpS) (CAS 375-92-8, ЕС 206-800-8) (RPF 1,3), перфлуородеканова сулфонова киселина (PFDS) (CAS 335-77-3, ЕС 206-401-9) (RPF 2), перфлуоротетрадеканова киселина (PFTeDA) (CAS 376-06-7, ЕС 206-803-4) (RPF 0,3), перфлуорохексадеканова киселина (PFHxDA) (CAS 67905-19-5, ЕС 267-638-1) (RPF 0,02), перфлуорооктадеканова киселина (PFODA) (CAS 16517-11-6, ЕС 240-582-5) (RPF 0,02) и амониев перфлуоро(2-метил-3-оксахексаноат) (HFPO-DA или Gen X) (CAS 62037-80-3) (RPF 0,06), пропанова киселина/амониев 2,2,3-трифлуоро-3-(1,1,2,2,3,3-хексафлуоро-3-(трифлуорометокси)пропокси)пропаноат (ADONA) (CAS 958445-44-8) (RPF 0,03), 2-(перфлуорохексил)етилов алкохол (6: 2 FTOH) (CAS 647-42-7, ЕС 211-477-1) (RPF 0,02), 2-(перфлуорооктил)етанол (8:2 FTOH) (CAS 678-39-7, ЕС 211-648-0) (RPF 0,04) и оцетна киселина/2,2-дифлуоро-2-((2,2,4,5-тетрафлуоро-5-(трифлуорометокси)-1,3-диоксолан-4-ил)окси)- (C6O4) (CAS 1190931-41-9) (RPF 0,06).</w:t>
      </w:r>
      <w:r w:rsidR="00605ED0" w:rsidRPr="00921C9B">
        <w:rPr>
          <w:szCs w:val="24"/>
          <w:lang w:eastAsia="en-US"/>
        </w:rPr>
        <w:br w:type="page"/>
      </w:r>
    </w:p>
    <w:p w14:paraId="4417EA26" w14:textId="7A2C9140"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(28)</w:t>
      </w:r>
      <w:r w:rsidRPr="00921C9B">
        <w:rPr>
          <w:szCs w:val="24"/>
          <w:lang w:eastAsia="en-US"/>
        </w:rPr>
        <w:tab/>
        <w:t>За групата PFAS (№ 65) СКОС се отнася до сбора от 24-те PFAS, изброени в бележка под линия 27, изразена като еквиваленти на PFOA въз основа на потенцията на веществата спрямо тази на PFOA, т.е. RPF в бележка под линия 27.</w:t>
      </w:r>
    </w:p>
    <w:p w14:paraId="647E8E77"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(29)</w:t>
      </w:r>
      <w:r w:rsidRPr="00921C9B">
        <w:rPr>
          <w:szCs w:val="24"/>
          <w:lang w:eastAsia="en-US"/>
        </w:rPr>
        <w:tab/>
        <w:t>„Пестициди“ означава продукти за растителна защита, както е посочено в член 2 от Регламент (ЕО) № 1107/2009, и биоциди, както е определено в член 3 от Регламент (ЕС) № 528/2012.</w:t>
      </w:r>
    </w:p>
    <w:p w14:paraId="662C6330"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(30)</w:t>
      </w:r>
      <w:r w:rsidRPr="00921C9B">
        <w:rPr>
          <w:szCs w:val="24"/>
          <w:lang w:eastAsia="en-US"/>
        </w:rPr>
        <w:tab/>
        <w:t>„Общо“ означава сбора на всички отделни пестициди, открити и количествено определени при процедурата за мониторинг, включително съответните им метаболити, продукти на разграждане и взаимодействие.;“</w:t>
      </w:r>
    </w:p>
    <w:p w14:paraId="78DC3A93" w14:textId="77777777" w:rsidR="00605ED0" w:rsidRPr="00921C9B" w:rsidRDefault="00605ED0">
      <w:pPr>
        <w:widowControl/>
        <w:rPr>
          <w:szCs w:val="24"/>
          <w:lang w:eastAsia="en-US"/>
        </w:rPr>
      </w:pPr>
      <w:r w:rsidRPr="00921C9B">
        <w:rPr>
          <w:szCs w:val="24"/>
          <w:lang w:eastAsia="en-US"/>
        </w:rPr>
        <w:br w:type="page"/>
      </w:r>
    </w:p>
    <w:p w14:paraId="4FE62139" w14:textId="3CE6AF34" w:rsidR="000D29CC" w:rsidRPr="00921C9B" w:rsidRDefault="000D29CC" w:rsidP="000D29CC">
      <w:pPr>
        <w:spacing w:before="120" w:after="120" w:line="360" w:lineRule="auto"/>
        <w:ind w:left="850" w:hanging="850"/>
        <w:rPr>
          <w:szCs w:val="24"/>
          <w:lang w:eastAsia="en-US"/>
        </w:rPr>
      </w:pPr>
      <w:r w:rsidRPr="00921C9B">
        <w:rPr>
          <w:szCs w:val="24"/>
          <w:lang w:eastAsia="en-US"/>
        </w:rPr>
        <w:lastRenderedPageBreak/>
        <w:t>(3)</w:t>
      </w:r>
      <w:r w:rsidRPr="00921C9B">
        <w:rPr>
          <w:szCs w:val="24"/>
          <w:lang w:eastAsia="en-US"/>
        </w:rPr>
        <w:tab/>
        <w:t>част Б се изменя, както следва:</w:t>
      </w:r>
    </w:p>
    <w:p w14:paraId="4A955A0E"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а)</w:t>
      </w:r>
      <w:r w:rsidRPr="00921C9B">
        <w:rPr>
          <w:szCs w:val="24"/>
          <w:lang w:eastAsia="en-US"/>
        </w:rPr>
        <w:tab/>
        <w:t>в точка 1 първият параграф се заменя със следното:</w:t>
      </w:r>
    </w:p>
    <w:p w14:paraId="5EAC9676" w14:textId="77777777" w:rsidR="000D29CC" w:rsidRPr="00921C9B" w:rsidRDefault="000D29CC" w:rsidP="000D29CC">
      <w:pPr>
        <w:spacing w:before="120" w:after="120" w:line="360" w:lineRule="auto"/>
        <w:ind w:left="1416"/>
        <w:rPr>
          <w:szCs w:val="24"/>
          <w:lang w:eastAsia="en-US"/>
        </w:rPr>
      </w:pPr>
      <w:r w:rsidRPr="00921C9B">
        <w:rPr>
          <w:szCs w:val="24"/>
          <w:lang w:eastAsia="en-US"/>
        </w:rPr>
        <w:t>„за всяко дадено повърхностно водно тяло прилагане на СГС—СКОС означава, че за всеки представителен пункт за мониторинг в рамките на водното тяло средноаритметичната стойност на концентрациите, измерени през различни периоди на годината, не превишава стойността, установена в стандарта.;“</w:t>
      </w:r>
    </w:p>
    <w:p w14:paraId="1E1522BB"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б)</w:t>
      </w:r>
      <w:r w:rsidRPr="00921C9B">
        <w:rPr>
          <w:szCs w:val="24"/>
          <w:lang w:eastAsia="en-US"/>
        </w:rPr>
        <w:tab/>
        <w:t>в точка 2 първият параграф се заменя със следното:</w:t>
      </w:r>
    </w:p>
    <w:p w14:paraId="2BE22F0F" w14:textId="77777777" w:rsidR="000D29CC" w:rsidRPr="00921C9B" w:rsidRDefault="000D29CC" w:rsidP="000D29CC">
      <w:pPr>
        <w:spacing w:before="120" w:after="120" w:line="360" w:lineRule="auto"/>
        <w:ind w:left="1416"/>
        <w:rPr>
          <w:szCs w:val="24"/>
          <w:lang w:eastAsia="en-US"/>
        </w:rPr>
      </w:pPr>
      <w:r w:rsidRPr="00921C9B">
        <w:rPr>
          <w:szCs w:val="24"/>
          <w:lang w:eastAsia="en-US"/>
        </w:rPr>
        <w:t>„За всяко дадено повърхностно водно тяло прилагане на МДК—СКОС означава, че концентрациите, измерени във всеки представителен пункт за мониторинг на водното тяло, не превишават стойността, установена в стандарта..“</w:t>
      </w:r>
    </w:p>
    <w:p w14:paraId="1F342519" w14:textId="77777777" w:rsidR="000D29CC" w:rsidRPr="00921C9B" w:rsidRDefault="000D29CC" w:rsidP="000D29CC">
      <w:pPr>
        <w:spacing w:before="120" w:after="120" w:line="360" w:lineRule="auto"/>
        <w:rPr>
          <w:szCs w:val="24"/>
          <w:lang w:eastAsia="en-US"/>
        </w:rPr>
        <w:sectPr w:rsidR="000D29CC" w:rsidRPr="00921C9B" w:rsidSect="000B1908">
          <w:footnotePr>
            <w:numRestart w:val="eachSect"/>
          </w:footnotePr>
          <w:pgSz w:w="11909" w:h="16834"/>
          <w:pgMar w:top="1417" w:right="1417" w:bottom="1134" w:left="1417" w:header="1134" w:footer="567" w:gutter="0"/>
          <w:cols w:space="720"/>
          <w:docGrid w:linePitch="326"/>
        </w:sectPr>
      </w:pPr>
    </w:p>
    <w:p w14:paraId="7D4C3F78" w14:textId="77777777" w:rsidR="000D29CC" w:rsidRPr="00921C9B" w:rsidRDefault="000D29CC" w:rsidP="000D29CC">
      <w:pPr>
        <w:spacing w:before="120" w:after="120" w:line="360" w:lineRule="auto"/>
        <w:jc w:val="center"/>
        <w:rPr>
          <w:lang w:eastAsia="en-US"/>
        </w:rPr>
      </w:pPr>
      <w:r w:rsidRPr="00921C9B">
        <w:rPr>
          <w:lang w:eastAsia="en-US"/>
        </w:rPr>
        <w:lastRenderedPageBreak/>
        <w:t>ПРИЛОЖЕНИЕ VI</w:t>
      </w:r>
    </w:p>
    <w:p w14:paraId="39AD79B0" w14:textId="77777777" w:rsidR="000D29CC" w:rsidRPr="00921C9B" w:rsidRDefault="000D29CC" w:rsidP="000D29CC">
      <w:pPr>
        <w:spacing w:before="120" w:after="120" w:line="360" w:lineRule="auto"/>
        <w:ind w:left="850"/>
        <w:rPr>
          <w:szCs w:val="24"/>
          <w:lang w:eastAsia="en-US"/>
        </w:rPr>
      </w:pPr>
      <w:r w:rsidRPr="00921C9B">
        <w:rPr>
          <w:szCs w:val="24"/>
          <w:lang w:eastAsia="en-US"/>
        </w:rPr>
        <w:t>„ПРИЛОЖЕНИЕ II</w:t>
      </w:r>
    </w:p>
    <w:p w14:paraId="4F223692" w14:textId="77777777" w:rsidR="000D29CC" w:rsidRPr="00921C9B" w:rsidRDefault="000D29CC" w:rsidP="000D29CC">
      <w:pPr>
        <w:spacing w:before="120" w:after="120" w:line="360" w:lineRule="auto"/>
        <w:ind w:left="850"/>
        <w:rPr>
          <w:szCs w:val="24"/>
          <w:lang w:eastAsia="en-US"/>
        </w:rPr>
      </w:pPr>
      <w:r w:rsidRPr="00921C9B">
        <w:rPr>
          <w:szCs w:val="24"/>
          <w:lang w:eastAsia="en-US"/>
        </w:rPr>
        <w:t>СТАНДАРТИ ЗА КАЧЕСТВО НА ОКОЛНАТА СРЕДА ЗА СПЕЦИФИЧНИ ЗАМЪРСИТЕЛИ НА РЕЧНИТЕ БАСЕЙНИ</w:t>
      </w:r>
    </w:p>
    <w:p w14:paraId="6E944C83" w14:textId="77777777" w:rsidR="000D29CC" w:rsidRPr="00921C9B" w:rsidRDefault="000D29CC" w:rsidP="000D29CC">
      <w:pPr>
        <w:spacing w:before="120" w:after="120" w:line="360" w:lineRule="auto"/>
        <w:ind w:left="850"/>
        <w:rPr>
          <w:szCs w:val="24"/>
          <w:lang w:eastAsia="en-US"/>
        </w:rPr>
      </w:pPr>
      <w:r w:rsidRPr="00921C9B">
        <w:rPr>
          <w:szCs w:val="24"/>
          <w:lang w:eastAsia="en-US"/>
        </w:rPr>
        <w:t xml:space="preserve">Част А:  СПИСЪК НА КАТЕГОРИИТЕ СПЕЦИФИЧНИ ЗАМЪРСИТЕЛИ НА РЕЧНИТЕ БАСЕЙНИ </w:t>
      </w:r>
    </w:p>
    <w:p w14:paraId="4A4836C0"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w:t>
      </w:r>
      <w:r w:rsidRPr="00921C9B">
        <w:rPr>
          <w:szCs w:val="24"/>
          <w:lang w:eastAsia="en-US"/>
        </w:rPr>
        <w:tab/>
        <w:t>Органохалогенни съставки и вещества, които могат да формират такива съставки</w:t>
      </w:r>
    </w:p>
    <w:p w14:paraId="4F6932A6" w14:textId="77777777" w:rsidR="000D29CC" w:rsidRPr="00921C9B" w:rsidRDefault="000D29CC" w:rsidP="000D29CC">
      <w:pPr>
        <w:spacing w:before="120" w:after="120" w:line="360" w:lineRule="auto"/>
        <w:ind w:left="1416"/>
        <w:rPr>
          <w:szCs w:val="24"/>
          <w:lang w:eastAsia="en-US"/>
        </w:rPr>
      </w:pPr>
      <w:r w:rsidRPr="00921C9B">
        <w:rPr>
          <w:szCs w:val="24"/>
          <w:lang w:eastAsia="en-US"/>
        </w:rPr>
        <w:t>във водната среда.</w:t>
      </w:r>
    </w:p>
    <w:p w14:paraId="11C8EE69"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w:t>
      </w:r>
      <w:r w:rsidRPr="00921C9B">
        <w:rPr>
          <w:szCs w:val="24"/>
          <w:lang w:eastAsia="en-US"/>
        </w:rPr>
        <w:tab/>
        <w:t>Органофосфорни съединения.</w:t>
      </w:r>
    </w:p>
    <w:p w14:paraId="646EFF65"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3.</w:t>
      </w:r>
      <w:r w:rsidRPr="00921C9B">
        <w:rPr>
          <w:szCs w:val="24"/>
          <w:lang w:eastAsia="en-US"/>
        </w:rPr>
        <w:tab/>
        <w:t>Органокалаени съединения.</w:t>
      </w:r>
    </w:p>
    <w:p w14:paraId="1148A9F3"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4.</w:t>
      </w:r>
      <w:r w:rsidRPr="00921C9B">
        <w:rPr>
          <w:szCs w:val="24"/>
          <w:lang w:eastAsia="en-US"/>
        </w:rPr>
        <w:tab/>
        <w:t>Вещества и препарати или продукти от тяхното разграждане с</w:t>
      </w:r>
    </w:p>
    <w:p w14:paraId="2BAC841A" w14:textId="77777777" w:rsidR="000D29CC" w:rsidRPr="00921C9B" w:rsidRDefault="000D29CC" w:rsidP="000D29CC">
      <w:pPr>
        <w:spacing w:before="120" w:after="120" w:line="360" w:lineRule="auto"/>
        <w:ind w:left="1416"/>
        <w:rPr>
          <w:szCs w:val="24"/>
          <w:lang w:eastAsia="en-US"/>
        </w:rPr>
      </w:pPr>
      <w:r w:rsidRPr="00921C9B">
        <w:rPr>
          <w:szCs w:val="24"/>
          <w:lang w:eastAsia="en-US"/>
        </w:rPr>
        <w:t>доказани канцерогенни или мутагенни свойства или свойства,</w:t>
      </w:r>
    </w:p>
    <w:p w14:paraId="1454B576" w14:textId="77777777" w:rsidR="000D29CC" w:rsidRPr="00921C9B" w:rsidRDefault="000D29CC" w:rsidP="000D29CC">
      <w:pPr>
        <w:spacing w:before="120" w:after="120" w:line="360" w:lineRule="auto"/>
        <w:ind w:left="1416"/>
        <w:rPr>
          <w:szCs w:val="24"/>
          <w:lang w:eastAsia="en-US"/>
        </w:rPr>
      </w:pPr>
      <w:r w:rsidRPr="00921C9B">
        <w:rPr>
          <w:szCs w:val="24"/>
          <w:lang w:eastAsia="en-US"/>
        </w:rPr>
        <w:t>които могат да засегнат стероидите, тироидите, репродукцията или други ендокринни функции във или посредством водната среда.</w:t>
      </w:r>
    </w:p>
    <w:p w14:paraId="69DA158B" w14:textId="77777777" w:rsidR="00605ED0" w:rsidRPr="00921C9B" w:rsidRDefault="00605ED0">
      <w:pPr>
        <w:widowControl/>
        <w:rPr>
          <w:szCs w:val="24"/>
          <w:lang w:eastAsia="en-US"/>
        </w:rPr>
      </w:pPr>
      <w:r w:rsidRPr="00921C9B">
        <w:rPr>
          <w:szCs w:val="24"/>
          <w:lang w:eastAsia="en-US"/>
        </w:rPr>
        <w:br w:type="page"/>
      </w:r>
    </w:p>
    <w:p w14:paraId="10C22572" w14:textId="33C00DB1"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5.</w:t>
      </w:r>
      <w:r w:rsidRPr="00921C9B">
        <w:rPr>
          <w:szCs w:val="24"/>
          <w:lang w:eastAsia="en-US"/>
        </w:rPr>
        <w:tab/>
        <w:t>Устойчиви въглеводороди и устойчиви и биоакумулируеми органични токсични</w:t>
      </w:r>
    </w:p>
    <w:p w14:paraId="03233506" w14:textId="77777777" w:rsidR="000D29CC" w:rsidRPr="00921C9B" w:rsidRDefault="000D29CC" w:rsidP="000D29CC">
      <w:pPr>
        <w:spacing w:before="120" w:after="120" w:line="360" w:lineRule="auto"/>
        <w:ind w:left="1416"/>
        <w:rPr>
          <w:szCs w:val="24"/>
          <w:lang w:eastAsia="en-US"/>
        </w:rPr>
      </w:pPr>
      <w:r w:rsidRPr="00921C9B">
        <w:rPr>
          <w:szCs w:val="24"/>
          <w:lang w:eastAsia="en-US"/>
        </w:rPr>
        <w:t>вещества.</w:t>
      </w:r>
    </w:p>
    <w:p w14:paraId="78B5D9E7"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6.</w:t>
      </w:r>
      <w:r w:rsidRPr="00921C9B">
        <w:rPr>
          <w:szCs w:val="24"/>
          <w:lang w:eastAsia="en-US"/>
        </w:rPr>
        <w:tab/>
        <w:t>Цианиди.</w:t>
      </w:r>
    </w:p>
    <w:p w14:paraId="737571FF"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7.</w:t>
      </w:r>
      <w:r w:rsidRPr="00921C9B">
        <w:rPr>
          <w:szCs w:val="24"/>
          <w:lang w:eastAsia="en-US"/>
        </w:rPr>
        <w:tab/>
        <w:t>Метали и техни съставки.</w:t>
      </w:r>
    </w:p>
    <w:p w14:paraId="7BA336F3"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8.</w:t>
      </w:r>
      <w:r w:rsidRPr="00921C9B">
        <w:rPr>
          <w:szCs w:val="24"/>
          <w:lang w:eastAsia="en-US"/>
        </w:rPr>
        <w:tab/>
        <w:t>Арсен и неговите съединения.</w:t>
      </w:r>
    </w:p>
    <w:p w14:paraId="3F7FF719"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9.</w:t>
      </w:r>
      <w:r w:rsidRPr="00921C9B">
        <w:rPr>
          <w:szCs w:val="24"/>
          <w:lang w:eastAsia="en-US"/>
        </w:rPr>
        <w:tab/>
        <w:t>Биоциди и продукти за растителна защита.</w:t>
      </w:r>
    </w:p>
    <w:p w14:paraId="2B374670" w14:textId="6AFEAF3E" w:rsidR="000D29CC" w:rsidRPr="00921C9B" w:rsidRDefault="000D29CC" w:rsidP="000D29CC">
      <w:pPr>
        <w:spacing w:before="120" w:after="120" w:line="360" w:lineRule="auto"/>
        <w:ind w:left="1416" w:hanging="566"/>
        <w:rPr>
          <w:b/>
          <w:szCs w:val="24"/>
          <w:lang w:eastAsia="en-US"/>
        </w:rPr>
      </w:pPr>
      <w:r w:rsidRPr="00921C9B">
        <w:rPr>
          <w:szCs w:val="24"/>
          <w:lang w:eastAsia="en-US"/>
        </w:rPr>
        <w:t>10.</w:t>
      </w:r>
      <w:r w:rsidRPr="00921C9B">
        <w:rPr>
          <w:szCs w:val="24"/>
          <w:lang w:eastAsia="en-US"/>
        </w:rPr>
        <w:tab/>
        <w:t>Материали в суспензия, включително пластмасови микрочастици/наночастици</w:t>
      </w:r>
      <w:r w:rsidRPr="00921C9B">
        <w:rPr>
          <w:b/>
          <w:i/>
          <w:szCs w:val="24"/>
          <w:lang w:eastAsia="en-US"/>
        </w:rPr>
        <w:t>, както и материали, за които е известно, че пораждат микрочастици/наночастици;</w:t>
      </w:r>
      <w:r w:rsidR="000407D3" w:rsidRPr="00921C9B">
        <w:rPr>
          <w:b/>
          <w:szCs w:val="24"/>
          <w:lang w:eastAsia="en-US"/>
        </w:rPr>
        <w:t xml:space="preserve"> [Изм. 155]</w:t>
      </w:r>
    </w:p>
    <w:p w14:paraId="0295EDB0"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11.</w:t>
      </w:r>
      <w:r w:rsidRPr="00921C9B">
        <w:rPr>
          <w:szCs w:val="24"/>
          <w:lang w:eastAsia="en-US"/>
        </w:rPr>
        <w:tab/>
        <w:t>Вещества, които водят до еутрофикация (по-конкретно нитрати и</w:t>
      </w:r>
    </w:p>
    <w:p w14:paraId="4CCC38DA" w14:textId="77777777" w:rsidR="000D29CC" w:rsidRPr="00921C9B" w:rsidRDefault="000D29CC" w:rsidP="000D29CC">
      <w:pPr>
        <w:spacing w:before="120" w:after="120" w:line="360" w:lineRule="auto"/>
        <w:ind w:left="1416"/>
        <w:rPr>
          <w:szCs w:val="24"/>
          <w:lang w:eastAsia="en-US"/>
        </w:rPr>
      </w:pPr>
      <w:r w:rsidRPr="00921C9B">
        <w:rPr>
          <w:szCs w:val="24"/>
          <w:lang w:eastAsia="en-US"/>
        </w:rPr>
        <w:t>фосфати).</w:t>
      </w:r>
    </w:p>
    <w:p w14:paraId="51ADDAB7"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12.</w:t>
      </w:r>
      <w:r w:rsidRPr="00921C9B">
        <w:rPr>
          <w:szCs w:val="24"/>
          <w:lang w:eastAsia="en-US"/>
        </w:rPr>
        <w:tab/>
        <w:t>Вещества, които имат неблагоприятно въздействие върху кислородния баланс (и могат да бъдат измервани посредством параметри като БПК, ХПК, и др.).</w:t>
      </w:r>
    </w:p>
    <w:p w14:paraId="3F4A0363" w14:textId="77777777" w:rsidR="00605ED0" w:rsidRPr="00921C9B" w:rsidRDefault="00605ED0">
      <w:pPr>
        <w:widowControl/>
        <w:rPr>
          <w:szCs w:val="24"/>
          <w:lang w:eastAsia="en-US"/>
        </w:rPr>
      </w:pPr>
      <w:r w:rsidRPr="00921C9B">
        <w:rPr>
          <w:szCs w:val="24"/>
          <w:lang w:eastAsia="en-US"/>
        </w:rPr>
        <w:br w:type="page"/>
      </w:r>
    </w:p>
    <w:p w14:paraId="15AC6EF5" w14:textId="6E7951F5"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13.</w:t>
      </w:r>
      <w:r w:rsidRPr="00921C9B">
        <w:rPr>
          <w:szCs w:val="24"/>
          <w:lang w:eastAsia="en-US"/>
        </w:rPr>
        <w:tab/>
        <w:t>Микроорганизми, гени или генетичен материал, отразяващи наличието на микроорганизми, устойчиви на антимикробни средства, по-специално микроорганизми, патогенни за хората или селскостопанските животни.</w:t>
      </w:r>
    </w:p>
    <w:p w14:paraId="132963A1" w14:textId="77777777" w:rsidR="000D29CC" w:rsidRPr="00921C9B" w:rsidRDefault="000D29CC" w:rsidP="000D29CC">
      <w:pPr>
        <w:spacing w:before="120" w:after="120" w:line="360" w:lineRule="auto"/>
        <w:ind w:left="850"/>
        <w:rPr>
          <w:szCs w:val="24"/>
          <w:lang w:eastAsia="en-US"/>
        </w:rPr>
      </w:pPr>
      <w:r w:rsidRPr="00921C9B">
        <w:rPr>
          <w:szCs w:val="24"/>
          <w:lang w:eastAsia="en-US"/>
        </w:rPr>
        <w:t>ЧАСТ Б: ПРОЦЕДУРАТА ЗА ОПРЕДЕЛЯНЕ НА СТАНДАРТИ ЗА КАЧЕСТВО НА ОКОЛНАТА СРЕДА ЗА СПЕЦИФИЧНИ ЗАМЪРСИТЕЛИ НА РЕЧНИТЕ БАСЕЙНИ</w:t>
      </w:r>
    </w:p>
    <w:p w14:paraId="35DFDAED" w14:textId="77777777" w:rsidR="000D29CC" w:rsidRPr="00921C9B" w:rsidRDefault="000D29CC" w:rsidP="000D29CC">
      <w:pPr>
        <w:spacing w:before="120" w:after="120" w:line="360" w:lineRule="auto"/>
        <w:ind w:left="850"/>
        <w:rPr>
          <w:szCs w:val="24"/>
          <w:lang w:eastAsia="en-US"/>
        </w:rPr>
      </w:pPr>
      <w:r w:rsidRPr="00921C9B">
        <w:rPr>
          <w:szCs w:val="24"/>
          <w:lang w:eastAsia="en-US"/>
        </w:rPr>
        <w:t>Методите, използвани за определяне на СКОС за специфични замърсители на речните басейни, включват следните стъпки:</w:t>
      </w:r>
    </w:p>
    <w:p w14:paraId="67DE7BDB"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а)</w:t>
      </w:r>
      <w:r w:rsidRPr="00921C9B">
        <w:rPr>
          <w:szCs w:val="24"/>
          <w:lang w:eastAsia="en-US"/>
        </w:rPr>
        <w:tab/>
        <w:t>установяване на рецепторите и компонентите или матриците, изложени на риск от веществото, пораждащо безпокойство;</w:t>
      </w:r>
    </w:p>
    <w:p w14:paraId="5D425E84"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б)</w:t>
      </w:r>
      <w:r w:rsidRPr="00921C9B">
        <w:rPr>
          <w:szCs w:val="24"/>
          <w:lang w:eastAsia="en-US"/>
        </w:rPr>
        <w:tab/>
        <w:t>съпоставяне и оценка на качеството на данните за свойствата на веществото, пораждащо безпокойство, включително неговата (еко)токсичност, по-специално от доклади за лабораторни, мезокосмически и полеви изследвания, които обхващат както хронични, така и остри ефекти в сладководна и соленоводна среда;</w:t>
      </w:r>
    </w:p>
    <w:p w14:paraId="23DACF40" w14:textId="77777777" w:rsidR="00605ED0" w:rsidRPr="00921C9B" w:rsidRDefault="00605ED0">
      <w:pPr>
        <w:widowControl/>
        <w:rPr>
          <w:szCs w:val="24"/>
          <w:lang w:eastAsia="en-US"/>
        </w:rPr>
      </w:pPr>
      <w:r w:rsidRPr="00921C9B">
        <w:rPr>
          <w:szCs w:val="24"/>
          <w:lang w:eastAsia="en-US"/>
        </w:rPr>
        <w:br w:type="page"/>
      </w:r>
    </w:p>
    <w:p w14:paraId="5630E59D" w14:textId="1570CFA6"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в)</w:t>
      </w:r>
      <w:r w:rsidRPr="00921C9B">
        <w:rPr>
          <w:szCs w:val="24"/>
          <w:lang w:eastAsia="en-US"/>
        </w:rPr>
        <w:tab/>
        <w:t>екстраполация на данните за (еко)токсичност до концентрации, при които няма ефект, или до подобни концентрации, като се използват детерминистични или вероятностни методи, както и избор и прилагане на подходящи фактори за оценка, за да се отговори на несигурността и да се получат СКОС;</w:t>
      </w:r>
    </w:p>
    <w:p w14:paraId="2CE594F3"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г)</w:t>
      </w:r>
      <w:r w:rsidRPr="00921C9B">
        <w:rPr>
          <w:szCs w:val="24"/>
          <w:lang w:eastAsia="en-US"/>
        </w:rPr>
        <w:tab/>
        <w:t>сравнение на СКОС за различни рецептори и компоненти и избор на критични СКОС, т.е. СКОС, които осигуряват защита на най-чувствителния рецептор в най-съществения компонент или матрица.</w:t>
      </w:r>
    </w:p>
    <w:p w14:paraId="7E8FEABE" w14:textId="260BCBD4" w:rsidR="000D29CC" w:rsidRPr="00921C9B" w:rsidRDefault="000D29CC" w:rsidP="000D29CC">
      <w:pPr>
        <w:spacing w:before="120" w:after="120" w:line="360" w:lineRule="auto"/>
        <w:ind w:left="1416" w:hanging="566"/>
        <w:rPr>
          <w:b/>
          <w:szCs w:val="24"/>
          <w:lang w:eastAsia="en-US"/>
        </w:rPr>
      </w:pPr>
      <w:r w:rsidRPr="00921C9B">
        <w:rPr>
          <w:b/>
          <w:i/>
          <w:szCs w:val="24"/>
          <w:lang w:eastAsia="en-US"/>
        </w:rPr>
        <w:t>гa)</w:t>
      </w:r>
      <w:r w:rsidRPr="00921C9B">
        <w:rPr>
          <w:szCs w:val="24"/>
          <w:lang w:eastAsia="en-US"/>
        </w:rPr>
        <w:tab/>
      </w:r>
      <w:r w:rsidRPr="00921C9B">
        <w:rPr>
          <w:b/>
          <w:i/>
          <w:szCs w:val="24"/>
          <w:lang w:eastAsia="en-US"/>
        </w:rPr>
        <w:t>при определянето на СКОС за металите, моделите за бионаличност се предвиждат да обхващат различни параметри за качество на водата, които оказват въздействие върху бионаличността на метали.</w:t>
      </w:r>
      <w:r w:rsidR="000407D3" w:rsidRPr="00921C9B">
        <w:rPr>
          <w:b/>
          <w:szCs w:val="24"/>
          <w:lang w:eastAsia="en-US"/>
        </w:rPr>
        <w:t xml:space="preserve"> [Изм. 156]</w:t>
      </w:r>
    </w:p>
    <w:p w14:paraId="55EA20AD" w14:textId="77777777" w:rsidR="00605ED0" w:rsidRPr="00921C9B" w:rsidRDefault="00605ED0">
      <w:pPr>
        <w:widowControl/>
        <w:rPr>
          <w:szCs w:val="24"/>
          <w:lang w:eastAsia="en-US"/>
        </w:rPr>
        <w:sectPr w:rsidR="00605ED0" w:rsidRPr="00921C9B" w:rsidSect="004C279A">
          <w:footnotePr>
            <w:numRestart w:val="eachSect"/>
          </w:footnotePr>
          <w:pgSz w:w="11906" w:h="16838" w:code="9"/>
          <w:pgMar w:top="1134" w:right="1418" w:bottom="1418" w:left="1418" w:header="1134" w:footer="567" w:gutter="0"/>
          <w:cols w:space="720"/>
          <w:noEndnote/>
          <w:docGrid w:linePitch="326"/>
        </w:sectPr>
      </w:pPr>
    </w:p>
    <w:p w14:paraId="722D6B43" w14:textId="1C4D89B7" w:rsidR="000D29CC" w:rsidRPr="00921C9B" w:rsidRDefault="000D29CC" w:rsidP="000D29CC">
      <w:pPr>
        <w:spacing w:before="120" w:after="120" w:line="360" w:lineRule="auto"/>
        <w:ind w:left="850"/>
        <w:rPr>
          <w:szCs w:val="24"/>
          <w:lang w:eastAsia="en-US"/>
        </w:rPr>
      </w:pPr>
      <w:r w:rsidRPr="00921C9B">
        <w:rPr>
          <w:szCs w:val="24"/>
          <w:lang w:eastAsia="en-US"/>
        </w:rPr>
        <w:lastRenderedPageBreak/>
        <w:t xml:space="preserve">ЧАСТ В: РЕГИСТЪР НА ХАРМОНИЗИРАНИТЕ СТАНДАРТИ ЗА КАЧЕСТВО НА ОКОЛНАТА СРЕДА ЗА СПЕЦИФИЧНИ ЗАМЪРСИТЕЛИ НА РЕЧНИТЕ БАСЕЙНИ </w:t>
      </w:r>
    </w:p>
    <w:tbl>
      <w:tblPr>
        <w:tblStyle w:val="TableGrid5"/>
        <w:tblW w:w="5000" w:type="pct"/>
        <w:tblLook w:val="04A0" w:firstRow="1" w:lastRow="0" w:firstColumn="1" w:lastColumn="0" w:noHBand="0" w:noVBand="1"/>
      </w:tblPr>
      <w:tblGrid>
        <w:gridCol w:w="881"/>
        <w:gridCol w:w="2032"/>
        <w:gridCol w:w="1465"/>
        <w:gridCol w:w="916"/>
        <w:gridCol w:w="832"/>
        <w:gridCol w:w="1539"/>
        <w:gridCol w:w="1539"/>
        <w:gridCol w:w="1539"/>
        <w:gridCol w:w="1539"/>
        <w:gridCol w:w="1147"/>
        <w:gridCol w:w="847"/>
      </w:tblGrid>
      <w:tr w:rsidR="00501E78" w:rsidRPr="00921C9B" w14:paraId="6B7799F4" w14:textId="77777777" w:rsidTr="00605ED0">
        <w:tc>
          <w:tcPr>
            <w:tcW w:w="262" w:type="pct"/>
          </w:tcPr>
          <w:p w14:paraId="434CE0C5"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Номер на [запис]</w:t>
            </w:r>
          </w:p>
        </w:tc>
        <w:tc>
          <w:tcPr>
            <w:tcW w:w="557" w:type="pct"/>
          </w:tcPr>
          <w:p w14:paraId="7757BCB4" w14:textId="77777777" w:rsidR="00501E78" w:rsidRPr="00921C9B" w:rsidRDefault="00501E78" w:rsidP="00501E78">
            <w:pPr>
              <w:widowControl/>
              <w:spacing w:before="120" w:after="120"/>
              <w:rPr>
                <w:rFonts w:ascii="Times New Roman" w:hAnsi="Times New Roman"/>
                <w:noProof/>
                <w:sz w:val="22"/>
              </w:rPr>
            </w:pPr>
            <w:r w:rsidRPr="00921C9B">
              <w:rPr>
                <w:rFonts w:ascii="Times New Roman" w:hAnsi="Times New Roman"/>
                <w:noProof/>
                <w:sz w:val="22"/>
              </w:rPr>
              <w:t>Наименование на веществото</w:t>
            </w:r>
          </w:p>
        </w:tc>
        <w:tc>
          <w:tcPr>
            <w:tcW w:w="627" w:type="pct"/>
          </w:tcPr>
          <w:p w14:paraId="7BEF4F1B"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Категория на веществата</w:t>
            </w:r>
          </w:p>
        </w:tc>
        <w:tc>
          <w:tcPr>
            <w:tcW w:w="488" w:type="pct"/>
          </w:tcPr>
          <w:p w14:paraId="26BAB99E"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Номер по САS (</w:t>
            </w:r>
            <w:r w:rsidRPr="00921C9B">
              <w:rPr>
                <w:rFonts w:ascii="Times New Roman" w:hAnsi="Times New Roman"/>
                <w:noProof/>
                <w:sz w:val="22"/>
                <w:vertAlign w:val="superscript"/>
              </w:rPr>
              <w:t>1</w:t>
            </w:r>
            <w:r w:rsidRPr="00921C9B">
              <w:rPr>
                <w:rFonts w:ascii="Times New Roman" w:hAnsi="Times New Roman"/>
                <w:noProof/>
                <w:sz w:val="22"/>
              </w:rPr>
              <w:t>)</w:t>
            </w:r>
          </w:p>
        </w:tc>
        <w:tc>
          <w:tcPr>
            <w:tcW w:w="488" w:type="pct"/>
          </w:tcPr>
          <w:p w14:paraId="646FB125" w14:textId="77777777" w:rsidR="00501E78" w:rsidRPr="00921C9B" w:rsidRDefault="00501E78" w:rsidP="00501E78">
            <w:pPr>
              <w:widowControl/>
              <w:spacing w:before="40" w:after="40"/>
              <w:rPr>
                <w:rFonts w:ascii="Times New Roman" w:hAnsi="Times New Roman"/>
                <w:noProof/>
                <w:sz w:val="22"/>
              </w:rPr>
            </w:pPr>
            <w:r w:rsidRPr="00921C9B">
              <w:rPr>
                <w:rFonts w:ascii="Times New Roman" w:hAnsi="Times New Roman"/>
                <w:noProof/>
                <w:sz w:val="22"/>
              </w:rPr>
              <w:t>Номер по ЕС [</w:t>
            </w:r>
            <w:r w:rsidRPr="00921C9B">
              <w:rPr>
                <w:rFonts w:ascii="Times New Roman" w:hAnsi="Times New Roman"/>
                <w:noProof/>
                <w:sz w:val="22"/>
                <w:vertAlign w:val="superscript"/>
              </w:rPr>
              <w:t>2</w:t>
            </w:r>
            <w:r w:rsidRPr="00921C9B">
              <w:rPr>
                <w:rFonts w:ascii="Times New Roman" w:hAnsi="Times New Roman"/>
                <w:noProof/>
                <w:sz w:val="22"/>
              </w:rPr>
              <w:t>]</w:t>
            </w:r>
          </w:p>
        </w:tc>
        <w:tc>
          <w:tcPr>
            <w:tcW w:w="348" w:type="pct"/>
          </w:tcPr>
          <w:p w14:paraId="2BEBD4F9" w14:textId="77777777" w:rsidR="00501E78" w:rsidRPr="00921C9B" w:rsidRDefault="00501E78" w:rsidP="00501E78">
            <w:pPr>
              <w:widowControl/>
              <w:spacing w:before="40" w:after="40"/>
              <w:rPr>
                <w:rFonts w:ascii="Times New Roman" w:hAnsi="Times New Roman"/>
                <w:noProof/>
                <w:sz w:val="22"/>
              </w:rPr>
            </w:pPr>
            <w:r w:rsidRPr="00921C9B">
              <w:rPr>
                <w:rFonts w:ascii="Times New Roman" w:hAnsi="Times New Roman"/>
                <w:noProof/>
                <w:sz w:val="22"/>
              </w:rPr>
              <w:t>СГС—СКОС (</w:t>
            </w:r>
            <w:r w:rsidRPr="00921C9B">
              <w:rPr>
                <w:rFonts w:ascii="Times New Roman" w:hAnsi="Times New Roman"/>
                <w:noProof/>
                <w:sz w:val="22"/>
                <w:vertAlign w:val="superscript"/>
              </w:rPr>
              <w:t>3</w:t>
            </w:r>
            <w:r w:rsidRPr="00921C9B">
              <w:rPr>
                <w:rFonts w:ascii="Times New Roman" w:hAnsi="Times New Roman"/>
                <w:noProof/>
                <w:sz w:val="22"/>
              </w:rPr>
              <w:t xml:space="preserve">) </w:t>
            </w:r>
          </w:p>
          <w:p w14:paraId="115629F4" w14:textId="77777777" w:rsidR="00501E78" w:rsidRPr="00921C9B" w:rsidRDefault="00501E78" w:rsidP="00501E78">
            <w:pPr>
              <w:widowControl/>
              <w:spacing w:before="40" w:after="40"/>
              <w:rPr>
                <w:rFonts w:ascii="Times New Roman" w:hAnsi="Times New Roman"/>
                <w:noProof/>
                <w:sz w:val="22"/>
              </w:rPr>
            </w:pPr>
            <w:r w:rsidRPr="00921C9B">
              <w:rPr>
                <w:rFonts w:ascii="Times New Roman" w:hAnsi="Times New Roman"/>
                <w:noProof/>
                <w:sz w:val="22"/>
              </w:rPr>
              <w:t>Вътрешни повърхностни води (</w:t>
            </w:r>
            <w:r w:rsidRPr="00921C9B">
              <w:rPr>
                <w:rFonts w:ascii="Times New Roman" w:hAnsi="Times New Roman"/>
                <w:noProof/>
                <w:sz w:val="22"/>
                <w:vertAlign w:val="superscript"/>
              </w:rPr>
              <w:t>4</w:t>
            </w:r>
            <w:r w:rsidRPr="00921C9B">
              <w:rPr>
                <w:rFonts w:ascii="Times New Roman" w:hAnsi="Times New Roman"/>
                <w:noProof/>
                <w:sz w:val="22"/>
              </w:rPr>
              <w:t>)</w:t>
            </w:r>
          </w:p>
          <w:p w14:paraId="319432C9"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[µg/l]</w:t>
            </w:r>
          </w:p>
        </w:tc>
        <w:tc>
          <w:tcPr>
            <w:tcW w:w="348" w:type="pct"/>
          </w:tcPr>
          <w:p w14:paraId="1D6D04E4" w14:textId="77777777" w:rsidR="00501E78" w:rsidRPr="00921C9B" w:rsidRDefault="00501E78" w:rsidP="00501E78">
            <w:pPr>
              <w:widowControl/>
              <w:spacing w:before="40" w:after="40"/>
              <w:rPr>
                <w:rFonts w:ascii="Times New Roman" w:hAnsi="Times New Roman"/>
                <w:noProof/>
                <w:sz w:val="22"/>
                <w:vertAlign w:val="superscript"/>
              </w:rPr>
            </w:pPr>
            <w:r w:rsidRPr="00921C9B">
              <w:rPr>
                <w:rFonts w:ascii="Times New Roman" w:hAnsi="Times New Roman"/>
                <w:noProof/>
                <w:sz w:val="22"/>
              </w:rPr>
              <w:t>СГС—СКОС (</w:t>
            </w:r>
            <w:r w:rsidRPr="00921C9B">
              <w:rPr>
                <w:rFonts w:ascii="Times New Roman" w:hAnsi="Times New Roman"/>
                <w:noProof/>
                <w:sz w:val="22"/>
                <w:vertAlign w:val="superscript"/>
              </w:rPr>
              <w:t>3</w:t>
            </w:r>
            <w:r w:rsidRPr="00921C9B">
              <w:rPr>
                <w:rFonts w:ascii="Times New Roman" w:hAnsi="Times New Roman"/>
                <w:noProof/>
                <w:sz w:val="22"/>
              </w:rPr>
              <w:t>)</w:t>
            </w:r>
          </w:p>
          <w:p w14:paraId="7A615752" w14:textId="77777777" w:rsidR="00501E78" w:rsidRPr="00921C9B" w:rsidRDefault="00501E78" w:rsidP="00501E78">
            <w:pPr>
              <w:widowControl/>
              <w:spacing w:before="40" w:after="40"/>
              <w:rPr>
                <w:rFonts w:ascii="Times New Roman" w:hAnsi="Times New Roman"/>
                <w:noProof/>
                <w:sz w:val="22"/>
              </w:rPr>
            </w:pPr>
            <w:r w:rsidRPr="00921C9B">
              <w:rPr>
                <w:rFonts w:ascii="Times New Roman" w:hAnsi="Times New Roman"/>
                <w:noProof/>
                <w:sz w:val="22"/>
              </w:rPr>
              <w:t xml:space="preserve">Други повърхностни води </w:t>
            </w:r>
          </w:p>
          <w:p w14:paraId="035FE359"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[µg/l]</w:t>
            </w:r>
          </w:p>
        </w:tc>
        <w:tc>
          <w:tcPr>
            <w:tcW w:w="418" w:type="pct"/>
          </w:tcPr>
          <w:p w14:paraId="10A178DE" w14:textId="77777777" w:rsidR="00501E78" w:rsidRPr="00921C9B" w:rsidRDefault="00501E78" w:rsidP="00501E78">
            <w:pPr>
              <w:widowControl/>
              <w:spacing w:before="40" w:after="40"/>
              <w:rPr>
                <w:rFonts w:ascii="Times New Roman" w:hAnsi="Times New Roman"/>
                <w:noProof/>
                <w:sz w:val="22"/>
              </w:rPr>
            </w:pPr>
            <w:r w:rsidRPr="00921C9B">
              <w:rPr>
                <w:rFonts w:ascii="Times New Roman" w:hAnsi="Times New Roman"/>
                <w:noProof/>
                <w:sz w:val="22"/>
              </w:rPr>
              <w:t>МДК—СКОС (</w:t>
            </w:r>
            <w:r w:rsidRPr="00921C9B">
              <w:rPr>
                <w:rFonts w:ascii="Times New Roman" w:hAnsi="Times New Roman"/>
                <w:noProof/>
                <w:sz w:val="22"/>
                <w:vertAlign w:val="superscript"/>
              </w:rPr>
              <w:t>5</w:t>
            </w:r>
            <w:r w:rsidRPr="00921C9B">
              <w:rPr>
                <w:rFonts w:ascii="Times New Roman" w:hAnsi="Times New Roman"/>
                <w:noProof/>
                <w:sz w:val="22"/>
              </w:rPr>
              <w:t xml:space="preserve">) </w:t>
            </w:r>
          </w:p>
          <w:p w14:paraId="1DA6A495" w14:textId="77777777" w:rsidR="00501E78" w:rsidRPr="00921C9B" w:rsidRDefault="00501E78" w:rsidP="00501E78">
            <w:pPr>
              <w:widowControl/>
              <w:spacing w:before="40" w:after="40"/>
              <w:rPr>
                <w:rFonts w:ascii="Times New Roman" w:hAnsi="Times New Roman"/>
                <w:noProof/>
                <w:sz w:val="22"/>
                <w:vertAlign w:val="superscript"/>
              </w:rPr>
            </w:pPr>
            <w:r w:rsidRPr="00921C9B">
              <w:rPr>
                <w:rFonts w:ascii="Times New Roman" w:hAnsi="Times New Roman"/>
                <w:noProof/>
                <w:sz w:val="22"/>
              </w:rPr>
              <w:t>Вътрешни повърхностни води (</w:t>
            </w:r>
            <w:r w:rsidRPr="00921C9B">
              <w:rPr>
                <w:rFonts w:ascii="Times New Roman" w:hAnsi="Times New Roman"/>
                <w:noProof/>
                <w:sz w:val="22"/>
                <w:vertAlign w:val="superscript"/>
              </w:rPr>
              <w:t>4</w:t>
            </w:r>
            <w:r w:rsidRPr="00921C9B">
              <w:rPr>
                <w:rFonts w:ascii="Times New Roman" w:hAnsi="Times New Roman"/>
                <w:noProof/>
                <w:sz w:val="22"/>
              </w:rPr>
              <w:t>)</w:t>
            </w:r>
          </w:p>
          <w:p w14:paraId="1D04A9FE" w14:textId="77777777" w:rsidR="00501E78" w:rsidRPr="00921C9B" w:rsidRDefault="00501E78" w:rsidP="00501E78">
            <w:pPr>
              <w:widowControl/>
              <w:spacing w:before="40" w:after="40"/>
              <w:rPr>
                <w:rFonts w:ascii="Times New Roman" w:hAnsi="Times New Roman"/>
                <w:noProof/>
                <w:sz w:val="22"/>
                <w:vertAlign w:val="superscript"/>
              </w:rPr>
            </w:pPr>
            <w:r w:rsidRPr="00921C9B">
              <w:rPr>
                <w:rFonts w:ascii="Times New Roman" w:hAnsi="Times New Roman"/>
                <w:noProof/>
                <w:sz w:val="22"/>
              </w:rPr>
              <w:t xml:space="preserve"> </w:t>
            </w:r>
          </w:p>
          <w:p w14:paraId="56FA4226"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[µg/l]</w:t>
            </w:r>
          </w:p>
        </w:tc>
        <w:tc>
          <w:tcPr>
            <w:tcW w:w="418" w:type="pct"/>
          </w:tcPr>
          <w:p w14:paraId="59C89394" w14:textId="77777777" w:rsidR="00501E78" w:rsidRPr="00921C9B" w:rsidRDefault="00501E78" w:rsidP="00501E78">
            <w:pPr>
              <w:widowControl/>
              <w:spacing w:before="40" w:after="40"/>
              <w:rPr>
                <w:rFonts w:ascii="Times New Roman" w:hAnsi="Times New Roman"/>
                <w:noProof/>
                <w:sz w:val="22"/>
              </w:rPr>
            </w:pPr>
            <w:r w:rsidRPr="00921C9B">
              <w:rPr>
                <w:rFonts w:ascii="Times New Roman" w:hAnsi="Times New Roman"/>
                <w:noProof/>
                <w:sz w:val="22"/>
              </w:rPr>
              <w:t>MДК—СКОС (</w:t>
            </w:r>
            <w:r w:rsidRPr="00921C9B">
              <w:rPr>
                <w:rFonts w:ascii="Times New Roman" w:hAnsi="Times New Roman"/>
                <w:noProof/>
                <w:sz w:val="22"/>
                <w:vertAlign w:val="superscript"/>
              </w:rPr>
              <w:t>5</w:t>
            </w:r>
            <w:r w:rsidRPr="00921C9B">
              <w:rPr>
                <w:rFonts w:ascii="Times New Roman" w:hAnsi="Times New Roman"/>
                <w:noProof/>
                <w:sz w:val="22"/>
              </w:rPr>
              <w:t>)</w:t>
            </w:r>
          </w:p>
          <w:p w14:paraId="7ED2848E" w14:textId="77777777" w:rsidR="00501E78" w:rsidRPr="00921C9B" w:rsidRDefault="00501E78" w:rsidP="00501E78">
            <w:pPr>
              <w:widowControl/>
              <w:spacing w:before="40" w:after="40"/>
              <w:rPr>
                <w:rFonts w:ascii="Times New Roman" w:hAnsi="Times New Roman"/>
                <w:noProof/>
                <w:sz w:val="22"/>
              </w:rPr>
            </w:pPr>
            <w:r w:rsidRPr="00921C9B">
              <w:rPr>
                <w:rFonts w:ascii="Times New Roman" w:hAnsi="Times New Roman"/>
                <w:noProof/>
                <w:sz w:val="22"/>
              </w:rPr>
              <w:t>Други повърхностни води</w:t>
            </w:r>
          </w:p>
          <w:p w14:paraId="6D343C16"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[µg/l]</w:t>
            </w:r>
          </w:p>
        </w:tc>
        <w:tc>
          <w:tcPr>
            <w:tcW w:w="488" w:type="pct"/>
            <w:tcBorders>
              <w:right w:val="single" w:sz="4" w:space="0" w:color="auto"/>
            </w:tcBorders>
          </w:tcPr>
          <w:p w14:paraId="07F2059E" w14:textId="77777777" w:rsidR="00501E78" w:rsidRPr="00921C9B" w:rsidRDefault="00501E78" w:rsidP="00501E78">
            <w:pPr>
              <w:widowControl/>
              <w:spacing w:before="40" w:after="40"/>
              <w:rPr>
                <w:rFonts w:ascii="Times New Roman" w:hAnsi="Times New Roman"/>
                <w:noProof/>
                <w:sz w:val="22"/>
              </w:rPr>
            </w:pPr>
            <w:r w:rsidRPr="00921C9B">
              <w:rPr>
                <w:rFonts w:ascii="Times New Roman" w:hAnsi="Times New Roman"/>
                <w:noProof/>
                <w:sz w:val="22"/>
              </w:rPr>
              <w:t>СКОС</w:t>
            </w:r>
          </w:p>
          <w:p w14:paraId="6ACE27FB" w14:textId="77777777" w:rsidR="00501E78" w:rsidRPr="00921C9B" w:rsidRDefault="00501E78" w:rsidP="00501E78">
            <w:pPr>
              <w:widowControl/>
              <w:spacing w:before="40" w:after="40"/>
              <w:rPr>
                <w:rFonts w:ascii="Times New Roman" w:hAnsi="Times New Roman"/>
                <w:noProof/>
                <w:sz w:val="22"/>
              </w:rPr>
            </w:pPr>
            <w:r w:rsidRPr="00921C9B">
              <w:rPr>
                <w:rFonts w:ascii="Times New Roman" w:hAnsi="Times New Roman"/>
                <w:noProof/>
                <w:sz w:val="22"/>
              </w:rPr>
              <w:t>Биота (</w:t>
            </w:r>
            <w:r w:rsidRPr="00921C9B">
              <w:rPr>
                <w:rFonts w:ascii="Times New Roman" w:hAnsi="Times New Roman"/>
                <w:noProof/>
                <w:sz w:val="22"/>
                <w:vertAlign w:val="superscript"/>
              </w:rPr>
              <w:t>6</w:t>
            </w:r>
            <w:r w:rsidRPr="00921C9B">
              <w:rPr>
                <w:rFonts w:ascii="Times New Roman" w:hAnsi="Times New Roman"/>
                <w:noProof/>
                <w:sz w:val="22"/>
              </w:rPr>
              <w:t>)</w:t>
            </w:r>
          </w:p>
          <w:p w14:paraId="01E0C11F"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[µg/kg мокро тегло] или СКОС за седимент, когато това е посочено [µg /kg сухо тегло]</w:t>
            </w:r>
          </w:p>
        </w:tc>
        <w:tc>
          <w:tcPr>
            <w:tcW w:w="557" w:type="pct"/>
            <w:tcBorders>
              <w:right w:val="single" w:sz="4" w:space="0" w:color="auto"/>
            </w:tcBorders>
          </w:tcPr>
          <w:p w14:paraId="265D7C55" w14:textId="77777777" w:rsidR="00501E78" w:rsidRPr="00921C9B" w:rsidRDefault="00501E78" w:rsidP="00501E78">
            <w:pPr>
              <w:widowControl/>
              <w:spacing w:before="40" w:after="40"/>
              <w:rPr>
                <w:rFonts w:ascii="Times New Roman" w:hAnsi="Times New Roman"/>
                <w:noProof/>
                <w:sz w:val="22"/>
              </w:rPr>
            </w:pPr>
          </w:p>
        </w:tc>
      </w:tr>
      <w:tr w:rsidR="00501E78" w:rsidRPr="00921C9B" w14:paraId="05B95C06" w14:textId="77777777" w:rsidTr="00605ED0">
        <w:tc>
          <w:tcPr>
            <w:tcW w:w="262" w:type="pct"/>
          </w:tcPr>
          <w:p w14:paraId="665A04A6"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1</w:t>
            </w:r>
          </w:p>
        </w:tc>
        <w:tc>
          <w:tcPr>
            <w:tcW w:w="557" w:type="pct"/>
            <w:tcMar>
              <w:left w:w="57" w:type="dxa"/>
              <w:right w:w="57" w:type="dxa"/>
            </w:tcMar>
          </w:tcPr>
          <w:p w14:paraId="26713A6F" w14:textId="77777777" w:rsidR="00501E78" w:rsidRPr="00921C9B" w:rsidRDefault="00501E78" w:rsidP="00501E78">
            <w:pPr>
              <w:widowControl/>
              <w:spacing w:before="120" w:after="120"/>
              <w:rPr>
                <w:rFonts w:ascii="Times New Roman" w:hAnsi="Times New Roman"/>
                <w:noProof/>
                <w:sz w:val="22"/>
              </w:rPr>
            </w:pPr>
            <w:r w:rsidRPr="00921C9B">
              <w:rPr>
                <w:rFonts w:ascii="Times New Roman" w:hAnsi="Times New Roman"/>
                <w:noProof/>
                <w:sz w:val="22"/>
              </w:rPr>
              <w:t>Алахлор (</w:t>
            </w:r>
            <w:r w:rsidRPr="00921C9B">
              <w:rPr>
                <w:rFonts w:ascii="Times New Roman" w:hAnsi="Times New Roman"/>
                <w:noProof/>
                <w:sz w:val="22"/>
                <w:vertAlign w:val="superscript"/>
              </w:rPr>
              <w:t>7</w:t>
            </w:r>
            <w:r w:rsidRPr="00921C9B">
              <w:rPr>
                <w:rFonts w:ascii="Times New Roman" w:hAnsi="Times New Roman"/>
                <w:noProof/>
                <w:sz w:val="22"/>
              </w:rPr>
              <w:t>)</w:t>
            </w:r>
          </w:p>
        </w:tc>
        <w:tc>
          <w:tcPr>
            <w:tcW w:w="627" w:type="pct"/>
          </w:tcPr>
          <w:p w14:paraId="60DB7DE7"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Пестициди</w:t>
            </w:r>
          </w:p>
        </w:tc>
        <w:tc>
          <w:tcPr>
            <w:tcW w:w="488" w:type="pct"/>
            <w:tcMar>
              <w:left w:w="28" w:type="dxa"/>
              <w:right w:w="28" w:type="dxa"/>
            </w:tcMar>
          </w:tcPr>
          <w:p w14:paraId="5F79EEFE"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15972-60-8</w:t>
            </w:r>
          </w:p>
        </w:tc>
        <w:tc>
          <w:tcPr>
            <w:tcW w:w="488" w:type="pct"/>
          </w:tcPr>
          <w:p w14:paraId="63D26B93"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240-110-8</w:t>
            </w:r>
          </w:p>
        </w:tc>
        <w:tc>
          <w:tcPr>
            <w:tcW w:w="348" w:type="pct"/>
          </w:tcPr>
          <w:p w14:paraId="1A75D66C"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0,3</w:t>
            </w:r>
          </w:p>
        </w:tc>
        <w:tc>
          <w:tcPr>
            <w:tcW w:w="348" w:type="pct"/>
          </w:tcPr>
          <w:p w14:paraId="35AFB5EA"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0,3</w:t>
            </w:r>
          </w:p>
        </w:tc>
        <w:tc>
          <w:tcPr>
            <w:tcW w:w="418" w:type="pct"/>
          </w:tcPr>
          <w:p w14:paraId="30E2B331"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0,7</w:t>
            </w:r>
          </w:p>
        </w:tc>
        <w:tc>
          <w:tcPr>
            <w:tcW w:w="418" w:type="pct"/>
          </w:tcPr>
          <w:p w14:paraId="040128D5"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0,7</w:t>
            </w:r>
          </w:p>
        </w:tc>
        <w:tc>
          <w:tcPr>
            <w:tcW w:w="488" w:type="pct"/>
          </w:tcPr>
          <w:p w14:paraId="3B88388A" w14:textId="77777777" w:rsidR="00501E78" w:rsidRPr="00921C9B" w:rsidRDefault="00501E78" w:rsidP="00501E78">
            <w:pPr>
              <w:widowControl/>
              <w:spacing w:before="120" w:after="120"/>
              <w:jc w:val="both"/>
              <w:rPr>
                <w:rFonts w:ascii="Times New Roman" w:hAnsi="Times New Roman"/>
                <w:noProof/>
                <w:sz w:val="22"/>
              </w:rPr>
            </w:pPr>
          </w:p>
        </w:tc>
        <w:tc>
          <w:tcPr>
            <w:tcW w:w="557" w:type="pct"/>
          </w:tcPr>
          <w:p w14:paraId="73EDD2B5" w14:textId="77777777" w:rsidR="00501E78" w:rsidRPr="00921C9B" w:rsidRDefault="00501E78" w:rsidP="00501E78">
            <w:pPr>
              <w:widowControl/>
              <w:spacing w:before="120" w:after="120"/>
              <w:jc w:val="both"/>
              <w:rPr>
                <w:rFonts w:ascii="Times New Roman" w:hAnsi="Times New Roman"/>
                <w:noProof/>
                <w:sz w:val="22"/>
              </w:rPr>
            </w:pPr>
          </w:p>
        </w:tc>
      </w:tr>
      <w:tr w:rsidR="00501E78" w:rsidRPr="00921C9B" w14:paraId="0437BF58" w14:textId="77777777" w:rsidTr="00605ED0">
        <w:tc>
          <w:tcPr>
            <w:tcW w:w="262" w:type="pct"/>
          </w:tcPr>
          <w:p w14:paraId="330C05CE"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2</w:t>
            </w:r>
          </w:p>
        </w:tc>
        <w:tc>
          <w:tcPr>
            <w:tcW w:w="557" w:type="pct"/>
            <w:tcMar>
              <w:left w:w="57" w:type="dxa"/>
              <w:right w:w="57" w:type="dxa"/>
            </w:tcMar>
          </w:tcPr>
          <w:p w14:paraId="6F478F71" w14:textId="77777777" w:rsidR="00501E78" w:rsidRPr="00921C9B" w:rsidRDefault="00501E78" w:rsidP="00501E78">
            <w:pPr>
              <w:widowControl/>
              <w:spacing w:before="120" w:after="120"/>
              <w:rPr>
                <w:rFonts w:ascii="Times New Roman" w:hAnsi="Times New Roman"/>
                <w:noProof/>
                <w:sz w:val="22"/>
              </w:rPr>
            </w:pPr>
            <w:r w:rsidRPr="00921C9B">
              <w:rPr>
                <w:rFonts w:ascii="Times New Roman" w:hAnsi="Times New Roman"/>
                <w:noProof/>
                <w:sz w:val="22"/>
              </w:rPr>
              <w:t>Тетрахлорметан (</w:t>
            </w:r>
            <w:r w:rsidRPr="00921C9B">
              <w:rPr>
                <w:rFonts w:ascii="Times New Roman" w:hAnsi="Times New Roman"/>
                <w:noProof/>
                <w:sz w:val="22"/>
                <w:vertAlign w:val="superscript"/>
              </w:rPr>
              <w:t>7</w:t>
            </w:r>
            <w:r w:rsidRPr="00921C9B">
              <w:rPr>
                <w:rFonts w:ascii="Times New Roman" w:hAnsi="Times New Roman"/>
                <w:noProof/>
                <w:sz w:val="22"/>
              </w:rPr>
              <w:t>)</w:t>
            </w:r>
          </w:p>
        </w:tc>
        <w:tc>
          <w:tcPr>
            <w:tcW w:w="627" w:type="pct"/>
          </w:tcPr>
          <w:p w14:paraId="2756D990"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Промишлени вещества</w:t>
            </w:r>
          </w:p>
        </w:tc>
        <w:tc>
          <w:tcPr>
            <w:tcW w:w="488" w:type="pct"/>
            <w:tcMar>
              <w:left w:w="28" w:type="dxa"/>
              <w:right w:w="28" w:type="dxa"/>
            </w:tcMar>
          </w:tcPr>
          <w:p w14:paraId="49E5385D"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56-23-5</w:t>
            </w:r>
          </w:p>
        </w:tc>
        <w:tc>
          <w:tcPr>
            <w:tcW w:w="488" w:type="pct"/>
          </w:tcPr>
          <w:p w14:paraId="79B01376"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200-262-8</w:t>
            </w:r>
          </w:p>
        </w:tc>
        <w:tc>
          <w:tcPr>
            <w:tcW w:w="348" w:type="pct"/>
          </w:tcPr>
          <w:p w14:paraId="72E7813D"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 xml:space="preserve">12 </w:t>
            </w:r>
          </w:p>
        </w:tc>
        <w:tc>
          <w:tcPr>
            <w:tcW w:w="348" w:type="pct"/>
          </w:tcPr>
          <w:p w14:paraId="3655E63D"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12</w:t>
            </w:r>
          </w:p>
        </w:tc>
        <w:tc>
          <w:tcPr>
            <w:tcW w:w="418" w:type="pct"/>
          </w:tcPr>
          <w:p w14:paraId="186E8D5A"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не се прилага</w:t>
            </w:r>
          </w:p>
        </w:tc>
        <w:tc>
          <w:tcPr>
            <w:tcW w:w="418" w:type="pct"/>
          </w:tcPr>
          <w:p w14:paraId="64316B58"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не се прилага</w:t>
            </w:r>
          </w:p>
        </w:tc>
        <w:tc>
          <w:tcPr>
            <w:tcW w:w="488" w:type="pct"/>
          </w:tcPr>
          <w:p w14:paraId="56EFEAE8" w14:textId="77777777" w:rsidR="00501E78" w:rsidRPr="00921C9B" w:rsidRDefault="00501E78" w:rsidP="00501E78">
            <w:pPr>
              <w:widowControl/>
              <w:spacing w:before="120" w:after="120"/>
              <w:jc w:val="both"/>
              <w:rPr>
                <w:rFonts w:ascii="Times New Roman" w:hAnsi="Times New Roman"/>
                <w:noProof/>
                <w:sz w:val="22"/>
              </w:rPr>
            </w:pPr>
          </w:p>
        </w:tc>
        <w:tc>
          <w:tcPr>
            <w:tcW w:w="557" w:type="pct"/>
          </w:tcPr>
          <w:p w14:paraId="4D139B40" w14:textId="77777777" w:rsidR="00501E78" w:rsidRPr="00921C9B" w:rsidRDefault="00501E78" w:rsidP="00501E78">
            <w:pPr>
              <w:widowControl/>
              <w:spacing w:before="120" w:after="120"/>
              <w:jc w:val="both"/>
              <w:rPr>
                <w:rFonts w:ascii="Times New Roman" w:hAnsi="Times New Roman"/>
                <w:noProof/>
                <w:sz w:val="22"/>
              </w:rPr>
            </w:pPr>
          </w:p>
        </w:tc>
      </w:tr>
      <w:tr w:rsidR="00501E78" w:rsidRPr="00921C9B" w14:paraId="59A4D438" w14:textId="77777777" w:rsidTr="00605ED0">
        <w:tc>
          <w:tcPr>
            <w:tcW w:w="262" w:type="pct"/>
          </w:tcPr>
          <w:p w14:paraId="69B44551"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3</w:t>
            </w:r>
          </w:p>
        </w:tc>
        <w:tc>
          <w:tcPr>
            <w:tcW w:w="557" w:type="pct"/>
            <w:tcMar>
              <w:left w:w="57" w:type="dxa"/>
              <w:right w:w="57" w:type="dxa"/>
            </w:tcMar>
          </w:tcPr>
          <w:p w14:paraId="43D43707" w14:textId="77777777" w:rsidR="00501E78" w:rsidRPr="00921C9B" w:rsidRDefault="00501E78" w:rsidP="00501E78">
            <w:pPr>
              <w:widowControl/>
              <w:spacing w:before="120" w:after="120"/>
              <w:rPr>
                <w:rFonts w:ascii="Times New Roman" w:hAnsi="Times New Roman"/>
                <w:noProof/>
                <w:sz w:val="22"/>
              </w:rPr>
            </w:pPr>
            <w:r w:rsidRPr="00921C9B">
              <w:rPr>
                <w:rFonts w:ascii="Times New Roman" w:hAnsi="Times New Roman"/>
                <w:noProof/>
                <w:sz w:val="22"/>
              </w:rPr>
              <w:t>Хлорофенвинфос (</w:t>
            </w:r>
            <w:r w:rsidRPr="00921C9B">
              <w:rPr>
                <w:rFonts w:ascii="Times New Roman" w:hAnsi="Times New Roman"/>
                <w:noProof/>
                <w:sz w:val="22"/>
                <w:vertAlign w:val="superscript"/>
              </w:rPr>
              <w:t>7</w:t>
            </w:r>
            <w:r w:rsidRPr="00921C9B">
              <w:rPr>
                <w:rFonts w:ascii="Times New Roman" w:hAnsi="Times New Roman"/>
                <w:noProof/>
                <w:sz w:val="22"/>
              </w:rPr>
              <w:t>)</w:t>
            </w:r>
          </w:p>
        </w:tc>
        <w:tc>
          <w:tcPr>
            <w:tcW w:w="627" w:type="pct"/>
          </w:tcPr>
          <w:p w14:paraId="3F4FD206"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Пестицид</w:t>
            </w:r>
          </w:p>
        </w:tc>
        <w:tc>
          <w:tcPr>
            <w:tcW w:w="488" w:type="pct"/>
            <w:tcMar>
              <w:left w:w="28" w:type="dxa"/>
              <w:right w:w="28" w:type="dxa"/>
            </w:tcMar>
          </w:tcPr>
          <w:p w14:paraId="7438F8C8"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470-90-6</w:t>
            </w:r>
          </w:p>
        </w:tc>
        <w:tc>
          <w:tcPr>
            <w:tcW w:w="488" w:type="pct"/>
          </w:tcPr>
          <w:p w14:paraId="48AD113C"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207-432-0</w:t>
            </w:r>
          </w:p>
        </w:tc>
        <w:tc>
          <w:tcPr>
            <w:tcW w:w="348" w:type="pct"/>
          </w:tcPr>
          <w:p w14:paraId="327AF8F3"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0,1</w:t>
            </w:r>
          </w:p>
        </w:tc>
        <w:tc>
          <w:tcPr>
            <w:tcW w:w="348" w:type="pct"/>
          </w:tcPr>
          <w:p w14:paraId="32AD4710"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0,1</w:t>
            </w:r>
          </w:p>
        </w:tc>
        <w:tc>
          <w:tcPr>
            <w:tcW w:w="418" w:type="pct"/>
          </w:tcPr>
          <w:p w14:paraId="3C8C00E9"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0,3</w:t>
            </w:r>
          </w:p>
        </w:tc>
        <w:tc>
          <w:tcPr>
            <w:tcW w:w="418" w:type="pct"/>
          </w:tcPr>
          <w:p w14:paraId="620BCB27"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0,3</w:t>
            </w:r>
          </w:p>
        </w:tc>
        <w:tc>
          <w:tcPr>
            <w:tcW w:w="488" w:type="pct"/>
          </w:tcPr>
          <w:p w14:paraId="797D6F35" w14:textId="77777777" w:rsidR="00501E78" w:rsidRPr="00921C9B" w:rsidRDefault="00501E78" w:rsidP="00501E78">
            <w:pPr>
              <w:widowControl/>
              <w:spacing w:before="120" w:after="120"/>
              <w:jc w:val="both"/>
              <w:rPr>
                <w:rFonts w:ascii="Times New Roman" w:hAnsi="Times New Roman"/>
                <w:noProof/>
                <w:sz w:val="22"/>
              </w:rPr>
            </w:pPr>
          </w:p>
        </w:tc>
        <w:tc>
          <w:tcPr>
            <w:tcW w:w="557" w:type="pct"/>
          </w:tcPr>
          <w:p w14:paraId="5C202E80" w14:textId="77777777" w:rsidR="00501E78" w:rsidRPr="00921C9B" w:rsidRDefault="00501E78" w:rsidP="00501E78">
            <w:pPr>
              <w:widowControl/>
              <w:spacing w:before="120" w:after="120"/>
              <w:jc w:val="both"/>
              <w:rPr>
                <w:rFonts w:ascii="Times New Roman" w:hAnsi="Times New Roman"/>
                <w:noProof/>
                <w:sz w:val="22"/>
              </w:rPr>
            </w:pPr>
          </w:p>
        </w:tc>
      </w:tr>
      <w:tr w:rsidR="00501E78" w:rsidRPr="00921C9B" w14:paraId="5EDA4BDA" w14:textId="77777777" w:rsidTr="00605ED0">
        <w:tc>
          <w:tcPr>
            <w:tcW w:w="262" w:type="pct"/>
          </w:tcPr>
          <w:p w14:paraId="236E3B84"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4</w:t>
            </w:r>
          </w:p>
        </w:tc>
        <w:tc>
          <w:tcPr>
            <w:tcW w:w="557" w:type="pct"/>
            <w:tcMar>
              <w:left w:w="57" w:type="dxa"/>
              <w:right w:w="57" w:type="dxa"/>
            </w:tcMar>
          </w:tcPr>
          <w:p w14:paraId="56EE0241" w14:textId="77777777" w:rsidR="00501E78" w:rsidRPr="00921C9B" w:rsidRDefault="00501E78" w:rsidP="00501E78">
            <w:pPr>
              <w:widowControl/>
              <w:spacing w:before="120" w:after="120"/>
              <w:rPr>
                <w:rFonts w:ascii="Times New Roman" w:hAnsi="Times New Roman"/>
                <w:noProof/>
                <w:sz w:val="22"/>
              </w:rPr>
            </w:pPr>
            <w:r w:rsidRPr="00921C9B">
              <w:rPr>
                <w:rFonts w:ascii="Times New Roman" w:hAnsi="Times New Roman"/>
                <w:noProof/>
                <w:sz w:val="22"/>
              </w:rPr>
              <w:t>Симазин (</w:t>
            </w:r>
            <w:r w:rsidRPr="00921C9B">
              <w:rPr>
                <w:rFonts w:ascii="Times New Roman" w:hAnsi="Times New Roman"/>
                <w:noProof/>
                <w:sz w:val="22"/>
                <w:vertAlign w:val="superscript"/>
              </w:rPr>
              <w:t>7</w:t>
            </w:r>
            <w:r w:rsidRPr="00921C9B">
              <w:rPr>
                <w:rFonts w:ascii="Times New Roman" w:hAnsi="Times New Roman"/>
                <w:noProof/>
                <w:sz w:val="22"/>
              </w:rPr>
              <w:t>)</w:t>
            </w:r>
          </w:p>
        </w:tc>
        <w:tc>
          <w:tcPr>
            <w:tcW w:w="627" w:type="pct"/>
          </w:tcPr>
          <w:p w14:paraId="03D96683"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Пестицид</w:t>
            </w:r>
          </w:p>
        </w:tc>
        <w:tc>
          <w:tcPr>
            <w:tcW w:w="488" w:type="pct"/>
            <w:tcMar>
              <w:left w:w="28" w:type="dxa"/>
              <w:right w:w="28" w:type="dxa"/>
            </w:tcMar>
          </w:tcPr>
          <w:p w14:paraId="463E5C79"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122-34-9</w:t>
            </w:r>
          </w:p>
        </w:tc>
        <w:tc>
          <w:tcPr>
            <w:tcW w:w="488" w:type="pct"/>
          </w:tcPr>
          <w:p w14:paraId="616E603A"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204-535-2</w:t>
            </w:r>
          </w:p>
        </w:tc>
        <w:tc>
          <w:tcPr>
            <w:tcW w:w="348" w:type="pct"/>
          </w:tcPr>
          <w:p w14:paraId="626E7BD7"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1</w:t>
            </w:r>
          </w:p>
        </w:tc>
        <w:tc>
          <w:tcPr>
            <w:tcW w:w="348" w:type="pct"/>
          </w:tcPr>
          <w:p w14:paraId="4391E117"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1</w:t>
            </w:r>
          </w:p>
        </w:tc>
        <w:tc>
          <w:tcPr>
            <w:tcW w:w="418" w:type="pct"/>
          </w:tcPr>
          <w:p w14:paraId="4E74FE1B"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4</w:t>
            </w:r>
          </w:p>
        </w:tc>
        <w:tc>
          <w:tcPr>
            <w:tcW w:w="418" w:type="pct"/>
          </w:tcPr>
          <w:p w14:paraId="794527F9" w14:textId="77777777" w:rsidR="00501E78" w:rsidRPr="00921C9B" w:rsidRDefault="00501E78" w:rsidP="00501E78">
            <w:pPr>
              <w:widowControl/>
              <w:spacing w:before="120" w:after="120"/>
              <w:jc w:val="both"/>
              <w:rPr>
                <w:rFonts w:ascii="Times New Roman" w:hAnsi="Times New Roman"/>
                <w:noProof/>
                <w:sz w:val="22"/>
              </w:rPr>
            </w:pPr>
            <w:r w:rsidRPr="00921C9B">
              <w:rPr>
                <w:rFonts w:ascii="Times New Roman" w:hAnsi="Times New Roman"/>
                <w:noProof/>
                <w:sz w:val="22"/>
              </w:rPr>
              <w:t>4</w:t>
            </w:r>
          </w:p>
        </w:tc>
        <w:tc>
          <w:tcPr>
            <w:tcW w:w="488" w:type="pct"/>
          </w:tcPr>
          <w:p w14:paraId="6D1B7750" w14:textId="77777777" w:rsidR="00501E78" w:rsidRPr="00921C9B" w:rsidRDefault="00501E78" w:rsidP="00501E78">
            <w:pPr>
              <w:widowControl/>
              <w:spacing w:before="120" w:after="120"/>
              <w:jc w:val="both"/>
              <w:rPr>
                <w:rFonts w:ascii="Times New Roman" w:hAnsi="Times New Roman"/>
                <w:noProof/>
                <w:sz w:val="22"/>
              </w:rPr>
            </w:pPr>
          </w:p>
        </w:tc>
        <w:tc>
          <w:tcPr>
            <w:tcW w:w="557" w:type="pct"/>
          </w:tcPr>
          <w:p w14:paraId="51BD1BA4" w14:textId="77777777" w:rsidR="00501E78" w:rsidRPr="00921C9B" w:rsidRDefault="00501E78" w:rsidP="00501E78">
            <w:pPr>
              <w:widowControl/>
              <w:spacing w:before="120" w:after="120"/>
              <w:jc w:val="both"/>
              <w:rPr>
                <w:rFonts w:ascii="Times New Roman" w:hAnsi="Times New Roman"/>
                <w:noProof/>
                <w:sz w:val="22"/>
              </w:rPr>
            </w:pPr>
          </w:p>
        </w:tc>
      </w:tr>
    </w:tbl>
    <w:p w14:paraId="74BDA159" w14:textId="77777777" w:rsidR="000D29CC" w:rsidRPr="00921C9B" w:rsidRDefault="000D29CC" w:rsidP="000D29CC">
      <w:pPr>
        <w:spacing w:before="120" w:after="120" w:line="360" w:lineRule="auto"/>
        <w:ind w:left="1416" w:hanging="566"/>
        <w:rPr>
          <w:szCs w:val="24"/>
          <w:lang w:eastAsia="en-US"/>
        </w:rPr>
      </w:pPr>
    </w:p>
    <w:p w14:paraId="5C25881F" w14:textId="77777777" w:rsidR="00605ED0" w:rsidRPr="00921C9B" w:rsidRDefault="00605ED0" w:rsidP="000D29CC">
      <w:pPr>
        <w:spacing w:before="120" w:after="120" w:line="360" w:lineRule="auto"/>
        <w:ind w:left="1416" w:hanging="566"/>
        <w:rPr>
          <w:szCs w:val="24"/>
          <w:lang w:eastAsia="en-US"/>
        </w:rPr>
        <w:sectPr w:rsidR="00605ED0" w:rsidRPr="00921C9B" w:rsidSect="00605ED0">
          <w:footnotePr>
            <w:numRestart w:val="eachSect"/>
          </w:footnotePr>
          <w:pgSz w:w="16838" w:h="11906" w:orient="landscape" w:code="9"/>
          <w:pgMar w:top="1418" w:right="1418" w:bottom="1418" w:left="1134" w:header="1134" w:footer="567" w:gutter="0"/>
          <w:cols w:space="720"/>
          <w:noEndnote/>
          <w:docGrid w:linePitch="326"/>
        </w:sectPr>
      </w:pPr>
    </w:p>
    <w:p w14:paraId="062BC54F" w14:textId="67C3C33A"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(1)</w:t>
      </w:r>
      <w:r w:rsidRPr="00921C9B">
        <w:rPr>
          <w:szCs w:val="24"/>
          <w:lang w:eastAsia="en-US"/>
        </w:rPr>
        <w:tab/>
        <w:t>CAS: Служба за химични индекси.</w:t>
      </w:r>
    </w:p>
    <w:p w14:paraId="583D12C8"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(2)</w:t>
      </w:r>
      <w:r w:rsidRPr="00921C9B">
        <w:rPr>
          <w:szCs w:val="24"/>
          <w:lang w:eastAsia="en-US"/>
        </w:rPr>
        <w:tab/>
        <w:t>Номер по ЕС: Списък на Европейската инвентаризация на наличните търговски химически вещества (EINECS) или списък на оповестените химически вещества (ELINCS).</w:t>
      </w:r>
    </w:p>
    <w:p w14:paraId="3A066D81"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(3)</w:t>
      </w:r>
      <w:r w:rsidRPr="00921C9B">
        <w:rPr>
          <w:szCs w:val="24"/>
          <w:lang w:eastAsia="en-US"/>
        </w:rPr>
        <w:tab/>
        <w:t>Този показател е изразеният като средна годишна стойност СКОС (СГС—СКОС). Ако не е посочено друго, той се прилага за общата концентрация на всички вещества и изомери.</w:t>
      </w:r>
    </w:p>
    <w:p w14:paraId="23A3C874"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(4)</w:t>
      </w:r>
      <w:r w:rsidRPr="00921C9B">
        <w:rPr>
          <w:szCs w:val="24"/>
          <w:lang w:eastAsia="en-US"/>
        </w:rPr>
        <w:tab/>
        <w:t>Вътрешните повърхностни води обхващат реки, езера и подобни изкуствени или силно модифицирани водни тела.</w:t>
      </w:r>
    </w:p>
    <w:p w14:paraId="5D4DD4C5" w14:textId="77777777" w:rsidR="000D29CC" w:rsidRPr="00921C9B" w:rsidRDefault="000D29CC" w:rsidP="000D29CC">
      <w:pPr>
        <w:spacing w:before="120" w:after="120" w:line="360" w:lineRule="auto"/>
        <w:ind w:left="1416" w:hanging="566"/>
        <w:rPr>
          <w:szCs w:val="24"/>
          <w:lang w:eastAsia="en-US"/>
        </w:rPr>
      </w:pPr>
      <w:r w:rsidRPr="00921C9B">
        <w:rPr>
          <w:szCs w:val="24"/>
          <w:lang w:eastAsia="en-US"/>
        </w:rPr>
        <w:t>(5)</w:t>
      </w:r>
      <w:r w:rsidRPr="00921C9B">
        <w:rPr>
          <w:szCs w:val="24"/>
          <w:lang w:eastAsia="en-US"/>
        </w:rPr>
        <w:tab/>
        <w:t>Този показател е СКОС, изразен като максимално допустима концентрация (МДК–СКОС). Когато за МДК–СКОС е обозначено „не се прилага“, стойностите за СГС–СКОС се считат за защитни срещу краткосрочни големи замърсявания при непрекъснати зауствания, тъй като те са значително по-ниски от стойностите, получени на база остра токсичност.</w:t>
      </w:r>
    </w:p>
    <w:p w14:paraId="1295660E" w14:textId="77777777" w:rsidR="00605ED0" w:rsidRPr="00921C9B" w:rsidRDefault="00605ED0">
      <w:pPr>
        <w:widowControl/>
        <w:rPr>
          <w:szCs w:val="24"/>
          <w:lang w:eastAsia="en-US"/>
        </w:rPr>
      </w:pPr>
      <w:r w:rsidRPr="00921C9B">
        <w:rPr>
          <w:szCs w:val="24"/>
          <w:lang w:eastAsia="en-US"/>
        </w:rPr>
        <w:br w:type="page"/>
      </w:r>
    </w:p>
    <w:p w14:paraId="0DE8601D" w14:textId="26E3F75D" w:rsidR="000D29CC" w:rsidRPr="00921C9B" w:rsidRDefault="000D29CC" w:rsidP="000D29CC">
      <w:pPr>
        <w:spacing w:before="120" w:after="120" w:line="360" w:lineRule="auto"/>
        <w:ind w:left="1416" w:hanging="566"/>
        <w:rPr>
          <w:szCs w:val="24"/>
          <w:lang w:eastAsia="en-US"/>
        </w:rPr>
      </w:pPr>
      <w:r w:rsidRPr="00921C9B">
        <w:rPr>
          <w:szCs w:val="24"/>
          <w:lang w:eastAsia="en-US"/>
        </w:rPr>
        <w:lastRenderedPageBreak/>
        <w:t>(6)</w:t>
      </w:r>
      <w:r w:rsidRPr="00921C9B">
        <w:rPr>
          <w:szCs w:val="24"/>
          <w:lang w:eastAsia="en-US"/>
        </w:rPr>
        <w:tab/>
        <w:t>Ако е даден СКОС за биота, се прилага той, а не СКОС за вода, без да се засяга разпоредбата на член 3, параграф 3 от настоящата директива, която позволява вместо това да се наблюдава алтернативен таксон от биота или друга матрица, стига приложеният СКОС да осигурява еквивалентно ниво на защита. Освен ако не е посочено друго, СКОС за биота се отнасят за рибата.</w:t>
      </w:r>
    </w:p>
    <w:p w14:paraId="26BBE425" w14:textId="77777777" w:rsidR="000D29CC" w:rsidRPr="000D29CC" w:rsidRDefault="000D29CC" w:rsidP="000D29CC">
      <w:pPr>
        <w:spacing w:before="120" w:after="120" w:line="360" w:lineRule="auto"/>
        <w:ind w:left="1416" w:hanging="566"/>
        <w:rPr>
          <w:szCs w:val="24"/>
          <w:lang w:eastAsia="en-US"/>
        </w:rPr>
      </w:pPr>
      <w:r w:rsidRPr="00921C9B">
        <w:rPr>
          <w:szCs w:val="24"/>
          <w:lang w:eastAsia="en-US"/>
        </w:rPr>
        <w:t>(7)</w:t>
      </w:r>
      <w:r w:rsidRPr="00921C9B">
        <w:rPr>
          <w:szCs w:val="24"/>
          <w:lang w:eastAsia="en-US"/>
        </w:rPr>
        <w:tab/>
        <w:t>Вещество, което преди това е било включено като приоритетно вещество в приложение X към Директива 2000/60/ЕО или в приложение I към Директива 2008/105/ЕО..“</w:t>
      </w:r>
    </w:p>
    <w:p w14:paraId="16E071ED" w14:textId="77777777" w:rsidR="004B59D2" w:rsidRPr="000D29CC" w:rsidRDefault="004B59D2">
      <w:pPr>
        <w:widowControl/>
      </w:pPr>
    </w:p>
    <w:sectPr w:rsidR="004B59D2" w:rsidRPr="000D29CC" w:rsidSect="00605ED0">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D82D09" w14:textId="77777777" w:rsidR="00723523" w:rsidRPr="00367CD6" w:rsidRDefault="00723523">
      <w:r w:rsidRPr="00367CD6">
        <w:separator/>
      </w:r>
    </w:p>
  </w:endnote>
  <w:endnote w:type="continuationSeparator" w:id="0">
    <w:p w14:paraId="0EE8CC14" w14:textId="77777777" w:rsidR="00723523" w:rsidRPr="00367CD6" w:rsidRDefault="00723523">
      <w:r w:rsidRPr="00367C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___WRD_EMBED_SUB_178">
    <w:altName w:val="MS Gothic"/>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adeGothic">
    <w:altName w:val="Courier New"/>
    <w:panose1 w:val="00000000000000000000"/>
    <w:charset w:val="00"/>
    <w:family w:val="auto"/>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EUAlbertina">
    <w:panose1 w:val="00000000000000000000"/>
    <w:charset w:val="00"/>
    <w:family w:val="auto"/>
    <w:pitch w:val="variable"/>
    <w:sig w:usb0="800002EF" w:usb1="1000E0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34D0FF" w14:textId="77777777" w:rsidR="00723523" w:rsidRDefault="0072352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623AEC" w14:textId="77777777" w:rsidR="00723523" w:rsidRDefault="0072352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022523" w14:textId="77777777" w:rsidR="00723523" w:rsidRPr="00367CD6" w:rsidRDefault="00723523">
      <w:r w:rsidRPr="00367CD6">
        <w:separator/>
      </w:r>
    </w:p>
  </w:footnote>
  <w:footnote w:type="continuationSeparator" w:id="0">
    <w:p w14:paraId="10CE2A03" w14:textId="77777777" w:rsidR="00723523" w:rsidRPr="00367CD6" w:rsidRDefault="00723523">
      <w:r w:rsidRPr="00367CD6">
        <w:continuationSeparator/>
      </w:r>
    </w:p>
  </w:footnote>
  <w:footnote w:id="1">
    <w:p w14:paraId="617810A7" w14:textId="333C432F" w:rsidR="00723523" w:rsidRPr="004C279A" w:rsidRDefault="00723523" w:rsidP="004B59D2">
      <w:pPr>
        <w:pStyle w:val="FootnoteText"/>
        <w:ind w:left="567" w:hanging="567"/>
        <w:rPr>
          <w:sz w:val="24"/>
          <w:lang w:val="bg-BG"/>
        </w:rPr>
      </w:pPr>
      <w:r w:rsidRPr="004C279A">
        <w:rPr>
          <w:rStyle w:val="FootnoteReference"/>
          <w:sz w:val="24"/>
          <w:lang w:val="bg-BG"/>
        </w:rPr>
        <w:footnoteRef/>
      </w:r>
      <w:r w:rsidRPr="004C279A">
        <w:rPr>
          <w:sz w:val="24"/>
          <w:lang w:val="bg-BG"/>
        </w:rPr>
        <w:t xml:space="preserve"> </w:t>
      </w:r>
      <w:r w:rsidRPr="004C279A">
        <w:rPr>
          <w:sz w:val="24"/>
          <w:lang w:val="bg-BG"/>
        </w:rPr>
        <w:tab/>
        <w:t>OВ C 146, 27.4.2023 г., стр. 41.</w:t>
      </w:r>
    </w:p>
  </w:footnote>
  <w:footnote w:id="2">
    <w:p w14:paraId="32A1981D" w14:textId="77777777" w:rsidR="00723523" w:rsidRPr="004C279A" w:rsidRDefault="00723523" w:rsidP="0091249B">
      <w:pPr>
        <w:pStyle w:val="FootnoteText"/>
        <w:ind w:left="567" w:hanging="567"/>
        <w:rPr>
          <w:sz w:val="24"/>
          <w:szCs w:val="24"/>
          <w:lang w:val="bg-BG"/>
        </w:rPr>
      </w:pPr>
      <w:r w:rsidRPr="004C279A">
        <w:rPr>
          <w:rStyle w:val="FootnoteReference"/>
          <w:lang w:val="bg-BG"/>
        </w:rPr>
        <w:footnoteRef/>
      </w:r>
      <w:r w:rsidRPr="004C279A">
        <w:rPr>
          <w:lang w:val="bg-BG"/>
        </w:rPr>
        <w:t xml:space="preserve"> </w:t>
      </w:r>
      <w:r w:rsidRPr="004C279A">
        <w:rPr>
          <w:lang w:val="bg-BG"/>
        </w:rPr>
        <w:tab/>
      </w:r>
      <w:r w:rsidRPr="004C279A">
        <w:rPr>
          <w:sz w:val="24"/>
          <w:szCs w:val="24"/>
          <w:lang w:val="bg-BG"/>
        </w:rPr>
        <w:t>Тази позиция отговаря на измененията, приети на 12 септември 2023 г. (OВ C, C/2024/1777, 22.3.2024 г., ELI: http://data.europa.eu/eli/C/2024/1777/oj).</w:t>
      </w:r>
    </w:p>
  </w:footnote>
  <w:footnote w:id="3">
    <w:p w14:paraId="112C2E58"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ОВ C ,  г., стр. .</w:t>
      </w:r>
    </w:p>
  </w:footnote>
  <w:footnote w:id="4">
    <w:p w14:paraId="66FAA3B5"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ОВ C ,  г., стр. .</w:t>
      </w:r>
    </w:p>
  </w:footnote>
  <w:footnote w:id="5">
    <w:p w14:paraId="38674A5E"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Решение (ЕС) 2022/591 на Eвропейския парламент и на Съвета от 6 април 2022 г. относно Обща програма на Европейския съюз за действие за околната среда до 2030 година.</w:t>
      </w:r>
    </w:p>
  </w:footnote>
  <w:footnote w:id="6">
    <w:p w14:paraId="6D9CDC66"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Drivers of and pressures arising from selected key water management challenges : A European overview, report 09/2021 („Фактори за някои основни предизвикателства пред управлението на водите и натиск, произтичащ от тях – европейски преглед, доклад 09/2021“), ЕАОС.</w:t>
      </w:r>
    </w:p>
  </w:footnote>
  <w:footnote w:id="7">
    <w:p w14:paraId="35C0369B"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https://www.oecd.org/agriculture/topics/water-and-agriculture/</w:t>
      </w:r>
    </w:p>
  </w:footnote>
  <w:footnote w:id="8">
    <w:p w14:paraId="29FBB466"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https://www.eea.europa.eu/publications/state-of-water</w:t>
      </w:r>
    </w:p>
  </w:footnote>
  <w:footnote w:id="9">
    <w:p w14:paraId="38446999"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https://food.ec.europa.eu/plants/pesticides/sustainable-use-pesticides/farm-fork-targets-progress/eu-trends_en</w:t>
      </w:r>
    </w:p>
  </w:footnote>
  <w:footnote w:id="10">
    <w:p w14:paraId="3393E36E"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Съобщение на Комисията до Европейския парламент, Европейския съвет, Съвета, Европейския икономически и социален комитет и Комитета на регионите — Европейският зелен пакт, COM(2019) 640 final.</w:t>
      </w:r>
    </w:p>
  </w:footnote>
  <w:footnote w:id="11">
    <w:p w14:paraId="4B88CC6D"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Съобщение на Комисията до Европейския парламент, Съвета, Европейския икономически и социален комитет и Комитета на регионите — Стратегия за устойчивост в областта на химикалите. Към нетоксична околна среда, COM(2020) 667 final.</w:t>
      </w:r>
    </w:p>
  </w:footnote>
  <w:footnote w:id="12">
    <w:p w14:paraId="5A1746CA"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Съобщение на Комисията до Европейския парламент, Съвета, Европейския икономически и социален комитет и Комитета на регионите — Път към здравословна планета за всички, План за действие на ЕС: „Към нулево замърсяване на въздуха, водата и почвата“, COM(2021) 400 final.</w:t>
      </w:r>
    </w:p>
  </w:footnote>
  <w:footnote w:id="13">
    <w:p w14:paraId="4A03A161"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Съобщение на Комисията до Европейския парламент, Съвета, Европейския икономически и социален комитет и Комитета на регионите — Европейска стратегия за пластмасите в кръговата икономика, COM(2018) 28 final.</w:t>
      </w:r>
    </w:p>
  </w:footnote>
  <w:footnote w:id="14">
    <w:p w14:paraId="0852D298"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Съобщение на Комисията до Европейския парламент, Съвета, Европейския икономически и социален комитет и Комитета на регионите — Фармацевтична стратегия за Европа, COM(2020) 761 final.</w:t>
      </w:r>
    </w:p>
  </w:footnote>
  <w:footnote w:id="15">
    <w:p w14:paraId="6C65C837"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Съобщение на Комисията до Европейския парламент, Съвета, Европейския икономически и социален комитет и Комитета на регионите — Стратегия на ЕС за биологичното разнообразие за 2030 г. Да осигурим полагащото се място на природата в нашия живот, COM(2020) 380 final.</w:t>
      </w:r>
    </w:p>
  </w:footnote>
  <w:footnote w:id="16">
    <w:p w14:paraId="17BECC43"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Съобщение на Комисията до Европейския парламент, Съвета, Европейския икономически и социален комитет и Комитета на регионите — Стратегия „От фермата до трапезата“ за справедлива, здравословна и екологосъобразна продоволствена система“, COM(2020) 381 final.</w:t>
      </w:r>
    </w:p>
  </w:footnote>
  <w:footnote w:id="17">
    <w:p w14:paraId="0DAED792"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Съобщение на Комисията до Европейския парламент, Съвета, Европейския икономически и социален комитет и Комитета на регионите — Стратегия на ЕС за почвите за 2030 г. Извличане на ползите от здравите почви за хората, храните, природата и климата, COM(2021) 699 final.</w:t>
      </w:r>
    </w:p>
  </w:footnote>
  <w:footnote w:id="18">
    <w:p w14:paraId="0790BC7B"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 xml:space="preserve">Съобщение на Комисията до Европейския парламент, Съвета, Европейския икономически и социален комитет и Комитета на регионите — Изграждане на цифровото бъдеще на Европа, </w:t>
      </w:r>
      <w:r w:rsidRPr="004C279A">
        <w:rPr>
          <w:lang w:val="bg-BG"/>
        </w:rPr>
        <w:tab/>
        <w:t>СОМ(2020) 67 final.</w:t>
      </w:r>
    </w:p>
  </w:footnote>
  <w:footnote w:id="19">
    <w:p w14:paraId="569B7640"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Съобщение на Комисията до Европейския парламент, Съвета, Европейския икономически и социален комитет и Комитета на регионите — Европейска стратегия за данните, COM(2020) 66 final.</w:t>
      </w:r>
    </w:p>
  </w:footnote>
  <w:footnote w:id="20">
    <w:p w14:paraId="25145E9A"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Директива 2000/60/ЕО на Европейския парламент и на Съвета от 23 октомври 2000 г. за установяване на рамка за действията на Общността в областта на политиката за водите (ОВ L 327, 22.12.2000 г., стр. 1).</w:t>
      </w:r>
    </w:p>
  </w:footnote>
  <w:footnote w:id="21">
    <w:p w14:paraId="197DFC42"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Директива 2008/105/ЕО на Европейския парламент и на Съвета от 16 декември 2008 г. за определяне на стандарти за качество на околната среда в областта на политиката за водите, за изменение и последваща отмяна на директиви 82/176/ЕИО, 83/513/ЕИО, 84/156/ЕИО, 84/491/ЕИО 86/280/ЕИО на Съвета и за изменение на Директива 2000/60/ЕО на Европейския парламент и на Съвета (ОВ L 348, 24.12.2008 г., стр. 84).</w:t>
      </w:r>
    </w:p>
  </w:footnote>
  <w:footnote w:id="22">
    <w:p w14:paraId="1143404E"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Решение № 2455/2001/ЕО на Европейския парламент и на Съвета от 20 ноември 2001 г. за определяне на списък на приоритетните вещества в областта на политиката за водите и за изменение на Директива 2000/60/ЕО (ОВ L 331, 15.12.2001 г., стр. 1).</w:t>
      </w:r>
    </w:p>
  </w:footnote>
  <w:footnote w:id="23">
    <w:p w14:paraId="5C069905"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Директива 2006/118/ЕО на Европейския парламент и на Съвета от 12 декември 2006 г. за опазване на подземните води от замърсяване и влошаване на състоянието им (ОВ L 372, 27.12.2006 г., стр. 19).</w:t>
      </w:r>
    </w:p>
  </w:footnote>
  <w:footnote w:id="24">
    <w:p w14:paraId="042946DC"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Регламент (ЕО) № 1907/2006 на Европейския парламент и на Съвета от 18 декември 2006 г. относно регистрацията, оценката, разрешаването и ограничаването на химикали (REACH), за създаване на Европейска агенция по химикали (ОВ L 396, 30.12.2006 г., стр. 1).</w:t>
      </w:r>
    </w:p>
  </w:footnote>
  <w:footnote w:id="25">
    <w:p w14:paraId="3E902AEE"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Регламент (ЕО) № 1107/2009 на Европейския парламент и на Съвета от 21 октомври 2009 г. относно пускането на пазара на продукти за растителна защита и за отмяна на директиви 79/117/ЕИО и 91/414/ЕИО на Съвета (ОВ L 309, 24.11.2009 г., стр. 1).</w:t>
      </w:r>
    </w:p>
  </w:footnote>
  <w:footnote w:id="26">
    <w:p w14:paraId="3BCBD177"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Регламент (ЕС) № 528/2012 на Европейския парламент и на Съвета от 22 май 2012 г. относно предоставянето на пазара и употребата на биоциди (ОВ L 167, 27.6.2012 г., стр. 1).</w:t>
      </w:r>
    </w:p>
  </w:footnote>
  <w:footnote w:id="27">
    <w:p w14:paraId="152F9661"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Регламент (ЕС) 2019/6 на Европейския парламент и на Съвета от 11 декември 2018 г. относно ветеринарните лекарствени продукти и за отмяна на Директива 2001/82/ЕО (ОВ L 4, 7.1.2019 г., стр. 43).</w:t>
      </w:r>
    </w:p>
  </w:footnote>
  <w:footnote w:id="28">
    <w:p w14:paraId="5DA8BA0A"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Директива 2001/83/ЕО на Европейския парламент и на Съвета от 6 ноември 2001 г. за утвърждаване на кодекс на Общността относно лекарствени продукти за хуманна употреба (OB L 311, 28.11.2001 г., стр. 67).</w:t>
      </w:r>
    </w:p>
  </w:footnote>
  <w:footnote w:id="29">
    <w:p w14:paraId="2CF5F151"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Директива 2009/128/ЕО на Европейския парламент и на Съвета от 21 октомври 2009 г. за създаване на рамка за действие на Общността за постигане на устойчива употреба на пестициди (ОВ L 309, 24.11.2009 г., стр. 71).</w:t>
      </w:r>
    </w:p>
  </w:footnote>
  <w:footnote w:id="30">
    <w:p w14:paraId="7237888A"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Директива 2010/75/ЕС на Европейския парламент и на Съвета от 24 ноември 2010 г. относно емисиите от промишлеността (комплексно предотвратяване и контрол на замърсяването) (ОВ L 334, 17.12.2010 г., стр. 17).</w:t>
      </w:r>
    </w:p>
  </w:footnote>
  <w:footnote w:id="31">
    <w:p w14:paraId="577E0759"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Директива 91/271/ЕИО на Съвета от 21 май 1991 г. за пречистването на градските отпадъчни води (ОВ L 135, 30.5.1991 г., стр. 40).</w:t>
      </w:r>
    </w:p>
  </w:footnote>
  <w:footnote w:id="32">
    <w:p w14:paraId="18ECCCDB"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Transcriptomic signalling in zebrafish embryos exposed to environmental concentrations of glyphosate(„Транскриптомно сигнализиране при ембриони от риба зебра, изложени на концентрации на глифосат от околната среда“), 2022 г. Effects of low-concentration glyphosate and aminomethyl phosphonic acid on zebrafish embryo development („Въздействия на глифосат и аминометилова фосфониева киселина в ниски концентрации върху развитието на ембриони от риба зебра“), 2021 г. Global transcriptomic profiling demonstrates induction of oxidative stress and compensatory cellular stress responses in brown trout exposed to glyphosate and Roundup („Глобалното транскриптомно профилиране показва индуциране на оксидативен стрес и компенсаторни клетъчни реакции на стрес при пъстърва, изложена на глифосат и Roundup“), 2018 г.</w:t>
      </w:r>
    </w:p>
  </w:footnote>
  <w:footnote w:id="33">
    <w:p w14:paraId="4F7BBA22"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Решение 2004/248/EО на Комисията от 10 март 2004 г. относно невключването на атразин в приложение І към Директива 91/414/EИО на Съвета и оттеглянето на разрешенията за продуктите за растителна защита, съдържащи това активно вещество (ОВ L 078, 16.3.2004 г., стр.53).</w:t>
      </w:r>
    </w:p>
  </w:footnote>
  <w:footnote w:id="34">
    <w:p w14:paraId="58A09C9E"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Директива (ЕС) 2020/2184 на Европейския парламент и на Съвета от 16 декември 2020 г. относно качеството на водата, предназначена за консумация от човека (преработен текст) (OВ L 435, 23.12.2020 г., стр. 1).</w:t>
      </w:r>
    </w:p>
  </w:footnote>
  <w:footnote w:id="35">
    <w:p w14:paraId="24A53350"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НКЗЕВР. Contribution to ENV consultation: Comments on the Commission’s proposal for amending the WFD/GWD/EQSD („Принос към консултациите на Съвета по околна среда – коментари относно предложението на Комисията за изменение на WFD/GWD/EQSD“), март 2023 г. НКЗЕВР. Groundwater quality standards for proposed additional pollutants in the annexes to the Groundwater Directive (2006/118/EC) („Стандарти за качество на подземните води във връзка с предложените допълнителни замърсители в приложенията към Директивата за подземните води (2006/118/ЕО)“), юли 2022 г.</w:t>
      </w:r>
    </w:p>
  </w:footnote>
  <w:footnote w:id="36">
    <w:p w14:paraId="70AE5CB3"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EMA. Assessing the toxicological risk to human health and groundwater communities from veterinary pharmaceuticals in groundwater - Scientific guideline („Оценка на токсикологичния риск за човешкото здраве и за екосистемата на подземните води от фармацевтичните продукти в подземните води – научни насоки“), април 2018 г.</w:t>
      </w:r>
    </w:p>
  </w:footnote>
  <w:footnote w:id="37">
    <w:p w14:paraId="6C273AA8"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European Groundwater Memorandum: To secure the quality and quantity of drinking water for future generations („Европейски меморандум за подземните води – гарантиране на качеството и количеството на питейната вода за бъдещите поколения“), март 2022 г.</w:t>
      </w:r>
    </w:p>
  </w:footnote>
  <w:footnote w:id="38">
    <w:p w14:paraId="38023425"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EMA. Assessing the toxicological risk to human health and groundwater communities from veterinary pharmaceuticals in groundwater - Scientific guideline („Оценка на токсикологичния риск за човешкото здраве и за екосистемата на подземните води от фармацевтичните продукти в подземните води – научни насоки“), април 2018 г.</w:t>
      </w:r>
    </w:p>
  </w:footnote>
  <w:footnote w:id="39">
    <w:p w14:paraId="479745AF"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Директива (ЕС) 2020/2184 на Европейския парламент и на Съвета от 16 декември 2020 г. относно качеството на водата, предназначена за консумация от човека (преработена) (ОВ L 435, 23.12.2020 г., стр. 1).</w:t>
      </w:r>
    </w:p>
  </w:footnote>
  <w:footnote w:id="40">
    <w:p w14:paraId="1159270A" w14:textId="74AA3F2D"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“Global burden of bacterial antimicrobial resistance in 2019: a systematic analysis” („Глобалната тежест на бактериалната антимикробна резистентност през 2019 г.: систематичен а</w:t>
      </w:r>
      <w:r w:rsidR="00297094">
        <w:rPr>
          <w:b/>
          <w:i/>
          <w:lang w:val="bg-BG"/>
        </w:rPr>
        <w:t>нализ“), Lancet, 19 януари 2022 </w:t>
      </w:r>
      <w:r w:rsidRPr="004C279A">
        <w:rPr>
          <w:b/>
          <w:i/>
          <w:lang w:val="bg-BG"/>
        </w:rPr>
        <w:t>г. https://www.sciencedirect.com/science/article/pii/S0140673621027240?via%3Dihub</w:t>
      </w:r>
    </w:p>
  </w:footnote>
  <w:footnote w:id="41">
    <w:p w14:paraId="243B63A8"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https://www.sciencedirect.com/science/article/pii/S2352186422000724</w:t>
      </w:r>
    </w:p>
  </w:footnote>
  <w:footnote w:id="42">
    <w:p w14:paraId="156AE047"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Работен документ на службите на комисията — Проверка за пригодност на Рамковата директива за водите, Директивата за подземните води, Директивата за стандартите за качество на околната среда и Директивата за наводненията, SWD(2019) 439 final.</w:t>
      </w:r>
    </w:p>
  </w:footnote>
  <w:footnote w:id="43">
    <w:p w14:paraId="402AB8C5"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https://www.igb-berlin.de/sites/default/files/media-files/download-files/IGB_Policy_Brief_WFD_2019.pdf</w:t>
      </w:r>
    </w:p>
  </w:footnote>
  <w:footnote w:id="44">
    <w:p w14:paraId="41FF2127"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Директива 2007/2/ЕО на Европейския парламент и на Съвета от 14 март 2007 г. за създаване на инфраструктура за пространствена информация в Европейската общност (INSPIRE) (ОВ L 108, 25.4.2007 г., стр. 1).</w:t>
      </w:r>
    </w:p>
  </w:footnote>
  <w:footnote w:id="45">
    <w:p w14:paraId="73A7A8DC"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Директива (ЕС) 2019/1024 на Европейския парламент и на Съвета от 20 юни 2019 г. относно отворените данни и повторното използване на информацията от обществения сектор (ОВ L 172, 26.6.2019 г., стр. 56).</w:t>
      </w:r>
    </w:p>
  </w:footnote>
  <w:footnote w:id="46">
    <w:p w14:paraId="0205FC02"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strike/>
          <w:lang w:val="bg-BG"/>
        </w:rPr>
        <w:t>Регламент (ЕО) № 166/2006 на Европейския парламент и на Съвета от 18 януари 2006 г. за създаване на Европейски регистър за изпускането и преноса на замърсители и за изменение на Директиви 91/689/ЕИО и 96/61/ЕО на Съвета (ОВ L 33, 4.2.2006 г., стр. 1).</w:t>
      </w:r>
    </w:p>
  </w:footnote>
  <w:footnote w:id="47">
    <w:p w14:paraId="3AA18469"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48">
    <w:p w14:paraId="61618603"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vertAlign w:val="superscript"/>
          <w:lang w:val="bg-BG"/>
        </w:rPr>
        <w:t>+</w:t>
      </w:r>
      <w:r w:rsidRPr="004C279A">
        <w:rPr>
          <w:lang w:val="bg-BG"/>
        </w:rPr>
        <w:t>СП: Моля, въведете в текста номера на регламента, съдържащ се в документ COM(2022) 157, както и номера, датата, заглавието и данните за публикацията в ОВ на тази директива в бележката под линия.</w:t>
      </w:r>
    </w:p>
  </w:footnote>
  <w:footnote w:id="49">
    <w:p w14:paraId="755F1813"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Решение на Съда (първи състав) от 28 май 2020 г. по дело C-535/18, Il и др. срещу Land Nordrhein Westfalen. Решение на Съда (втори състав) от 20 декември 2017 г. по дело C-664/15, Protect Natur-, Arten- und Landschaftsschutz Umweltorganisation срещу Bezirkshauptmannschaft Gmünd.</w:t>
      </w:r>
    </w:p>
  </w:footnote>
  <w:footnote w:id="50">
    <w:p w14:paraId="5C2B7BD3"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t>Решение № 1313/2013/ЕС на Европейския парламент и на Съвета от 17 декември 2013 г. относно Механизъм за гражданска защита на Съюза (ОВ L 347, 20.12.2013 г., стр. 924).</w:t>
      </w:r>
    </w:p>
  </w:footnote>
  <w:footnote w:id="51">
    <w:p w14:paraId="0B3A2F4A" w14:textId="77777777" w:rsidR="00723523" w:rsidRPr="004C279A" w:rsidRDefault="00723523" w:rsidP="000D29CC">
      <w:pPr>
        <w:pStyle w:val="FootnoteTextForceStyle"/>
        <w:rPr>
          <w:lang w:val="bg-BG"/>
        </w:rPr>
      </w:pPr>
      <w:r w:rsidRPr="004C279A">
        <w:rPr>
          <w:vertAlign w:val="superscript"/>
          <w:lang w:val="bg-BG"/>
        </w:rPr>
        <w:footnoteRef/>
      </w:r>
      <w:r w:rsidRPr="004C279A">
        <w:rPr>
          <w:lang w:val="bg-BG"/>
        </w:rPr>
        <w:tab/>
      </w:r>
      <w:r w:rsidRPr="004C279A">
        <w:rPr>
          <w:b/>
          <w:i/>
          <w:lang w:val="bg-BG"/>
        </w:rPr>
        <w:t>ОИСР, 6-а кръгла маса относно финансирането във водния сектор. Достъпно на: https://www.oecd.org/water/6th-Roundtable-on-Financing-Water-in-Europe-Summary-and-Highlights.pdf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093C6E60"/>
    <w:multiLevelType w:val="multilevel"/>
    <w:tmpl w:val="BC64E536"/>
    <w:lvl w:ilvl="0">
      <w:start w:val="1"/>
      <w:numFmt w:val="decimal"/>
      <w:pStyle w:val="ThetitleofAnnexIPoint0number"/>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643A6648"/>
    <w:name w:val="List Dash 3"/>
    <w:lvl w:ilvl="0">
      <w:start w:val="1"/>
      <w:numFmt w:val="decimal"/>
      <w:pStyle w:val="ListNumber1"/>
      <w:lvlText w:val="(%1)"/>
      <w:lvlJc w:val="left"/>
      <w:pPr>
        <w:tabs>
          <w:tab w:val="num" w:pos="1701"/>
        </w:tabs>
        <w:ind w:left="1701"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98C015E"/>
    <w:multiLevelType w:val="multilevel"/>
    <w:tmpl w:val="4F4EEA34"/>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8"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2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538806B0"/>
    <w:name w:val="0.6719891"/>
    <w:lvl w:ilvl="0">
      <w:start w:val="1"/>
      <w:numFmt w:val="decimal"/>
      <w:lvlRestart w:val="0"/>
      <w:pStyle w:val="ListNumber"/>
      <w:lvlText w:val="(%1)"/>
      <w:lvlJc w:val="left"/>
      <w:pPr>
        <w:tabs>
          <w:tab w:val="num" w:pos="1276"/>
        </w:tabs>
        <w:ind w:left="1276" w:hanging="709"/>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CBE4812"/>
    <w:multiLevelType w:val="singleLevel"/>
    <w:tmpl w:val="23C821E4"/>
    <w:name w:val="Considérant"/>
    <w:lvl w:ilvl="0">
      <w:start w:val="1"/>
      <w:numFmt w:val="decimal"/>
      <w:lvlRestart w:val="0"/>
      <w:lvlText w:val="(%1)"/>
      <w:lvlJc w:val="left"/>
      <w:pPr>
        <w:tabs>
          <w:tab w:val="num" w:pos="709"/>
        </w:tabs>
        <w:ind w:left="709" w:hanging="709"/>
      </w:pPr>
    </w:lvl>
  </w:abstractNum>
  <w:num w:numId="1">
    <w:abstractNumId w:val="1"/>
  </w:num>
  <w:num w:numId="2">
    <w:abstractNumId w:val="12"/>
  </w:num>
  <w:num w:numId="3">
    <w:abstractNumId w:val="4"/>
  </w:num>
  <w:num w:numId="4">
    <w:abstractNumId w:val="0"/>
  </w:num>
  <w:num w:numId="5">
    <w:abstractNumId w:val="9"/>
  </w:num>
  <w:num w:numId="6">
    <w:abstractNumId w:val="19"/>
  </w:num>
  <w:num w:numId="7">
    <w:abstractNumId w:val="18"/>
  </w:num>
  <w:num w:numId="8">
    <w:abstractNumId w:val="27"/>
  </w:num>
  <w:num w:numId="9">
    <w:abstractNumId w:val="2"/>
  </w:num>
  <w:num w:numId="10">
    <w:abstractNumId w:val="11"/>
  </w:num>
  <w:num w:numId="11">
    <w:abstractNumId w:val="3"/>
  </w:num>
  <w:num w:numId="12">
    <w:abstractNumId w:val="13"/>
  </w:num>
  <w:num w:numId="13">
    <w:abstractNumId w:val="10"/>
  </w:num>
  <w:num w:numId="14">
    <w:abstractNumId w:val="20"/>
  </w:num>
  <w:num w:numId="15">
    <w:abstractNumId w:val="8"/>
  </w:num>
  <w:num w:numId="16">
    <w:abstractNumId w:val="24"/>
  </w:num>
  <w:num w:numId="17">
    <w:abstractNumId w:val="14"/>
  </w:num>
  <w:num w:numId="18">
    <w:abstractNumId w:val="26"/>
  </w:num>
  <w:num w:numId="19">
    <w:abstractNumId w:val="7"/>
  </w:num>
  <w:num w:numId="20">
    <w:abstractNumId w:val="15"/>
  </w:num>
  <w:num w:numId="21">
    <w:abstractNumId w:val="16"/>
  </w:num>
  <w:num w:numId="22">
    <w:abstractNumId w:val="5"/>
  </w:num>
  <w:num w:numId="23">
    <w:abstractNumId w:val="17"/>
  </w:num>
  <w:num w:numId="24">
    <w:abstractNumId w:val="22"/>
  </w:num>
  <w:num w:numId="25">
    <w:abstractNumId w:val="23"/>
  </w:num>
  <w:num w:numId="26">
    <w:abstractNumId w:val="6"/>
  </w:num>
  <w:num w:numId="27">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38/2023"/>
    <w:docVar w:name="dvlangue" w:val="BG"/>
    <w:docVar w:name="dvnumam" w:val="228"/>
    <w:docVar w:name="dvpe" w:val="740.884"/>
    <w:docVar w:name="dvrapporteur" w:val="Докладчик: "/>
    <w:docVar w:name="dvstar" w:val="***I"/>
    <w:docVar w:name="dvtitre" w:val="Законодателна резолюция на Европейския парламент от ... 2024 г. относно предложението за директива на Европейския парламент и на Съвета за изменение на Директива 2000/60/ЕО за установяване на рамка за действията на Общността в областта на политиката за водите, Директива 2006/118/ЕО за опазване на подземните води от замърсяване и влошаване на състоянието им и Директива 2008/105/ЕО за определяне на стандарти за качество на околната среда в областта на политиката за водите(COM(2022)0540 – C9-0361/2022 – 2022/0344(COD))"/>
  </w:docVars>
  <w:rsids>
    <w:rsidRoot w:val="008F3A8D"/>
    <w:rsid w:val="00002272"/>
    <w:rsid w:val="000407D3"/>
    <w:rsid w:val="00064002"/>
    <w:rsid w:val="000677B9"/>
    <w:rsid w:val="000831BA"/>
    <w:rsid w:val="000A42CC"/>
    <w:rsid w:val="000B1908"/>
    <w:rsid w:val="000D29CC"/>
    <w:rsid w:val="000E7DD9"/>
    <w:rsid w:val="0010095E"/>
    <w:rsid w:val="00125B37"/>
    <w:rsid w:val="00187494"/>
    <w:rsid w:val="001F32AE"/>
    <w:rsid w:val="002322DE"/>
    <w:rsid w:val="00256D8B"/>
    <w:rsid w:val="002767FF"/>
    <w:rsid w:val="00297094"/>
    <w:rsid w:val="002B18FE"/>
    <w:rsid w:val="002B5493"/>
    <w:rsid w:val="002E0423"/>
    <w:rsid w:val="003345CB"/>
    <w:rsid w:val="00343214"/>
    <w:rsid w:val="00361C00"/>
    <w:rsid w:val="00367CD6"/>
    <w:rsid w:val="00395FA1"/>
    <w:rsid w:val="003E15D4"/>
    <w:rsid w:val="00411CCE"/>
    <w:rsid w:val="0041666E"/>
    <w:rsid w:val="00421060"/>
    <w:rsid w:val="00471C19"/>
    <w:rsid w:val="004867E3"/>
    <w:rsid w:val="00494A28"/>
    <w:rsid w:val="004B59D2"/>
    <w:rsid w:val="004C0004"/>
    <w:rsid w:val="004C279A"/>
    <w:rsid w:val="004C5D52"/>
    <w:rsid w:val="00501E78"/>
    <w:rsid w:val="0050519A"/>
    <w:rsid w:val="005072A1"/>
    <w:rsid w:val="00514517"/>
    <w:rsid w:val="00545827"/>
    <w:rsid w:val="00560270"/>
    <w:rsid w:val="005C2568"/>
    <w:rsid w:val="006037C0"/>
    <w:rsid w:val="00605ED0"/>
    <w:rsid w:val="006631B6"/>
    <w:rsid w:val="00680577"/>
    <w:rsid w:val="006B6B15"/>
    <w:rsid w:val="006D417D"/>
    <w:rsid w:val="006F74FA"/>
    <w:rsid w:val="00700E04"/>
    <w:rsid w:val="00701E89"/>
    <w:rsid w:val="00723523"/>
    <w:rsid w:val="00731ADD"/>
    <w:rsid w:val="00734777"/>
    <w:rsid w:val="00747932"/>
    <w:rsid w:val="00751A4A"/>
    <w:rsid w:val="00753EC5"/>
    <w:rsid w:val="00756632"/>
    <w:rsid w:val="00762C74"/>
    <w:rsid w:val="00786EC0"/>
    <w:rsid w:val="007D1690"/>
    <w:rsid w:val="007E22AD"/>
    <w:rsid w:val="00817416"/>
    <w:rsid w:val="00842779"/>
    <w:rsid w:val="00865F67"/>
    <w:rsid w:val="00881A7B"/>
    <w:rsid w:val="008840E5"/>
    <w:rsid w:val="00887B3E"/>
    <w:rsid w:val="00891938"/>
    <w:rsid w:val="008C2AC6"/>
    <w:rsid w:val="008F1CBE"/>
    <w:rsid w:val="008F3A8D"/>
    <w:rsid w:val="0091249B"/>
    <w:rsid w:val="00921C9B"/>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60CD"/>
    <w:rsid w:val="00BD48FE"/>
    <w:rsid w:val="00BD7BD8"/>
    <w:rsid w:val="00BE6ADC"/>
    <w:rsid w:val="00C05BFE"/>
    <w:rsid w:val="00C23CD4"/>
    <w:rsid w:val="00C24803"/>
    <w:rsid w:val="00C61C0C"/>
    <w:rsid w:val="00C941CB"/>
    <w:rsid w:val="00CC2357"/>
    <w:rsid w:val="00CF071A"/>
    <w:rsid w:val="00D058B8"/>
    <w:rsid w:val="00D24A7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99B542"/>
  <w15:chartTrackingRefBased/>
  <w15:docId w15:val="{9B545C7B-FFE3-4250-86E8-93352E0ED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iPriority="35" w:unhideWhenUsed="1" w:qFormat="1"/>
    <w:lsdException w:name="table of authorities" w:uiPriority="0"/>
    <w:lsdException w:name="toa heading" w:uiPriority="0"/>
    <w:lsdException w:name="Title" w:uiPriority="10" w:qFormat="1"/>
    <w:lsdException w:name="Default Paragraph Font" w:uiPriority="0"/>
    <w:lsdException w:name="Subtitle" w:uiPriority="11" w:qFormat="1"/>
    <w:lsdException w:name="Salutation" w:uiPriority="0"/>
    <w:lsdException w:name="Date" w:uiPriority="0"/>
    <w:lsdException w:name="Note Heading" w:uiPriority="0"/>
    <w:lsdException w:name="Body Text 2" w:uiPriority="0"/>
    <w:lsdException w:name="Strong" w:uiPriority="22" w:qFormat="1"/>
    <w:lsdException w:name="Emphasis" w:uiPriority="20" w:qFormat="1"/>
    <w:lsdException w:name="HTML Top of Form" w:uiPriority="0"/>
    <w:lsdException w:name="HTML Bottom of Form" w:uiPriority="0"/>
    <w:lsdException w:name="Normal Table" w:semiHidden="1" w:uiPriority="0" w:unhideWhenUsed="1"/>
    <w:lsdException w:name="Outline List 1" w:uiPriority="0"/>
    <w:lsdException w:name="Outline List 2" w:uiPriority="0"/>
    <w:lsdException w:name="Outline List 3" w:uiPriority="0"/>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qFormat/>
    <w:pPr>
      <w:spacing w:before="240" w:after="60"/>
      <w:outlineLvl w:val="7"/>
    </w:pPr>
    <w:rPr>
      <w:rFonts w:ascii="Arial" w:hAnsi="Arial"/>
      <w:i/>
    </w:rPr>
  </w:style>
  <w:style w:type="paragraph" w:styleId="Heading9">
    <w:name w:val="heading 9"/>
    <w:basedOn w:val="Normal"/>
    <w:next w:val="Normal"/>
    <w:link w:val="Heading9Char"/>
    <w:uiPriority w:val="9"/>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uiPriority w:val="99"/>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B6B15"/>
    <w:rPr>
      <w:b/>
      <w:kern w:val="28"/>
      <w:sz w:val="28"/>
      <w:lang w:val="fr-FR" w:eastAsia="fr-FR"/>
    </w:rPr>
  </w:style>
  <w:style w:type="character" w:customStyle="1" w:styleId="Heading2Char">
    <w:name w:val="Heading 2 Char"/>
    <w:basedOn w:val="DefaultParagraphFont"/>
    <w:link w:val="Heading2"/>
    <w:uiPriority w:val="9"/>
    <w:semiHidden/>
    <w:rsid w:val="006B6B15"/>
    <w:rPr>
      <w:sz w:val="24"/>
      <w:lang w:val="fr-FR" w:eastAsia="fr-FR"/>
    </w:rPr>
  </w:style>
  <w:style w:type="character" w:customStyle="1" w:styleId="Heading3Char">
    <w:name w:val="Heading 3 Char"/>
    <w:basedOn w:val="DefaultParagraphFont"/>
    <w:link w:val="Heading3"/>
    <w:uiPriority w:val="9"/>
    <w:semiHidden/>
    <w:rsid w:val="006B6B15"/>
    <w:rPr>
      <w:rFonts w:ascii="Arial" w:hAnsi="Arial"/>
      <w:sz w:val="24"/>
      <w:lang w:val="fr-FR" w:eastAsia="fr-FR"/>
    </w:rPr>
  </w:style>
  <w:style w:type="character" w:customStyle="1" w:styleId="Heading4Char">
    <w:name w:val="Heading 4 Char"/>
    <w:basedOn w:val="DefaultParagraphFont"/>
    <w:link w:val="Heading4"/>
    <w:uiPriority w:val="9"/>
    <w:semiHidden/>
    <w:rsid w:val="006B6B15"/>
    <w:rPr>
      <w:sz w:val="24"/>
      <w:lang w:val="en-US" w:eastAsia="fr-FR"/>
    </w:rPr>
  </w:style>
  <w:style w:type="character" w:customStyle="1" w:styleId="Heading5Char">
    <w:name w:val="Heading 5 Char"/>
    <w:basedOn w:val="DefaultParagraphFont"/>
    <w:link w:val="Heading5"/>
    <w:uiPriority w:val="9"/>
    <w:semiHidden/>
    <w:rsid w:val="006B6B15"/>
    <w:rPr>
      <w:sz w:val="24"/>
      <w:lang w:val="en-US" w:eastAsia="fr-FR"/>
    </w:rPr>
  </w:style>
  <w:style w:type="character" w:customStyle="1" w:styleId="Heading6Char">
    <w:name w:val="Heading 6 Char"/>
    <w:basedOn w:val="DefaultParagraphFont"/>
    <w:link w:val="Heading6"/>
    <w:uiPriority w:val="9"/>
    <w:semiHidden/>
    <w:rsid w:val="006B6B15"/>
    <w:rPr>
      <w:i/>
      <w:sz w:val="22"/>
      <w:lang w:val="bg-BG"/>
    </w:rPr>
  </w:style>
  <w:style w:type="character" w:customStyle="1" w:styleId="Heading7Char">
    <w:name w:val="Heading 7 Char"/>
    <w:basedOn w:val="DefaultParagraphFont"/>
    <w:link w:val="Heading7"/>
    <w:uiPriority w:val="9"/>
    <w:semiHidden/>
    <w:rsid w:val="006B6B15"/>
    <w:rPr>
      <w:rFonts w:ascii="Arial" w:hAnsi="Arial"/>
      <w:sz w:val="24"/>
      <w:lang w:val="bg-BG"/>
    </w:rPr>
  </w:style>
  <w:style w:type="character" w:customStyle="1" w:styleId="Heading8Char">
    <w:name w:val="Heading 8 Char"/>
    <w:basedOn w:val="DefaultParagraphFont"/>
    <w:link w:val="Heading8"/>
    <w:uiPriority w:val="9"/>
    <w:rsid w:val="006B6B15"/>
    <w:rPr>
      <w:rFonts w:ascii="Arial" w:hAnsi="Arial"/>
      <w:i/>
      <w:sz w:val="24"/>
      <w:lang w:val="bg-BG"/>
    </w:rPr>
  </w:style>
  <w:style w:type="character" w:customStyle="1" w:styleId="Heading9Char">
    <w:name w:val="Heading 9 Char"/>
    <w:basedOn w:val="DefaultParagraphFont"/>
    <w:link w:val="Heading9"/>
    <w:uiPriority w:val="9"/>
    <w:rsid w:val="006B6B15"/>
    <w:rPr>
      <w:rFonts w:ascii="Arial" w:hAnsi="Arial"/>
      <w:b/>
      <w:i/>
      <w:sz w:val="18"/>
      <w:lang w:val="bg-BG"/>
    </w:rPr>
  </w:style>
  <w:style w:type="paragraph" w:styleId="TOCHeading">
    <w:name w:val="TOC Heading"/>
    <w:basedOn w:val="Normal"/>
    <w:next w:val="Normal"/>
    <w:uiPriority w:val="39"/>
    <w:unhideWhenUsed/>
    <w:qFormat/>
    <w:rsid w:val="006B6B15"/>
    <w:pPr>
      <w:widowControl/>
      <w:spacing w:after="240"/>
    </w:pPr>
    <w:rPr>
      <w:lang w:val="en-GB"/>
    </w:rPr>
  </w:style>
  <w:style w:type="paragraph" w:customStyle="1" w:styleId="EPFooter2">
    <w:name w:val="EPFooter2"/>
    <w:basedOn w:val="Normal"/>
    <w:next w:val="Normal"/>
    <w:rsid w:val="006B6B1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B6B15"/>
    <w:pPr>
      <w:keepNext/>
      <w:spacing w:after="240"/>
      <w:jc w:val="right"/>
    </w:pPr>
    <w:rPr>
      <w:rFonts w:ascii="Arial" w:hAnsi="Arial"/>
      <w:b/>
    </w:rPr>
  </w:style>
  <w:style w:type="paragraph" w:customStyle="1" w:styleId="Normal6a">
    <w:name w:val="Normal6a"/>
    <w:basedOn w:val="Normal"/>
    <w:rsid w:val="006B6B15"/>
    <w:pPr>
      <w:spacing w:after="120"/>
    </w:pPr>
  </w:style>
  <w:style w:type="paragraph" w:customStyle="1" w:styleId="PageHeading">
    <w:name w:val="PageHeading"/>
    <w:basedOn w:val="Normal"/>
    <w:rsid w:val="006B6B15"/>
    <w:pPr>
      <w:keepNext/>
      <w:spacing w:after="480"/>
      <w:jc w:val="center"/>
    </w:pPr>
    <w:rPr>
      <w:rFonts w:ascii="Arial" w:hAnsi="Arial" w:cs="Arial"/>
      <w:b/>
    </w:rPr>
  </w:style>
  <w:style w:type="paragraph" w:customStyle="1" w:styleId="NormalBold">
    <w:name w:val="NormalBold"/>
    <w:basedOn w:val="Normal"/>
    <w:link w:val="NormalBoldChar"/>
    <w:rsid w:val="006B6B15"/>
    <w:rPr>
      <w:b/>
    </w:rPr>
  </w:style>
  <w:style w:type="character" w:customStyle="1" w:styleId="NormalBoldChar">
    <w:name w:val="NormalBold Char"/>
    <w:basedOn w:val="DefaultParagraphFont"/>
    <w:link w:val="NormalBold"/>
    <w:rsid w:val="006B6B15"/>
    <w:rPr>
      <w:b/>
      <w:sz w:val="24"/>
      <w:lang w:val="bg-BG"/>
    </w:rPr>
  </w:style>
  <w:style w:type="paragraph" w:customStyle="1" w:styleId="NormalBold12a">
    <w:name w:val="NormalBold12a"/>
    <w:basedOn w:val="Normal"/>
    <w:rsid w:val="006B6B15"/>
    <w:pPr>
      <w:spacing w:after="240"/>
    </w:pPr>
    <w:rPr>
      <w:b/>
    </w:rPr>
  </w:style>
  <w:style w:type="paragraph" w:customStyle="1" w:styleId="AmJustText">
    <w:name w:val="AmJustText"/>
    <w:basedOn w:val="Normal"/>
    <w:rsid w:val="006B6B15"/>
    <w:pPr>
      <w:spacing w:after="240"/>
    </w:pPr>
    <w:rPr>
      <w:i/>
    </w:rPr>
  </w:style>
  <w:style w:type="paragraph" w:customStyle="1" w:styleId="NormalHanging12a">
    <w:name w:val="NormalHanging12a"/>
    <w:basedOn w:val="Normal"/>
    <w:rsid w:val="006B6B15"/>
    <w:pPr>
      <w:spacing w:after="240"/>
      <w:ind w:left="567" w:hanging="567"/>
    </w:pPr>
  </w:style>
  <w:style w:type="paragraph" w:customStyle="1" w:styleId="CoverNormal24a">
    <w:name w:val="CoverNormal24a"/>
    <w:basedOn w:val="Normal"/>
    <w:rsid w:val="006B6B15"/>
    <w:pPr>
      <w:spacing w:after="480"/>
      <w:ind w:left="1417"/>
    </w:pPr>
  </w:style>
  <w:style w:type="paragraph" w:customStyle="1" w:styleId="CoverNormal">
    <w:name w:val="CoverNormal"/>
    <w:basedOn w:val="Normal"/>
    <w:rsid w:val="006B6B15"/>
    <w:pPr>
      <w:ind w:left="1418"/>
    </w:pPr>
  </w:style>
  <w:style w:type="paragraph" w:customStyle="1" w:styleId="AmCrossRef">
    <w:name w:val="AmCrossRef"/>
    <w:basedOn w:val="Normal"/>
    <w:rsid w:val="006B6B15"/>
    <w:pPr>
      <w:spacing w:before="240" w:after="240"/>
      <w:jc w:val="center"/>
    </w:pPr>
    <w:rPr>
      <w:i/>
    </w:rPr>
  </w:style>
  <w:style w:type="paragraph" w:customStyle="1" w:styleId="AmJustTitle">
    <w:name w:val="AmJustTitle"/>
    <w:basedOn w:val="Normal"/>
    <w:next w:val="AmJustText"/>
    <w:rsid w:val="006B6B15"/>
    <w:pPr>
      <w:keepNext/>
      <w:spacing w:before="240" w:after="240"/>
      <w:jc w:val="center"/>
    </w:pPr>
    <w:rPr>
      <w:i/>
    </w:rPr>
  </w:style>
  <w:style w:type="paragraph" w:customStyle="1" w:styleId="CoverReference">
    <w:name w:val="CoverReference"/>
    <w:basedOn w:val="Normal"/>
    <w:rsid w:val="006B6B15"/>
    <w:pPr>
      <w:spacing w:before="1080"/>
      <w:jc w:val="right"/>
    </w:pPr>
    <w:rPr>
      <w:rFonts w:ascii="Arial" w:hAnsi="Arial" w:cs="Arial"/>
      <w:b/>
    </w:rPr>
  </w:style>
  <w:style w:type="paragraph" w:customStyle="1" w:styleId="CoverDocType">
    <w:name w:val="CoverDocType"/>
    <w:basedOn w:val="Normal"/>
    <w:rsid w:val="006B6B15"/>
    <w:pPr>
      <w:ind w:left="1418"/>
    </w:pPr>
    <w:rPr>
      <w:rFonts w:ascii="Arial" w:hAnsi="Arial"/>
      <w:b/>
      <w:sz w:val="48"/>
    </w:rPr>
  </w:style>
  <w:style w:type="paragraph" w:customStyle="1" w:styleId="CoverDocType24a">
    <w:name w:val="CoverDocType24a"/>
    <w:basedOn w:val="Normal"/>
    <w:rsid w:val="006B6B15"/>
    <w:pPr>
      <w:spacing w:after="480"/>
      <w:ind w:left="1418"/>
    </w:pPr>
    <w:rPr>
      <w:rFonts w:ascii="Arial" w:hAnsi="Arial"/>
      <w:b/>
      <w:sz w:val="48"/>
    </w:rPr>
  </w:style>
  <w:style w:type="paragraph" w:customStyle="1" w:styleId="CoverDate">
    <w:name w:val="CoverDate"/>
    <w:basedOn w:val="Normal"/>
    <w:rsid w:val="006B6B15"/>
    <w:pPr>
      <w:spacing w:before="240" w:after="1200"/>
    </w:pPr>
  </w:style>
  <w:style w:type="paragraph" w:styleId="Header">
    <w:name w:val="header"/>
    <w:basedOn w:val="Normal"/>
    <w:link w:val="HeaderChar"/>
    <w:uiPriority w:val="99"/>
    <w:rsid w:val="006B6B15"/>
    <w:pPr>
      <w:tabs>
        <w:tab w:val="center" w:pos="4513"/>
        <w:tab w:val="right" w:pos="9026"/>
      </w:tabs>
    </w:pPr>
  </w:style>
  <w:style w:type="character" w:customStyle="1" w:styleId="HeaderChar">
    <w:name w:val="Header Char"/>
    <w:basedOn w:val="DefaultParagraphFont"/>
    <w:link w:val="Header"/>
    <w:uiPriority w:val="99"/>
    <w:rsid w:val="006B6B15"/>
    <w:rPr>
      <w:sz w:val="24"/>
      <w:lang w:val="bg-BG"/>
    </w:rPr>
  </w:style>
  <w:style w:type="paragraph" w:customStyle="1" w:styleId="AmOrLang">
    <w:name w:val="AmOrLang"/>
    <w:basedOn w:val="Normal"/>
    <w:rsid w:val="006B6B15"/>
    <w:pPr>
      <w:spacing w:before="240" w:after="240"/>
      <w:jc w:val="right"/>
    </w:pPr>
  </w:style>
  <w:style w:type="paragraph" w:customStyle="1" w:styleId="AmColumnHeading">
    <w:name w:val="AmColumnHeading"/>
    <w:basedOn w:val="Normal"/>
    <w:rsid w:val="006B6B15"/>
    <w:pPr>
      <w:spacing w:after="240"/>
      <w:jc w:val="center"/>
    </w:pPr>
    <w:rPr>
      <w:i/>
    </w:rPr>
  </w:style>
  <w:style w:type="paragraph" w:customStyle="1" w:styleId="AmNumberTabs">
    <w:name w:val="AmNumberTabs"/>
    <w:basedOn w:val="Normal"/>
    <w:link w:val="AmNumberTabsChar"/>
    <w:rsid w:val="006B6B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6B6B15"/>
    <w:rPr>
      <w:b/>
      <w:sz w:val="24"/>
      <w:lang w:val="bg-BG"/>
    </w:rPr>
  </w:style>
  <w:style w:type="paragraph" w:customStyle="1" w:styleId="NormalBold12b">
    <w:name w:val="NormalBold12b"/>
    <w:basedOn w:val="Normal"/>
    <w:link w:val="NormalBold12bChar"/>
    <w:rsid w:val="006B6B15"/>
    <w:pPr>
      <w:spacing w:before="240"/>
    </w:pPr>
    <w:rPr>
      <w:b/>
    </w:rPr>
  </w:style>
  <w:style w:type="character" w:customStyle="1" w:styleId="NormalBold12bChar">
    <w:name w:val="NormalBold12b Char"/>
    <w:basedOn w:val="AmNumberTabsChar"/>
    <w:link w:val="NormalBold12b"/>
    <w:rsid w:val="006B6B15"/>
    <w:rPr>
      <w:b/>
      <w:sz w:val="24"/>
      <w:lang w:val="bg-BG"/>
    </w:rPr>
  </w:style>
  <w:style w:type="paragraph" w:customStyle="1" w:styleId="EPBody">
    <w:name w:val="EPBody"/>
    <w:basedOn w:val="Normal"/>
    <w:rsid w:val="006B6B15"/>
    <w:pPr>
      <w:jc w:val="center"/>
    </w:pPr>
    <w:rPr>
      <w:rFonts w:ascii="Arial" w:hAnsi="Arial" w:cs="Arial"/>
      <w:i/>
      <w:sz w:val="22"/>
      <w:szCs w:val="22"/>
    </w:rPr>
  </w:style>
  <w:style w:type="paragraph" w:customStyle="1" w:styleId="EPFooter">
    <w:name w:val="EPFooter"/>
    <w:basedOn w:val="Normal"/>
    <w:rsid w:val="006B6B15"/>
    <w:pPr>
      <w:tabs>
        <w:tab w:val="center" w:pos="4535"/>
        <w:tab w:val="right" w:pos="9071"/>
      </w:tabs>
      <w:spacing w:before="240" w:after="240"/>
    </w:pPr>
    <w:rPr>
      <w:color w:val="010000"/>
      <w:sz w:val="22"/>
    </w:rPr>
  </w:style>
  <w:style w:type="paragraph" w:customStyle="1" w:styleId="EPComma">
    <w:name w:val="EPComma"/>
    <w:basedOn w:val="Normal"/>
    <w:rsid w:val="006B6B15"/>
    <w:pPr>
      <w:spacing w:before="480" w:after="240"/>
    </w:pPr>
  </w:style>
  <w:style w:type="paragraph" w:customStyle="1" w:styleId="Lgendesigne">
    <w:name w:val="Légende signe"/>
    <w:basedOn w:val="Normal"/>
    <w:rsid w:val="006B6B15"/>
    <w:pPr>
      <w:tabs>
        <w:tab w:val="right" w:pos="454"/>
        <w:tab w:val="left" w:pos="737"/>
      </w:tabs>
      <w:ind w:left="737" w:hanging="737"/>
    </w:pPr>
    <w:rPr>
      <w:snapToGrid w:val="0"/>
      <w:sz w:val="18"/>
      <w:lang w:eastAsia="en-US"/>
    </w:rPr>
  </w:style>
  <w:style w:type="paragraph" w:customStyle="1" w:styleId="Lgendetitre">
    <w:name w:val="Légende titre"/>
    <w:basedOn w:val="Normal"/>
    <w:rsid w:val="006B6B15"/>
    <w:pPr>
      <w:spacing w:before="240" w:after="240"/>
    </w:pPr>
    <w:rPr>
      <w:b/>
      <w:i/>
      <w:snapToGrid w:val="0"/>
      <w:lang w:eastAsia="en-US"/>
    </w:rPr>
  </w:style>
  <w:style w:type="paragraph" w:customStyle="1" w:styleId="Lgendestandard">
    <w:name w:val="Légende standard"/>
    <w:basedOn w:val="Normal"/>
    <w:rsid w:val="006B6B15"/>
    <w:rPr>
      <w:sz w:val="18"/>
    </w:rPr>
  </w:style>
  <w:style w:type="paragraph" w:customStyle="1" w:styleId="EntPE">
    <w:name w:val="EntPE"/>
    <w:basedOn w:val="Normal12"/>
    <w:rsid w:val="006B6B15"/>
    <w:pPr>
      <w:jc w:val="center"/>
    </w:pPr>
    <w:rPr>
      <w:noProof w:val="0"/>
      <w:sz w:val="56"/>
    </w:rPr>
  </w:style>
  <w:style w:type="paragraph" w:customStyle="1" w:styleId="Normal12">
    <w:name w:val="Normal12"/>
    <w:basedOn w:val="Normal"/>
    <w:link w:val="Normal12Char"/>
    <w:rsid w:val="006B6B15"/>
    <w:pPr>
      <w:spacing w:after="240"/>
    </w:pPr>
    <w:rPr>
      <w:noProof/>
    </w:rPr>
  </w:style>
  <w:style w:type="character" w:customStyle="1" w:styleId="Normal12Char">
    <w:name w:val="Normal12 Char"/>
    <w:basedOn w:val="DefaultParagraphFont"/>
    <w:link w:val="Normal12"/>
    <w:locked/>
    <w:rsid w:val="006B6B15"/>
    <w:rPr>
      <w:noProof/>
      <w:sz w:val="24"/>
      <w:lang w:val="bg-BG"/>
    </w:rPr>
  </w:style>
  <w:style w:type="paragraph" w:customStyle="1" w:styleId="CommitteeAM">
    <w:name w:val="CommitteeAM"/>
    <w:basedOn w:val="Normal"/>
    <w:rsid w:val="006B6B15"/>
    <w:pPr>
      <w:spacing w:before="240" w:after="600"/>
      <w:jc w:val="center"/>
    </w:pPr>
    <w:rPr>
      <w:i/>
    </w:rPr>
  </w:style>
  <w:style w:type="paragraph" w:customStyle="1" w:styleId="ZDateAM">
    <w:name w:val="ZDateAM"/>
    <w:basedOn w:val="Normal"/>
    <w:rsid w:val="006B6B15"/>
    <w:pPr>
      <w:tabs>
        <w:tab w:val="right" w:pos="9356"/>
      </w:tabs>
      <w:spacing w:after="480"/>
    </w:pPr>
    <w:rPr>
      <w:noProof/>
    </w:rPr>
  </w:style>
  <w:style w:type="paragraph" w:customStyle="1" w:styleId="ProjRap">
    <w:name w:val="ProjRap"/>
    <w:basedOn w:val="Normal"/>
    <w:rsid w:val="006B6B15"/>
    <w:pPr>
      <w:tabs>
        <w:tab w:val="right" w:pos="9356"/>
      </w:tabs>
    </w:pPr>
    <w:rPr>
      <w:b/>
      <w:noProof/>
    </w:rPr>
  </w:style>
  <w:style w:type="paragraph" w:customStyle="1" w:styleId="PELeft">
    <w:name w:val="PELeft"/>
    <w:basedOn w:val="Normal"/>
    <w:rsid w:val="006B6B15"/>
    <w:pPr>
      <w:spacing w:before="40" w:after="40"/>
    </w:pPr>
    <w:rPr>
      <w:rFonts w:ascii="Arial" w:hAnsi="Arial" w:cs="Arial"/>
      <w:sz w:val="22"/>
      <w:szCs w:val="22"/>
    </w:rPr>
  </w:style>
  <w:style w:type="paragraph" w:customStyle="1" w:styleId="PERight">
    <w:name w:val="PERight"/>
    <w:basedOn w:val="Normal"/>
    <w:next w:val="Normal"/>
    <w:rsid w:val="006B6B15"/>
    <w:pPr>
      <w:jc w:val="right"/>
    </w:pPr>
    <w:rPr>
      <w:rFonts w:ascii="Arial" w:hAnsi="Arial" w:cs="Arial"/>
      <w:sz w:val="22"/>
      <w:szCs w:val="22"/>
    </w:rPr>
  </w:style>
  <w:style w:type="paragraph" w:customStyle="1" w:styleId="Normal6">
    <w:name w:val="Normal6"/>
    <w:basedOn w:val="Normal"/>
    <w:link w:val="Normal6Char"/>
    <w:rsid w:val="006B6B15"/>
    <w:pPr>
      <w:spacing w:after="120"/>
    </w:pPr>
  </w:style>
  <w:style w:type="character" w:customStyle="1" w:styleId="Normal6Char">
    <w:name w:val="Normal6 Char"/>
    <w:basedOn w:val="DefaultParagraphFont"/>
    <w:link w:val="Normal6"/>
    <w:rsid w:val="006B6B15"/>
    <w:rPr>
      <w:sz w:val="24"/>
      <w:lang w:val="bg-BG"/>
    </w:rPr>
  </w:style>
  <w:style w:type="paragraph" w:customStyle="1" w:styleId="Normal12Italic">
    <w:name w:val="Normal12Italic"/>
    <w:basedOn w:val="Normal12"/>
    <w:rsid w:val="006B6B15"/>
    <w:rPr>
      <w:i/>
    </w:rPr>
  </w:style>
  <w:style w:type="paragraph" w:customStyle="1" w:styleId="JustificationTitle">
    <w:name w:val="JustificationTitle"/>
    <w:basedOn w:val="Normal"/>
    <w:next w:val="Normal12"/>
    <w:rsid w:val="006B6B15"/>
    <w:pPr>
      <w:keepNext/>
      <w:spacing w:before="240" w:after="240"/>
      <w:jc w:val="center"/>
    </w:pPr>
    <w:rPr>
      <w:i/>
      <w:noProof/>
    </w:rPr>
  </w:style>
  <w:style w:type="paragraph" w:customStyle="1" w:styleId="Olang">
    <w:name w:val="Olang"/>
    <w:basedOn w:val="Normal"/>
    <w:rsid w:val="006B6B15"/>
    <w:pPr>
      <w:spacing w:before="240" w:after="240"/>
      <w:jc w:val="right"/>
    </w:pPr>
    <w:rPr>
      <w:noProof/>
      <w:szCs w:val="24"/>
    </w:rPr>
  </w:style>
  <w:style w:type="paragraph" w:customStyle="1" w:styleId="ColumnHeading">
    <w:name w:val="ColumnHeading"/>
    <w:basedOn w:val="Normal"/>
    <w:rsid w:val="006B6B15"/>
    <w:pPr>
      <w:spacing w:after="240"/>
      <w:jc w:val="center"/>
    </w:pPr>
    <w:rPr>
      <w:i/>
    </w:rPr>
  </w:style>
  <w:style w:type="paragraph" w:customStyle="1" w:styleId="AMNumberTabs0">
    <w:name w:val="AMNumberTabs"/>
    <w:basedOn w:val="Normal"/>
    <w:rsid w:val="006B6B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B6B15"/>
    <w:pPr>
      <w:spacing w:before="240"/>
      <w:jc w:val="center"/>
    </w:pPr>
    <w:rPr>
      <w:i/>
    </w:rPr>
  </w:style>
  <w:style w:type="character" w:customStyle="1" w:styleId="Footer2Middle">
    <w:name w:val="Footer2Middle"/>
    <w:rsid w:val="006B6B15"/>
    <w:rPr>
      <w:rFonts w:ascii="Arial" w:cs="Arial"/>
      <w:b w:val="0"/>
      <w:i/>
      <w:color w:val="C0C0C0"/>
      <w:sz w:val="22"/>
    </w:rPr>
  </w:style>
  <w:style w:type="paragraph" w:customStyle="1" w:styleId="Normal24a">
    <w:name w:val="Normal24a"/>
    <w:basedOn w:val="Normal"/>
    <w:rsid w:val="006B6B15"/>
    <w:pPr>
      <w:spacing w:after="480"/>
    </w:pPr>
  </w:style>
  <w:style w:type="paragraph" w:customStyle="1" w:styleId="NormalBoldCenter">
    <w:name w:val="NormalBoldCenter"/>
    <w:basedOn w:val="Normal"/>
    <w:rsid w:val="006B6B15"/>
    <w:pPr>
      <w:jc w:val="center"/>
    </w:pPr>
    <w:rPr>
      <w:b/>
    </w:rPr>
  </w:style>
  <w:style w:type="paragraph" w:customStyle="1" w:styleId="Point0number">
    <w:name w:val="Point 0 (number)"/>
    <w:basedOn w:val="Normal"/>
    <w:rsid w:val="006B6B15"/>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6B6B15"/>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6B6B15"/>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6B6B15"/>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6B6B15"/>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6B6B15"/>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6B6B15"/>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6B6B15"/>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6B6B15"/>
    <w:pPr>
      <w:widowControl/>
      <w:numPr>
        <w:ilvl w:val="8"/>
        <w:numId w:val="3"/>
      </w:numPr>
      <w:spacing w:before="120" w:after="120"/>
      <w:jc w:val="both"/>
    </w:pPr>
    <w:rPr>
      <w:rFonts w:eastAsiaTheme="minorHAnsi"/>
      <w:szCs w:val="22"/>
      <w:lang w:eastAsia="en-US"/>
    </w:rPr>
  </w:style>
  <w:style w:type="paragraph" w:styleId="BalloonText">
    <w:name w:val="Balloon Text"/>
    <w:basedOn w:val="Normal"/>
    <w:link w:val="BalloonTextChar"/>
    <w:uiPriority w:val="99"/>
    <w:unhideWhenUsed/>
    <w:rsid w:val="006B6B15"/>
    <w:rPr>
      <w:rFonts w:ascii="Segoe UI" w:hAnsi="Segoe UI" w:cs="Segoe UI"/>
      <w:sz w:val="18"/>
      <w:szCs w:val="18"/>
    </w:rPr>
  </w:style>
  <w:style w:type="character" w:customStyle="1" w:styleId="BalloonTextChar">
    <w:name w:val="Balloon Text Char"/>
    <w:basedOn w:val="DefaultParagraphFont"/>
    <w:link w:val="BalloonText"/>
    <w:uiPriority w:val="99"/>
    <w:rsid w:val="006B6B15"/>
    <w:rPr>
      <w:rFonts w:ascii="Segoe UI" w:hAnsi="Segoe UI" w:cs="Segoe UI"/>
      <w:sz w:val="18"/>
      <w:szCs w:val="18"/>
      <w:lang w:val="bg-BG"/>
    </w:rPr>
  </w:style>
  <w:style w:type="character" w:styleId="CommentReference">
    <w:name w:val="annotation reference"/>
    <w:basedOn w:val="DefaultParagraphFont"/>
    <w:uiPriority w:val="99"/>
    <w:rsid w:val="006B6B15"/>
    <w:rPr>
      <w:sz w:val="16"/>
      <w:szCs w:val="16"/>
    </w:rPr>
  </w:style>
  <w:style w:type="paragraph" w:styleId="CommentText">
    <w:name w:val="annotation text"/>
    <w:basedOn w:val="Normal"/>
    <w:link w:val="CommentTextChar"/>
    <w:uiPriority w:val="99"/>
    <w:rsid w:val="006B6B15"/>
    <w:rPr>
      <w:sz w:val="20"/>
    </w:rPr>
  </w:style>
  <w:style w:type="character" w:customStyle="1" w:styleId="CommentTextChar">
    <w:name w:val="Comment Text Char"/>
    <w:basedOn w:val="DefaultParagraphFont"/>
    <w:link w:val="CommentText"/>
    <w:uiPriority w:val="99"/>
    <w:rsid w:val="006B6B15"/>
    <w:rPr>
      <w:lang w:val="bg-BG"/>
    </w:rPr>
  </w:style>
  <w:style w:type="paragraph" w:styleId="CommentSubject">
    <w:name w:val="annotation subject"/>
    <w:basedOn w:val="CommentText"/>
    <w:next w:val="CommentText"/>
    <w:link w:val="CommentSubjectChar"/>
    <w:uiPriority w:val="99"/>
    <w:unhideWhenUsed/>
    <w:rsid w:val="006B6B15"/>
    <w:rPr>
      <w:b/>
      <w:bCs/>
    </w:rPr>
  </w:style>
  <w:style w:type="character" w:customStyle="1" w:styleId="CommentSubjectChar">
    <w:name w:val="Comment Subject Char"/>
    <w:basedOn w:val="CommentTextChar"/>
    <w:link w:val="CommentSubject"/>
    <w:uiPriority w:val="99"/>
    <w:rsid w:val="006B6B15"/>
    <w:rPr>
      <w:b/>
      <w:bCs/>
      <w:lang w:val="bg-BG"/>
    </w:rPr>
  </w:style>
  <w:style w:type="paragraph" w:styleId="Revision">
    <w:name w:val="Revision"/>
    <w:hidden/>
    <w:uiPriority w:val="99"/>
    <w:semiHidden/>
    <w:rsid w:val="006B6B15"/>
    <w:rPr>
      <w:sz w:val="24"/>
      <w:lang w:val="bg-BG"/>
    </w:rPr>
  </w:style>
  <w:style w:type="character" w:customStyle="1" w:styleId="highlight-diff">
    <w:name w:val="highlight-diff"/>
    <w:basedOn w:val="DefaultParagraphFont"/>
    <w:rsid w:val="006B6B15"/>
  </w:style>
  <w:style w:type="paragraph" w:customStyle="1" w:styleId="Normal12a">
    <w:name w:val="Normal12a"/>
    <w:basedOn w:val="Normal"/>
    <w:rsid w:val="006B6B15"/>
    <w:pPr>
      <w:spacing w:after="240"/>
    </w:pPr>
  </w:style>
  <w:style w:type="paragraph" w:customStyle="1" w:styleId="PageHeadingNotTOC">
    <w:name w:val="PageHeadingNotTOC"/>
    <w:basedOn w:val="Normal"/>
    <w:rsid w:val="006B6B15"/>
    <w:pPr>
      <w:keepNext/>
      <w:spacing w:after="480"/>
      <w:jc w:val="center"/>
    </w:pPr>
    <w:rPr>
      <w:rFonts w:ascii="Arial" w:hAnsi="Arial" w:cs="Arial"/>
      <w:b/>
    </w:rPr>
  </w:style>
  <w:style w:type="paragraph" w:customStyle="1" w:styleId="AmHeadingPA">
    <w:name w:val="AmHeadingPA"/>
    <w:basedOn w:val="Normal"/>
    <w:next w:val="Normal"/>
    <w:rsid w:val="006B6B15"/>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6B6B15"/>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B6B15"/>
    <w:pPr>
      <w:tabs>
        <w:tab w:val="center" w:pos="284"/>
        <w:tab w:val="left" w:pos="426"/>
      </w:tabs>
    </w:pPr>
    <w:rPr>
      <w:snapToGrid w:val="0"/>
      <w:lang w:eastAsia="en-US"/>
    </w:rPr>
  </w:style>
  <w:style w:type="paragraph" w:customStyle="1" w:styleId="RollCallVotes">
    <w:name w:val="RollCallVotes"/>
    <w:basedOn w:val="Normal"/>
    <w:rsid w:val="006B6B15"/>
    <w:pPr>
      <w:spacing w:before="120" w:after="120"/>
      <w:jc w:val="center"/>
    </w:pPr>
    <w:rPr>
      <w:b/>
      <w:bCs/>
      <w:snapToGrid w:val="0"/>
      <w:sz w:val="16"/>
      <w:lang w:eastAsia="en-US"/>
    </w:rPr>
  </w:style>
  <w:style w:type="paragraph" w:customStyle="1" w:styleId="RollCallTable">
    <w:name w:val="RollCallTable"/>
    <w:basedOn w:val="Normal"/>
    <w:rsid w:val="006B6B15"/>
    <w:pPr>
      <w:spacing w:before="120" w:after="120"/>
    </w:pPr>
    <w:rPr>
      <w:snapToGrid w:val="0"/>
      <w:sz w:val="16"/>
      <w:lang w:eastAsia="en-US"/>
    </w:rPr>
  </w:style>
  <w:style w:type="character" w:styleId="Hyperlink">
    <w:name w:val="Hyperlink"/>
    <w:uiPriority w:val="99"/>
    <w:rsid w:val="006B6B15"/>
    <w:rPr>
      <w:color w:val="0000FF"/>
      <w:u w:val="single"/>
      <w:shd w:val="clear" w:color="auto" w:fill="auto"/>
    </w:rPr>
  </w:style>
  <w:style w:type="paragraph" w:customStyle="1" w:styleId="CM1">
    <w:name w:val="CM1"/>
    <w:basedOn w:val="Normal"/>
    <w:next w:val="Normal"/>
    <w:uiPriority w:val="99"/>
    <w:rsid w:val="006B6B15"/>
    <w:pPr>
      <w:widowControl/>
      <w:autoSpaceDE w:val="0"/>
      <w:autoSpaceDN w:val="0"/>
      <w:adjustRightInd w:val="0"/>
    </w:pPr>
    <w:rPr>
      <w:szCs w:val="24"/>
    </w:rPr>
  </w:style>
  <w:style w:type="paragraph" w:customStyle="1" w:styleId="CM3">
    <w:name w:val="CM3"/>
    <w:basedOn w:val="Normal"/>
    <w:next w:val="Normal"/>
    <w:uiPriority w:val="99"/>
    <w:rsid w:val="006B6B15"/>
    <w:pPr>
      <w:widowControl/>
      <w:autoSpaceDE w:val="0"/>
      <w:autoSpaceDN w:val="0"/>
      <w:adjustRightInd w:val="0"/>
    </w:pPr>
    <w:rPr>
      <w:szCs w:val="24"/>
    </w:rPr>
  </w:style>
  <w:style w:type="character" w:styleId="FollowedHyperlink">
    <w:name w:val="FollowedHyperlink"/>
    <w:basedOn w:val="DefaultParagraphFont"/>
    <w:uiPriority w:val="99"/>
    <w:unhideWhenUsed/>
    <w:rsid w:val="004B59D2"/>
    <w:rPr>
      <w:color w:val="954F72" w:themeColor="followedHyperlink"/>
      <w:u w:val="single"/>
    </w:rPr>
  </w:style>
  <w:style w:type="numbering" w:customStyle="1" w:styleId="NoList1">
    <w:name w:val="No List1"/>
    <w:next w:val="NoList"/>
    <w:uiPriority w:val="99"/>
    <w:semiHidden/>
    <w:unhideWhenUsed/>
    <w:rsid w:val="000D29CC"/>
  </w:style>
  <w:style w:type="paragraph" w:customStyle="1" w:styleId="SignaturePersonne">
    <w:name w:val="Signature Personne"/>
    <w:basedOn w:val="Normal"/>
    <w:rsid w:val="000D29CC"/>
    <w:pPr>
      <w:widowControl/>
      <w:tabs>
        <w:tab w:val="left" w:pos="4252"/>
      </w:tabs>
      <w:spacing w:line="360" w:lineRule="auto"/>
    </w:pPr>
    <w:rPr>
      <w:i/>
      <w:szCs w:val="24"/>
      <w:lang w:val="en-GB" w:eastAsia="en-US"/>
    </w:rPr>
  </w:style>
  <w:style w:type="paragraph" w:customStyle="1" w:styleId="Considrant">
    <w:name w:val="Considérant"/>
    <w:basedOn w:val="Normal"/>
    <w:rsid w:val="000D29CC"/>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0D29CC"/>
    <w:pPr>
      <w:keepNext/>
      <w:spacing w:before="600" w:after="120" w:line="360" w:lineRule="auto"/>
    </w:pPr>
    <w:rPr>
      <w:szCs w:val="24"/>
      <w:lang w:val="en-GB" w:eastAsia="en-US"/>
    </w:rPr>
  </w:style>
  <w:style w:type="paragraph" w:customStyle="1" w:styleId="Institutionquisigne">
    <w:name w:val="Institution qui signe"/>
    <w:basedOn w:val="Normal"/>
    <w:next w:val="Normal"/>
    <w:rsid w:val="000D29CC"/>
    <w:pPr>
      <w:keepNext/>
      <w:tabs>
        <w:tab w:val="left" w:pos="4252"/>
      </w:tabs>
      <w:spacing w:before="720" w:line="360" w:lineRule="auto"/>
    </w:pPr>
    <w:rPr>
      <w:i/>
      <w:szCs w:val="24"/>
      <w:lang w:val="en-GB" w:eastAsia="en-US"/>
    </w:rPr>
  </w:style>
  <w:style w:type="paragraph" w:customStyle="1" w:styleId="Fait">
    <w:name w:val="Fait à"/>
    <w:basedOn w:val="Normal"/>
    <w:rsid w:val="000D29CC"/>
    <w:pPr>
      <w:keepNext/>
      <w:widowControl/>
      <w:spacing w:before="120" w:line="360" w:lineRule="auto"/>
    </w:pPr>
    <w:rPr>
      <w:szCs w:val="24"/>
      <w:lang w:val="en-GB" w:eastAsia="en-US"/>
    </w:rPr>
  </w:style>
  <w:style w:type="character" w:customStyle="1" w:styleId="FooterChar">
    <w:name w:val="Footer Char"/>
    <w:uiPriority w:val="99"/>
    <w:rsid w:val="000D29CC"/>
    <w:rPr>
      <w:rFonts w:ascii="Times New Roman" w:eastAsia="Times New Roman" w:hAnsi="Times New Roman" w:cs="Times New Roman"/>
      <w:sz w:val="24"/>
    </w:rPr>
  </w:style>
  <w:style w:type="paragraph" w:customStyle="1" w:styleId="FootnoteTextForceStyle">
    <w:name w:val="Footnote Text ForceStyle"/>
    <w:rsid w:val="000D29CC"/>
    <w:pPr>
      <w:keepLines/>
      <w:widowControl w:val="0"/>
      <w:ind w:left="850" w:hanging="850"/>
    </w:pPr>
    <w:rPr>
      <w:sz w:val="24"/>
      <w:lang w:eastAsia="en-US"/>
    </w:rPr>
  </w:style>
  <w:style w:type="character" w:customStyle="1" w:styleId="Footer2">
    <w:name w:val="Footer2"/>
    <w:rsid w:val="000D29CC"/>
    <w:rPr>
      <w:rFonts w:ascii="Arial" w:hAnsi="Arial"/>
      <w:b/>
      <w:sz w:val="48"/>
    </w:rPr>
  </w:style>
  <w:style w:type="paragraph" w:customStyle="1" w:styleId="Applicationdirecte">
    <w:name w:val="Application directe"/>
    <w:basedOn w:val="Normal"/>
    <w:next w:val="Normal"/>
    <w:rsid w:val="000D29CC"/>
    <w:pPr>
      <w:spacing w:before="120" w:after="120" w:line="360" w:lineRule="auto"/>
    </w:pPr>
    <w:rPr>
      <w:szCs w:val="24"/>
      <w:lang w:val="en-GB" w:eastAsia="en-US"/>
    </w:rPr>
  </w:style>
  <w:style w:type="paragraph" w:customStyle="1" w:styleId="Normale">
    <w:name w:val="Normale"/>
    <w:rsid w:val="000D29CC"/>
    <w:pPr>
      <w:widowControl w:val="0"/>
      <w:spacing w:before="120" w:after="120" w:line="360" w:lineRule="auto"/>
    </w:pPr>
    <w:rPr>
      <w:sz w:val="24"/>
      <w:lang w:eastAsia="en-US"/>
    </w:rPr>
  </w:style>
  <w:style w:type="paragraph" w:customStyle="1" w:styleId="Formuledadoption">
    <w:name w:val="Formule d'adoption"/>
    <w:basedOn w:val="Normal"/>
    <w:next w:val="Normal"/>
    <w:rsid w:val="000D29CC"/>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0D29CC"/>
    <w:pPr>
      <w:widowControl/>
      <w:spacing w:after="240" w:line="360" w:lineRule="auto"/>
      <w:ind w:left="5102"/>
    </w:pPr>
    <w:rPr>
      <w:szCs w:val="24"/>
      <w:lang w:val="en-GB" w:eastAsia="en-US"/>
    </w:rPr>
  </w:style>
  <w:style w:type="paragraph" w:customStyle="1" w:styleId="Footer1">
    <w:name w:val="Footer1"/>
    <w:basedOn w:val="Normal"/>
    <w:rsid w:val="000D29CC"/>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0D29CC"/>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0D29CC"/>
    <w:pPr>
      <w:widowControl/>
      <w:spacing w:before="840" w:line="360" w:lineRule="auto"/>
      <w:jc w:val="center"/>
    </w:pPr>
    <w:rPr>
      <w:szCs w:val="24"/>
      <w:lang w:val="en-GB" w:eastAsia="en-US"/>
    </w:rPr>
  </w:style>
  <w:style w:type="paragraph" w:customStyle="1" w:styleId="Typedudocument">
    <w:name w:val="Type du document"/>
    <w:basedOn w:val="Normal"/>
    <w:next w:val="Normal"/>
    <w:rsid w:val="000D29CC"/>
    <w:pPr>
      <w:widowControl/>
      <w:spacing w:before="360" w:line="360" w:lineRule="auto"/>
      <w:jc w:val="center"/>
    </w:pPr>
    <w:rPr>
      <w:b/>
      <w:szCs w:val="24"/>
      <w:lang w:val="en-GB" w:eastAsia="en-US"/>
    </w:rPr>
  </w:style>
  <w:style w:type="paragraph" w:customStyle="1" w:styleId="Titreobjet">
    <w:name w:val="Titre objet"/>
    <w:basedOn w:val="Normal"/>
    <w:next w:val="Normal"/>
    <w:rsid w:val="000D29CC"/>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0D29CC"/>
    <w:pPr>
      <w:widowControl/>
      <w:spacing w:before="360" w:after="240" w:line="360" w:lineRule="auto"/>
      <w:jc w:val="center"/>
    </w:pPr>
    <w:rPr>
      <w:szCs w:val="24"/>
      <w:lang w:val="en-GB" w:eastAsia="en-US"/>
    </w:rPr>
  </w:style>
  <w:style w:type="character" w:customStyle="1" w:styleId="CMissingStyle">
    <w:name w:val="C_MissingStyle"/>
    <w:rsid w:val="000D29CC"/>
    <w:rPr>
      <w:color w:val="FFFFFF"/>
      <w:sz w:val="22"/>
      <w:shd w:val="clear" w:color="000000" w:fill="000000"/>
    </w:rPr>
  </w:style>
  <w:style w:type="paragraph" w:customStyle="1" w:styleId="PMissingStyle">
    <w:name w:val="P_MissingStyle"/>
    <w:basedOn w:val="Normal"/>
    <w:rsid w:val="000D29CC"/>
    <w:pPr>
      <w:spacing w:before="120" w:after="120" w:line="360" w:lineRule="auto"/>
    </w:pPr>
    <w:rPr>
      <w:color w:val="FFFFFF"/>
      <w:szCs w:val="24"/>
      <w:shd w:val="clear" w:color="000000" w:fill="000000"/>
      <w:lang w:val="en-GB" w:eastAsia="en-US"/>
    </w:rPr>
  </w:style>
  <w:style w:type="paragraph" w:styleId="Footer">
    <w:name w:val="footer"/>
    <w:basedOn w:val="Normal"/>
    <w:link w:val="FooterChar1"/>
    <w:uiPriority w:val="99"/>
    <w:rsid w:val="000D29CC"/>
    <w:pPr>
      <w:tabs>
        <w:tab w:val="center" w:pos="4513"/>
        <w:tab w:val="right" w:pos="9026"/>
      </w:tabs>
    </w:pPr>
  </w:style>
  <w:style w:type="character" w:customStyle="1" w:styleId="FooterChar1">
    <w:name w:val="Footer Char1"/>
    <w:basedOn w:val="DefaultParagraphFont"/>
    <w:link w:val="Footer"/>
    <w:rsid w:val="000D29CC"/>
    <w:rPr>
      <w:sz w:val="24"/>
      <w:lang w:val="bg-BG"/>
    </w:rPr>
  </w:style>
  <w:style w:type="numbering" w:customStyle="1" w:styleId="NoList2">
    <w:name w:val="No List2"/>
    <w:next w:val="NoList"/>
    <w:uiPriority w:val="99"/>
    <w:semiHidden/>
    <w:unhideWhenUsed/>
    <w:rsid w:val="00501E78"/>
  </w:style>
  <w:style w:type="paragraph" w:styleId="ListBullet">
    <w:name w:val="List Bullet"/>
    <w:basedOn w:val="Normal"/>
    <w:uiPriority w:val="99"/>
    <w:unhideWhenUsed/>
    <w:rsid w:val="00501E78"/>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501E78"/>
    <w:pPr>
      <w:widowControl/>
      <w:tabs>
        <w:tab w:val="num" w:pos="360"/>
      </w:tabs>
      <w:spacing w:before="120" w:after="120"/>
      <w:ind w:left="360" w:hanging="360"/>
      <w:contextualSpacing/>
      <w:jc w:val="both"/>
    </w:pPr>
    <w:rPr>
      <w:rFonts w:eastAsia="Calibri"/>
      <w:szCs w:val="22"/>
      <w:lang w:eastAsia="en-US"/>
    </w:rPr>
  </w:style>
  <w:style w:type="paragraph" w:styleId="ListBullet3">
    <w:name w:val="List Bullet 3"/>
    <w:basedOn w:val="Normal"/>
    <w:uiPriority w:val="99"/>
    <w:unhideWhenUsed/>
    <w:rsid w:val="00501E78"/>
    <w:pPr>
      <w:widowControl/>
      <w:tabs>
        <w:tab w:val="num" w:pos="643"/>
      </w:tabs>
      <w:spacing w:before="120" w:after="120"/>
      <w:ind w:left="643" w:hanging="360"/>
      <w:contextualSpacing/>
      <w:jc w:val="both"/>
    </w:pPr>
    <w:rPr>
      <w:rFonts w:eastAsia="Calibri"/>
      <w:szCs w:val="22"/>
      <w:lang w:eastAsia="en-US"/>
    </w:rPr>
  </w:style>
  <w:style w:type="paragraph" w:styleId="ListBullet4">
    <w:name w:val="List Bullet 4"/>
    <w:basedOn w:val="Normal"/>
    <w:uiPriority w:val="99"/>
    <w:unhideWhenUsed/>
    <w:rsid w:val="00501E78"/>
    <w:pPr>
      <w:widowControl/>
      <w:tabs>
        <w:tab w:val="num" w:pos="643"/>
      </w:tabs>
      <w:spacing w:before="120" w:after="120"/>
      <w:ind w:left="643" w:hanging="360"/>
      <w:contextualSpacing/>
      <w:jc w:val="both"/>
    </w:pPr>
    <w:rPr>
      <w:rFonts w:eastAsia="Calibri"/>
      <w:szCs w:val="22"/>
      <w:lang w:eastAsia="en-US"/>
    </w:rPr>
  </w:style>
  <w:style w:type="table" w:customStyle="1" w:styleId="TableGrid1">
    <w:name w:val="Table Grid1"/>
    <w:basedOn w:val="TableNormal"/>
    <w:next w:val="TableGrid"/>
    <w:uiPriority w:val="59"/>
    <w:rsid w:val="00501E7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501E78"/>
    <w:rPr>
      <w:rFonts w:ascii="Calibri" w:eastAsia="Calibri" w:hAnsi="Calibri"/>
      <w:sz w:val="22"/>
      <w:szCs w:val="22"/>
      <w:lang w:val="en-U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rPr>
    </w:tblStylePr>
    <w:tblStylePr w:type="lastRow">
      <w:rPr>
        <w:b/>
      </w:rPr>
      <w:tblPr/>
      <w:tcPr>
        <w:tcBorders>
          <w:top w:val="doub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TableGridLight1">
    <w:name w:val="Table Grid Light1"/>
    <w:basedOn w:val="TableNormal"/>
    <w:next w:val="TableGridLight"/>
    <w:uiPriority w:val="40"/>
    <w:rsid w:val="00501E78"/>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51">
    <w:name w:val="Plain Table 51"/>
    <w:basedOn w:val="TableNormal"/>
    <w:next w:val="PlainTable5"/>
    <w:uiPriority w:val="45"/>
    <w:rsid w:val="00501E78"/>
    <w:rPr>
      <w:rFonts w:ascii="Calibri" w:eastAsia="Calibri" w:hAnsi="Calibri"/>
      <w:sz w:val="22"/>
      <w:szCs w:val="22"/>
      <w:lang w:val="en-US" w:eastAsia="en-US"/>
    </w:rPr>
    <w:tblPr>
      <w:tblStyleRowBandSize w:val="1"/>
      <w:tblStyleColBandSize w:val="1"/>
    </w:tblPr>
    <w:tblStylePr w:type="firstRow">
      <w:rPr>
        <w:rFonts w:ascii="Cambria" w:eastAsia="Times New Roman" w:hAnsi="Cambria" w:cs="Times New Roman"/>
        <w:i/>
        <w:sz w:val="26"/>
      </w:rPr>
      <w:tblPr/>
      <w:tcPr>
        <w:tcBorders>
          <w:bottom w:val="single" w:sz="4" w:space="0" w:color="7F7F7F"/>
        </w:tcBorders>
        <w:shd w:val="clear" w:color="auto" w:fill="FFFFFF"/>
      </w:tcPr>
    </w:tblStylePr>
    <w:tblStylePr w:type="lastRow">
      <w:rPr>
        <w:rFonts w:ascii="Cambria" w:eastAsia="Times New Roman" w:hAnsi="Cambria" w:cs="Times New Roman"/>
        <w:i/>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sz w:val="26"/>
      </w:rPr>
      <w:tblPr/>
      <w:tcPr>
        <w:tcBorders>
          <w:right w:val="single" w:sz="4" w:space="0" w:color="7F7F7F"/>
        </w:tcBorders>
        <w:shd w:val="clear" w:color="auto" w:fill="FFFFFF"/>
      </w:tcPr>
    </w:tblStylePr>
    <w:tblStylePr w:type="lastCol">
      <w:rPr>
        <w:rFonts w:ascii="Cambria" w:eastAsia="Times New Roman" w:hAnsi="Cambria" w:cs="Times New Roman"/>
        <w:i/>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foonote">
    <w:name w:val="foonote"/>
    <w:basedOn w:val="FootnoteText"/>
    <w:link w:val="foonoteChar"/>
    <w:qFormat/>
    <w:rsid w:val="00501E78"/>
    <w:pPr>
      <w:keepLines w:val="0"/>
      <w:spacing w:line="240" w:lineRule="auto"/>
      <w:ind w:left="0" w:firstLine="0"/>
    </w:pPr>
    <w:rPr>
      <w:rFonts w:eastAsia="Calibri"/>
      <w:sz w:val="16"/>
      <w:lang w:val="bg-BG" w:eastAsia="en-US"/>
    </w:rPr>
  </w:style>
  <w:style w:type="character" w:customStyle="1" w:styleId="foonoteChar">
    <w:name w:val="foonote Char"/>
    <w:basedOn w:val="DefaultParagraphFont"/>
    <w:link w:val="foonote"/>
    <w:rsid w:val="00501E78"/>
    <w:rPr>
      <w:rFonts w:eastAsia="Calibri"/>
      <w:sz w:val="16"/>
      <w:lang w:val="bg-BG" w:eastAsia="en-US"/>
    </w:rPr>
  </w:style>
  <w:style w:type="paragraph" w:styleId="ListNumber">
    <w:name w:val="List Number"/>
    <w:basedOn w:val="Normal"/>
    <w:uiPriority w:val="99"/>
    <w:rsid w:val="00501E78"/>
    <w:pPr>
      <w:widowControl/>
      <w:numPr>
        <w:numId w:val="8"/>
      </w:numPr>
      <w:tabs>
        <w:tab w:val="clear" w:pos="1276"/>
        <w:tab w:val="num" w:pos="1492"/>
      </w:tabs>
      <w:spacing w:before="120" w:after="120"/>
      <w:ind w:left="1492" w:hanging="360"/>
      <w:jc w:val="both"/>
    </w:pPr>
    <w:rPr>
      <w:rFonts w:eastAsia="Calibri"/>
      <w:szCs w:val="22"/>
      <w:lang w:eastAsia="en-US"/>
    </w:rPr>
  </w:style>
  <w:style w:type="paragraph" w:customStyle="1" w:styleId="ListBullet1">
    <w:name w:val="List Bullet 1"/>
    <w:basedOn w:val="Normal"/>
    <w:rsid w:val="00501E78"/>
    <w:pPr>
      <w:widowControl/>
      <w:numPr>
        <w:numId w:val="4"/>
      </w:numPr>
      <w:tabs>
        <w:tab w:val="clear" w:pos="1134"/>
        <w:tab w:val="num" w:pos="926"/>
      </w:tabs>
      <w:spacing w:before="120" w:after="120"/>
      <w:ind w:left="926" w:hanging="360"/>
      <w:jc w:val="both"/>
    </w:pPr>
    <w:rPr>
      <w:rFonts w:eastAsia="Calibri"/>
      <w:szCs w:val="22"/>
      <w:lang w:eastAsia="en-US"/>
    </w:rPr>
  </w:style>
  <w:style w:type="paragraph" w:customStyle="1" w:styleId="ListDash">
    <w:name w:val="List Dash"/>
    <w:basedOn w:val="Normal"/>
    <w:rsid w:val="00501E78"/>
    <w:pPr>
      <w:widowControl/>
      <w:numPr>
        <w:numId w:val="5"/>
      </w:numPr>
      <w:tabs>
        <w:tab w:val="clear" w:pos="283"/>
        <w:tab w:val="num" w:pos="926"/>
      </w:tabs>
      <w:spacing w:before="120" w:after="120"/>
      <w:ind w:left="926" w:hanging="360"/>
      <w:jc w:val="both"/>
    </w:pPr>
    <w:rPr>
      <w:rFonts w:eastAsia="Calibri"/>
      <w:szCs w:val="22"/>
      <w:lang w:eastAsia="en-US"/>
    </w:rPr>
  </w:style>
  <w:style w:type="paragraph" w:customStyle="1" w:styleId="ListDash1">
    <w:name w:val="List Dash 1"/>
    <w:basedOn w:val="Normal"/>
    <w:rsid w:val="00501E78"/>
    <w:pPr>
      <w:widowControl/>
      <w:numPr>
        <w:numId w:val="6"/>
      </w:numPr>
      <w:tabs>
        <w:tab w:val="clear" w:pos="1134"/>
        <w:tab w:val="num" w:pos="1209"/>
      </w:tabs>
      <w:spacing w:before="120" w:after="120"/>
      <w:ind w:left="1209" w:hanging="360"/>
      <w:jc w:val="both"/>
    </w:pPr>
    <w:rPr>
      <w:rFonts w:eastAsia="Calibri"/>
      <w:szCs w:val="22"/>
      <w:lang w:eastAsia="en-US"/>
    </w:rPr>
  </w:style>
  <w:style w:type="paragraph" w:customStyle="1" w:styleId="ListDash2">
    <w:name w:val="List Dash 2"/>
    <w:basedOn w:val="Normal"/>
    <w:rsid w:val="00501E78"/>
    <w:pPr>
      <w:widowControl/>
      <w:numPr>
        <w:numId w:val="7"/>
      </w:numPr>
      <w:tabs>
        <w:tab w:val="clear" w:pos="1134"/>
        <w:tab w:val="num" w:pos="1209"/>
      </w:tabs>
      <w:spacing w:before="120" w:after="120"/>
      <w:ind w:left="1209" w:hanging="360"/>
      <w:jc w:val="both"/>
    </w:pPr>
    <w:rPr>
      <w:rFonts w:eastAsia="Calibri"/>
      <w:szCs w:val="22"/>
      <w:lang w:eastAsia="en-US"/>
    </w:rPr>
  </w:style>
  <w:style w:type="paragraph" w:customStyle="1" w:styleId="ListNumberLevel2">
    <w:name w:val="List Number (Level 2)"/>
    <w:basedOn w:val="Normal"/>
    <w:rsid w:val="00501E78"/>
    <w:pPr>
      <w:widowControl/>
      <w:numPr>
        <w:ilvl w:val="1"/>
        <w:numId w:val="8"/>
      </w:numPr>
      <w:tabs>
        <w:tab w:val="clear" w:pos="1417"/>
        <w:tab w:val="num" w:pos="1492"/>
      </w:tabs>
      <w:spacing w:before="120" w:after="120"/>
      <w:ind w:left="1492" w:hanging="360"/>
      <w:jc w:val="both"/>
    </w:pPr>
    <w:rPr>
      <w:rFonts w:eastAsia="Calibri"/>
      <w:szCs w:val="22"/>
      <w:lang w:eastAsia="en-US"/>
    </w:rPr>
  </w:style>
  <w:style w:type="paragraph" w:customStyle="1" w:styleId="ListNumberLevel3">
    <w:name w:val="List Number (Level 3)"/>
    <w:basedOn w:val="Normal"/>
    <w:rsid w:val="00501E78"/>
    <w:pPr>
      <w:widowControl/>
      <w:numPr>
        <w:ilvl w:val="2"/>
        <w:numId w:val="8"/>
      </w:numPr>
      <w:tabs>
        <w:tab w:val="clear" w:pos="2126"/>
        <w:tab w:val="num" w:pos="1492"/>
      </w:tabs>
      <w:spacing w:before="120" w:after="120"/>
      <w:ind w:left="1492" w:hanging="360"/>
      <w:jc w:val="both"/>
    </w:pPr>
    <w:rPr>
      <w:rFonts w:eastAsia="Calibri"/>
      <w:szCs w:val="22"/>
      <w:lang w:eastAsia="en-US"/>
    </w:rPr>
  </w:style>
  <w:style w:type="paragraph" w:customStyle="1" w:styleId="ListNumberLevel4">
    <w:name w:val="List Number (Level 4)"/>
    <w:basedOn w:val="Normal"/>
    <w:rsid w:val="00501E78"/>
    <w:pPr>
      <w:widowControl/>
      <w:numPr>
        <w:ilvl w:val="3"/>
        <w:numId w:val="8"/>
      </w:numPr>
      <w:tabs>
        <w:tab w:val="clear" w:pos="2835"/>
        <w:tab w:val="num" w:pos="1492"/>
      </w:tabs>
      <w:spacing w:before="120" w:after="120"/>
      <w:ind w:left="1492" w:hanging="360"/>
      <w:jc w:val="both"/>
    </w:pPr>
    <w:rPr>
      <w:rFonts w:eastAsia="Calibri"/>
      <w:szCs w:val="22"/>
      <w:lang w:eastAsia="en-US"/>
    </w:rPr>
  </w:style>
  <w:style w:type="table" w:customStyle="1" w:styleId="TableGrid11">
    <w:name w:val="Table Grid11"/>
    <w:basedOn w:val="TableNormal"/>
    <w:next w:val="TableGrid"/>
    <w:rsid w:val="00501E78"/>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2">
    <w:name w:val="List Number 2"/>
    <w:basedOn w:val="Normal"/>
    <w:uiPriority w:val="99"/>
    <w:rsid w:val="00501E78"/>
    <w:pPr>
      <w:widowControl/>
      <w:numPr>
        <w:numId w:val="12"/>
      </w:numPr>
      <w:tabs>
        <w:tab w:val="clear" w:pos="1560"/>
        <w:tab w:val="num" w:pos="643"/>
      </w:tabs>
      <w:spacing w:before="120" w:after="120"/>
      <w:ind w:left="643" w:hanging="360"/>
      <w:jc w:val="both"/>
    </w:pPr>
    <w:rPr>
      <w:rFonts w:eastAsia="Calibri"/>
      <w:szCs w:val="22"/>
      <w:lang w:eastAsia="en-US"/>
    </w:rPr>
  </w:style>
  <w:style w:type="paragraph" w:styleId="ListNumber3">
    <w:name w:val="List Number 3"/>
    <w:basedOn w:val="Normal"/>
    <w:uiPriority w:val="99"/>
    <w:rsid w:val="00501E78"/>
    <w:pPr>
      <w:widowControl/>
      <w:numPr>
        <w:numId w:val="13"/>
      </w:numPr>
      <w:tabs>
        <w:tab w:val="clear" w:pos="1560"/>
        <w:tab w:val="num" w:pos="643"/>
      </w:tabs>
      <w:spacing w:before="120" w:after="120"/>
      <w:ind w:left="643" w:hanging="360"/>
      <w:jc w:val="both"/>
    </w:pPr>
    <w:rPr>
      <w:rFonts w:eastAsia="Calibri"/>
      <w:szCs w:val="22"/>
      <w:lang w:eastAsia="en-US"/>
    </w:rPr>
  </w:style>
  <w:style w:type="paragraph" w:styleId="ListNumber4">
    <w:name w:val="List Number 4"/>
    <w:basedOn w:val="Normal"/>
    <w:uiPriority w:val="99"/>
    <w:rsid w:val="00501E78"/>
    <w:pPr>
      <w:widowControl/>
      <w:numPr>
        <w:numId w:val="14"/>
      </w:numPr>
      <w:tabs>
        <w:tab w:val="clear" w:pos="1560"/>
        <w:tab w:val="num" w:pos="926"/>
      </w:tabs>
      <w:spacing w:before="120" w:after="120"/>
      <w:ind w:left="926" w:hanging="360"/>
      <w:jc w:val="both"/>
    </w:pPr>
    <w:rPr>
      <w:rFonts w:eastAsia="Calibri"/>
      <w:szCs w:val="22"/>
      <w:lang w:eastAsia="en-US"/>
    </w:rPr>
  </w:style>
  <w:style w:type="paragraph" w:customStyle="1" w:styleId="ListDash3">
    <w:name w:val="List Dash 3"/>
    <w:basedOn w:val="Normal"/>
    <w:rsid w:val="00501E78"/>
    <w:pPr>
      <w:widowControl/>
      <w:numPr>
        <w:numId w:val="9"/>
      </w:numPr>
      <w:tabs>
        <w:tab w:val="clear" w:pos="1134"/>
        <w:tab w:val="num" w:pos="1492"/>
      </w:tabs>
      <w:spacing w:before="120" w:after="120"/>
      <w:ind w:left="1492" w:hanging="360"/>
      <w:jc w:val="both"/>
    </w:pPr>
    <w:rPr>
      <w:rFonts w:eastAsia="Calibri"/>
      <w:szCs w:val="22"/>
      <w:lang w:eastAsia="en-US"/>
    </w:rPr>
  </w:style>
  <w:style w:type="paragraph" w:customStyle="1" w:styleId="ListDash4">
    <w:name w:val="List Dash 4"/>
    <w:basedOn w:val="Normal"/>
    <w:rsid w:val="00501E78"/>
    <w:pPr>
      <w:widowControl/>
      <w:numPr>
        <w:numId w:val="10"/>
      </w:numPr>
      <w:tabs>
        <w:tab w:val="clear" w:pos="1134"/>
        <w:tab w:val="num" w:pos="360"/>
      </w:tabs>
      <w:spacing w:before="120" w:after="120"/>
      <w:ind w:left="360" w:hanging="360"/>
      <w:jc w:val="both"/>
    </w:pPr>
    <w:rPr>
      <w:rFonts w:eastAsia="Calibri"/>
      <w:szCs w:val="22"/>
      <w:lang w:eastAsia="en-US"/>
    </w:rPr>
  </w:style>
  <w:style w:type="paragraph" w:customStyle="1" w:styleId="ListNumber1">
    <w:name w:val="List Number 1"/>
    <w:basedOn w:val="Text1"/>
    <w:rsid w:val="00501E78"/>
    <w:pPr>
      <w:numPr>
        <w:numId w:val="11"/>
      </w:numPr>
      <w:tabs>
        <w:tab w:val="clear" w:pos="1701"/>
        <w:tab w:val="num" w:pos="360"/>
      </w:tabs>
      <w:ind w:left="360" w:hanging="360"/>
    </w:pPr>
  </w:style>
  <w:style w:type="paragraph" w:customStyle="1" w:styleId="ListNumber1Level2">
    <w:name w:val="List Number 1 (Level 2)"/>
    <w:basedOn w:val="Text1"/>
    <w:rsid w:val="00501E78"/>
    <w:pPr>
      <w:numPr>
        <w:ilvl w:val="1"/>
        <w:numId w:val="11"/>
      </w:numPr>
      <w:tabs>
        <w:tab w:val="clear" w:pos="2268"/>
        <w:tab w:val="num" w:pos="360"/>
      </w:tabs>
      <w:ind w:left="360" w:hanging="360"/>
    </w:pPr>
  </w:style>
  <w:style w:type="paragraph" w:customStyle="1" w:styleId="ListNumber2Level2">
    <w:name w:val="List Number 2 (Level 2)"/>
    <w:basedOn w:val="Text2"/>
    <w:rsid w:val="00501E78"/>
    <w:pPr>
      <w:numPr>
        <w:ilvl w:val="1"/>
        <w:numId w:val="12"/>
      </w:numPr>
      <w:tabs>
        <w:tab w:val="clear" w:pos="2268"/>
        <w:tab w:val="num" w:pos="643"/>
      </w:tabs>
      <w:ind w:left="643" w:hanging="360"/>
    </w:pPr>
  </w:style>
  <w:style w:type="paragraph" w:customStyle="1" w:styleId="ListNumber3Level2">
    <w:name w:val="List Number 3 (Level 2)"/>
    <w:basedOn w:val="Text3"/>
    <w:rsid w:val="00501E78"/>
    <w:pPr>
      <w:numPr>
        <w:ilvl w:val="1"/>
        <w:numId w:val="13"/>
      </w:numPr>
      <w:tabs>
        <w:tab w:val="clear" w:pos="2268"/>
        <w:tab w:val="num" w:pos="643"/>
      </w:tabs>
      <w:ind w:left="643" w:hanging="360"/>
    </w:pPr>
  </w:style>
  <w:style w:type="paragraph" w:customStyle="1" w:styleId="ListNumber4Level2">
    <w:name w:val="List Number 4 (Level 2)"/>
    <w:basedOn w:val="Text4"/>
    <w:rsid w:val="00501E78"/>
    <w:pPr>
      <w:numPr>
        <w:ilvl w:val="1"/>
        <w:numId w:val="14"/>
      </w:numPr>
      <w:tabs>
        <w:tab w:val="clear" w:pos="2268"/>
        <w:tab w:val="num" w:pos="926"/>
      </w:tabs>
      <w:ind w:left="926" w:hanging="360"/>
    </w:pPr>
  </w:style>
  <w:style w:type="paragraph" w:customStyle="1" w:styleId="ListNumber1Level3">
    <w:name w:val="List Number 1 (Level 3)"/>
    <w:basedOn w:val="Text1"/>
    <w:rsid w:val="00501E78"/>
    <w:pPr>
      <w:numPr>
        <w:ilvl w:val="2"/>
        <w:numId w:val="11"/>
      </w:numPr>
      <w:tabs>
        <w:tab w:val="clear" w:pos="2977"/>
        <w:tab w:val="num" w:pos="360"/>
      </w:tabs>
      <w:ind w:left="360" w:hanging="360"/>
    </w:pPr>
  </w:style>
  <w:style w:type="paragraph" w:customStyle="1" w:styleId="ListNumber2Level3">
    <w:name w:val="List Number 2 (Level 3)"/>
    <w:basedOn w:val="Text2"/>
    <w:rsid w:val="00501E78"/>
    <w:pPr>
      <w:numPr>
        <w:ilvl w:val="2"/>
        <w:numId w:val="12"/>
      </w:numPr>
      <w:tabs>
        <w:tab w:val="clear" w:pos="2977"/>
        <w:tab w:val="num" w:pos="643"/>
      </w:tabs>
      <w:ind w:left="643" w:hanging="360"/>
    </w:pPr>
  </w:style>
  <w:style w:type="paragraph" w:customStyle="1" w:styleId="ListNumber3Level3">
    <w:name w:val="List Number 3 (Level 3)"/>
    <w:basedOn w:val="Text3"/>
    <w:rsid w:val="00501E78"/>
    <w:pPr>
      <w:numPr>
        <w:ilvl w:val="2"/>
        <w:numId w:val="13"/>
      </w:numPr>
      <w:tabs>
        <w:tab w:val="clear" w:pos="2977"/>
        <w:tab w:val="num" w:pos="643"/>
      </w:tabs>
      <w:ind w:left="643" w:hanging="360"/>
    </w:pPr>
  </w:style>
  <w:style w:type="paragraph" w:customStyle="1" w:styleId="ListNumber4Level3">
    <w:name w:val="List Number 4 (Level 3)"/>
    <w:basedOn w:val="Text4"/>
    <w:rsid w:val="00501E78"/>
    <w:pPr>
      <w:numPr>
        <w:ilvl w:val="2"/>
        <w:numId w:val="14"/>
      </w:numPr>
      <w:tabs>
        <w:tab w:val="clear" w:pos="2977"/>
        <w:tab w:val="num" w:pos="926"/>
      </w:tabs>
      <w:ind w:left="926" w:hanging="360"/>
    </w:pPr>
  </w:style>
  <w:style w:type="paragraph" w:customStyle="1" w:styleId="ListNumber1Level4">
    <w:name w:val="List Number 1 (Level 4)"/>
    <w:basedOn w:val="Text1"/>
    <w:rsid w:val="00501E78"/>
    <w:pPr>
      <w:numPr>
        <w:ilvl w:val="3"/>
        <w:numId w:val="11"/>
      </w:numPr>
      <w:tabs>
        <w:tab w:val="clear" w:pos="3686"/>
        <w:tab w:val="num" w:pos="360"/>
      </w:tabs>
      <w:ind w:left="360" w:hanging="360"/>
    </w:pPr>
  </w:style>
  <w:style w:type="paragraph" w:customStyle="1" w:styleId="ListNumber2Level4">
    <w:name w:val="List Number 2 (Level 4)"/>
    <w:basedOn w:val="Text2"/>
    <w:rsid w:val="00501E78"/>
    <w:pPr>
      <w:numPr>
        <w:ilvl w:val="3"/>
        <w:numId w:val="12"/>
      </w:numPr>
      <w:tabs>
        <w:tab w:val="clear" w:pos="3686"/>
        <w:tab w:val="num" w:pos="643"/>
      </w:tabs>
      <w:ind w:left="643" w:hanging="360"/>
    </w:pPr>
  </w:style>
  <w:style w:type="paragraph" w:customStyle="1" w:styleId="ListNumber3Level4">
    <w:name w:val="List Number 3 (Level 4)"/>
    <w:basedOn w:val="Text3"/>
    <w:rsid w:val="00501E78"/>
    <w:pPr>
      <w:numPr>
        <w:ilvl w:val="3"/>
        <w:numId w:val="13"/>
      </w:numPr>
      <w:tabs>
        <w:tab w:val="clear" w:pos="3686"/>
        <w:tab w:val="num" w:pos="643"/>
      </w:tabs>
      <w:ind w:left="643" w:hanging="360"/>
    </w:pPr>
  </w:style>
  <w:style w:type="paragraph" w:customStyle="1" w:styleId="ListNumber4Level4">
    <w:name w:val="List Number 4 (Level 4)"/>
    <w:basedOn w:val="Text4"/>
    <w:rsid w:val="00501E78"/>
    <w:pPr>
      <w:numPr>
        <w:ilvl w:val="3"/>
        <w:numId w:val="14"/>
      </w:numPr>
      <w:tabs>
        <w:tab w:val="clear" w:pos="3686"/>
        <w:tab w:val="num" w:pos="926"/>
      </w:tabs>
      <w:ind w:left="926" w:hanging="360"/>
    </w:pPr>
  </w:style>
  <w:style w:type="paragraph" w:customStyle="1" w:styleId="Annexetitreacte">
    <w:name w:val="Annexe titre (acte)"/>
    <w:basedOn w:val="Normal"/>
    <w:next w:val="Normal"/>
    <w:rsid w:val="00501E78"/>
    <w:pPr>
      <w:widowControl/>
      <w:spacing w:before="120" w:after="120"/>
      <w:jc w:val="center"/>
    </w:pPr>
    <w:rPr>
      <w:rFonts w:eastAsia="Calibri"/>
      <w:b/>
      <w:szCs w:val="22"/>
      <w:u w:val="single"/>
      <w:lang w:eastAsia="en-US"/>
    </w:rPr>
  </w:style>
  <w:style w:type="paragraph" w:customStyle="1" w:styleId="Annexetitreexposglobal">
    <w:name w:val="Annexe titre (exposé global)"/>
    <w:basedOn w:val="Normal"/>
    <w:next w:val="Normal"/>
    <w:rsid w:val="00501E78"/>
    <w:pPr>
      <w:widowControl/>
      <w:spacing w:before="120" w:after="120"/>
      <w:jc w:val="center"/>
    </w:pPr>
    <w:rPr>
      <w:rFonts w:eastAsia="Calibri"/>
      <w:b/>
      <w:szCs w:val="22"/>
      <w:u w:val="single"/>
      <w:lang w:eastAsia="en-US"/>
    </w:rPr>
  </w:style>
  <w:style w:type="paragraph" w:customStyle="1" w:styleId="Annexetitrefichefinacte">
    <w:name w:val="Annexe titre (fiche fin. acte)"/>
    <w:basedOn w:val="Normal"/>
    <w:next w:val="Normal"/>
    <w:rsid w:val="00501E78"/>
    <w:pPr>
      <w:widowControl/>
      <w:spacing w:before="120" w:after="120"/>
      <w:jc w:val="center"/>
    </w:pPr>
    <w:rPr>
      <w:rFonts w:eastAsia="Calibri"/>
      <w:b/>
      <w:szCs w:val="22"/>
      <w:u w:val="single"/>
      <w:lang w:eastAsia="en-US"/>
    </w:rPr>
  </w:style>
  <w:style w:type="paragraph" w:customStyle="1" w:styleId="Annexetitrefichefinglobale">
    <w:name w:val="Annexe titre (fiche fin. globale)"/>
    <w:basedOn w:val="Normal"/>
    <w:next w:val="Normal"/>
    <w:rsid w:val="00501E78"/>
    <w:pPr>
      <w:widowControl/>
      <w:spacing w:before="120" w:after="120"/>
      <w:jc w:val="center"/>
    </w:pPr>
    <w:rPr>
      <w:rFonts w:eastAsia="Calibri"/>
      <w:b/>
      <w:szCs w:val="22"/>
      <w:u w:val="single"/>
      <w:lang w:eastAsia="en-US"/>
    </w:rPr>
  </w:style>
  <w:style w:type="paragraph" w:customStyle="1" w:styleId="Annexetitreglobale">
    <w:name w:val="Annexe titre (globale)"/>
    <w:basedOn w:val="Normal"/>
    <w:next w:val="Normal"/>
    <w:rsid w:val="00501E78"/>
    <w:pPr>
      <w:widowControl/>
      <w:spacing w:before="120" w:after="120"/>
      <w:jc w:val="center"/>
    </w:pPr>
    <w:rPr>
      <w:rFonts w:eastAsia="Calibri"/>
      <w:b/>
      <w:szCs w:val="22"/>
      <w:u w:val="single"/>
      <w:lang w:eastAsia="en-US"/>
    </w:rPr>
  </w:style>
  <w:style w:type="paragraph" w:customStyle="1" w:styleId="Exposdesmotifstitreglobal">
    <w:name w:val="Exposé des motifs titre (global)"/>
    <w:basedOn w:val="Normal"/>
    <w:next w:val="Normal"/>
    <w:rsid w:val="00501E78"/>
    <w:pPr>
      <w:widowControl/>
      <w:spacing w:before="120" w:after="120"/>
      <w:jc w:val="center"/>
    </w:pPr>
    <w:rPr>
      <w:rFonts w:eastAsia="Calibri"/>
      <w:b/>
      <w:szCs w:val="22"/>
      <w:u w:val="single"/>
      <w:lang w:eastAsia="en-US"/>
    </w:rPr>
  </w:style>
  <w:style w:type="paragraph" w:customStyle="1" w:styleId="Langueoriginale">
    <w:name w:val="Langue originale"/>
    <w:basedOn w:val="Normal"/>
    <w:rsid w:val="00501E78"/>
    <w:pPr>
      <w:widowControl/>
      <w:spacing w:before="360" w:after="120"/>
      <w:jc w:val="center"/>
    </w:pPr>
    <w:rPr>
      <w:rFonts w:eastAsia="Calibri"/>
      <w:caps/>
      <w:szCs w:val="22"/>
      <w:lang w:eastAsia="en-US"/>
    </w:rPr>
  </w:style>
  <w:style w:type="paragraph" w:customStyle="1" w:styleId="Phrasefinale">
    <w:name w:val="Phrase finale"/>
    <w:basedOn w:val="Normal"/>
    <w:next w:val="Normal"/>
    <w:rsid w:val="00501E78"/>
    <w:pPr>
      <w:widowControl/>
      <w:spacing w:before="360"/>
      <w:jc w:val="center"/>
    </w:pPr>
    <w:rPr>
      <w:rFonts w:eastAsia="Calibri"/>
      <w:szCs w:val="22"/>
      <w:lang w:eastAsia="en-US"/>
    </w:rPr>
  </w:style>
  <w:style w:type="paragraph" w:customStyle="1" w:styleId="Prliminairetitre">
    <w:name w:val="Préliminaire titre"/>
    <w:basedOn w:val="Normal"/>
    <w:next w:val="Normal"/>
    <w:rsid w:val="00501E78"/>
    <w:pPr>
      <w:widowControl/>
      <w:spacing w:before="360" w:after="360"/>
      <w:jc w:val="center"/>
    </w:pPr>
    <w:rPr>
      <w:rFonts w:eastAsia="Calibri"/>
      <w:b/>
      <w:szCs w:val="22"/>
      <w:lang w:eastAsia="en-US"/>
    </w:rPr>
  </w:style>
  <w:style w:type="paragraph" w:customStyle="1" w:styleId="Prliminairetype">
    <w:name w:val="Préliminaire type"/>
    <w:basedOn w:val="Normal"/>
    <w:next w:val="Normal"/>
    <w:rsid w:val="00501E78"/>
    <w:pPr>
      <w:widowControl/>
      <w:spacing w:before="360"/>
      <w:jc w:val="center"/>
    </w:pPr>
    <w:rPr>
      <w:rFonts w:eastAsia="Calibri"/>
      <w:b/>
      <w:szCs w:val="22"/>
      <w:lang w:eastAsia="en-US"/>
    </w:rPr>
  </w:style>
  <w:style w:type="paragraph" w:customStyle="1" w:styleId="Rfrenceinstitutionelle">
    <w:name w:val="Référence institutionelle"/>
    <w:basedOn w:val="Normal"/>
    <w:next w:val="Statut"/>
    <w:rsid w:val="00501E78"/>
    <w:pPr>
      <w:widowControl/>
      <w:spacing w:after="240"/>
      <w:ind w:left="5103"/>
    </w:pPr>
    <w:rPr>
      <w:rFonts w:eastAsia="Calibri"/>
      <w:szCs w:val="22"/>
      <w:lang w:eastAsia="en-US"/>
    </w:rPr>
  </w:style>
  <w:style w:type="paragraph" w:customStyle="1" w:styleId="Rfrenceinterinstitutionelle">
    <w:name w:val="Référence interinstitutionelle"/>
    <w:basedOn w:val="Normal"/>
    <w:next w:val="Statut"/>
    <w:rsid w:val="00501E78"/>
    <w:pPr>
      <w:widowControl/>
      <w:ind w:left="5103"/>
    </w:pPr>
    <w:rPr>
      <w:rFonts w:eastAsia="Calibri"/>
      <w:szCs w:val="22"/>
      <w:lang w:eastAsia="en-US"/>
    </w:rPr>
  </w:style>
  <w:style w:type="paragraph" w:customStyle="1" w:styleId="Rfrenceinterinstitutionelleprliminaire">
    <w:name w:val="Référence interinstitutionelle (préliminaire)"/>
    <w:basedOn w:val="Normal"/>
    <w:next w:val="Normal"/>
    <w:rsid w:val="00501E78"/>
    <w:pPr>
      <w:widowControl/>
      <w:ind w:left="5103"/>
    </w:pPr>
    <w:rPr>
      <w:rFonts w:eastAsia="Calibri"/>
      <w:szCs w:val="22"/>
      <w:lang w:eastAsia="en-US"/>
    </w:rPr>
  </w:style>
  <w:style w:type="paragraph" w:customStyle="1" w:styleId="Sous-titreobjetprliminaire">
    <w:name w:val="Sous-titre objet (préliminaire)"/>
    <w:basedOn w:val="Normal"/>
    <w:rsid w:val="00501E78"/>
    <w:pPr>
      <w:widowControl/>
      <w:jc w:val="center"/>
    </w:pPr>
    <w:rPr>
      <w:rFonts w:eastAsia="Calibri"/>
      <w:b/>
      <w:szCs w:val="22"/>
      <w:lang w:eastAsia="en-US"/>
    </w:rPr>
  </w:style>
  <w:style w:type="paragraph" w:customStyle="1" w:styleId="Statutprliminaire">
    <w:name w:val="Statut (préliminaire)"/>
    <w:basedOn w:val="Normal"/>
    <w:next w:val="Normal"/>
    <w:rsid w:val="00501E78"/>
    <w:pPr>
      <w:widowControl/>
      <w:spacing w:before="360"/>
      <w:jc w:val="center"/>
    </w:pPr>
    <w:rPr>
      <w:rFonts w:eastAsia="Calibri"/>
      <w:szCs w:val="22"/>
      <w:lang w:eastAsia="en-US"/>
    </w:rPr>
  </w:style>
  <w:style w:type="paragraph" w:customStyle="1" w:styleId="Titreobjetprliminaire">
    <w:name w:val="Titre objet (préliminaire)"/>
    <w:basedOn w:val="Normal"/>
    <w:next w:val="Normal"/>
    <w:rsid w:val="00501E78"/>
    <w:pPr>
      <w:widowControl/>
      <w:spacing w:before="360" w:after="360"/>
      <w:jc w:val="center"/>
    </w:pPr>
    <w:rPr>
      <w:rFonts w:eastAsia="Calibri"/>
      <w:b/>
      <w:szCs w:val="22"/>
      <w:lang w:eastAsia="en-US"/>
    </w:rPr>
  </w:style>
  <w:style w:type="paragraph" w:customStyle="1" w:styleId="Typedudocumentprliminaire">
    <w:name w:val="Type du document (préliminaire)"/>
    <w:basedOn w:val="Normal"/>
    <w:next w:val="Normal"/>
    <w:rsid w:val="00501E78"/>
    <w:pPr>
      <w:widowControl/>
      <w:spacing w:before="360"/>
      <w:jc w:val="center"/>
    </w:pPr>
    <w:rPr>
      <w:rFonts w:eastAsia="Calibri"/>
      <w:b/>
      <w:szCs w:val="22"/>
      <w:lang w:eastAsia="en-US"/>
    </w:rPr>
  </w:style>
  <w:style w:type="paragraph" w:customStyle="1" w:styleId="Fichefinancirestandardtitre">
    <w:name w:val="Fiche financière (standard) titre"/>
    <w:basedOn w:val="Normal"/>
    <w:next w:val="Normal"/>
    <w:rsid w:val="00501E78"/>
    <w:pPr>
      <w:widowControl/>
      <w:spacing w:before="120" w:after="120"/>
      <w:jc w:val="center"/>
    </w:pPr>
    <w:rPr>
      <w:rFonts w:eastAsia="Calibri"/>
      <w:b/>
      <w:szCs w:val="22"/>
      <w:u w:val="single"/>
      <w:lang w:eastAsia="en-US"/>
    </w:rPr>
  </w:style>
  <w:style w:type="paragraph" w:customStyle="1" w:styleId="Fichefinancirestandardtitreacte">
    <w:name w:val="Fiche financière (standard) titre (acte)"/>
    <w:basedOn w:val="Normal"/>
    <w:next w:val="Normal"/>
    <w:rsid w:val="00501E78"/>
    <w:pPr>
      <w:widowControl/>
      <w:spacing w:before="120" w:after="120"/>
      <w:jc w:val="center"/>
    </w:pPr>
    <w:rPr>
      <w:rFonts w:eastAsia="Calibri"/>
      <w:b/>
      <w:szCs w:val="22"/>
      <w:u w:val="single"/>
      <w:lang w:eastAsia="en-US"/>
    </w:rPr>
  </w:style>
  <w:style w:type="paragraph" w:customStyle="1" w:styleId="Fichefinanciretravailtitre">
    <w:name w:val="Fiche financière (travail) titre"/>
    <w:basedOn w:val="Normal"/>
    <w:next w:val="Normal"/>
    <w:rsid w:val="00501E78"/>
    <w:pPr>
      <w:widowControl/>
      <w:spacing w:before="120" w:after="120"/>
      <w:jc w:val="center"/>
    </w:pPr>
    <w:rPr>
      <w:rFonts w:eastAsia="Calibri"/>
      <w:b/>
      <w:szCs w:val="22"/>
      <w:u w:val="single"/>
      <w:lang w:eastAsia="en-US"/>
    </w:rPr>
  </w:style>
  <w:style w:type="paragraph" w:customStyle="1" w:styleId="Fichefinanciretravailtitreacte">
    <w:name w:val="Fiche financière (travail) titre (acte)"/>
    <w:basedOn w:val="Normal"/>
    <w:next w:val="Normal"/>
    <w:rsid w:val="00501E78"/>
    <w:pPr>
      <w:widowControl/>
      <w:spacing w:before="120" w:after="120"/>
      <w:jc w:val="center"/>
    </w:pPr>
    <w:rPr>
      <w:rFonts w:eastAsia="Calibri"/>
      <w:b/>
      <w:szCs w:val="22"/>
      <w:u w:val="single"/>
      <w:lang w:eastAsia="en-US"/>
    </w:rPr>
  </w:style>
  <w:style w:type="paragraph" w:customStyle="1" w:styleId="Fichefinancireattributiontitre">
    <w:name w:val="Fiche financière (attribution) titre"/>
    <w:basedOn w:val="Normal"/>
    <w:next w:val="Normal"/>
    <w:rsid w:val="00501E78"/>
    <w:pPr>
      <w:widowControl/>
      <w:spacing w:before="120" w:after="120"/>
      <w:jc w:val="center"/>
    </w:pPr>
    <w:rPr>
      <w:rFonts w:eastAsia="Calibri"/>
      <w:b/>
      <w:szCs w:val="22"/>
      <w:u w:val="single"/>
      <w:lang w:eastAsia="en-US"/>
    </w:rPr>
  </w:style>
  <w:style w:type="paragraph" w:customStyle="1" w:styleId="Fichefinancireattributiontitreacte">
    <w:name w:val="Fiche financière (attribution) titre (acte)"/>
    <w:basedOn w:val="Normal"/>
    <w:next w:val="Normal"/>
    <w:rsid w:val="00501E78"/>
    <w:pPr>
      <w:widowControl/>
      <w:spacing w:before="120" w:after="120"/>
      <w:jc w:val="center"/>
    </w:pPr>
    <w:rPr>
      <w:rFonts w:eastAsia="Calibri"/>
      <w:b/>
      <w:szCs w:val="22"/>
      <w:u w:val="single"/>
      <w:lang w:eastAsia="en-US"/>
    </w:rPr>
  </w:style>
  <w:style w:type="paragraph" w:styleId="Caption">
    <w:name w:val="caption"/>
    <w:basedOn w:val="Normal"/>
    <w:next w:val="Normal"/>
    <w:uiPriority w:val="35"/>
    <w:qFormat/>
    <w:rsid w:val="00501E78"/>
    <w:pPr>
      <w:widowControl/>
      <w:spacing w:before="120" w:after="120"/>
      <w:jc w:val="both"/>
    </w:pPr>
    <w:rPr>
      <w:rFonts w:eastAsia="Calibri"/>
      <w:b/>
      <w:sz w:val="20"/>
      <w:szCs w:val="22"/>
      <w:lang w:eastAsia="en-US"/>
    </w:rPr>
  </w:style>
  <w:style w:type="paragraph" w:styleId="TableofFigures">
    <w:name w:val="table of figures"/>
    <w:basedOn w:val="Normal"/>
    <w:next w:val="Normal"/>
    <w:uiPriority w:val="99"/>
    <w:rsid w:val="00501E78"/>
    <w:pPr>
      <w:widowControl/>
      <w:spacing w:before="120" w:after="120"/>
      <w:jc w:val="both"/>
    </w:pPr>
    <w:rPr>
      <w:rFonts w:eastAsia="Calibri"/>
      <w:szCs w:val="22"/>
      <w:lang w:eastAsia="en-US"/>
    </w:rPr>
  </w:style>
  <w:style w:type="character" w:customStyle="1" w:styleId="tw4winMark">
    <w:name w:val="tw4winMark"/>
    <w:rsid w:val="00501E78"/>
    <w:rPr>
      <w:vanish/>
      <w:color w:val="800080"/>
      <w:vertAlign w:val="subscript"/>
    </w:rPr>
  </w:style>
  <w:style w:type="paragraph" w:customStyle="1" w:styleId="Sous-titreobjet">
    <w:name w:val="Sous-titre objet"/>
    <w:basedOn w:val="Normal"/>
    <w:rsid w:val="00501E78"/>
    <w:pPr>
      <w:widowControl/>
      <w:jc w:val="center"/>
    </w:pPr>
    <w:rPr>
      <w:rFonts w:eastAsia="Calibri"/>
      <w:b/>
      <w:szCs w:val="22"/>
      <w:lang w:eastAsia="en-US"/>
    </w:rPr>
  </w:style>
  <w:style w:type="paragraph" w:customStyle="1" w:styleId="Sous-titreobjetPagedecouverture">
    <w:name w:val="Sous-titre objet (Page de couverture)"/>
    <w:basedOn w:val="Sous-titreobjet"/>
    <w:rsid w:val="00501E78"/>
  </w:style>
  <w:style w:type="paragraph" w:customStyle="1" w:styleId="FooterCoverPage">
    <w:name w:val="Footer Cover Page"/>
    <w:basedOn w:val="Normal"/>
    <w:link w:val="FooterCoverPageChar"/>
    <w:rsid w:val="00501E78"/>
    <w:pPr>
      <w:widowControl/>
      <w:tabs>
        <w:tab w:val="center" w:pos="4535"/>
        <w:tab w:val="right" w:pos="9071"/>
        <w:tab w:val="right" w:pos="9921"/>
      </w:tabs>
      <w:spacing w:before="360"/>
      <w:ind w:left="-850" w:right="-850"/>
    </w:pPr>
    <w:rPr>
      <w:rFonts w:eastAsia="Calibri"/>
      <w:szCs w:val="22"/>
      <w:lang w:eastAsia="en-US"/>
    </w:rPr>
  </w:style>
  <w:style w:type="character" w:customStyle="1" w:styleId="TOCHeadingChar">
    <w:name w:val="TOC Heading Char"/>
    <w:uiPriority w:val="39"/>
    <w:rsid w:val="00501E78"/>
    <w:rPr>
      <w:rFonts w:ascii="Times New Roman" w:hAnsi="Times New Roman" w:cs="Times New Roman"/>
      <w:b/>
      <w:sz w:val="28"/>
    </w:rPr>
  </w:style>
  <w:style w:type="character" w:customStyle="1" w:styleId="FooterCoverPageChar">
    <w:name w:val="Footer Cover Page Char"/>
    <w:link w:val="FooterCoverPage"/>
    <w:rsid w:val="00501E78"/>
    <w:rPr>
      <w:rFonts w:eastAsia="Calibri"/>
      <w:sz w:val="24"/>
      <w:szCs w:val="22"/>
      <w:lang w:val="bg-BG" w:eastAsia="en-US"/>
    </w:rPr>
  </w:style>
  <w:style w:type="paragraph" w:customStyle="1" w:styleId="HeaderCoverPage">
    <w:name w:val="Header Cover Page"/>
    <w:basedOn w:val="Normal"/>
    <w:link w:val="HeaderCoverPageChar"/>
    <w:rsid w:val="00501E78"/>
    <w:pPr>
      <w:widowControl/>
      <w:tabs>
        <w:tab w:val="center" w:pos="4535"/>
        <w:tab w:val="right" w:pos="9071"/>
      </w:tabs>
      <w:spacing w:after="120"/>
      <w:jc w:val="both"/>
    </w:pPr>
    <w:rPr>
      <w:rFonts w:eastAsia="Calibri"/>
      <w:szCs w:val="22"/>
      <w:lang w:eastAsia="en-US"/>
    </w:rPr>
  </w:style>
  <w:style w:type="character" w:customStyle="1" w:styleId="HeaderCoverPageChar">
    <w:name w:val="Header Cover Page Char"/>
    <w:link w:val="HeaderCoverPage"/>
    <w:rsid w:val="00501E78"/>
    <w:rPr>
      <w:rFonts w:eastAsia="Calibri"/>
      <w:sz w:val="24"/>
      <w:szCs w:val="22"/>
      <w:lang w:val="bg-BG" w:eastAsia="en-US"/>
    </w:rPr>
  </w:style>
  <w:style w:type="paragraph" w:styleId="ListParagraph">
    <w:name w:val="List Paragraph"/>
    <w:basedOn w:val="Normal"/>
    <w:uiPriority w:val="34"/>
    <w:qFormat/>
    <w:rsid w:val="00501E78"/>
    <w:pPr>
      <w:widowControl/>
      <w:spacing w:before="120" w:after="120"/>
      <w:ind w:left="720"/>
      <w:contextualSpacing/>
      <w:jc w:val="both"/>
    </w:pPr>
    <w:rPr>
      <w:rFonts w:eastAsia="Calibri"/>
      <w:szCs w:val="22"/>
      <w:lang w:eastAsia="en-US"/>
    </w:rPr>
  </w:style>
  <w:style w:type="paragraph" w:customStyle="1" w:styleId="Default">
    <w:name w:val="Default"/>
    <w:rsid w:val="00501E78"/>
    <w:pPr>
      <w:autoSpaceDE w:val="0"/>
      <w:autoSpaceDN w:val="0"/>
      <w:adjustRightInd w:val="0"/>
    </w:pPr>
    <w:rPr>
      <w:rFonts w:eastAsia="Calibri"/>
      <w:sz w:val="24"/>
      <w:szCs w:val="22"/>
      <w:lang w:val="en-US" w:eastAsia="en-US"/>
    </w:rPr>
  </w:style>
  <w:style w:type="table" w:customStyle="1" w:styleId="Table11">
    <w:name w:val="Table 11"/>
    <w:basedOn w:val="TableNormal"/>
    <w:uiPriority w:val="99"/>
    <w:rsid w:val="00501E78"/>
    <w:pPr>
      <w:jc w:val="center"/>
    </w:pPr>
    <w:rPr>
      <w:rFonts w:ascii="Trebuchet MS" w:eastAsia="Calibri" w:hAnsi="Trebuchet MS"/>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paragraph" w:customStyle="1" w:styleId="TitreobjetPagedecouverture">
    <w:name w:val="Titre objet (Page de couverture)"/>
    <w:basedOn w:val="Titreobjet"/>
    <w:next w:val="IntrtEEEPagedecouverture"/>
    <w:rsid w:val="00501E78"/>
    <w:pPr>
      <w:spacing w:line="240" w:lineRule="auto"/>
    </w:pPr>
    <w:rPr>
      <w:rFonts w:eastAsia="Calibri"/>
      <w:szCs w:val="22"/>
      <w:lang w:val="bg-BG"/>
    </w:rPr>
  </w:style>
  <w:style w:type="table" w:customStyle="1" w:styleId="TableGrid2">
    <w:name w:val="Table Grid2"/>
    <w:basedOn w:val="TableNormal"/>
    <w:next w:val="TableGrid"/>
    <w:rsid w:val="00501E78"/>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1">
    <w:name w:val="Table 111"/>
    <w:basedOn w:val="TableNormal"/>
    <w:uiPriority w:val="99"/>
    <w:rsid w:val="00501E78"/>
    <w:pPr>
      <w:jc w:val="center"/>
    </w:pPr>
    <w:rPr>
      <w:rFonts w:ascii="Trebuchet MS" w:eastAsia="Calibri" w:hAnsi="Trebuchet MS"/>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11">
    <w:name w:val="No List11"/>
    <w:next w:val="NoList"/>
    <w:uiPriority w:val="99"/>
    <w:semiHidden/>
    <w:unhideWhenUsed/>
    <w:rsid w:val="00501E78"/>
  </w:style>
  <w:style w:type="table" w:customStyle="1" w:styleId="TableGrid3">
    <w:name w:val="Table Grid3"/>
    <w:basedOn w:val="TableNormal"/>
    <w:next w:val="TableGrid"/>
    <w:rsid w:val="00501E78"/>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2">
    <w:name w:val="Table 112"/>
    <w:basedOn w:val="TableNormal"/>
    <w:uiPriority w:val="99"/>
    <w:rsid w:val="00501E78"/>
    <w:pPr>
      <w:jc w:val="center"/>
    </w:pPr>
    <w:rPr>
      <w:rFonts w:ascii="Trebuchet MS" w:eastAsia="Calibri" w:hAnsi="Trebuchet MS"/>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numbering" w:customStyle="1" w:styleId="NoList21">
    <w:name w:val="No List21"/>
    <w:next w:val="NoList"/>
    <w:uiPriority w:val="99"/>
    <w:semiHidden/>
    <w:unhideWhenUsed/>
    <w:rsid w:val="00501E78"/>
  </w:style>
  <w:style w:type="table" w:customStyle="1" w:styleId="TableGrid4">
    <w:name w:val="Table Grid4"/>
    <w:basedOn w:val="TableNormal"/>
    <w:next w:val="TableGrid"/>
    <w:rsid w:val="00501E78"/>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113">
    <w:name w:val="Table 113"/>
    <w:basedOn w:val="TableNormal"/>
    <w:uiPriority w:val="99"/>
    <w:rsid w:val="00501E78"/>
    <w:pPr>
      <w:jc w:val="center"/>
    </w:pPr>
    <w:rPr>
      <w:rFonts w:ascii="Trebuchet MS" w:eastAsia="Calibri" w:hAnsi="Trebuchet MS"/>
      <w:sz w:val="16"/>
      <w:lang w:val="en-US" w:eastAsia="en-US"/>
    </w:rPr>
    <w:tblPr>
      <w:tblInd w:w="567" w:type="dxa"/>
      <w:tblBorders>
        <w:top w:val="single" w:sz="4" w:space="0" w:color="005962"/>
        <w:left w:val="single" w:sz="4" w:space="0" w:color="005962"/>
        <w:bottom w:val="single" w:sz="4" w:space="0" w:color="005962"/>
        <w:right w:val="single" w:sz="4" w:space="0" w:color="005962"/>
        <w:insideH w:val="single" w:sz="4" w:space="0" w:color="005962"/>
        <w:insideV w:val="single" w:sz="4" w:space="0" w:color="005962"/>
      </w:tblBorders>
    </w:tblPr>
    <w:tcPr>
      <w:shd w:val="clear" w:color="auto" w:fill="auto"/>
      <w:vAlign w:val="center"/>
    </w:tcPr>
    <w:tblStylePr w:type="firstRow">
      <w:pPr>
        <w:jc w:val="center"/>
      </w:pPr>
      <w:rPr>
        <w:rFonts w:ascii="___WRD_EMBED_SUB_178" w:hAnsi="___WRD_EMBED_SUB_178"/>
        <w:b/>
        <w:color w:val="FFFFFF"/>
        <w:sz w:val="16"/>
      </w:rPr>
      <w:tblPr/>
      <w:tcPr>
        <w:shd w:val="clear" w:color="auto" w:fill="005962"/>
      </w:tcPr>
    </w:tblStylePr>
    <w:tblStylePr w:type="firstCol">
      <w:pPr>
        <w:wordWrap/>
        <w:jc w:val="left"/>
        <w:outlineLvl w:val="9"/>
      </w:pPr>
    </w:tblStylePr>
  </w:style>
  <w:style w:type="table" w:customStyle="1" w:styleId="TableGrid12">
    <w:name w:val="Table Grid12"/>
    <w:basedOn w:val="TableNormal"/>
    <w:next w:val="TableGrid"/>
    <w:rsid w:val="00501E78"/>
    <w:pPr>
      <w:spacing w:before="120" w:after="120"/>
      <w:jc w:val="both"/>
    </w:pPr>
    <w:rPr>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Instit">
    <w:name w:val="EntInstit"/>
    <w:basedOn w:val="Normal"/>
    <w:rsid w:val="00501E78"/>
    <w:pPr>
      <w:autoSpaceDE w:val="0"/>
      <w:autoSpaceDN w:val="0"/>
      <w:adjustRightInd w:val="0"/>
      <w:jc w:val="right"/>
    </w:pPr>
    <w:rPr>
      <w:rFonts w:eastAsia="Calibri"/>
      <w:b/>
      <w:szCs w:val="22"/>
      <w:lang w:eastAsia="en-US"/>
    </w:rPr>
  </w:style>
  <w:style w:type="paragraph" w:customStyle="1" w:styleId="EntRefer">
    <w:name w:val="EntRefer"/>
    <w:basedOn w:val="Normal"/>
    <w:rsid w:val="00501E78"/>
    <w:pPr>
      <w:autoSpaceDE w:val="0"/>
      <w:autoSpaceDN w:val="0"/>
      <w:adjustRightInd w:val="0"/>
    </w:pPr>
    <w:rPr>
      <w:rFonts w:eastAsia="Calibri"/>
      <w:b/>
      <w:szCs w:val="22"/>
      <w:lang w:eastAsia="en-US"/>
    </w:rPr>
  </w:style>
  <w:style w:type="paragraph" w:customStyle="1" w:styleId="Par-number1">
    <w:name w:val="Par-number 1)"/>
    <w:basedOn w:val="Normal"/>
    <w:next w:val="Normal"/>
    <w:rsid w:val="00501E78"/>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EntEmet">
    <w:name w:val="EntEmet"/>
    <w:basedOn w:val="Normal"/>
    <w:rsid w:val="00501E78"/>
    <w:pPr>
      <w:tabs>
        <w:tab w:val="left" w:pos="284"/>
        <w:tab w:val="left" w:pos="567"/>
        <w:tab w:val="left" w:pos="851"/>
        <w:tab w:val="left" w:pos="1134"/>
        <w:tab w:val="left" w:pos="1418"/>
      </w:tabs>
      <w:autoSpaceDE w:val="0"/>
      <w:autoSpaceDN w:val="0"/>
      <w:adjustRightInd w:val="0"/>
      <w:spacing w:before="40"/>
    </w:pPr>
    <w:rPr>
      <w:rFonts w:eastAsia="Calibri"/>
      <w:szCs w:val="22"/>
      <w:lang w:eastAsia="en-US"/>
    </w:rPr>
  </w:style>
  <w:style w:type="paragraph" w:customStyle="1" w:styleId="Par-bullet">
    <w:name w:val="Par-bullet"/>
    <w:basedOn w:val="Normal"/>
    <w:next w:val="Normal"/>
    <w:rsid w:val="00501E78"/>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equal">
    <w:name w:val="Par-equal"/>
    <w:basedOn w:val="Normal"/>
    <w:next w:val="Normal"/>
    <w:rsid w:val="00501E78"/>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10">
    <w:name w:val="Par-number (1)"/>
    <w:basedOn w:val="Normal"/>
    <w:next w:val="Normal"/>
    <w:rsid w:val="00501E78"/>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11">
    <w:name w:val="Par-number 1."/>
    <w:basedOn w:val="Normal"/>
    <w:next w:val="Normal"/>
    <w:rsid w:val="00501E78"/>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numberI">
    <w:name w:val="Par-number I."/>
    <w:basedOn w:val="Normal"/>
    <w:next w:val="Normal"/>
    <w:rsid w:val="00501E78"/>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Par-dash">
    <w:name w:val="Par-dash"/>
    <w:basedOn w:val="Normal"/>
    <w:next w:val="Normal"/>
    <w:rsid w:val="00501E78"/>
    <w:pPr>
      <w:tabs>
        <w:tab w:val="num" w:pos="567"/>
      </w:tabs>
      <w:autoSpaceDE w:val="0"/>
      <w:autoSpaceDN w:val="0"/>
      <w:adjustRightInd w:val="0"/>
      <w:spacing w:line="360" w:lineRule="auto"/>
      <w:ind w:left="567" w:hanging="567"/>
    </w:pPr>
    <w:rPr>
      <w:rFonts w:eastAsia="Calibri"/>
      <w:szCs w:val="22"/>
      <w:lang w:eastAsia="en-US"/>
    </w:rPr>
  </w:style>
  <w:style w:type="paragraph" w:customStyle="1" w:styleId="EntLogo">
    <w:name w:val="EntLogo"/>
    <w:basedOn w:val="Normal"/>
    <w:next w:val="EntInstit"/>
    <w:rsid w:val="00501E78"/>
    <w:pPr>
      <w:autoSpaceDE w:val="0"/>
      <w:autoSpaceDN w:val="0"/>
      <w:adjustRightInd w:val="0"/>
      <w:spacing w:line="360" w:lineRule="auto"/>
    </w:pPr>
    <w:rPr>
      <w:rFonts w:eastAsia="Calibri"/>
      <w:b/>
      <w:szCs w:val="22"/>
      <w:lang w:eastAsia="en-US"/>
    </w:rPr>
  </w:style>
  <w:style w:type="paragraph" w:customStyle="1" w:styleId="Par-numberA">
    <w:name w:val="Par-number A."/>
    <w:basedOn w:val="Normal"/>
    <w:next w:val="Normal"/>
    <w:rsid w:val="00501E78"/>
    <w:pPr>
      <w:tabs>
        <w:tab w:val="num" w:pos="567"/>
      </w:tabs>
      <w:autoSpaceDE w:val="0"/>
      <w:autoSpaceDN w:val="0"/>
      <w:adjustRightInd w:val="0"/>
      <w:spacing w:line="360" w:lineRule="auto"/>
      <w:ind w:left="567" w:hanging="567"/>
    </w:pPr>
    <w:rPr>
      <w:rFonts w:eastAsia="Calibri"/>
      <w:szCs w:val="22"/>
      <w:lang w:eastAsia="en-US"/>
    </w:rPr>
  </w:style>
  <w:style w:type="paragraph" w:styleId="EndnoteText">
    <w:name w:val="endnote text"/>
    <w:basedOn w:val="Normal"/>
    <w:link w:val="EndnoteTextChar"/>
    <w:uiPriority w:val="99"/>
    <w:rsid w:val="00501E78"/>
    <w:pPr>
      <w:tabs>
        <w:tab w:val="left" w:pos="567"/>
      </w:tabs>
      <w:autoSpaceDE w:val="0"/>
      <w:autoSpaceDN w:val="0"/>
      <w:adjustRightInd w:val="0"/>
      <w:ind w:left="567" w:hanging="567"/>
    </w:pPr>
    <w:rPr>
      <w:rFonts w:eastAsia="Calibri"/>
      <w:szCs w:val="22"/>
      <w:lang w:eastAsia="en-US"/>
    </w:rPr>
  </w:style>
  <w:style w:type="character" w:customStyle="1" w:styleId="EndnoteTextChar">
    <w:name w:val="Endnote Text Char"/>
    <w:basedOn w:val="DefaultParagraphFont"/>
    <w:link w:val="EndnoteText"/>
    <w:uiPriority w:val="99"/>
    <w:rsid w:val="00501E78"/>
    <w:rPr>
      <w:rFonts w:eastAsia="Calibri"/>
      <w:sz w:val="24"/>
      <w:szCs w:val="22"/>
      <w:lang w:val="bg-BG" w:eastAsia="en-US"/>
    </w:rPr>
  </w:style>
  <w:style w:type="character" w:styleId="EndnoteReference">
    <w:name w:val="endnote reference"/>
    <w:basedOn w:val="DefaultParagraphFont"/>
    <w:uiPriority w:val="99"/>
    <w:rsid w:val="00501E78"/>
    <w:rPr>
      <w:rFonts w:cs="Times New Roman"/>
      <w:b/>
      <w:spacing w:val="0"/>
      <w:vertAlign w:val="superscript"/>
    </w:rPr>
  </w:style>
  <w:style w:type="paragraph" w:customStyle="1" w:styleId="AC">
    <w:name w:val="AC"/>
    <w:basedOn w:val="Normal"/>
    <w:next w:val="Normal"/>
    <w:rsid w:val="00501E78"/>
    <w:pPr>
      <w:autoSpaceDE w:val="0"/>
      <w:autoSpaceDN w:val="0"/>
      <w:adjustRightInd w:val="0"/>
      <w:spacing w:line="360" w:lineRule="auto"/>
    </w:pPr>
    <w:rPr>
      <w:rFonts w:eastAsia="Calibri"/>
      <w:b/>
      <w:sz w:val="40"/>
      <w:szCs w:val="22"/>
      <w:lang w:eastAsia="en-US"/>
    </w:rPr>
  </w:style>
  <w:style w:type="paragraph" w:customStyle="1" w:styleId="Par-numberi0">
    <w:name w:val="Par-number (i)"/>
    <w:basedOn w:val="Normal"/>
    <w:next w:val="Normal"/>
    <w:rsid w:val="00501E78"/>
    <w:pPr>
      <w:tabs>
        <w:tab w:val="left" w:pos="567"/>
      </w:tabs>
      <w:autoSpaceDE w:val="0"/>
      <w:autoSpaceDN w:val="0"/>
      <w:adjustRightInd w:val="0"/>
      <w:spacing w:line="360" w:lineRule="auto"/>
      <w:ind w:left="567" w:hanging="567"/>
    </w:pPr>
    <w:rPr>
      <w:rFonts w:eastAsia="Calibri"/>
      <w:szCs w:val="22"/>
      <w:lang w:eastAsia="en-US"/>
    </w:rPr>
  </w:style>
  <w:style w:type="paragraph" w:customStyle="1" w:styleId="Par-numbera0">
    <w:name w:val="Par-number (a)"/>
    <w:basedOn w:val="Normal"/>
    <w:next w:val="Normal"/>
    <w:rsid w:val="00501E78"/>
    <w:pPr>
      <w:tabs>
        <w:tab w:val="num" w:pos="567"/>
      </w:tabs>
      <w:autoSpaceDE w:val="0"/>
      <w:autoSpaceDN w:val="0"/>
      <w:adjustRightInd w:val="0"/>
      <w:spacing w:line="360" w:lineRule="auto"/>
      <w:ind w:left="567" w:hanging="567"/>
    </w:pPr>
    <w:rPr>
      <w:rFonts w:eastAsia="Calibri"/>
      <w:szCs w:val="22"/>
      <w:lang w:eastAsia="en-US"/>
    </w:rPr>
  </w:style>
  <w:style w:type="character" w:customStyle="1" w:styleId="DontTranslate">
    <w:name w:val="DontTranslate"/>
    <w:basedOn w:val="DefaultParagraphFont"/>
    <w:rsid w:val="00501E78"/>
    <w:rPr>
      <w:rFonts w:cs="Times New Roman"/>
      <w:spacing w:val="0"/>
    </w:rPr>
  </w:style>
  <w:style w:type="paragraph" w:customStyle="1" w:styleId="AddReference">
    <w:name w:val="Add Reference"/>
    <w:basedOn w:val="Normal"/>
    <w:rsid w:val="00501E78"/>
    <w:pPr>
      <w:pBdr>
        <w:top w:val="single" w:sz="4" w:space="1" w:color="auto"/>
        <w:left w:val="single" w:sz="4" w:space="4" w:color="auto"/>
        <w:bottom w:val="single" w:sz="4" w:space="1" w:color="auto"/>
        <w:right w:val="single" w:sz="4" w:space="4" w:color="auto"/>
      </w:pBdr>
      <w:autoSpaceDE w:val="0"/>
      <w:autoSpaceDN w:val="0"/>
      <w:adjustRightInd w:val="0"/>
      <w:ind w:left="7655" w:right="-454"/>
    </w:pPr>
    <w:rPr>
      <w:rFonts w:eastAsia="Calibri"/>
      <w:i/>
      <w:sz w:val="20"/>
      <w:szCs w:val="22"/>
      <w:lang w:eastAsia="en-US"/>
    </w:rPr>
  </w:style>
  <w:style w:type="paragraph" w:styleId="DocumentMap">
    <w:name w:val="Document Map"/>
    <w:basedOn w:val="Normal"/>
    <w:link w:val="DocumentMapChar"/>
    <w:uiPriority w:val="99"/>
    <w:rsid w:val="00501E78"/>
    <w:pPr>
      <w:shd w:val="clear" w:color="auto" w:fill="000080"/>
      <w:autoSpaceDE w:val="0"/>
      <w:autoSpaceDN w:val="0"/>
      <w:adjustRightInd w:val="0"/>
      <w:spacing w:line="360" w:lineRule="auto"/>
    </w:pPr>
    <w:rPr>
      <w:rFonts w:ascii="Tahoma" w:hAnsi="Tahoma" w:cs="Tahoma"/>
      <w:szCs w:val="22"/>
      <w:lang w:eastAsia="en-US"/>
    </w:rPr>
  </w:style>
  <w:style w:type="character" w:customStyle="1" w:styleId="DocumentMapChar">
    <w:name w:val="Document Map Char"/>
    <w:basedOn w:val="DefaultParagraphFont"/>
    <w:link w:val="DocumentMap"/>
    <w:uiPriority w:val="99"/>
    <w:rsid w:val="00501E78"/>
    <w:rPr>
      <w:rFonts w:ascii="Tahoma" w:hAnsi="Tahoma" w:cs="Tahoma"/>
      <w:sz w:val="24"/>
      <w:szCs w:val="22"/>
      <w:shd w:val="clear" w:color="auto" w:fill="000080"/>
      <w:lang w:val="bg-BG" w:eastAsia="en-US"/>
    </w:rPr>
  </w:style>
  <w:style w:type="paragraph" w:customStyle="1" w:styleId="RKrubrik">
    <w:name w:val="RKrubrik"/>
    <w:basedOn w:val="Normal"/>
    <w:next w:val="Normal"/>
    <w:rsid w:val="00501E78"/>
    <w:pPr>
      <w:keepNext/>
      <w:widowControl/>
      <w:tabs>
        <w:tab w:val="left" w:pos="1134"/>
        <w:tab w:val="left" w:pos="2835"/>
      </w:tabs>
      <w:autoSpaceDE w:val="0"/>
      <w:autoSpaceDN w:val="0"/>
      <w:adjustRightInd w:val="0"/>
      <w:spacing w:before="360" w:after="120" w:line="240" w:lineRule="atLeast"/>
    </w:pPr>
    <w:rPr>
      <w:rFonts w:ascii="TradeGothic" w:hAnsi="TradeGothic" w:cs="TradeGothic"/>
      <w:b/>
      <w:sz w:val="22"/>
      <w:szCs w:val="22"/>
      <w:lang w:eastAsia="en-US"/>
    </w:rPr>
  </w:style>
  <w:style w:type="character" w:customStyle="1" w:styleId="Heading1Char1">
    <w:name w:val="Heading 1 Char1"/>
    <w:basedOn w:val="DefaultParagraphFont"/>
    <w:rsid w:val="00501E78"/>
    <w:rPr>
      <w:rFonts w:cs="Times New Roman"/>
      <w:b/>
      <w:smallCaps/>
      <w:spacing w:val="0"/>
      <w:sz w:val="24"/>
    </w:rPr>
  </w:style>
  <w:style w:type="character" w:customStyle="1" w:styleId="Heading2Char1">
    <w:name w:val="Heading 2 Char1"/>
    <w:basedOn w:val="DefaultParagraphFont"/>
    <w:rsid w:val="00501E78"/>
    <w:rPr>
      <w:rFonts w:cs="Times New Roman"/>
      <w:b/>
      <w:spacing w:val="0"/>
      <w:sz w:val="24"/>
    </w:rPr>
  </w:style>
  <w:style w:type="character" w:customStyle="1" w:styleId="Heading3Char1">
    <w:name w:val="Heading 3 Char1"/>
    <w:basedOn w:val="DefaultParagraphFont"/>
    <w:rsid w:val="00501E78"/>
    <w:rPr>
      <w:rFonts w:cs="Times New Roman"/>
      <w:i/>
      <w:spacing w:val="0"/>
      <w:sz w:val="24"/>
    </w:rPr>
  </w:style>
  <w:style w:type="character" w:customStyle="1" w:styleId="Heading4Char1">
    <w:name w:val="Heading 4 Char1"/>
    <w:basedOn w:val="DefaultParagraphFont"/>
    <w:rsid w:val="00501E78"/>
    <w:rPr>
      <w:rFonts w:cs="Times New Roman"/>
      <w:spacing w:val="0"/>
      <w:sz w:val="24"/>
    </w:rPr>
  </w:style>
  <w:style w:type="character" w:customStyle="1" w:styleId="Heading5Char1">
    <w:name w:val="Heading 5 Char1"/>
    <w:basedOn w:val="DefaultParagraphFont"/>
    <w:rsid w:val="00501E78"/>
    <w:rPr>
      <w:rFonts w:ascii="Arial" w:hAnsi="Arial" w:cs="Arial"/>
      <w:spacing w:val="0"/>
      <w:sz w:val="24"/>
    </w:rPr>
  </w:style>
  <w:style w:type="character" w:customStyle="1" w:styleId="Heading6Char1">
    <w:name w:val="Heading 6 Char1"/>
    <w:basedOn w:val="DefaultParagraphFont"/>
    <w:rsid w:val="00501E78"/>
    <w:rPr>
      <w:rFonts w:ascii="Arial" w:hAnsi="Arial" w:cs="Arial"/>
      <w:i/>
      <w:spacing w:val="0"/>
      <w:sz w:val="24"/>
    </w:rPr>
  </w:style>
  <w:style w:type="character" w:customStyle="1" w:styleId="Heading7Char1">
    <w:name w:val="Heading 7 Char1"/>
    <w:basedOn w:val="DefaultParagraphFont"/>
    <w:rsid w:val="00501E78"/>
    <w:rPr>
      <w:rFonts w:ascii="Arial" w:hAnsi="Arial" w:cs="Arial"/>
      <w:spacing w:val="0"/>
      <w:sz w:val="24"/>
    </w:rPr>
  </w:style>
  <w:style w:type="character" w:customStyle="1" w:styleId="Heading8Char1">
    <w:name w:val="Heading 8 Char1"/>
    <w:basedOn w:val="DefaultParagraphFont"/>
    <w:rsid w:val="00501E78"/>
    <w:rPr>
      <w:rFonts w:ascii="Arial" w:hAnsi="Arial" w:cs="Arial"/>
      <w:i/>
      <w:spacing w:val="0"/>
      <w:sz w:val="24"/>
    </w:rPr>
  </w:style>
  <w:style w:type="character" w:customStyle="1" w:styleId="Heading9Char1">
    <w:name w:val="Heading 9 Char1"/>
    <w:basedOn w:val="DefaultParagraphFont"/>
    <w:rsid w:val="00501E78"/>
    <w:rPr>
      <w:rFonts w:ascii="Arial" w:hAnsi="Arial" w:cs="Arial"/>
      <w:i/>
      <w:spacing w:val="0"/>
      <w:sz w:val="24"/>
    </w:rPr>
  </w:style>
  <w:style w:type="character" w:customStyle="1" w:styleId="BalloonTextChar1">
    <w:name w:val="Balloon Text Char1"/>
    <w:basedOn w:val="DefaultParagraphFont"/>
    <w:rsid w:val="00501E78"/>
    <w:rPr>
      <w:rFonts w:ascii="Tahoma" w:hAnsi="Tahoma" w:cs="Tahoma"/>
      <w:spacing w:val="0"/>
      <w:sz w:val="16"/>
    </w:rPr>
  </w:style>
  <w:style w:type="character" w:customStyle="1" w:styleId="HeaderChar1">
    <w:name w:val="Header Char1"/>
    <w:basedOn w:val="DefaultParagraphFont"/>
    <w:rsid w:val="00501E78"/>
    <w:rPr>
      <w:rFonts w:cs="Times New Roman"/>
      <w:spacing w:val="0"/>
      <w:sz w:val="24"/>
    </w:rPr>
  </w:style>
  <w:style w:type="paragraph" w:customStyle="1" w:styleId="Overskrift1">
    <w:name w:val="Overskrift1"/>
    <w:basedOn w:val="Normal"/>
    <w:next w:val="Normal"/>
    <w:rsid w:val="00501E78"/>
    <w:pPr>
      <w:widowControl/>
      <w:autoSpaceDE w:val="0"/>
      <w:autoSpaceDN w:val="0"/>
      <w:adjustRightInd w:val="0"/>
      <w:spacing w:before="120" w:after="240" w:line="360" w:lineRule="auto"/>
      <w:jc w:val="center"/>
    </w:pPr>
    <w:rPr>
      <w:rFonts w:eastAsia="Calibri"/>
      <w:b/>
      <w:sz w:val="28"/>
      <w:szCs w:val="22"/>
      <w:lang w:eastAsia="en-US"/>
    </w:rPr>
  </w:style>
  <w:style w:type="paragraph" w:customStyle="1" w:styleId="Lignefinal">
    <w:name w:val="Ligne final"/>
    <w:basedOn w:val="Normal"/>
    <w:next w:val="Normal"/>
    <w:rsid w:val="00501E78"/>
    <w:pPr>
      <w:widowControl/>
      <w:pBdr>
        <w:bottom w:val="single" w:sz="4" w:space="0" w:color="000000"/>
      </w:pBdr>
      <w:autoSpaceDE w:val="0"/>
      <w:autoSpaceDN w:val="0"/>
      <w:adjustRightInd w:val="0"/>
      <w:spacing w:before="720" w:after="36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501E78"/>
    <w:pPr>
      <w:widowControl/>
      <w:pBdr>
        <w:bottom w:val="single" w:sz="4" w:space="0" w:color="000000"/>
      </w:pBdr>
      <w:autoSpaceDE w:val="0"/>
      <w:autoSpaceDN w:val="0"/>
      <w:adjustRightInd w:val="0"/>
      <w:spacing w:before="720" w:after="360" w:line="360" w:lineRule="auto"/>
      <w:ind w:left="5868" w:right="5868"/>
      <w:jc w:val="center"/>
    </w:pPr>
    <w:rPr>
      <w:rFonts w:eastAsia="Calibri"/>
      <w:b/>
      <w:szCs w:val="22"/>
      <w:lang w:eastAsia="en-US"/>
    </w:rPr>
  </w:style>
  <w:style w:type="paragraph" w:customStyle="1" w:styleId="EntText">
    <w:name w:val="EntText"/>
    <w:basedOn w:val="Normal"/>
    <w:rsid w:val="00501E78"/>
    <w:pPr>
      <w:widowControl/>
      <w:autoSpaceDE w:val="0"/>
      <w:autoSpaceDN w:val="0"/>
      <w:adjustRightInd w:val="0"/>
      <w:spacing w:before="120" w:after="120" w:line="360" w:lineRule="auto"/>
    </w:pPr>
    <w:rPr>
      <w:rFonts w:eastAsia="Calibri"/>
      <w:szCs w:val="22"/>
      <w:lang w:eastAsia="en-US"/>
    </w:rPr>
  </w:style>
  <w:style w:type="paragraph" w:customStyle="1" w:styleId="EntEU">
    <w:name w:val="EntEU"/>
    <w:basedOn w:val="Normal"/>
    <w:rsid w:val="00501E78"/>
    <w:pPr>
      <w:widowControl/>
      <w:autoSpaceDE w:val="0"/>
      <w:autoSpaceDN w:val="0"/>
      <w:adjustRightInd w:val="0"/>
      <w:spacing w:before="240" w:after="240"/>
      <w:jc w:val="center"/>
    </w:pPr>
    <w:rPr>
      <w:rFonts w:eastAsia="Calibri"/>
      <w:b/>
      <w:sz w:val="36"/>
      <w:szCs w:val="22"/>
      <w:lang w:eastAsia="en-US"/>
    </w:rPr>
  </w:style>
  <w:style w:type="paragraph" w:customStyle="1" w:styleId="EntASSOC">
    <w:name w:val="EntASSOC"/>
    <w:basedOn w:val="Normal"/>
    <w:rsid w:val="00501E78"/>
    <w:pPr>
      <w:widowControl/>
      <w:autoSpaceDE w:val="0"/>
      <w:autoSpaceDN w:val="0"/>
      <w:adjustRightInd w:val="0"/>
      <w:jc w:val="center"/>
    </w:pPr>
    <w:rPr>
      <w:rFonts w:eastAsia="Calibri"/>
      <w:b/>
      <w:szCs w:val="22"/>
      <w:lang w:eastAsia="en-US"/>
    </w:rPr>
  </w:style>
  <w:style w:type="paragraph" w:customStyle="1" w:styleId="EntACP">
    <w:name w:val="EntACP"/>
    <w:basedOn w:val="Normal"/>
    <w:rsid w:val="00501E78"/>
    <w:pPr>
      <w:widowControl/>
      <w:autoSpaceDE w:val="0"/>
      <w:autoSpaceDN w:val="0"/>
      <w:adjustRightInd w:val="0"/>
      <w:spacing w:after="120"/>
      <w:jc w:val="center"/>
    </w:pPr>
    <w:rPr>
      <w:rFonts w:eastAsia="Calibri"/>
      <w:b/>
      <w:spacing w:val="40"/>
      <w:sz w:val="28"/>
      <w:szCs w:val="22"/>
      <w:lang w:eastAsia="en-US"/>
    </w:rPr>
  </w:style>
  <w:style w:type="paragraph" w:customStyle="1" w:styleId="EntInstitACP">
    <w:name w:val="EntInstitACP"/>
    <w:basedOn w:val="Normal"/>
    <w:rsid w:val="00501E78"/>
    <w:pPr>
      <w:widowControl/>
      <w:autoSpaceDE w:val="0"/>
      <w:autoSpaceDN w:val="0"/>
      <w:adjustRightInd w:val="0"/>
      <w:jc w:val="center"/>
    </w:pPr>
    <w:rPr>
      <w:rFonts w:eastAsia="Calibri"/>
      <w:b/>
      <w:szCs w:val="22"/>
      <w:lang w:eastAsia="en-US"/>
    </w:rPr>
  </w:style>
  <w:style w:type="paragraph" w:customStyle="1" w:styleId="Genredudocument">
    <w:name w:val="Genre du document"/>
    <w:basedOn w:val="EntRefer"/>
    <w:next w:val="EntRefer"/>
    <w:rsid w:val="00501E78"/>
    <w:pPr>
      <w:widowControl/>
      <w:spacing w:before="240"/>
    </w:pPr>
  </w:style>
  <w:style w:type="paragraph" w:customStyle="1" w:styleId="Accordtitre">
    <w:name w:val="Accord titre"/>
    <w:basedOn w:val="Normal"/>
    <w:rsid w:val="00501E78"/>
    <w:pPr>
      <w:widowControl/>
      <w:autoSpaceDE w:val="0"/>
      <w:autoSpaceDN w:val="0"/>
      <w:adjustRightInd w:val="0"/>
      <w:spacing w:line="360" w:lineRule="auto"/>
      <w:jc w:val="center"/>
    </w:pPr>
    <w:rPr>
      <w:rFonts w:eastAsia="Calibri"/>
      <w:szCs w:val="22"/>
      <w:lang w:eastAsia="en-US"/>
    </w:rPr>
  </w:style>
  <w:style w:type="paragraph" w:customStyle="1" w:styleId="FooterAccord">
    <w:name w:val="Footer Accord"/>
    <w:basedOn w:val="Normal"/>
    <w:rsid w:val="00501E78"/>
    <w:pPr>
      <w:widowControl/>
      <w:tabs>
        <w:tab w:val="center" w:pos="4819"/>
        <w:tab w:val="center" w:pos="7370"/>
        <w:tab w:val="right" w:pos="9638"/>
      </w:tabs>
      <w:autoSpaceDE w:val="0"/>
      <w:autoSpaceDN w:val="0"/>
      <w:adjustRightInd w:val="0"/>
      <w:spacing w:before="360"/>
      <w:jc w:val="center"/>
    </w:pPr>
    <w:rPr>
      <w:rFonts w:eastAsia="Calibri"/>
      <w:szCs w:val="22"/>
      <w:lang w:eastAsia="en-US"/>
    </w:rPr>
  </w:style>
  <w:style w:type="paragraph" w:customStyle="1" w:styleId="FooterLandscapeAccord">
    <w:name w:val="FooterLandscape Accord"/>
    <w:basedOn w:val="Normal"/>
    <w:rsid w:val="00501E78"/>
    <w:pPr>
      <w:widowControl/>
      <w:tabs>
        <w:tab w:val="center" w:pos="7285"/>
        <w:tab w:val="center" w:pos="10930"/>
        <w:tab w:val="right" w:pos="14570"/>
      </w:tabs>
      <w:autoSpaceDE w:val="0"/>
      <w:autoSpaceDN w:val="0"/>
      <w:adjustRightInd w:val="0"/>
      <w:spacing w:before="360"/>
      <w:jc w:val="center"/>
    </w:pPr>
    <w:rPr>
      <w:rFonts w:eastAsia="Calibri"/>
      <w:szCs w:val="22"/>
      <w:lang w:eastAsia="en-US"/>
    </w:rPr>
  </w:style>
  <w:style w:type="paragraph" w:styleId="BlockText">
    <w:name w:val="Block Text"/>
    <w:basedOn w:val="Normal"/>
    <w:uiPriority w:val="99"/>
    <w:rsid w:val="00501E78"/>
    <w:pPr>
      <w:widowControl/>
      <w:autoSpaceDE w:val="0"/>
      <w:autoSpaceDN w:val="0"/>
      <w:adjustRightInd w:val="0"/>
      <w:spacing w:before="120" w:after="120" w:line="360" w:lineRule="auto"/>
      <w:ind w:left="1440" w:right="1440"/>
    </w:pPr>
    <w:rPr>
      <w:rFonts w:eastAsia="Calibri"/>
      <w:szCs w:val="22"/>
      <w:lang w:eastAsia="en-US"/>
    </w:rPr>
  </w:style>
  <w:style w:type="paragraph" w:styleId="BodyText">
    <w:name w:val="Body Text"/>
    <w:basedOn w:val="Normal"/>
    <w:link w:val="BodyTextChar"/>
    <w:uiPriority w:val="99"/>
    <w:rsid w:val="00501E78"/>
    <w:pPr>
      <w:widowControl/>
      <w:autoSpaceDE w:val="0"/>
      <w:autoSpaceDN w:val="0"/>
      <w:adjustRightInd w:val="0"/>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501E78"/>
    <w:rPr>
      <w:rFonts w:eastAsia="Calibri"/>
      <w:sz w:val="24"/>
      <w:szCs w:val="22"/>
      <w:lang w:val="bg-BG" w:eastAsia="en-US"/>
    </w:rPr>
  </w:style>
  <w:style w:type="character" w:customStyle="1" w:styleId="BodyTextChar1">
    <w:name w:val="Body Text Char1"/>
    <w:basedOn w:val="DefaultParagraphFont"/>
    <w:rsid w:val="00501E78"/>
    <w:rPr>
      <w:rFonts w:cs="Times New Roman"/>
      <w:spacing w:val="0"/>
      <w:sz w:val="24"/>
    </w:rPr>
  </w:style>
  <w:style w:type="paragraph" w:styleId="BodyTextIndent">
    <w:name w:val="Body Text Indent"/>
    <w:basedOn w:val="Normal"/>
    <w:link w:val="BodyTextIndentChar"/>
    <w:uiPriority w:val="99"/>
    <w:rsid w:val="00501E78"/>
    <w:pPr>
      <w:widowControl/>
      <w:autoSpaceDE w:val="0"/>
      <w:autoSpaceDN w:val="0"/>
      <w:adjustRightInd w:val="0"/>
      <w:spacing w:before="120" w:after="120" w:line="360" w:lineRule="auto"/>
      <w:ind w:left="283"/>
    </w:pPr>
    <w:rPr>
      <w:rFonts w:eastAsia="Calibri"/>
      <w:szCs w:val="22"/>
      <w:lang w:eastAsia="en-US"/>
    </w:rPr>
  </w:style>
  <w:style w:type="character" w:customStyle="1" w:styleId="BodyTextIndentChar">
    <w:name w:val="Body Text Indent Char"/>
    <w:basedOn w:val="DefaultParagraphFont"/>
    <w:link w:val="BodyTextIndent"/>
    <w:uiPriority w:val="99"/>
    <w:rsid w:val="00501E78"/>
    <w:rPr>
      <w:rFonts w:eastAsia="Calibri"/>
      <w:sz w:val="24"/>
      <w:szCs w:val="22"/>
      <w:lang w:val="bg-BG" w:eastAsia="en-US"/>
    </w:rPr>
  </w:style>
  <w:style w:type="character" w:customStyle="1" w:styleId="BodyText2Char">
    <w:name w:val="Body Text 2 Char"/>
    <w:basedOn w:val="DefaultParagraphFont"/>
    <w:rsid w:val="00501E78"/>
    <w:rPr>
      <w:rFonts w:ascii="Times New Roman" w:hAnsi="Times New Roman" w:cs="Times New Roman"/>
      <w:spacing w:val="0"/>
      <w:sz w:val="24"/>
    </w:rPr>
  </w:style>
  <w:style w:type="paragraph" w:styleId="BodyText3">
    <w:name w:val="Body Text 3"/>
    <w:basedOn w:val="Normal"/>
    <w:link w:val="BodyText3Char"/>
    <w:uiPriority w:val="99"/>
    <w:rsid w:val="00501E78"/>
    <w:pPr>
      <w:widowControl/>
      <w:autoSpaceDE w:val="0"/>
      <w:autoSpaceDN w:val="0"/>
      <w:adjustRightInd w:val="0"/>
      <w:spacing w:before="120" w:after="120" w:line="360" w:lineRule="auto"/>
    </w:pPr>
    <w:rPr>
      <w:rFonts w:eastAsia="Calibri"/>
      <w:sz w:val="16"/>
      <w:szCs w:val="22"/>
      <w:lang w:eastAsia="en-US"/>
    </w:rPr>
  </w:style>
  <w:style w:type="character" w:customStyle="1" w:styleId="BodyText3Char">
    <w:name w:val="Body Text 3 Char"/>
    <w:basedOn w:val="DefaultParagraphFont"/>
    <w:link w:val="BodyText3"/>
    <w:uiPriority w:val="99"/>
    <w:rsid w:val="00501E78"/>
    <w:rPr>
      <w:rFonts w:eastAsia="Calibri"/>
      <w:sz w:val="16"/>
      <w:szCs w:val="22"/>
      <w:lang w:val="bg-BG" w:eastAsia="en-US"/>
    </w:rPr>
  </w:style>
  <w:style w:type="character" w:customStyle="1" w:styleId="BodyText3Char1">
    <w:name w:val="Body Text 3 Char1"/>
    <w:basedOn w:val="DefaultParagraphFont"/>
    <w:rsid w:val="00501E78"/>
    <w:rPr>
      <w:rFonts w:cs="Times New Roman"/>
      <w:spacing w:val="0"/>
      <w:sz w:val="16"/>
    </w:rPr>
  </w:style>
  <w:style w:type="paragraph" w:styleId="BodyTextFirstIndent">
    <w:name w:val="Body Text First Indent"/>
    <w:basedOn w:val="BodyText"/>
    <w:link w:val="BodyTextFirstIndentChar"/>
    <w:uiPriority w:val="99"/>
    <w:rsid w:val="00501E78"/>
    <w:pPr>
      <w:ind w:firstLine="210"/>
    </w:pPr>
  </w:style>
  <w:style w:type="character" w:customStyle="1" w:styleId="BodyTextFirstIndentChar">
    <w:name w:val="Body Text First Indent Char"/>
    <w:basedOn w:val="BodyTextChar"/>
    <w:link w:val="BodyTextFirstIndent"/>
    <w:uiPriority w:val="99"/>
    <w:rsid w:val="00501E78"/>
    <w:rPr>
      <w:rFonts w:eastAsia="Calibri"/>
      <w:sz w:val="24"/>
      <w:szCs w:val="22"/>
      <w:lang w:val="bg-BG" w:eastAsia="en-US"/>
    </w:rPr>
  </w:style>
  <w:style w:type="character" w:customStyle="1" w:styleId="BodyTextFirstIndentChar1">
    <w:name w:val="Body Text First Indent Char1"/>
    <w:basedOn w:val="BodyTextChar1"/>
    <w:rsid w:val="00501E78"/>
    <w:rPr>
      <w:rFonts w:cs="Times New Roman"/>
      <w:spacing w:val="0"/>
      <w:sz w:val="24"/>
    </w:rPr>
  </w:style>
  <w:style w:type="character" w:customStyle="1" w:styleId="BodyTextIndentChar1">
    <w:name w:val="Body Text Indent Char1"/>
    <w:basedOn w:val="DefaultParagraphFont"/>
    <w:rsid w:val="00501E78"/>
    <w:rPr>
      <w:rFonts w:cs="Times New Roman"/>
      <w:spacing w:val="0"/>
      <w:sz w:val="24"/>
    </w:rPr>
  </w:style>
  <w:style w:type="paragraph" w:styleId="BodyTextFirstIndent2">
    <w:name w:val="Body Text First Indent 2"/>
    <w:basedOn w:val="BodyTextIndent"/>
    <w:link w:val="BodyTextFirstIndent2Char"/>
    <w:uiPriority w:val="99"/>
    <w:rsid w:val="00501E78"/>
    <w:pPr>
      <w:ind w:firstLine="210"/>
    </w:pPr>
  </w:style>
  <w:style w:type="character" w:customStyle="1" w:styleId="BodyTextFirstIndent2Char">
    <w:name w:val="Body Text First Indent 2 Char"/>
    <w:basedOn w:val="BodyTextIndentChar"/>
    <w:link w:val="BodyTextFirstIndent2"/>
    <w:uiPriority w:val="99"/>
    <w:rsid w:val="00501E78"/>
    <w:rPr>
      <w:rFonts w:eastAsia="Calibri"/>
      <w:sz w:val="24"/>
      <w:szCs w:val="22"/>
      <w:lang w:val="bg-BG" w:eastAsia="en-US"/>
    </w:rPr>
  </w:style>
  <w:style w:type="character" w:customStyle="1" w:styleId="BodyTextFirstIndent2Char1">
    <w:name w:val="Body Text First Indent 2 Char1"/>
    <w:basedOn w:val="BodyTextIndentChar1"/>
    <w:rsid w:val="00501E78"/>
    <w:rPr>
      <w:rFonts w:cs="Times New Roman"/>
      <w:spacing w:val="0"/>
      <w:sz w:val="24"/>
    </w:rPr>
  </w:style>
  <w:style w:type="paragraph" w:styleId="BodyTextIndent2">
    <w:name w:val="Body Text Indent 2"/>
    <w:basedOn w:val="Normal"/>
    <w:link w:val="BodyTextIndent2Char"/>
    <w:uiPriority w:val="99"/>
    <w:rsid w:val="00501E78"/>
    <w:pPr>
      <w:widowControl/>
      <w:autoSpaceDE w:val="0"/>
      <w:autoSpaceDN w:val="0"/>
      <w:adjustRightInd w:val="0"/>
      <w:spacing w:before="120" w:after="120" w:line="480" w:lineRule="auto"/>
      <w:ind w:left="283"/>
    </w:pPr>
    <w:rPr>
      <w:rFonts w:eastAsia="Calibri"/>
      <w:szCs w:val="22"/>
      <w:lang w:eastAsia="en-US"/>
    </w:rPr>
  </w:style>
  <w:style w:type="character" w:customStyle="1" w:styleId="BodyTextIndent2Char">
    <w:name w:val="Body Text Indent 2 Char"/>
    <w:basedOn w:val="DefaultParagraphFont"/>
    <w:link w:val="BodyTextIndent2"/>
    <w:uiPriority w:val="99"/>
    <w:rsid w:val="00501E78"/>
    <w:rPr>
      <w:rFonts w:eastAsia="Calibri"/>
      <w:sz w:val="24"/>
      <w:szCs w:val="22"/>
      <w:lang w:val="bg-BG" w:eastAsia="en-US"/>
    </w:rPr>
  </w:style>
  <w:style w:type="character" w:customStyle="1" w:styleId="BodyTextIndent2Char1">
    <w:name w:val="Body Text Indent 2 Char1"/>
    <w:basedOn w:val="DefaultParagraphFont"/>
    <w:rsid w:val="00501E78"/>
    <w:rPr>
      <w:rFonts w:cs="Times New Roman"/>
      <w:spacing w:val="0"/>
      <w:sz w:val="24"/>
    </w:rPr>
  </w:style>
  <w:style w:type="paragraph" w:styleId="BodyTextIndent3">
    <w:name w:val="Body Text Indent 3"/>
    <w:basedOn w:val="Normal"/>
    <w:link w:val="BodyTextIndent3Char"/>
    <w:uiPriority w:val="99"/>
    <w:rsid w:val="00501E78"/>
    <w:pPr>
      <w:widowControl/>
      <w:autoSpaceDE w:val="0"/>
      <w:autoSpaceDN w:val="0"/>
      <w:adjustRightInd w:val="0"/>
      <w:spacing w:before="120" w:after="120" w:line="360" w:lineRule="auto"/>
      <w:ind w:left="283"/>
    </w:pPr>
    <w:rPr>
      <w:rFonts w:eastAsia="Calibri"/>
      <w:sz w:val="16"/>
      <w:szCs w:val="22"/>
      <w:lang w:eastAsia="en-US"/>
    </w:rPr>
  </w:style>
  <w:style w:type="character" w:customStyle="1" w:styleId="BodyTextIndent3Char">
    <w:name w:val="Body Text Indent 3 Char"/>
    <w:basedOn w:val="DefaultParagraphFont"/>
    <w:link w:val="BodyTextIndent3"/>
    <w:uiPriority w:val="99"/>
    <w:rsid w:val="00501E78"/>
    <w:rPr>
      <w:rFonts w:eastAsia="Calibri"/>
      <w:sz w:val="16"/>
      <w:szCs w:val="22"/>
      <w:lang w:val="bg-BG" w:eastAsia="en-US"/>
    </w:rPr>
  </w:style>
  <w:style w:type="character" w:customStyle="1" w:styleId="BodyTextIndent3Char1">
    <w:name w:val="Body Text Indent 3 Char1"/>
    <w:basedOn w:val="DefaultParagraphFont"/>
    <w:rsid w:val="00501E78"/>
    <w:rPr>
      <w:rFonts w:cs="Times New Roman"/>
      <w:spacing w:val="0"/>
      <w:sz w:val="16"/>
    </w:rPr>
  </w:style>
  <w:style w:type="paragraph" w:styleId="Closing">
    <w:name w:val="Closing"/>
    <w:basedOn w:val="Normal"/>
    <w:link w:val="ClosingChar"/>
    <w:uiPriority w:val="99"/>
    <w:rsid w:val="00501E78"/>
    <w:pPr>
      <w:widowControl/>
      <w:autoSpaceDE w:val="0"/>
      <w:autoSpaceDN w:val="0"/>
      <w:adjustRightInd w:val="0"/>
      <w:spacing w:before="120" w:after="120" w:line="360" w:lineRule="auto"/>
      <w:ind w:left="4252"/>
    </w:pPr>
    <w:rPr>
      <w:rFonts w:eastAsia="Calibri"/>
      <w:szCs w:val="22"/>
      <w:lang w:eastAsia="en-US"/>
    </w:rPr>
  </w:style>
  <w:style w:type="character" w:customStyle="1" w:styleId="ClosingChar">
    <w:name w:val="Closing Char"/>
    <w:basedOn w:val="DefaultParagraphFont"/>
    <w:link w:val="Closing"/>
    <w:uiPriority w:val="99"/>
    <w:rsid w:val="00501E78"/>
    <w:rPr>
      <w:rFonts w:eastAsia="Calibri"/>
      <w:sz w:val="24"/>
      <w:szCs w:val="22"/>
      <w:lang w:val="bg-BG" w:eastAsia="en-US"/>
    </w:rPr>
  </w:style>
  <w:style w:type="character" w:customStyle="1" w:styleId="ClosingChar1">
    <w:name w:val="Closing Char1"/>
    <w:basedOn w:val="DefaultParagraphFont"/>
    <w:rsid w:val="00501E78"/>
    <w:rPr>
      <w:rFonts w:cs="Times New Roman"/>
      <w:spacing w:val="0"/>
      <w:sz w:val="24"/>
    </w:rPr>
  </w:style>
  <w:style w:type="character" w:customStyle="1" w:styleId="CommentTextChar1">
    <w:name w:val="Comment Text Char1"/>
    <w:basedOn w:val="DefaultParagraphFont"/>
    <w:rsid w:val="00501E78"/>
    <w:rPr>
      <w:rFonts w:cs="Times New Roman"/>
      <w:spacing w:val="0"/>
      <w:sz w:val="24"/>
    </w:rPr>
  </w:style>
  <w:style w:type="character" w:customStyle="1" w:styleId="CommentSubjectChar1">
    <w:name w:val="Comment Subject Char1"/>
    <w:basedOn w:val="CommentTextChar1"/>
    <w:rsid w:val="00501E78"/>
    <w:rPr>
      <w:rFonts w:cs="Times New Roman"/>
      <w:b/>
      <w:spacing w:val="0"/>
      <w:sz w:val="24"/>
    </w:rPr>
  </w:style>
  <w:style w:type="character" w:customStyle="1" w:styleId="DocumentMapChar1">
    <w:name w:val="Document Map Char1"/>
    <w:basedOn w:val="DefaultParagraphFont"/>
    <w:rsid w:val="00501E78"/>
    <w:rPr>
      <w:rFonts w:ascii="Tahoma" w:hAnsi="Tahoma" w:cs="Tahoma"/>
      <w:spacing w:val="0"/>
      <w:sz w:val="24"/>
    </w:rPr>
  </w:style>
  <w:style w:type="paragraph" w:styleId="E-mailSignature">
    <w:name w:val="E-mail Signature"/>
    <w:basedOn w:val="Normal"/>
    <w:link w:val="E-mailSignatureChar"/>
    <w:uiPriority w:val="99"/>
    <w:rsid w:val="00501E78"/>
    <w:pPr>
      <w:widowControl/>
      <w:autoSpaceDE w:val="0"/>
      <w:autoSpaceDN w:val="0"/>
      <w:adjustRightInd w:val="0"/>
      <w:spacing w:before="120" w:after="120" w:line="360" w:lineRule="auto"/>
    </w:pPr>
    <w:rPr>
      <w:rFonts w:eastAsia="Calibri"/>
      <w:szCs w:val="22"/>
      <w:lang w:eastAsia="en-US"/>
    </w:rPr>
  </w:style>
  <w:style w:type="character" w:customStyle="1" w:styleId="E-mailSignatureChar">
    <w:name w:val="E-mail Signature Char"/>
    <w:basedOn w:val="DefaultParagraphFont"/>
    <w:link w:val="E-mailSignature"/>
    <w:uiPriority w:val="99"/>
    <w:rsid w:val="00501E78"/>
    <w:rPr>
      <w:rFonts w:eastAsia="Calibri"/>
      <w:sz w:val="24"/>
      <w:szCs w:val="22"/>
      <w:lang w:val="bg-BG" w:eastAsia="en-US"/>
    </w:rPr>
  </w:style>
  <w:style w:type="character" w:customStyle="1" w:styleId="E-mailSignatureChar1">
    <w:name w:val="E-mail Signature Char1"/>
    <w:basedOn w:val="DefaultParagraphFont"/>
    <w:rsid w:val="00501E78"/>
    <w:rPr>
      <w:rFonts w:cs="Times New Roman"/>
      <w:spacing w:val="0"/>
      <w:sz w:val="24"/>
    </w:rPr>
  </w:style>
  <w:style w:type="character" w:styleId="Emphasis">
    <w:name w:val="Emphasis"/>
    <w:basedOn w:val="DefaultParagraphFont"/>
    <w:uiPriority w:val="20"/>
    <w:qFormat/>
    <w:rsid w:val="00501E78"/>
    <w:rPr>
      <w:rFonts w:cs="Times New Roman"/>
      <w:i/>
      <w:spacing w:val="0"/>
    </w:rPr>
  </w:style>
  <w:style w:type="character" w:customStyle="1" w:styleId="EndnoteTextChar1">
    <w:name w:val="Endnote Text Char1"/>
    <w:basedOn w:val="DefaultParagraphFont"/>
    <w:rsid w:val="00501E78"/>
    <w:rPr>
      <w:rFonts w:cs="Times New Roman"/>
      <w:spacing w:val="0"/>
      <w:sz w:val="24"/>
    </w:rPr>
  </w:style>
  <w:style w:type="paragraph" w:styleId="EnvelopeAddress">
    <w:name w:val="envelope address"/>
    <w:basedOn w:val="Normal"/>
    <w:uiPriority w:val="99"/>
    <w:rsid w:val="00501E78"/>
    <w:pPr>
      <w:framePr w:w="7920" w:h="1980" w:hRule="exact" w:hSpace="180" w:wrap="auto" w:hAnchor="page" w:xAlign="center" w:yAlign="bottom"/>
      <w:widowControl/>
      <w:autoSpaceDE w:val="0"/>
      <w:autoSpaceDN w:val="0"/>
      <w:adjustRightInd w:val="0"/>
      <w:spacing w:before="120" w:after="120" w:line="360" w:lineRule="auto"/>
      <w:ind w:left="2880"/>
    </w:pPr>
    <w:rPr>
      <w:rFonts w:ascii="Arial" w:hAnsi="Arial" w:cs="Arial"/>
      <w:szCs w:val="22"/>
      <w:lang w:eastAsia="en-US"/>
    </w:rPr>
  </w:style>
  <w:style w:type="paragraph" w:styleId="EnvelopeReturn">
    <w:name w:val="envelope return"/>
    <w:basedOn w:val="Normal"/>
    <w:uiPriority w:val="99"/>
    <w:rsid w:val="00501E78"/>
    <w:pPr>
      <w:widowControl/>
      <w:autoSpaceDE w:val="0"/>
      <w:autoSpaceDN w:val="0"/>
      <w:adjustRightInd w:val="0"/>
      <w:spacing w:before="120" w:after="120" w:line="360" w:lineRule="auto"/>
    </w:pPr>
    <w:rPr>
      <w:rFonts w:ascii="Arial" w:hAnsi="Arial" w:cs="Arial"/>
      <w:sz w:val="20"/>
      <w:szCs w:val="22"/>
      <w:lang w:eastAsia="en-US"/>
    </w:rPr>
  </w:style>
  <w:style w:type="character" w:styleId="HTMLAcronym">
    <w:name w:val="HTML Acronym"/>
    <w:basedOn w:val="DefaultParagraphFont"/>
    <w:uiPriority w:val="99"/>
    <w:rsid w:val="00501E78"/>
    <w:rPr>
      <w:rFonts w:cs="Times New Roman"/>
    </w:rPr>
  </w:style>
  <w:style w:type="paragraph" w:styleId="HTMLAddress">
    <w:name w:val="HTML Address"/>
    <w:basedOn w:val="Normal"/>
    <w:link w:val="HTMLAddressChar"/>
    <w:uiPriority w:val="99"/>
    <w:rsid w:val="00501E78"/>
    <w:pPr>
      <w:widowControl/>
      <w:autoSpaceDE w:val="0"/>
      <w:autoSpaceDN w:val="0"/>
      <w:adjustRightInd w:val="0"/>
      <w:spacing w:before="120" w:after="120" w:line="360" w:lineRule="auto"/>
    </w:pPr>
    <w:rPr>
      <w:rFonts w:eastAsia="Calibri"/>
      <w:i/>
      <w:szCs w:val="22"/>
      <w:lang w:eastAsia="en-US"/>
    </w:rPr>
  </w:style>
  <w:style w:type="character" w:customStyle="1" w:styleId="HTMLAddressChar">
    <w:name w:val="HTML Address Char"/>
    <w:basedOn w:val="DefaultParagraphFont"/>
    <w:link w:val="HTMLAddress"/>
    <w:uiPriority w:val="99"/>
    <w:rsid w:val="00501E78"/>
    <w:rPr>
      <w:rFonts w:eastAsia="Calibri"/>
      <w:i/>
      <w:sz w:val="24"/>
      <w:szCs w:val="22"/>
      <w:lang w:val="bg-BG" w:eastAsia="en-US"/>
    </w:rPr>
  </w:style>
  <w:style w:type="character" w:customStyle="1" w:styleId="HTMLAddressChar1">
    <w:name w:val="HTML Address Char1"/>
    <w:basedOn w:val="DefaultParagraphFont"/>
    <w:rsid w:val="00501E78"/>
    <w:rPr>
      <w:rFonts w:cs="Times New Roman"/>
      <w:i/>
      <w:spacing w:val="0"/>
      <w:sz w:val="24"/>
    </w:rPr>
  </w:style>
  <w:style w:type="character" w:styleId="HTMLCite">
    <w:name w:val="HTML Cite"/>
    <w:basedOn w:val="DefaultParagraphFont"/>
    <w:uiPriority w:val="99"/>
    <w:rsid w:val="00501E78"/>
    <w:rPr>
      <w:rFonts w:cs="Times New Roman"/>
      <w:i/>
      <w:spacing w:val="0"/>
    </w:rPr>
  </w:style>
  <w:style w:type="character" w:styleId="HTMLCode">
    <w:name w:val="HTML Code"/>
    <w:basedOn w:val="DefaultParagraphFont"/>
    <w:uiPriority w:val="99"/>
    <w:rsid w:val="00501E78"/>
    <w:rPr>
      <w:rFonts w:ascii="Courier New" w:hAnsi="Courier New" w:cs="Courier New"/>
      <w:spacing w:val="0"/>
      <w:sz w:val="20"/>
    </w:rPr>
  </w:style>
  <w:style w:type="character" w:styleId="HTMLDefinition">
    <w:name w:val="HTML Definition"/>
    <w:basedOn w:val="DefaultParagraphFont"/>
    <w:uiPriority w:val="99"/>
    <w:rsid w:val="00501E78"/>
    <w:rPr>
      <w:rFonts w:cs="Times New Roman"/>
      <w:i/>
      <w:spacing w:val="0"/>
    </w:rPr>
  </w:style>
  <w:style w:type="character" w:styleId="HTMLKeyboard">
    <w:name w:val="HTML Keyboard"/>
    <w:basedOn w:val="DefaultParagraphFont"/>
    <w:uiPriority w:val="99"/>
    <w:rsid w:val="00501E78"/>
    <w:rPr>
      <w:rFonts w:ascii="Courier New" w:hAnsi="Courier New" w:cs="Courier New"/>
      <w:spacing w:val="0"/>
      <w:sz w:val="20"/>
    </w:rPr>
  </w:style>
  <w:style w:type="paragraph" w:styleId="HTMLPreformatted">
    <w:name w:val="HTML Preformatted"/>
    <w:basedOn w:val="Normal"/>
    <w:link w:val="HTMLPreformattedChar"/>
    <w:uiPriority w:val="99"/>
    <w:rsid w:val="00501E78"/>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HTMLPreformattedChar">
    <w:name w:val="HTML Preformatted Char"/>
    <w:basedOn w:val="DefaultParagraphFont"/>
    <w:link w:val="HTMLPreformatted"/>
    <w:uiPriority w:val="99"/>
    <w:rsid w:val="00501E78"/>
    <w:rPr>
      <w:rFonts w:ascii="Courier New" w:hAnsi="Courier New" w:cs="Courier New"/>
      <w:sz w:val="24"/>
      <w:szCs w:val="22"/>
      <w:lang w:val="bg-BG" w:eastAsia="en-US"/>
    </w:rPr>
  </w:style>
  <w:style w:type="character" w:customStyle="1" w:styleId="HTMLPreformattedChar1">
    <w:name w:val="HTML Preformatted Char1"/>
    <w:basedOn w:val="DefaultParagraphFont"/>
    <w:rsid w:val="00501E78"/>
    <w:rPr>
      <w:rFonts w:ascii="Courier New" w:hAnsi="Courier New" w:cs="Courier New"/>
      <w:spacing w:val="0"/>
      <w:sz w:val="24"/>
    </w:rPr>
  </w:style>
  <w:style w:type="character" w:styleId="HTMLSample">
    <w:name w:val="HTML Sample"/>
    <w:basedOn w:val="DefaultParagraphFont"/>
    <w:uiPriority w:val="99"/>
    <w:rsid w:val="00501E78"/>
    <w:rPr>
      <w:rFonts w:ascii="Courier New" w:hAnsi="Courier New" w:cs="Courier New"/>
      <w:spacing w:val="0"/>
    </w:rPr>
  </w:style>
  <w:style w:type="character" w:styleId="HTMLTypewriter">
    <w:name w:val="HTML Typewriter"/>
    <w:basedOn w:val="DefaultParagraphFont"/>
    <w:uiPriority w:val="99"/>
    <w:rsid w:val="00501E78"/>
    <w:rPr>
      <w:rFonts w:ascii="Courier New" w:hAnsi="Courier New" w:cs="Courier New"/>
      <w:spacing w:val="0"/>
      <w:sz w:val="20"/>
    </w:rPr>
  </w:style>
  <w:style w:type="character" w:styleId="HTMLVariable">
    <w:name w:val="HTML Variable"/>
    <w:basedOn w:val="DefaultParagraphFont"/>
    <w:uiPriority w:val="99"/>
    <w:rsid w:val="00501E78"/>
    <w:rPr>
      <w:rFonts w:cs="Times New Roman"/>
      <w:i/>
      <w:spacing w:val="0"/>
    </w:rPr>
  </w:style>
  <w:style w:type="character" w:styleId="LineNumber">
    <w:name w:val="line number"/>
    <w:basedOn w:val="DefaultParagraphFont"/>
    <w:uiPriority w:val="99"/>
    <w:rsid w:val="00501E78"/>
    <w:rPr>
      <w:rFonts w:cs="Times New Roman"/>
    </w:rPr>
  </w:style>
  <w:style w:type="paragraph" w:styleId="List">
    <w:name w:val="List"/>
    <w:basedOn w:val="Normal"/>
    <w:uiPriority w:val="99"/>
    <w:rsid w:val="00501E78"/>
    <w:pPr>
      <w:widowControl/>
      <w:autoSpaceDE w:val="0"/>
      <w:autoSpaceDN w:val="0"/>
      <w:adjustRightInd w:val="0"/>
      <w:spacing w:before="120" w:after="120" w:line="360" w:lineRule="auto"/>
      <w:ind w:left="283" w:hanging="283"/>
    </w:pPr>
    <w:rPr>
      <w:rFonts w:eastAsia="Calibri"/>
      <w:szCs w:val="22"/>
      <w:lang w:eastAsia="en-US"/>
    </w:rPr>
  </w:style>
  <w:style w:type="paragraph" w:styleId="List2">
    <w:name w:val="List 2"/>
    <w:basedOn w:val="Normal"/>
    <w:uiPriority w:val="99"/>
    <w:rsid w:val="00501E78"/>
    <w:pPr>
      <w:widowControl/>
      <w:autoSpaceDE w:val="0"/>
      <w:autoSpaceDN w:val="0"/>
      <w:adjustRightInd w:val="0"/>
      <w:spacing w:before="120" w:after="120" w:line="360" w:lineRule="auto"/>
      <w:ind w:left="566" w:hanging="283"/>
    </w:pPr>
    <w:rPr>
      <w:rFonts w:eastAsia="Calibri"/>
      <w:szCs w:val="22"/>
      <w:lang w:eastAsia="en-US"/>
    </w:rPr>
  </w:style>
  <w:style w:type="paragraph" w:styleId="List3">
    <w:name w:val="List 3"/>
    <w:basedOn w:val="Normal"/>
    <w:uiPriority w:val="99"/>
    <w:rsid w:val="00501E78"/>
    <w:pPr>
      <w:widowControl/>
      <w:autoSpaceDE w:val="0"/>
      <w:autoSpaceDN w:val="0"/>
      <w:adjustRightInd w:val="0"/>
      <w:spacing w:before="120" w:after="120" w:line="360" w:lineRule="auto"/>
      <w:ind w:left="849" w:hanging="283"/>
    </w:pPr>
    <w:rPr>
      <w:rFonts w:eastAsia="Calibri"/>
      <w:szCs w:val="22"/>
      <w:lang w:eastAsia="en-US"/>
    </w:rPr>
  </w:style>
  <w:style w:type="paragraph" w:styleId="List4">
    <w:name w:val="List 4"/>
    <w:basedOn w:val="Normal"/>
    <w:uiPriority w:val="99"/>
    <w:rsid w:val="00501E78"/>
    <w:pPr>
      <w:widowControl/>
      <w:autoSpaceDE w:val="0"/>
      <w:autoSpaceDN w:val="0"/>
      <w:adjustRightInd w:val="0"/>
      <w:spacing w:before="120" w:after="120" w:line="360" w:lineRule="auto"/>
      <w:ind w:left="1132" w:hanging="283"/>
    </w:pPr>
    <w:rPr>
      <w:rFonts w:eastAsia="Calibri"/>
      <w:szCs w:val="22"/>
      <w:lang w:eastAsia="en-US"/>
    </w:rPr>
  </w:style>
  <w:style w:type="paragraph" w:styleId="List5">
    <w:name w:val="List 5"/>
    <w:basedOn w:val="Normal"/>
    <w:uiPriority w:val="99"/>
    <w:rsid w:val="00501E78"/>
    <w:pPr>
      <w:widowControl/>
      <w:autoSpaceDE w:val="0"/>
      <w:autoSpaceDN w:val="0"/>
      <w:adjustRightInd w:val="0"/>
      <w:spacing w:before="120" w:after="120" w:line="360" w:lineRule="auto"/>
      <w:ind w:left="1415" w:hanging="283"/>
    </w:pPr>
    <w:rPr>
      <w:rFonts w:eastAsia="Calibri"/>
      <w:szCs w:val="22"/>
      <w:lang w:eastAsia="en-US"/>
    </w:rPr>
  </w:style>
  <w:style w:type="paragraph" w:styleId="ListBullet5">
    <w:name w:val="List Bullet 5"/>
    <w:basedOn w:val="Normal"/>
    <w:autoRedefine/>
    <w:uiPriority w:val="99"/>
    <w:rsid w:val="00501E78"/>
    <w:pPr>
      <w:widowControl/>
      <w:tabs>
        <w:tab w:val="num" w:pos="643"/>
        <w:tab w:val="num" w:pos="1492"/>
      </w:tabs>
      <w:autoSpaceDE w:val="0"/>
      <w:autoSpaceDN w:val="0"/>
      <w:adjustRightInd w:val="0"/>
      <w:spacing w:before="120" w:after="120" w:line="360" w:lineRule="auto"/>
      <w:ind w:left="1492" w:hanging="360"/>
    </w:pPr>
    <w:rPr>
      <w:rFonts w:eastAsia="Calibri"/>
      <w:szCs w:val="22"/>
      <w:lang w:eastAsia="en-US"/>
    </w:rPr>
  </w:style>
  <w:style w:type="paragraph" w:styleId="ListContinue">
    <w:name w:val="List Continue"/>
    <w:basedOn w:val="Normal"/>
    <w:uiPriority w:val="99"/>
    <w:rsid w:val="00501E78"/>
    <w:pPr>
      <w:widowControl/>
      <w:autoSpaceDE w:val="0"/>
      <w:autoSpaceDN w:val="0"/>
      <w:adjustRightInd w:val="0"/>
      <w:spacing w:before="120" w:after="120" w:line="360" w:lineRule="auto"/>
      <w:ind w:left="283"/>
    </w:pPr>
    <w:rPr>
      <w:rFonts w:eastAsia="Calibri"/>
      <w:szCs w:val="22"/>
      <w:lang w:eastAsia="en-US"/>
    </w:rPr>
  </w:style>
  <w:style w:type="paragraph" w:styleId="ListContinue2">
    <w:name w:val="List Continue 2"/>
    <w:basedOn w:val="Normal"/>
    <w:uiPriority w:val="99"/>
    <w:rsid w:val="00501E78"/>
    <w:pPr>
      <w:widowControl/>
      <w:autoSpaceDE w:val="0"/>
      <w:autoSpaceDN w:val="0"/>
      <w:adjustRightInd w:val="0"/>
      <w:spacing w:before="120" w:after="120" w:line="360" w:lineRule="auto"/>
      <w:ind w:left="566"/>
    </w:pPr>
    <w:rPr>
      <w:rFonts w:eastAsia="Calibri"/>
      <w:szCs w:val="22"/>
      <w:lang w:eastAsia="en-US"/>
    </w:rPr>
  </w:style>
  <w:style w:type="paragraph" w:styleId="ListContinue3">
    <w:name w:val="List Continue 3"/>
    <w:basedOn w:val="Normal"/>
    <w:uiPriority w:val="99"/>
    <w:rsid w:val="00501E78"/>
    <w:pPr>
      <w:widowControl/>
      <w:autoSpaceDE w:val="0"/>
      <w:autoSpaceDN w:val="0"/>
      <w:adjustRightInd w:val="0"/>
      <w:spacing w:before="120" w:after="120" w:line="360" w:lineRule="auto"/>
      <w:ind w:left="849"/>
    </w:pPr>
    <w:rPr>
      <w:rFonts w:eastAsia="Calibri"/>
      <w:szCs w:val="22"/>
      <w:lang w:eastAsia="en-US"/>
    </w:rPr>
  </w:style>
  <w:style w:type="paragraph" w:styleId="ListContinue4">
    <w:name w:val="List Continue 4"/>
    <w:basedOn w:val="Normal"/>
    <w:uiPriority w:val="99"/>
    <w:rsid w:val="00501E78"/>
    <w:pPr>
      <w:widowControl/>
      <w:autoSpaceDE w:val="0"/>
      <w:autoSpaceDN w:val="0"/>
      <w:adjustRightInd w:val="0"/>
      <w:spacing w:before="120" w:after="120" w:line="360" w:lineRule="auto"/>
      <w:ind w:left="1132"/>
    </w:pPr>
    <w:rPr>
      <w:rFonts w:eastAsia="Calibri"/>
      <w:szCs w:val="22"/>
      <w:lang w:eastAsia="en-US"/>
    </w:rPr>
  </w:style>
  <w:style w:type="paragraph" w:styleId="ListContinue5">
    <w:name w:val="List Continue 5"/>
    <w:basedOn w:val="Normal"/>
    <w:uiPriority w:val="99"/>
    <w:rsid w:val="00501E78"/>
    <w:pPr>
      <w:widowControl/>
      <w:autoSpaceDE w:val="0"/>
      <w:autoSpaceDN w:val="0"/>
      <w:adjustRightInd w:val="0"/>
      <w:spacing w:before="120" w:after="120" w:line="360" w:lineRule="auto"/>
      <w:ind w:left="1415"/>
    </w:pPr>
    <w:rPr>
      <w:rFonts w:eastAsia="Calibri"/>
      <w:szCs w:val="22"/>
      <w:lang w:eastAsia="en-US"/>
    </w:rPr>
  </w:style>
  <w:style w:type="paragraph" w:styleId="ListNumber5">
    <w:name w:val="List Number 5"/>
    <w:basedOn w:val="Normal"/>
    <w:uiPriority w:val="99"/>
    <w:rsid w:val="00501E78"/>
    <w:pPr>
      <w:widowControl/>
      <w:tabs>
        <w:tab w:val="num" w:pos="360"/>
        <w:tab w:val="num" w:pos="1492"/>
      </w:tabs>
      <w:autoSpaceDE w:val="0"/>
      <w:autoSpaceDN w:val="0"/>
      <w:adjustRightInd w:val="0"/>
      <w:spacing w:before="120" w:after="120" w:line="360" w:lineRule="auto"/>
      <w:ind w:left="1492" w:hanging="360"/>
    </w:pPr>
    <w:rPr>
      <w:rFonts w:eastAsia="Calibri"/>
      <w:szCs w:val="22"/>
      <w:lang w:eastAsia="en-US"/>
    </w:rPr>
  </w:style>
  <w:style w:type="paragraph" w:styleId="MacroText">
    <w:name w:val="macro"/>
    <w:link w:val="MacroTextChar"/>
    <w:uiPriority w:val="99"/>
    <w:rsid w:val="00501E78"/>
    <w:pPr>
      <w:tabs>
        <w:tab w:val="left" w:pos="480"/>
        <w:tab w:val="left" w:pos="960"/>
        <w:tab w:val="left" w:pos="1440"/>
        <w:tab w:val="left" w:pos="1920"/>
        <w:tab w:val="left" w:pos="2400"/>
        <w:tab w:val="left" w:pos="2880"/>
        <w:tab w:val="left" w:pos="3360"/>
        <w:tab w:val="left" w:pos="3840"/>
        <w:tab w:val="left" w:pos="4320"/>
      </w:tabs>
      <w:autoSpaceDE w:val="0"/>
      <w:autoSpaceDN w:val="0"/>
      <w:adjustRightInd w:val="0"/>
      <w:spacing w:before="120" w:after="120" w:line="360" w:lineRule="auto"/>
    </w:pPr>
    <w:rPr>
      <w:rFonts w:ascii="Courier New" w:hAnsi="Courier New" w:cs="Courier New"/>
      <w:sz w:val="24"/>
      <w:szCs w:val="22"/>
      <w:lang w:val="en-US" w:eastAsia="en-US"/>
    </w:rPr>
  </w:style>
  <w:style w:type="character" w:customStyle="1" w:styleId="MacroTextChar">
    <w:name w:val="Macro Text Char"/>
    <w:basedOn w:val="DefaultParagraphFont"/>
    <w:link w:val="MacroText"/>
    <w:uiPriority w:val="99"/>
    <w:rsid w:val="00501E78"/>
    <w:rPr>
      <w:rFonts w:ascii="Courier New" w:hAnsi="Courier New" w:cs="Courier New"/>
      <w:sz w:val="24"/>
      <w:szCs w:val="22"/>
      <w:lang w:val="en-US" w:eastAsia="en-US"/>
    </w:rPr>
  </w:style>
  <w:style w:type="character" w:customStyle="1" w:styleId="MacroTextChar1">
    <w:name w:val="Macro Text Char1"/>
    <w:basedOn w:val="DefaultParagraphFont"/>
    <w:rsid w:val="00501E78"/>
    <w:rPr>
      <w:rFonts w:ascii="Courier New" w:hAnsi="Courier New" w:cs="Courier New"/>
      <w:spacing w:val="0"/>
      <w:sz w:val="24"/>
    </w:rPr>
  </w:style>
  <w:style w:type="paragraph" w:styleId="MessageHeader">
    <w:name w:val="Message Header"/>
    <w:basedOn w:val="Normal"/>
    <w:link w:val="MessageHeaderChar"/>
    <w:uiPriority w:val="99"/>
    <w:rsid w:val="00501E78"/>
    <w:pPr>
      <w:widowControl/>
      <w:pBdr>
        <w:top w:val="single" w:sz="6" w:space="1" w:color="auto"/>
        <w:left w:val="single" w:sz="6" w:space="1" w:color="auto"/>
        <w:bottom w:val="single" w:sz="6" w:space="1" w:color="auto"/>
        <w:right w:val="single" w:sz="6" w:space="1" w:color="auto"/>
      </w:pBdr>
      <w:autoSpaceDE w:val="0"/>
      <w:autoSpaceDN w:val="0"/>
      <w:adjustRightInd w:val="0"/>
      <w:spacing w:before="120" w:after="120" w:line="360" w:lineRule="auto"/>
      <w:ind w:left="1134" w:hanging="1134"/>
    </w:pPr>
    <w:rPr>
      <w:rFonts w:ascii="Arial" w:hAnsi="Arial" w:cs="Arial"/>
      <w:szCs w:val="22"/>
      <w:shd w:val="pct20" w:color="auto" w:fill="auto"/>
      <w:lang w:eastAsia="en-US"/>
    </w:rPr>
  </w:style>
  <w:style w:type="character" w:customStyle="1" w:styleId="MessageHeaderChar">
    <w:name w:val="Message Header Char"/>
    <w:basedOn w:val="DefaultParagraphFont"/>
    <w:link w:val="MessageHeader"/>
    <w:uiPriority w:val="99"/>
    <w:rsid w:val="00501E78"/>
    <w:rPr>
      <w:rFonts w:ascii="Arial" w:hAnsi="Arial" w:cs="Arial"/>
      <w:sz w:val="24"/>
      <w:szCs w:val="22"/>
      <w:lang w:val="bg-BG" w:eastAsia="en-US"/>
    </w:rPr>
  </w:style>
  <w:style w:type="character" w:customStyle="1" w:styleId="MessageHeaderChar1">
    <w:name w:val="Message Header Char1"/>
    <w:basedOn w:val="DefaultParagraphFont"/>
    <w:rsid w:val="00501E78"/>
    <w:rPr>
      <w:rFonts w:ascii="Arial" w:hAnsi="Arial" w:cs="Arial"/>
      <w:spacing w:val="0"/>
      <w:sz w:val="24"/>
      <w:shd w:val="pct20" w:color="auto" w:fill="auto"/>
    </w:rPr>
  </w:style>
  <w:style w:type="paragraph" w:styleId="NormalWeb">
    <w:name w:val="Normal (Web)"/>
    <w:basedOn w:val="Normal"/>
    <w:uiPriority w:val="99"/>
    <w:rsid w:val="00501E78"/>
    <w:pPr>
      <w:widowControl/>
      <w:autoSpaceDE w:val="0"/>
      <w:autoSpaceDN w:val="0"/>
      <w:adjustRightInd w:val="0"/>
      <w:spacing w:before="120" w:after="120" w:line="360" w:lineRule="auto"/>
    </w:pPr>
    <w:rPr>
      <w:rFonts w:eastAsia="Calibri"/>
      <w:szCs w:val="22"/>
      <w:lang w:eastAsia="en-US"/>
    </w:rPr>
  </w:style>
  <w:style w:type="paragraph" w:styleId="NormalIndent">
    <w:name w:val="Normal Indent"/>
    <w:basedOn w:val="Normal"/>
    <w:uiPriority w:val="99"/>
    <w:rsid w:val="00501E78"/>
    <w:pPr>
      <w:widowControl/>
      <w:autoSpaceDE w:val="0"/>
      <w:autoSpaceDN w:val="0"/>
      <w:adjustRightInd w:val="0"/>
      <w:spacing w:before="120" w:after="120" w:line="360" w:lineRule="auto"/>
      <w:ind w:left="720"/>
    </w:pPr>
    <w:rPr>
      <w:rFonts w:eastAsia="Calibri"/>
      <w:szCs w:val="22"/>
      <w:lang w:eastAsia="en-US"/>
    </w:rPr>
  </w:style>
  <w:style w:type="paragraph" w:styleId="PlainText">
    <w:name w:val="Plain Text"/>
    <w:basedOn w:val="Normal"/>
    <w:link w:val="PlainTextChar"/>
    <w:uiPriority w:val="99"/>
    <w:rsid w:val="00501E78"/>
    <w:pPr>
      <w:widowControl/>
      <w:autoSpaceDE w:val="0"/>
      <w:autoSpaceDN w:val="0"/>
      <w:adjustRightInd w:val="0"/>
      <w:spacing w:before="120" w:after="120" w:line="360" w:lineRule="auto"/>
    </w:pPr>
    <w:rPr>
      <w:rFonts w:ascii="Courier New" w:hAnsi="Courier New" w:cs="Courier New"/>
      <w:szCs w:val="22"/>
      <w:lang w:eastAsia="en-US"/>
    </w:rPr>
  </w:style>
  <w:style w:type="character" w:customStyle="1" w:styleId="PlainTextChar">
    <w:name w:val="Plain Text Char"/>
    <w:basedOn w:val="DefaultParagraphFont"/>
    <w:link w:val="PlainText"/>
    <w:uiPriority w:val="99"/>
    <w:rsid w:val="00501E78"/>
    <w:rPr>
      <w:rFonts w:ascii="Courier New" w:hAnsi="Courier New" w:cs="Courier New"/>
      <w:sz w:val="24"/>
      <w:szCs w:val="22"/>
      <w:lang w:val="bg-BG" w:eastAsia="en-US"/>
    </w:rPr>
  </w:style>
  <w:style w:type="character" w:customStyle="1" w:styleId="PlainTextChar1">
    <w:name w:val="Plain Text Char1"/>
    <w:basedOn w:val="DefaultParagraphFont"/>
    <w:rsid w:val="00501E78"/>
    <w:rPr>
      <w:rFonts w:ascii="Courier New" w:hAnsi="Courier New" w:cs="Courier New"/>
      <w:spacing w:val="0"/>
      <w:sz w:val="24"/>
    </w:rPr>
  </w:style>
  <w:style w:type="paragraph" w:styleId="Signature">
    <w:name w:val="Signature"/>
    <w:basedOn w:val="Normal"/>
    <w:link w:val="SignatureChar"/>
    <w:uiPriority w:val="99"/>
    <w:rsid w:val="00501E78"/>
    <w:pPr>
      <w:widowControl/>
      <w:autoSpaceDE w:val="0"/>
      <w:autoSpaceDN w:val="0"/>
      <w:adjustRightInd w:val="0"/>
      <w:spacing w:before="120" w:after="120" w:line="360" w:lineRule="auto"/>
      <w:ind w:left="4252"/>
    </w:pPr>
    <w:rPr>
      <w:rFonts w:eastAsia="Calibri"/>
      <w:szCs w:val="22"/>
      <w:lang w:eastAsia="en-US"/>
    </w:rPr>
  </w:style>
  <w:style w:type="character" w:customStyle="1" w:styleId="SignatureChar">
    <w:name w:val="Signature Char"/>
    <w:basedOn w:val="DefaultParagraphFont"/>
    <w:link w:val="Signature"/>
    <w:uiPriority w:val="99"/>
    <w:rsid w:val="00501E78"/>
    <w:rPr>
      <w:rFonts w:eastAsia="Calibri"/>
      <w:sz w:val="24"/>
      <w:szCs w:val="22"/>
      <w:lang w:val="bg-BG" w:eastAsia="en-US"/>
    </w:rPr>
  </w:style>
  <w:style w:type="character" w:customStyle="1" w:styleId="SignatureChar1">
    <w:name w:val="Signature Char1"/>
    <w:basedOn w:val="DefaultParagraphFont"/>
    <w:rsid w:val="00501E78"/>
    <w:rPr>
      <w:rFonts w:cs="Times New Roman"/>
      <w:spacing w:val="0"/>
      <w:sz w:val="24"/>
    </w:rPr>
  </w:style>
  <w:style w:type="character" w:styleId="Strong">
    <w:name w:val="Strong"/>
    <w:basedOn w:val="DefaultParagraphFont"/>
    <w:uiPriority w:val="22"/>
    <w:qFormat/>
    <w:rsid w:val="00501E78"/>
    <w:rPr>
      <w:rFonts w:cs="Times New Roman"/>
      <w:b/>
      <w:spacing w:val="0"/>
    </w:rPr>
  </w:style>
  <w:style w:type="paragraph" w:styleId="Subtitle">
    <w:name w:val="Subtitle"/>
    <w:basedOn w:val="Normal"/>
    <w:link w:val="SubtitleChar"/>
    <w:uiPriority w:val="11"/>
    <w:qFormat/>
    <w:rsid w:val="00501E78"/>
    <w:pPr>
      <w:widowControl/>
      <w:autoSpaceDE w:val="0"/>
      <w:autoSpaceDN w:val="0"/>
      <w:adjustRightInd w:val="0"/>
      <w:spacing w:before="120" w:after="60" w:line="360" w:lineRule="auto"/>
      <w:jc w:val="center"/>
      <w:outlineLvl w:val="1"/>
    </w:pPr>
    <w:rPr>
      <w:rFonts w:ascii="Arial" w:hAnsi="Arial" w:cs="Arial"/>
      <w:szCs w:val="22"/>
      <w:lang w:eastAsia="en-US"/>
    </w:rPr>
  </w:style>
  <w:style w:type="character" w:customStyle="1" w:styleId="SubtitleChar">
    <w:name w:val="Subtitle Char"/>
    <w:basedOn w:val="DefaultParagraphFont"/>
    <w:link w:val="Subtitle"/>
    <w:uiPriority w:val="11"/>
    <w:rsid w:val="00501E78"/>
    <w:rPr>
      <w:rFonts w:ascii="Arial" w:hAnsi="Arial" w:cs="Arial"/>
      <w:sz w:val="24"/>
      <w:szCs w:val="22"/>
      <w:lang w:val="bg-BG" w:eastAsia="en-US"/>
    </w:rPr>
  </w:style>
  <w:style w:type="character" w:customStyle="1" w:styleId="SubtitleChar1">
    <w:name w:val="Subtitle Char1"/>
    <w:basedOn w:val="DefaultParagraphFont"/>
    <w:rsid w:val="00501E78"/>
    <w:rPr>
      <w:rFonts w:ascii="Arial" w:hAnsi="Arial" w:cs="Arial"/>
      <w:spacing w:val="0"/>
      <w:sz w:val="24"/>
    </w:rPr>
  </w:style>
  <w:style w:type="paragraph" w:styleId="Title">
    <w:name w:val="Title"/>
    <w:basedOn w:val="Normal"/>
    <w:link w:val="TitleChar"/>
    <w:uiPriority w:val="10"/>
    <w:qFormat/>
    <w:rsid w:val="00501E78"/>
    <w:pPr>
      <w:widowControl/>
      <w:autoSpaceDE w:val="0"/>
      <w:autoSpaceDN w:val="0"/>
      <w:adjustRightInd w:val="0"/>
      <w:spacing w:before="240" w:after="60" w:line="360" w:lineRule="auto"/>
      <w:jc w:val="center"/>
      <w:outlineLvl w:val="0"/>
    </w:pPr>
    <w:rPr>
      <w:rFonts w:ascii="Arial" w:hAnsi="Arial" w:cs="Arial"/>
      <w:b/>
      <w:kern w:val="28"/>
      <w:sz w:val="32"/>
      <w:szCs w:val="22"/>
      <w:lang w:eastAsia="en-US"/>
    </w:rPr>
  </w:style>
  <w:style w:type="character" w:customStyle="1" w:styleId="TitleChar">
    <w:name w:val="Title Char"/>
    <w:basedOn w:val="DefaultParagraphFont"/>
    <w:link w:val="Title"/>
    <w:uiPriority w:val="10"/>
    <w:rsid w:val="00501E78"/>
    <w:rPr>
      <w:rFonts w:ascii="Arial" w:hAnsi="Arial" w:cs="Arial"/>
      <w:b/>
      <w:kern w:val="28"/>
      <w:sz w:val="32"/>
      <w:szCs w:val="22"/>
      <w:lang w:val="bg-BG" w:eastAsia="en-US"/>
    </w:rPr>
  </w:style>
  <w:style w:type="character" w:customStyle="1" w:styleId="TitleChar1">
    <w:name w:val="Title Char1"/>
    <w:basedOn w:val="DefaultParagraphFont"/>
    <w:rsid w:val="00501E78"/>
    <w:rPr>
      <w:rFonts w:ascii="Arial" w:hAnsi="Arial" w:cs="Arial"/>
      <w:b/>
      <w:spacing w:val="0"/>
      <w:kern w:val="28"/>
      <w:sz w:val="32"/>
    </w:rPr>
  </w:style>
  <w:style w:type="paragraph" w:styleId="Index1">
    <w:name w:val="index 1"/>
    <w:basedOn w:val="Normal"/>
    <w:next w:val="Normal"/>
    <w:autoRedefine/>
    <w:uiPriority w:val="99"/>
    <w:rsid w:val="00501E78"/>
    <w:pPr>
      <w:widowControl/>
      <w:autoSpaceDE w:val="0"/>
      <w:autoSpaceDN w:val="0"/>
      <w:adjustRightInd w:val="0"/>
      <w:ind w:left="200" w:hanging="200"/>
    </w:pPr>
    <w:rPr>
      <w:rFonts w:eastAsia="Calibri"/>
      <w:szCs w:val="22"/>
      <w:lang w:eastAsia="en-US"/>
    </w:rPr>
  </w:style>
  <w:style w:type="paragraph" w:styleId="IndexHeading">
    <w:name w:val="index heading"/>
    <w:basedOn w:val="Normal"/>
    <w:next w:val="Index1"/>
    <w:uiPriority w:val="99"/>
    <w:rsid w:val="00501E78"/>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jc w:val="both"/>
    </w:pPr>
    <w:rPr>
      <w:rFonts w:eastAsia="Calibri"/>
      <w:szCs w:val="22"/>
      <w:lang w:eastAsia="en-US"/>
    </w:rPr>
  </w:style>
  <w:style w:type="paragraph" w:customStyle="1" w:styleId="Titre1">
    <w:name w:val="Titre1"/>
    <w:basedOn w:val="Heading6"/>
    <w:rsid w:val="00501E78"/>
    <w:pPr>
      <w:keepNext/>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spacing w:before="0" w:after="0"/>
      <w:jc w:val="center"/>
    </w:pPr>
    <w:rPr>
      <w:i w:val="0"/>
      <w:iCs/>
      <w:sz w:val="60"/>
      <w:szCs w:val="22"/>
      <w:lang w:eastAsia="en-US"/>
    </w:rPr>
  </w:style>
  <w:style w:type="paragraph" w:customStyle="1" w:styleId="Titre2">
    <w:name w:val="Titre2"/>
    <w:basedOn w:val="Normal"/>
    <w:rsid w:val="00501E78"/>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autoSpaceDE w:val="0"/>
      <w:autoSpaceDN w:val="0"/>
      <w:adjustRightInd w:val="0"/>
      <w:ind w:left="1701"/>
      <w:jc w:val="both"/>
    </w:pPr>
    <w:rPr>
      <w:rFonts w:ascii="Arial" w:hAnsi="Arial" w:cs="Arial"/>
      <w:b/>
      <w:sz w:val="48"/>
      <w:szCs w:val="22"/>
      <w:lang w:eastAsia="en-US"/>
    </w:rPr>
  </w:style>
  <w:style w:type="paragraph" w:customStyle="1" w:styleId="pj">
    <w:name w:val="p.j."/>
    <w:basedOn w:val="Normal"/>
    <w:next w:val="Normal"/>
    <w:rsid w:val="00501E78"/>
    <w:pPr>
      <w:widowControl/>
      <w:autoSpaceDE w:val="0"/>
      <w:autoSpaceDN w:val="0"/>
      <w:adjustRightInd w:val="0"/>
      <w:spacing w:before="1200" w:after="120"/>
      <w:ind w:left="1440" w:hanging="1440"/>
    </w:pPr>
    <w:rPr>
      <w:rFonts w:eastAsia="Calibri"/>
      <w:szCs w:val="22"/>
      <w:lang w:eastAsia="en-US"/>
    </w:rPr>
  </w:style>
  <w:style w:type="paragraph" w:customStyle="1" w:styleId="Text0">
    <w:name w:val="Text 0"/>
    <w:basedOn w:val="Normal"/>
    <w:rsid w:val="00501E78"/>
    <w:pPr>
      <w:autoSpaceDE w:val="0"/>
      <w:autoSpaceDN w:val="0"/>
      <w:adjustRightInd w:val="0"/>
      <w:spacing w:before="120" w:after="120" w:line="360" w:lineRule="auto"/>
    </w:pPr>
    <w:rPr>
      <w:rFonts w:eastAsia="Calibri"/>
      <w:szCs w:val="22"/>
      <w:lang w:eastAsia="en-US"/>
    </w:rPr>
  </w:style>
  <w:style w:type="paragraph" w:customStyle="1" w:styleId="N">
    <w:name w:val="N"/>
    <w:basedOn w:val="Text0"/>
    <w:rsid w:val="00501E78"/>
    <w:pPr>
      <w:spacing w:before="0" w:after="0"/>
    </w:pPr>
  </w:style>
  <w:style w:type="paragraph" w:customStyle="1" w:styleId="Considerant">
    <w:name w:val="Considerant"/>
    <w:basedOn w:val="Considrant"/>
    <w:rsid w:val="00501E78"/>
    <w:pPr>
      <w:tabs>
        <w:tab w:val="num" w:pos="709"/>
      </w:tabs>
      <w:autoSpaceDE w:val="0"/>
      <w:autoSpaceDN w:val="0"/>
      <w:adjustRightInd w:val="0"/>
      <w:spacing w:before="0" w:after="0"/>
      <w:ind w:left="709" w:hanging="709"/>
    </w:pPr>
    <w:rPr>
      <w:rFonts w:eastAsia="Calibri"/>
      <w:szCs w:val="22"/>
      <w:lang w:val="bg-BG"/>
    </w:rPr>
  </w:style>
  <w:style w:type="paragraph" w:customStyle="1" w:styleId="Lginef">
    <w:name w:val="Lgine f"/>
    <w:basedOn w:val="Normal"/>
    <w:rsid w:val="00501E78"/>
    <w:pPr>
      <w:widowControl/>
      <w:autoSpaceDE w:val="0"/>
      <w:autoSpaceDN w:val="0"/>
      <w:adjustRightInd w:val="0"/>
      <w:spacing w:before="120" w:after="120" w:line="360" w:lineRule="auto"/>
    </w:pPr>
    <w:rPr>
      <w:rFonts w:eastAsia="Calibri"/>
      <w:szCs w:val="22"/>
      <w:lang w:eastAsia="en-US"/>
    </w:rPr>
  </w:style>
  <w:style w:type="paragraph" w:customStyle="1" w:styleId="Normal12Bold">
    <w:name w:val="Normal12Bold"/>
    <w:basedOn w:val="Normal12"/>
    <w:rsid w:val="00501E78"/>
    <w:pPr>
      <w:autoSpaceDE w:val="0"/>
      <w:autoSpaceDN w:val="0"/>
      <w:adjustRightInd w:val="0"/>
    </w:pPr>
    <w:rPr>
      <w:rFonts w:eastAsia="Calibri"/>
      <w:b/>
      <w:noProof w:val="0"/>
      <w:szCs w:val="22"/>
      <w:lang w:eastAsia="en-US"/>
    </w:rPr>
  </w:style>
  <w:style w:type="paragraph" w:customStyle="1" w:styleId="Normal12Hanging">
    <w:name w:val="Normal12Hanging"/>
    <w:basedOn w:val="Normal12"/>
    <w:rsid w:val="00501E78"/>
    <w:pPr>
      <w:autoSpaceDE w:val="0"/>
      <w:autoSpaceDN w:val="0"/>
      <w:adjustRightInd w:val="0"/>
      <w:ind w:left="357" w:hanging="357"/>
    </w:pPr>
    <w:rPr>
      <w:rFonts w:eastAsia="Calibri"/>
      <w:noProof w:val="0"/>
      <w:szCs w:val="22"/>
      <w:lang w:eastAsia="en-US"/>
    </w:rPr>
  </w:style>
  <w:style w:type="character" w:customStyle="1" w:styleId="italic1">
    <w:name w:val="italic1"/>
    <w:basedOn w:val="DefaultParagraphFont"/>
    <w:rsid w:val="00501E78"/>
    <w:rPr>
      <w:rFonts w:cs="Times New Roman"/>
      <w:i/>
      <w:spacing w:val="0"/>
      <w:shd w:val="clear" w:color="auto" w:fill="auto"/>
    </w:rPr>
  </w:style>
  <w:style w:type="paragraph" w:customStyle="1" w:styleId="CM4">
    <w:name w:val="CM4"/>
    <w:basedOn w:val="Default"/>
    <w:next w:val="Default"/>
    <w:uiPriority w:val="99"/>
    <w:rsid w:val="00501E78"/>
    <w:rPr>
      <w:rFonts w:ascii="EUAlbertina" w:eastAsia="Times New Roman" w:hAnsi="EUAlbertina" w:cs="EUAlbertina"/>
    </w:rPr>
  </w:style>
  <w:style w:type="paragraph" w:customStyle="1" w:styleId="NormalConseil">
    <w:name w:val="NormalConseil"/>
    <w:basedOn w:val="Normal"/>
    <w:rsid w:val="00501E78"/>
    <w:pPr>
      <w:widowControl/>
      <w:autoSpaceDE w:val="0"/>
      <w:autoSpaceDN w:val="0"/>
      <w:adjustRightInd w:val="0"/>
    </w:pPr>
    <w:rPr>
      <w:rFonts w:eastAsia="Calibri"/>
      <w:szCs w:val="22"/>
      <w:lang w:eastAsia="en-US"/>
    </w:rPr>
  </w:style>
  <w:style w:type="paragraph" w:customStyle="1" w:styleId="FooterConseil">
    <w:name w:val="FooterConseil"/>
    <w:basedOn w:val="NormalConseil"/>
    <w:rsid w:val="00501E78"/>
    <w:pPr>
      <w:tabs>
        <w:tab w:val="center" w:pos="4820"/>
        <w:tab w:val="center" w:pos="7371"/>
        <w:tab w:val="right" w:pos="9639"/>
      </w:tabs>
    </w:pPr>
  </w:style>
  <w:style w:type="character" w:customStyle="1" w:styleId="st1">
    <w:name w:val="st1"/>
    <w:rsid w:val="00501E78"/>
    <w:rPr>
      <w:spacing w:val="0"/>
      <w:sz w:val="24"/>
    </w:rPr>
  </w:style>
  <w:style w:type="character" w:customStyle="1" w:styleId="Point0Char">
    <w:name w:val="Point 0 Char"/>
    <w:rsid w:val="00501E78"/>
    <w:rPr>
      <w:spacing w:val="0"/>
      <w:sz w:val="24"/>
    </w:rPr>
  </w:style>
  <w:style w:type="paragraph" w:customStyle="1" w:styleId="DeltaViewTableHeading">
    <w:name w:val="DeltaView Table Heading"/>
    <w:basedOn w:val="Normal"/>
    <w:rsid w:val="00501E78"/>
    <w:pPr>
      <w:widowControl/>
      <w:autoSpaceDE w:val="0"/>
      <w:autoSpaceDN w:val="0"/>
      <w:adjustRightInd w:val="0"/>
      <w:spacing w:after="120"/>
    </w:pPr>
    <w:rPr>
      <w:rFonts w:ascii="Arial" w:hAnsi="Arial" w:cs="Arial"/>
      <w:b/>
      <w:szCs w:val="22"/>
      <w:lang w:eastAsia="en-US"/>
    </w:rPr>
  </w:style>
  <w:style w:type="paragraph" w:customStyle="1" w:styleId="DeltaViewTableBody">
    <w:name w:val="DeltaView Table Body"/>
    <w:basedOn w:val="Normal"/>
    <w:rsid w:val="00501E78"/>
    <w:pPr>
      <w:widowControl/>
      <w:autoSpaceDE w:val="0"/>
      <w:autoSpaceDN w:val="0"/>
      <w:adjustRightInd w:val="0"/>
    </w:pPr>
    <w:rPr>
      <w:rFonts w:ascii="Arial" w:hAnsi="Arial" w:cs="Arial"/>
      <w:szCs w:val="22"/>
      <w:lang w:eastAsia="en-US"/>
    </w:rPr>
  </w:style>
  <w:style w:type="paragraph" w:customStyle="1" w:styleId="DeltaViewAnnounce">
    <w:name w:val="DeltaView Announce"/>
    <w:rsid w:val="00501E78"/>
    <w:pPr>
      <w:autoSpaceDE w:val="0"/>
      <w:autoSpaceDN w:val="0"/>
      <w:adjustRightInd w:val="0"/>
      <w:spacing w:before="100" w:beforeAutospacing="1" w:after="100" w:afterAutospacing="1"/>
    </w:pPr>
    <w:rPr>
      <w:rFonts w:ascii="Arial" w:hAnsi="Arial" w:cs="Arial"/>
      <w:sz w:val="24"/>
      <w:szCs w:val="22"/>
      <w:lang w:val="en-US" w:eastAsia="en-US"/>
    </w:rPr>
  </w:style>
  <w:style w:type="character" w:customStyle="1" w:styleId="DeltaViewInsertion">
    <w:name w:val="DeltaView Insertion"/>
    <w:rsid w:val="00501E78"/>
    <w:rPr>
      <w:b/>
      <w:i/>
      <w:spacing w:val="0"/>
    </w:rPr>
  </w:style>
  <w:style w:type="character" w:customStyle="1" w:styleId="DeltaViewDeletion">
    <w:name w:val="DeltaView Deletion"/>
    <w:rsid w:val="00501E78"/>
    <w:rPr>
      <w:strike/>
      <w:spacing w:val="0"/>
    </w:rPr>
  </w:style>
  <w:style w:type="character" w:customStyle="1" w:styleId="DeltaViewMoveSource">
    <w:name w:val="DeltaView Move Source"/>
    <w:rsid w:val="00501E78"/>
    <w:rPr>
      <w:strike/>
      <w:spacing w:val="0"/>
    </w:rPr>
  </w:style>
  <w:style w:type="character" w:customStyle="1" w:styleId="DeltaViewMoveDestination">
    <w:name w:val="DeltaView Move Destination"/>
    <w:rsid w:val="00501E78"/>
    <w:rPr>
      <w:spacing w:val="0"/>
      <w:u w:val="double"/>
    </w:rPr>
  </w:style>
  <w:style w:type="character" w:customStyle="1" w:styleId="DeltaViewChangeNumber">
    <w:name w:val="DeltaView Change Number"/>
    <w:rsid w:val="00501E78"/>
    <w:rPr>
      <w:spacing w:val="0"/>
      <w:vertAlign w:val="superscript"/>
    </w:rPr>
  </w:style>
  <w:style w:type="character" w:customStyle="1" w:styleId="DeltaViewDelimiter">
    <w:name w:val="DeltaView Delimiter"/>
    <w:rsid w:val="00501E78"/>
    <w:rPr>
      <w:spacing w:val="0"/>
    </w:rPr>
  </w:style>
  <w:style w:type="character" w:customStyle="1" w:styleId="DeltaViewFormatChange">
    <w:name w:val="DeltaView Format Change"/>
    <w:rsid w:val="00501E78"/>
    <w:rPr>
      <w:spacing w:val="0"/>
    </w:rPr>
  </w:style>
  <w:style w:type="character" w:customStyle="1" w:styleId="DeltaViewMovedDeletion">
    <w:name w:val="DeltaView Moved Deletion"/>
    <w:rsid w:val="00501E78"/>
    <w:rPr>
      <w:strike/>
      <w:color w:val="C08080"/>
      <w:spacing w:val="0"/>
    </w:rPr>
  </w:style>
  <w:style w:type="character" w:customStyle="1" w:styleId="DeltaViewEditorComment">
    <w:name w:val="DeltaView Editor Comment"/>
    <w:basedOn w:val="DefaultParagraphFont"/>
    <w:rsid w:val="00501E78"/>
    <w:rPr>
      <w:rFonts w:cs="Times New Roman"/>
      <w:color w:val="0000FF"/>
      <w:spacing w:val="0"/>
      <w:u w:val="double"/>
    </w:rPr>
  </w:style>
  <w:style w:type="character" w:customStyle="1" w:styleId="DeltaViewStyleChangeText">
    <w:name w:val="DeltaView Style Change Text"/>
    <w:rsid w:val="00501E78"/>
    <w:rPr>
      <w:spacing w:val="0"/>
      <w:u w:val="double"/>
    </w:rPr>
  </w:style>
  <w:style w:type="character" w:customStyle="1" w:styleId="DeltaViewStyleChangeLabel">
    <w:name w:val="DeltaView Style Change Label"/>
    <w:rsid w:val="00501E78"/>
    <w:rPr>
      <w:spacing w:val="0"/>
    </w:rPr>
  </w:style>
  <w:style w:type="character" w:customStyle="1" w:styleId="UnresolvedMention1">
    <w:name w:val="Unresolved Mention1"/>
    <w:basedOn w:val="DefaultParagraphFont"/>
    <w:uiPriority w:val="99"/>
    <w:semiHidden/>
    <w:unhideWhenUsed/>
    <w:rsid w:val="00501E78"/>
    <w:rPr>
      <w:color w:val="605E5C"/>
      <w:shd w:val="clear" w:color="auto" w:fill="E1DFDD"/>
    </w:rPr>
  </w:style>
  <w:style w:type="character" w:customStyle="1" w:styleId="UnresolvedMention2">
    <w:name w:val="Unresolved Mention2"/>
    <w:basedOn w:val="DefaultParagraphFont"/>
    <w:uiPriority w:val="99"/>
    <w:semiHidden/>
    <w:unhideWhenUsed/>
    <w:rsid w:val="00501E78"/>
    <w:rPr>
      <w:color w:val="605E5C"/>
      <w:shd w:val="clear" w:color="auto" w:fill="E1DFDD"/>
    </w:rPr>
  </w:style>
  <w:style w:type="paragraph" w:customStyle="1" w:styleId="ThetitleofAnnexIPoint0number">
    <w:name w:val="The title of Annex I Point 0 (number)"/>
    <w:basedOn w:val="Point0number"/>
    <w:rsid w:val="00501E78"/>
    <w:pPr>
      <w:numPr>
        <w:numId w:val="1"/>
      </w:numPr>
    </w:pPr>
  </w:style>
  <w:style w:type="paragraph" w:customStyle="1" w:styleId="Part1isreplacedwiththefollowignPoint0number">
    <w:name w:val="Part 1 is replaced with the followign: Point 0 (number)"/>
    <w:basedOn w:val="Point0number"/>
    <w:rsid w:val="00501E78"/>
    <w:pPr>
      <w:numPr>
        <w:numId w:val="0"/>
      </w:numPr>
      <w:tabs>
        <w:tab w:val="num" w:pos="360"/>
      </w:tabs>
      <w:ind w:left="360" w:hanging="360"/>
    </w:pPr>
  </w:style>
  <w:style w:type="paragraph" w:customStyle="1" w:styleId="PartPoint0number">
    <w:name w:val="PartPoint 0 (number)"/>
    <w:basedOn w:val="Point0number"/>
    <w:rsid w:val="00501E78"/>
    <w:pPr>
      <w:numPr>
        <w:numId w:val="0"/>
      </w:numPr>
      <w:tabs>
        <w:tab w:val="num" w:pos="360"/>
      </w:tabs>
      <w:ind w:left="360" w:hanging="360"/>
    </w:pPr>
  </w:style>
  <w:style w:type="paragraph" w:customStyle="1" w:styleId="AnewPoint0number">
    <w:name w:val="A new Point 0 (number)"/>
    <w:basedOn w:val="Point0number"/>
    <w:rsid w:val="00501E78"/>
    <w:pPr>
      <w:numPr>
        <w:numId w:val="0"/>
      </w:numPr>
      <w:tabs>
        <w:tab w:val="num" w:pos="360"/>
      </w:tabs>
      <w:ind w:left="360" w:hanging="360"/>
    </w:pPr>
  </w:style>
  <w:style w:type="paragraph" w:customStyle="1" w:styleId="LegalNumPar">
    <w:name w:val="LegalNumPar"/>
    <w:basedOn w:val="Normal"/>
    <w:rsid w:val="00501E78"/>
    <w:pPr>
      <w:widowControl/>
      <w:numPr>
        <w:numId w:val="15"/>
      </w:numPr>
      <w:tabs>
        <w:tab w:val="num" w:pos="1209"/>
      </w:tabs>
      <w:spacing w:before="120" w:after="120" w:line="360" w:lineRule="auto"/>
      <w:ind w:left="1209" w:hanging="360"/>
      <w:jc w:val="both"/>
    </w:pPr>
    <w:rPr>
      <w:rFonts w:eastAsia="Calibri"/>
      <w:szCs w:val="22"/>
      <w:lang w:eastAsia="en-US"/>
    </w:rPr>
  </w:style>
  <w:style w:type="paragraph" w:customStyle="1" w:styleId="LegalNumPar2">
    <w:name w:val="LegalNumPar2"/>
    <w:basedOn w:val="Normal"/>
    <w:rsid w:val="00501E78"/>
    <w:pPr>
      <w:widowControl/>
      <w:numPr>
        <w:ilvl w:val="1"/>
        <w:numId w:val="15"/>
      </w:numPr>
      <w:tabs>
        <w:tab w:val="num" w:pos="1209"/>
      </w:tabs>
      <w:spacing w:before="120" w:after="120" w:line="360" w:lineRule="auto"/>
      <w:ind w:left="1209" w:hanging="360"/>
      <w:jc w:val="both"/>
    </w:pPr>
    <w:rPr>
      <w:rFonts w:eastAsia="Calibri"/>
      <w:szCs w:val="22"/>
      <w:lang w:eastAsia="en-US"/>
    </w:rPr>
  </w:style>
  <w:style w:type="paragraph" w:customStyle="1" w:styleId="LegalNumPar3">
    <w:name w:val="LegalNumPar3"/>
    <w:basedOn w:val="Normal"/>
    <w:rsid w:val="00501E78"/>
    <w:pPr>
      <w:widowControl/>
      <w:numPr>
        <w:ilvl w:val="2"/>
        <w:numId w:val="15"/>
      </w:numPr>
      <w:tabs>
        <w:tab w:val="num" w:pos="1209"/>
      </w:tabs>
      <w:spacing w:before="120" w:after="120"/>
      <w:ind w:left="1209" w:hanging="360"/>
      <w:jc w:val="both"/>
    </w:pPr>
    <w:rPr>
      <w:rFonts w:eastAsia="Calibri"/>
      <w:szCs w:val="22"/>
      <w:lang w:eastAsia="en-US"/>
    </w:rPr>
  </w:style>
  <w:style w:type="character" w:customStyle="1" w:styleId="UnresolvedMention3">
    <w:name w:val="Unresolved Mention3"/>
    <w:basedOn w:val="DefaultParagraphFont"/>
    <w:uiPriority w:val="99"/>
    <w:semiHidden/>
    <w:unhideWhenUsed/>
    <w:rsid w:val="00501E78"/>
    <w:rPr>
      <w:color w:val="605E5C"/>
      <w:shd w:val="clear" w:color="auto" w:fill="E1DFDD"/>
    </w:rPr>
  </w:style>
  <w:style w:type="paragraph" w:customStyle="1" w:styleId="title-gr-seq-level-1">
    <w:name w:val="title-gr-seq-level-1"/>
    <w:basedOn w:val="Normal"/>
    <w:rsid w:val="00501E78"/>
    <w:pPr>
      <w:widowControl/>
      <w:spacing w:before="100" w:beforeAutospacing="1" w:after="100" w:afterAutospacing="1"/>
    </w:pPr>
    <w:rPr>
      <w:rFonts w:eastAsia="Calibri"/>
      <w:szCs w:val="22"/>
      <w:lang w:eastAsia="en-US"/>
    </w:rPr>
  </w:style>
  <w:style w:type="character" w:customStyle="1" w:styleId="boldface">
    <w:name w:val="boldface"/>
    <w:basedOn w:val="DefaultParagraphFont"/>
    <w:rsid w:val="00501E78"/>
  </w:style>
  <w:style w:type="paragraph" w:customStyle="1" w:styleId="title-gr-seq-level-4">
    <w:name w:val="title-gr-seq-level-4"/>
    <w:basedOn w:val="Normal"/>
    <w:rsid w:val="00501E78"/>
    <w:pPr>
      <w:widowControl/>
      <w:spacing w:before="100" w:beforeAutospacing="1" w:after="100" w:afterAutospacing="1"/>
    </w:pPr>
    <w:rPr>
      <w:rFonts w:eastAsia="Calibri"/>
      <w:szCs w:val="22"/>
      <w:lang w:eastAsia="en-US"/>
    </w:rPr>
  </w:style>
  <w:style w:type="paragraph" w:customStyle="1" w:styleId="norm">
    <w:name w:val="norm"/>
    <w:basedOn w:val="Normal"/>
    <w:rsid w:val="00501E78"/>
    <w:pPr>
      <w:widowControl/>
      <w:spacing w:before="100" w:beforeAutospacing="1" w:after="100" w:afterAutospacing="1"/>
    </w:pPr>
    <w:rPr>
      <w:rFonts w:eastAsia="Calibri"/>
      <w:szCs w:val="22"/>
      <w:lang w:eastAsia="en-US"/>
    </w:rPr>
  </w:style>
  <w:style w:type="paragraph" w:customStyle="1" w:styleId="title-table">
    <w:name w:val="title-table"/>
    <w:basedOn w:val="Normal"/>
    <w:rsid w:val="00501E78"/>
    <w:pPr>
      <w:widowControl/>
      <w:spacing w:before="100" w:beforeAutospacing="1" w:after="100" w:afterAutospacing="1"/>
    </w:pPr>
    <w:rPr>
      <w:rFonts w:eastAsia="Calibri"/>
      <w:szCs w:val="22"/>
      <w:lang w:eastAsia="en-US"/>
    </w:rPr>
  </w:style>
  <w:style w:type="character" w:customStyle="1" w:styleId="superscript">
    <w:name w:val="superscript"/>
    <w:basedOn w:val="DefaultParagraphFont"/>
    <w:rsid w:val="00501E78"/>
  </w:style>
  <w:style w:type="paragraph" w:customStyle="1" w:styleId="tbl-norm">
    <w:name w:val="tbl-norm"/>
    <w:basedOn w:val="Normal"/>
    <w:rsid w:val="00501E78"/>
    <w:pPr>
      <w:widowControl/>
      <w:spacing w:before="100" w:beforeAutospacing="1" w:after="100" w:afterAutospacing="1"/>
    </w:pPr>
    <w:rPr>
      <w:rFonts w:eastAsia="Calibri"/>
      <w:szCs w:val="22"/>
      <w:lang w:eastAsia="en-US"/>
    </w:rPr>
  </w:style>
  <w:style w:type="paragraph" w:customStyle="1" w:styleId="item-none">
    <w:name w:val="item-none"/>
    <w:basedOn w:val="Normal"/>
    <w:rsid w:val="00501E78"/>
    <w:pPr>
      <w:widowControl/>
      <w:spacing w:before="100" w:beforeAutospacing="1" w:after="100" w:afterAutospacing="1"/>
    </w:pPr>
    <w:rPr>
      <w:rFonts w:eastAsia="Calibri"/>
      <w:szCs w:val="22"/>
      <w:lang w:eastAsia="en-US"/>
    </w:rPr>
  </w:style>
  <w:style w:type="paragraph" w:styleId="TOC4">
    <w:name w:val="toc 4"/>
    <w:basedOn w:val="Normal"/>
    <w:next w:val="Normal"/>
    <w:uiPriority w:val="39"/>
    <w:unhideWhenUsed/>
    <w:rsid w:val="00501E78"/>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501E78"/>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501E78"/>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501E78"/>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501E78"/>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501E78"/>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501E78"/>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501E78"/>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501E7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501E78"/>
    <w:pPr>
      <w:widowControl/>
      <w:spacing w:after="120"/>
      <w:jc w:val="right"/>
    </w:pPr>
    <w:rPr>
      <w:rFonts w:eastAsia="Calibri"/>
      <w:sz w:val="28"/>
      <w:szCs w:val="22"/>
      <w:lang w:eastAsia="en-US"/>
    </w:rPr>
  </w:style>
  <w:style w:type="paragraph" w:customStyle="1" w:styleId="FooterSensitivity">
    <w:name w:val="Footer Sensitivity"/>
    <w:basedOn w:val="Normal"/>
    <w:rsid w:val="00501E7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501E78"/>
    <w:pPr>
      <w:widowControl/>
      <w:spacing w:before="120" w:after="120"/>
      <w:ind w:left="850"/>
      <w:jc w:val="both"/>
    </w:pPr>
    <w:rPr>
      <w:rFonts w:eastAsia="Calibri"/>
      <w:szCs w:val="22"/>
      <w:lang w:eastAsia="en-US"/>
    </w:rPr>
  </w:style>
  <w:style w:type="paragraph" w:customStyle="1" w:styleId="Text2">
    <w:name w:val="Text 2"/>
    <w:basedOn w:val="Normal"/>
    <w:rsid w:val="00501E78"/>
    <w:pPr>
      <w:widowControl/>
      <w:spacing w:before="120" w:after="120"/>
      <w:ind w:left="1417"/>
      <w:jc w:val="both"/>
    </w:pPr>
    <w:rPr>
      <w:rFonts w:eastAsia="Calibri"/>
      <w:szCs w:val="22"/>
      <w:lang w:eastAsia="en-US"/>
    </w:rPr>
  </w:style>
  <w:style w:type="paragraph" w:customStyle="1" w:styleId="Text3">
    <w:name w:val="Text 3"/>
    <w:basedOn w:val="Normal"/>
    <w:rsid w:val="00501E78"/>
    <w:pPr>
      <w:widowControl/>
      <w:spacing w:before="120" w:after="120"/>
      <w:ind w:left="1984"/>
      <w:jc w:val="both"/>
    </w:pPr>
    <w:rPr>
      <w:rFonts w:eastAsia="Calibri"/>
      <w:szCs w:val="22"/>
      <w:lang w:eastAsia="en-US"/>
    </w:rPr>
  </w:style>
  <w:style w:type="paragraph" w:customStyle="1" w:styleId="Text4">
    <w:name w:val="Text 4"/>
    <w:basedOn w:val="Normal"/>
    <w:rsid w:val="00501E78"/>
    <w:pPr>
      <w:widowControl/>
      <w:spacing w:before="120" w:after="120"/>
      <w:ind w:left="2551"/>
      <w:jc w:val="both"/>
    </w:pPr>
    <w:rPr>
      <w:rFonts w:eastAsia="Calibri"/>
      <w:szCs w:val="22"/>
      <w:lang w:eastAsia="en-US"/>
    </w:rPr>
  </w:style>
  <w:style w:type="paragraph" w:customStyle="1" w:styleId="Text5">
    <w:name w:val="Text 5"/>
    <w:basedOn w:val="Normal"/>
    <w:rsid w:val="00501E78"/>
    <w:pPr>
      <w:widowControl/>
      <w:spacing w:before="120" w:after="120"/>
      <w:ind w:left="3118"/>
      <w:jc w:val="both"/>
    </w:pPr>
    <w:rPr>
      <w:rFonts w:eastAsia="Calibri"/>
      <w:szCs w:val="22"/>
      <w:lang w:eastAsia="en-US"/>
    </w:rPr>
  </w:style>
  <w:style w:type="paragraph" w:customStyle="1" w:styleId="Text6">
    <w:name w:val="Text 6"/>
    <w:basedOn w:val="Normal"/>
    <w:rsid w:val="00501E78"/>
    <w:pPr>
      <w:widowControl/>
      <w:spacing w:before="120" w:after="120"/>
      <w:ind w:left="3685"/>
      <w:jc w:val="both"/>
    </w:pPr>
    <w:rPr>
      <w:rFonts w:eastAsia="Calibri"/>
      <w:szCs w:val="22"/>
      <w:lang w:eastAsia="en-US"/>
    </w:rPr>
  </w:style>
  <w:style w:type="paragraph" w:customStyle="1" w:styleId="NormalCentered">
    <w:name w:val="Normal Centered"/>
    <w:basedOn w:val="Normal"/>
    <w:rsid w:val="00501E78"/>
    <w:pPr>
      <w:widowControl/>
      <w:spacing w:before="120" w:after="120"/>
      <w:jc w:val="center"/>
    </w:pPr>
    <w:rPr>
      <w:rFonts w:eastAsia="Calibri"/>
      <w:szCs w:val="22"/>
      <w:lang w:eastAsia="en-US"/>
    </w:rPr>
  </w:style>
  <w:style w:type="paragraph" w:customStyle="1" w:styleId="NormalLeft">
    <w:name w:val="Normal Left"/>
    <w:basedOn w:val="Normal"/>
    <w:rsid w:val="00501E78"/>
    <w:pPr>
      <w:widowControl/>
      <w:spacing w:before="120" w:after="120"/>
    </w:pPr>
    <w:rPr>
      <w:rFonts w:eastAsia="Calibri"/>
      <w:szCs w:val="22"/>
      <w:lang w:eastAsia="en-US"/>
    </w:rPr>
  </w:style>
  <w:style w:type="paragraph" w:customStyle="1" w:styleId="NormalRight">
    <w:name w:val="Normal Right"/>
    <w:basedOn w:val="Normal"/>
    <w:rsid w:val="00501E78"/>
    <w:pPr>
      <w:widowControl/>
      <w:spacing w:before="120" w:after="120"/>
      <w:jc w:val="right"/>
    </w:pPr>
    <w:rPr>
      <w:rFonts w:eastAsia="Calibri"/>
      <w:szCs w:val="22"/>
      <w:lang w:eastAsia="en-US"/>
    </w:rPr>
  </w:style>
  <w:style w:type="paragraph" w:customStyle="1" w:styleId="QuotedText">
    <w:name w:val="Quoted Text"/>
    <w:basedOn w:val="Normal"/>
    <w:rsid w:val="00501E78"/>
    <w:pPr>
      <w:widowControl/>
      <w:spacing w:before="120" w:after="120"/>
      <w:ind w:left="1417"/>
      <w:jc w:val="both"/>
    </w:pPr>
    <w:rPr>
      <w:rFonts w:eastAsia="Calibri"/>
      <w:szCs w:val="22"/>
      <w:lang w:eastAsia="en-US"/>
    </w:rPr>
  </w:style>
  <w:style w:type="paragraph" w:customStyle="1" w:styleId="Point0">
    <w:name w:val="Point 0"/>
    <w:basedOn w:val="Normal"/>
    <w:rsid w:val="00501E78"/>
    <w:pPr>
      <w:widowControl/>
      <w:spacing w:before="120" w:after="120"/>
      <w:ind w:left="850" w:hanging="850"/>
      <w:jc w:val="both"/>
    </w:pPr>
    <w:rPr>
      <w:rFonts w:eastAsia="Calibri"/>
      <w:szCs w:val="22"/>
      <w:lang w:eastAsia="en-US"/>
    </w:rPr>
  </w:style>
  <w:style w:type="paragraph" w:customStyle="1" w:styleId="Point1">
    <w:name w:val="Point 1"/>
    <w:basedOn w:val="Normal"/>
    <w:rsid w:val="00501E78"/>
    <w:pPr>
      <w:widowControl/>
      <w:spacing w:before="120" w:after="120"/>
      <w:ind w:left="1417" w:hanging="567"/>
      <w:jc w:val="both"/>
    </w:pPr>
    <w:rPr>
      <w:rFonts w:eastAsia="Calibri"/>
      <w:szCs w:val="22"/>
      <w:lang w:eastAsia="en-US"/>
    </w:rPr>
  </w:style>
  <w:style w:type="paragraph" w:customStyle="1" w:styleId="Point2">
    <w:name w:val="Point 2"/>
    <w:basedOn w:val="Normal"/>
    <w:rsid w:val="00501E78"/>
    <w:pPr>
      <w:widowControl/>
      <w:spacing w:before="120" w:after="120"/>
      <w:ind w:left="1984" w:hanging="567"/>
      <w:jc w:val="both"/>
    </w:pPr>
    <w:rPr>
      <w:rFonts w:eastAsia="Calibri"/>
      <w:szCs w:val="22"/>
      <w:lang w:eastAsia="en-US"/>
    </w:rPr>
  </w:style>
  <w:style w:type="paragraph" w:customStyle="1" w:styleId="Point3">
    <w:name w:val="Point 3"/>
    <w:basedOn w:val="Normal"/>
    <w:rsid w:val="00501E78"/>
    <w:pPr>
      <w:widowControl/>
      <w:spacing w:before="120" w:after="120"/>
      <w:ind w:left="2551" w:hanging="567"/>
      <w:jc w:val="both"/>
    </w:pPr>
    <w:rPr>
      <w:rFonts w:eastAsia="Calibri"/>
      <w:szCs w:val="22"/>
      <w:lang w:eastAsia="en-US"/>
    </w:rPr>
  </w:style>
  <w:style w:type="paragraph" w:customStyle="1" w:styleId="Point4">
    <w:name w:val="Point 4"/>
    <w:basedOn w:val="Normal"/>
    <w:rsid w:val="00501E78"/>
    <w:pPr>
      <w:widowControl/>
      <w:spacing w:before="120" w:after="120"/>
      <w:ind w:left="3118" w:hanging="567"/>
      <w:jc w:val="both"/>
    </w:pPr>
    <w:rPr>
      <w:rFonts w:eastAsia="Calibri"/>
      <w:szCs w:val="22"/>
      <w:lang w:eastAsia="en-US"/>
    </w:rPr>
  </w:style>
  <w:style w:type="paragraph" w:customStyle="1" w:styleId="Point5">
    <w:name w:val="Point 5"/>
    <w:basedOn w:val="Normal"/>
    <w:rsid w:val="00501E78"/>
    <w:pPr>
      <w:widowControl/>
      <w:spacing w:before="120" w:after="120"/>
      <w:ind w:left="3685" w:hanging="567"/>
      <w:jc w:val="both"/>
    </w:pPr>
    <w:rPr>
      <w:rFonts w:eastAsia="Calibri"/>
      <w:szCs w:val="22"/>
      <w:lang w:eastAsia="en-US"/>
    </w:rPr>
  </w:style>
  <w:style w:type="paragraph" w:customStyle="1" w:styleId="Tiret0">
    <w:name w:val="Tiret 0"/>
    <w:basedOn w:val="Point0"/>
    <w:rsid w:val="00501E78"/>
    <w:pPr>
      <w:numPr>
        <w:numId w:val="16"/>
      </w:numPr>
      <w:tabs>
        <w:tab w:val="clear" w:pos="850"/>
        <w:tab w:val="num" w:pos="1492"/>
      </w:tabs>
      <w:ind w:left="1492" w:hanging="360"/>
    </w:pPr>
  </w:style>
  <w:style w:type="paragraph" w:customStyle="1" w:styleId="Tiret1">
    <w:name w:val="Tiret 1"/>
    <w:basedOn w:val="Point1"/>
    <w:rsid w:val="00501E78"/>
    <w:pPr>
      <w:numPr>
        <w:numId w:val="17"/>
      </w:numPr>
      <w:tabs>
        <w:tab w:val="clear" w:pos="1417"/>
        <w:tab w:val="num" w:pos="360"/>
      </w:tabs>
      <w:ind w:left="360" w:hanging="360"/>
    </w:pPr>
  </w:style>
  <w:style w:type="paragraph" w:customStyle="1" w:styleId="Tiret2">
    <w:name w:val="Tiret 2"/>
    <w:basedOn w:val="Point2"/>
    <w:rsid w:val="00501E78"/>
    <w:pPr>
      <w:numPr>
        <w:numId w:val="18"/>
      </w:numPr>
      <w:tabs>
        <w:tab w:val="clear" w:pos="1984"/>
        <w:tab w:val="num" w:pos="643"/>
      </w:tabs>
      <w:ind w:left="643" w:hanging="360"/>
    </w:pPr>
  </w:style>
  <w:style w:type="paragraph" w:customStyle="1" w:styleId="Tiret3">
    <w:name w:val="Tiret 3"/>
    <w:basedOn w:val="Point3"/>
    <w:rsid w:val="00501E78"/>
    <w:pPr>
      <w:numPr>
        <w:numId w:val="19"/>
      </w:numPr>
      <w:tabs>
        <w:tab w:val="clear" w:pos="2551"/>
        <w:tab w:val="num" w:pos="926"/>
      </w:tabs>
      <w:ind w:left="926" w:hanging="360"/>
    </w:pPr>
  </w:style>
  <w:style w:type="paragraph" w:customStyle="1" w:styleId="Tiret4">
    <w:name w:val="Tiret 4"/>
    <w:basedOn w:val="Point4"/>
    <w:rsid w:val="00501E78"/>
    <w:pPr>
      <w:numPr>
        <w:numId w:val="20"/>
      </w:numPr>
      <w:tabs>
        <w:tab w:val="clear" w:pos="3118"/>
        <w:tab w:val="num" w:pos="1209"/>
      </w:tabs>
      <w:ind w:left="1209" w:hanging="360"/>
    </w:pPr>
  </w:style>
  <w:style w:type="paragraph" w:customStyle="1" w:styleId="Tiret5">
    <w:name w:val="Tiret 5"/>
    <w:basedOn w:val="Point5"/>
    <w:rsid w:val="00501E78"/>
    <w:pPr>
      <w:numPr>
        <w:numId w:val="21"/>
      </w:numPr>
      <w:tabs>
        <w:tab w:val="clear" w:pos="3685"/>
        <w:tab w:val="num" w:pos="1492"/>
      </w:tabs>
      <w:ind w:left="1492" w:hanging="360"/>
    </w:pPr>
  </w:style>
  <w:style w:type="paragraph" w:customStyle="1" w:styleId="PointDouble0">
    <w:name w:val="PointDouble 0"/>
    <w:basedOn w:val="Normal"/>
    <w:rsid w:val="00501E78"/>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501E78"/>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501E78"/>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501E78"/>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501E78"/>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501E78"/>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501E78"/>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501E78"/>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501E78"/>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501E78"/>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501E78"/>
    <w:pPr>
      <w:widowControl/>
      <w:numPr>
        <w:numId w:val="22"/>
      </w:numPr>
      <w:tabs>
        <w:tab w:val="clear" w:pos="850"/>
        <w:tab w:val="num" w:pos="360"/>
      </w:tabs>
      <w:spacing w:before="120" w:after="120"/>
      <w:ind w:left="360" w:hanging="360"/>
      <w:jc w:val="both"/>
    </w:pPr>
    <w:rPr>
      <w:rFonts w:eastAsia="Calibri"/>
      <w:szCs w:val="22"/>
      <w:lang w:eastAsia="en-US"/>
    </w:rPr>
  </w:style>
  <w:style w:type="paragraph" w:customStyle="1" w:styleId="NumPar2">
    <w:name w:val="NumPar 2"/>
    <w:basedOn w:val="Normal"/>
    <w:next w:val="Text1"/>
    <w:rsid w:val="00501E78"/>
    <w:pPr>
      <w:widowControl/>
      <w:numPr>
        <w:ilvl w:val="1"/>
        <w:numId w:val="22"/>
      </w:numPr>
      <w:tabs>
        <w:tab w:val="clear" w:pos="850"/>
        <w:tab w:val="num" w:pos="792"/>
      </w:tabs>
      <w:spacing w:before="120" w:after="120"/>
      <w:ind w:left="792" w:hanging="792"/>
      <w:jc w:val="both"/>
    </w:pPr>
    <w:rPr>
      <w:rFonts w:eastAsia="Calibri"/>
      <w:szCs w:val="22"/>
      <w:lang w:eastAsia="en-US"/>
    </w:rPr>
  </w:style>
  <w:style w:type="paragraph" w:customStyle="1" w:styleId="NumPar3">
    <w:name w:val="NumPar 3"/>
    <w:basedOn w:val="Normal"/>
    <w:next w:val="Text1"/>
    <w:rsid w:val="00501E78"/>
    <w:pPr>
      <w:widowControl/>
      <w:numPr>
        <w:ilvl w:val="2"/>
        <w:numId w:val="22"/>
      </w:numPr>
      <w:tabs>
        <w:tab w:val="clear" w:pos="850"/>
        <w:tab w:val="num" w:pos="1224"/>
      </w:tabs>
      <w:spacing w:before="120" w:after="120"/>
      <w:ind w:left="1224" w:hanging="1224"/>
      <w:jc w:val="both"/>
    </w:pPr>
    <w:rPr>
      <w:rFonts w:eastAsia="Calibri"/>
      <w:szCs w:val="22"/>
      <w:lang w:eastAsia="en-US"/>
    </w:rPr>
  </w:style>
  <w:style w:type="paragraph" w:customStyle="1" w:styleId="NumPar4">
    <w:name w:val="NumPar 4"/>
    <w:basedOn w:val="Normal"/>
    <w:next w:val="Text1"/>
    <w:rsid w:val="00501E78"/>
    <w:pPr>
      <w:widowControl/>
      <w:numPr>
        <w:ilvl w:val="3"/>
        <w:numId w:val="22"/>
      </w:numPr>
      <w:tabs>
        <w:tab w:val="clear" w:pos="850"/>
        <w:tab w:val="num" w:pos="1728"/>
      </w:tabs>
      <w:spacing w:before="120" w:after="120"/>
      <w:ind w:left="1728" w:hanging="1728"/>
      <w:jc w:val="both"/>
    </w:pPr>
    <w:rPr>
      <w:rFonts w:eastAsia="Calibri"/>
      <w:szCs w:val="22"/>
      <w:lang w:eastAsia="en-US"/>
    </w:rPr>
  </w:style>
  <w:style w:type="paragraph" w:customStyle="1" w:styleId="NumPar5">
    <w:name w:val="NumPar 5"/>
    <w:basedOn w:val="Normal"/>
    <w:next w:val="Text2"/>
    <w:rsid w:val="00501E78"/>
    <w:pPr>
      <w:widowControl/>
      <w:numPr>
        <w:ilvl w:val="4"/>
        <w:numId w:val="22"/>
      </w:numPr>
      <w:tabs>
        <w:tab w:val="clear" w:pos="1417"/>
        <w:tab w:val="num" w:pos="2232"/>
      </w:tabs>
      <w:spacing w:before="120" w:after="120"/>
      <w:ind w:left="2232" w:hanging="2232"/>
      <w:jc w:val="both"/>
    </w:pPr>
    <w:rPr>
      <w:rFonts w:eastAsia="Calibri"/>
      <w:szCs w:val="22"/>
      <w:lang w:eastAsia="en-US"/>
    </w:rPr>
  </w:style>
  <w:style w:type="paragraph" w:customStyle="1" w:styleId="NumPar6">
    <w:name w:val="NumPar 6"/>
    <w:basedOn w:val="Normal"/>
    <w:next w:val="Text2"/>
    <w:rsid w:val="00501E78"/>
    <w:pPr>
      <w:widowControl/>
      <w:numPr>
        <w:ilvl w:val="5"/>
        <w:numId w:val="22"/>
      </w:numPr>
      <w:tabs>
        <w:tab w:val="clear" w:pos="1417"/>
        <w:tab w:val="num" w:pos="2736"/>
      </w:tabs>
      <w:spacing w:before="120" w:after="120"/>
      <w:ind w:left="2736" w:hanging="2736"/>
      <w:jc w:val="both"/>
    </w:pPr>
    <w:rPr>
      <w:rFonts w:eastAsia="Calibri"/>
      <w:szCs w:val="22"/>
      <w:lang w:eastAsia="en-US"/>
    </w:rPr>
  </w:style>
  <w:style w:type="paragraph" w:customStyle="1" w:styleId="NumPar7">
    <w:name w:val="NumPar 7"/>
    <w:basedOn w:val="Normal"/>
    <w:next w:val="Text2"/>
    <w:rsid w:val="00501E78"/>
    <w:pPr>
      <w:widowControl/>
      <w:numPr>
        <w:ilvl w:val="6"/>
        <w:numId w:val="22"/>
      </w:numPr>
      <w:tabs>
        <w:tab w:val="clear" w:pos="1417"/>
        <w:tab w:val="num" w:pos="3240"/>
      </w:tabs>
      <w:spacing w:before="120" w:after="120"/>
      <w:ind w:left="3240" w:hanging="3240"/>
      <w:jc w:val="both"/>
    </w:pPr>
    <w:rPr>
      <w:rFonts w:eastAsia="Calibri"/>
      <w:szCs w:val="22"/>
      <w:lang w:eastAsia="en-US"/>
    </w:rPr>
  </w:style>
  <w:style w:type="paragraph" w:customStyle="1" w:styleId="ManualNumPar1">
    <w:name w:val="Manual NumPar 1"/>
    <w:basedOn w:val="Normal"/>
    <w:next w:val="Text1"/>
    <w:rsid w:val="00501E78"/>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501E78"/>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501E78"/>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501E78"/>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501E78"/>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501E78"/>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501E78"/>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501E78"/>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501E78"/>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501E78"/>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501E78"/>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501E78"/>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501E78"/>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501E78"/>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501E78"/>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501E78"/>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501E78"/>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501E78"/>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501E78"/>
    <w:pPr>
      <w:widowControl/>
      <w:spacing w:before="120" w:after="120"/>
      <w:jc w:val="center"/>
    </w:pPr>
    <w:rPr>
      <w:rFonts w:eastAsia="Calibri"/>
      <w:b/>
      <w:szCs w:val="22"/>
      <w:lang w:eastAsia="en-US"/>
    </w:rPr>
  </w:style>
  <w:style w:type="character" w:customStyle="1" w:styleId="Marker">
    <w:name w:val="Marker"/>
    <w:basedOn w:val="DefaultParagraphFont"/>
    <w:rsid w:val="00501E78"/>
    <w:rPr>
      <w:color w:val="0000FF"/>
      <w:shd w:val="clear" w:color="auto" w:fill="auto"/>
    </w:rPr>
  </w:style>
  <w:style w:type="character" w:customStyle="1" w:styleId="Marker1">
    <w:name w:val="Marker1"/>
    <w:basedOn w:val="DefaultParagraphFont"/>
    <w:rsid w:val="00501E78"/>
    <w:rPr>
      <w:color w:val="008000"/>
      <w:shd w:val="clear" w:color="auto" w:fill="auto"/>
    </w:rPr>
  </w:style>
  <w:style w:type="character" w:customStyle="1" w:styleId="Marker2">
    <w:name w:val="Marker2"/>
    <w:basedOn w:val="DefaultParagraphFont"/>
    <w:rsid w:val="00501E78"/>
    <w:rPr>
      <w:color w:val="FF0000"/>
      <w:shd w:val="clear" w:color="auto" w:fill="auto"/>
    </w:rPr>
  </w:style>
  <w:style w:type="paragraph" w:customStyle="1" w:styleId="Bullet0">
    <w:name w:val="Bullet 0"/>
    <w:basedOn w:val="Normal"/>
    <w:rsid w:val="00501E78"/>
    <w:pPr>
      <w:widowControl/>
      <w:numPr>
        <w:numId w:val="23"/>
      </w:numPr>
      <w:tabs>
        <w:tab w:val="clear" w:pos="850"/>
        <w:tab w:val="num" w:pos="360"/>
      </w:tabs>
      <w:spacing w:before="120" w:after="120"/>
      <w:ind w:left="360" w:hanging="360"/>
      <w:jc w:val="both"/>
    </w:pPr>
    <w:rPr>
      <w:rFonts w:eastAsia="Calibri"/>
      <w:szCs w:val="22"/>
      <w:lang w:eastAsia="en-US"/>
    </w:rPr>
  </w:style>
  <w:style w:type="paragraph" w:customStyle="1" w:styleId="Bullet1">
    <w:name w:val="Bullet 1"/>
    <w:basedOn w:val="Normal"/>
    <w:rsid w:val="00501E78"/>
    <w:pPr>
      <w:widowControl/>
      <w:numPr>
        <w:numId w:val="24"/>
      </w:numPr>
      <w:tabs>
        <w:tab w:val="clear" w:pos="1417"/>
        <w:tab w:val="num" w:pos="850"/>
      </w:tabs>
      <w:spacing w:before="120" w:after="120"/>
      <w:ind w:left="850" w:hanging="850"/>
      <w:jc w:val="both"/>
    </w:pPr>
    <w:rPr>
      <w:rFonts w:eastAsia="Calibri"/>
      <w:szCs w:val="22"/>
      <w:lang w:eastAsia="en-US"/>
    </w:rPr>
  </w:style>
  <w:style w:type="paragraph" w:customStyle="1" w:styleId="Bullet2">
    <w:name w:val="Bullet 2"/>
    <w:basedOn w:val="Normal"/>
    <w:rsid w:val="00501E78"/>
    <w:pPr>
      <w:widowControl/>
      <w:numPr>
        <w:numId w:val="25"/>
      </w:numPr>
      <w:tabs>
        <w:tab w:val="clear" w:pos="1984"/>
        <w:tab w:val="num" w:pos="1134"/>
      </w:tabs>
      <w:spacing w:before="120" w:after="120"/>
      <w:ind w:left="1134" w:hanging="283"/>
      <w:jc w:val="both"/>
    </w:pPr>
    <w:rPr>
      <w:rFonts w:eastAsia="Calibri"/>
      <w:szCs w:val="22"/>
      <w:lang w:eastAsia="en-US"/>
    </w:rPr>
  </w:style>
  <w:style w:type="paragraph" w:customStyle="1" w:styleId="Bullet3">
    <w:name w:val="Bullet 3"/>
    <w:basedOn w:val="Normal"/>
    <w:rsid w:val="00501E78"/>
    <w:pPr>
      <w:widowControl/>
      <w:numPr>
        <w:numId w:val="26"/>
      </w:numPr>
      <w:tabs>
        <w:tab w:val="clear" w:pos="2551"/>
        <w:tab w:val="num" w:pos="283"/>
      </w:tabs>
      <w:spacing w:before="120" w:after="120"/>
      <w:ind w:left="283" w:hanging="283"/>
      <w:jc w:val="both"/>
    </w:pPr>
    <w:rPr>
      <w:rFonts w:eastAsia="Calibri"/>
      <w:szCs w:val="22"/>
      <w:lang w:eastAsia="en-US"/>
    </w:rPr>
  </w:style>
  <w:style w:type="paragraph" w:customStyle="1" w:styleId="Bullet4">
    <w:name w:val="Bullet 4"/>
    <w:basedOn w:val="Normal"/>
    <w:rsid w:val="00501E78"/>
    <w:pPr>
      <w:widowControl/>
      <w:numPr>
        <w:numId w:val="27"/>
      </w:numPr>
      <w:tabs>
        <w:tab w:val="clear" w:pos="3118"/>
        <w:tab w:val="num" w:pos="1134"/>
      </w:tabs>
      <w:spacing w:before="120" w:after="120"/>
      <w:ind w:left="1134" w:hanging="283"/>
      <w:jc w:val="both"/>
    </w:pPr>
    <w:rPr>
      <w:rFonts w:eastAsia="Calibri"/>
      <w:szCs w:val="22"/>
      <w:lang w:eastAsia="en-US"/>
    </w:rPr>
  </w:style>
  <w:style w:type="paragraph" w:customStyle="1" w:styleId="Langue">
    <w:name w:val="Langue"/>
    <w:basedOn w:val="Normal"/>
    <w:next w:val="Rfrenceinterne"/>
    <w:rsid w:val="00501E78"/>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501E78"/>
    <w:pPr>
      <w:widowControl/>
    </w:pPr>
    <w:rPr>
      <w:rFonts w:ascii="Arial" w:eastAsia="Calibri" w:hAnsi="Arial" w:cs="Arial"/>
      <w:szCs w:val="22"/>
      <w:lang w:eastAsia="en-US"/>
    </w:rPr>
  </w:style>
  <w:style w:type="paragraph" w:customStyle="1" w:styleId="Emission">
    <w:name w:val="Emission"/>
    <w:basedOn w:val="Normal"/>
    <w:next w:val="Rfrenceinstitutionnelle"/>
    <w:rsid w:val="00501E78"/>
    <w:pPr>
      <w:widowControl/>
      <w:ind w:left="5103"/>
    </w:pPr>
    <w:rPr>
      <w:rFonts w:eastAsia="Calibri"/>
      <w:szCs w:val="22"/>
      <w:lang w:eastAsia="en-US"/>
    </w:rPr>
  </w:style>
  <w:style w:type="paragraph" w:customStyle="1" w:styleId="Pagedecouverture">
    <w:name w:val="Page de couverture"/>
    <w:basedOn w:val="Normal"/>
    <w:next w:val="Normal"/>
    <w:rsid w:val="00501E78"/>
    <w:pPr>
      <w:widowControl/>
      <w:jc w:val="both"/>
    </w:pPr>
    <w:rPr>
      <w:rFonts w:eastAsia="Calibri"/>
      <w:szCs w:val="22"/>
      <w:lang w:eastAsia="en-US"/>
    </w:rPr>
  </w:style>
  <w:style w:type="paragraph" w:customStyle="1" w:styleId="Declassification">
    <w:name w:val="Declassification"/>
    <w:basedOn w:val="Normal"/>
    <w:next w:val="Normal"/>
    <w:rsid w:val="00501E78"/>
    <w:pPr>
      <w:widowControl/>
      <w:jc w:val="both"/>
    </w:pPr>
    <w:rPr>
      <w:rFonts w:eastAsia="Calibri"/>
      <w:szCs w:val="22"/>
      <w:lang w:eastAsia="en-US"/>
    </w:rPr>
  </w:style>
  <w:style w:type="paragraph" w:customStyle="1" w:styleId="Disclaimer">
    <w:name w:val="Disclaimer"/>
    <w:basedOn w:val="Normal"/>
    <w:rsid w:val="00501E7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501E78"/>
    <w:pPr>
      <w:widowControl/>
      <w:spacing w:line="276" w:lineRule="auto"/>
      <w:ind w:left="5103"/>
    </w:pPr>
    <w:rPr>
      <w:rFonts w:eastAsia="Calibri"/>
      <w:sz w:val="28"/>
      <w:szCs w:val="22"/>
      <w:lang w:eastAsia="en-US"/>
    </w:rPr>
  </w:style>
  <w:style w:type="paragraph" w:customStyle="1" w:styleId="DateMarking">
    <w:name w:val="DateMarking"/>
    <w:basedOn w:val="Normal"/>
    <w:rsid w:val="00501E78"/>
    <w:pPr>
      <w:widowControl/>
      <w:spacing w:line="276" w:lineRule="auto"/>
      <w:ind w:left="5103"/>
    </w:pPr>
    <w:rPr>
      <w:rFonts w:eastAsia="Calibri"/>
      <w:i/>
      <w:sz w:val="28"/>
      <w:szCs w:val="22"/>
      <w:lang w:eastAsia="en-US"/>
    </w:rPr>
  </w:style>
  <w:style w:type="paragraph" w:customStyle="1" w:styleId="ReleasableTo">
    <w:name w:val="ReleasableTo"/>
    <w:basedOn w:val="Normal"/>
    <w:rsid w:val="00501E78"/>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501E78"/>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501E78"/>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501E78"/>
    <w:pPr>
      <w:widowControl/>
      <w:spacing w:before="120" w:after="120"/>
      <w:jc w:val="center"/>
    </w:pPr>
    <w:rPr>
      <w:rFonts w:eastAsia="Calibri"/>
      <w:b/>
      <w:szCs w:val="22"/>
      <w:u w:val="single"/>
      <w:lang w:eastAsia="en-US"/>
    </w:rPr>
  </w:style>
  <w:style w:type="paragraph" w:customStyle="1" w:styleId="Avertissementtitre">
    <w:name w:val="Avertissement titre"/>
    <w:basedOn w:val="Normal"/>
    <w:next w:val="Normal"/>
    <w:rsid w:val="00501E78"/>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501E78"/>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501E78"/>
    <w:pPr>
      <w:widowControl/>
      <w:spacing w:before="240" w:after="240"/>
      <w:ind w:left="5103"/>
    </w:pPr>
    <w:rPr>
      <w:rFonts w:eastAsia="Calibri"/>
      <w:i/>
      <w:sz w:val="32"/>
      <w:szCs w:val="22"/>
      <w:lang w:eastAsia="en-US"/>
    </w:rPr>
  </w:style>
  <w:style w:type="paragraph" w:customStyle="1" w:styleId="Corrigendum">
    <w:name w:val="Corrigendum"/>
    <w:basedOn w:val="Normal"/>
    <w:next w:val="Normal"/>
    <w:rsid w:val="00501E78"/>
    <w:pPr>
      <w:widowControl/>
      <w:spacing w:after="240"/>
    </w:pPr>
    <w:rPr>
      <w:rFonts w:eastAsia="Calibri"/>
      <w:szCs w:val="22"/>
      <w:lang w:eastAsia="en-US"/>
    </w:rPr>
  </w:style>
  <w:style w:type="paragraph" w:customStyle="1" w:styleId="Datedadoption">
    <w:name w:val="Date d'adoption"/>
    <w:basedOn w:val="Normal"/>
    <w:next w:val="IntrtEEE"/>
    <w:rsid w:val="00501E78"/>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501E78"/>
    <w:pPr>
      <w:widowControl/>
      <w:spacing w:before="120" w:after="120"/>
      <w:jc w:val="center"/>
    </w:pPr>
    <w:rPr>
      <w:rFonts w:eastAsia="Calibri"/>
      <w:b/>
      <w:szCs w:val="22"/>
      <w:u w:val="single"/>
      <w:lang w:eastAsia="en-US"/>
    </w:rPr>
  </w:style>
  <w:style w:type="paragraph" w:customStyle="1" w:styleId="ManualConsidrant">
    <w:name w:val="Manual Considérant"/>
    <w:basedOn w:val="Normal"/>
    <w:rsid w:val="00501E78"/>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501E78"/>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501E78"/>
    <w:pPr>
      <w:widowControl/>
      <w:ind w:left="5103"/>
    </w:pPr>
    <w:rPr>
      <w:rFonts w:eastAsia="Calibri"/>
      <w:szCs w:val="22"/>
      <w:lang w:eastAsia="en-US"/>
    </w:rPr>
  </w:style>
  <w:style w:type="paragraph" w:customStyle="1" w:styleId="Rfrenceinterne">
    <w:name w:val="Référence interne"/>
    <w:basedOn w:val="Normal"/>
    <w:next w:val="Rfrenceinterinstitutionnelle"/>
    <w:rsid w:val="00501E78"/>
    <w:pPr>
      <w:widowControl/>
      <w:ind w:left="5103"/>
    </w:pPr>
    <w:rPr>
      <w:rFonts w:eastAsia="Calibri"/>
      <w:szCs w:val="22"/>
      <w:lang w:eastAsia="en-US"/>
    </w:rPr>
  </w:style>
  <w:style w:type="paragraph" w:customStyle="1" w:styleId="Titrearticle">
    <w:name w:val="Titre article"/>
    <w:basedOn w:val="Normal"/>
    <w:next w:val="Normal"/>
    <w:rsid w:val="00501E78"/>
    <w:pPr>
      <w:keepNext/>
      <w:widowControl/>
      <w:spacing w:before="360" w:after="120"/>
      <w:jc w:val="center"/>
    </w:pPr>
    <w:rPr>
      <w:rFonts w:eastAsia="Calibri"/>
      <w:i/>
      <w:szCs w:val="22"/>
      <w:lang w:eastAsia="en-US"/>
    </w:rPr>
  </w:style>
  <w:style w:type="character" w:customStyle="1" w:styleId="Added">
    <w:name w:val="Added"/>
    <w:basedOn w:val="DefaultParagraphFont"/>
    <w:rsid w:val="00501E78"/>
    <w:rPr>
      <w:b/>
      <w:u w:val="single"/>
      <w:shd w:val="clear" w:color="auto" w:fill="auto"/>
    </w:rPr>
  </w:style>
  <w:style w:type="character" w:customStyle="1" w:styleId="Deleted">
    <w:name w:val="Deleted"/>
    <w:basedOn w:val="DefaultParagraphFont"/>
    <w:rsid w:val="00501E78"/>
    <w:rPr>
      <w:strike/>
      <w:dstrike w:val="0"/>
      <w:shd w:val="clear" w:color="auto" w:fill="auto"/>
    </w:rPr>
  </w:style>
  <w:style w:type="paragraph" w:customStyle="1" w:styleId="Address">
    <w:name w:val="Address"/>
    <w:basedOn w:val="Normal"/>
    <w:next w:val="Normal"/>
    <w:rsid w:val="00501E78"/>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501E78"/>
    <w:pPr>
      <w:widowControl/>
      <w:spacing w:before="120" w:after="120"/>
      <w:jc w:val="both"/>
    </w:pPr>
    <w:rPr>
      <w:rFonts w:eastAsia="Calibri"/>
      <w:i/>
      <w:caps/>
      <w:szCs w:val="22"/>
      <w:lang w:eastAsia="en-US"/>
    </w:rPr>
  </w:style>
  <w:style w:type="paragraph" w:customStyle="1" w:styleId="Supertitre">
    <w:name w:val="Supertitre"/>
    <w:basedOn w:val="Normal"/>
    <w:next w:val="Normal"/>
    <w:rsid w:val="00501E78"/>
    <w:pPr>
      <w:widowControl/>
      <w:spacing w:after="600"/>
      <w:jc w:val="center"/>
    </w:pPr>
    <w:rPr>
      <w:rFonts w:eastAsia="Calibri"/>
      <w:b/>
      <w:szCs w:val="22"/>
      <w:lang w:eastAsia="en-US"/>
    </w:rPr>
  </w:style>
  <w:style w:type="paragraph" w:customStyle="1" w:styleId="Languesfaisantfoi">
    <w:name w:val="Langues faisant foi"/>
    <w:basedOn w:val="Normal"/>
    <w:next w:val="Normal"/>
    <w:rsid w:val="00501E78"/>
    <w:pPr>
      <w:widowControl/>
      <w:spacing w:before="360"/>
      <w:jc w:val="center"/>
    </w:pPr>
    <w:rPr>
      <w:rFonts w:eastAsia="Calibri"/>
      <w:szCs w:val="22"/>
      <w:lang w:eastAsia="en-US"/>
    </w:rPr>
  </w:style>
  <w:style w:type="paragraph" w:customStyle="1" w:styleId="Rfrencecroise">
    <w:name w:val="Référence croisée"/>
    <w:basedOn w:val="Normal"/>
    <w:rsid w:val="00501E78"/>
    <w:pPr>
      <w:widowControl/>
      <w:jc w:val="center"/>
    </w:pPr>
    <w:rPr>
      <w:rFonts w:eastAsia="Calibri"/>
      <w:szCs w:val="22"/>
      <w:lang w:eastAsia="en-US"/>
    </w:rPr>
  </w:style>
  <w:style w:type="paragraph" w:customStyle="1" w:styleId="Fichefinanciretitre">
    <w:name w:val="Fiche financière titre"/>
    <w:basedOn w:val="Normal"/>
    <w:next w:val="Normal"/>
    <w:rsid w:val="00501E78"/>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501E78"/>
  </w:style>
  <w:style w:type="paragraph" w:customStyle="1" w:styleId="RfrenceinterinstitutionnellePagedecouverture">
    <w:name w:val="Référence interinstitutionnelle (Page de couverture)"/>
    <w:basedOn w:val="Rfrenceinterinstitutionnelle"/>
    <w:next w:val="Confidentialit"/>
    <w:rsid w:val="00501E78"/>
  </w:style>
  <w:style w:type="paragraph" w:customStyle="1" w:styleId="StatutPagedecouverture">
    <w:name w:val="Statut (Page de couverture)"/>
    <w:basedOn w:val="Statut"/>
    <w:next w:val="TypedudocumentPagedecouverture"/>
    <w:rsid w:val="00501E78"/>
    <w:pPr>
      <w:spacing w:before="0" w:after="240" w:line="240" w:lineRule="auto"/>
    </w:pPr>
    <w:rPr>
      <w:rFonts w:eastAsia="Calibri"/>
      <w:szCs w:val="22"/>
      <w:lang w:val="bg-BG"/>
    </w:rPr>
  </w:style>
  <w:style w:type="paragraph" w:customStyle="1" w:styleId="TypedudocumentPagedecouverture">
    <w:name w:val="Type du document (Page de couverture)"/>
    <w:basedOn w:val="Typedudocument"/>
    <w:next w:val="AccompagnantPagedecouverture"/>
    <w:rsid w:val="00501E78"/>
    <w:pPr>
      <w:spacing w:after="180" w:line="240" w:lineRule="auto"/>
    </w:pPr>
    <w:rPr>
      <w:rFonts w:eastAsia="Calibri"/>
      <w:szCs w:val="22"/>
      <w:lang w:val="bg-BG"/>
    </w:rPr>
  </w:style>
  <w:style w:type="paragraph" w:customStyle="1" w:styleId="Volume">
    <w:name w:val="Volume"/>
    <w:basedOn w:val="Normal"/>
    <w:next w:val="Confidentialit"/>
    <w:rsid w:val="00501E78"/>
    <w:pPr>
      <w:widowControl/>
      <w:spacing w:after="240"/>
      <w:ind w:left="5103"/>
    </w:pPr>
    <w:rPr>
      <w:rFonts w:eastAsia="Calibri"/>
      <w:szCs w:val="22"/>
      <w:lang w:eastAsia="en-US"/>
    </w:rPr>
  </w:style>
  <w:style w:type="paragraph" w:customStyle="1" w:styleId="Accompagnant">
    <w:name w:val="Accompagnant"/>
    <w:basedOn w:val="Normal"/>
    <w:next w:val="Typeacteprincipal"/>
    <w:rsid w:val="00501E78"/>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501E78"/>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501E78"/>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501E78"/>
    <w:pPr>
      <w:spacing w:line="240" w:lineRule="auto"/>
    </w:pPr>
    <w:rPr>
      <w:rFonts w:eastAsia="Calibri"/>
      <w:szCs w:val="22"/>
      <w:lang w:val="bg-BG"/>
    </w:rPr>
  </w:style>
  <w:style w:type="paragraph" w:customStyle="1" w:styleId="AccompagnantPagedecouverture">
    <w:name w:val="Accompagnant (Page de couverture)"/>
    <w:basedOn w:val="Accompagnant"/>
    <w:next w:val="TypeacteprincipalPagedecouverture"/>
    <w:rsid w:val="00501E78"/>
  </w:style>
  <w:style w:type="paragraph" w:customStyle="1" w:styleId="TypeacteprincipalPagedecouverture">
    <w:name w:val="Type acte principal (Page de couverture)"/>
    <w:basedOn w:val="Typeacteprincipal"/>
    <w:next w:val="ObjetacteprincipalPagedecouverture"/>
    <w:rsid w:val="00501E78"/>
  </w:style>
  <w:style w:type="paragraph" w:customStyle="1" w:styleId="ObjetacteprincipalPagedecouverture">
    <w:name w:val="Objet acte principal (Page de couverture)"/>
    <w:basedOn w:val="Objetacteprincipal"/>
    <w:next w:val="Rfrencecroise"/>
    <w:rsid w:val="00501E78"/>
  </w:style>
  <w:style w:type="paragraph" w:customStyle="1" w:styleId="LanguesfaisantfoiPagedecouverture">
    <w:name w:val="Langues faisant foi (Page de couverture)"/>
    <w:basedOn w:val="Normal"/>
    <w:next w:val="Normal"/>
    <w:rsid w:val="00501E78"/>
    <w:pPr>
      <w:widowControl/>
      <w:spacing w:before="360"/>
      <w:jc w:val="center"/>
    </w:pPr>
    <w:rPr>
      <w:rFonts w:eastAsia="Calibri"/>
      <w:szCs w:val="22"/>
      <w:lang w:eastAsia="en-US"/>
    </w:rPr>
  </w:style>
  <w:style w:type="table" w:styleId="PlainTable1">
    <w:name w:val="Plain Table 1"/>
    <w:basedOn w:val="TableNormal"/>
    <w:uiPriority w:val="41"/>
    <w:rsid w:val="00501E7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501E7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5">
    <w:name w:val="Plain Table 5"/>
    <w:basedOn w:val="TableNormal"/>
    <w:uiPriority w:val="45"/>
    <w:rsid w:val="00501E7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5">
    <w:name w:val="Table Grid5"/>
    <w:basedOn w:val="TableNormal"/>
    <w:next w:val="TableGrid"/>
    <w:uiPriority w:val="59"/>
    <w:rsid w:val="00501E7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6FF9DE-792A-45F3-A50F-98F1B5FF0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216</Pages>
  <Words>30055</Words>
  <Characters>175275</Characters>
  <Application>Microsoft Office Word</Application>
  <DocSecurity>0</DocSecurity>
  <Lines>1460</Lines>
  <Paragraphs>409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Maria Minkova</dc:creator>
  <cp:keywords/>
  <cp:lastModifiedBy>LUKSITE Marija</cp:lastModifiedBy>
  <cp:revision>2</cp:revision>
  <cp:lastPrinted>2004-11-19T15:42:00Z</cp:lastPrinted>
  <dcterms:created xsi:type="dcterms:W3CDTF">2024-10-17T08:29:00Z</dcterms:created>
  <dcterms:modified xsi:type="dcterms:W3CDTF">2024-10-17T08:29:00Z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A9-0238/2023</vt:lpwstr>
  </property>
  <property fmtid="{D5CDD505-2E9C-101B-9397-08002B2CF9AE}" pid="4" name="&lt;Type&gt;">
    <vt:lpwstr>RR</vt:lpwstr>
  </property>
</Properties>
</file>