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3250" w14:paraId="1732F6F1" w14:textId="77777777" w:rsidTr="0010095E">
        <w:trPr>
          <w:trHeight w:hRule="exact" w:val="1418"/>
        </w:trPr>
        <w:tc>
          <w:tcPr>
            <w:tcW w:w="6804" w:type="dxa"/>
            <w:shd w:val="clear" w:color="auto" w:fill="auto"/>
            <w:vAlign w:val="center"/>
          </w:tcPr>
          <w:p w14:paraId="36BA0E30" w14:textId="77777777" w:rsidR="00751A4A" w:rsidRPr="00393250" w:rsidRDefault="00B2162B" w:rsidP="0010095E">
            <w:pPr>
              <w:pStyle w:val="EPName"/>
            </w:pPr>
            <w:r w:rsidRPr="00393250">
              <w:t>Europa-Parlamentet</w:t>
            </w:r>
          </w:p>
          <w:p w14:paraId="1ABF0DDF" w14:textId="77777777" w:rsidR="00751A4A" w:rsidRPr="00393250" w:rsidRDefault="00817416" w:rsidP="00756632">
            <w:pPr>
              <w:pStyle w:val="EPTerm"/>
              <w:rPr>
                <w:rStyle w:val="HideTWBExt"/>
                <w:noProof w:val="0"/>
                <w:vanish w:val="0"/>
                <w:color w:val="auto"/>
              </w:rPr>
            </w:pPr>
            <w:r w:rsidRPr="00393250">
              <w:t>2019-2024</w:t>
            </w:r>
          </w:p>
        </w:tc>
        <w:tc>
          <w:tcPr>
            <w:tcW w:w="2268" w:type="dxa"/>
            <w:shd w:val="clear" w:color="auto" w:fill="auto"/>
          </w:tcPr>
          <w:p w14:paraId="2E83F3F6" w14:textId="77777777" w:rsidR="00751A4A" w:rsidRPr="00393250" w:rsidRDefault="00187494" w:rsidP="0010095E">
            <w:pPr>
              <w:pStyle w:val="EPLogo"/>
            </w:pPr>
            <w:r w:rsidRPr="00393250">
              <w:rPr>
                <w:noProof/>
                <w:lang w:val="en-GB"/>
              </w:rPr>
              <w:drawing>
                <wp:inline distT="0" distB="0" distL="0" distR="0" wp14:anchorId="36518AA1" wp14:editId="71400D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383579" w14:textId="77777777" w:rsidR="00D058B8" w:rsidRPr="00393250" w:rsidRDefault="00D058B8" w:rsidP="004C5D52">
      <w:pPr>
        <w:pStyle w:val="LineTop"/>
      </w:pPr>
    </w:p>
    <w:p w14:paraId="1C682618" w14:textId="77777777" w:rsidR="00680577" w:rsidRPr="00393250" w:rsidRDefault="00B2162B" w:rsidP="00680577">
      <w:pPr>
        <w:pStyle w:val="EPBodyTA1"/>
      </w:pPr>
      <w:r w:rsidRPr="00393250">
        <w:t>VEDTAGNE TEKSTER</w:t>
      </w:r>
    </w:p>
    <w:p w14:paraId="628A36F7" w14:textId="77777777" w:rsidR="00D058B8" w:rsidRPr="00393250" w:rsidRDefault="00D058B8" w:rsidP="00D058B8">
      <w:pPr>
        <w:pStyle w:val="LineBottom"/>
      </w:pPr>
    </w:p>
    <w:p w14:paraId="6B6B902C" w14:textId="67EE3028" w:rsidR="00B2162B" w:rsidRPr="00393250" w:rsidRDefault="00B2162B" w:rsidP="00B2162B">
      <w:pPr>
        <w:pStyle w:val="ATHeading1"/>
      </w:pPr>
      <w:bookmarkStart w:id="0" w:name="TANumber"/>
      <w:r w:rsidRPr="00393250">
        <w:t>P9_TA(202</w:t>
      </w:r>
      <w:r w:rsidR="00110B7E" w:rsidRPr="00393250">
        <w:t>4</w:t>
      </w:r>
      <w:r w:rsidRPr="00393250">
        <w:t>)0</w:t>
      </w:r>
      <w:r w:rsidR="00523330" w:rsidRPr="00393250">
        <w:t>358</w:t>
      </w:r>
      <w:bookmarkEnd w:id="0"/>
    </w:p>
    <w:p w14:paraId="1886DE26" w14:textId="77777777" w:rsidR="00B2162B" w:rsidRPr="00393250" w:rsidRDefault="00B2162B" w:rsidP="00B2162B">
      <w:pPr>
        <w:pStyle w:val="ATHeading2"/>
      </w:pPr>
      <w:bookmarkStart w:id="1" w:name="title"/>
      <w:r w:rsidRPr="00393250">
        <w:t>Forurenende stoffer i overfladevand og grundvand</w:t>
      </w:r>
      <w:bookmarkEnd w:id="1"/>
    </w:p>
    <w:p w14:paraId="09051C85" w14:textId="77777777" w:rsidR="00B2162B" w:rsidRPr="00393250" w:rsidRDefault="00B2162B" w:rsidP="00B2162B">
      <w:pPr>
        <w:rPr>
          <w:i/>
          <w:vanish/>
        </w:rPr>
      </w:pPr>
      <w:r w:rsidRPr="00393250">
        <w:rPr>
          <w:i/>
        </w:rPr>
        <w:fldChar w:fldCharType="begin"/>
      </w:r>
      <w:r w:rsidRPr="00393250">
        <w:rPr>
          <w:i/>
        </w:rPr>
        <w:instrText xml:space="preserve"> TC"(</w:instrText>
      </w:r>
      <w:bookmarkStart w:id="2" w:name="DocNumber"/>
      <w:r w:rsidRPr="00393250">
        <w:rPr>
          <w:i/>
        </w:rPr>
        <w:instrText>A9-0238/2023</w:instrText>
      </w:r>
      <w:bookmarkEnd w:id="2"/>
      <w:r w:rsidRPr="00393250">
        <w:rPr>
          <w:i/>
        </w:rPr>
        <w:instrText xml:space="preserve"> - Ordfører: Milan Brglez)"\l3 \n&gt; \* MERGEFORMAT </w:instrText>
      </w:r>
      <w:r w:rsidRPr="00393250">
        <w:rPr>
          <w:i/>
        </w:rPr>
        <w:fldChar w:fldCharType="end"/>
      </w:r>
    </w:p>
    <w:p w14:paraId="2423BD16" w14:textId="77777777" w:rsidR="00B2162B" w:rsidRPr="00393250" w:rsidRDefault="00B2162B" w:rsidP="00B2162B">
      <w:pPr>
        <w:rPr>
          <w:vanish/>
        </w:rPr>
      </w:pPr>
      <w:bookmarkStart w:id="3" w:name="Commission"/>
      <w:r w:rsidRPr="00393250">
        <w:rPr>
          <w:vanish/>
        </w:rPr>
        <w:t>Udvalget om Miljø, Folkesundhed og Fødevaresikkerhed</w:t>
      </w:r>
      <w:bookmarkEnd w:id="3"/>
    </w:p>
    <w:p w14:paraId="0A19B343" w14:textId="77777777" w:rsidR="00B2162B" w:rsidRPr="00393250" w:rsidRDefault="00B2162B" w:rsidP="00B2162B">
      <w:pPr>
        <w:rPr>
          <w:vanish/>
        </w:rPr>
      </w:pPr>
      <w:bookmarkStart w:id="4" w:name="PE"/>
      <w:r w:rsidRPr="00393250">
        <w:rPr>
          <w:vanish/>
        </w:rPr>
        <w:t>PE740.884</w:t>
      </w:r>
      <w:bookmarkEnd w:id="4"/>
    </w:p>
    <w:p w14:paraId="16FEC2A5" w14:textId="19223F27" w:rsidR="00B2162B" w:rsidRPr="00393250" w:rsidRDefault="005239E9" w:rsidP="00B2162B">
      <w:pPr>
        <w:pStyle w:val="ATHeading3"/>
      </w:pPr>
      <w:bookmarkStart w:id="5" w:name="Sujet"/>
      <w:r w:rsidRPr="00393250">
        <w:t>E</w:t>
      </w:r>
      <w:r w:rsidR="00B2162B" w:rsidRPr="00393250">
        <w:t xml:space="preserve">uropa-Parlamentets lovgivningsmæssige beslutning af </w:t>
      </w:r>
      <w:r w:rsidR="000F0AAE" w:rsidRPr="00393250">
        <w:t>24</w:t>
      </w:r>
      <w:r w:rsidR="00110B7E" w:rsidRPr="00393250">
        <w:t>. april 2024</w:t>
      </w:r>
      <w:r w:rsidR="00B2162B" w:rsidRPr="00393250">
        <w:t xml:space="preserve"> om forslag til Europa-Parlamentets og Rådets direktiv om ændring af direktiv 2000/60/EF om fastlæggelse af en ramme for Fællesskabets vandpolitiske foranstaltninger, direktiv 2006/118/EF om beskyttelse af grundvandet mod forurening og forringelse og direktiv 2008/105/EF om miljøkvalitetskrav inden for vandpolitikken</w:t>
      </w:r>
      <w:bookmarkEnd w:id="5"/>
      <w:r w:rsidR="00B2162B" w:rsidRPr="00393250">
        <w:t xml:space="preserve"> </w:t>
      </w:r>
      <w:bookmarkStart w:id="6" w:name="References"/>
      <w:r w:rsidR="00B2162B" w:rsidRPr="00393250">
        <w:t>(COM(2022)0540 – C9-0361/2022 – 2022/0344(COD))</w:t>
      </w:r>
      <w:bookmarkEnd w:id="6"/>
    </w:p>
    <w:p w14:paraId="6A206324" w14:textId="77777777" w:rsidR="000F6DE2" w:rsidRPr="00393250" w:rsidRDefault="000F6DE2" w:rsidP="000F6DE2">
      <w:pPr>
        <w:pStyle w:val="NormalBold"/>
      </w:pPr>
      <w:bookmarkStart w:id="7" w:name="TextBodyBegin"/>
      <w:bookmarkEnd w:id="7"/>
      <w:r w:rsidRPr="00393250">
        <w:t>(Almindelig lovgivningsprocedure: førstebehandling)</w:t>
      </w:r>
    </w:p>
    <w:p w14:paraId="778845CD" w14:textId="414579F7" w:rsidR="000F6DE2" w:rsidRPr="00393250" w:rsidRDefault="000F6DE2" w:rsidP="000F6DE2">
      <w:pPr>
        <w:pStyle w:val="EPComma"/>
      </w:pPr>
      <w:r w:rsidRPr="00393250">
        <w:rPr>
          <w:i/>
          <w:iCs/>
        </w:rPr>
        <w:t>Europa-Parlamentet</w:t>
      </w:r>
      <w:r w:rsidRPr="00393250">
        <w:t>,</w:t>
      </w:r>
    </w:p>
    <w:p w14:paraId="41EAAEA0" w14:textId="31A49718" w:rsidR="000F6DE2" w:rsidRPr="00393250" w:rsidRDefault="000F6DE2" w:rsidP="000F6DE2">
      <w:pPr>
        <w:spacing w:after="240"/>
        <w:ind w:left="567" w:hanging="567"/>
      </w:pPr>
      <w:r w:rsidRPr="00393250">
        <w:t>–</w:t>
      </w:r>
      <w:r w:rsidRPr="00393250">
        <w:tab/>
        <w:t>der henviser til Kommissionens forslag til Europa-Parlamentet og Rådet (COM(2022)0540),</w:t>
      </w:r>
    </w:p>
    <w:p w14:paraId="633A125B" w14:textId="5214CD41" w:rsidR="000F6DE2" w:rsidRPr="00393250" w:rsidRDefault="000F6DE2" w:rsidP="000F6DE2">
      <w:pPr>
        <w:spacing w:after="240"/>
        <w:ind w:left="567" w:hanging="567"/>
      </w:pPr>
      <w:r w:rsidRPr="00393250">
        <w:t>–</w:t>
      </w:r>
      <w:r w:rsidRPr="00393250">
        <w:tab/>
        <w:t>der henviser til artikel 294, stk. 2, og artikel 192, stk. 1, i traktaten om Den Europæiske Unions funktionsmåde, på grundlag af hvilken Kommissionen har forelagt forslaget for Europa-Parlamentet (C9</w:t>
      </w:r>
      <w:r w:rsidRPr="00393250">
        <w:noBreakHyphen/>
        <w:t>0361/2022),</w:t>
      </w:r>
    </w:p>
    <w:p w14:paraId="45DF0BEB" w14:textId="0EB874D0" w:rsidR="000F6DE2" w:rsidRPr="00393250" w:rsidRDefault="000F6DE2" w:rsidP="000F6DE2">
      <w:pPr>
        <w:spacing w:after="240"/>
        <w:ind w:left="567" w:hanging="567"/>
      </w:pPr>
      <w:r w:rsidRPr="00393250">
        <w:t>–</w:t>
      </w:r>
      <w:r w:rsidRPr="00393250">
        <w:tab/>
        <w:t>der henviser til artikel 294, stk. 3, i traktaten om Den Europæiske Unions funktionsmåde,</w:t>
      </w:r>
    </w:p>
    <w:p w14:paraId="18D90E90" w14:textId="33FAFF5A" w:rsidR="000F6DE2" w:rsidRPr="00393250" w:rsidRDefault="000F6DE2" w:rsidP="000F6DE2">
      <w:pPr>
        <w:spacing w:after="240"/>
        <w:ind w:left="567" w:hanging="567"/>
      </w:pPr>
      <w:r w:rsidRPr="00393250">
        <w:t>–</w:t>
      </w:r>
      <w:r w:rsidRPr="00393250">
        <w:tab/>
        <w:t>der henviser til udtalelse af 22. februar 2023 fra Det Europæiske Økonomiske og Sociale Udvalg</w:t>
      </w:r>
      <w:r w:rsidRPr="00393250">
        <w:rPr>
          <w:vertAlign w:val="superscript"/>
        </w:rPr>
        <w:footnoteReference w:id="1"/>
      </w:r>
      <w:r w:rsidRPr="00393250">
        <w:t>,</w:t>
      </w:r>
    </w:p>
    <w:p w14:paraId="5A107C22" w14:textId="26C94D7D" w:rsidR="000F6DE2" w:rsidRPr="00393250" w:rsidRDefault="000F6DE2" w:rsidP="000F6DE2">
      <w:pPr>
        <w:spacing w:after="240"/>
        <w:ind w:left="567" w:hanging="567"/>
      </w:pPr>
      <w:r w:rsidRPr="00393250">
        <w:t>–</w:t>
      </w:r>
      <w:r w:rsidRPr="00393250">
        <w:tab/>
      </w:r>
      <w:r w:rsidR="00110B7E" w:rsidRPr="00393250">
        <w:t>efter</w:t>
      </w:r>
      <w:r w:rsidRPr="00393250">
        <w:t xml:space="preserve"> høring af Regionsudvalget,</w:t>
      </w:r>
    </w:p>
    <w:p w14:paraId="45770BAD" w14:textId="4CAD18B7" w:rsidR="000F6DE2" w:rsidRPr="00393250" w:rsidRDefault="000F6DE2" w:rsidP="000F6DE2">
      <w:pPr>
        <w:spacing w:after="240"/>
        <w:ind w:left="567" w:hanging="567"/>
      </w:pPr>
      <w:r w:rsidRPr="00393250">
        <w:t>–</w:t>
      </w:r>
      <w:r w:rsidRPr="00393250">
        <w:tab/>
        <w:t>der henviser til forretningsordenens artikel 59,</w:t>
      </w:r>
    </w:p>
    <w:p w14:paraId="0307D833" w14:textId="57C75818" w:rsidR="000F6DE2" w:rsidRPr="00393250" w:rsidRDefault="000F6DE2" w:rsidP="000F6DE2">
      <w:pPr>
        <w:spacing w:after="240"/>
        <w:ind w:left="567" w:hanging="567"/>
      </w:pPr>
      <w:r w:rsidRPr="00393250">
        <w:t>–</w:t>
      </w:r>
      <w:r w:rsidRPr="00393250">
        <w:tab/>
        <w:t>der henviser til udtalelser fra Udvalget om Industri, Forskning og Energi og Udvalget om Landbrug og Udvikling af Landdistrikter,</w:t>
      </w:r>
    </w:p>
    <w:p w14:paraId="5EFDC2AA" w14:textId="05ACB413" w:rsidR="000F6DE2" w:rsidRPr="00393250" w:rsidRDefault="000F6DE2" w:rsidP="000F6DE2">
      <w:pPr>
        <w:spacing w:after="240"/>
        <w:ind w:left="567" w:hanging="567"/>
      </w:pPr>
      <w:r w:rsidRPr="00393250">
        <w:t>–</w:t>
      </w:r>
      <w:r w:rsidRPr="00393250">
        <w:tab/>
        <w:t>der henviser til betænkning fra Udvalget om Miljø, Folkesundhed og Fødevaresikkerhed (A9-0238/2023),</w:t>
      </w:r>
    </w:p>
    <w:p w14:paraId="4821DF0F" w14:textId="18745DF3" w:rsidR="000F6DE2" w:rsidRPr="00393250" w:rsidRDefault="000F6DE2" w:rsidP="000F6DE2">
      <w:pPr>
        <w:spacing w:after="240"/>
        <w:ind w:left="567" w:hanging="567"/>
      </w:pPr>
      <w:r w:rsidRPr="00393250">
        <w:lastRenderedPageBreak/>
        <w:t>1.</w:t>
      </w:r>
      <w:r w:rsidRPr="00393250">
        <w:tab/>
        <w:t>vedtager nedenstående holdning ved førstebehandling</w:t>
      </w:r>
      <w:r w:rsidR="00110B7E" w:rsidRPr="00393250">
        <w:rPr>
          <w:rStyle w:val="FootnoteReference"/>
        </w:rPr>
        <w:footnoteReference w:id="2"/>
      </w:r>
      <w:r w:rsidRPr="00393250">
        <w:t>;</w:t>
      </w:r>
    </w:p>
    <w:p w14:paraId="5677111F" w14:textId="5D184B63" w:rsidR="000F6DE2" w:rsidRPr="00393250" w:rsidRDefault="000F6DE2" w:rsidP="000F6DE2">
      <w:pPr>
        <w:spacing w:after="240"/>
        <w:ind w:left="567" w:hanging="567"/>
      </w:pPr>
      <w:r w:rsidRPr="00393250">
        <w:t>2.</w:t>
      </w:r>
      <w:r w:rsidRPr="00393250">
        <w:tab/>
        <w:t>anmoder om fornyet forelæggelse, hvis Kommissionen erstatter, i væsentlig grad ændrer eller agter i væsentlig grad at ændre sit forslag;</w:t>
      </w:r>
    </w:p>
    <w:p w14:paraId="30D8C7D3" w14:textId="0F9184E3" w:rsidR="000F6DE2" w:rsidRPr="00393250" w:rsidRDefault="000F6DE2" w:rsidP="000F6DE2">
      <w:pPr>
        <w:spacing w:after="240"/>
        <w:ind w:left="567" w:hanging="567"/>
      </w:pPr>
      <w:r w:rsidRPr="00393250">
        <w:t>3.</w:t>
      </w:r>
      <w:r w:rsidRPr="00393250">
        <w:tab/>
        <w:t>pålægger sin formand at sende Parlamentets holdning til Rådet og Kommissionen samt til de nationale parlamenter.</w:t>
      </w:r>
    </w:p>
    <w:p w14:paraId="0776C345" w14:textId="77777777" w:rsidR="000F6DE2" w:rsidRPr="00393250" w:rsidRDefault="000F6DE2" w:rsidP="000F6DE2"/>
    <w:p w14:paraId="0CD416F4" w14:textId="77777777" w:rsidR="008A5B47" w:rsidRPr="00393250" w:rsidRDefault="008A5B47" w:rsidP="000F6DE2">
      <w:pPr>
        <w:sectPr w:rsidR="008A5B47" w:rsidRPr="00393250" w:rsidSect="008B5EF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7809905" w14:textId="445AD321" w:rsidR="008A5B47" w:rsidRPr="00393250" w:rsidRDefault="008A5B47" w:rsidP="008A5B47">
      <w:pPr>
        <w:autoSpaceDE w:val="0"/>
        <w:autoSpaceDN w:val="0"/>
        <w:adjustRightInd w:val="0"/>
        <w:spacing w:after="240"/>
        <w:rPr>
          <w:rFonts w:eastAsia="Calibri"/>
          <w:b/>
          <w:bCs/>
          <w:color w:val="000000"/>
        </w:rPr>
      </w:pPr>
      <w:r w:rsidRPr="00393250">
        <w:rPr>
          <w:rFonts w:eastAsia="Calibri"/>
          <w:b/>
          <w:bCs/>
          <w:color w:val="000000"/>
        </w:rPr>
        <w:lastRenderedPageBreak/>
        <w:t>P9_TC1-COD(2022)0344</w:t>
      </w:r>
    </w:p>
    <w:p w14:paraId="1E8326C3" w14:textId="77777777" w:rsidR="008A5B47" w:rsidRPr="00393250" w:rsidRDefault="008A5B47" w:rsidP="008A5B47">
      <w:pPr>
        <w:pStyle w:val="AmNumberTabs"/>
        <w:rPr>
          <w:rFonts w:eastAsia="Calibri"/>
        </w:rPr>
      </w:pPr>
      <w:r w:rsidRPr="00393250">
        <w:t xml:space="preserve">Europa-Parlamentets holdning fastlagt ved førstebehandlingen den 24. april 2024 med henblik på vedtagelse af Europa-Parlamentets og Rådets </w:t>
      </w:r>
      <w:r w:rsidRPr="00393250">
        <w:rPr>
          <w:rFonts w:eastAsia="Calibri"/>
        </w:rPr>
        <w:t xml:space="preserve">direktiv </w:t>
      </w:r>
      <w:r w:rsidRPr="00393250">
        <w:t xml:space="preserve">(EU) </w:t>
      </w:r>
      <w:r w:rsidRPr="00393250">
        <w:rPr>
          <w:rFonts w:eastAsia="Calibri"/>
        </w:rPr>
        <w:t>2024/… om ændring af direktiv 2000/60/EF om fastlæggelse af en ramme for Fællesskabets vandpolitiske foranstaltninger, direktiv 2006/118/EF om beskyttelse af grundvandet mod forurening og forringelse og direktiv 2008/105/EF om miljøkvalitetskrav inden for vandpolitikken</w:t>
      </w:r>
    </w:p>
    <w:p w14:paraId="10915A77" w14:textId="77777777" w:rsidR="008A5B47" w:rsidRPr="00393250" w:rsidRDefault="008A5B47" w:rsidP="008A5B47">
      <w:pPr>
        <w:widowControl/>
        <w:spacing w:before="360" w:after="240" w:line="360" w:lineRule="auto"/>
        <w:jc w:val="center"/>
        <w:rPr>
          <w:szCs w:val="24"/>
          <w:lang w:eastAsia="en-US"/>
        </w:rPr>
      </w:pPr>
      <w:r w:rsidRPr="00393250">
        <w:rPr>
          <w:szCs w:val="24"/>
          <w:lang w:eastAsia="en-US"/>
        </w:rPr>
        <w:t>(EØS-relevant tekst)</w:t>
      </w:r>
    </w:p>
    <w:p w14:paraId="33482E45" w14:textId="77777777" w:rsidR="008A5B47" w:rsidRPr="00393250" w:rsidRDefault="008A5B47" w:rsidP="008A5B47">
      <w:pPr>
        <w:keepNext/>
        <w:spacing w:before="600" w:after="120" w:line="360" w:lineRule="auto"/>
        <w:rPr>
          <w:szCs w:val="24"/>
          <w:lang w:eastAsia="en-US"/>
        </w:rPr>
      </w:pPr>
      <w:r w:rsidRPr="00393250">
        <w:rPr>
          <w:szCs w:val="24"/>
          <w:lang w:eastAsia="en-US"/>
        </w:rPr>
        <w:t>EUROPA-PARLAMENTET OG RÅDET FOR DEN EUROPÆISKE UNION HAR —</w:t>
      </w:r>
    </w:p>
    <w:p w14:paraId="7323D8E4" w14:textId="77777777" w:rsidR="008A5B47" w:rsidRPr="00393250" w:rsidRDefault="008A5B47" w:rsidP="008A5B47">
      <w:pPr>
        <w:spacing w:before="120" w:after="120" w:line="360" w:lineRule="auto"/>
        <w:rPr>
          <w:lang w:eastAsia="en-US"/>
        </w:rPr>
      </w:pPr>
      <w:r w:rsidRPr="00393250">
        <w:rPr>
          <w:lang w:eastAsia="en-US"/>
        </w:rPr>
        <w:t>under henvisning til traktaten om Den Europæiske Unions funktionsmåde, særlig artikel 192, stk. 1,</w:t>
      </w:r>
    </w:p>
    <w:p w14:paraId="41449C23" w14:textId="77777777" w:rsidR="008A5B47" w:rsidRPr="00393250" w:rsidRDefault="008A5B47" w:rsidP="008A5B47">
      <w:pPr>
        <w:spacing w:before="120" w:after="120" w:line="360" w:lineRule="auto"/>
        <w:rPr>
          <w:lang w:eastAsia="en-US"/>
        </w:rPr>
      </w:pPr>
      <w:r w:rsidRPr="00393250">
        <w:rPr>
          <w:lang w:eastAsia="en-US"/>
        </w:rPr>
        <w:t>under henvisning til forslag fra Europa-Kommissionen,</w:t>
      </w:r>
    </w:p>
    <w:p w14:paraId="0026C78E" w14:textId="77777777" w:rsidR="008A5B47" w:rsidRPr="00393250" w:rsidRDefault="008A5B47" w:rsidP="008A5B47">
      <w:pPr>
        <w:spacing w:before="120" w:after="120" w:line="360" w:lineRule="auto"/>
        <w:rPr>
          <w:lang w:eastAsia="en-US"/>
        </w:rPr>
      </w:pPr>
      <w:r w:rsidRPr="00393250">
        <w:rPr>
          <w:lang w:eastAsia="en-US"/>
        </w:rPr>
        <w:t>efter fremsendelse af udkast til lovgivningsmæssig retsakt til de nationale parlamenter,</w:t>
      </w:r>
    </w:p>
    <w:p w14:paraId="6AC24815" w14:textId="77777777" w:rsidR="008A5B47" w:rsidRPr="00393250" w:rsidRDefault="008A5B47" w:rsidP="008A5B47">
      <w:pPr>
        <w:spacing w:before="120" w:after="120" w:line="360" w:lineRule="auto"/>
        <w:rPr>
          <w:lang w:eastAsia="en-US"/>
        </w:rPr>
      </w:pPr>
      <w:r w:rsidRPr="00393250">
        <w:rPr>
          <w:lang w:eastAsia="en-US"/>
        </w:rPr>
        <w:t>under henvisning til udtalelse fra Det Europæiske Økonomiske og Sociale Udvalg</w:t>
      </w:r>
      <w:r w:rsidRPr="00393250">
        <w:rPr>
          <w:vertAlign w:val="superscript"/>
          <w:lang w:val="en-GB" w:eastAsia="en-US"/>
        </w:rPr>
        <w:footnoteReference w:id="3"/>
      </w:r>
      <w:r w:rsidRPr="00393250">
        <w:rPr>
          <w:lang w:eastAsia="en-US"/>
        </w:rPr>
        <w:t>,</w:t>
      </w:r>
    </w:p>
    <w:p w14:paraId="3A5441FF" w14:textId="77777777" w:rsidR="008A5B47" w:rsidRPr="00393250" w:rsidRDefault="008A5B47" w:rsidP="008A5B47">
      <w:pPr>
        <w:spacing w:before="120" w:after="120" w:line="360" w:lineRule="auto"/>
        <w:rPr>
          <w:lang w:eastAsia="en-US"/>
        </w:rPr>
      </w:pPr>
      <w:r w:rsidRPr="00393250">
        <w:rPr>
          <w:lang w:eastAsia="en-US"/>
        </w:rPr>
        <w:t>under henvisning til udtalelse fra Regionsudvalget</w:t>
      </w:r>
      <w:r w:rsidRPr="00393250">
        <w:rPr>
          <w:vertAlign w:val="superscript"/>
          <w:lang w:val="en-GB" w:eastAsia="en-US"/>
        </w:rPr>
        <w:footnoteReference w:id="4"/>
      </w:r>
      <w:r w:rsidRPr="00393250">
        <w:rPr>
          <w:lang w:eastAsia="en-US"/>
        </w:rPr>
        <w:t>,</w:t>
      </w:r>
    </w:p>
    <w:p w14:paraId="4D7498DF" w14:textId="77777777" w:rsidR="008A5B47" w:rsidRPr="00393250" w:rsidRDefault="008A5B47" w:rsidP="008A5B47">
      <w:pPr>
        <w:spacing w:before="120" w:after="120" w:line="360" w:lineRule="auto"/>
        <w:rPr>
          <w:lang w:eastAsia="en-US"/>
        </w:rPr>
      </w:pPr>
      <w:r w:rsidRPr="00393250">
        <w:rPr>
          <w:lang w:eastAsia="en-US"/>
        </w:rPr>
        <w:t>efter den almindelige lovgivningsprocedure, og</w:t>
      </w:r>
    </w:p>
    <w:p w14:paraId="41AD2642" w14:textId="77777777" w:rsidR="00C124CA" w:rsidRPr="00393250" w:rsidRDefault="00C124CA">
      <w:pPr>
        <w:widowControl/>
        <w:rPr>
          <w:lang w:eastAsia="en-US"/>
        </w:rPr>
      </w:pPr>
      <w:r w:rsidRPr="00393250">
        <w:rPr>
          <w:lang w:eastAsia="en-US"/>
        </w:rPr>
        <w:br w:type="page"/>
      </w:r>
    </w:p>
    <w:p w14:paraId="0D19768F" w14:textId="11429079" w:rsidR="008A5B47" w:rsidRPr="00393250" w:rsidRDefault="008A5B47" w:rsidP="008A5B47">
      <w:pPr>
        <w:spacing w:before="120" w:after="120" w:line="360" w:lineRule="auto"/>
        <w:rPr>
          <w:lang w:eastAsia="en-US"/>
        </w:rPr>
      </w:pPr>
      <w:r w:rsidRPr="00393250">
        <w:rPr>
          <w:lang w:eastAsia="en-US"/>
        </w:rPr>
        <w:lastRenderedPageBreak/>
        <w:t>ud fra følgende betragtninger:</w:t>
      </w:r>
    </w:p>
    <w:p w14:paraId="24E613BC" w14:textId="749114E8" w:rsidR="008A5B47" w:rsidRPr="00393250" w:rsidRDefault="008A5B47" w:rsidP="008A5B47">
      <w:pPr>
        <w:spacing w:before="120" w:after="120" w:line="360" w:lineRule="auto"/>
        <w:ind w:left="850" w:hanging="850"/>
        <w:rPr>
          <w:b/>
          <w:szCs w:val="24"/>
          <w:lang w:eastAsia="en-US"/>
        </w:rPr>
      </w:pPr>
      <w:r w:rsidRPr="00393250">
        <w:rPr>
          <w:b/>
          <w:i/>
          <w:szCs w:val="24"/>
          <w:lang w:eastAsia="en-US"/>
        </w:rPr>
        <w:t>(</w:t>
      </w:r>
      <w:r w:rsidR="000A1EA9" w:rsidRPr="00393250">
        <w:rPr>
          <w:b/>
          <w:i/>
          <w:szCs w:val="24"/>
          <w:lang w:eastAsia="en-US"/>
        </w:rPr>
        <w:t>-</w:t>
      </w:r>
      <w:r w:rsidRPr="00393250">
        <w:rPr>
          <w:b/>
          <w:i/>
          <w:szCs w:val="24"/>
          <w:lang w:eastAsia="en-US"/>
        </w:rPr>
        <w:t>1)</w:t>
      </w:r>
      <w:r w:rsidRPr="00393250">
        <w:rPr>
          <w:szCs w:val="24"/>
          <w:lang w:eastAsia="en-US"/>
        </w:rPr>
        <w:tab/>
      </w:r>
      <w:r w:rsidRPr="00393250">
        <w:rPr>
          <w:b/>
          <w:i/>
          <w:szCs w:val="24"/>
          <w:lang w:eastAsia="en-US"/>
        </w:rPr>
        <w:t>Vand er ikke et kommercielt produkt, som ethvert andet, men snarere et fælles gode og en arv, der skal beskyttes og behandles som sådan for at sikre, at økosystemer bevares, og at alle har adgang til rent vand.</w:t>
      </w:r>
      <w:r w:rsidR="00C124CA" w:rsidRPr="00393250">
        <w:rPr>
          <w:b/>
          <w:szCs w:val="24"/>
          <w:lang w:eastAsia="en-US"/>
        </w:rPr>
        <w:t xml:space="preserve"> [Ændring 1]</w:t>
      </w:r>
    </w:p>
    <w:p w14:paraId="298FC739" w14:textId="6716B026" w:rsidR="008A5B47" w:rsidRPr="00393250" w:rsidRDefault="008A5B47" w:rsidP="008A5B47">
      <w:pPr>
        <w:spacing w:before="120" w:after="120" w:line="360" w:lineRule="auto"/>
        <w:ind w:left="850" w:hanging="850"/>
        <w:rPr>
          <w:b/>
          <w:szCs w:val="24"/>
          <w:lang w:eastAsia="en-US"/>
        </w:rPr>
      </w:pPr>
      <w:r w:rsidRPr="00393250">
        <w:rPr>
          <w:b/>
          <w:i/>
          <w:szCs w:val="24"/>
          <w:lang w:eastAsia="en-US"/>
        </w:rPr>
        <w:t>(</w:t>
      </w:r>
      <w:r w:rsidR="000A1EA9" w:rsidRPr="00393250">
        <w:rPr>
          <w:b/>
          <w:i/>
          <w:szCs w:val="24"/>
          <w:lang w:eastAsia="en-US"/>
        </w:rPr>
        <w:t>-1a</w:t>
      </w:r>
      <w:r w:rsidRPr="00393250">
        <w:rPr>
          <w:b/>
          <w:i/>
          <w:szCs w:val="24"/>
          <w:lang w:eastAsia="en-US"/>
        </w:rPr>
        <w:t>)</w:t>
      </w:r>
      <w:r w:rsidRPr="00393250">
        <w:rPr>
          <w:szCs w:val="24"/>
          <w:lang w:eastAsia="en-US"/>
        </w:rPr>
        <w:tab/>
      </w:r>
      <w:r w:rsidRPr="00393250">
        <w:rPr>
          <w:b/>
          <w:i/>
          <w:szCs w:val="24"/>
          <w:lang w:eastAsia="en-US"/>
        </w:rPr>
        <w:t>FN's generalforsamling anerkendte den 28. juli 2010 retten til sikkert og rent drikkevand og sanitet som en menneskerettighed, der er helt afgørende for at kunne få fuldt udbytte af livet og af alle menneskerettighederne. Efter succesen med det europæiske borgerinitiativ fra 2014 med titlen "Right2Water" vedtog Kommissionen i 2018 et forslag til revision af drikkevandsdirektivet, og det derved ændrede direktiv trådte i kraft den 12. januar 2021. Det nævnte direktiv fastsætter en forpligtelse for medlemsstaterne til at forbedre adgangen til drikkevand, idet de bl.a. læner sig op ad den indhøstede viden og de foranstaltninger, der gennemføres i henhold til direktiv 2000/60/EF. Medlemsstaterne bør også sikre, at retten til rent vand og sanitet har den forudsete virkning, ved at forbedre kvaliteten af både overfladevand og grundvand.</w:t>
      </w:r>
      <w:r w:rsidR="00C124CA" w:rsidRPr="00393250">
        <w:rPr>
          <w:b/>
          <w:szCs w:val="24"/>
          <w:lang w:eastAsia="en-US"/>
        </w:rPr>
        <w:t xml:space="preserve"> [Ændring 2]</w:t>
      </w:r>
    </w:p>
    <w:p w14:paraId="114170D4" w14:textId="77777777" w:rsidR="00C124CA" w:rsidRPr="00393250" w:rsidRDefault="00C124CA">
      <w:pPr>
        <w:widowControl/>
        <w:rPr>
          <w:szCs w:val="24"/>
          <w:lang w:eastAsia="en-US"/>
        </w:rPr>
      </w:pPr>
      <w:r w:rsidRPr="00393250">
        <w:rPr>
          <w:szCs w:val="24"/>
          <w:lang w:eastAsia="en-US"/>
        </w:rPr>
        <w:br w:type="page"/>
      </w:r>
    </w:p>
    <w:p w14:paraId="0BDAAAD4" w14:textId="2B029E89" w:rsidR="008A5B47" w:rsidRPr="00393250" w:rsidRDefault="008A5B47" w:rsidP="008A5B47">
      <w:pPr>
        <w:spacing w:before="120" w:after="120" w:line="360" w:lineRule="auto"/>
        <w:ind w:left="850" w:hanging="850"/>
        <w:rPr>
          <w:b/>
          <w:szCs w:val="24"/>
          <w:lang w:eastAsia="en-US"/>
        </w:rPr>
      </w:pPr>
      <w:r w:rsidRPr="00393250">
        <w:rPr>
          <w:szCs w:val="24"/>
          <w:lang w:eastAsia="en-US"/>
        </w:rPr>
        <w:lastRenderedPageBreak/>
        <w:t>(1)</w:t>
      </w:r>
      <w:r w:rsidRPr="00393250">
        <w:rPr>
          <w:szCs w:val="24"/>
          <w:lang w:eastAsia="en-US"/>
        </w:rPr>
        <w:tab/>
        <w:t xml:space="preserve">Kemisk forurening af overfladevand og grundvand udgør en trussel mod vandmiljøet i form af akut og kronisk toksicitet i vandorganismer, akkumulering af forurenende stoffer i økosystemet og tab af levesteder og biodiversitet og også mod menneskers sundhed. Fastsættelse af miljøkvalitetskrav bidrager til at gennemføre ambitionen om nulforurening </w:t>
      </w:r>
      <w:r w:rsidRPr="00393250">
        <w:rPr>
          <w:strike/>
          <w:szCs w:val="24"/>
          <w:lang w:eastAsia="en-US"/>
        </w:rPr>
        <w:t>for</w:t>
      </w:r>
      <w:r w:rsidRPr="00393250">
        <w:rPr>
          <w:b/>
          <w:i/>
          <w:szCs w:val="24"/>
          <w:lang w:eastAsia="en-US"/>
        </w:rPr>
        <w:t>med henblik på</w:t>
      </w:r>
      <w:r w:rsidRPr="00393250">
        <w:rPr>
          <w:szCs w:val="24"/>
          <w:lang w:eastAsia="en-US"/>
        </w:rPr>
        <w:t xml:space="preserve"> et giftfrit miljø</w:t>
      </w:r>
      <w:r w:rsidRPr="00393250">
        <w:rPr>
          <w:b/>
          <w:i/>
          <w:szCs w:val="24"/>
          <w:lang w:eastAsia="en-US"/>
        </w:rPr>
        <w:t>, et af de prioriterede mål i det 8</w:t>
      </w:r>
      <w:r w:rsidRPr="00393250">
        <w:rPr>
          <w:szCs w:val="24"/>
          <w:lang w:eastAsia="en-US"/>
        </w:rPr>
        <w:t>.</w:t>
      </w:r>
      <w:r w:rsidRPr="00393250">
        <w:rPr>
          <w:b/>
          <w:i/>
          <w:szCs w:val="24"/>
          <w:lang w:eastAsia="en-US"/>
        </w:rPr>
        <w:t xml:space="preserve"> miljøhandlingsprogram</w:t>
      </w:r>
      <w:r w:rsidRPr="00393250">
        <w:rPr>
          <w:szCs w:val="24"/>
          <w:vertAlign w:val="superscript"/>
          <w:lang w:val="en-GB" w:eastAsia="en-US"/>
        </w:rPr>
        <w:footnoteReference w:id="5"/>
      </w:r>
      <w:r w:rsidRPr="00393250">
        <w:rPr>
          <w:b/>
          <w:i/>
          <w:szCs w:val="24"/>
          <w:lang w:eastAsia="en-US"/>
        </w:rPr>
        <w:t>.</w:t>
      </w:r>
      <w:r w:rsidR="000A1EA9" w:rsidRPr="00393250">
        <w:rPr>
          <w:b/>
          <w:szCs w:val="24"/>
          <w:lang w:eastAsia="en-US"/>
        </w:rPr>
        <w:t xml:space="preserve"> [Ændring 3]</w:t>
      </w:r>
    </w:p>
    <w:p w14:paraId="5ED847AD" w14:textId="4219CE89" w:rsidR="008A5B47" w:rsidRPr="00393250" w:rsidRDefault="008A5B47" w:rsidP="008A5B47">
      <w:pPr>
        <w:spacing w:before="120" w:after="120" w:line="360" w:lineRule="auto"/>
        <w:ind w:left="850" w:hanging="850"/>
        <w:rPr>
          <w:b/>
          <w:szCs w:val="24"/>
          <w:lang w:eastAsia="en-US"/>
        </w:rPr>
      </w:pPr>
      <w:r w:rsidRPr="00393250">
        <w:rPr>
          <w:b/>
          <w:i/>
          <w:szCs w:val="24"/>
          <w:lang w:eastAsia="en-US"/>
        </w:rPr>
        <w:t>(1a)</w:t>
      </w:r>
      <w:r w:rsidRPr="00393250">
        <w:rPr>
          <w:szCs w:val="24"/>
          <w:lang w:eastAsia="en-US"/>
        </w:rPr>
        <w:tab/>
      </w:r>
      <w:r w:rsidRPr="00393250">
        <w:rPr>
          <w:b/>
          <w:i/>
          <w:szCs w:val="24"/>
          <w:lang w:eastAsia="en-US"/>
        </w:rPr>
        <w:t>Ifølge Det Europæiske Miljøagentur er omkring 90</w:t>
      </w:r>
      <w:r w:rsidR="000A1EA9" w:rsidRPr="00393250">
        <w:rPr>
          <w:b/>
          <w:i/>
          <w:szCs w:val="24"/>
          <w:lang w:eastAsia="en-US"/>
        </w:rPr>
        <w:t> </w:t>
      </w:r>
      <w:r w:rsidRPr="00393250">
        <w:rPr>
          <w:b/>
          <w:i/>
          <w:szCs w:val="24"/>
          <w:lang w:eastAsia="en-US"/>
        </w:rPr>
        <w:t>% af grundvandsforekomsterne rapporteret som værende i god kvantitativ tilstand, omkring 75</w:t>
      </w:r>
      <w:r w:rsidR="000A1EA9" w:rsidRPr="00393250">
        <w:rPr>
          <w:b/>
          <w:i/>
          <w:szCs w:val="24"/>
          <w:lang w:eastAsia="en-US"/>
        </w:rPr>
        <w:t> </w:t>
      </w:r>
      <w:r w:rsidRPr="00393250">
        <w:rPr>
          <w:b/>
          <w:i/>
          <w:szCs w:val="24"/>
          <w:lang w:eastAsia="en-US"/>
        </w:rPr>
        <w:t>% af grundvandsforekomsterne er i god kemisk tilstand, 40</w:t>
      </w:r>
      <w:r w:rsidR="0020160F" w:rsidRPr="00393250">
        <w:rPr>
          <w:b/>
          <w:i/>
          <w:szCs w:val="24"/>
          <w:lang w:eastAsia="en-US"/>
        </w:rPr>
        <w:t> </w:t>
      </w:r>
      <w:r w:rsidRPr="00393250">
        <w:rPr>
          <w:b/>
          <w:i/>
          <w:szCs w:val="24"/>
          <w:lang w:eastAsia="en-US"/>
        </w:rPr>
        <w:t>% af overfladevandforekomsterne er i god eller høj økologisk tilstand, og 38</w:t>
      </w:r>
      <w:r w:rsidR="0020160F" w:rsidRPr="00393250">
        <w:rPr>
          <w:b/>
          <w:i/>
          <w:szCs w:val="24"/>
          <w:lang w:eastAsia="en-US"/>
        </w:rPr>
        <w:t> </w:t>
      </w:r>
      <w:r w:rsidRPr="00393250">
        <w:rPr>
          <w:b/>
          <w:i/>
          <w:szCs w:val="24"/>
          <w:lang w:eastAsia="en-US"/>
        </w:rPr>
        <w:t>% af overfladevandforekomsterne er i god kemisk tilstand, mens det i Det Europæiske Miljøagenturs rapport af 4. december 2019 med titlen "The European environment – state and outlook 2020: Knowledge for transition to a sustainable Europe" konstateres, at reduceret forurening har forbedret vandkvaliteten, men at Unionen langtfra har været i stand til at opnå god økologisk tilstand for alle vandområder senest i 2020.</w:t>
      </w:r>
      <w:r w:rsidR="000A1EA9" w:rsidRPr="00393250">
        <w:rPr>
          <w:b/>
          <w:szCs w:val="24"/>
          <w:lang w:eastAsia="en-US"/>
        </w:rPr>
        <w:t xml:space="preserve"> [Ændring 4]</w:t>
      </w:r>
    </w:p>
    <w:p w14:paraId="21A427A6" w14:textId="77777777" w:rsidR="000A1EA9" w:rsidRPr="00393250" w:rsidRDefault="000A1EA9">
      <w:pPr>
        <w:widowControl/>
        <w:rPr>
          <w:b/>
          <w:i/>
          <w:szCs w:val="24"/>
          <w:lang w:eastAsia="en-US"/>
        </w:rPr>
      </w:pPr>
      <w:r w:rsidRPr="00393250">
        <w:rPr>
          <w:b/>
          <w:i/>
          <w:szCs w:val="24"/>
          <w:lang w:eastAsia="en-US"/>
        </w:rPr>
        <w:br w:type="page"/>
      </w:r>
    </w:p>
    <w:p w14:paraId="2A42AEB0" w14:textId="60BEE3EA" w:rsidR="008A5B47" w:rsidRPr="00393250" w:rsidRDefault="008A5B47" w:rsidP="008A5B47">
      <w:pPr>
        <w:spacing w:before="120" w:after="120" w:line="360" w:lineRule="auto"/>
        <w:ind w:left="850" w:hanging="850"/>
        <w:rPr>
          <w:b/>
          <w:szCs w:val="24"/>
          <w:lang w:eastAsia="en-US"/>
        </w:rPr>
      </w:pPr>
      <w:r w:rsidRPr="00393250">
        <w:rPr>
          <w:b/>
          <w:i/>
          <w:szCs w:val="24"/>
          <w:lang w:eastAsia="en-US"/>
        </w:rPr>
        <w:lastRenderedPageBreak/>
        <w:t>(1b)</w:t>
      </w:r>
      <w:r w:rsidRPr="00393250">
        <w:rPr>
          <w:szCs w:val="24"/>
          <w:lang w:eastAsia="en-US"/>
        </w:rPr>
        <w:tab/>
      </w:r>
      <w:r w:rsidRPr="00393250">
        <w:rPr>
          <w:b/>
          <w:i/>
          <w:szCs w:val="24"/>
          <w:lang w:eastAsia="en-US"/>
        </w:rPr>
        <w:t>Ved kvalitetskontrollen af vandrammedirektivet i 2019 ("kvalitetskontrollen") blev det i evalueringen konkluderet, at den næste runde af programmer med foranstaltninger ville spille en central rolle i at sikre de nødvendige fremskridt med hensyn til at nå miljømålene i direktiv 2000/60/EF inden fristen i 2027, og det blev fastslået, at mere end halvdelen af alle europæiske vandområder aktuelt var undtaget i henhold til direktiv 2000/60/EF, hvilket gør medlemsstaternes udfordringer med at opfylde miljøkvalitetsnormerne for prioriterede stoffer mere end betydelige. Desuden konkluderede man ved kvalitetskontrollen, at miljømålene ikke var nået fuldt ud som følge af utilstrækkelig finansiering, langsom gennemførelse og utilstrækkelig integration af miljømål i sektorpolitikker, og ikke som følge af en mangel i lovgivningen.</w:t>
      </w:r>
      <w:r w:rsidR="000A1EA9" w:rsidRPr="00393250">
        <w:rPr>
          <w:b/>
          <w:szCs w:val="24"/>
          <w:lang w:eastAsia="en-US"/>
        </w:rPr>
        <w:t xml:space="preserve"> [Ændring 5]</w:t>
      </w:r>
    </w:p>
    <w:p w14:paraId="59EAE671" w14:textId="77777777" w:rsidR="000A1EA9" w:rsidRPr="00393250" w:rsidRDefault="000A1EA9">
      <w:pPr>
        <w:widowControl/>
        <w:rPr>
          <w:b/>
          <w:i/>
          <w:szCs w:val="24"/>
          <w:lang w:eastAsia="en-US"/>
        </w:rPr>
      </w:pPr>
      <w:r w:rsidRPr="00393250">
        <w:rPr>
          <w:b/>
          <w:i/>
          <w:szCs w:val="24"/>
          <w:lang w:eastAsia="en-US"/>
        </w:rPr>
        <w:br w:type="page"/>
      </w:r>
    </w:p>
    <w:p w14:paraId="5B344C8F" w14:textId="7B81389E" w:rsidR="008A5B47" w:rsidRPr="00393250" w:rsidRDefault="008A5B47" w:rsidP="008A5B47">
      <w:pPr>
        <w:spacing w:before="120" w:after="120" w:line="360" w:lineRule="auto"/>
        <w:ind w:left="850" w:hanging="850"/>
        <w:rPr>
          <w:b/>
          <w:szCs w:val="24"/>
          <w:lang w:eastAsia="en-US"/>
        </w:rPr>
      </w:pPr>
      <w:r w:rsidRPr="00393250">
        <w:rPr>
          <w:b/>
          <w:i/>
          <w:szCs w:val="24"/>
          <w:lang w:eastAsia="en-US"/>
        </w:rPr>
        <w:lastRenderedPageBreak/>
        <w:t>(1c)</w:t>
      </w:r>
      <w:r w:rsidRPr="00393250">
        <w:rPr>
          <w:szCs w:val="24"/>
          <w:lang w:eastAsia="en-US"/>
        </w:rPr>
        <w:tab/>
      </w:r>
      <w:r w:rsidRPr="00393250">
        <w:rPr>
          <w:b/>
          <w:i/>
          <w:szCs w:val="24"/>
          <w:lang w:eastAsia="en-US"/>
        </w:rPr>
        <w:t>Som følge af geografiske og socioøkonomiske faktorer er nogle befolkninger, herunder oprindelige folk, mere sårbare over for vandforurening. Minesektoren i Den Europæiske Union forventes at vokse for at sikre udviklingen af nettonulindustrien. Som det fremgår af Det Europæiske Miljøagenturs rapport 09/2021</w:t>
      </w:r>
      <w:r w:rsidRPr="00393250">
        <w:rPr>
          <w:szCs w:val="24"/>
          <w:vertAlign w:val="superscript"/>
          <w:lang w:val="en-GB" w:eastAsia="en-US"/>
        </w:rPr>
        <w:footnoteReference w:id="6"/>
      </w:r>
      <w:r w:rsidRPr="00393250">
        <w:rPr>
          <w:b/>
          <w:i/>
          <w:szCs w:val="24"/>
          <w:lang w:eastAsia="en-US"/>
        </w:rPr>
        <w:t>, har minesektoren direkte indvirkning på vandkvaliteten og mængden. Det er derfor nødvendigt at gennemføre de eksisterende lovgivningsrammer bedre og at planlægge og kontrollere vandanvendelse og udledning, også i forbindelse med minedrift.</w:t>
      </w:r>
      <w:r w:rsidR="000A1EA9" w:rsidRPr="00393250">
        <w:rPr>
          <w:b/>
          <w:szCs w:val="24"/>
          <w:lang w:eastAsia="en-US"/>
        </w:rPr>
        <w:t xml:space="preserve"> [Ændring 6]</w:t>
      </w:r>
    </w:p>
    <w:p w14:paraId="0069F3C1" w14:textId="2FAB5F77" w:rsidR="008A5B47" w:rsidRPr="00393250" w:rsidRDefault="008A5B47" w:rsidP="008A5B47">
      <w:pPr>
        <w:spacing w:before="120" w:after="120" w:line="360" w:lineRule="auto"/>
        <w:ind w:left="850" w:hanging="850"/>
        <w:rPr>
          <w:b/>
          <w:szCs w:val="24"/>
          <w:lang w:eastAsia="en-US"/>
        </w:rPr>
      </w:pPr>
      <w:r w:rsidRPr="00393250">
        <w:rPr>
          <w:b/>
          <w:i/>
          <w:szCs w:val="24"/>
          <w:lang w:eastAsia="en-US"/>
        </w:rPr>
        <w:t>(1d)</w:t>
      </w:r>
      <w:r w:rsidRPr="00393250">
        <w:rPr>
          <w:szCs w:val="24"/>
          <w:lang w:eastAsia="en-US"/>
        </w:rPr>
        <w:tab/>
      </w:r>
      <w:r w:rsidRPr="00393250">
        <w:rPr>
          <w:b/>
          <w:i/>
          <w:szCs w:val="24"/>
          <w:lang w:eastAsia="en-US"/>
        </w:rPr>
        <w:t>Mange områder i Unionen er underlagt store og stigende vandbegrænsninger. De betydelige og vedvarende tørkeperioder i de senere år, navnlig i regioner i Middelhavsområdet, bringer landbrugsproduktionen i fare og forårsager et alvorligt fald i overflade- og grundvandsreserverne</w:t>
      </w:r>
      <w:r w:rsidRPr="00393250">
        <w:rPr>
          <w:szCs w:val="24"/>
          <w:vertAlign w:val="superscript"/>
          <w:lang w:val="en-GB" w:eastAsia="en-US"/>
        </w:rPr>
        <w:footnoteReference w:id="7"/>
      </w:r>
      <w:r w:rsidRPr="00393250">
        <w:rPr>
          <w:b/>
          <w:i/>
          <w:szCs w:val="24"/>
          <w:lang w:eastAsia="en-US"/>
        </w:rPr>
        <w:t>.</w:t>
      </w:r>
      <w:r w:rsidR="000A1EA9" w:rsidRPr="00393250">
        <w:rPr>
          <w:b/>
          <w:szCs w:val="24"/>
          <w:lang w:eastAsia="en-US"/>
        </w:rPr>
        <w:t xml:space="preserve"> [Ændring 7]</w:t>
      </w:r>
    </w:p>
    <w:p w14:paraId="7BB8D281" w14:textId="0D84200A" w:rsidR="008A5B47" w:rsidRPr="00393250" w:rsidRDefault="008A5B47" w:rsidP="008A5B47">
      <w:pPr>
        <w:spacing w:before="120" w:after="120" w:line="360" w:lineRule="auto"/>
        <w:ind w:left="850" w:hanging="850"/>
        <w:rPr>
          <w:b/>
          <w:szCs w:val="24"/>
          <w:lang w:eastAsia="en-US"/>
        </w:rPr>
      </w:pPr>
      <w:r w:rsidRPr="00393250">
        <w:rPr>
          <w:b/>
          <w:i/>
          <w:szCs w:val="24"/>
          <w:lang w:eastAsia="en-US"/>
        </w:rPr>
        <w:t>(1e)</w:t>
      </w:r>
      <w:r w:rsidRPr="00393250">
        <w:rPr>
          <w:szCs w:val="24"/>
          <w:lang w:eastAsia="en-US"/>
        </w:rPr>
        <w:tab/>
      </w:r>
      <w:r w:rsidRPr="00393250">
        <w:rPr>
          <w:b/>
          <w:i/>
          <w:szCs w:val="24"/>
          <w:lang w:eastAsia="en-US"/>
        </w:rPr>
        <w:t>Vand er et offentligt gode til gavn for alle, der - som en væsentlig naturressource, der er uerstattelig og uundværlig for liv - skal tages nøje hensyn til i lyset af dets sociale, økonomiske og miljømæssige dimension. Klimaændringer, herunder den øgede hyppighed af naturkatastrofer og ekstreme vejrhændelser, og forringelsen af biodiversiteten påvirker begge vandkvaliteten og -mængden negativt, hvilket medfører pres på sektorer, der er afhængige af, at der er adgang til vand, navnlig landbruget.</w:t>
      </w:r>
      <w:r w:rsidR="000A1EA9" w:rsidRPr="00393250">
        <w:rPr>
          <w:b/>
          <w:szCs w:val="24"/>
          <w:lang w:eastAsia="en-US"/>
        </w:rPr>
        <w:t xml:space="preserve"> [Ændring 8]</w:t>
      </w:r>
    </w:p>
    <w:p w14:paraId="1495BA6C" w14:textId="77777777" w:rsidR="000A1EA9" w:rsidRPr="00393250" w:rsidRDefault="000A1EA9">
      <w:pPr>
        <w:widowControl/>
        <w:rPr>
          <w:b/>
          <w:i/>
          <w:szCs w:val="24"/>
          <w:lang w:eastAsia="en-US"/>
        </w:rPr>
      </w:pPr>
      <w:r w:rsidRPr="00393250">
        <w:rPr>
          <w:b/>
          <w:i/>
          <w:szCs w:val="24"/>
          <w:lang w:eastAsia="en-US"/>
        </w:rPr>
        <w:br w:type="page"/>
      </w:r>
    </w:p>
    <w:p w14:paraId="7C70A32F" w14:textId="186E295C" w:rsidR="008A5B47" w:rsidRPr="00393250" w:rsidRDefault="008A5B47" w:rsidP="008A5B47">
      <w:pPr>
        <w:spacing w:before="120" w:after="120" w:line="360" w:lineRule="auto"/>
        <w:ind w:left="850" w:hanging="850"/>
        <w:rPr>
          <w:b/>
          <w:szCs w:val="24"/>
          <w:lang w:eastAsia="en-US"/>
        </w:rPr>
      </w:pPr>
      <w:r w:rsidRPr="00393250">
        <w:rPr>
          <w:b/>
          <w:i/>
          <w:szCs w:val="24"/>
          <w:lang w:eastAsia="en-US"/>
        </w:rPr>
        <w:lastRenderedPageBreak/>
        <w:t>(1f)</w:t>
      </w:r>
      <w:r w:rsidRPr="00393250">
        <w:rPr>
          <w:szCs w:val="24"/>
          <w:lang w:eastAsia="en-US"/>
        </w:rPr>
        <w:tab/>
      </w:r>
      <w:r w:rsidRPr="00393250">
        <w:rPr>
          <w:b/>
          <w:i/>
          <w:szCs w:val="24"/>
          <w:lang w:eastAsia="en-US"/>
        </w:rPr>
        <w:t>Selv om Det Europæiske Miljøagentur (EEA) i sin rapport fra 2018 om "European waters – assessment of status and pressures" udpegede visse landbrugsmetoder som hindringer for at opnå en god kemisk tilstand for grundvandet i Unionen, idet de fører til nitrat- og pesticidforurening, er der i EU i de seneste årtier konstateret et støt fald i anvendelsen af mineralgødning og i overskuddet af næringsstoffer</w:t>
      </w:r>
      <w:r w:rsidRPr="00393250">
        <w:rPr>
          <w:szCs w:val="24"/>
          <w:vertAlign w:val="superscript"/>
          <w:lang w:val="en-GB" w:eastAsia="en-US"/>
        </w:rPr>
        <w:footnoteReference w:id="8"/>
      </w:r>
      <w:r w:rsidRPr="00393250">
        <w:rPr>
          <w:b/>
          <w:i/>
          <w:szCs w:val="24"/>
          <w:lang w:eastAsia="en-US"/>
        </w:rPr>
        <w:t>. Andre væsentlige forureningskilder er udledninger, der ikke er tilsluttet et kloaksystem, forurenede områder eller nedlagte industriområder.</w:t>
      </w:r>
      <w:r w:rsidR="009866B3" w:rsidRPr="00393250">
        <w:rPr>
          <w:b/>
          <w:szCs w:val="24"/>
          <w:lang w:eastAsia="en-US"/>
        </w:rPr>
        <w:t xml:space="preserve"> [Ændring 9]</w:t>
      </w:r>
    </w:p>
    <w:p w14:paraId="08314820" w14:textId="461175A6" w:rsidR="008A5B47" w:rsidRPr="00393250" w:rsidRDefault="008A5B47" w:rsidP="008A5B47">
      <w:pPr>
        <w:spacing w:before="120" w:after="120" w:line="360" w:lineRule="auto"/>
        <w:ind w:left="850" w:hanging="850"/>
        <w:rPr>
          <w:b/>
          <w:szCs w:val="24"/>
          <w:lang w:eastAsia="en-US"/>
        </w:rPr>
      </w:pPr>
      <w:r w:rsidRPr="00393250">
        <w:rPr>
          <w:b/>
          <w:i/>
          <w:szCs w:val="24"/>
          <w:lang w:eastAsia="en-US"/>
        </w:rPr>
        <w:t>(1g)</w:t>
      </w:r>
      <w:r w:rsidRPr="00393250">
        <w:rPr>
          <w:szCs w:val="24"/>
          <w:lang w:eastAsia="en-US"/>
        </w:rPr>
        <w:tab/>
      </w:r>
      <w:r w:rsidRPr="00393250">
        <w:rPr>
          <w:b/>
          <w:i/>
          <w:szCs w:val="24"/>
          <w:lang w:eastAsia="en-US"/>
        </w:rPr>
        <w:t>En god vandtilstand og effektiv forvaltning af vandressourcerne er en prioritet for landbruget, da landbrugerne er afhængige af vand for at udføre deres aktiviteter og derfor har en stærk personlig interesse i bæredygtig udnyttelse af sådanne ressourcer.</w:t>
      </w:r>
      <w:r w:rsidR="009866B3" w:rsidRPr="00393250">
        <w:rPr>
          <w:b/>
          <w:szCs w:val="24"/>
          <w:lang w:eastAsia="en-US"/>
        </w:rPr>
        <w:t xml:space="preserve"> [Ændring 10]</w:t>
      </w:r>
    </w:p>
    <w:p w14:paraId="65A8A573" w14:textId="5DA0D430" w:rsidR="008A5B47" w:rsidRPr="00393250" w:rsidRDefault="008A5B47" w:rsidP="008A5B47">
      <w:pPr>
        <w:spacing w:before="120" w:after="120" w:line="360" w:lineRule="auto"/>
        <w:ind w:left="850" w:hanging="850"/>
        <w:rPr>
          <w:b/>
          <w:szCs w:val="24"/>
          <w:lang w:eastAsia="en-US"/>
        </w:rPr>
      </w:pPr>
      <w:r w:rsidRPr="00393250">
        <w:rPr>
          <w:b/>
          <w:i/>
          <w:szCs w:val="24"/>
          <w:lang w:eastAsia="en-US"/>
        </w:rPr>
        <w:t>(1h)</w:t>
      </w:r>
      <w:r w:rsidRPr="00393250">
        <w:rPr>
          <w:szCs w:val="24"/>
          <w:lang w:eastAsia="en-US"/>
        </w:rPr>
        <w:tab/>
      </w:r>
      <w:r w:rsidRPr="00393250">
        <w:rPr>
          <w:b/>
          <w:i/>
          <w:szCs w:val="24"/>
          <w:lang w:eastAsia="en-US"/>
        </w:rPr>
        <w:t>For at lette omstillingen til en mere bæredygtig og produktiv landbrugssektor, der er modstandsdygtig med hensyn til vandbegrænsninger, bør der indføres incitamenter for landbrugerne til at forbedre vandforvaltningen og moderniseringen af vandingsanlæg og -teknikker.</w:t>
      </w:r>
      <w:r w:rsidR="009866B3" w:rsidRPr="00393250">
        <w:rPr>
          <w:b/>
          <w:szCs w:val="24"/>
          <w:lang w:eastAsia="en-US"/>
        </w:rPr>
        <w:t xml:space="preserve"> [Ændring 11]</w:t>
      </w:r>
    </w:p>
    <w:p w14:paraId="58CE7150" w14:textId="77777777" w:rsidR="009866B3" w:rsidRPr="00393250" w:rsidRDefault="009866B3">
      <w:pPr>
        <w:widowControl/>
        <w:rPr>
          <w:b/>
          <w:i/>
          <w:szCs w:val="24"/>
          <w:lang w:eastAsia="en-US"/>
        </w:rPr>
      </w:pPr>
      <w:r w:rsidRPr="00393250">
        <w:rPr>
          <w:b/>
          <w:i/>
          <w:szCs w:val="24"/>
          <w:lang w:eastAsia="en-US"/>
        </w:rPr>
        <w:br w:type="page"/>
      </w:r>
    </w:p>
    <w:p w14:paraId="11E024F7" w14:textId="70366D31" w:rsidR="008A5B47" w:rsidRPr="00393250" w:rsidRDefault="008A5B47" w:rsidP="008A5B47">
      <w:pPr>
        <w:spacing w:before="120" w:after="120" w:line="360" w:lineRule="auto"/>
        <w:ind w:left="850" w:hanging="850"/>
        <w:rPr>
          <w:b/>
          <w:szCs w:val="24"/>
          <w:lang w:eastAsia="en-US"/>
        </w:rPr>
      </w:pPr>
      <w:r w:rsidRPr="00393250">
        <w:rPr>
          <w:b/>
          <w:i/>
          <w:szCs w:val="24"/>
          <w:lang w:eastAsia="en-US"/>
        </w:rPr>
        <w:lastRenderedPageBreak/>
        <w:t>(1i)</w:t>
      </w:r>
      <w:r w:rsidRPr="00393250">
        <w:rPr>
          <w:szCs w:val="24"/>
          <w:lang w:eastAsia="en-US"/>
        </w:rPr>
        <w:tab/>
      </w:r>
      <w:r w:rsidRPr="00393250">
        <w:rPr>
          <w:b/>
          <w:i/>
          <w:szCs w:val="24"/>
          <w:lang w:eastAsia="en-US"/>
        </w:rPr>
        <w:t>Pesticidanvendelse kan i alvorlig grad påvirke kvaliteten og mængden af vand, der er til rådighed for landbruget, hvilket fører til negativ indvirkning på både den akvatiske og terrestriske biodiversitet. Det er derfor hensigtsmæssigt at overvåge pesticiders og deres metabolitters indvirkning og økotoksikologiske skæbne i vandområder.</w:t>
      </w:r>
      <w:r w:rsidR="009866B3" w:rsidRPr="00393250">
        <w:rPr>
          <w:b/>
          <w:szCs w:val="24"/>
          <w:lang w:eastAsia="en-US"/>
        </w:rPr>
        <w:t xml:space="preserve"> [Ændring 12]</w:t>
      </w:r>
    </w:p>
    <w:p w14:paraId="5EF6D8B1" w14:textId="2DD52424" w:rsidR="008A5B47" w:rsidRPr="00393250" w:rsidRDefault="008A5B47" w:rsidP="008A5B47">
      <w:pPr>
        <w:spacing w:before="120" w:after="120" w:line="360" w:lineRule="auto"/>
        <w:ind w:left="850" w:hanging="850"/>
        <w:rPr>
          <w:b/>
          <w:szCs w:val="24"/>
          <w:lang w:eastAsia="en-US"/>
        </w:rPr>
      </w:pPr>
      <w:r w:rsidRPr="00393250">
        <w:rPr>
          <w:b/>
          <w:i/>
          <w:szCs w:val="24"/>
          <w:lang w:eastAsia="en-US"/>
        </w:rPr>
        <w:t>(1j)</w:t>
      </w:r>
      <w:r w:rsidRPr="00393250">
        <w:rPr>
          <w:szCs w:val="24"/>
          <w:lang w:eastAsia="en-US"/>
        </w:rPr>
        <w:tab/>
      </w:r>
      <w:r w:rsidRPr="00393250">
        <w:rPr>
          <w:b/>
          <w:i/>
          <w:szCs w:val="24"/>
          <w:lang w:eastAsia="en-US"/>
        </w:rPr>
        <w:t>Det er afgørende at tage højde for den indsats, der hidtil er gjort inden for sektorer som landbrug, hvor det allerede har været muligt at reducere plantesundhedsmæssig forurening med 14</w:t>
      </w:r>
      <w:r w:rsidR="009866B3" w:rsidRPr="00393250">
        <w:rPr>
          <w:b/>
          <w:i/>
          <w:szCs w:val="24"/>
          <w:lang w:eastAsia="en-US"/>
        </w:rPr>
        <w:t> </w:t>
      </w:r>
      <w:r w:rsidRPr="00393250">
        <w:rPr>
          <w:b/>
          <w:i/>
          <w:szCs w:val="24"/>
          <w:lang w:eastAsia="en-US"/>
        </w:rPr>
        <w:t>% sammenlignet med 2015-2017 og med 26</w:t>
      </w:r>
      <w:r w:rsidR="009866B3" w:rsidRPr="00393250">
        <w:rPr>
          <w:b/>
          <w:i/>
          <w:szCs w:val="24"/>
          <w:lang w:eastAsia="en-US"/>
        </w:rPr>
        <w:t> </w:t>
      </w:r>
      <w:r w:rsidRPr="00393250">
        <w:rPr>
          <w:b/>
          <w:i/>
          <w:szCs w:val="24"/>
          <w:lang w:eastAsia="en-US"/>
        </w:rPr>
        <w:t>%, hvis vi ser på de mest skadelige forurenende stoffer. Tallene viser derfor en kontinuerlig reduktion i anvendelsen af og risikoen forbundet med kemikalier, idet 2020 er andet år i træk, hvor der er sket en betydelig reduktion i anvendelsen af pesticider, især de farligste</w:t>
      </w:r>
      <w:r w:rsidRPr="00393250">
        <w:rPr>
          <w:szCs w:val="24"/>
          <w:vertAlign w:val="superscript"/>
          <w:lang w:val="en-GB" w:eastAsia="en-US"/>
        </w:rPr>
        <w:footnoteReference w:id="9"/>
      </w:r>
      <w:r w:rsidRPr="00393250">
        <w:rPr>
          <w:b/>
          <w:i/>
          <w:szCs w:val="24"/>
          <w:lang w:eastAsia="en-US"/>
        </w:rPr>
        <w:t>.</w:t>
      </w:r>
      <w:r w:rsidR="009866B3" w:rsidRPr="00393250">
        <w:rPr>
          <w:b/>
          <w:szCs w:val="24"/>
          <w:lang w:eastAsia="en-US"/>
        </w:rPr>
        <w:t xml:space="preserve"> [Ændring 13]</w:t>
      </w:r>
    </w:p>
    <w:p w14:paraId="56E6D617" w14:textId="77777777" w:rsidR="009866B3" w:rsidRPr="00393250" w:rsidRDefault="009866B3">
      <w:pPr>
        <w:widowControl/>
        <w:rPr>
          <w:b/>
          <w:i/>
          <w:szCs w:val="24"/>
          <w:lang w:eastAsia="en-US"/>
        </w:rPr>
      </w:pPr>
      <w:r w:rsidRPr="00393250">
        <w:rPr>
          <w:b/>
          <w:i/>
          <w:szCs w:val="24"/>
          <w:lang w:eastAsia="en-US"/>
        </w:rPr>
        <w:br w:type="page"/>
      </w:r>
    </w:p>
    <w:p w14:paraId="3EE3EAA6" w14:textId="790158C9" w:rsidR="008A5B47" w:rsidRPr="00393250" w:rsidRDefault="008A5B47" w:rsidP="008A5B47">
      <w:pPr>
        <w:spacing w:before="120" w:after="120" w:line="360" w:lineRule="auto"/>
        <w:ind w:left="850" w:hanging="850"/>
        <w:rPr>
          <w:b/>
          <w:szCs w:val="24"/>
          <w:lang w:eastAsia="en-US"/>
        </w:rPr>
      </w:pPr>
      <w:r w:rsidRPr="00393250">
        <w:rPr>
          <w:b/>
          <w:i/>
          <w:szCs w:val="24"/>
          <w:lang w:eastAsia="en-US"/>
        </w:rPr>
        <w:lastRenderedPageBreak/>
        <w:t>(1k)</w:t>
      </w:r>
      <w:r w:rsidRPr="00393250">
        <w:rPr>
          <w:szCs w:val="24"/>
          <w:lang w:eastAsia="en-US"/>
        </w:rPr>
        <w:tab/>
      </w:r>
      <w:r w:rsidRPr="00393250">
        <w:rPr>
          <w:b/>
          <w:i/>
          <w:szCs w:val="24"/>
          <w:lang w:eastAsia="en-US"/>
        </w:rPr>
        <w:t>Kemisk forurening af overfladevand og grundvand udgør også en trussel for landbruget ved at begrænse tilgængeligheden af vand, der er egnet til kunstvanding i afgrødeproduktionen, og yderligere forværre vandknapheden. Unionen og medlemsstaterne bør derfor øge støtten til forskning og innovation med henblik på hurtigt at udrulle løsninger til at gøre noget ved knaphed og forurening af overflade- og grundvand, herunder digitalisering, præcisionslandbrug, optimeret kunstvanding og modernisering af kunstvanding og cirkulær ressourceanvendelse, med henblik på forbedret klimarobust vandforvaltning og en mere målrettet anvendelse af pesticider og gødningsstoffer til afgrøder, mindre forurenende og sikrere alternativer til landbrugsinput, mere modstandsdygtige og ernæringseffektive afgrødesorter og øget anvendelse af behandlet spildevand til kunstvanding i landbruget. Dette bør bidrage til at opnå et bæredygtigt og modstandsdygtigt fødevaresystem i Unionen og samtidig mindske den diffuse forurening fra landbruget og behovet for landbrugsindvinding.</w:t>
      </w:r>
      <w:r w:rsidR="009866B3" w:rsidRPr="00393250">
        <w:rPr>
          <w:b/>
          <w:szCs w:val="24"/>
          <w:lang w:eastAsia="en-US"/>
        </w:rPr>
        <w:t xml:space="preserve"> [Ændring 14]</w:t>
      </w:r>
    </w:p>
    <w:p w14:paraId="0779C1CE" w14:textId="77777777" w:rsidR="009866B3" w:rsidRPr="00393250" w:rsidRDefault="009866B3">
      <w:pPr>
        <w:widowControl/>
        <w:rPr>
          <w:szCs w:val="24"/>
          <w:lang w:eastAsia="en-US"/>
        </w:rPr>
      </w:pPr>
      <w:r w:rsidRPr="00393250">
        <w:rPr>
          <w:szCs w:val="24"/>
          <w:lang w:eastAsia="en-US"/>
        </w:rPr>
        <w:br w:type="page"/>
      </w:r>
    </w:p>
    <w:p w14:paraId="48ADAECE" w14:textId="43B8113A"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(2)</w:t>
      </w:r>
      <w:r w:rsidRPr="00393250">
        <w:rPr>
          <w:szCs w:val="24"/>
          <w:lang w:eastAsia="en-US"/>
        </w:rPr>
        <w:tab/>
        <w:t>I henhold til bestemmelserne i artikel 191, stk. 2, andet punktum, i traktaten om Den Europæiske Unions funktionsmåde (TEUF) bygger Unionens politik på miljøområdet navnlig på forsigtighedsprincippet og princippet om forebyggende indsats, princippet om indgreb over for miljøskader fortrinsvis ved kilden og princippet om, at forureneren betaler.</w:t>
      </w:r>
    </w:p>
    <w:p w14:paraId="4A180022" w14:textId="0BAB8347" w:rsidR="008A5B47" w:rsidRPr="00393250" w:rsidRDefault="008A5B47" w:rsidP="008A5B47">
      <w:pPr>
        <w:spacing w:before="120" w:after="120" w:line="360" w:lineRule="auto"/>
        <w:ind w:left="850" w:hanging="850"/>
        <w:rPr>
          <w:b/>
          <w:szCs w:val="24"/>
          <w:lang w:eastAsia="en-US"/>
        </w:rPr>
      </w:pPr>
      <w:r w:rsidRPr="00393250">
        <w:rPr>
          <w:b/>
          <w:i/>
          <w:szCs w:val="24"/>
          <w:lang w:eastAsia="en-US"/>
        </w:rPr>
        <w:t>(2a)</w:t>
      </w:r>
      <w:r w:rsidRPr="00393250">
        <w:rPr>
          <w:szCs w:val="24"/>
          <w:lang w:eastAsia="en-US"/>
        </w:rPr>
        <w:tab/>
      </w:r>
      <w:r w:rsidRPr="00393250">
        <w:rPr>
          <w:b/>
          <w:i/>
          <w:szCs w:val="24"/>
          <w:lang w:eastAsia="en-US"/>
        </w:rPr>
        <w:t>I bestræbelserne på at opnå et højt niveau af miljøbeskyttelse og i forbindelse med gennemførelsen af handlingsplanen for nulforurening bør Unionen tage hensyn til de mange forskellige situationer i Unionens forskellige regioner, indvirkningen på fødevaresikkerheden, fødevareproduktionen og prisoverkommeligheden af fødevarer samt sunde og bæredygtige kostvaner.</w:t>
      </w:r>
      <w:r w:rsidR="009F6840" w:rsidRPr="00393250">
        <w:rPr>
          <w:b/>
          <w:szCs w:val="24"/>
          <w:lang w:eastAsia="en-US"/>
        </w:rPr>
        <w:t xml:space="preserve"> [Ændring 15]</w:t>
      </w:r>
    </w:p>
    <w:p w14:paraId="6EF3D797" w14:textId="77777777" w:rsidR="009F6840" w:rsidRPr="00393250" w:rsidRDefault="009F6840">
      <w:pPr>
        <w:widowControl/>
        <w:rPr>
          <w:szCs w:val="24"/>
          <w:lang w:eastAsia="en-US"/>
        </w:rPr>
      </w:pPr>
      <w:r w:rsidRPr="00393250">
        <w:rPr>
          <w:szCs w:val="24"/>
          <w:lang w:eastAsia="en-US"/>
        </w:rPr>
        <w:br w:type="page"/>
      </w:r>
    </w:p>
    <w:p w14:paraId="15C9F664" w14:textId="4DD7E833"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(3)</w:t>
      </w:r>
      <w:r w:rsidRPr="00393250">
        <w:rPr>
          <w:szCs w:val="24"/>
          <w:lang w:eastAsia="en-US"/>
        </w:rPr>
        <w:tab/>
        <w:t>Den europæiske grønne pagt</w:t>
      </w:r>
      <w:r w:rsidRPr="00393250">
        <w:rPr>
          <w:szCs w:val="24"/>
          <w:vertAlign w:val="superscript"/>
          <w:lang w:val="en-GB" w:eastAsia="en-US"/>
        </w:rPr>
        <w:footnoteReference w:id="10"/>
      </w:r>
      <w:r w:rsidRPr="00393250">
        <w:rPr>
          <w:szCs w:val="24"/>
          <w:lang w:eastAsia="en-US"/>
        </w:rPr>
        <w:t xml:space="preserve"> er Unionens strategi for at sikre en klimaneutral, ren og cirkulær økonomi senest i 2050, optimere ressourceforvaltningen og minimere forureningen. EU's kemikaliestrategi med bæredygtighed for øje</w:t>
      </w:r>
      <w:r w:rsidRPr="00393250">
        <w:rPr>
          <w:szCs w:val="24"/>
          <w:vertAlign w:val="superscript"/>
          <w:lang w:val="en-GB" w:eastAsia="en-US"/>
        </w:rPr>
        <w:footnoteReference w:id="11"/>
      </w:r>
      <w:r w:rsidRPr="00393250">
        <w:rPr>
          <w:szCs w:val="24"/>
          <w:lang w:eastAsia="en-US"/>
        </w:rPr>
        <w:t xml:space="preserve"> og handlingsplanen for nulforurening</w:t>
      </w:r>
      <w:r w:rsidRPr="00393250">
        <w:rPr>
          <w:szCs w:val="24"/>
          <w:vertAlign w:val="superscript"/>
          <w:lang w:val="en-GB" w:eastAsia="en-US"/>
        </w:rPr>
        <w:footnoteReference w:id="12"/>
      </w:r>
      <w:r w:rsidRPr="00393250">
        <w:rPr>
          <w:szCs w:val="24"/>
          <w:lang w:eastAsia="en-US"/>
        </w:rPr>
        <w:t xml:space="preserve"> omhandler specifikt forureningsaspekterne i den europæiske grønne pagt. Andre særligt relevante og supplerende politikker omfatter EU's plaststrategi fra 2018</w:t>
      </w:r>
      <w:r w:rsidRPr="00393250">
        <w:rPr>
          <w:szCs w:val="24"/>
          <w:vertAlign w:val="superscript"/>
          <w:lang w:val="en-GB" w:eastAsia="en-US"/>
        </w:rPr>
        <w:footnoteReference w:id="13"/>
      </w:r>
      <w:r w:rsidRPr="00393250">
        <w:rPr>
          <w:szCs w:val="24"/>
          <w:lang w:eastAsia="en-US"/>
        </w:rPr>
        <w:t>, lægemiddelstrategien for Europa fra 2021</w:t>
      </w:r>
      <w:r w:rsidRPr="00393250">
        <w:rPr>
          <w:szCs w:val="24"/>
          <w:vertAlign w:val="superscript"/>
          <w:lang w:val="en-GB" w:eastAsia="en-US"/>
        </w:rPr>
        <w:footnoteReference w:id="14"/>
      </w:r>
      <w:r w:rsidRPr="00393250">
        <w:rPr>
          <w:szCs w:val="24"/>
          <w:lang w:eastAsia="en-US"/>
        </w:rPr>
        <w:t>, biodiversitetsstrategien</w:t>
      </w:r>
      <w:r w:rsidRPr="00393250">
        <w:rPr>
          <w:szCs w:val="24"/>
          <w:vertAlign w:val="superscript"/>
          <w:lang w:val="en-GB" w:eastAsia="en-US"/>
        </w:rPr>
        <w:footnoteReference w:id="15"/>
      </w:r>
      <w:r w:rsidRPr="00393250">
        <w:rPr>
          <w:szCs w:val="24"/>
          <w:lang w:eastAsia="en-US"/>
        </w:rPr>
        <w:t>, jord til bord-strategien</w:t>
      </w:r>
      <w:r w:rsidRPr="00393250">
        <w:rPr>
          <w:szCs w:val="24"/>
          <w:vertAlign w:val="superscript"/>
          <w:lang w:val="en-GB" w:eastAsia="en-US"/>
        </w:rPr>
        <w:footnoteReference w:id="16"/>
      </w:r>
      <w:r w:rsidRPr="00393250">
        <w:rPr>
          <w:szCs w:val="24"/>
          <w:lang w:eastAsia="en-US"/>
        </w:rPr>
        <w:t>, EU's jordbundsstrategi for 2030</w:t>
      </w:r>
      <w:r w:rsidRPr="00393250">
        <w:rPr>
          <w:szCs w:val="24"/>
          <w:vertAlign w:val="superscript"/>
          <w:lang w:val="en-GB" w:eastAsia="en-US"/>
        </w:rPr>
        <w:footnoteReference w:id="17"/>
      </w:r>
      <w:r w:rsidRPr="00393250">
        <w:rPr>
          <w:szCs w:val="24"/>
          <w:lang w:eastAsia="en-US"/>
        </w:rPr>
        <w:t>, EU's digitale strategi</w:t>
      </w:r>
      <w:r w:rsidRPr="00393250">
        <w:rPr>
          <w:szCs w:val="24"/>
          <w:vertAlign w:val="superscript"/>
          <w:lang w:val="en-GB" w:eastAsia="en-US"/>
        </w:rPr>
        <w:footnoteReference w:id="18"/>
      </w:r>
      <w:r w:rsidRPr="00393250">
        <w:rPr>
          <w:szCs w:val="24"/>
          <w:lang w:eastAsia="en-US"/>
        </w:rPr>
        <w:t xml:space="preserve"> og EU's datastrategi</w:t>
      </w:r>
      <w:r w:rsidRPr="00393250">
        <w:rPr>
          <w:szCs w:val="24"/>
          <w:vertAlign w:val="superscript"/>
          <w:lang w:val="en-GB" w:eastAsia="en-US"/>
        </w:rPr>
        <w:footnoteReference w:id="19"/>
      </w:r>
      <w:r w:rsidRPr="00393250">
        <w:rPr>
          <w:szCs w:val="24"/>
          <w:lang w:eastAsia="en-US"/>
        </w:rPr>
        <w:t>.</w:t>
      </w:r>
    </w:p>
    <w:p w14:paraId="53BF79D7" w14:textId="77777777" w:rsidR="002E3759" w:rsidRPr="00393250" w:rsidRDefault="002E3759">
      <w:pPr>
        <w:widowControl/>
        <w:rPr>
          <w:b/>
          <w:i/>
          <w:szCs w:val="24"/>
          <w:lang w:eastAsia="en-US"/>
        </w:rPr>
      </w:pPr>
      <w:r w:rsidRPr="00393250">
        <w:rPr>
          <w:b/>
          <w:i/>
          <w:szCs w:val="24"/>
          <w:lang w:eastAsia="en-US"/>
        </w:rPr>
        <w:br w:type="page"/>
      </w:r>
    </w:p>
    <w:p w14:paraId="7FFE0C3A" w14:textId="7386E0DE" w:rsidR="008A5B47" w:rsidRPr="00393250" w:rsidRDefault="008A5B47" w:rsidP="008A5B47">
      <w:pPr>
        <w:spacing w:before="120" w:after="120" w:line="360" w:lineRule="auto"/>
        <w:ind w:left="850" w:hanging="850"/>
        <w:rPr>
          <w:b/>
          <w:szCs w:val="24"/>
          <w:lang w:eastAsia="en-US"/>
        </w:rPr>
      </w:pPr>
      <w:r w:rsidRPr="00393250">
        <w:rPr>
          <w:b/>
          <w:i/>
          <w:szCs w:val="24"/>
          <w:lang w:eastAsia="en-US"/>
        </w:rPr>
        <w:lastRenderedPageBreak/>
        <w:t>(3a)</w:t>
      </w:r>
      <w:r w:rsidRPr="00393250">
        <w:rPr>
          <w:szCs w:val="24"/>
          <w:lang w:eastAsia="en-US"/>
        </w:rPr>
        <w:tab/>
      </w:r>
      <w:r w:rsidRPr="00393250">
        <w:rPr>
          <w:b/>
          <w:i/>
          <w:szCs w:val="24"/>
          <w:lang w:eastAsia="en-US"/>
        </w:rPr>
        <w:t>Målene om at opnå "god tilstand for vandområder" og sikre, at der er vand til rådighed, er tværgående og forfølges ofte ikke på en tilstrækkeligt sammenhængende måde. God vandforvaltning bør integreres i alle EU-politikker, der vedrører vandforbrugende sektorer.</w:t>
      </w:r>
      <w:r w:rsidR="002E3759" w:rsidRPr="00393250">
        <w:rPr>
          <w:b/>
          <w:szCs w:val="24"/>
          <w:lang w:eastAsia="en-US"/>
        </w:rPr>
        <w:t xml:space="preserve"> [Ændring 16]</w:t>
      </w:r>
    </w:p>
    <w:p w14:paraId="50280C39" w14:textId="5CD49BE7" w:rsidR="008A5B47" w:rsidRPr="00393250" w:rsidRDefault="008A5B47" w:rsidP="008A5B47">
      <w:pPr>
        <w:spacing w:before="120" w:after="120" w:line="360" w:lineRule="auto"/>
        <w:ind w:left="850" w:hanging="850"/>
        <w:rPr>
          <w:b/>
          <w:szCs w:val="24"/>
          <w:lang w:eastAsia="en-US"/>
        </w:rPr>
      </w:pPr>
      <w:r w:rsidRPr="00393250">
        <w:rPr>
          <w:b/>
          <w:i/>
          <w:szCs w:val="24"/>
          <w:lang w:eastAsia="en-US"/>
        </w:rPr>
        <w:t>(3b)</w:t>
      </w:r>
      <w:r w:rsidRPr="00393250">
        <w:rPr>
          <w:szCs w:val="24"/>
          <w:lang w:eastAsia="en-US"/>
        </w:rPr>
        <w:tab/>
      </w:r>
      <w:r w:rsidRPr="00393250">
        <w:rPr>
          <w:b/>
          <w:i/>
          <w:szCs w:val="24"/>
          <w:lang w:eastAsia="en-US"/>
        </w:rPr>
        <w:t>I forbindelse med kvalitetskontrollen blev det påpeget, at det var nødvendigt at integrere vandmålene bedre i landbrugspolitikken. Med den nye fælles landbrugspolitik blev der indført foranstaltninger, som gør vandforvaltningen mere bæredygtig. For at få bedre sammenhæng mellem landbrugs‑ og vandpolitikken bør medlemsstaterne gøre fuld brug af de muligheder, der er til rådighed i den nye fælles landbrugspolitik og integrere vandrelaterede spørgsmål fuldt ud i deres strategiske planer, herunder brug af det landbrugsfaglige viden- og innovationsnetværk (AKIS), og lette udviklingen af rådgivningstjenester for at fremme bedste praksis i forbindelse med vandforvaltning.</w:t>
      </w:r>
      <w:r w:rsidR="002E3759" w:rsidRPr="00393250">
        <w:rPr>
          <w:b/>
          <w:szCs w:val="24"/>
          <w:lang w:eastAsia="en-US"/>
        </w:rPr>
        <w:t xml:space="preserve"> [Ændring 17]</w:t>
      </w:r>
    </w:p>
    <w:p w14:paraId="0993826E" w14:textId="77777777" w:rsidR="002E3759" w:rsidRPr="00393250" w:rsidRDefault="002E3759">
      <w:pPr>
        <w:widowControl/>
        <w:rPr>
          <w:szCs w:val="24"/>
          <w:lang w:eastAsia="en-US"/>
        </w:rPr>
      </w:pPr>
      <w:r w:rsidRPr="00393250">
        <w:rPr>
          <w:szCs w:val="24"/>
          <w:lang w:eastAsia="en-US"/>
        </w:rPr>
        <w:br w:type="page"/>
      </w:r>
    </w:p>
    <w:p w14:paraId="2B69C9FD" w14:textId="3D38BEF4" w:rsidR="008A5B47" w:rsidRPr="00393250" w:rsidRDefault="008A5B47" w:rsidP="008A5B47">
      <w:pPr>
        <w:spacing w:before="120" w:after="120" w:line="360" w:lineRule="auto"/>
        <w:ind w:left="850" w:hanging="850"/>
        <w:rPr>
          <w:b/>
          <w:szCs w:val="24"/>
          <w:lang w:eastAsia="en-US"/>
        </w:rPr>
      </w:pPr>
      <w:r w:rsidRPr="00393250">
        <w:rPr>
          <w:szCs w:val="24"/>
          <w:lang w:eastAsia="en-US"/>
        </w:rPr>
        <w:lastRenderedPageBreak/>
        <w:t>(4)</w:t>
      </w:r>
      <w:r w:rsidRPr="00393250">
        <w:rPr>
          <w:szCs w:val="24"/>
          <w:lang w:eastAsia="en-US"/>
        </w:rPr>
        <w:tab/>
        <w:t>Ved Europa-Parlamentets og Rådets direktiv 2000/60/EF</w:t>
      </w:r>
      <w:r w:rsidRPr="00393250">
        <w:rPr>
          <w:szCs w:val="24"/>
          <w:vertAlign w:val="superscript"/>
          <w:lang w:val="en-GB" w:eastAsia="en-US"/>
        </w:rPr>
        <w:footnoteReference w:id="20"/>
      </w:r>
      <w:r w:rsidRPr="00393250">
        <w:rPr>
          <w:strike/>
          <w:szCs w:val="24"/>
          <w:lang w:eastAsia="en-US"/>
        </w:rPr>
        <w:t>fastlægges der</w:t>
      </w:r>
      <w:r w:rsidRPr="00393250">
        <w:rPr>
          <w:b/>
          <w:i/>
          <w:szCs w:val="24"/>
          <w:lang w:eastAsia="en-US"/>
        </w:rPr>
        <w:t>er der fastlagt</w:t>
      </w:r>
      <w:r w:rsidRPr="00393250">
        <w:rPr>
          <w:szCs w:val="24"/>
          <w:lang w:eastAsia="en-US"/>
        </w:rPr>
        <w:t xml:space="preserve"> en ramme for beskyttelse af Unionens vandløb og søer, overgangsvande, kystvande og grundvand. Denne ramme omfatter </w:t>
      </w:r>
      <w:r w:rsidRPr="00393250">
        <w:rPr>
          <w:strike/>
          <w:szCs w:val="24"/>
          <w:lang w:eastAsia="en-US"/>
        </w:rPr>
        <w:t>identificering</w:t>
      </w:r>
      <w:r w:rsidRPr="00393250">
        <w:rPr>
          <w:b/>
          <w:i/>
          <w:szCs w:val="24"/>
          <w:lang w:eastAsia="en-US"/>
        </w:rPr>
        <w:t>udpegelse</w:t>
      </w:r>
      <w:r w:rsidRPr="00393250">
        <w:rPr>
          <w:szCs w:val="24"/>
          <w:lang w:eastAsia="en-US"/>
        </w:rPr>
        <w:t xml:space="preserve"> af prioriterede stoffer blandt de stoffer, der udgør en væsentlig risiko for vandmiljøet eller via vandmiljøet på EU-plan. Ved Europa-Parlamentets og Rådets direktiv 2008/105/EF</w:t>
      </w:r>
      <w:r w:rsidRPr="00393250">
        <w:rPr>
          <w:szCs w:val="24"/>
          <w:vertAlign w:val="superscript"/>
          <w:lang w:val="en-GB" w:eastAsia="en-US"/>
        </w:rPr>
        <w:footnoteReference w:id="21"/>
      </w:r>
      <w:r w:rsidRPr="00393250">
        <w:rPr>
          <w:szCs w:val="24"/>
          <w:lang w:eastAsia="en-US"/>
        </w:rPr>
        <w:t xml:space="preserve"> fastsættes der EU-dækkende miljøkvalitetskrav (EQS) for de 45 prioriterede stoffer, der er anført i bilag X til direktiv 2000/60/EF, og otte andre forurenende stoffer, som allerede var reguleret på EU-plan, inden bilag X blev indført ved Europa-Parlamentets og Rådets beslutning nr. 2455/2001/EF</w:t>
      </w:r>
      <w:r w:rsidRPr="00393250">
        <w:rPr>
          <w:szCs w:val="24"/>
          <w:vertAlign w:val="superscript"/>
          <w:lang w:val="en-GB" w:eastAsia="en-US"/>
        </w:rPr>
        <w:footnoteReference w:id="22"/>
      </w:r>
      <w:r w:rsidRPr="00393250">
        <w:rPr>
          <w:szCs w:val="24"/>
          <w:lang w:eastAsia="en-US"/>
        </w:rPr>
        <w:t>. Ved Europa-Parlamentets og Rådets direktiv 2006/118/EF</w:t>
      </w:r>
      <w:r w:rsidRPr="00393250">
        <w:rPr>
          <w:szCs w:val="24"/>
          <w:vertAlign w:val="superscript"/>
          <w:lang w:val="en-GB" w:eastAsia="en-US"/>
        </w:rPr>
        <w:footnoteReference w:id="23"/>
      </w:r>
      <w:r w:rsidRPr="00393250">
        <w:rPr>
          <w:szCs w:val="24"/>
          <w:lang w:eastAsia="en-US"/>
        </w:rPr>
        <w:t xml:space="preserve"> fastsættes der EU-dækkende grundvandskvalitetskrav for nitrater og aktive stoffer i pesticider samt kriterier for fastsættelse af nationale tærskelværdier for andre forurenende stoffer i grundvandet. Det indeholder også en minimumsliste med 12 forurenende stoffer og deres indikatorer, for hvilke medlemsstaterne skal </w:t>
      </w:r>
      <w:r w:rsidRPr="00393250">
        <w:rPr>
          <w:strike/>
          <w:szCs w:val="24"/>
          <w:lang w:eastAsia="en-US"/>
        </w:rPr>
        <w:t xml:space="preserve">overveje at </w:t>
      </w:r>
      <w:r w:rsidRPr="00393250">
        <w:rPr>
          <w:szCs w:val="24"/>
          <w:lang w:eastAsia="en-US"/>
        </w:rPr>
        <w:t>fastsætte sådanne nationale tærskelværdier. Kvalitetskravene for grundvand er fastsat i bilag I til direktiv 2006/118/EF.</w:t>
      </w:r>
      <w:r w:rsidR="002E3759" w:rsidRPr="00393250">
        <w:rPr>
          <w:b/>
          <w:szCs w:val="24"/>
          <w:lang w:eastAsia="en-US"/>
        </w:rPr>
        <w:t xml:space="preserve"> [Ændring 18]</w:t>
      </w:r>
    </w:p>
    <w:p w14:paraId="0A2BEA27" w14:textId="77777777" w:rsidR="002E3759" w:rsidRPr="00393250" w:rsidRDefault="002E3759">
      <w:pPr>
        <w:widowControl/>
        <w:rPr>
          <w:b/>
          <w:i/>
          <w:szCs w:val="24"/>
          <w:lang w:eastAsia="en-US"/>
        </w:rPr>
      </w:pPr>
      <w:r w:rsidRPr="00393250">
        <w:rPr>
          <w:b/>
          <w:i/>
          <w:szCs w:val="24"/>
          <w:lang w:eastAsia="en-US"/>
        </w:rPr>
        <w:br w:type="page"/>
      </w:r>
    </w:p>
    <w:p w14:paraId="1476BC3D" w14:textId="20D79F8E" w:rsidR="008A5B47" w:rsidRPr="00393250" w:rsidRDefault="008A5B47" w:rsidP="008A5B47">
      <w:pPr>
        <w:spacing w:before="120" w:after="120" w:line="360" w:lineRule="auto"/>
        <w:ind w:left="850" w:hanging="850"/>
        <w:rPr>
          <w:b/>
          <w:szCs w:val="24"/>
          <w:lang w:eastAsia="en-US"/>
        </w:rPr>
      </w:pPr>
      <w:r w:rsidRPr="00393250">
        <w:rPr>
          <w:b/>
          <w:i/>
          <w:szCs w:val="24"/>
          <w:lang w:eastAsia="en-US"/>
        </w:rPr>
        <w:lastRenderedPageBreak/>
        <w:t>(4a)</w:t>
      </w:r>
      <w:r w:rsidRPr="00393250">
        <w:rPr>
          <w:szCs w:val="24"/>
          <w:lang w:eastAsia="en-US"/>
        </w:rPr>
        <w:tab/>
      </w:r>
      <w:r w:rsidRPr="00393250">
        <w:rPr>
          <w:b/>
          <w:i/>
          <w:szCs w:val="24"/>
          <w:lang w:eastAsia="en-US"/>
        </w:rPr>
        <w:t>Medlemsstaterne bør sikre, at forurening ved udledning, emission eller tab af prioriterede farlige stoffer ophører eller udfases inden for en passende tidsfrist og under alle omstændigheder senest 20 år efter, at et givet prioriteret stof er opført som farligt i del A i bilag I til direktiv 2008/105/EF. Denne tidsfrist bør finde anvendelse, uden at dette berører strengere tidsfrister i eventuel anden gældende EU-lovgivning.</w:t>
      </w:r>
      <w:r w:rsidR="009B4CFE" w:rsidRPr="00393250">
        <w:rPr>
          <w:b/>
          <w:szCs w:val="24"/>
          <w:lang w:eastAsia="en-US"/>
        </w:rPr>
        <w:t xml:space="preserve"> [Ændring 19]</w:t>
      </w:r>
    </w:p>
    <w:p w14:paraId="2A203505" w14:textId="27260A52" w:rsidR="008A5B47" w:rsidRPr="00393250" w:rsidRDefault="008A5B47" w:rsidP="008A5B47">
      <w:pPr>
        <w:spacing w:before="120" w:after="120" w:line="360" w:lineRule="auto"/>
        <w:ind w:left="850" w:hanging="850"/>
        <w:rPr>
          <w:b/>
          <w:szCs w:val="24"/>
          <w:lang w:eastAsia="en-US"/>
        </w:rPr>
      </w:pPr>
      <w:r w:rsidRPr="00393250">
        <w:rPr>
          <w:szCs w:val="24"/>
          <w:lang w:eastAsia="en-US"/>
        </w:rPr>
        <w:t>(5)</w:t>
      </w:r>
      <w:r w:rsidRPr="00393250">
        <w:rPr>
          <w:szCs w:val="24"/>
          <w:lang w:eastAsia="en-US"/>
        </w:rPr>
        <w:tab/>
        <w:t xml:space="preserve">Stoffer overvejes optaget i bilag X til direktiv 2000/60/EF eller i bilag I eller II til direktiv 2006/118/EF på grundlag af en vurdering af den risiko, de udgør for mennesker og vandmiljø. De vigtigste elementer i denne vurdering er viden om stoffernes miljøkoncentrationer, herunder oplysninger indsamlet fra overvågning af observationslister, og om stoffernes (øko-)toksikologi samt deres persistens, bioakkumulering, </w:t>
      </w:r>
      <w:r w:rsidRPr="00393250">
        <w:rPr>
          <w:b/>
          <w:i/>
          <w:szCs w:val="24"/>
          <w:lang w:eastAsia="en-US"/>
        </w:rPr>
        <w:t xml:space="preserve">toksicitet, mobilitet, </w:t>
      </w:r>
      <w:r w:rsidRPr="00393250">
        <w:rPr>
          <w:szCs w:val="24"/>
          <w:lang w:eastAsia="en-US"/>
        </w:rPr>
        <w:t>carcinogenicitet, mutagenicitet, reproduktionstoksiske egenskaber og potentielt hormonforstyrrende egenskaber.</w:t>
      </w:r>
      <w:r w:rsidR="009B4CFE" w:rsidRPr="00393250">
        <w:rPr>
          <w:b/>
          <w:szCs w:val="24"/>
          <w:lang w:eastAsia="en-US"/>
        </w:rPr>
        <w:t xml:space="preserve"> [Ændring 20]</w:t>
      </w:r>
    </w:p>
    <w:p w14:paraId="74799D06" w14:textId="77777777" w:rsidR="009B4CFE" w:rsidRPr="00393250" w:rsidRDefault="009B4CFE">
      <w:pPr>
        <w:widowControl/>
        <w:rPr>
          <w:szCs w:val="24"/>
          <w:lang w:eastAsia="en-US"/>
        </w:rPr>
      </w:pPr>
      <w:r w:rsidRPr="00393250">
        <w:rPr>
          <w:szCs w:val="24"/>
          <w:lang w:eastAsia="en-US"/>
        </w:rPr>
        <w:br w:type="page"/>
      </w:r>
    </w:p>
    <w:p w14:paraId="309ED7E2" w14:textId="7966B6A4"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(6)</w:t>
      </w:r>
      <w:r w:rsidRPr="00393250">
        <w:rPr>
          <w:szCs w:val="24"/>
          <w:lang w:eastAsia="en-US"/>
        </w:rPr>
        <w:tab/>
        <w:t>Kommissionen har foretaget en revision af listen over prioriterede stoffer i bilag X til direktiv 2000/60/EF i overensstemmelse med samme direktivs artikel 16, stk. 4, og artikel 8 i direktiv 2008/105/EF og en revision af listerne over stoffer i bilag I og II til direktiv 2006/118/EF i overensstemmelse med samme direktivs artikel 10, og den har på baggrund af ny videnskabelig viden konkluderet, at det er hensigtsmæssigt at ændre disse lister ved at tilføje nye stoffer, fastsætte miljøkvalitetskrav eller grundvandskvalitetskrav for disse nyligt tilføjede stoffer, revidere miljøkvalitetskravene for visse eksisterende stoffer i overensstemmelse med den videnskabelige udvikling og fastsætte miljøkvalitetskrav for biota for visse eksisterende og nyligt tilføjede stoffer. Kommissionen har også identificeret, hvilke yderligere stoffer der sandsynligvis vil blive akkumuleret i sedimenter eller biota, og præciseret, at tendensovervågning af sådanne stoffer bør foretages i sedimenter eller biota. Revisionerne af listen over prioriterede stoffer er blevet understøttet af en omfattende høring af eksperter fra Kommissionens tjenestegrene, medlemsstaterne, grupper af interesserede parter og Den Videnskabelige Komité for Sundheds- og Miljørisici og Nye Risici.</w:t>
      </w:r>
    </w:p>
    <w:p w14:paraId="5BAEF702" w14:textId="77777777" w:rsidR="009B4CFE" w:rsidRPr="00393250" w:rsidRDefault="009B4CFE">
      <w:pPr>
        <w:widowControl/>
        <w:rPr>
          <w:szCs w:val="24"/>
          <w:lang w:eastAsia="en-US"/>
        </w:rPr>
      </w:pPr>
      <w:r w:rsidRPr="00393250">
        <w:rPr>
          <w:szCs w:val="24"/>
          <w:lang w:eastAsia="en-US"/>
        </w:rPr>
        <w:br w:type="page"/>
      </w:r>
    </w:p>
    <w:p w14:paraId="58CCD57D" w14:textId="1655A761" w:rsidR="008A5B47" w:rsidRPr="00393250" w:rsidRDefault="008A5B47" w:rsidP="008A5B47">
      <w:pPr>
        <w:spacing w:before="120" w:after="120" w:line="360" w:lineRule="auto"/>
        <w:ind w:left="850" w:hanging="850"/>
        <w:rPr>
          <w:b/>
          <w:szCs w:val="24"/>
          <w:lang w:eastAsia="en-US"/>
        </w:rPr>
      </w:pPr>
      <w:r w:rsidRPr="00393250">
        <w:rPr>
          <w:szCs w:val="24"/>
          <w:lang w:eastAsia="en-US"/>
        </w:rPr>
        <w:lastRenderedPageBreak/>
        <w:t>(7)</w:t>
      </w:r>
      <w:r w:rsidRPr="00393250">
        <w:rPr>
          <w:szCs w:val="24"/>
          <w:lang w:eastAsia="en-US"/>
        </w:rPr>
        <w:tab/>
        <w:t xml:space="preserve">Der er behov for en kombination af kildekontrol og end-of-pipe-foranstaltninger for effektivt at håndtere de fleste forurenende stoffer i hele deres livscyklus, herunder, hvor det er relevant, kemisk design, tilladelser eller godkendelse, begrænsning af emissioner under fremstilling og anvendelse eller andre processer og affaldshåndtering. Fastsættelsen af nye eller strengere kvalitetskrav i vandområder supplerer og er derfor i overensstemmelse med anden EU-lovgivning, der omhandler eller </w:t>
      </w:r>
      <w:r w:rsidRPr="00393250">
        <w:rPr>
          <w:strike/>
          <w:szCs w:val="24"/>
          <w:lang w:eastAsia="en-US"/>
        </w:rPr>
        <w:t>kan</w:t>
      </w:r>
      <w:r w:rsidRPr="00393250">
        <w:rPr>
          <w:b/>
          <w:i/>
          <w:szCs w:val="24"/>
          <w:lang w:eastAsia="en-US"/>
        </w:rPr>
        <w:t>bør</w:t>
      </w:r>
      <w:r w:rsidRPr="00393250">
        <w:rPr>
          <w:szCs w:val="24"/>
          <w:lang w:eastAsia="en-US"/>
        </w:rPr>
        <w:t xml:space="preserve"> omhandle forureningsproblemet i en eller flere af disse faser, herunder Europa-Parlamentets og Rådets forordning (EF) nr. 1907/2006</w:t>
      </w:r>
      <w:r w:rsidRPr="00393250">
        <w:rPr>
          <w:szCs w:val="24"/>
          <w:vertAlign w:val="superscript"/>
          <w:lang w:val="en-GB" w:eastAsia="en-US"/>
        </w:rPr>
        <w:footnoteReference w:id="24"/>
      </w:r>
      <w:r w:rsidRPr="00393250">
        <w:rPr>
          <w:szCs w:val="24"/>
          <w:lang w:eastAsia="en-US"/>
        </w:rPr>
        <w:t>, Europa-Parlamentets og Rådets forordning (EF) nr. 1107/2009</w:t>
      </w:r>
      <w:r w:rsidRPr="00393250">
        <w:rPr>
          <w:szCs w:val="24"/>
          <w:vertAlign w:val="superscript"/>
          <w:lang w:val="en-GB" w:eastAsia="en-US"/>
        </w:rPr>
        <w:footnoteReference w:id="25"/>
      </w:r>
      <w:r w:rsidRPr="00393250">
        <w:rPr>
          <w:szCs w:val="24"/>
          <w:lang w:eastAsia="en-US"/>
        </w:rPr>
        <w:t>, Europa-Parlamentets og Rådets forordning (EU) nr. 528/2012</w:t>
      </w:r>
      <w:r w:rsidRPr="00393250">
        <w:rPr>
          <w:szCs w:val="24"/>
          <w:vertAlign w:val="superscript"/>
          <w:lang w:val="en-GB" w:eastAsia="en-US"/>
        </w:rPr>
        <w:footnoteReference w:id="26"/>
      </w:r>
      <w:r w:rsidRPr="00393250">
        <w:rPr>
          <w:szCs w:val="24"/>
          <w:lang w:eastAsia="en-US"/>
        </w:rPr>
        <w:t>, Europa-Parlamentets og Rådets forordning (EU) 2019/6</w:t>
      </w:r>
      <w:r w:rsidRPr="00393250">
        <w:rPr>
          <w:szCs w:val="24"/>
          <w:vertAlign w:val="superscript"/>
          <w:lang w:val="en-GB" w:eastAsia="en-US"/>
        </w:rPr>
        <w:footnoteReference w:id="27"/>
      </w:r>
      <w:r w:rsidRPr="00393250">
        <w:rPr>
          <w:szCs w:val="24"/>
          <w:lang w:eastAsia="en-US"/>
        </w:rPr>
        <w:t>, Europa-Parlamentets og Rådets direktiv 2001/83/EF</w:t>
      </w:r>
      <w:r w:rsidRPr="00393250">
        <w:rPr>
          <w:szCs w:val="24"/>
          <w:vertAlign w:val="superscript"/>
          <w:lang w:val="en-GB" w:eastAsia="en-US"/>
        </w:rPr>
        <w:footnoteReference w:id="28"/>
      </w:r>
      <w:r w:rsidRPr="00393250">
        <w:rPr>
          <w:szCs w:val="24"/>
          <w:lang w:eastAsia="en-US"/>
        </w:rPr>
        <w:t>, Europa-Parlamentets og Rådets direktiv 2009/128/EF</w:t>
      </w:r>
      <w:r w:rsidRPr="00393250">
        <w:rPr>
          <w:szCs w:val="24"/>
          <w:vertAlign w:val="superscript"/>
          <w:lang w:val="en-GB" w:eastAsia="en-US"/>
        </w:rPr>
        <w:footnoteReference w:id="29"/>
      </w:r>
      <w:r w:rsidRPr="00393250">
        <w:rPr>
          <w:szCs w:val="24"/>
          <w:lang w:eastAsia="en-US"/>
        </w:rPr>
        <w:t>, Europa-Parlamentets og Rådets direktiv 2010/75/EU</w:t>
      </w:r>
      <w:r w:rsidRPr="00393250">
        <w:rPr>
          <w:szCs w:val="24"/>
          <w:vertAlign w:val="superscript"/>
          <w:lang w:val="en-GB" w:eastAsia="en-US"/>
        </w:rPr>
        <w:footnoteReference w:id="30"/>
      </w:r>
      <w:r w:rsidRPr="00393250">
        <w:rPr>
          <w:szCs w:val="24"/>
          <w:lang w:eastAsia="en-US"/>
        </w:rPr>
        <w:t xml:space="preserve"> og Rådets direktiv 91/271/EØF</w:t>
      </w:r>
      <w:r w:rsidRPr="00393250">
        <w:rPr>
          <w:szCs w:val="24"/>
          <w:vertAlign w:val="superscript"/>
          <w:lang w:val="en-GB" w:eastAsia="en-US"/>
        </w:rPr>
        <w:footnoteReference w:id="31"/>
      </w:r>
      <w:r w:rsidRPr="00393250">
        <w:rPr>
          <w:szCs w:val="24"/>
          <w:lang w:eastAsia="en-US"/>
        </w:rPr>
        <w:t>.</w:t>
      </w:r>
      <w:r w:rsidRPr="00393250">
        <w:rPr>
          <w:b/>
          <w:i/>
          <w:szCs w:val="24"/>
          <w:lang w:eastAsia="en-US"/>
        </w:rPr>
        <w:t xml:space="preserve"> Hvis medlemsstaterne skal kunne nå miljømålene i artikel 4 i direktiv 2000/60/EF på den bedst mulige og mest omkostningseffektive måde, bør de, når de fastlægger deres indsatsprogrammer, sikre, at foranstaltninger til bekæmpelse af forurening ved kilden prioriteres frem for end-of-pipe-foranstaltninger, og at disse </w:t>
      </w:r>
      <w:r w:rsidRPr="00393250">
        <w:rPr>
          <w:b/>
          <w:i/>
          <w:szCs w:val="24"/>
          <w:lang w:eastAsia="en-US"/>
        </w:rPr>
        <w:lastRenderedPageBreak/>
        <w:t>foranstaltninger er i overensstemmelse med relevant sektorspecifik EU-lovgivning om forurening. Hvis der er risiko for, at foranstaltningerne til bekæmpelse af forurening ved kilden ikke indfrier målet om god tilstand i vandområderne, bør der anvendes end-of-pipe-foranstaltninger. Kommissionen bør udarbejde vejledning om bedste praksis for foranstaltninger til bekæmpelse af forurening ved kilden og end-of-pipe-foranstaltningers komplementaritet.</w:t>
      </w:r>
      <w:r w:rsidR="009B4CFE" w:rsidRPr="00393250">
        <w:rPr>
          <w:b/>
          <w:szCs w:val="24"/>
          <w:lang w:eastAsia="en-US"/>
        </w:rPr>
        <w:t xml:space="preserve"> [Ændring 21]</w:t>
      </w:r>
    </w:p>
    <w:p w14:paraId="60320A1D" w14:textId="77777777" w:rsidR="009B4CFE" w:rsidRPr="00393250" w:rsidRDefault="009B4CFE">
      <w:pPr>
        <w:widowControl/>
        <w:rPr>
          <w:b/>
          <w:i/>
          <w:szCs w:val="24"/>
          <w:lang w:eastAsia="en-US"/>
        </w:rPr>
      </w:pPr>
      <w:r w:rsidRPr="00393250">
        <w:rPr>
          <w:b/>
          <w:i/>
          <w:szCs w:val="24"/>
          <w:lang w:eastAsia="en-US"/>
        </w:rPr>
        <w:br w:type="page"/>
      </w:r>
    </w:p>
    <w:p w14:paraId="4526F4D3" w14:textId="2115F731" w:rsidR="008A5B47" w:rsidRPr="00393250" w:rsidRDefault="008A5B47" w:rsidP="008A5B47">
      <w:pPr>
        <w:spacing w:before="120" w:after="120" w:line="360" w:lineRule="auto"/>
        <w:ind w:left="850" w:hanging="850"/>
        <w:rPr>
          <w:b/>
          <w:szCs w:val="24"/>
          <w:lang w:eastAsia="en-US"/>
        </w:rPr>
      </w:pPr>
      <w:r w:rsidRPr="00393250">
        <w:rPr>
          <w:b/>
          <w:i/>
          <w:szCs w:val="24"/>
          <w:lang w:eastAsia="en-US"/>
        </w:rPr>
        <w:lastRenderedPageBreak/>
        <w:t>(7a)</w:t>
      </w:r>
      <w:r w:rsidRPr="00393250">
        <w:rPr>
          <w:szCs w:val="24"/>
          <w:lang w:eastAsia="en-US"/>
        </w:rPr>
        <w:tab/>
      </w:r>
      <w:r w:rsidRPr="00393250">
        <w:rPr>
          <w:b/>
          <w:i/>
          <w:szCs w:val="24"/>
          <w:lang w:eastAsia="en-US"/>
        </w:rPr>
        <w:t>Vandforurening er hovedsagelig resultatet af industrielle og landbrugsmæssige aktiviteter, spildevandsudledning og byafløb, herunder vand fra voldsomme uvejr. Kommissionen og medlemsstaterne bør blandt deres foranstaltninger prioritere tiltag til at reducere forurening ved kilden og håndhævelse heraf. I dette øjemed bør der sikres kohærens mellem alle dele af EU-lovgivningen og den nationale lovgivning, som adresserer forurenende emissioner ved kilden, for at reducere forureningen til niveauer, der ikke længere anses for at være skadelige for sundheden og for naturlige økosystemer.</w:t>
      </w:r>
      <w:r w:rsidR="009B4CFE" w:rsidRPr="00393250">
        <w:rPr>
          <w:b/>
          <w:szCs w:val="24"/>
          <w:lang w:eastAsia="en-US"/>
        </w:rPr>
        <w:t xml:space="preserve"> [Ændring 22]</w:t>
      </w:r>
    </w:p>
    <w:p w14:paraId="698F35F1" w14:textId="77777777" w:rsidR="009B4CFE" w:rsidRPr="00393250" w:rsidRDefault="009B4CFE">
      <w:pPr>
        <w:widowControl/>
        <w:rPr>
          <w:b/>
          <w:i/>
          <w:szCs w:val="24"/>
          <w:lang w:eastAsia="en-US"/>
        </w:rPr>
      </w:pPr>
      <w:r w:rsidRPr="00393250">
        <w:rPr>
          <w:b/>
          <w:i/>
          <w:szCs w:val="24"/>
          <w:lang w:eastAsia="en-US"/>
        </w:rPr>
        <w:br w:type="page"/>
      </w:r>
    </w:p>
    <w:p w14:paraId="028B2962" w14:textId="6F9774B0" w:rsidR="008A5B47" w:rsidRPr="00393250" w:rsidRDefault="008A5B47" w:rsidP="008A5B47">
      <w:pPr>
        <w:spacing w:before="120" w:after="120" w:line="360" w:lineRule="auto"/>
        <w:ind w:left="850" w:hanging="850"/>
        <w:rPr>
          <w:b/>
          <w:szCs w:val="24"/>
          <w:lang w:eastAsia="en-US"/>
        </w:rPr>
      </w:pPr>
      <w:r w:rsidRPr="00393250">
        <w:rPr>
          <w:b/>
          <w:i/>
          <w:szCs w:val="24"/>
          <w:lang w:eastAsia="en-US"/>
        </w:rPr>
        <w:lastRenderedPageBreak/>
        <w:t>(7b)</w:t>
      </w:r>
      <w:r w:rsidRPr="00393250">
        <w:rPr>
          <w:szCs w:val="24"/>
          <w:lang w:eastAsia="en-US"/>
        </w:rPr>
        <w:tab/>
      </w:r>
      <w:r w:rsidRPr="00393250">
        <w:rPr>
          <w:b/>
          <w:i/>
          <w:szCs w:val="24"/>
          <w:lang w:eastAsia="en-US"/>
        </w:rPr>
        <w:t>For at sikre at den lovgivning, der har til formål at forebygge forurening af overfladevand og grundvand, er ajourført hvad angår den hurtige udvikling af nye kemikalier, der som forurenende stoffer kan medføre betydelige risici for menneskers sundhed og vandmiljøet, bør de politiske mekanismer til påvisning og vurdering af sådanne stoffer, der giver anledning til bekymring, styrkes. I den forbindelse bør der udtænkes en tilgang, som muliggør overvågning og analyse af flere af sådanne stoffer eller grupper af stoffer på observationslisterne for overfladevand og grundvand. Stofferne eller gruppen af stoffer, der skal opføres på observationslisten, bør udvælges blandt de stoffer, for hvilke de foreliggende oplysninger tyder på, at de på EU-plan kan udgøre en væsentlig risiko for eller via vandmiljøet, og for hvilke overvågningsdataene er utilstrækkelige. Antallet af sådanne stoffer eller grupper af stoffer, der skal overvåges og analyseres i henhold til observationslisterne for overfladevand og grundvand, bør ikke begrænses.</w:t>
      </w:r>
      <w:r w:rsidR="007C4BE5" w:rsidRPr="00393250">
        <w:rPr>
          <w:b/>
          <w:szCs w:val="24"/>
          <w:lang w:eastAsia="en-US"/>
        </w:rPr>
        <w:t xml:space="preserve"> [Ændring 23]</w:t>
      </w:r>
    </w:p>
    <w:p w14:paraId="468DE01B" w14:textId="77777777" w:rsidR="007C4BE5" w:rsidRPr="00393250" w:rsidRDefault="007C4BE5">
      <w:pPr>
        <w:widowControl/>
        <w:rPr>
          <w:szCs w:val="24"/>
          <w:lang w:eastAsia="en-US"/>
        </w:rPr>
      </w:pPr>
      <w:r w:rsidRPr="00393250">
        <w:rPr>
          <w:szCs w:val="24"/>
          <w:lang w:eastAsia="en-US"/>
        </w:rPr>
        <w:br w:type="page"/>
      </w:r>
    </w:p>
    <w:p w14:paraId="2FBF4934" w14:textId="21F9E440" w:rsidR="008A5B47" w:rsidRPr="00393250" w:rsidRDefault="008A5B47" w:rsidP="008A5B47">
      <w:pPr>
        <w:spacing w:before="120" w:after="120" w:line="360" w:lineRule="auto"/>
        <w:ind w:left="850" w:hanging="850"/>
        <w:rPr>
          <w:b/>
          <w:szCs w:val="24"/>
          <w:lang w:eastAsia="en-US"/>
        </w:rPr>
      </w:pPr>
      <w:r w:rsidRPr="00393250">
        <w:rPr>
          <w:szCs w:val="24"/>
          <w:lang w:eastAsia="en-US"/>
        </w:rPr>
        <w:lastRenderedPageBreak/>
        <w:t>(8)</w:t>
      </w:r>
      <w:r w:rsidRPr="00393250">
        <w:rPr>
          <w:szCs w:val="24"/>
          <w:lang w:eastAsia="en-US"/>
        </w:rPr>
        <w:tab/>
        <w:t xml:space="preserve">Den nye videnskabelige viden peger i retning af en væsentlig risiko ved flere andre forurenende stoffer, der findes i vandområder, ud over dem, der allerede er reguleret.I grundvandet er der konstateret et særligt problem gennem frivillig overvågning af per- og polyfluoralkylstoffer (PFAS) og lægemidler. PFAS er blevet påvist ved mere end 70 % af grundvandsmålepunkterne i Unionen, og de eksisterende nationale tærskler overskrides klart på et betydeligt antal steder, og der findes også i vid udstrækning farmaceutiske stoffer. </w:t>
      </w:r>
      <w:r w:rsidRPr="00393250">
        <w:rPr>
          <w:b/>
          <w:i/>
          <w:szCs w:val="24"/>
          <w:lang w:eastAsia="en-US"/>
        </w:rPr>
        <w:t xml:space="preserve">Derfor bør der tilføjes et delsæt for specifik PFAS og PFAS i alt til listen over forurenende stoffer i grundvand. </w:t>
      </w:r>
      <w:r w:rsidRPr="00393250">
        <w:rPr>
          <w:szCs w:val="24"/>
          <w:lang w:eastAsia="en-US"/>
        </w:rPr>
        <w:t xml:space="preserve">I overfladevand er perfluoroctansulfonsyre og derivater heraf allerede opført som prioriterede stoffer, men andre PFAS anerkendes nu også at udgøre en risiko. </w:t>
      </w:r>
      <w:r w:rsidRPr="00393250">
        <w:rPr>
          <w:b/>
          <w:i/>
          <w:szCs w:val="24"/>
          <w:lang w:eastAsia="en-US"/>
        </w:rPr>
        <w:t xml:space="preserve">Derfor bør et delsæt for specifik PFAS og PFAS i alt tilføjes til listen over prioriterede stoffer. For at sikre en harmoniseret tilgang og lige vilkår i Unionen bør beføjelsen til at vedtage retsakter delegeres til Kommissionen i overensstemmelse med artikel 290 i TEUF med henblik på at ændre bilag I til direktiv 2006/118/EF ved at fastsætte et kvalitetskrav til PFAS i alt. </w:t>
      </w:r>
      <w:r w:rsidRPr="00393250">
        <w:rPr>
          <w:szCs w:val="24"/>
          <w:lang w:eastAsia="en-US"/>
        </w:rPr>
        <w:t>Ved overvågning af observationslister i henhold til artikel 8b i direktiv 2008/105/EF er der</w:t>
      </w:r>
      <w:r w:rsidRPr="00393250">
        <w:rPr>
          <w:b/>
          <w:i/>
          <w:szCs w:val="24"/>
          <w:lang w:eastAsia="en-US"/>
        </w:rPr>
        <w:t xml:space="preserve"> også</w:t>
      </w:r>
      <w:r w:rsidRPr="00393250">
        <w:rPr>
          <w:szCs w:val="24"/>
          <w:lang w:eastAsia="en-US"/>
        </w:rPr>
        <w:t xml:space="preserve"> blevet bekræftet en risiko forbundet med en række farmaceutiske stoffer i overfladevand, og de bør derfor føjes til listen over prioriterede stoffer.</w:t>
      </w:r>
      <w:r w:rsidR="007C4BE5" w:rsidRPr="00393250">
        <w:rPr>
          <w:b/>
          <w:szCs w:val="24"/>
          <w:lang w:eastAsia="en-US"/>
        </w:rPr>
        <w:t xml:space="preserve"> [Ændring 24]</w:t>
      </w:r>
    </w:p>
    <w:p w14:paraId="0AD09433" w14:textId="77777777" w:rsidR="007C4BE5" w:rsidRPr="00393250" w:rsidRDefault="007C4BE5">
      <w:pPr>
        <w:widowControl/>
        <w:rPr>
          <w:b/>
          <w:i/>
          <w:szCs w:val="24"/>
          <w:lang w:eastAsia="en-US"/>
        </w:rPr>
      </w:pPr>
      <w:r w:rsidRPr="00393250">
        <w:rPr>
          <w:b/>
          <w:i/>
          <w:szCs w:val="24"/>
          <w:lang w:eastAsia="en-US"/>
        </w:rPr>
        <w:br w:type="page"/>
      </w:r>
    </w:p>
    <w:p w14:paraId="58681700" w14:textId="4736B2B7" w:rsidR="008A5B47" w:rsidRPr="00393250" w:rsidRDefault="008A5B47" w:rsidP="008A5B47">
      <w:pPr>
        <w:spacing w:before="120" w:after="120" w:line="360" w:lineRule="auto"/>
        <w:ind w:left="850" w:hanging="850"/>
        <w:rPr>
          <w:b/>
          <w:szCs w:val="24"/>
          <w:lang w:eastAsia="en-US"/>
        </w:rPr>
      </w:pPr>
      <w:r w:rsidRPr="00393250">
        <w:rPr>
          <w:b/>
          <w:i/>
          <w:szCs w:val="24"/>
          <w:lang w:eastAsia="en-US"/>
        </w:rPr>
        <w:lastRenderedPageBreak/>
        <w:t>(8a)</w:t>
      </w:r>
      <w:r w:rsidRPr="00393250">
        <w:rPr>
          <w:szCs w:val="24"/>
          <w:lang w:eastAsia="en-US"/>
        </w:rPr>
        <w:tab/>
      </w:r>
      <w:r w:rsidRPr="00393250">
        <w:rPr>
          <w:b/>
          <w:i/>
          <w:szCs w:val="24"/>
          <w:lang w:eastAsia="en-US"/>
        </w:rPr>
        <w:t>Glyphosat er det mest brugte ukrudtsbekæmpelsesmiddel i Unionen til anvendelse i landbruget. Som et aktivt stof har det givet anledning til alvorlig bekymring med hensyn til dets indvirkning på menneskers sundhed og giftighed for vandmiljøet. I december 2022 besluttede Kommissionen at forlænge markedsføringstilladelsen for glyphosat midlertidigt med yderligere et år, indtil Den Europæiske Fødevaresikkerhedsautoritet har taget aktivstoffet op til fornyet vurdering i juli 2023. Forskellige nyere videnskabelige undersøgelser</w:t>
      </w:r>
      <w:r w:rsidRPr="00393250">
        <w:rPr>
          <w:szCs w:val="24"/>
          <w:vertAlign w:val="superscript"/>
          <w:lang w:val="en-GB" w:eastAsia="en-US"/>
        </w:rPr>
        <w:footnoteReference w:id="32"/>
      </w:r>
      <w:r w:rsidRPr="00393250">
        <w:rPr>
          <w:b/>
          <w:i/>
          <w:szCs w:val="24"/>
          <w:lang w:eastAsia="en-US"/>
        </w:rPr>
        <w:t xml:space="preserve"> tyder imidlertid på, at en miljøkvalitetsstandard (EQS) på under 0,1 </w:t>
      </w:r>
      <w:r w:rsidRPr="00393250">
        <w:rPr>
          <w:b/>
          <w:i/>
          <w:szCs w:val="24"/>
          <w:lang w:val="en-GB" w:eastAsia="en-US"/>
        </w:rPr>
        <w:t>μ</w:t>
      </w:r>
      <w:r w:rsidRPr="00393250">
        <w:rPr>
          <w:b/>
          <w:i/>
          <w:szCs w:val="24"/>
          <w:lang w:eastAsia="en-US"/>
        </w:rPr>
        <w:t xml:space="preserve">g/l for alle overfladevandområder bør overvejes på grundlag af toksiciteten for vandmiljøet af glyphosat-, AMPA- og glyphosatbaserede ukrudtsbekæmpelsesmidler. I betragtning af de kompetente EU-tilsynsmyndigheders igangværende vurderinger og de videnskabelige resultater af relevante undersøgelser vedrørende glyphosats indvirkning på vandlevende organismer og med henblik på at sikre god kemisk tilstand i størstedelen af EU's vandområder på grundlag af forsigtighedsprincippet bør der vedtages en fælles og ensartet AA-EQS på 0,1 </w:t>
      </w:r>
      <w:r w:rsidRPr="00393250">
        <w:rPr>
          <w:b/>
          <w:i/>
          <w:szCs w:val="24"/>
          <w:lang w:val="en-GB" w:eastAsia="en-US"/>
        </w:rPr>
        <w:t>μ</w:t>
      </w:r>
      <w:r w:rsidRPr="00393250">
        <w:rPr>
          <w:b/>
          <w:i/>
          <w:szCs w:val="24"/>
          <w:lang w:eastAsia="en-US"/>
        </w:rPr>
        <w:t>g/l for vandløb og søer og, separat, for andet overfladevand, i relation til glyphosat.</w:t>
      </w:r>
      <w:r w:rsidR="007C4BE5" w:rsidRPr="00393250">
        <w:rPr>
          <w:b/>
          <w:szCs w:val="24"/>
          <w:lang w:eastAsia="en-US"/>
        </w:rPr>
        <w:t xml:space="preserve"> [Ændring 25]</w:t>
      </w:r>
    </w:p>
    <w:p w14:paraId="0E407708" w14:textId="77777777" w:rsidR="007C4BE5" w:rsidRPr="00393250" w:rsidRDefault="007C4BE5">
      <w:pPr>
        <w:widowControl/>
        <w:rPr>
          <w:b/>
          <w:i/>
          <w:szCs w:val="24"/>
          <w:lang w:eastAsia="en-US"/>
        </w:rPr>
      </w:pPr>
      <w:r w:rsidRPr="00393250">
        <w:rPr>
          <w:b/>
          <w:i/>
          <w:szCs w:val="24"/>
          <w:lang w:eastAsia="en-US"/>
        </w:rPr>
        <w:br w:type="page"/>
      </w:r>
    </w:p>
    <w:p w14:paraId="2C4733F1" w14:textId="7233EBFB" w:rsidR="008A5B47" w:rsidRPr="00393250" w:rsidRDefault="008A5B47" w:rsidP="008A5B47">
      <w:pPr>
        <w:spacing w:before="120" w:after="120" w:line="360" w:lineRule="auto"/>
        <w:ind w:left="850" w:hanging="850"/>
        <w:rPr>
          <w:b/>
          <w:szCs w:val="24"/>
          <w:lang w:eastAsia="en-US"/>
        </w:rPr>
      </w:pPr>
      <w:r w:rsidRPr="00393250">
        <w:rPr>
          <w:b/>
          <w:i/>
          <w:szCs w:val="24"/>
          <w:lang w:eastAsia="en-US"/>
        </w:rPr>
        <w:lastRenderedPageBreak/>
        <w:t>(8b)</w:t>
      </w:r>
      <w:r w:rsidRPr="00393250">
        <w:rPr>
          <w:szCs w:val="24"/>
          <w:lang w:eastAsia="en-US"/>
        </w:rPr>
        <w:tab/>
      </w:r>
      <w:r w:rsidRPr="00393250">
        <w:rPr>
          <w:b/>
          <w:i/>
          <w:szCs w:val="24"/>
          <w:lang w:eastAsia="en-US"/>
        </w:rPr>
        <w:t>Atrazin er et herbicid, der anvendes til etårigt bredbladet ukrudt og etårige græsarter i korn. I henhold til Kommissionens beslutning 2004/248/EF</w:t>
      </w:r>
      <w:r w:rsidRPr="00393250">
        <w:rPr>
          <w:szCs w:val="24"/>
          <w:vertAlign w:val="superscript"/>
          <w:lang w:val="en-GB" w:eastAsia="en-US"/>
        </w:rPr>
        <w:footnoteReference w:id="33"/>
      </w:r>
      <w:r w:rsidRPr="00393250">
        <w:rPr>
          <w:b/>
          <w:i/>
          <w:szCs w:val="24"/>
          <w:lang w:eastAsia="en-US"/>
        </w:rPr>
        <w:t xml:space="preserve"> er anvendelsen af atrazin i plantebeskyttelsesmidler ikke længere tilladt i Unionen. Atrazin har vist sig at være et hormonforstyrrende stof. Der er dokumentation for, at det påvirker reproduktion og udvikling, og det kan være kræftfremkaldende. Det Europæiske Miljøagentur konstaterede i forbindelse med sin vurdering af pesticider i forhold til effekt eller kvalitetstærskler mellem 2013 og 2020, at der blev påvist overskridelser for et eller flere pesticider, primært overskridelser for atrazin og dets metabolitter, på mellem 4</w:t>
      </w:r>
      <w:r w:rsidR="007C4BE5" w:rsidRPr="00393250">
        <w:rPr>
          <w:b/>
          <w:i/>
          <w:szCs w:val="24"/>
          <w:lang w:eastAsia="en-US"/>
        </w:rPr>
        <w:t> </w:t>
      </w:r>
      <w:r w:rsidRPr="00393250">
        <w:rPr>
          <w:b/>
          <w:i/>
          <w:szCs w:val="24"/>
          <w:lang w:eastAsia="en-US"/>
        </w:rPr>
        <w:t>% og 11</w:t>
      </w:r>
      <w:r w:rsidR="007C4BE5" w:rsidRPr="00393250">
        <w:rPr>
          <w:b/>
          <w:i/>
          <w:szCs w:val="24"/>
          <w:lang w:eastAsia="en-US"/>
        </w:rPr>
        <w:t> </w:t>
      </w:r>
      <w:r w:rsidRPr="00393250">
        <w:rPr>
          <w:b/>
          <w:i/>
          <w:szCs w:val="24"/>
          <w:lang w:eastAsia="en-US"/>
        </w:rPr>
        <w:t>% af grundvandsovervågningsstederne. I betragtning af stoffets vedvarende forekomst i Unionens overfladevand og grundvand og for at sikre, at tærskelværdierne for atrazin ikke overskrider miljøkvalitetskravene for det samlede indhold af pesticider og metabolitter, bør tærskelværdien for atrazin i bilag I til direktiv 2008/105/EF justeres, også i overensstemmelse med den tærskelværdi for samme stof, der er fastsat i direktiv (EU) 2020/2184</w:t>
      </w:r>
      <w:r w:rsidRPr="00393250">
        <w:rPr>
          <w:szCs w:val="24"/>
          <w:vertAlign w:val="superscript"/>
          <w:lang w:val="en-GB" w:eastAsia="en-US"/>
        </w:rPr>
        <w:footnoteReference w:id="34"/>
      </w:r>
      <w:r w:rsidRPr="00393250">
        <w:rPr>
          <w:b/>
          <w:i/>
          <w:szCs w:val="24"/>
          <w:lang w:eastAsia="en-US"/>
        </w:rPr>
        <w:t>.</w:t>
      </w:r>
      <w:r w:rsidR="007C4BE5" w:rsidRPr="00393250">
        <w:rPr>
          <w:b/>
          <w:szCs w:val="24"/>
          <w:lang w:eastAsia="en-US"/>
        </w:rPr>
        <w:t xml:space="preserve"> [Ændring 26]</w:t>
      </w:r>
    </w:p>
    <w:p w14:paraId="1FA70E4B" w14:textId="77777777" w:rsidR="004864F1" w:rsidRPr="00393250" w:rsidRDefault="004864F1">
      <w:pPr>
        <w:widowControl/>
        <w:rPr>
          <w:b/>
          <w:i/>
          <w:szCs w:val="24"/>
          <w:lang w:eastAsia="en-US"/>
        </w:rPr>
      </w:pPr>
      <w:r w:rsidRPr="00393250">
        <w:rPr>
          <w:b/>
          <w:i/>
          <w:szCs w:val="24"/>
          <w:lang w:eastAsia="en-US"/>
        </w:rPr>
        <w:br w:type="page"/>
      </w:r>
    </w:p>
    <w:p w14:paraId="42A06F54" w14:textId="5ABC6214" w:rsidR="008A5B47" w:rsidRPr="00393250" w:rsidRDefault="008A5B47" w:rsidP="008A5B47">
      <w:pPr>
        <w:spacing w:before="120" w:after="120" w:line="360" w:lineRule="auto"/>
        <w:ind w:left="850" w:hanging="850"/>
        <w:rPr>
          <w:b/>
          <w:szCs w:val="24"/>
          <w:lang w:eastAsia="en-US"/>
        </w:rPr>
      </w:pPr>
      <w:r w:rsidRPr="00393250">
        <w:rPr>
          <w:b/>
          <w:i/>
          <w:szCs w:val="24"/>
          <w:lang w:eastAsia="en-US"/>
        </w:rPr>
        <w:lastRenderedPageBreak/>
        <w:t>(8c)</w:t>
      </w:r>
      <w:r w:rsidRPr="00393250">
        <w:rPr>
          <w:szCs w:val="24"/>
          <w:lang w:eastAsia="en-US"/>
        </w:rPr>
        <w:tab/>
      </w:r>
      <w:r w:rsidRPr="00393250">
        <w:rPr>
          <w:b/>
          <w:i/>
          <w:szCs w:val="24"/>
          <w:lang w:eastAsia="en-US"/>
        </w:rPr>
        <w:t>Ifølge SCHEER</w:t>
      </w:r>
      <w:r w:rsidRPr="00393250">
        <w:rPr>
          <w:szCs w:val="24"/>
          <w:vertAlign w:val="superscript"/>
          <w:lang w:val="en-GB" w:eastAsia="en-US"/>
        </w:rPr>
        <w:footnoteReference w:id="35"/>
      </w:r>
      <w:r w:rsidRPr="00393250">
        <w:rPr>
          <w:b/>
          <w:i/>
          <w:szCs w:val="24"/>
          <w:lang w:eastAsia="en-US"/>
        </w:rPr>
        <w:t xml:space="preserve"> og EMA</w:t>
      </w:r>
      <w:r w:rsidRPr="00393250">
        <w:rPr>
          <w:szCs w:val="24"/>
          <w:vertAlign w:val="superscript"/>
          <w:lang w:val="en-GB" w:eastAsia="en-US"/>
        </w:rPr>
        <w:footnoteReference w:id="36"/>
      </w:r>
      <w:r w:rsidRPr="00393250">
        <w:rPr>
          <w:b/>
          <w:i/>
          <w:szCs w:val="24"/>
          <w:lang w:eastAsia="en-US"/>
        </w:rPr>
        <w:t xml:space="preserve"> blev det generiske kvalitetskrav på 0,1 </w:t>
      </w:r>
      <w:r w:rsidRPr="00393250">
        <w:rPr>
          <w:b/>
          <w:i/>
          <w:szCs w:val="24"/>
          <w:lang w:val="en-GB" w:eastAsia="en-US"/>
        </w:rPr>
        <w:t>μ</w:t>
      </w:r>
      <w:r w:rsidRPr="00393250">
        <w:rPr>
          <w:b/>
          <w:i/>
          <w:szCs w:val="24"/>
          <w:lang w:eastAsia="en-US"/>
        </w:rPr>
        <w:t xml:space="preserve">g/l og 0,5 µg/l for grundvand, som blev foreslået for henholdsvis individuelle pesticider og summen af alle pesticider, jf. direktiv 2006/118/EF, fastsat i 1980'erne på grundlag af den kemisk-analytiske følsomhed, der var tilgængelig på det tidspunkt. Det er ikke påvist, at standardværdien på 0,1 </w:t>
      </w:r>
      <w:r w:rsidRPr="00393250">
        <w:rPr>
          <w:b/>
          <w:i/>
          <w:szCs w:val="24"/>
          <w:lang w:val="en-GB" w:eastAsia="en-US"/>
        </w:rPr>
        <w:t>μ</w:t>
      </w:r>
      <w:r w:rsidRPr="00393250">
        <w:rPr>
          <w:b/>
          <w:i/>
          <w:szCs w:val="24"/>
          <w:lang w:eastAsia="en-US"/>
        </w:rPr>
        <w:t>g/l for individuelle pesticider i tilstrækkelig grad beskytter menneskers sundhed og grundvandsøkosystemet, og den er undertiden væsentligt højere sammenlignet med tærskelværdierne for en lang række pesticider og fungicider på listen over prioriterede stoffer i bilag I til direktiv 2008/105/EF. Kommissionen bør, også i betragtning af SCHEER's udtalelse om, at ingen tærskelværdier for grundvand bør være højere end miljøkvalitetskravet for overfladevand, gennemgå tærskelværdierne for individuelle pesticider og summen af alle pesticider, herunder deres relevante metabolitter, i bilag I til direktiv 2006/118/EF ved at anvende moderne analysemetoder og sammenligne dem i forhold til den bedste tilgængelige toksikologiske viden. Indtil denne gennemgang er foretaget – og i tråd med den forsigtighedstilgang, som drikkevandsudbyderne gav udtryk for i det europæiske memorandum om grundvand</w:t>
      </w:r>
      <w:r w:rsidRPr="00393250">
        <w:rPr>
          <w:szCs w:val="24"/>
          <w:vertAlign w:val="superscript"/>
          <w:lang w:val="en-GB" w:eastAsia="en-US"/>
        </w:rPr>
        <w:footnoteReference w:id="37"/>
      </w:r>
      <w:r w:rsidRPr="00393250">
        <w:rPr>
          <w:b/>
          <w:i/>
          <w:szCs w:val="24"/>
          <w:lang w:eastAsia="en-US"/>
        </w:rPr>
        <w:t xml:space="preserve"> – bør der fastsættes midlertidige tærskelværdier på grundlag af den bedste tilgængelige videnskabelige viden.</w:t>
      </w:r>
      <w:r w:rsidR="004864F1" w:rsidRPr="00393250">
        <w:rPr>
          <w:b/>
          <w:szCs w:val="24"/>
          <w:lang w:eastAsia="en-US"/>
        </w:rPr>
        <w:t xml:space="preserve"> [Ændring 27]</w:t>
      </w:r>
    </w:p>
    <w:p w14:paraId="3DB57D2A" w14:textId="77777777" w:rsidR="004864F1" w:rsidRPr="00393250" w:rsidRDefault="004864F1">
      <w:pPr>
        <w:widowControl/>
        <w:rPr>
          <w:b/>
          <w:i/>
          <w:szCs w:val="24"/>
          <w:lang w:eastAsia="en-US"/>
        </w:rPr>
      </w:pPr>
      <w:r w:rsidRPr="00393250">
        <w:rPr>
          <w:b/>
          <w:i/>
          <w:szCs w:val="24"/>
          <w:lang w:eastAsia="en-US"/>
        </w:rPr>
        <w:br w:type="page"/>
      </w:r>
    </w:p>
    <w:p w14:paraId="1FDBCDFF" w14:textId="7CC9B622" w:rsidR="008A5B47" w:rsidRPr="00393250" w:rsidRDefault="008A5B47" w:rsidP="008A5B47">
      <w:pPr>
        <w:spacing w:before="120" w:after="120" w:line="360" w:lineRule="auto"/>
        <w:ind w:left="850" w:hanging="850"/>
        <w:rPr>
          <w:b/>
          <w:szCs w:val="24"/>
          <w:lang w:eastAsia="en-US"/>
        </w:rPr>
      </w:pPr>
      <w:r w:rsidRPr="00393250">
        <w:rPr>
          <w:b/>
          <w:i/>
          <w:szCs w:val="24"/>
          <w:lang w:eastAsia="en-US"/>
        </w:rPr>
        <w:lastRenderedPageBreak/>
        <w:t>(8d)</w:t>
      </w:r>
      <w:r w:rsidRPr="00393250">
        <w:rPr>
          <w:szCs w:val="24"/>
          <w:lang w:eastAsia="en-US"/>
        </w:rPr>
        <w:tab/>
      </w:r>
      <w:r w:rsidRPr="00393250">
        <w:rPr>
          <w:b/>
          <w:i/>
          <w:szCs w:val="24"/>
          <w:lang w:eastAsia="en-US"/>
        </w:rPr>
        <w:t>Bisphenol A bør behandles som et prioriteret farligt stof og tilføjes til listen i bilag I til direktiv 2008/105/EF. Videnskabelige rapporter viser, at også andre bisphenoler end bisphenol A har påviste potentielt hormonforstyrrende egenskaber, og blandinger af disse bisphenoler udgør en økotoksikologisk risiko. Eftersom disse videnskabelige resultater giver anledning til bekymring med hensyn til en sikker brug af alternativer til bisphenoler, som kan have en negativ indvirkning på menneskers sundhed og miljøet, bør Kommissionen fastsætte en parameter for "bisphenoler i alt" og et passende miljøkvalitetskrav for det samlede indhold af bisphenolstoffer.</w:t>
      </w:r>
      <w:r w:rsidR="004864F1" w:rsidRPr="00393250">
        <w:rPr>
          <w:b/>
          <w:szCs w:val="24"/>
          <w:lang w:eastAsia="en-US"/>
        </w:rPr>
        <w:t xml:space="preserve"> [Ændring 28]</w:t>
      </w:r>
    </w:p>
    <w:p w14:paraId="4E7A795E" w14:textId="587317DB" w:rsidR="008A5B47" w:rsidRPr="00393250" w:rsidRDefault="008A5B47" w:rsidP="008A5B47">
      <w:pPr>
        <w:spacing w:before="120" w:after="120" w:line="360" w:lineRule="auto"/>
        <w:ind w:left="850" w:hanging="850"/>
        <w:rPr>
          <w:b/>
          <w:szCs w:val="24"/>
          <w:lang w:eastAsia="en-US"/>
        </w:rPr>
      </w:pPr>
      <w:r w:rsidRPr="00393250">
        <w:rPr>
          <w:b/>
          <w:i/>
          <w:szCs w:val="24"/>
          <w:lang w:eastAsia="en-US"/>
        </w:rPr>
        <w:t>(8e)</w:t>
      </w:r>
      <w:r w:rsidRPr="00393250">
        <w:rPr>
          <w:szCs w:val="24"/>
          <w:lang w:eastAsia="en-US"/>
        </w:rPr>
        <w:tab/>
      </w:r>
      <w:r w:rsidRPr="00393250">
        <w:rPr>
          <w:b/>
          <w:i/>
          <w:szCs w:val="24"/>
          <w:lang w:eastAsia="en-US"/>
        </w:rPr>
        <w:t>Ifølge Det Europæiske Lægemiddelagentur (EMA)</w:t>
      </w:r>
      <w:r w:rsidRPr="00393250">
        <w:rPr>
          <w:szCs w:val="24"/>
          <w:vertAlign w:val="superscript"/>
          <w:lang w:val="en-GB" w:eastAsia="en-US"/>
        </w:rPr>
        <w:footnoteReference w:id="38"/>
      </w:r>
      <w:r w:rsidRPr="00393250">
        <w:rPr>
          <w:b/>
          <w:i/>
          <w:szCs w:val="24"/>
          <w:lang w:eastAsia="en-US"/>
        </w:rPr>
        <w:t xml:space="preserve"> er grundvandsøkosystemer grundlæggende anderledes og kan derfor være mere sårbare overfor belastende faktorer end overfladevandsøkosystemer, idet de ikke kan genoprettes efter forstyrrelser. Derfor bør der anlægges en forsigtighedstilgang, når der fastsættes tærskelværdier for grundvand, for at beskytte menneskers sundhed, grundvandsøkosystemer og grundvandsafhængige økosystemer. I tråd med EMA's råd bør tærskelværdierne for grundvand som følge af denne sårbarhed normalt være ti gange lavere end de tilsvarende tærskelværdier for overfladevand. Når den faktiske risiko for grundvandsøkosystemer kan fastslås, kan det dog være hensigtsmæssigt, at fastsætte tærskelværdierne for grundvand på et andet niveau.</w:t>
      </w:r>
      <w:r w:rsidR="004864F1" w:rsidRPr="00393250">
        <w:rPr>
          <w:b/>
          <w:szCs w:val="24"/>
          <w:lang w:eastAsia="en-US"/>
        </w:rPr>
        <w:t xml:space="preserve"> [Ændring 29]</w:t>
      </w:r>
    </w:p>
    <w:p w14:paraId="57C624B3" w14:textId="77777777" w:rsidR="004864F1" w:rsidRPr="00393250" w:rsidRDefault="004864F1">
      <w:pPr>
        <w:widowControl/>
        <w:rPr>
          <w:szCs w:val="24"/>
          <w:lang w:eastAsia="en-US"/>
        </w:rPr>
      </w:pPr>
      <w:r w:rsidRPr="00393250">
        <w:rPr>
          <w:szCs w:val="24"/>
          <w:lang w:eastAsia="en-US"/>
        </w:rPr>
        <w:br w:type="page"/>
      </w:r>
    </w:p>
    <w:p w14:paraId="4B8EDACC" w14:textId="5267160F"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(9)</w:t>
      </w:r>
      <w:r w:rsidRPr="00393250">
        <w:rPr>
          <w:szCs w:val="24"/>
          <w:lang w:eastAsia="en-US"/>
        </w:rPr>
        <w:tab/>
        <w:t>Medlemsstaterne pålægges ved direktiv 2000/60/EF at identificere vandområder, der anvendes til indvinding af drikkevand, at kontrollere dem og at træffe de nødvendige foranstaltninger til at undgå, at deres kvalitet forringes, for derigennem at reducere omfanget af den rensning, der kræves til fremstilling af drikkevand. I den forbindelse er mikroplast blevet identificeret som en potentiel risiko for menneskers sundhed, men der er behov for flere overvågningsdata for at bekræfte behovet for at fastsætte et miljøkvalitetskrav for mikroplast i overfladevand og grundvand. Mikroplast bør derfor optages på observationslisterne for overfladevand og grundvand og bør overvåges, så snart Kommissionen har identificeret passende overvågningsmetoder. I den forbindelse bør der tages hensyn til de metoder til overvågning og vurdering af risiciene ved mikroplast i drikkevand, der er udviklet i henhold til Europa-Parlamentets og Rådets direktiv (EU) 2020/2184</w:t>
      </w:r>
      <w:r w:rsidRPr="00393250">
        <w:rPr>
          <w:szCs w:val="24"/>
          <w:vertAlign w:val="superscript"/>
          <w:lang w:val="en-GB" w:eastAsia="en-US"/>
        </w:rPr>
        <w:footnoteReference w:id="39"/>
      </w:r>
      <w:r w:rsidRPr="00393250">
        <w:rPr>
          <w:szCs w:val="24"/>
          <w:lang w:eastAsia="en-US"/>
        </w:rPr>
        <w:t>.</w:t>
      </w:r>
    </w:p>
    <w:p w14:paraId="40523403" w14:textId="77777777" w:rsidR="00971D22" w:rsidRPr="00393250" w:rsidRDefault="00971D22">
      <w:pPr>
        <w:widowControl/>
        <w:rPr>
          <w:b/>
          <w:i/>
          <w:szCs w:val="24"/>
          <w:lang w:eastAsia="en-US"/>
        </w:rPr>
      </w:pPr>
      <w:r w:rsidRPr="00393250">
        <w:rPr>
          <w:b/>
          <w:i/>
          <w:szCs w:val="24"/>
          <w:lang w:eastAsia="en-US"/>
        </w:rPr>
        <w:br w:type="page"/>
      </w:r>
    </w:p>
    <w:p w14:paraId="426CA12C" w14:textId="02EA1272" w:rsidR="008A5B47" w:rsidRPr="00393250" w:rsidRDefault="008A5B47" w:rsidP="008A5B47">
      <w:pPr>
        <w:spacing w:before="120" w:after="120" w:line="360" w:lineRule="auto"/>
        <w:ind w:left="850" w:hanging="850"/>
        <w:rPr>
          <w:b/>
          <w:szCs w:val="24"/>
          <w:lang w:eastAsia="en-US"/>
        </w:rPr>
      </w:pPr>
      <w:r w:rsidRPr="00393250">
        <w:rPr>
          <w:b/>
          <w:i/>
          <w:szCs w:val="24"/>
          <w:lang w:eastAsia="en-US"/>
        </w:rPr>
        <w:lastRenderedPageBreak/>
        <w:t>(9a)</w:t>
      </w:r>
      <w:r w:rsidRPr="00393250">
        <w:rPr>
          <w:szCs w:val="24"/>
          <w:lang w:eastAsia="en-US"/>
        </w:rPr>
        <w:tab/>
      </w:r>
      <w:r w:rsidRPr="00393250">
        <w:rPr>
          <w:b/>
          <w:i/>
          <w:szCs w:val="24"/>
          <w:lang w:eastAsia="en-US"/>
        </w:rPr>
        <w:t>I henhold til gældende EU-ret er medlemsstaterne forpligtet til at udpege berørte og udsatte vandområder, angive nitratsårbare zoner, udvikle handlingsprogrammer og gennemføre relevante foranstaltninger. I den forbindelse er der stadig behov for en forbedring af harmoniseringen af kontrolforanstaltninger og vandkvalitetsmålesystemer mellem medlemsstaterne for at muliggøre harmoniserede standarder i hele Unionen, som gør det muligt at foretage sammenligninger mellem medlemsstaterne, således at man undgår konkurrenceproblemer i den europæiske landbrugssektor og forstyrrelser i det indre marked.</w:t>
      </w:r>
      <w:r w:rsidR="00971D22" w:rsidRPr="00393250">
        <w:rPr>
          <w:b/>
          <w:szCs w:val="24"/>
          <w:lang w:eastAsia="en-US"/>
        </w:rPr>
        <w:t xml:space="preserve"> [Ændring 30]</w:t>
      </w:r>
    </w:p>
    <w:p w14:paraId="5C6FDF63" w14:textId="12161FBC" w:rsidR="008A5B47" w:rsidRPr="00393250" w:rsidRDefault="008A5B47" w:rsidP="008A5B47">
      <w:pPr>
        <w:spacing w:before="120" w:after="120" w:line="360" w:lineRule="auto"/>
        <w:ind w:left="850" w:hanging="850"/>
        <w:rPr>
          <w:b/>
          <w:szCs w:val="24"/>
          <w:lang w:eastAsia="en-US"/>
        </w:rPr>
      </w:pPr>
      <w:r w:rsidRPr="00393250">
        <w:rPr>
          <w:szCs w:val="24"/>
          <w:lang w:eastAsia="en-US"/>
        </w:rPr>
        <w:t>(10)</w:t>
      </w:r>
      <w:r w:rsidRPr="00393250">
        <w:rPr>
          <w:szCs w:val="24"/>
          <w:lang w:eastAsia="en-US"/>
        </w:rPr>
        <w:tab/>
      </w:r>
      <w:r w:rsidRPr="00393250">
        <w:rPr>
          <w:b/>
          <w:i/>
          <w:szCs w:val="24"/>
          <w:lang w:eastAsia="en-US"/>
        </w:rPr>
        <w:t>Det anslås, at mellem 900 000 og 1,7 millioner dødsfald rundt om i verden i 2019 skyldtes infektioner med antimikrobiel resistens (AMR)</w:t>
      </w:r>
      <w:r w:rsidRPr="00393250">
        <w:rPr>
          <w:szCs w:val="24"/>
          <w:vertAlign w:val="superscript"/>
          <w:lang w:val="en-GB" w:eastAsia="en-US"/>
        </w:rPr>
        <w:footnoteReference w:id="40"/>
      </w:r>
      <w:r w:rsidRPr="00393250">
        <w:rPr>
          <w:b/>
          <w:i/>
          <w:szCs w:val="24"/>
          <w:lang w:eastAsia="en-US"/>
        </w:rPr>
        <w:t xml:space="preserve">. </w:t>
      </w:r>
      <w:r w:rsidRPr="00393250">
        <w:rPr>
          <w:szCs w:val="24"/>
          <w:lang w:eastAsia="en-US"/>
        </w:rPr>
        <w:t>Der er</w:t>
      </w:r>
      <w:r w:rsidRPr="00393250">
        <w:rPr>
          <w:b/>
          <w:i/>
          <w:szCs w:val="24"/>
          <w:lang w:eastAsia="en-US"/>
        </w:rPr>
        <w:t xml:space="preserve"> samtidig</w:t>
      </w:r>
      <w:r w:rsidRPr="00393250">
        <w:rPr>
          <w:szCs w:val="24"/>
          <w:lang w:eastAsia="en-US"/>
        </w:rPr>
        <w:t xml:space="preserve"> udtrykt bekymring over risikoen for, at antimikrobiel resistens vil udvikle sig som følge af tilstedeværelsen af antimikrobielle mikroorganismer og gener for antimikrobiel resistens i vandmiljøet, men der har kun fundet begrænset overvågning sted. Relevante gener for antimikrobiel resistens bør også medtages på observationslisterne for overfladevand og grundvand og overvåges, så snart der er udviklet passende overvågningsmetoder. Dette er i overensstemmelse med den europæiske One Health-handlingsplan mod antimikrobiel resistens, som Kommissionen vedtog i juni 2017, og med lægemiddelstrategien for Europa, som også tager fat på dette problem.</w:t>
      </w:r>
      <w:r w:rsidR="00971D22" w:rsidRPr="00393250">
        <w:rPr>
          <w:b/>
          <w:szCs w:val="24"/>
          <w:lang w:eastAsia="en-US"/>
        </w:rPr>
        <w:t xml:space="preserve"> [Ændring 31]</w:t>
      </w:r>
    </w:p>
    <w:p w14:paraId="36CB9028" w14:textId="77777777" w:rsidR="00971D22" w:rsidRPr="00393250" w:rsidRDefault="00971D22">
      <w:pPr>
        <w:widowControl/>
        <w:rPr>
          <w:b/>
          <w:i/>
          <w:szCs w:val="24"/>
          <w:lang w:eastAsia="en-US"/>
        </w:rPr>
      </w:pPr>
      <w:r w:rsidRPr="00393250">
        <w:rPr>
          <w:b/>
          <w:i/>
          <w:szCs w:val="24"/>
          <w:lang w:eastAsia="en-US"/>
        </w:rPr>
        <w:br w:type="page"/>
      </w:r>
    </w:p>
    <w:p w14:paraId="4AD9C0F7" w14:textId="413A81DA" w:rsidR="008A5B47" w:rsidRPr="00393250" w:rsidRDefault="008A5B47" w:rsidP="008A5B47">
      <w:pPr>
        <w:spacing w:before="120" w:after="120" w:line="360" w:lineRule="auto"/>
        <w:ind w:left="850" w:hanging="850"/>
        <w:rPr>
          <w:b/>
          <w:szCs w:val="24"/>
          <w:lang w:eastAsia="en-US"/>
        </w:rPr>
      </w:pPr>
      <w:r w:rsidRPr="00393250">
        <w:rPr>
          <w:b/>
          <w:i/>
          <w:szCs w:val="24"/>
          <w:lang w:eastAsia="en-US"/>
        </w:rPr>
        <w:lastRenderedPageBreak/>
        <w:t>(10a)</w:t>
      </w:r>
      <w:r w:rsidRPr="00393250">
        <w:rPr>
          <w:szCs w:val="24"/>
          <w:lang w:eastAsia="en-US"/>
        </w:rPr>
        <w:tab/>
      </w:r>
      <w:r w:rsidRPr="00393250">
        <w:rPr>
          <w:b/>
          <w:i/>
          <w:szCs w:val="24"/>
          <w:lang w:eastAsia="en-US"/>
        </w:rPr>
        <w:t>Kommissionens gennemførelsesafgørelse (EU) 2020/1729 om ophævelse af gennemførelsesafgørelse 2013/652/EU fastsætter rammerne for at indhente sammenlignelige og pålidelige data om antimikrobiel resistens i Den Europæiske Union, herunder ved at overvåge spildevand fra slagterier som en potentiel smittebærer af antibiotikaresistente bakterier og dermed en mulig miljøforureningsvej. Der er fundet antibiotikaresistente bakterier i vand, der blev udledt af slagterier.</w:t>
      </w:r>
      <w:r w:rsidR="00FC5692" w:rsidRPr="00393250">
        <w:rPr>
          <w:b/>
          <w:szCs w:val="24"/>
          <w:lang w:eastAsia="en-US"/>
        </w:rPr>
        <w:t xml:space="preserve"> [Ændring 32]</w:t>
      </w:r>
    </w:p>
    <w:p w14:paraId="1ECCA211" w14:textId="3910CC70" w:rsidR="008A5B47" w:rsidRPr="00393250" w:rsidRDefault="008A5B47" w:rsidP="008A5B47">
      <w:pPr>
        <w:spacing w:before="120" w:after="120" w:line="360" w:lineRule="auto"/>
        <w:ind w:left="850" w:hanging="850"/>
        <w:rPr>
          <w:b/>
          <w:szCs w:val="24"/>
          <w:lang w:eastAsia="en-US"/>
        </w:rPr>
      </w:pPr>
      <w:r w:rsidRPr="00393250">
        <w:rPr>
          <w:b/>
          <w:i/>
          <w:szCs w:val="24"/>
          <w:lang w:eastAsia="en-US"/>
        </w:rPr>
        <w:t>(10b)</w:t>
      </w:r>
      <w:r w:rsidRPr="00393250">
        <w:rPr>
          <w:szCs w:val="24"/>
          <w:lang w:eastAsia="en-US"/>
        </w:rPr>
        <w:tab/>
      </w:r>
      <w:r w:rsidRPr="00393250">
        <w:rPr>
          <w:b/>
          <w:i/>
          <w:szCs w:val="24"/>
          <w:lang w:eastAsia="en-US"/>
        </w:rPr>
        <w:t>Der er udtrykt bekymring over risikoen ved sulfater og xanthater i vandmiljøet. Sulfater forringer ikke bare drikkevandskvaliteten, de har også indvirkning på materialecyklusserne for kulstof, kvælstof og fosfor. Dette øger bl.a. belastningen i form af næringsstoffer i vandområder og dermed plante- og algevæksten og øger ligeledes mængden af føde for vandlevende organismer og fører til et fald i iltmængden i vandet. Sulfater og deres nedbrydningsprodukter, navnlig sulfid, kan under visse omstændigheder have en giftig virkning for vandlevende organismer. Standardtestresultater tyder på, at nogle xanthater og deres nedbrydningsprodukter er giftige for hvirvelløse vanddyr og fiskearter, og at de kan være bioakkumulerende. Sulfater er allerede opført på listen over forurenende stoffer i grundvandet, men den overvågning, der har fundet sted, har været utilstrækkelig. Derfor bør sulfater medtages på observationslisterne for overfladevand og grundvand. Xanthater bør medtages på observationslisten for overfladevand.</w:t>
      </w:r>
      <w:r w:rsidR="00FC5692" w:rsidRPr="00393250">
        <w:rPr>
          <w:b/>
          <w:szCs w:val="24"/>
          <w:lang w:eastAsia="en-US"/>
        </w:rPr>
        <w:t xml:space="preserve"> [Ændring 33]</w:t>
      </w:r>
    </w:p>
    <w:p w14:paraId="1A1D6B53" w14:textId="77777777" w:rsidR="00FC5692" w:rsidRPr="00393250" w:rsidRDefault="00FC5692">
      <w:pPr>
        <w:widowControl/>
        <w:rPr>
          <w:b/>
          <w:i/>
          <w:szCs w:val="24"/>
          <w:lang w:eastAsia="en-US"/>
        </w:rPr>
      </w:pPr>
      <w:r w:rsidRPr="00393250">
        <w:rPr>
          <w:b/>
          <w:i/>
          <w:szCs w:val="24"/>
          <w:lang w:eastAsia="en-US"/>
        </w:rPr>
        <w:br w:type="page"/>
      </w:r>
    </w:p>
    <w:p w14:paraId="2B7233F4" w14:textId="7788D23E" w:rsidR="008A5B47" w:rsidRPr="00393250" w:rsidRDefault="008A5B47" w:rsidP="008A5B47">
      <w:pPr>
        <w:spacing w:before="120" w:after="120" w:line="360" w:lineRule="auto"/>
        <w:ind w:left="850" w:hanging="850"/>
        <w:rPr>
          <w:b/>
          <w:szCs w:val="24"/>
          <w:lang w:eastAsia="en-US"/>
        </w:rPr>
      </w:pPr>
      <w:r w:rsidRPr="00393250">
        <w:rPr>
          <w:b/>
          <w:i/>
          <w:szCs w:val="24"/>
          <w:lang w:eastAsia="en-US"/>
        </w:rPr>
        <w:lastRenderedPageBreak/>
        <w:t>(10c)</w:t>
      </w:r>
      <w:r w:rsidRPr="00393250">
        <w:rPr>
          <w:szCs w:val="24"/>
          <w:lang w:eastAsia="en-US"/>
        </w:rPr>
        <w:tab/>
      </w:r>
      <w:r w:rsidRPr="00393250">
        <w:rPr>
          <w:b/>
          <w:i/>
          <w:szCs w:val="24"/>
          <w:lang w:eastAsia="en-US"/>
        </w:rPr>
        <w:t>Stoffer som mikroplast udgør en klar risiko for folkesundheden og miljøet, men også for grundlæggende aktiviteter som f.eks. udvikling af landbruget. Tilstedeværelsen af sådanne stoffer og andre partikler kan have konsekvenser, ikke kun for det vand, der optages af husdyr og afgrøder, men også for jordens frugtbarhed og dermed bringe sundheden og den gode udvikling af nuværende og fremtidige afgrøder i fare</w:t>
      </w:r>
      <w:r w:rsidRPr="00393250">
        <w:rPr>
          <w:szCs w:val="24"/>
          <w:vertAlign w:val="superscript"/>
          <w:lang w:val="en-GB" w:eastAsia="en-US"/>
        </w:rPr>
        <w:footnoteReference w:id="41"/>
      </w:r>
      <w:r w:rsidRPr="00393250">
        <w:rPr>
          <w:b/>
          <w:i/>
          <w:szCs w:val="24"/>
          <w:lang w:eastAsia="en-US"/>
        </w:rPr>
        <w:t>.</w:t>
      </w:r>
      <w:r w:rsidR="00FC5692" w:rsidRPr="00393250">
        <w:rPr>
          <w:b/>
          <w:szCs w:val="24"/>
          <w:lang w:eastAsia="en-US"/>
        </w:rPr>
        <w:t xml:space="preserve"> [Ændring 34]</w:t>
      </w:r>
    </w:p>
    <w:p w14:paraId="4C0DBCD1" w14:textId="77777777" w:rsidR="00FC5692" w:rsidRPr="00393250" w:rsidRDefault="00FC5692">
      <w:pPr>
        <w:widowControl/>
        <w:rPr>
          <w:szCs w:val="24"/>
          <w:lang w:eastAsia="en-US"/>
        </w:rPr>
      </w:pPr>
      <w:r w:rsidRPr="00393250">
        <w:rPr>
          <w:szCs w:val="24"/>
          <w:lang w:eastAsia="en-US"/>
        </w:rPr>
        <w:br w:type="page"/>
      </w:r>
    </w:p>
    <w:p w14:paraId="573FDFF2" w14:textId="5EE1F5B8" w:rsidR="008A5B47" w:rsidRPr="00393250" w:rsidRDefault="008A5B47" w:rsidP="008A5B47">
      <w:pPr>
        <w:spacing w:before="120" w:after="120" w:line="360" w:lineRule="auto"/>
        <w:ind w:left="850" w:hanging="850"/>
        <w:rPr>
          <w:b/>
          <w:szCs w:val="24"/>
          <w:lang w:eastAsia="en-US"/>
        </w:rPr>
      </w:pPr>
      <w:r w:rsidRPr="00393250">
        <w:rPr>
          <w:szCs w:val="24"/>
          <w:lang w:eastAsia="en-US"/>
        </w:rPr>
        <w:lastRenderedPageBreak/>
        <w:t>(11)</w:t>
      </w:r>
      <w:r w:rsidRPr="00393250">
        <w:rPr>
          <w:szCs w:val="24"/>
          <w:lang w:eastAsia="en-US"/>
        </w:rPr>
        <w:tab/>
      </w:r>
      <w:r w:rsidRPr="00393250">
        <w:rPr>
          <w:b/>
          <w:i/>
          <w:szCs w:val="24"/>
          <w:lang w:eastAsia="en-US"/>
        </w:rPr>
        <w:t xml:space="preserve">De nuværende og konventionelle overvågningsmetoder for vandområdernes kemiske tilstand kan generelt ikke klarlægge indvirkningen af komplekse kemikalieblandinger på vandkvaliteten. </w:t>
      </w:r>
      <w:r w:rsidRPr="00393250">
        <w:rPr>
          <w:szCs w:val="24"/>
          <w:lang w:eastAsia="en-US"/>
        </w:rPr>
        <w:t xml:space="preserve">I betragtning af den stigende bevidsthed om betydningen af blandinger og dermed af virkningsbaseret overvågning for at bestemme den kemiske tilstand og i betragtning af, at der allerede findes tilstrækkeligt robuste virkningsbaserede overvågningsmetoder for østrogene stoffer, bør medlemsstaterne anvende sådanne metoder til at vurdere de kumulative virkninger af østrogene stoffer i overfladevand over en periode på mindst to år. Dette vil gøre det muligt at sammenligne virkningsbaserede resultater med de resultater, der er opnået ved hjælp af de konventionelle metoder til overvågning af de tre østrogene stoffer, der er anført i bilag I til direktiv 2008/105/EF. Denne sammenligning </w:t>
      </w:r>
      <w:r w:rsidRPr="00393250">
        <w:rPr>
          <w:strike/>
          <w:szCs w:val="24"/>
          <w:lang w:eastAsia="en-US"/>
        </w:rPr>
        <w:t>vil blive anvendt til at vurdere</w:t>
      </w:r>
      <w:r w:rsidRPr="00393250">
        <w:rPr>
          <w:b/>
          <w:i/>
          <w:szCs w:val="24"/>
          <w:lang w:eastAsia="en-US"/>
        </w:rPr>
        <w:t>bør medtages i en evalueringsrapport, som Kommissionen offentliggør, hvori den vurderer</w:t>
      </w:r>
      <w:r w:rsidRPr="00393250">
        <w:rPr>
          <w:szCs w:val="24"/>
          <w:lang w:eastAsia="en-US"/>
        </w:rPr>
        <w:t>, om virkningsbaserede overvågningsmetoder</w:t>
      </w:r>
      <w:r w:rsidRPr="00393250">
        <w:rPr>
          <w:b/>
          <w:i/>
          <w:szCs w:val="24"/>
          <w:lang w:eastAsia="en-US"/>
        </w:rPr>
        <w:t xml:space="preserve"> giver solide og nøjagtige data og</w:t>
      </w:r>
      <w:r w:rsidRPr="00393250">
        <w:rPr>
          <w:szCs w:val="24"/>
          <w:lang w:eastAsia="en-US"/>
        </w:rPr>
        <w:t xml:space="preserve"> kan anvendes som pålidelige screeningsmetoder. Anvendelsen af sådanne screeningsmetoder vil have den fordel, at virkningerne af alle østrogene stoffer med tilsvarende virkninger kan være omfattet, og ikke kun dem, der er anført i bilag I til direktiv 2008/105/EF. </w:t>
      </w:r>
      <w:r w:rsidRPr="00393250">
        <w:rPr>
          <w:b/>
          <w:i/>
          <w:szCs w:val="24"/>
          <w:lang w:eastAsia="en-US"/>
        </w:rPr>
        <w:t xml:space="preserve">Kommissionen bør tillægges beføjelser til at vedtage delegerede retsakter med henblik på at supplere direktiv 2008/105/EF for at pålægge medlemsstaterne at anvende de virkningsbaserede overvågningsmetoder til også at vurdere forekomsten af andre stoffer i vandområder med henblik på en eventuel fastsættelse af virkningsbaserede udløsende værdier i fremtiden. </w:t>
      </w:r>
      <w:r w:rsidRPr="00393250">
        <w:rPr>
          <w:szCs w:val="24"/>
          <w:lang w:eastAsia="en-US"/>
        </w:rPr>
        <w:t>Definitionen af miljøkvalitetskrav i direktiv 2000/60/EF bør ændres for at sikre, at den i fremtiden også kan omfatte udløsningsværdier, der kan fastsættes med henblik på at vurdere resultaterne af den virkningsbaserede overvågning.</w:t>
      </w:r>
      <w:r w:rsidR="009564BD" w:rsidRPr="00393250">
        <w:rPr>
          <w:b/>
          <w:szCs w:val="24"/>
          <w:lang w:eastAsia="en-US"/>
        </w:rPr>
        <w:t xml:space="preserve"> [Ændring 35]</w:t>
      </w:r>
    </w:p>
    <w:p w14:paraId="1730ECD7" w14:textId="77777777" w:rsidR="009564BD" w:rsidRPr="00393250" w:rsidRDefault="009564BD">
      <w:pPr>
        <w:widowControl/>
        <w:rPr>
          <w:b/>
          <w:i/>
          <w:szCs w:val="24"/>
          <w:lang w:eastAsia="en-US"/>
        </w:rPr>
      </w:pPr>
      <w:r w:rsidRPr="00393250">
        <w:rPr>
          <w:b/>
          <w:i/>
          <w:szCs w:val="24"/>
          <w:lang w:eastAsia="en-US"/>
        </w:rPr>
        <w:br w:type="page"/>
      </w:r>
    </w:p>
    <w:p w14:paraId="487F2B9E" w14:textId="53F95215" w:rsidR="008A5B47" w:rsidRPr="00393250" w:rsidRDefault="008A5B47" w:rsidP="008A5B47">
      <w:pPr>
        <w:spacing w:before="120" w:after="120" w:line="360" w:lineRule="auto"/>
        <w:ind w:left="850" w:hanging="850"/>
        <w:rPr>
          <w:b/>
          <w:szCs w:val="24"/>
          <w:lang w:eastAsia="en-US"/>
        </w:rPr>
      </w:pPr>
      <w:r w:rsidRPr="00393250">
        <w:rPr>
          <w:b/>
          <w:i/>
          <w:szCs w:val="24"/>
          <w:lang w:eastAsia="en-US"/>
        </w:rPr>
        <w:lastRenderedPageBreak/>
        <w:t>(11a)</w:t>
      </w:r>
      <w:r w:rsidRPr="00393250">
        <w:rPr>
          <w:szCs w:val="24"/>
          <w:lang w:eastAsia="en-US"/>
        </w:rPr>
        <w:tab/>
      </w:r>
      <w:r w:rsidRPr="00393250">
        <w:rPr>
          <w:b/>
          <w:i/>
          <w:szCs w:val="24"/>
          <w:lang w:eastAsia="en-US"/>
        </w:rPr>
        <w:t>Der bør fastsættes strengere tærskelværdier, hvor grundvandskvalitetskravene kan føre til, at miljømålene i direktiv 2000/60/EF for tilknyttede vandområder ikke nås, som krævet i direktiv 2006/118/EF. Dette krav i henhold til direktiv 2006/118/EF bør udvides yderligere for bedre at beskytte sårbare områder mod forurening.</w:t>
      </w:r>
      <w:r w:rsidR="009564BD" w:rsidRPr="00393250">
        <w:rPr>
          <w:b/>
          <w:szCs w:val="24"/>
          <w:lang w:eastAsia="en-US"/>
        </w:rPr>
        <w:t xml:space="preserve"> [Ændring 36]</w:t>
      </w:r>
    </w:p>
    <w:p w14:paraId="7E3370D7" w14:textId="77777777" w:rsidR="009564BD" w:rsidRPr="00393250" w:rsidRDefault="009564BD">
      <w:pPr>
        <w:widowControl/>
        <w:rPr>
          <w:szCs w:val="24"/>
          <w:lang w:eastAsia="en-US"/>
        </w:rPr>
      </w:pPr>
      <w:r w:rsidRPr="00393250">
        <w:rPr>
          <w:szCs w:val="24"/>
          <w:lang w:eastAsia="en-US"/>
        </w:rPr>
        <w:br w:type="page"/>
      </w:r>
    </w:p>
    <w:p w14:paraId="51B92B08" w14:textId="42B57912" w:rsidR="008A5B47" w:rsidRPr="00393250" w:rsidRDefault="008A5B47" w:rsidP="008A5B47">
      <w:pPr>
        <w:spacing w:before="120" w:after="120" w:line="360" w:lineRule="auto"/>
        <w:ind w:left="850" w:hanging="850"/>
        <w:rPr>
          <w:b/>
          <w:szCs w:val="24"/>
          <w:lang w:eastAsia="en-US"/>
        </w:rPr>
      </w:pPr>
      <w:r w:rsidRPr="00393250">
        <w:rPr>
          <w:szCs w:val="24"/>
          <w:lang w:eastAsia="en-US"/>
        </w:rPr>
        <w:lastRenderedPageBreak/>
        <w:t>(12)</w:t>
      </w:r>
      <w:r w:rsidRPr="00393250">
        <w:rPr>
          <w:szCs w:val="24"/>
          <w:lang w:eastAsia="en-US"/>
        </w:rPr>
        <w:tab/>
        <w:t>Ved evalueringen af EU's vandlovgivning</w:t>
      </w:r>
      <w:r w:rsidRPr="00393250">
        <w:rPr>
          <w:szCs w:val="24"/>
          <w:vertAlign w:val="superscript"/>
          <w:lang w:val="en-GB" w:eastAsia="en-US"/>
        </w:rPr>
        <w:footnoteReference w:id="42"/>
      </w:r>
      <w:r w:rsidRPr="00393250">
        <w:rPr>
          <w:szCs w:val="24"/>
          <w:lang w:eastAsia="en-US"/>
        </w:rPr>
        <w:t xml:space="preserve"> ("evalueringen") blev det konkluderet, at processen med at identificere og opstille en liste over forurenende stoffer, der påvirker overfladevand og grundvand, og med at fastsætte eller revidere kvalitetskrav for dem i lyset af ny videnskabelig viden kan fremskyndes. </w:t>
      </w:r>
      <w:r w:rsidRPr="00393250">
        <w:rPr>
          <w:strike/>
          <w:szCs w:val="24"/>
          <w:lang w:eastAsia="en-US"/>
        </w:rPr>
        <w:t>Hvis disse opgaver blev udført af Kommissionen og ikke</w:t>
      </w:r>
      <w:r w:rsidRPr="00393250">
        <w:rPr>
          <w:b/>
          <w:i/>
          <w:szCs w:val="24"/>
          <w:lang w:eastAsia="en-US"/>
        </w:rPr>
        <w:t>Derfor, og</w:t>
      </w:r>
      <w:r w:rsidRPr="00393250">
        <w:rPr>
          <w:szCs w:val="24"/>
          <w:lang w:eastAsia="en-US"/>
        </w:rPr>
        <w:t xml:space="preserve"> inden for rammerne af </w:t>
      </w:r>
      <w:r w:rsidRPr="00393250">
        <w:rPr>
          <w:strike/>
          <w:szCs w:val="24"/>
          <w:lang w:eastAsia="en-US"/>
        </w:rPr>
        <w:t>den almindelige lovgivningsprocedure, som på nuværende tidspunkt er omhandlet i artikel 16 og 17 i</w:t>
      </w:r>
      <w:r w:rsidRPr="00393250">
        <w:rPr>
          <w:b/>
          <w:i/>
          <w:szCs w:val="24"/>
          <w:lang w:eastAsia="en-US"/>
        </w:rPr>
        <w:t>en fremtidig gennemgang af bilag I til</w:t>
      </w:r>
      <w:r w:rsidRPr="00393250">
        <w:rPr>
          <w:szCs w:val="24"/>
          <w:lang w:eastAsia="en-US"/>
        </w:rPr>
        <w:t xml:space="preserve"> direktiv </w:t>
      </w:r>
      <w:r w:rsidRPr="00393250">
        <w:rPr>
          <w:strike/>
          <w:szCs w:val="24"/>
          <w:lang w:eastAsia="en-US"/>
        </w:rPr>
        <w:t>2000/60/EF og artikel 10 i</w:t>
      </w:r>
      <w:r w:rsidRPr="00393250">
        <w:rPr>
          <w:b/>
          <w:i/>
          <w:szCs w:val="24"/>
          <w:lang w:eastAsia="en-US"/>
        </w:rPr>
        <w:t>2008/105/EF for så vidt angår listen over prioriterede stoffer og de tilsvarende miljøkvalitetskrav, der er opstillet i del A af dette bilag, samt af bilag I til</w:t>
      </w:r>
      <w:r w:rsidRPr="00393250">
        <w:rPr>
          <w:szCs w:val="24"/>
          <w:lang w:eastAsia="en-US"/>
        </w:rPr>
        <w:t xml:space="preserve"> direktiv 2006/118/EF, </w:t>
      </w:r>
      <w:r w:rsidRPr="00393250">
        <w:rPr>
          <w:strike/>
          <w:szCs w:val="24"/>
          <w:lang w:eastAsia="en-US"/>
        </w:rPr>
        <w:t>kunne</w:t>
      </w:r>
      <w:r w:rsidRPr="00393250">
        <w:rPr>
          <w:b/>
          <w:i/>
          <w:szCs w:val="24"/>
          <w:lang w:eastAsia="en-US"/>
        </w:rPr>
        <w:t>bør</w:t>
      </w:r>
      <w:r w:rsidRPr="00393250">
        <w:rPr>
          <w:szCs w:val="24"/>
          <w:lang w:eastAsia="en-US"/>
        </w:rPr>
        <w:t xml:space="preserve"> funktionen af observationslistemekanismen for overfladevand og grundvand forbedres, navnlig med hensyn til tidsplan og rækkefølge for optagelse, overvågning og vurdering af resultater, forbindelserne mellem observationslistemekanismen og revisionen af listerne over forurenende stoffer, og </w:t>
      </w:r>
      <w:r w:rsidRPr="00393250">
        <w:rPr>
          <w:strike/>
          <w:szCs w:val="24"/>
          <w:lang w:eastAsia="en-US"/>
        </w:rPr>
        <w:t>ændringer</w:t>
      </w:r>
      <w:r w:rsidRPr="00393250">
        <w:rPr>
          <w:b/>
          <w:i/>
          <w:szCs w:val="24"/>
          <w:lang w:eastAsia="en-US"/>
        </w:rPr>
        <w:t>perioderne for gennemgang</w:t>
      </w:r>
      <w:r w:rsidRPr="00393250">
        <w:rPr>
          <w:szCs w:val="24"/>
          <w:lang w:eastAsia="en-US"/>
        </w:rPr>
        <w:t xml:space="preserve"> af listerne over forurenende stoffer </w:t>
      </w:r>
      <w:r w:rsidRPr="00393250">
        <w:rPr>
          <w:strike/>
          <w:szCs w:val="24"/>
          <w:lang w:eastAsia="en-US"/>
        </w:rPr>
        <w:t>kunne</w:t>
      </w:r>
      <w:r w:rsidRPr="00393250">
        <w:rPr>
          <w:b/>
          <w:i/>
          <w:szCs w:val="24"/>
          <w:lang w:eastAsia="en-US"/>
        </w:rPr>
        <w:t>bør justeres med henblik på</w:t>
      </w:r>
      <w:r w:rsidRPr="00393250">
        <w:rPr>
          <w:szCs w:val="24"/>
          <w:lang w:eastAsia="en-US"/>
        </w:rPr>
        <w:t xml:space="preserve"> hurtigere</w:t>
      </w:r>
      <w:r w:rsidRPr="00393250">
        <w:rPr>
          <w:b/>
          <w:i/>
          <w:szCs w:val="24"/>
          <w:lang w:eastAsia="en-US"/>
        </w:rPr>
        <w:t xml:space="preserve"> at kunne</w:t>
      </w:r>
      <w:r w:rsidRPr="00393250">
        <w:rPr>
          <w:szCs w:val="24"/>
          <w:lang w:eastAsia="en-US"/>
        </w:rPr>
        <w:t xml:space="preserve"> tage hensyn til videnskabelige fremskridt</w:t>
      </w:r>
      <w:r w:rsidRPr="00393250">
        <w:rPr>
          <w:strike/>
          <w:szCs w:val="24"/>
          <w:lang w:eastAsia="en-US"/>
        </w:rPr>
        <w:t>. Derfor og i betragtning af behovet for hurtigt at ændre listerne over forurenende stoffer og deres miljøkvalitetskrav i lyset af ny videnskabelig og teknisk viden bør beføjelsen til at vedtage retsakter delegeres til Kommissionen i overensstemmelse med artikel 290 i TEUF med henblik på at ændre bilag I til direktiv 2008/105/EF for så vidt angår listen over prioriterede stoffer og de tilsvarende miljøkvalitetskrav i del A i nævnte bilag og ændre bilag I til direktiv 2006/118/EF for så vidt angår listen over forurenende stoffer i grundvandet og kvalitetskravene i nævnte bilag</w:t>
      </w:r>
      <w:r w:rsidRPr="00393250">
        <w:rPr>
          <w:szCs w:val="24"/>
          <w:lang w:eastAsia="en-US"/>
        </w:rPr>
        <w:t>. I denne forbindelse bør Kommissionen tage hensyn til resultaterne af overvågningen af stoffer på observationslisterne for overfladevand og grundvand. Følgelig bør artikel 16 og 17 i direktiv 2000/60/EF og bilag X til nævnte direktiv samt artikel 10 i direktiv 2006/118/EF udgå</w:t>
      </w:r>
      <w:r w:rsidRPr="00393250">
        <w:rPr>
          <w:b/>
          <w:i/>
          <w:szCs w:val="24"/>
          <w:lang w:eastAsia="en-US"/>
        </w:rPr>
        <w:t>, samtidig med at forpligtelsen til at træffe foranstaltninger med sigte på at standse eller udfase udledninger, emissioner og tab af prioriterede farlige stoffer opretholdes</w:t>
      </w:r>
      <w:r w:rsidRPr="00393250">
        <w:rPr>
          <w:szCs w:val="24"/>
          <w:lang w:eastAsia="en-US"/>
        </w:rPr>
        <w:t>.</w:t>
      </w:r>
      <w:r w:rsidR="009564BD" w:rsidRPr="00393250">
        <w:rPr>
          <w:b/>
          <w:szCs w:val="24"/>
          <w:lang w:eastAsia="en-US"/>
        </w:rPr>
        <w:t xml:space="preserve"> [Ændring 37]</w:t>
      </w:r>
    </w:p>
    <w:p w14:paraId="5EC20A46" w14:textId="77777777" w:rsidR="009564BD" w:rsidRPr="00393250" w:rsidRDefault="009564BD">
      <w:pPr>
        <w:widowControl/>
        <w:rPr>
          <w:b/>
          <w:i/>
          <w:szCs w:val="24"/>
          <w:lang w:eastAsia="en-US"/>
        </w:rPr>
      </w:pPr>
      <w:r w:rsidRPr="00393250">
        <w:rPr>
          <w:b/>
          <w:i/>
          <w:szCs w:val="24"/>
          <w:lang w:eastAsia="en-US"/>
        </w:rPr>
        <w:br w:type="page"/>
      </w:r>
    </w:p>
    <w:p w14:paraId="47B4BB8E" w14:textId="0B15DB18" w:rsidR="008A5B47" w:rsidRPr="00393250" w:rsidRDefault="008A5B47" w:rsidP="008A5B47">
      <w:pPr>
        <w:spacing w:before="120" w:after="120" w:line="360" w:lineRule="auto"/>
        <w:ind w:left="850" w:hanging="850"/>
        <w:rPr>
          <w:b/>
          <w:szCs w:val="24"/>
          <w:lang w:eastAsia="en-US"/>
        </w:rPr>
      </w:pPr>
      <w:r w:rsidRPr="00393250">
        <w:rPr>
          <w:b/>
          <w:i/>
          <w:szCs w:val="24"/>
          <w:lang w:eastAsia="en-US"/>
        </w:rPr>
        <w:lastRenderedPageBreak/>
        <w:t>(12a)</w:t>
      </w:r>
      <w:r w:rsidRPr="00393250">
        <w:rPr>
          <w:szCs w:val="24"/>
          <w:lang w:eastAsia="en-US"/>
        </w:rPr>
        <w:tab/>
      </w:r>
      <w:r w:rsidRPr="00393250">
        <w:rPr>
          <w:b/>
          <w:i/>
          <w:szCs w:val="24"/>
          <w:lang w:eastAsia="en-US"/>
        </w:rPr>
        <w:t>Overordnet set tyder konklusionerne fra kvalitetskontrollen på, at direktiverne i det store og hele er egnede til formålet, men at der er plads til forbedringer, herunder fremskyndelse af en korrekt gennemførelse af deres mål, hvilket muligvis kan opnås gennem mere EU-finansiering. Evalueringen viser, at direktiverne hidtil generelt set har ført til et højere beskyttelsesniveau for vandområder og en bedre styring af risikoen for oversvømmelse.</w:t>
      </w:r>
      <w:r w:rsidR="009564BD" w:rsidRPr="00393250">
        <w:rPr>
          <w:b/>
          <w:szCs w:val="24"/>
          <w:lang w:eastAsia="en-US"/>
        </w:rPr>
        <w:t xml:space="preserve"> [Ændring 38]</w:t>
      </w:r>
    </w:p>
    <w:p w14:paraId="188FCE49" w14:textId="77777777" w:rsidR="009564BD" w:rsidRPr="00393250" w:rsidRDefault="009564BD">
      <w:pPr>
        <w:widowControl/>
        <w:rPr>
          <w:szCs w:val="24"/>
          <w:lang w:eastAsia="en-US"/>
        </w:rPr>
      </w:pPr>
      <w:r w:rsidRPr="00393250">
        <w:rPr>
          <w:szCs w:val="24"/>
          <w:lang w:eastAsia="en-US"/>
        </w:rPr>
        <w:br w:type="page"/>
      </w:r>
    </w:p>
    <w:p w14:paraId="7B8C14C4" w14:textId="6082E4C9"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(13)</w:t>
      </w:r>
      <w:r w:rsidRPr="00393250">
        <w:rPr>
          <w:szCs w:val="24"/>
          <w:lang w:eastAsia="en-US"/>
        </w:rPr>
        <w:tab/>
        <w:t>Ved evalueringen blev det også konkluderet, at der er for store forskelle mellem medlemsstaterne med hensyn til de kvalitetskrav og tærskelværdier, der er fastsat på nationalt plan for henholdsvis vandområdespecifikke forurenende stoffer og grundvandsforurenende stoffer. Indtil nu har vandområdespecifikke forurenende stoffer, der ikke er udpeget som prioriterede stoffer i henhold til direktiv 2000/60/EF, været underlagt nationale miljøkvalitetskrav og er blevet medregnet som fysisk-kemiske kvalitetselementer til støtte for vurderingen af økologisk tilstand i overfladevand. For grundvand har det også været muligt for medlemsstaterne at fastsætte deres egne tærskelværdier, selv for menneskeskabte syntetiske stoffer. Denne fleksibilitet har ført til suboptimale resultater med hensyn til sammenligneligheden af vandområders tilstand mellem medlemsstaterne og med hensyn til miljøbeskyttelse. Det er derfor nødvendigt at fastsætte en procedure, der gør det muligt at nå til enighed på EU-plan om miljøkvalitetskrav og tærskelværdier, der skal anvendes for disse stoffer, hvis de identificeres som stoffer, der er problematiske på nationalt plan, og at oprette registre over gældende miljøkvalitetskrav og tærskelværdier.</w:t>
      </w:r>
    </w:p>
    <w:p w14:paraId="1C58AD89" w14:textId="77777777" w:rsidR="009564BD" w:rsidRPr="00393250" w:rsidRDefault="009564BD">
      <w:pPr>
        <w:widowControl/>
        <w:rPr>
          <w:b/>
          <w:i/>
          <w:szCs w:val="24"/>
          <w:lang w:eastAsia="en-US"/>
        </w:rPr>
      </w:pPr>
      <w:r w:rsidRPr="00393250">
        <w:rPr>
          <w:b/>
          <w:i/>
          <w:szCs w:val="24"/>
          <w:lang w:eastAsia="en-US"/>
        </w:rPr>
        <w:br w:type="page"/>
      </w:r>
    </w:p>
    <w:p w14:paraId="4805AFC5" w14:textId="49270CAA" w:rsidR="008A5B47" w:rsidRPr="00393250" w:rsidRDefault="008A5B47" w:rsidP="008A5B47">
      <w:pPr>
        <w:spacing w:before="120" w:after="120" w:line="360" w:lineRule="auto"/>
        <w:ind w:left="850" w:hanging="850"/>
        <w:rPr>
          <w:b/>
          <w:szCs w:val="24"/>
          <w:lang w:eastAsia="en-US"/>
        </w:rPr>
      </w:pPr>
      <w:r w:rsidRPr="00393250">
        <w:rPr>
          <w:b/>
          <w:i/>
          <w:szCs w:val="24"/>
          <w:lang w:eastAsia="en-US"/>
        </w:rPr>
        <w:lastRenderedPageBreak/>
        <w:t>(13a)</w:t>
      </w:r>
      <w:r w:rsidRPr="00393250">
        <w:rPr>
          <w:szCs w:val="24"/>
          <w:lang w:eastAsia="en-US"/>
        </w:rPr>
        <w:tab/>
      </w:r>
      <w:r w:rsidRPr="00393250">
        <w:rPr>
          <w:b/>
          <w:i/>
          <w:szCs w:val="24"/>
          <w:lang w:eastAsia="en-US"/>
        </w:rPr>
        <w:t>Enhver beslutning om udvælgelse og bedømmelse af stoffer og fastsættelse af miljøkvalitetskrav bør være baseret på en risikovurdering og følge en forholdsmæssig, gennemsigtig og videnskabsbaseret tilgang og tage hensyn til henstillinger fra Europa-Parlamentet, medlemsstaterne og relevante interessenter.</w:t>
      </w:r>
      <w:r w:rsidR="009564BD" w:rsidRPr="00393250">
        <w:rPr>
          <w:b/>
          <w:szCs w:val="24"/>
          <w:lang w:eastAsia="en-US"/>
        </w:rPr>
        <w:t xml:space="preserve"> [Ændring 39]</w:t>
      </w:r>
    </w:p>
    <w:p w14:paraId="1D34E91E" w14:textId="3E887FEE" w:rsidR="008A5B47" w:rsidRPr="00393250" w:rsidRDefault="008A5B47" w:rsidP="008A5B47">
      <w:pPr>
        <w:spacing w:before="120" w:after="120" w:line="360" w:lineRule="auto"/>
        <w:ind w:left="850" w:hanging="850"/>
        <w:rPr>
          <w:b/>
          <w:szCs w:val="24"/>
          <w:lang w:eastAsia="en-US"/>
        </w:rPr>
      </w:pPr>
      <w:r w:rsidRPr="00393250">
        <w:rPr>
          <w:b/>
          <w:i/>
          <w:szCs w:val="24"/>
          <w:lang w:eastAsia="en-US"/>
        </w:rPr>
        <w:t>(13b)</w:t>
      </w:r>
      <w:r w:rsidRPr="00393250">
        <w:rPr>
          <w:szCs w:val="24"/>
          <w:lang w:eastAsia="en-US"/>
        </w:rPr>
        <w:tab/>
      </w:r>
      <w:r w:rsidRPr="00393250">
        <w:rPr>
          <w:b/>
          <w:i/>
          <w:szCs w:val="24"/>
          <w:lang w:eastAsia="en-US"/>
        </w:rPr>
        <w:t>Selv om direktiv 2000/60/EF fastsætter de regler, der er nødvendige for at gøre fremskridt med hensyn til vandmængde og -kvalitet, viste kvalitetskontrollen, at de langsomme fremskridt, der er gjort med hensyn til at nå målene i dette direktiv, bl.a. kan tilskrives manglen på tilstrækkelige finansielle ressourcer samt lovgivningsmæssig og økologisk kompleksitet, herunder mulige forsinkelser i grundvandets reaktion på foranstaltninger og forsinkelser med hensyn til rapporteringsfrister. Foranstaltninger, der forbedrer vandområders tilstand gennem genopretning af floder og økosystemtjenester, giver finansielle fordele, der mere end opvejer omkostningerne og kan mindske unødvendige udgifter for medlemsstaterne. Desuden peger evalueringen på manglende gennemførelse, et utilstrækkeligt anvendelsesområde og utilstrækkelige eller uhensigtsmæssige genopretningsforanstaltninger til sikring af hydrologisk og økologisk konnektivitet</w:t>
      </w:r>
      <w:r w:rsidRPr="00393250">
        <w:rPr>
          <w:szCs w:val="24"/>
          <w:vertAlign w:val="superscript"/>
          <w:lang w:val="en-GB" w:eastAsia="en-US"/>
        </w:rPr>
        <w:footnoteReference w:id="43"/>
      </w:r>
      <w:r w:rsidRPr="00393250">
        <w:rPr>
          <w:b/>
          <w:i/>
          <w:szCs w:val="24"/>
          <w:lang w:eastAsia="en-US"/>
        </w:rPr>
        <w:t>.</w:t>
      </w:r>
      <w:r w:rsidR="009564BD" w:rsidRPr="00393250">
        <w:rPr>
          <w:b/>
          <w:szCs w:val="24"/>
          <w:lang w:eastAsia="en-US"/>
        </w:rPr>
        <w:t xml:space="preserve"> [Ændring 40]</w:t>
      </w:r>
    </w:p>
    <w:p w14:paraId="4E255351" w14:textId="77777777" w:rsidR="009564BD" w:rsidRPr="00393250" w:rsidRDefault="009564BD">
      <w:pPr>
        <w:widowControl/>
        <w:rPr>
          <w:szCs w:val="24"/>
          <w:lang w:eastAsia="en-US"/>
        </w:rPr>
      </w:pPr>
      <w:r w:rsidRPr="00393250">
        <w:rPr>
          <w:szCs w:val="24"/>
          <w:lang w:eastAsia="en-US"/>
        </w:rPr>
        <w:br w:type="page"/>
      </w:r>
    </w:p>
    <w:p w14:paraId="11DFE17E" w14:textId="15A09FF6"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(14)</w:t>
      </w:r>
      <w:r w:rsidRPr="00393250">
        <w:rPr>
          <w:szCs w:val="24"/>
          <w:lang w:eastAsia="en-US"/>
        </w:rPr>
        <w:tab/>
        <w:t>Integrationen af vandområdespecifikke forurenende stoffer i definitionen af den kemiske tilstand for overfladevand sikrer desuden en mere koordineret, sammenhængende og gennemsigtig tilgang med hensyn til overvågning og vurdering af overfladevandområders kemiske tilstand og af relaterede oplysninger til offentligheden. Dette fremmer også en mere målrettet tilgang til identifikation og gennemførelse af foranstaltninger til håndtering af alle "kemiske" spørgsmål på en mere holistisk, virkningsfuld og effektiv måde. Definitionerne af "økologisk tilstand" og "kemisk tilstand" bør derfor ændres, og anvendelsesområdet for "kemisk tilstand" bør udvides til også at omfatte vandområdespecifikke forurenende stoffer, som hidtil har været en del af definitionen af "økologisk tilstand" i bilag V til direktiv 2000/60/EF. Som følge heraf bør begrebet miljøkvalitetskrav for vandområdespecifikke forurenende stoffer og tilknyttede procedurer medtages i direktiv 2008/105/EF.</w:t>
      </w:r>
    </w:p>
    <w:p w14:paraId="54DA5E16" w14:textId="6A23C675" w:rsidR="008A5B47" w:rsidRPr="00393250" w:rsidRDefault="008A5B47" w:rsidP="008A5B47">
      <w:pPr>
        <w:spacing w:before="120" w:after="120" w:line="360" w:lineRule="auto"/>
        <w:ind w:left="850" w:hanging="850"/>
        <w:rPr>
          <w:b/>
          <w:szCs w:val="24"/>
          <w:lang w:eastAsia="en-US"/>
        </w:rPr>
      </w:pPr>
      <w:r w:rsidRPr="00393250">
        <w:rPr>
          <w:szCs w:val="24"/>
          <w:lang w:eastAsia="en-US"/>
        </w:rPr>
        <w:t>(15)</w:t>
      </w:r>
      <w:r w:rsidRPr="00393250">
        <w:rPr>
          <w:szCs w:val="24"/>
          <w:lang w:eastAsia="en-US"/>
        </w:rPr>
        <w:tab/>
        <w:t xml:space="preserve">For at sikre en harmoniseret tilgang og lige vilkår i Unionen bør beføjelsen til at vedtage retsakter delegeres til Kommissionen i overensstemmelse med artikel 290 i TEUF med henblik på at ændre del B i bilag II til direktiv 2006/118/EF ved at tilpasse listen over forurenende stoffer, for hvilke medlemsstaterne skal </w:t>
      </w:r>
      <w:r w:rsidRPr="00393250">
        <w:rPr>
          <w:strike/>
          <w:szCs w:val="24"/>
          <w:lang w:eastAsia="en-US"/>
        </w:rPr>
        <w:t xml:space="preserve">overveje at </w:t>
      </w:r>
      <w:r w:rsidRPr="00393250">
        <w:rPr>
          <w:szCs w:val="24"/>
          <w:lang w:eastAsia="en-US"/>
        </w:rPr>
        <w:t>fastsætte nationale tærskelværdier.</w:t>
      </w:r>
      <w:r w:rsidR="009564BD" w:rsidRPr="00393250">
        <w:rPr>
          <w:b/>
          <w:szCs w:val="24"/>
          <w:lang w:eastAsia="en-US"/>
        </w:rPr>
        <w:t xml:space="preserve"> [Ændring 41]</w:t>
      </w:r>
    </w:p>
    <w:p w14:paraId="76B0EF8D" w14:textId="77777777" w:rsidR="009564BD" w:rsidRPr="00393250" w:rsidRDefault="009564BD">
      <w:pPr>
        <w:widowControl/>
        <w:rPr>
          <w:szCs w:val="24"/>
          <w:lang w:eastAsia="en-US"/>
        </w:rPr>
      </w:pPr>
      <w:r w:rsidRPr="00393250">
        <w:rPr>
          <w:szCs w:val="24"/>
          <w:lang w:eastAsia="en-US"/>
        </w:rPr>
        <w:br w:type="page"/>
      </w:r>
    </w:p>
    <w:p w14:paraId="58585E7D" w14:textId="798176A1"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(16)</w:t>
      </w:r>
      <w:r w:rsidRPr="00393250">
        <w:rPr>
          <w:szCs w:val="24"/>
          <w:lang w:eastAsia="en-US"/>
        </w:rPr>
        <w:tab/>
        <w:t>I betragtning af behovet for hurtigt at tilpasse sig den videnskabelige og tekniske viden og sikre en harmoniseret tilgang og lige vilkår i Unionen med hensyn til vandområdespecifikke forurenende stoffer bør beføjelsen til at vedtage retsakter delegeres til Kommissionen i overensstemmelse med artikel 290 i TEUF med henblik på at tilpasse bilag II til direktiv 2008/105/EF for så vidt angår listen over kategorier af forurenende stoffer i del A i nævnte bilag og tilpasse bilag II, del C, for så vidt angår de harmoniserede miljøkvalitetskrav for vandområdespecifikke forurenende stoffer eller grupper heraf. Disse harmoniserede miljøkvalitetskrav bør anvendes af medlemsstaterne ved vurderingen af tilstanden for deres overfladevandområder, når der er konstateret en risiko i forbindelse med disse forurenende stoffer.</w:t>
      </w:r>
    </w:p>
    <w:p w14:paraId="512DBBD9"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(17)</w:t>
      </w:r>
      <w:r w:rsidRPr="00393250">
        <w:rPr>
          <w:szCs w:val="24"/>
          <w:lang w:eastAsia="en-US"/>
        </w:rPr>
        <w:tab/>
        <w:t>Ved revisionen af listen over prioriterede stoffer i del A i bilag I til direktiv 2008/105/EF blev det konkluderet, at flere prioriterede stoffer ikke længere er problematiske i hele EU og derfor ikke længere bør medtages i del A i bilag I til nævnte direktiv. Disse stoffer bør derfor betragtes som vandområdespecifikke forurenende stoffer og optages i del C i bilag II til direktiv 2008/105/EF sammen med deres tilsvarende miljøkvalitetskrav. Eftersom disse forurenende stoffer ikke længere anses for at være problematiske på EU-plan, er det kun nødvendigt at anvende miljøkvalitetskravene, hvis disse forurenende stoffer stadig kan være af national, regional eller lokal betydning.</w:t>
      </w:r>
    </w:p>
    <w:p w14:paraId="23F482D0" w14:textId="77777777" w:rsidR="00903A98" w:rsidRPr="00393250" w:rsidRDefault="00903A98">
      <w:pPr>
        <w:widowControl/>
        <w:rPr>
          <w:szCs w:val="24"/>
          <w:lang w:eastAsia="en-US"/>
        </w:rPr>
      </w:pPr>
      <w:r w:rsidRPr="00393250">
        <w:rPr>
          <w:szCs w:val="24"/>
          <w:lang w:eastAsia="en-US"/>
        </w:rPr>
        <w:br w:type="page"/>
      </w:r>
    </w:p>
    <w:p w14:paraId="628C56E3" w14:textId="1F12813B"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(18)</w:t>
      </w:r>
      <w:r w:rsidRPr="00393250">
        <w:rPr>
          <w:szCs w:val="24"/>
          <w:lang w:eastAsia="en-US"/>
        </w:rPr>
        <w:tab/>
        <w:t>For at sikre lige vilkår og gøre det muligt at sammenligne vandområdernes tilstand mellem medlemsstaterne er der behov for at harmonisere de nationale tærskelværdier for visse grundvandsforurenende stoffer. Der bør derfor indføres et register over harmoniserede tærskelværdier for grundvandsforurenende stoffer, der er problematiske på nationalt, regionalt eller lokalt plan, som en ny del D i bilag II til direktiv 2006/118/EF. De harmoniserede tærskelværdier, der er fastsat i dette register, skal kun anvendes i de medlemsstater, hvor de forurenende stoffer, der er underlagt disse tærskler, påvirker grundvandets tilstand. For summen af de to syntetiske forurenende stoffer trichlorethylen og tetrachlorethylen er der behov for at harmonisere de nationale tærskelværdier, da ikke alle medlemsstater, hvor de forurenende stoffer er relevante, anvender en tærskelværdi for summen af disse forurenende stoffer, og da de fastsatte nationale tærskelværdier ikke altid er de samme. Den harmoniserede tærskelværdi bør være i overensstemmelse med den parameterværdi, der er fastsat for summen af disse forurenende stoffer i drikkevand i direktiv (EU) 2020/2184.</w:t>
      </w:r>
    </w:p>
    <w:p w14:paraId="3CEE2140"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(19)</w:t>
      </w:r>
      <w:r w:rsidRPr="00393250">
        <w:rPr>
          <w:szCs w:val="24"/>
          <w:lang w:eastAsia="en-US"/>
        </w:rPr>
        <w:tab/>
        <w:t>For at sikre en harmoniseret tilgang og lige vilkår i Unionen bør beføjelsen til at vedtage retsakter delegeres til Kommissionen i overensstemmelse med artikel 290 i TEUF med henblik på at ændre del D i bilag II til direktiv 2006/118/EF, således at registret over harmoniserede tærskelværdier for de opførte forurenende stoffer og de harmoniserede tærskelværdier kan tilpasses den tekniske og videnskabelige udvikling.</w:t>
      </w:r>
    </w:p>
    <w:p w14:paraId="3A06A690" w14:textId="77777777" w:rsidR="00903A98" w:rsidRPr="00393250" w:rsidRDefault="00903A98">
      <w:pPr>
        <w:widowControl/>
        <w:rPr>
          <w:szCs w:val="24"/>
          <w:lang w:eastAsia="en-US"/>
        </w:rPr>
      </w:pPr>
      <w:r w:rsidRPr="00393250">
        <w:rPr>
          <w:szCs w:val="24"/>
          <w:lang w:eastAsia="en-US"/>
        </w:rPr>
        <w:br w:type="page"/>
      </w:r>
    </w:p>
    <w:p w14:paraId="167E657A" w14:textId="764B18E3"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(20)</w:t>
      </w:r>
      <w:r w:rsidRPr="00393250">
        <w:rPr>
          <w:szCs w:val="24"/>
          <w:lang w:eastAsia="en-US"/>
        </w:rPr>
        <w:tab/>
        <w:t>Alle bestemmelser i direktiv 2006/118/EF vedrørende vurdering af grundvandets kemiske tilstand bør tilpasses til indførelsen af den tredje kategori af harmoniserede tærskelværdier i del D i bilag II til nævnte direktiv ud over de kvalitetskrav, der er fastsat i bilag I til nævnte direktiv, og de nationale tærskelværdier, der er fastsat i overensstemmelse med metoden i del A i bilag II til nævnte direktiv.</w:t>
      </w:r>
    </w:p>
    <w:p w14:paraId="0A07A8E7" w14:textId="0544F574" w:rsidR="008A5B47" w:rsidRPr="00393250" w:rsidRDefault="008A5B47" w:rsidP="008A5B47">
      <w:pPr>
        <w:spacing w:before="120" w:after="120" w:line="360" w:lineRule="auto"/>
        <w:ind w:left="850" w:hanging="850"/>
        <w:rPr>
          <w:b/>
          <w:szCs w:val="24"/>
          <w:lang w:eastAsia="en-US"/>
        </w:rPr>
      </w:pPr>
      <w:r w:rsidRPr="00393250">
        <w:rPr>
          <w:b/>
          <w:i/>
          <w:szCs w:val="24"/>
          <w:lang w:eastAsia="en-US"/>
        </w:rPr>
        <w:t>(20a)</w:t>
      </w:r>
      <w:r w:rsidRPr="00393250">
        <w:rPr>
          <w:szCs w:val="24"/>
          <w:lang w:eastAsia="en-US"/>
        </w:rPr>
        <w:tab/>
      </w:r>
      <w:r w:rsidRPr="00393250">
        <w:rPr>
          <w:b/>
          <w:i/>
          <w:szCs w:val="24"/>
          <w:lang w:eastAsia="en-US"/>
        </w:rPr>
        <w:t>For at tilsikre tilstrækkelige beskyttelsesstandarder for områder, der er kendetegnet ved høj økologisk værdi, sårbarhed eller forurening, såsom huler og karstområder, der indeholder økosystemer, som er blandt de mest sårbare over for forurening og repræsenterer vigtig drikkevandsforsyning, samt for tidligere industriområder og andre områder med kendt historisk forurening bør Kommissionen offentliggøre en vurdering af den kemiske tilstand i sådanne områder og, hvor det er relevant, forelægge et forslag til retsakt om ændring af direktiv 2006/118/EF i overensstemmelse hermed.</w:t>
      </w:r>
      <w:r w:rsidR="00903A98" w:rsidRPr="00393250">
        <w:rPr>
          <w:b/>
          <w:szCs w:val="24"/>
          <w:lang w:eastAsia="en-US"/>
        </w:rPr>
        <w:t xml:space="preserve"> [Ændring 42]</w:t>
      </w:r>
    </w:p>
    <w:p w14:paraId="43B3F761" w14:textId="77777777" w:rsidR="00903A98" w:rsidRPr="00393250" w:rsidRDefault="00903A98">
      <w:pPr>
        <w:widowControl/>
        <w:rPr>
          <w:szCs w:val="24"/>
          <w:lang w:eastAsia="en-US"/>
        </w:rPr>
      </w:pPr>
      <w:r w:rsidRPr="00393250">
        <w:rPr>
          <w:szCs w:val="24"/>
          <w:lang w:eastAsia="en-US"/>
        </w:rPr>
        <w:br w:type="page"/>
      </w:r>
    </w:p>
    <w:p w14:paraId="62E76681" w14:textId="24D96D2A" w:rsidR="008A5B47" w:rsidRPr="00393250" w:rsidRDefault="008A5B47" w:rsidP="008A5B47">
      <w:pPr>
        <w:spacing w:before="120" w:after="120" w:line="360" w:lineRule="auto"/>
        <w:ind w:left="850" w:hanging="850"/>
        <w:rPr>
          <w:b/>
          <w:szCs w:val="24"/>
          <w:lang w:eastAsia="en-US"/>
        </w:rPr>
      </w:pPr>
      <w:r w:rsidRPr="00393250">
        <w:rPr>
          <w:szCs w:val="24"/>
          <w:lang w:eastAsia="en-US"/>
        </w:rPr>
        <w:lastRenderedPageBreak/>
        <w:t>(21)</w:t>
      </w:r>
      <w:r w:rsidRPr="00393250">
        <w:rPr>
          <w:szCs w:val="24"/>
          <w:lang w:eastAsia="en-US"/>
        </w:rPr>
        <w:tab/>
        <w:t>For at sikre en effektiv og sammenhængende beslutningstagning og udvikle synergier med det arbejde, der udføres inden for rammerne af anden EU-lovgivning om kemikalier, bør Det Europæiske Kemikalieagentur ("ECHA") tildeles en permanent og klart afgrænset rolle i forbindelse med prioriteringen af stoffer, der skal optages på observationslisterne og på listerne over stoffer i bilag I og II til direktiv 2008/105/EF og bilag I og II til direktiv 2006/118/EF, og i forbindelse med udarbejdelsen af passende videnskabeligt baserede kvalitetskrav. ECHA's Udvalg for Risikovurdering (RAC) og Udvalg for Socioøkonomisk Analyse (SEAC) bør lette udførelsen af visse opgaver, der er pålagt ECHA, ved at afgive udtalelser. ECHA bør også sikre bedre koordinering mellem forskellige dele af miljølovgivningen gennem øget gennemsigtighed med hensyn til forurenende stoffer på en observationsliste eller udarbejdelse af EU-dækkende eller nationale miljøkvalitetskrav eller tærskelværdier ved at gøre relevante videnskabelige rapporter offentligt tilgængelige.</w:t>
      </w:r>
      <w:r w:rsidRPr="00393250">
        <w:rPr>
          <w:b/>
          <w:i/>
          <w:szCs w:val="24"/>
          <w:lang w:eastAsia="en-US"/>
        </w:rPr>
        <w:t xml:space="preserve"> I forbindelse med vurderingen af tærskelværdier for farmaceutiske stoffer bør ECHA samarbejde med Det Europæiske Lægemiddelagentur ("EMA").</w:t>
      </w:r>
      <w:r w:rsidR="00903A98" w:rsidRPr="00393250">
        <w:rPr>
          <w:b/>
          <w:szCs w:val="24"/>
          <w:lang w:eastAsia="en-US"/>
        </w:rPr>
        <w:t xml:space="preserve"> [Ændring 43]</w:t>
      </w:r>
    </w:p>
    <w:p w14:paraId="0BDB82FD" w14:textId="77777777" w:rsidR="00903A98" w:rsidRPr="00393250" w:rsidRDefault="00903A98">
      <w:pPr>
        <w:widowControl/>
        <w:rPr>
          <w:szCs w:val="24"/>
          <w:lang w:eastAsia="en-US"/>
        </w:rPr>
      </w:pPr>
      <w:r w:rsidRPr="00393250">
        <w:rPr>
          <w:szCs w:val="24"/>
          <w:lang w:eastAsia="en-US"/>
        </w:rPr>
        <w:br w:type="page"/>
      </w:r>
    </w:p>
    <w:p w14:paraId="625452BB" w14:textId="443DA479"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(22)</w:t>
      </w:r>
      <w:r w:rsidRPr="00393250">
        <w:rPr>
          <w:szCs w:val="24"/>
          <w:lang w:eastAsia="en-US"/>
        </w:rPr>
        <w:tab/>
        <w:t>Ved evalueringen blev det konkluderet, at hyppigere og strømlinede elektroniske indberetninger er nødvendige for at fremme en bedre gennemførelse og håndhævelse af Unionens vandlovgivning. Eftersom Det Europæiske Miljøagentur (EEA) også har til opgave mere regelmæssigt at overvåge forureningssituationen som beskrevet i handlingsplanen for nulforurening, bør EEA fremme en sådan hyppigere og strømlinet rapportering fra medlemsstaternes side. Det er vigtigt, at miljøoplysninger om tilstanden for overfladevand og grundvand i Unionen stilles til rådighed for offentligheden og Kommissionen rettidigt. Medlemsstaterne bør derfor pålægges at stille de overvågningsdata, der er indsamlet inden for rammerne af direktiv 2000/60/EF, til rådighed for Kommissionen og EEA ved hjælp af automatiske rapporterings- og dataleveringsmekanismer baseret på Application Programming Interface eller tilsvarende mekanismer. Den administrative byrde forventes at blive begrænset, for så vidt som medlemsstaterne allerede er forpligtet til at gøre geodatatemaer offentligt tilgængelige inden for rammerne af Europa-Parlamentets og Rådets direktiv 2007/2/EF</w:t>
      </w:r>
      <w:r w:rsidRPr="00393250">
        <w:rPr>
          <w:szCs w:val="24"/>
          <w:vertAlign w:val="superscript"/>
          <w:lang w:val="en-GB" w:eastAsia="en-US"/>
        </w:rPr>
        <w:footnoteReference w:id="44"/>
      </w:r>
      <w:r w:rsidRPr="00393250">
        <w:rPr>
          <w:szCs w:val="24"/>
          <w:lang w:eastAsia="en-US"/>
        </w:rPr>
        <w:t xml:space="preserve"> og Europa-Parlamentets og Rådets direktiv (EU) 2019/1024</w:t>
      </w:r>
      <w:r w:rsidRPr="00393250">
        <w:rPr>
          <w:szCs w:val="24"/>
          <w:vertAlign w:val="superscript"/>
          <w:lang w:val="en-GB" w:eastAsia="en-US"/>
        </w:rPr>
        <w:footnoteReference w:id="45"/>
      </w:r>
      <w:r w:rsidRPr="00393250">
        <w:rPr>
          <w:szCs w:val="24"/>
          <w:lang w:eastAsia="en-US"/>
        </w:rPr>
        <w:t>. Disse geodatatemaer omfatter placering og drift af miljøovervågningsanlæg, relaterede målinger af emissioner og miljømediernes tilstand.</w:t>
      </w:r>
    </w:p>
    <w:p w14:paraId="5A8D54BE" w14:textId="77777777" w:rsidR="00903A98" w:rsidRPr="00393250" w:rsidRDefault="00903A98">
      <w:pPr>
        <w:widowControl/>
        <w:rPr>
          <w:strike/>
          <w:szCs w:val="24"/>
          <w:lang w:eastAsia="en-US"/>
        </w:rPr>
      </w:pPr>
      <w:r w:rsidRPr="00393250">
        <w:rPr>
          <w:strike/>
          <w:szCs w:val="24"/>
          <w:lang w:eastAsia="en-US"/>
        </w:rPr>
        <w:br w:type="page"/>
      </w:r>
    </w:p>
    <w:p w14:paraId="57F6B10A" w14:textId="4DD7D8E7" w:rsidR="008A5B47" w:rsidRPr="00393250" w:rsidRDefault="008A5B47" w:rsidP="008A5B47">
      <w:pPr>
        <w:spacing w:before="120" w:after="120" w:line="360" w:lineRule="auto"/>
        <w:ind w:left="850" w:hanging="850"/>
        <w:rPr>
          <w:b/>
          <w:szCs w:val="24"/>
          <w:lang w:eastAsia="en-US"/>
        </w:rPr>
      </w:pPr>
      <w:r w:rsidRPr="00393250">
        <w:rPr>
          <w:strike/>
          <w:szCs w:val="24"/>
          <w:lang w:eastAsia="en-US"/>
        </w:rPr>
        <w:lastRenderedPageBreak/>
        <w:t>(23)</w:t>
      </w:r>
      <w:r w:rsidRPr="00393250">
        <w:rPr>
          <w:szCs w:val="24"/>
          <w:lang w:eastAsia="en-US"/>
        </w:rPr>
        <w:tab/>
      </w:r>
      <w:r w:rsidRPr="00393250">
        <w:rPr>
          <w:strike/>
          <w:szCs w:val="24"/>
          <w:lang w:eastAsia="en-US"/>
        </w:rPr>
        <w:t>Bedre integration af datastrømme, der indberettes til EEA i henhold til Unionens vandlovgivning, og navnlig af de emissionsoversigter, der kræves i henhold til direktiv 2008/105/EF, med de datastrømme, der indberettes til portalen for industrielle emissioner i henhold til direktiv 2010/75/EU og Europa-Parlamentets og Rådets forordning (EF) nr. 166/2006</w:t>
      </w:r>
      <w:r w:rsidRPr="00393250">
        <w:rPr>
          <w:szCs w:val="24"/>
          <w:vertAlign w:val="superscript"/>
          <w:lang w:val="en-GB" w:eastAsia="en-US"/>
        </w:rPr>
        <w:footnoteReference w:id="46"/>
      </w:r>
      <w:r w:rsidRPr="00393250">
        <w:rPr>
          <w:strike/>
          <w:szCs w:val="24"/>
          <w:lang w:eastAsia="en-US"/>
        </w:rPr>
        <w:t>, vil gøre rapporteringen af oversigter i overensstemmelse med artikel 5 i direktiv 2008/105/EF enklere og mere effektiv. Samtidig vil dette mindske den administrative byrde og spidsbelastningen i forbindelse med udarbejdelsen af vandområdeplanerne. Kombineret med afskaffelsen af statusrapporten om indsatsprogrammerne, som ikke har vist sig at være effektiv, vil denne forenklede rapportering give medlemsstaterne mulighed for at gøre en større indsats for at rapportere emissioner, der ikke er omfattet af lovgivningen om industrielle emissioner, men som er omfattet af emissionsrapporteringen i henhold til artikel 5 i direktiv 2008/105/EF.</w:t>
      </w:r>
      <w:r w:rsidR="00903A98" w:rsidRPr="00393250">
        <w:rPr>
          <w:b/>
          <w:szCs w:val="24"/>
          <w:lang w:eastAsia="en-US"/>
        </w:rPr>
        <w:t xml:space="preserve"> [Ændring 44]</w:t>
      </w:r>
    </w:p>
    <w:p w14:paraId="27B7FA83" w14:textId="77777777" w:rsidR="00903A98" w:rsidRPr="00393250" w:rsidRDefault="00903A98">
      <w:pPr>
        <w:widowControl/>
        <w:rPr>
          <w:szCs w:val="24"/>
          <w:lang w:eastAsia="en-US"/>
        </w:rPr>
      </w:pPr>
      <w:r w:rsidRPr="00393250">
        <w:rPr>
          <w:szCs w:val="24"/>
          <w:lang w:eastAsia="en-US"/>
        </w:rPr>
        <w:br w:type="page"/>
      </w:r>
    </w:p>
    <w:p w14:paraId="2DF2B60F" w14:textId="6CA8EDCE"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(24)</w:t>
      </w:r>
      <w:r w:rsidRPr="00393250">
        <w:rPr>
          <w:szCs w:val="24"/>
          <w:lang w:eastAsia="en-US"/>
        </w:rPr>
        <w:tab/>
        <w:t>Lissabontraktaten indførte en sondring mellem de beføjelser, som Kommissionen kan få delegeret til at vedtage almengyldige ikkelovgivningsmæssige retsakter, der udbygger eller ændrer visse ikkevæsentlige bestemmelser i en lovgivningsmæssig retsakt (delegerede retsakter), og de beføjelser, som Kommissionen kan få delegeret til at vedtage retsakter for at sikre ensartede betingelser for gennemførelsen af juridisk bindende EU-retsakter (gennemførelsesretsakter). Direktiv 2000/60/EF og 2006/118/EF bør tilpasses til den retlige ramme, der blev indført med Lissabontraktaten.</w:t>
      </w:r>
    </w:p>
    <w:p w14:paraId="533F26BA"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(25)</w:t>
      </w:r>
      <w:r w:rsidRPr="00393250">
        <w:rPr>
          <w:szCs w:val="24"/>
          <w:lang w:eastAsia="en-US"/>
        </w:rPr>
        <w:tab/>
        <w:t>Beføjelserne i artikel 20, stk. 1, første afsnit, i direktiv 2000/60/EF og i punkt 1.4.1, litra ix), i bilag V til nævnte direktiv, som indeholder bestemmelser om brug af forskriftsproceduren med kontrol, opfylder kriterierne i artikel 290, stk. 1, i TEUF, da de vedrører tilpasninger af bilagene til nævnte direktiv og vedtagelse af regler, der supplerer det. De bør derfor konverteres til beføjelser for Kommissionen til at vedtage delegerede retsakter.</w:t>
      </w:r>
    </w:p>
    <w:p w14:paraId="4FEF551E" w14:textId="77777777" w:rsidR="00903A98" w:rsidRPr="00393250" w:rsidRDefault="00903A98">
      <w:pPr>
        <w:widowControl/>
        <w:rPr>
          <w:szCs w:val="24"/>
          <w:lang w:eastAsia="en-US"/>
        </w:rPr>
      </w:pPr>
      <w:r w:rsidRPr="00393250">
        <w:rPr>
          <w:szCs w:val="24"/>
          <w:lang w:eastAsia="en-US"/>
        </w:rPr>
        <w:br w:type="page"/>
      </w:r>
    </w:p>
    <w:p w14:paraId="38BDA023" w14:textId="58124509"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(26)</w:t>
      </w:r>
      <w:r w:rsidRPr="00393250">
        <w:rPr>
          <w:szCs w:val="24"/>
          <w:lang w:eastAsia="en-US"/>
        </w:rPr>
        <w:tab/>
        <w:t>Beføjelsen i artikel 8, i direktiv 2006/118/EF, som indeholder bestemmelser om brug af forskriftsproceduren med kontrol, opfylder kriterierne i artikel 290, stk. 1, i TEUF, da de vedrører tilpasninger af bilagene til nævnte direktiv. Den bør derfor konverteres til en beføjelse for Kommissionen til at vedtage delegerede retsakter.</w:t>
      </w:r>
    </w:p>
    <w:p w14:paraId="5DB52E23"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(27)</w:t>
      </w:r>
      <w:r w:rsidRPr="00393250">
        <w:rPr>
          <w:szCs w:val="24"/>
          <w:lang w:eastAsia="en-US"/>
        </w:rPr>
        <w:tab/>
        <w:t>Det er navnlig vigtigt, at Kommissionen gennemfører relevante høringer under forberedelsen af delegerede retsakter og dens forberedende arbejde, herunder på ekspertniveau, og at disse høringer gennemføres i overensstemmelse med principperne i den interinstitutionelle aftale af 13. april 2016 om bedre lovgivning.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forberedelsen af delegerede retsakter.</w:t>
      </w:r>
    </w:p>
    <w:p w14:paraId="634D9809" w14:textId="77777777" w:rsidR="00903A98" w:rsidRPr="00393250" w:rsidRDefault="00903A98">
      <w:pPr>
        <w:widowControl/>
        <w:rPr>
          <w:szCs w:val="24"/>
          <w:lang w:eastAsia="en-US"/>
        </w:rPr>
      </w:pPr>
      <w:r w:rsidRPr="00393250">
        <w:rPr>
          <w:szCs w:val="24"/>
          <w:lang w:eastAsia="en-US"/>
        </w:rPr>
        <w:br w:type="page"/>
      </w:r>
    </w:p>
    <w:p w14:paraId="0AB7E33D" w14:textId="2BA13A7D"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(28)</w:t>
      </w:r>
      <w:r w:rsidRPr="00393250">
        <w:rPr>
          <w:szCs w:val="24"/>
          <w:lang w:eastAsia="en-US"/>
        </w:rPr>
        <w:tab/>
        <w:t>Beføjelsen i artikel 8, stk. 3, i direktiv 2000/60/EF, som indeholder bestemmelser om anvendelse af forskriftsproceduren med kontrol, opfylder kriterierne i artikel 290, stk. 2, i TEUF, da den vedrører vedtagelse af tekniske specifikationer og standardiserede metoder til analyse og kontrol af vandets tilstand og derfor har til formål at sikre ensartede betingelser for en harmoniseret gennemførelse af nævnte direktiv. Den bør derfor konverteres til en beføjelse for Kommissionen til at vedtage gennemførelsesretsakter.  For at sikre dataenes sammenlignelighed bør beføjelsen også udvides til at omfatte fastlæggelse af formater for rapportering af overvågnings- og tilstandsdata i overensstemmelse med artikel 8, stk. 4. De beføjelser, der tillægges Kommissionen, bør udøves i overensstemmelse med Europa-Parlamentets og Rådets forordning (EU) nr. 182/2011</w:t>
      </w:r>
      <w:r w:rsidRPr="00393250">
        <w:rPr>
          <w:szCs w:val="24"/>
          <w:vertAlign w:val="superscript"/>
          <w:lang w:val="en-GB" w:eastAsia="en-US"/>
        </w:rPr>
        <w:footnoteReference w:id="47"/>
      </w:r>
      <w:r w:rsidRPr="00393250">
        <w:rPr>
          <w:szCs w:val="24"/>
          <w:lang w:eastAsia="en-US"/>
        </w:rPr>
        <w:t>.</w:t>
      </w:r>
    </w:p>
    <w:p w14:paraId="4B954B90"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(29)</w:t>
      </w:r>
      <w:r w:rsidRPr="00393250">
        <w:rPr>
          <w:szCs w:val="24"/>
          <w:lang w:eastAsia="en-US"/>
        </w:rPr>
        <w:tab/>
        <w:t>For at sikre ensartede betingelser for gennemførelsen af direktiv 2000/60/EF bør Kommissionen tillægges gennemførelsesbeføjelser til at vedtage tekniske formater for rapportering af overvågnings- og tilstandsdata for vand i overensstemmelse med artikel 8, stk. 3, i direktiv 2000/60/EF. Disse beføjelser bør udøves i overensstemmelse med forordning (EU) nr. 182/2011.</w:t>
      </w:r>
    </w:p>
    <w:p w14:paraId="39312652" w14:textId="77777777" w:rsidR="00903A98" w:rsidRPr="00393250" w:rsidRDefault="00903A98">
      <w:pPr>
        <w:widowControl/>
        <w:rPr>
          <w:szCs w:val="24"/>
          <w:lang w:eastAsia="en-US"/>
        </w:rPr>
      </w:pPr>
      <w:r w:rsidRPr="00393250">
        <w:rPr>
          <w:szCs w:val="24"/>
          <w:lang w:eastAsia="en-US"/>
        </w:rPr>
        <w:br w:type="page"/>
      </w:r>
    </w:p>
    <w:p w14:paraId="3980BA31" w14:textId="32CE8E2D"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(30)</w:t>
      </w:r>
      <w:r w:rsidRPr="00393250">
        <w:rPr>
          <w:szCs w:val="24"/>
          <w:lang w:eastAsia="en-US"/>
        </w:rPr>
        <w:tab/>
        <w:t>For at sikre ensartede betingelser for gennemførelsen af direktiv 2008/105/EF bør Kommissionen tillægges gennemførelsesbeføjelser til at vedtage standardiserede formater for rapportering af punktkildeemissioner, der ikke er omfattet af Europa-Parlamentets og Rådets forordning (EU) .../...</w:t>
      </w:r>
      <w:r w:rsidRPr="00393250">
        <w:rPr>
          <w:szCs w:val="24"/>
          <w:vertAlign w:val="superscript"/>
          <w:lang w:val="en-GB" w:eastAsia="en-US"/>
        </w:rPr>
        <w:footnoteReference w:id="48"/>
      </w:r>
      <w:r w:rsidRPr="00393250">
        <w:rPr>
          <w:szCs w:val="24"/>
          <w:lang w:eastAsia="en-US"/>
        </w:rPr>
        <w:t>, til EEA. Disse beføjelser bør udøves i overensstemmelse med forordning (EU) nr. 182/2011.</w:t>
      </w:r>
    </w:p>
    <w:p w14:paraId="1A73AC57" w14:textId="4117FE24" w:rsidR="008A5B47" w:rsidRPr="00393250" w:rsidRDefault="008A5B47" w:rsidP="008A5B47">
      <w:pPr>
        <w:spacing w:before="120" w:after="120" w:line="360" w:lineRule="auto"/>
        <w:ind w:left="850" w:hanging="850"/>
        <w:rPr>
          <w:b/>
          <w:szCs w:val="24"/>
          <w:lang w:eastAsia="en-US"/>
        </w:rPr>
      </w:pPr>
      <w:r w:rsidRPr="00393250">
        <w:rPr>
          <w:szCs w:val="24"/>
          <w:lang w:eastAsia="en-US"/>
        </w:rPr>
        <w:t>(31)</w:t>
      </w:r>
      <w:r w:rsidRPr="00393250">
        <w:rPr>
          <w:szCs w:val="24"/>
          <w:lang w:eastAsia="en-US"/>
        </w:rPr>
        <w:tab/>
        <w:t>Det er nødvendigt at tage hensyn til</w:t>
      </w:r>
      <w:r w:rsidRPr="00393250">
        <w:rPr>
          <w:b/>
          <w:i/>
          <w:szCs w:val="24"/>
          <w:lang w:eastAsia="en-US"/>
        </w:rPr>
        <w:t xml:space="preserve"> status for</w:t>
      </w:r>
      <w:r w:rsidRPr="00393250">
        <w:rPr>
          <w:szCs w:val="24"/>
          <w:lang w:eastAsia="en-US"/>
        </w:rPr>
        <w:t xml:space="preserve"> den videnskabelige og tekniske udvikling</w:t>
      </w:r>
      <w:r w:rsidRPr="00393250">
        <w:rPr>
          <w:b/>
          <w:i/>
          <w:szCs w:val="24"/>
          <w:lang w:eastAsia="en-US"/>
        </w:rPr>
        <w:t xml:space="preserve"> og de bedste tilgængelige metoder</w:t>
      </w:r>
      <w:r w:rsidRPr="00393250">
        <w:rPr>
          <w:szCs w:val="24"/>
          <w:lang w:eastAsia="en-US"/>
        </w:rPr>
        <w:t xml:space="preserve"> inden for overvågning af vandområders tilstand i overensstemmelse med overvågningskravene i bilag V til direktiv 2000/60/EF. Medlemsstaterne bør derfor have mulighed for at anvende data og tjenester fra telemålingsteknologier, jordobservation (Copernicustjenester), in situ-sensorer og -udstyr eller borgervidenskabelige data, der udnytter de muligheder, der ligger i kunstig intelligens og avanceret dataanalyse og -behandling.</w:t>
      </w:r>
      <w:r w:rsidR="00903A98" w:rsidRPr="00393250">
        <w:rPr>
          <w:b/>
          <w:szCs w:val="24"/>
          <w:lang w:eastAsia="en-US"/>
        </w:rPr>
        <w:t xml:space="preserve"> [Ændring 45]</w:t>
      </w:r>
    </w:p>
    <w:p w14:paraId="7A94BAB6" w14:textId="77777777" w:rsidR="00903A98" w:rsidRPr="00393250" w:rsidRDefault="00903A98">
      <w:pPr>
        <w:widowControl/>
        <w:rPr>
          <w:b/>
          <w:i/>
          <w:szCs w:val="24"/>
          <w:lang w:eastAsia="en-US"/>
        </w:rPr>
      </w:pPr>
      <w:r w:rsidRPr="00393250">
        <w:rPr>
          <w:b/>
          <w:i/>
          <w:szCs w:val="24"/>
          <w:lang w:eastAsia="en-US"/>
        </w:rPr>
        <w:br w:type="page"/>
      </w:r>
    </w:p>
    <w:p w14:paraId="62A74478" w14:textId="175DB4C6" w:rsidR="008A5B47" w:rsidRPr="00393250" w:rsidRDefault="008A5B47" w:rsidP="008A5B47">
      <w:pPr>
        <w:spacing w:before="120" w:after="120" w:line="360" w:lineRule="auto"/>
        <w:ind w:left="850" w:hanging="850"/>
        <w:rPr>
          <w:b/>
          <w:szCs w:val="24"/>
          <w:lang w:eastAsia="en-US"/>
        </w:rPr>
      </w:pPr>
      <w:r w:rsidRPr="00393250">
        <w:rPr>
          <w:b/>
          <w:i/>
          <w:szCs w:val="24"/>
          <w:lang w:eastAsia="en-US"/>
        </w:rPr>
        <w:lastRenderedPageBreak/>
        <w:t>(31a)</w:t>
      </w:r>
      <w:r w:rsidRPr="00393250">
        <w:rPr>
          <w:szCs w:val="24"/>
          <w:lang w:eastAsia="en-US"/>
        </w:rPr>
        <w:tab/>
      </w:r>
      <w:r w:rsidRPr="00393250">
        <w:rPr>
          <w:b/>
          <w:i/>
          <w:szCs w:val="24"/>
          <w:lang w:eastAsia="en-US"/>
        </w:rPr>
        <w:t>Industrielle aktiviteter i forbindelse med energiomstillingen kan øge de negative indvirkninger på vandkvaliteten. Afbødning af sådanne fremtidige indvirkninger, som f.eks. ændringer i naturlige strømningsmønstre og temperatur, og vandforurening kræver en vurdering af hele viften af potentielle faktorer, samt at der træffes foranstaltninger for at opnå og opretholde god vandkvalitet. Medlemsstaterne bør derfor regelmæssigt evaluere indvirkningen på vandkvaliteten af industrielle aktiviteter i forbindelse med energiomstillingen og underrette Kommissionen om nyligt identificerede trusler med henblik på at ajourføre observationslisten i overensstemmelse hermed. Evalueringen bør være let tilgængelig for offentligheden, og det bør muliggøres, at ajourføringen kan finde sted uafhængigt af de generelle ajourføringscyklusser for at sikre en løbende forbedring af vandkvalitetsvurderingen.</w:t>
      </w:r>
      <w:r w:rsidR="00903A98" w:rsidRPr="00393250">
        <w:rPr>
          <w:b/>
          <w:szCs w:val="24"/>
          <w:lang w:eastAsia="en-US"/>
        </w:rPr>
        <w:t xml:space="preserve"> [Ændring 46]</w:t>
      </w:r>
    </w:p>
    <w:p w14:paraId="167B99AC" w14:textId="77777777" w:rsidR="00903A98" w:rsidRPr="00393250" w:rsidRDefault="00903A98">
      <w:pPr>
        <w:widowControl/>
        <w:rPr>
          <w:b/>
          <w:i/>
          <w:szCs w:val="24"/>
          <w:lang w:eastAsia="en-US"/>
        </w:rPr>
      </w:pPr>
      <w:r w:rsidRPr="00393250">
        <w:rPr>
          <w:b/>
          <w:i/>
          <w:szCs w:val="24"/>
          <w:lang w:eastAsia="en-US"/>
        </w:rPr>
        <w:br w:type="page"/>
      </w:r>
    </w:p>
    <w:p w14:paraId="45FA98A5" w14:textId="66BD6600" w:rsidR="008A5B47" w:rsidRPr="00393250" w:rsidRDefault="008A5B47" w:rsidP="008A5B47">
      <w:pPr>
        <w:spacing w:before="120" w:after="120" w:line="360" w:lineRule="auto"/>
        <w:ind w:left="850" w:hanging="850"/>
        <w:rPr>
          <w:b/>
          <w:szCs w:val="24"/>
          <w:lang w:eastAsia="en-US"/>
        </w:rPr>
      </w:pPr>
      <w:r w:rsidRPr="00393250">
        <w:rPr>
          <w:b/>
          <w:i/>
          <w:szCs w:val="24"/>
          <w:lang w:eastAsia="en-US"/>
        </w:rPr>
        <w:lastRenderedPageBreak/>
        <w:t>(31b)</w:t>
      </w:r>
      <w:r w:rsidRPr="00393250">
        <w:rPr>
          <w:szCs w:val="24"/>
          <w:lang w:eastAsia="en-US"/>
        </w:rPr>
        <w:tab/>
      </w:r>
      <w:r w:rsidRPr="00393250">
        <w:rPr>
          <w:b/>
          <w:i/>
          <w:szCs w:val="24"/>
          <w:lang w:eastAsia="en-US"/>
        </w:rPr>
        <w:t>Kommissionen forpligtede sig i sin meddelelse af 11. december 2019 om den europæiske grønne pagt og sin meddelelse af 14. oktober 2020 om forbedret adgang til domstolsprøvelse på miljøområdet til at træffe foranstaltninger til at forbedre adgangen til domstolsprøvelse ved de nationale domstole i alle medlemsstater for borgere og ikkestatslige miljøorganisationer, der har særlige betænkeligheder med hensyn til foreneligheden med miljølovgivningen af forvaltningsakter, der har indvirkning på miljøet. I sidstnævnte meddelelse bekræfter Kommissionen, at adgangen til domstolsprøvelse i miljøanliggender – både via Den Europæiske Unions Domstol (EU-Domstolen) og de nationale domstole som Unionens retsinstanser – udgør en vigtig støtteforanstaltning, der skal være med til at gøre omstillingen til den europæiske grønne pagt til virkelighed og styrke den rolle, som civilsamfundet kan spille som vagthund i det demokratiske samfund. Disse forpligtelser bør også gennemføres i henhold til direktiv 2000/60/EF.</w:t>
      </w:r>
      <w:r w:rsidR="00903A98" w:rsidRPr="00393250">
        <w:rPr>
          <w:b/>
          <w:szCs w:val="24"/>
          <w:lang w:eastAsia="en-US"/>
        </w:rPr>
        <w:t xml:space="preserve"> [Ændring 47]</w:t>
      </w:r>
    </w:p>
    <w:p w14:paraId="753B3949" w14:textId="77777777" w:rsidR="00903A98" w:rsidRPr="00393250" w:rsidRDefault="00903A98">
      <w:pPr>
        <w:widowControl/>
        <w:rPr>
          <w:b/>
          <w:i/>
          <w:szCs w:val="24"/>
          <w:lang w:eastAsia="en-US"/>
        </w:rPr>
      </w:pPr>
      <w:r w:rsidRPr="00393250">
        <w:rPr>
          <w:b/>
          <w:i/>
          <w:szCs w:val="24"/>
          <w:lang w:eastAsia="en-US"/>
        </w:rPr>
        <w:br w:type="page"/>
      </w:r>
    </w:p>
    <w:p w14:paraId="39BEBEBE" w14:textId="3D6F084C" w:rsidR="008A5B47" w:rsidRPr="00393250" w:rsidRDefault="008A5B47" w:rsidP="008A5B47">
      <w:pPr>
        <w:spacing w:before="120" w:after="120" w:line="360" w:lineRule="auto"/>
        <w:ind w:left="850" w:hanging="850"/>
        <w:rPr>
          <w:b/>
          <w:szCs w:val="24"/>
          <w:lang w:eastAsia="en-US"/>
        </w:rPr>
      </w:pPr>
      <w:r w:rsidRPr="00393250">
        <w:rPr>
          <w:b/>
          <w:i/>
          <w:szCs w:val="24"/>
          <w:lang w:eastAsia="en-US"/>
        </w:rPr>
        <w:lastRenderedPageBreak/>
        <w:t>(31c)</w:t>
      </w:r>
      <w:r w:rsidRPr="00393250">
        <w:rPr>
          <w:szCs w:val="24"/>
          <w:lang w:eastAsia="en-US"/>
        </w:rPr>
        <w:tab/>
      </w:r>
      <w:r w:rsidRPr="00393250">
        <w:rPr>
          <w:b/>
          <w:i/>
          <w:szCs w:val="24"/>
          <w:lang w:eastAsia="en-US"/>
        </w:rPr>
        <w:t>Som bekræftet af EU-Domstolens retspraksis</w:t>
      </w:r>
      <w:r w:rsidRPr="00393250">
        <w:rPr>
          <w:szCs w:val="24"/>
          <w:vertAlign w:val="superscript"/>
          <w:lang w:val="en-GB" w:eastAsia="en-US"/>
        </w:rPr>
        <w:footnoteReference w:id="49"/>
      </w:r>
      <w:r w:rsidRPr="00393250">
        <w:rPr>
          <w:b/>
          <w:i/>
          <w:szCs w:val="24"/>
          <w:lang w:eastAsia="en-US"/>
        </w:rPr>
        <w:t xml:space="preserve"> bør ikkestatslige miljøorganisationer og direkte berørte enkeltpersoner gives partsstatus for at kunne anfægte en afgørelse truffet af en offentlig myndighed, som er i strid med de miljømål, der er omhandlet i artikel 4 i direktiv 2000/60/EF. Med henblik på at forbedre adgangen til domstolsprøvelse i de pågældende sager ved nationale domstole i hele Unionen og for at ikkestatslige miljøorganisationer og direkte berørte enkeltpersoner kan påberåbe sig national lovgivning, når de anfægter afgørelser, der er i strid med direktiv 2000/60/EF, bør der i direktiv 2000/60/EF fastsættes bestemmelser, der sikrer adgang til domstolsprøvelse.</w:t>
      </w:r>
      <w:r w:rsidR="001C6EC5" w:rsidRPr="00393250">
        <w:rPr>
          <w:b/>
          <w:szCs w:val="24"/>
          <w:lang w:eastAsia="en-US"/>
        </w:rPr>
        <w:t xml:space="preserve"> [Ændring 48]</w:t>
      </w:r>
    </w:p>
    <w:p w14:paraId="38B66276" w14:textId="77777777" w:rsidR="001C6EC5" w:rsidRPr="00393250" w:rsidRDefault="001C6EC5">
      <w:pPr>
        <w:widowControl/>
        <w:rPr>
          <w:szCs w:val="24"/>
          <w:lang w:eastAsia="en-US"/>
        </w:rPr>
      </w:pPr>
      <w:r w:rsidRPr="00393250">
        <w:rPr>
          <w:szCs w:val="24"/>
          <w:lang w:eastAsia="en-US"/>
        </w:rPr>
        <w:br w:type="page"/>
      </w:r>
    </w:p>
    <w:p w14:paraId="65A85FD4" w14:textId="222902F7" w:rsidR="008A5B47" w:rsidRPr="00393250" w:rsidRDefault="008A5B47" w:rsidP="008A5B47">
      <w:pPr>
        <w:spacing w:before="120" w:after="120" w:line="360" w:lineRule="auto"/>
        <w:ind w:left="850" w:hanging="850"/>
        <w:rPr>
          <w:b/>
          <w:szCs w:val="24"/>
          <w:lang w:eastAsia="en-US"/>
        </w:rPr>
      </w:pPr>
      <w:r w:rsidRPr="00393250">
        <w:rPr>
          <w:szCs w:val="24"/>
          <w:lang w:eastAsia="en-US"/>
        </w:rPr>
        <w:lastRenderedPageBreak/>
        <w:t>(32)</w:t>
      </w:r>
      <w:r w:rsidRPr="00393250">
        <w:rPr>
          <w:szCs w:val="24"/>
          <w:lang w:eastAsia="en-US"/>
        </w:rPr>
        <w:tab/>
        <w:t>I betragtning af stigningen i uforudseelige vejrforhold, navnlig ekstreme oversvømmelser, langvarig tørke eller væsentlige forureningsuheld, der resulterer i eller forværrer grænseoverskridende</w:t>
      </w:r>
      <w:r w:rsidRPr="00393250">
        <w:rPr>
          <w:strike/>
          <w:szCs w:val="24"/>
          <w:lang w:eastAsia="en-US"/>
        </w:rPr>
        <w:t xml:space="preserve"> utilsigtet</w:t>
      </w:r>
      <w:r w:rsidRPr="00393250">
        <w:rPr>
          <w:szCs w:val="24"/>
          <w:lang w:eastAsia="en-US"/>
        </w:rPr>
        <w:t xml:space="preserve"> forurening, bør medlemsstaterne forpligtes til at sikre, at der straks gives oplysninger om sådanne hændelser til andre potentielt berørte medlemsstater, og til at samarbejde effektivt med potentielt berørte medlemsstater for at afbøde virkningerne af hændelsen eller uheldet. Det er også nødvendigt at styrke samarbejdet mellem medlemsstaterne og strømline procedurerne for grænseoverskridende samarbejde i tilfælde af mere strukturelle, dvs. langsigtede grænseoverskridende problemer, som ikke har karakter af uheld, og som ikke kan løses på medlemsstatsniveau, jf. artikel 12 i direktiv 2000/60/EF. Hvis der er behov for europæisk bistand, kan de kompetente nationale myndigheder sende anmodninger om bistand til Kommissionens katastrofeberedskabskoordineringscenter, som vil koordinere mulige tilbud om bistand og deres indsættelse gennem EU-civilbeskyttelsesmekanismen i overensstemmelse med artikel 15 i Europa-Parlamentets og Rådets afgørelse nr. 1313/2013</w:t>
      </w:r>
      <w:r w:rsidRPr="00393250">
        <w:rPr>
          <w:szCs w:val="24"/>
          <w:vertAlign w:val="superscript"/>
          <w:lang w:val="en-GB" w:eastAsia="en-US"/>
        </w:rPr>
        <w:footnoteReference w:id="50"/>
      </w:r>
      <w:r w:rsidRPr="00393250">
        <w:rPr>
          <w:szCs w:val="24"/>
          <w:lang w:eastAsia="en-US"/>
        </w:rPr>
        <w:t>.</w:t>
      </w:r>
      <w:r w:rsidRPr="00393250">
        <w:rPr>
          <w:b/>
          <w:i/>
          <w:szCs w:val="24"/>
          <w:lang w:eastAsia="en-US"/>
        </w:rPr>
        <w:t xml:space="preserve"> I betragtning af at vandområdedistrikter også kan strække sig uden for Unionens område, vil det også bidrage til de mål, der er fastsat i direktiv 2000/60/EF for disse specifikke vandområdedistrikter, jf. artikel 3, stk. 5, i direktiv 2000/60/EF, hvis det sikres, at der sker en effektiv gennemførelse af de relevante bestemmelser om vandbeskyttelse i henhold til direktiv 2000/60/EF i de relevante tredjelande og en passende koordinering med dem. Desuden bør væbnede konflikter, der finder sted i umiddelbar geografisk nærhed af Unionen, også betragtes som ekstraordinære begivenheder på grund af deres massive og grænseoverskridende negative miljømæssige indvirkning, som omfatter forurening af luft, jord og vand. Da de vandområder, der er berørt af sådanne konflikter, kan strække sig inden for Unionens grænser, bør Kommissionen og medlemsstaterne øge deres bestræbelser på at etablere en passende koordinering med relevante tredjelande som omhandlet i artikel 3, stk. 5, i direktiv 2000/60/EF.</w:t>
      </w:r>
      <w:r w:rsidR="00E7510C" w:rsidRPr="00393250">
        <w:rPr>
          <w:b/>
          <w:szCs w:val="24"/>
          <w:lang w:eastAsia="en-US"/>
        </w:rPr>
        <w:t xml:space="preserve"> [Ændring 49]</w:t>
      </w:r>
    </w:p>
    <w:p w14:paraId="74344D56" w14:textId="77777777" w:rsidR="00E7510C" w:rsidRPr="00393250" w:rsidRDefault="00E7510C">
      <w:pPr>
        <w:widowControl/>
        <w:rPr>
          <w:b/>
          <w:i/>
          <w:szCs w:val="24"/>
          <w:lang w:eastAsia="en-US"/>
        </w:rPr>
      </w:pPr>
      <w:r w:rsidRPr="00393250">
        <w:rPr>
          <w:b/>
          <w:i/>
          <w:szCs w:val="24"/>
          <w:lang w:eastAsia="en-US"/>
        </w:rPr>
        <w:br w:type="page"/>
      </w:r>
    </w:p>
    <w:p w14:paraId="07713BEF" w14:textId="2A6B0BA4" w:rsidR="008A5B47" w:rsidRPr="00393250" w:rsidRDefault="008A5B47" w:rsidP="008A5B47">
      <w:pPr>
        <w:spacing w:before="120" w:after="120" w:line="360" w:lineRule="auto"/>
        <w:ind w:left="850" w:hanging="850"/>
        <w:rPr>
          <w:b/>
          <w:szCs w:val="24"/>
          <w:lang w:eastAsia="en-US"/>
        </w:rPr>
      </w:pPr>
      <w:r w:rsidRPr="00393250">
        <w:rPr>
          <w:b/>
          <w:i/>
          <w:szCs w:val="24"/>
          <w:lang w:eastAsia="en-US"/>
        </w:rPr>
        <w:lastRenderedPageBreak/>
        <w:t>(32a)</w:t>
      </w:r>
      <w:r w:rsidRPr="00393250">
        <w:rPr>
          <w:szCs w:val="24"/>
          <w:lang w:eastAsia="en-US"/>
        </w:rPr>
        <w:tab/>
      </w:r>
      <w:r w:rsidRPr="00393250">
        <w:rPr>
          <w:b/>
          <w:i/>
          <w:szCs w:val="24"/>
          <w:lang w:eastAsia="en-US"/>
        </w:rPr>
        <w:t>I Revisionsrettens særberetning af 19. maj 2021 med titlen "Princippet om, at forureneren betaler: inkonsekvent anvendelse på tværs af EU's miljøpolitikker og foranstaltninger" bemærker Revisionsretten, at medlemsstaterne allerede bruger omkring 100 mia. EUR om året på vandforsyning og sanitet, og at stigningerne i disse udgifter forventes at beløbe sig til over 25</w:t>
      </w:r>
      <w:r w:rsidR="00E7510C" w:rsidRPr="00393250">
        <w:rPr>
          <w:b/>
          <w:i/>
          <w:szCs w:val="24"/>
          <w:lang w:eastAsia="en-US"/>
        </w:rPr>
        <w:t> </w:t>
      </w:r>
      <w:r w:rsidRPr="00393250">
        <w:rPr>
          <w:b/>
          <w:i/>
          <w:szCs w:val="24"/>
          <w:lang w:eastAsia="en-US"/>
        </w:rPr>
        <w:t>% for at opfylde målene i EU-lovgivningen om rensning af spildevand og drikkevand, uden at de investeringer, der er nødvendige for at forny eksisterende infrastruktur eller opfylde målene i vandrammedirektivet og oversvømmelsesdirektivet, er medregnet. Endvidere betaler brugerne i Unionen gennem vandafgifter i gennemsnit omkring 70</w:t>
      </w:r>
      <w:r w:rsidR="00E7510C" w:rsidRPr="00393250">
        <w:rPr>
          <w:b/>
          <w:i/>
          <w:szCs w:val="24"/>
          <w:lang w:eastAsia="en-US"/>
        </w:rPr>
        <w:t> </w:t>
      </w:r>
      <w:r w:rsidRPr="00393250">
        <w:rPr>
          <w:b/>
          <w:i/>
          <w:szCs w:val="24"/>
          <w:lang w:eastAsia="en-US"/>
        </w:rPr>
        <w:t>% af omkostningerne ved at levere vandforsyning, mens de offentlige kasser finansierer de resterende 30</w:t>
      </w:r>
      <w:r w:rsidR="00E7510C" w:rsidRPr="00393250">
        <w:rPr>
          <w:b/>
          <w:i/>
          <w:szCs w:val="24"/>
          <w:lang w:eastAsia="en-US"/>
        </w:rPr>
        <w:t> </w:t>
      </w:r>
      <w:r w:rsidRPr="00393250">
        <w:rPr>
          <w:b/>
          <w:i/>
          <w:szCs w:val="24"/>
          <w:lang w:eastAsia="en-US"/>
        </w:rPr>
        <w:t>%, selv om der er betydelige forskelle mellem regioner og medlemsstater. Husholdningerne i Unionen betaler som regel hovedparten af omkostningerne til vandforsynings- og sanitetstjenester, selv om de kun forbruger 10</w:t>
      </w:r>
      <w:r w:rsidR="00E7510C" w:rsidRPr="00393250">
        <w:rPr>
          <w:b/>
          <w:i/>
          <w:szCs w:val="24"/>
          <w:lang w:eastAsia="en-US"/>
        </w:rPr>
        <w:t> </w:t>
      </w:r>
      <w:r w:rsidRPr="00393250">
        <w:rPr>
          <w:b/>
          <w:i/>
          <w:szCs w:val="24"/>
          <w:lang w:eastAsia="en-US"/>
        </w:rPr>
        <w:t>% af vandet, mens de økonomiske sektorer, der lægger størst pres på fornybare ferskvandsressourcer, bidrager mindst til at dække disse omkostninger.</w:t>
      </w:r>
      <w:r w:rsidR="00E7510C" w:rsidRPr="00393250">
        <w:rPr>
          <w:b/>
          <w:szCs w:val="24"/>
          <w:lang w:eastAsia="en-US"/>
        </w:rPr>
        <w:t xml:space="preserve"> [Ændring 50]</w:t>
      </w:r>
    </w:p>
    <w:p w14:paraId="35363914" w14:textId="77777777" w:rsidR="00E7510C" w:rsidRPr="00393250" w:rsidRDefault="00E7510C">
      <w:pPr>
        <w:widowControl/>
        <w:rPr>
          <w:b/>
          <w:i/>
          <w:szCs w:val="24"/>
          <w:lang w:eastAsia="en-US"/>
        </w:rPr>
      </w:pPr>
      <w:r w:rsidRPr="00393250">
        <w:rPr>
          <w:b/>
          <w:i/>
          <w:szCs w:val="24"/>
          <w:lang w:eastAsia="en-US"/>
        </w:rPr>
        <w:br w:type="page"/>
      </w:r>
    </w:p>
    <w:p w14:paraId="1E14F33A" w14:textId="13B1FCE9" w:rsidR="008A5B47" w:rsidRPr="00393250" w:rsidRDefault="008A5B47" w:rsidP="008A5B47">
      <w:pPr>
        <w:spacing w:before="120" w:after="120" w:line="360" w:lineRule="auto"/>
        <w:ind w:left="850" w:hanging="850"/>
        <w:rPr>
          <w:b/>
          <w:szCs w:val="24"/>
          <w:lang w:eastAsia="en-US"/>
        </w:rPr>
      </w:pPr>
      <w:r w:rsidRPr="00393250">
        <w:rPr>
          <w:b/>
          <w:i/>
          <w:szCs w:val="24"/>
          <w:lang w:eastAsia="en-US"/>
        </w:rPr>
        <w:lastRenderedPageBreak/>
        <w:t>(32b)</w:t>
      </w:r>
      <w:r w:rsidRPr="00393250">
        <w:rPr>
          <w:szCs w:val="24"/>
          <w:lang w:eastAsia="en-US"/>
        </w:rPr>
        <w:tab/>
      </w:r>
      <w:r w:rsidRPr="00393250">
        <w:rPr>
          <w:b/>
          <w:i/>
          <w:szCs w:val="24"/>
          <w:lang w:eastAsia="en-US"/>
        </w:rPr>
        <w:t>Omkostningerne ved overvågningsprogrammer til bestemmelse af overfladevandets og grundvandets status finansieres udelukkende via medlemsstaternes budgetter. I betragtning af at antallet af kemikalier, der påvises i vandmiljøet, konstant ændrer sig, at der er et stigende antal nye forurenende stoffer, der først for nylig er dukket op i vandmiljøet, at der er behov for konstant forbedring af kemiske analysemetoder for at påvise disse nye forurenende stoffer og vurdere deres økologiske virkninger korrekt, og at det også er nødvendigt at udvikle nye overvågningsmetoder for bedre at kunne vurdere virkningerne af blandinger, forventes disse overvågningsomkostninger at stige endnu mere. For at dække disse omkostninger og i overensstemmelse med princippet om, at forureneren betaler, som er nedfældet i artikel 191, stk. 2, i traktaten om Den Europæiske Unions funktionsmåde (TEUF), er det afgørende, at producenter, der markedsfører produkter i Unionen, som indeholder stoffer, der har en påvist eller potentielt negativ indvirkning på menneskers sundhed og vandmiljøet, påtager sig det finansielle ansvar for de foranstaltninger, der er nødvendige for at kontrollere stoffer, der genereres i forbindelse med deres kommercielle aktiviteter og findes i overfladevand og grundvand. Et system med udvidet producentansvar er formentlig det mest hensigtsmæssige middel til at opnå dette, da det vil begrænse den finansielle byrde for skatteyderne og samtidig give et incitament til at udvikle grønnere produkter. Kommissionen bør derfor udarbejde en konsekvensanalyse, der undersøger indføjelsen i direktiv 2006/118/EF og direktiv 2008/105/EF af en mekanisme for udvidet producentansvar, som gælder for prioriterede stoffer som defineret i direktiv 2006/118/EF og direktiv 2008/105/EF samt for nye forurenende stoffer som defineret i observationslisterne i direktiv 2006/118/EF og direktiv 2008/105/EF. Konsekvensanalysen bør, hvis det er relevant, ledsages af et forslag til retsakt om ændring af direktiv 2006/118/EF og direktiv 2008/105/EF.</w:t>
      </w:r>
      <w:r w:rsidR="008D4251" w:rsidRPr="00393250">
        <w:rPr>
          <w:b/>
          <w:szCs w:val="24"/>
          <w:lang w:eastAsia="en-US"/>
        </w:rPr>
        <w:t xml:space="preserve"> [Ændring 51]</w:t>
      </w:r>
    </w:p>
    <w:p w14:paraId="6D608728" w14:textId="77777777" w:rsidR="008D4251" w:rsidRPr="00393250" w:rsidRDefault="008D4251">
      <w:pPr>
        <w:widowControl/>
        <w:rPr>
          <w:b/>
          <w:i/>
          <w:szCs w:val="24"/>
          <w:lang w:eastAsia="en-US"/>
        </w:rPr>
      </w:pPr>
      <w:r w:rsidRPr="00393250">
        <w:rPr>
          <w:b/>
          <w:i/>
          <w:szCs w:val="24"/>
          <w:lang w:eastAsia="en-US"/>
        </w:rPr>
        <w:br w:type="page"/>
      </w:r>
    </w:p>
    <w:p w14:paraId="24C3C2C7" w14:textId="201961E3" w:rsidR="008A5B47" w:rsidRPr="00393250" w:rsidRDefault="008A5B47" w:rsidP="008A5B47">
      <w:pPr>
        <w:spacing w:before="120" w:after="120" w:line="360" w:lineRule="auto"/>
        <w:ind w:left="850" w:hanging="850"/>
        <w:rPr>
          <w:b/>
          <w:szCs w:val="24"/>
          <w:lang w:eastAsia="en-US"/>
        </w:rPr>
      </w:pPr>
      <w:r w:rsidRPr="00393250">
        <w:rPr>
          <w:b/>
          <w:i/>
          <w:szCs w:val="24"/>
          <w:lang w:eastAsia="en-US"/>
        </w:rPr>
        <w:lastRenderedPageBreak/>
        <w:t>(32c)</w:t>
      </w:r>
      <w:r w:rsidRPr="00393250">
        <w:rPr>
          <w:szCs w:val="24"/>
          <w:lang w:eastAsia="en-US"/>
        </w:rPr>
        <w:tab/>
      </w:r>
      <w:r w:rsidRPr="00393250">
        <w:rPr>
          <w:b/>
          <w:i/>
          <w:szCs w:val="24"/>
          <w:lang w:eastAsia="en-US"/>
        </w:rPr>
        <w:t>Overvågning af et øget antal stoffer eller grupper af stoffer indebærer øgede omkostninger, men også behovet for styrket administrativ kapacitet i medlemsstaterne, navnlig dem med knappere ressourcer. I lyset af ovenstående bør Kommissionen oprette en fælles europæisk overvågningsfacilitet til at varetage overvågningskravene, når medlemsstaterne anmoder herom, og dermed lette deres finansielle og administrative byrder. Kommissionen bør fastlægge overvågningsfacilitetens funktionsmåde. Brugen af en sådan facilitet bør være frivillig og bør ikke berøre ordninger, som allerede er indført af medlemsstaterne.</w:t>
      </w:r>
      <w:r w:rsidR="008D4251" w:rsidRPr="00393250">
        <w:rPr>
          <w:b/>
          <w:szCs w:val="24"/>
          <w:lang w:eastAsia="en-US"/>
        </w:rPr>
        <w:t xml:space="preserve"> [Ændring 52]</w:t>
      </w:r>
    </w:p>
    <w:p w14:paraId="3E97BCC7" w14:textId="77777777" w:rsidR="008D4251" w:rsidRPr="00393250" w:rsidRDefault="008D4251">
      <w:pPr>
        <w:widowControl/>
        <w:rPr>
          <w:b/>
          <w:i/>
          <w:szCs w:val="24"/>
          <w:lang w:eastAsia="en-US"/>
        </w:rPr>
      </w:pPr>
      <w:r w:rsidRPr="00393250">
        <w:rPr>
          <w:b/>
          <w:i/>
          <w:szCs w:val="24"/>
          <w:lang w:eastAsia="en-US"/>
        </w:rPr>
        <w:br w:type="page"/>
      </w:r>
    </w:p>
    <w:p w14:paraId="05140372" w14:textId="65DEE83E" w:rsidR="008A5B47" w:rsidRPr="00393250" w:rsidRDefault="008A5B47" w:rsidP="008A5B47">
      <w:pPr>
        <w:spacing w:before="120" w:after="120" w:line="360" w:lineRule="auto"/>
        <w:ind w:left="850" w:hanging="850"/>
        <w:rPr>
          <w:b/>
          <w:szCs w:val="24"/>
          <w:lang w:eastAsia="en-US"/>
        </w:rPr>
      </w:pPr>
      <w:r w:rsidRPr="00393250">
        <w:rPr>
          <w:b/>
          <w:i/>
          <w:szCs w:val="24"/>
          <w:lang w:eastAsia="en-US"/>
        </w:rPr>
        <w:lastRenderedPageBreak/>
        <w:t>(32d)</w:t>
      </w:r>
      <w:r w:rsidRPr="00393250">
        <w:rPr>
          <w:szCs w:val="24"/>
          <w:lang w:eastAsia="en-US"/>
        </w:rPr>
        <w:tab/>
      </w:r>
      <w:r w:rsidRPr="00393250">
        <w:rPr>
          <w:b/>
          <w:i/>
          <w:szCs w:val="24"/>
          <w:lang w:eastAsia="en-US"/>
        </w:rPr>
        <w:t>Evidensen viser, at der er behov for investeringer i vandsektoren, og EU-finansiering er afgørende for, at nogle medlemsstater kan overholde de retlige forpligtelser, der er fastsat i direktiv 2000/60/EF, direktiv 2008/105/EF og direktiv 2006/118/EF. Alle medlemsstater er nødt til at forøge deres udgifter med mindst 20</w:t>
      </w:r>
      <w:r w:rsidR="00B8698F" w:rsidRPr="00393250">
        <w:rPr>
          <w:b/>
          <w:i/>
          <w:szCs w:val="24"/>
          <w:lang w:eastAsia="en-US"/>
        </w:rPr>
        <w:t> </w:t>
      </w:r>
      <w:r w:rsidRPr="00393250">
        <w:rPr>
          <w:b/>
          <w:i/>
          <w:szCs w:val="24"/>
          <w:lang w:eastAsia="en-US"/>
        </w:rPr>
        <w:t>% for at nå op på Unionens vandstandarder, og der er et samlet finansieringsunderskud på 289 mia. EUR frem til 2030</w:t>
      </w:r>
      <w:r w:rsidRPr="00393250">
        <w:rPr>
          <w:szCs w:val="24"/>
          <w:vertAlign w:val="superscript"/>
          <w:lang w:val="en-GB" w:eastAsia="en-US"/>
        </w:rPr>
        <w:footnoteReference w:id="51"/>
      </w:r>
      <w:r w:rsidRPr="00393250">
        <w:rPr>
          <w:b/>
          <w:i/>
          <w:szCs w:val="24"/>
          <w:lang w:eastAsia="en-US"/>
        </w:rPr>
        <w:t>. Det er derfor nødvendigt at sikre, at der stilles tilstrækkelige finansielle og menneskelige ressourcer til rådighed med henblik på at foretage overvågning og tilsyn med vandområder i alle medlemsstater, bl.a. gennem relevante EU-strukturfonde og -programmer og via bidrag fra den private sektor, bl.a. under mekanismen for udvidet producentansvar, når den er blevet oprettet.</w:t>
      </w:r>
      <w:r w:rsidR="008D4251" w:rsidRPr="00393250">
        <w:rPr>
          <w:b/>
          <w:szCs w:val="24"/>
          <w:lang w:eastAsia="en-US"/>
        </w:rPr>
        <w:t xml:space="preserve"> [Ændring 53]</w:t>
      </w:r>
    </w:p>
    <w:p w14:paraId="6BD4D3E6"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(33)</w:t>
      </w:r>
      <w:r w:rsidRPr="00393250">
        <w:rPr>
          <w:szCs w:val="24"/>
          <w:lang w:eastAsia="en-US"/>
        </w:rPr>
        <w:tab/>
        <w:t>Direktiv 2000/60/EF, 2006/118/EF og 2008/105/EF bør derfor ændres i overensstemmelse hermed.</w:t>
      </w:r>
    </w:p>
    <w:p w14:paraId="549E04CD" w14:textId="77777777" w:rsidR="008D4251" w:rsidRPr="00393250" w:rsidRDefault="008D4251">
      <w:pPr>
        <w:widowControl/>
        <w:rPr>
          <w:szCs w:val="24"/>
          <w:lang w:eastAsia="en-US"/>
        </w:rPr>
      </w:pPr>
      <w:r w:rsidRPr="00393250">
        <w:rPr>
          <w:szCs w:val="24"/>
          <w:lang w:eastAsia="en-US"/>
        </w:rPr>
        <w:br w:type="page"/>
      </w:r>
    </w:p>
    <w:p w14:paraId="5ED21431" w14:textId="67AA5C9B"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(34)</w:t>
      </w:r>
      <w:r w:rsidRPr="00393250">
        <w:rPr>
          <w:szCs w:val="24"/>
          <w:lang w:eastAsia="en-US"/>
        </w:rPr>
        <w:tab/>
        <w:t>Målene for dette direktiv, nemlig at sikre et højt niveau af miljøbeskyttelse og en forbedring af miljøkvaliteten i europæisk overfladevand, kan ikke i tilstrækkelig grad opfyldes af medlemsstaterne alene og kan, fordi vandforurening har grænseoverskridende karakter, derfor bedre nås på EU-plan; Unionen kan derfor træffe foranstaltninger i overensstemmelse med nærhedsprincippet, jf. artikel 5 i traktaten om Den Europæiske Union. I overensstemmelse med proportionalitetsprincippet, jf. nævnte artikel, går dette direktiv ikke videre, end hvad der er nødvendigt for at nå disse mål</w:t>
      </w:r>
      <w:r w:rsidR="005414BA" w:rsidRPr="00393250">
        <w:rPr>
          <w:szCs w:val="24"/>
          <w:lang w:eastAsia="en-US"/>
        </w:rPr>
        <w:t>.</w:t>
      </w:r>
      <w:r w:rsidRPr="00393250">
        <w:rPr>
          <w:szCs w:val="24"/>
          <w:lang w:eastAsia="en-US"/>
        </w:rPr>
        <w:t xml:space="preserve"> </w:t>
      </w:r>
    </w:p>
    <w:p w14:paraId="3C5D7C89" w14:textId="39EB07C1" w:rsidR="008A5B47" w:rsidRPr="00393250" w:rsidRDefault="008A5B47" w:rsidP="008A5B47">
      <w:pPr>
        <w:spacing w:before="120" w:after="120" w:line="360" w:lineRule="auto"/>
        <w:ind w:left="850" w:hanging="850"/>
        <w:rPr>
          <w:b/>
          <w:szCs w:val="24"/>
          <w:lang w:eastAsia="en-US"/>
        </w:rPr>
      </w:pPr>
      <w:r w:rsidRPr="00393250">
        <w:rPr>
          <w:b/>
          <w:i/>
          <w:szCs w:val="24"/>
          <w:lang w:eastAsia="en-US"/>
        </w:rPr>
        <w:t>(34a)</w:t>
      </w:r>
      <w:r w:rsidRPr="00393250">
        <w:rPr>
          <w:szCs w:val="24"/>
          <w:lang w:eastAsia="en-US"/>
        </w:rPr>
        <w:tab/>
      </w:r>
      <w:r w:rsidRPr="00393250">
        <w:rPr>
          <w:b/>
          <w:i/>
          <w:szCs w:val="24"/>
          <w:lang w:eastAsia="en-US"/>
        </w:rPr>
        <w:t>Medlemsstaterne bør fremme synergier mellem de relevante direktivers krav både vedrørende dataindsamling og udbredelse af digitale værktøjer såsom telemålingsteknologier eller jordobservation (Copernicustjenester).</w:t>
      </w:r>
      <w:r w:rsidR="008D4251" w:rsidRPr="00393250">
        <w:rPr>
          <w:b/>
          <w:szCs w:val="24"/>
          <w:lang w:eastAsia="en-US"/>
        </w:rPr>
        <w:t xml:space="preserve"> [Ændring 54]</w:t>
      </w:r>
    </w:p>
    <w:p w14:paraId="618666E0" w14:textId="77777777" w:rsidR="008D4251" w:rsidRPr="00393250" w:rsidRDefault="008D4251">
      <w:pPr>
        <w:widowControl/>
        <w:rPr>
          <w:b/>
          <w:i/>
          <w:szCs w:val="24"/>
          <w:lang w:eastAsia="en-US"/>
        </w:rPr>
      </w:pPr>
      <w:r w:rsidRPr="00393250">
        <w:rPr>
          <w:b/>
          <w:i/>
          <w:szCs w:val="24"/>
          <w:lang w:eastAsia="en-US"/>
        </w:rPr>
        <w:br w:type="page"/>
      </w:r>
    </w:p>
    <w:p w14:paraId="697F5A5A" w14:textId="0DAF91D6" w:rsidR="008A5B47" w:rsidRPr="00393250" w:rsidRDefault="008A5B47" w:rsidP="008A5B47">
      <w:pPr>
        <w:spacing w:before="120" w:after="120" w:line="360" w:lineRule="auto"/>
        <w:ind w:left="850" w:hanging="850"/>
        <w:rPr>
          <w:b/>
          <w:szCs w:val="24"/>
          <w:lang w:eastAsia="en-US"/>
        </w:rPr>
      </w:pPr>
      <w:r w:rsidRPr="00393250">
        <w:rPr>
          <w:b/>
          <w:i/>
          <w:szCs w:val="24"/>
          <w:lang w:eastAsia="en-US"/>
        </w:rPr>
        <w:lastRenderedPageBreak/>
        <w:t>(34b)</w:t>
      </w:r>
      <w:r w:rsidRPr="00393250">
        <w:rPr>
          <w:szCs w:val="24"/>
          <w:lang w:eastAsia="en-US"/>
        </w:rPr>
        <w:tab/>
      </w:r>
      <w:r w:rsidRPr="00393250">
        <w:rPr>
          <w:b/>
          <w:i/>
          <w:szCs w:val="24"/>
          <w:lang w:eastAsia="en-US"/>
        </w:rPr>
        <w:t>De kompetente myndigheder bør støtte uddannelse, programmer for udvikling af færdigheder og investeringer i menneskelig kapital for at støtte en effektiv indførelse af de bedste teknologier og innovative løsninger inden for rammerne af direktiverne. Oplysningerne bør være tilgængelige på de forskellige nationale sprog for at styrke adgangen til de relevante data i hele Europa for de relevante lokale aktører og borgere</w:t>
      </w:r>
      <w:r w:rsidR="008D4251" w:rsidRPr="00393250">
        <w:rPr>
          <w:b/>
          <w:szCs w:val="24"/>
          <w:lang w:eastAsia="en-US"/>
        </w:rPr>
        <w:t xml:space="preserve"> </w:t>
      </w:r>
      <w:r w:rsidR="005414BA" w:rsidRPr="00393250">
        <w:rPr>
          <w:b/>
          <w:i/>
          <w:szCs w:val="24"/>
          <w:lang w:eastAsia="en-US"/>
        </w:rPr>
        <w:t xml:space="preserve">— </w:t>
      </w:r>
      <w:r w:rsidR="008D4251" w:rsidRPr="00393250">
        <w:rPr>
          <w:b/>
          <w:szCs w:val="24"/>
          <w:lang w:eastAsia="en-US"/>
        </w:rPr>
        <w:t>[Ændring </w:t>
      </w:r>
      <w:r w:rsidR="005414BA" w:rsidRPr="00393250">
        <w:rPr>
          <w:b/>
          <w:szCs w:val="24"/>
          <w:lang w:eastAsia="en-US"/>
        </w:rPr>
        <w:t>55</w:t>
      </w:r>
      <w:r w:rsidR="008D4251" w:rsidRPr="00393250">
        <w:rPr>
          <w:b/>
          <w:szCs w:val="24"/>
          <w:lang w:eastAsia="en-US"/>
        </w:rPr>
        <w:t>]</w:t>
      </w:r>
    </w:p>
    <w:p w14:paraId="55BA0C94" w14:textId="77777777" w:rsidR="008A5B47" w:rsidRPr="00393250" w:rsidRDefault="008A5B47" w:rsidP="008A5B47">
      <w:pPr>
        <w:keepNext/>
        <w:widowControl/>
        <w:spacing w:before="120" w:after="120" w:line="360" w:lineRule="auto"/>
        <w:rPr>
          <w:szCs w:val="24"/>
          <w:lang w:eastAsia="en-US"/>
        </w:rPr>
      </w:pPr>
      <w:r w:rsidRPr="00393250">
        <w:rPr>
          <w:szCs w:val="24"/>
          <w:lang w:eastAsia="en-US"/>
        </w:rPr>
        <w:t>VEDTAGET DETTE DIREKTIV:</w:t>
      </w:r>
    </w:p>
    <w:p w14:paraId="22BDA577" w14:textId="77777777" w:rsidR="005414BA" w:rsidRPr="00393250" w:rsidRDefault="005414BA">
      <w:pPr>
        <w:widowControl/>
        <w:rPr>
          <w:szCs w:val="24"/>
          <w:lang w:eastAsia="en-US"/>
        </w:rPr>
      </w:pPr>
      <w:r w:rsidRPr="00393250">
        <w:rPr>
          <w:szCs w:val="24"/>
          <w:lang w:eastAsia="en-US"/>
        </w:rPr>
        <w:br w:type="page"/>
      </w:r>
    </w:p>
    <w:p w14:paraId="5D817A75" w14:textId="4015E34C" w:rsidR="008A5B47" w:rsidRPr="00393250" w:rsidRDefault="008A5B47" w:rsidP="008A5B47">
      <w:pPr>
        <w:spacing w:before="120" w:after="120" w:line="360" w:lineRule="auto"/>
        <w:jc w:val="center"/>
        <w:rPr>
          <w:szCs w:val="24"/>
          <w:lang w:eastAsia="en-US"/>
        </w:rPr>
      </w:pPr>
      <w:r w:rsidRPr="00393250">
        <w:rPr>
          <w:szCs w:val="24"/>
          <w:lang w:eastAsia="en-US"/>
        </w:rPr>
        <w:lastRenderedPageBreak/>
        <w:t>Artikel 1</w:t>
      </w:r>
      <w:r w:rsidRPr="00393250">
        <w:rPr>
          <w:szCs w:val="24"/>
          <w:lang w:eastAsia="en-US"/>
        </w:rPr>
        <w:br/>
        <w:t>Ændringer af direktiv 2000/60/EF</w:t>
      </w:r>
    </w:p>
    <w:p w14:paraId="4B43BB89" w14:textId="77777777" w:rsidR="008A5B47" w:rsidRPr="00393250" w:rsidRDefault="008A5B47" w:rsidP="008A5B47">
      <w:pPr>
        <w:spacing w:before="120" w:after="120" w:line="360" w:lineRule="auto"/>
        <w:rPr>
          <w:szCs w:val="24"/>
          <w:lang w:eastAsia="en-US"/>
        </w:rPr>
      </w:pPr>
      <w:r w:rsidRPr="00393250">
        <w:rPr>
          <w:szCs w:val="24"/>
          <w:lang w:eastAsia="en-US"/>
        </w:rPr>
        <w:t>Direktiv 2000/60/EF ændres således:</w:t>
      </w:r>
    </w:p>
    <w:p w14:paraId="007E593B" w14:textId="5D7DE4F4" w:rsidR="008A5B47" w:rsidRPr="00393250" w:rsidRDefault="008A5B47" w:rsidP="008A5B47">
      <w:pPr>
        <w:spacing w:before="120" w:after="120" w:line="360" w:lineRule="auto"/>
        <w:ind w:left="850" w:hanging="850"/>
        <w:rPr>
          <w:b/>
          <w:szCs w:val="24"/>
          <w:lang w:eastAsia="en-US"/>
        </w:rPr>
      </w:pPr>
      <w:r w:rsidRPr="00393250">
        <w:rPr>
          <w:szCs w:val="24"/>
          <w:lang w:eastAsia="en-US"/>
        </w:rPr>
        <w:t>(1)</w:t>
      </w:r>
      <w:r w:rsidRPr="00393250">
        <w:rPr>
          <w:szCs w:val="24"/>
          <w:lang w:eastAsia="en-US"/>
        </w:rPr>
        <w:tab/>
        <w:t>Artikel 1</w:t>
      </w:r>
      <w:r w:rsidRPr="00393250">
        <w:rPr>
          <w:b/>
          <w:i/>
          <w:szCs w:val="24"/>
          <w:lang w:eastAsia="en-US"/>
        </w:rPr>
        <w:t>, litra e)</w:t>
      </w:r>
      <w:r w:rsidRPr="00393250">
        <w:rPr>
          <w:szCs w:val="24"/>
          <w:lang w:eastAsia="en-US"/>
        </w:rPr>
        <w:t>, fjerde led, affattes således:</w:t>
      </w:r>
      <w:r w:rsidR="005C67E5" w:rsidRPr="00393250">
        <w:rPr>
          <w:b/>
          <w:szCs w:val="24"/>
          <w:lang w:eastAsia="en-US"/>
        </w:rPr>
        <w:t xml:space="preserve"> [Ændring 56]</w:t>
      </w:r>
    </w:p>
    <w:p w14:paraId="0A31D37A" w14:textId="607F67CE" w:rsidR="008A5B47" w:rsidRPr="00393250" w:rsidRDefault="008A5B47" w:rsidP="00B8698F">
      <w:pPr>
        <w:spacing w:before="120" w:after="120" w:line="360" w:lineRule="auto"/>
        <w:ind w:left="1418" w:hanging="568"/>
        <w:rPr>
          <w:szCs w:val="24"/>
          <w:lang w:eastAsia="en-US"/>
        </w:rPr>
      </w:pPr>
      <w:r w:rsidRPr="00393250">
        <w:rPr>
          <w:szCs w:val="24"/>
          <w:lang w:eastAsia="en-US"/>
        </w:rPr>
        <w:t>"—</w:t>
      </w:r>
      <w:r w:rsidR="00B8698F" w:rsidRPr="00393250">
        <w:rPr>
          <w:szCs w:val="24"/>
          <w:lang w:eastAsia="en-US"/>
        </w:rPr>
        <w:tab/>
      </w:r>
      <w:r w:rsidRPr="00393250">
        <w:rPr>
          <w:szCs w:val="24"/>
          <w:lang w:eastAsia="en-US"/>
        </w:rPr>
        <w:t>opfyldelse af målene i de relevante internationale aftaler, herunder de mål, der tager sigte på at forebygge og eliminere forurening af havmiljøet, ved en indsats på EU-plan med henblik på at standse eller udfase udledninger, emissioner og tab af prioriterede farlige stoffer med det endelige mål at opnå koncentrationer i havmiljøet nær baggrundsværdierne for naturligt forekommende stoffer og tæt på nul for menneskeskabte syntetiske stoffer."</w:t>
      </w:r>
    </w:p>
    <w:p w14:paraId="4AA99BF0" w14:textId="77777777" w:rsidR="005C67E5" w:rsidRPr="00393250" w:rsidRDefault="005C67E5">
      <w:pPr>
        <w:widowControl/>
        <w:rPr>
          <w:szCs w:val="24"/>
          <w:lang w:eastAsia="en-US"/>
        </w:rPr>
      </w:pPr>
      <w:r w:rsidRPr="00393250">
        <w:rPr>
          <w:szCs w:val="24"/>
          <w:lang w:eastAsia="en-US"/>
        </w:rPr>
        <w:br w:type="page"/>
      </w:r>
    </w:p>
    <w:p w14:paraId="348A94C9" w14:textId="41C5570E"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(2)</w:t>
      </w:r>
      <w:r w:rsidRPr="00393250">
        <w:rPr>
          <w:szCs w:val="24"/>
          <w:lang w:eastAsia="en-US"/>
        </w:rPr>
        <w:tab/>
        <w:t>I artikel 2 foretages følgende ændringer:</w:t>
      </w:r>
    </w:p>
    <w:p w14:paraId="437AC177" w14:textId="237A64F5" w:rsidR="008A5B47" w:rsidRPr="00393250" w:rsidRDefault="008A5B47" w:rsidP="008A5B47">
      <w:pPr>
        <w:spacing w:before="120" w:after="120" w:line="360" w:lineRule="auto"/>
        <w:ind w:left="1416" w:hanging="566"/>
        <w:rPr>
          <w:szCs w:val="24"/>
          <w:lang w:eastAsia="en-US"/>
        </w:rPr>
      </w:pPr>
      <w:r w:rsidRPr="00393250">
        <w:rPr>
          <w:szCs w:val="24"/>
          <w:lang w:eastAsia="en-US"/>
        </w:rPr>
        <w:t>a)</w:t>
      </w:r>
      <w:r w:rsidRPr="00393250">
        <w:rPr>
          <w:szCs w:val="24"/>
          <w:lang w:eastAsia="en-US"/>
        </w:rPr>
        <w:tab/>
        <w:t>Nr. 24) affattes således:</w:t>
      </w:r>
    </w:p>
    <w:p w14:paraId="575CDDA4"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"24)</w:t>
      </w:r>
      <w:r w:rsidRPr="00393250">
        <w:rPr>
          <w:szCs w:val="24"/>
          <w:lang w:eastAsia="en-US"/>
        </w:rPr>
        <w:tab/>
        <w:t>"God kemisk tilstand for overfladevand": den kemiske tilstand, der er nødvendig for at opfylde miljømålene for overfladevand i dette direktivs artikel 4, stk. 1, litra a), dvs. den kemiske tilstand, der er nået i et overfladevandområde, hvori koncentrationerne af forurenende stoffer ikke overstiger de miljøkvalitetskrav for prioriterede stoffer, der er anført i del A i bilag I til Europa-Parlamentets og Rådets direktiv 2008/105/EF*, og miljøkvalitetskravene for vandområdespecifikke forurenende stoffer, der er fastsat i henhold til nævnte direktivs artikel 8, stk. 2, litra c), og artikel 8d, stk. 1."</w:t>
      </w:r>
    </w:p>
    <w:p w14:paraId="20AFB1D9" w14:textId="297FD6E8" w:rsidR="008A5B47" w:rsidRPr="00393250" w:rsidRDefault="008A5B47" w:rsidP="008A5B47">
      <w:pPr>
        <w:spacing w:before="120" w:after="120" w:line="360" w:lineRule="auto"/>
        <w:ind w:left="1416" w:hanging="566"/>
        <w:rPr>
          <w:szCs w:val="24"/>
          <w:lang w:eastAsia="en-US"/>
        </w:rPr>
      </w:pPr>
      <w:r w:rsidRPr="00393250">
        <w:rPr>
          <w:szCs w:val="24"/>
          <w:lang w:eastAsia="en-US"/>
        </w:rPr>
        <w:t>b)</w:t>
      </w:r>
      <w:r w:rsidRPr="00393250">
        <w:rPr>
          <w:szCs w:val="24"/>
          <w:lang w:eastAsia="en-US"/>
        </w:rPr>
        <w:tab/>
        <w:t>Nr. 30) affattes således:</w:t>
      </w:r>
    </w:p>
    <w:p w14:paraId="0F46A06F"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"30)</w:t>
      </w:r>
      <w:r w:rsidRPr="00393250">
        <w:rPr>
          <w:szCs w:val="24"/>
          <w:lang w:eastAsia="en-US"/>
        </w:rPr>
        <w:tab/>
        <w:t>"Prioriterede stoffer": stoffer, der er anført i del A i bilag I til direktiv 2008/105/EF, dvs. stoffer, der udgør en væsentlig risiko for vandmiljøet eller via vandmiljøet i en stor andel af medlemsstaterne."</w:t>
      </w:r>
    </w:p>
    <w:p w14:paraId="50AAB64D" w14:textId="77777777" w:rsidR="00FB0C98" w:rsidRPr="00393250" w:rsidRDefault="00FB0C98">
      <w:pPr>
        <w:widowControl/>
        <w:rPr>
          <w:szCs w:val="24"/>
          <w:lang w:eastAsia="en-US"/>
        </w:rPr>
      </w:pPr>
      <w:r w:rsidRPr="00393250">
        <w:rPr>
          <w:szCs w:val="24"/>
          <w:lang w:eastAsia="en-US"/>
        </w:rPr>
        <w:br w:type="page"/>
      </w:r>
    </w:p>
    <w:p w14:paraId="23858A8F" w14:textId="28645C32" w:rsidR="008A5B47" w:rsidRPr="00393250" w:rsidRDefault="008A5B47" w:rsidP="008A5B47">
      <w:pPr>
        <w:spacing w:before="120" w:after="120" w:line="360" w:lineRule="auto"/>
        <w:ind w:left="1416" w:hanging="566"/>
        <w:rPr>
          <w:szCs w:val="24"/>
          <w:lang w:eastAsia="en-US"/>
        </w:rPr>
      </w:pPr>
      <w:r w:rsidRPr="00393250">
        <w:rPr>
          <w:szCs w:val="24"/>
          <w:lang w:eastAsia="en-US"/>
        </w:rPr>
        <w:lastRenderedPageBreak/>
        <w:t>c)</w:t>
      </w:r>
      <w:r w:rsidRPr="00393250">
        <w:rPr>
          <w:szCs w:val="24"/>
          <w:lang w:eastAsia="en-US"/>
        </w:rPr>
        <w:tab/>
        <w:t>Følgende indsættes som nr. 30a) og 30b):</w:t>
      </w:r>
    </w:p>
    <w:p w14:paraId="55214752" w14:textId="434EC575" w:rsidR="008A5B47" w:rsidRPr="00393250" w:rsidRDefault="008A5B47" w:rsidP="008A5B47">
      <w:pPr>
        <w:spacing w:before="120" w:after="120" w:line="360" w:lineRule="auto"/>
        <w:ind w:left="1982" w:hanging="566"/>
        <w:rPr>
          <w:b/>
          <w:szCs w:val="24"/>
          <w:lang w:eastAsia="en-US"/>
        </w:rPr>
      </w:pPr>
      <w:r w:rsidRPr="00393250">
        <w:rPr>
          <w:szCs w:val="24"/>
          <w:lang w:eastAsia="en-US"/>
        </w:rPr>
        <w:t>"30a)</w:t>
      </w:r>
      <w:r w:rsidRPr="00393250">
        <w:rPr>
          <w:szCs w:val="24"/>
          <w:lang w:eastAsia="en-US"/>
        </w:rPr>
        <w:tab/>
        <w:t>"Prioriterede farlige stoffer": prioriterede stoffer, der er markeret som "farlige", fordi de i videnskabelige rapporter, relevant EU-lovgivning eller relevante internationale aftaler anerkendes som stoffer, der er toksiske, persistente og bioakkumulerbare</w:t>
      </w:r>
      <w:r w:rsidRPr="00393250">
        <w:rPr>
          <w:b/>
          <w:i/>
          <w:szCs w:val="24"/>
          <w:lang w:eastAsia="en-US"/>
        </w:rPr>
        <w:t xml:space="preserve"> (PBT) eller meget persistente og meget akkumulerbare (vPvB) eller persistente</w:t>
      </w:r>
      <w:r w:rsidRPr="00393250">
        <w:rPr>
          <w:szCs w:val="24"/>
          <w:lang w:eastAsia="en-US"/>
        </w:rPr>
        <w:t>,</w:t>
      </w:r>
      <w:r w:rsidRPr="00393250">
        <w:rPr>
          <w:b/>
          <w:i/>
          <w:szCs w:val="24"/>
          <w:lang w:eastAsia="en-US"/>
        </w:rPr>
        <w:t xml:space="preserve"> mobile og toksiske (PMT) eller meget persistente og meget mobile (vPvM)</w:t>
      </w:r>
      <w:r w:rsidRPr="00393250">
        <w:rPr>
          <w:szCs w:val="24"/>
          <w:lang w:eastAsia="en-US"/>
        </w:rPr>
        <w:t xml:space="preserve"> eller som stoffer, der giver anledning til tilsvarende bekymring, hvis denne bekymring er relevant for vandmiljøet</w:t>
      </w:r>
      <w:r w:rsidRPr="00393250">
        <w:rPr>
          <w:b/>
          <w:i/>
          <w:szCs w:val="24"/>
          <w:lang w:eastAsia="en-US"/>
        </w:rPr>
        <w:t>, og for hvilke der er behov for at træffe foranstaltninger i overensstemmelse med artikel 4, stk</w:t>
      </w:r>
      <w:r w:rsidRPr="00393250">
        <w:rPr>
          <w:szCs w:val="24"/>
          <w:lang w:eastAsia="en-US"/>
        </w:rPr>
        <w:t>.</w:t>
      </w:r>
      <w:r w:rsidRPr="00393250">
        <w:rPr>
          <w:b/>
          <w:i/>
          <w:szCs w:val="24"/>
          <w:lang w:eastAsia="en-US"/>
        </w:rPr>
        <w:t xml:space="preserve"> 1, litra a), punkt iv.</w:t>
      </w:r>
      <w:r w:rsidR="00FB0C98" w:rsidRPr="00393250">
        <w:rPr>
          <w:b/>
          <w:szCs w:val="24"/>
          <w:lang w:eastAsia="en-US"/>
        </w:rPr>
        <w:t xml:space="preserve"> [Ændring 57]</w:t>
      </w:r>
    </w:p>
    <w:p w14:paraId="78B9F78B"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30b)</w:t>
      </w:r>
      <w:r w:rsidRPr="00393250">
        <w:rPr>
          <w:szCs w:val="24"/>
          <w:lang w:eastAsia="en-US"/>
        </w:rPr>
        <w:tab/>
        <w:t>"Vandområdespecifikke forurenende stoffer": forurenende stoffer, der ikke eller ikke længere er identificeret som prioriterede stoffer, men som medlemsstaterne på grundlag af den vurdering af belastninger og indvirkninger på overfladevandområder, der foretages i overensstemmelse med bilag II til dette direktiv, har identificeret som stoffer, der udgør en væsentlig risiko for vandmiljøet eller via vandmiljøet på deres område."</w:t>
      </w:r>
    </w:p>
    <w:p w14:paraId="70334895" w14:textId="77777777" w:rsidR="00FB0C98" w:rsidRPr="00393250" w:rsidRDefault="00FB0C98">
      <w:pPr>
        <w:widowControl/>
        <w:rPr>
          <w:szCs w:val="24"/>
          <w:lang w:eastAsia="en-US"/>
        </w:rPr>
      </w:pPr>
      <w:r w:rsidRPr="00393250">
        <w:rPr>
          <w:szCs w:val="24"/>
          <w:lang w:eastAsia="en-US"/>
        </w:rPr>
        <w:br w:type="page"/>
      </w:r>
    </w:p>
    <w:p w14:paraId="115A78C6" w14:textId="2D31C2CE" w:rsidR="008A5B47" w:rsidRPr="00393250" w:rsidRDefault="008A5B47" w:rsidP="008A5B47">
      <w:pPr>
        <w:spacing w:before="120" w:after="120" w:line="360" w:lineRule="auto"/>
        <w:ind w:left="1416" w:hanging="566"/>
        <w:rPr>
          <w:szCs w:val="24"/>
          <w:lang w:eastAsia="en-US"/>
        </w:rPr>
      </w:pPr>
      <w:r w:rsidRPr="00393250">
        <w:rPr>
          <w:szCs w:val="24"/>
          <w:lang w:eastAsia="en-US"/>
        </w:rPr>
        <w:lastRenderedPageBreak/>
        <w:t>d)</w:t>
      </w:r>
      <w:r w:rsidRPr="00393250">
        <w:rPr>
          <w:szCs w:val="24"/>
          <w:lang w:eastAsia="en-US"/>
        </w:rPr>
        <w:tab/>
        <w:t>Nr. 35) affattes således:</w:t>
      </w:r>
    </w:p>
    <w:p w14:paraId="56D7FF59" w14:textId="4184EFFC" w:rsidR="008A5B47" w:rsidRPr="00393250" w:rsidRDefault="008A5B47" w:rsidP="008A5B47">
      <w:pPr>
        <w:spacing w:before="120" w:after="120" w:line="360" w:lineRule="auto"/>
        <w:ind w:left="1982" w:hanging="566"/>
        <w:rPr>
          <w:b/>
          <w:szCs w:val="24"/>
          <w:lang w:eastAsia="en-US"/>
        </w:rPr>
      </w:pPr>
      <w:r w:rsidRPr="00393250">
        <w:rPr>
          <w:szCs w:val="24"/>
          <w:lang w:eastAsia="en-US"/>
        </w:rPr>
        <w:t>"35)</w:t>
      </w:r>
      <w:r w:rsidRPr="00393250">
        <w:rPr>
          <w:szCs w:val="24"/>
          <w:lang w:eastAsia="en-US"/>
        </w:rPr>
        <w:tab/>
        <w:t xml:space="preserve">"Miljøkvalitetskrav": den koncentration af et bestemt forurenende stof eller en bestemt gruppe af forurenende stoffer i vand, sediment eller biota, som ikke bør overskrides af hensyn til beskyttelsen af menneskers sundhed og miljøet, eller en udløsningsværdi for de skadelige virkninger for menneskers sundhed eller miljøet for et sådant forurenende stof eller en sådan gruppe af forurenende stoffer målt ved hjælp af en passende </w:t>
      </w:r>
      <w:r w:rsidRPr="00393250">
        <w:rPr>
          <w:b/>
          <w:i/>
          <w:szCs w:val="24"/>
          <w:lang w:eastAsia="en-US"/>
        </w:rPr>
        <w:t xml:space="preserve">og videnskabeligt anerkendt </w:t>
      </w:r>
      <w:r w:rsidRPr="00393250">
        <w:rPr>
          <w:szCs w:val="24"/>
          <w:lang w:eastAsia="en-US"/>
        </w:rPr>
        <w:t>virkningsbaseret metode.</w:t>
      </w:r>
      <w:r w:rsidRPr="00393250">
        <w:rPr>
          <w:strike/>
          <w:szCs w:val="24"/>
          <w:lang w:eastAsia="en-US"/>
        </w:rPr>
        <w:t>"</w:t>
      </w:r>
      <w:r w:rsidR="00FB0C98" w:rsidRPr="00393250">
        <w:rPr>
          <w:b/>
          <w:szCs w:val="24"/>
          <w:lang w:eastAsia="en-US"/>
        </w:rPr>
        <w:t xml:space="preserve"> [Ændring 58]</w:t>
      </w:r>
    </w:p>
    <w:p w14:paraId="376BD4BF" w14:textId="77777777" w:rsidR="008A5B47" w:rsidRPr="00393250" w:rsidRDefault="008A5B47" w:rsidP="008A5B47">
      <w:pPr>
        <w:spacing w:before="120" w:after="120" w:line="360" w:lineRule="auto"/>
        <w:ind w:left="1982"/>
        <w:rPr>
          <w:szCs w:val="24"/>
          <w:lang w:eastAsia="en-US"/>
        </w:rPr>
      </w:pPr>
      <w:r w:rsidRPr="00393250">
        <w:rPr>
          <w:szCs w:val="24"/>
          <w:lang w:eastAsia="en-US"/>
        </w:rPr>
        <w:t>* Europa-Parlamentets og Rådets direktiv 2008/105/EF om forebyggelse af og kontrol med forurening af overfladevand, om ændring og senere ophævelse af Rådets direktiv 82/176/EØF, 83/513/EØF, 84/156/EØF, 84/491/EØF og 86/280/EØF og om ændring af Europa-Parlamentets og Rådets direktiv 2000/60/EF (EUT L 348 af 24.12.2008, s. 84)."</w:t>
      </w:r>
    </w:p>
    <w:p w14:paraId="3ECD6DF1" w14:textId="23F77290" w:rsidR="008A5B47" w:rsidRPr="00393250" w:rsidRDefault="008A5B47" w:rsidP="008A5B47">
      <w:pPr>
        <w:spacing w:before="120" w:after="120" w:line="360" w:lineRule="auto"/>
        <w:ind w:left="1416" w:hanging="566"/>
        <w:rPr>
          <w:szCs w:val="24"/>
          <w:lang w:eastAsia="en-US"/>
        </w:rPr>
      </w:pPr>
      <w:r w:rsidRPr="00393250">
        <w:rPr>
          <w:b/>
          <w:i/>
          <w:szCs w:val="24"/>
          <w:lang w:eastAsia="en-US"/>
        </w:rPr>
        <w:t>da)</w:t>
      </w:r>
      <w:r w:rsidRPr="00393250">
        <w:rPr>
          <w:szCs w:val="24"/>
          <w:lang w:eastAsia="en-US"/>
        </w:rPr>
        <w:tab/>
      </w:r>
      <w:r w:rsidRPr="00393250">
        <w:rPr>
          <w:b/>
          <w:i/>
          <w:szCs w:val="24"/>
          <w:lang w:eastAsia="en-US"/>
        </w:rPr>
        <w:t>Nr. 37</w:t>
      </w:r>
      <w:r w:rsidR="00FB0C98" w:rsidRPr="00393250">
        <w:rPr>
          <w:b/>
          <w:i/>
          <w:szCs w:val="24"/>
          <w:lang w:eastAsia="en-US"/>
        </w:rPr>
        <w:t>)</w:t>
      </w:r>
      <w:r w:rsidRPr="00393250">
        <w:rPr>
          <w:b/>
          <w:i/>
          <w:szCs w:val="24"/>
          <w:lang w:eastAsia="en-US"/>
        </w:rPr>
        <w:t xml:space="preserve"> affattes således:</w:t>
      </w:r>
    </w:p>
    <w:p w14:paraId="69FF861F" w14:textId="5BADDB82" w:rsidR="008A5B47" w:rsidRPr="00393250" w:rsidRDefault="00FB0C98" w:rsidP="008A5B47">
      <w:pPr>
        <w:spacing w:before="120" w:after="120" w:line="360" w:lineRule="auto"/>
        <w:ind w:left="1982" w:hanging="566"/>
        <w:rPr>
          <w:b/>
          <w:szCs w:val="24"/>
          <w:lang w:eastAsia="en-US"/>
        </w:rPr>
      </w:pPr>
      <w:r w:rsidRPr="00393250">
        <w:rPr>
          <w:b/>
          <w:i/>
          <w:szCs w:val="24"/>
          <w:lang w:eastAsia="en-US"/>
        </w:rPr>
        <w:t>"</w:t>
      </w:r>
      <w:r w:rsidR="008A5B47" w:rsidRPr="00393250">
        <w:rPr>
          <w:b/>
          <w:i/>
          <w:szCs w:val="24"/>
          <w:lang w:eastAsia="en-US"/>
        </w:rPr>
        <w:t>37)</w:t>
      </w:r>
      <w:r w:rsidR="008A5B47" w:rsidRPr="00393250">
        <w:rPr>
          <w:szCs w:val="24"/>
          <w:lang w:eastAsia="en-US"/>
        </w:rPr>
        <w:tab/>
      </w:r>
      <w:r w:rsidR="008A5B47" w:rsidRPr="00393250">
        <w:rPr>
          <w:b/>
          <w:i/>
          <w:szCs w:val="24"/>
          <w:lang w:eastAsia="en-US"/>
        </w:rPr>
        <w:t>"Drikkevand": samme betydning som i direktiv (EU) 2020/2184."</w:t>
      </w:r>
      <w:r w:rsidRPr="00393250">
        <w:rPr>
          <w:b/>
          <w:szCs w:val="24"/>
          <w:lang w:eastAsia="en-US"/>
        </w:rPr>
        <w:t xml:space="preserve"> [Ændring 59]</w:t>
      </w:r>
    </w:p>
    <w:p w14:paraId="01F49FCD" w14:textId="77777777" w:rsidR="00FB0C98" w:rsidRPr="00393250" w:rsidRDefault="00FB0C98">
      <w:pPr>
        <w:widowControl/>
        <w:rPr>
          <w:b/>
          <w:i/>
          <w:szCs w:val="24"/>
          <w:lang w:eastAsia="en-US"/>
        </w:rPr>
      </w:pPr>
      <w:r w:rsidRPr="00393250">
        <w:rPr>
          <w:b/>
          <w:i/>
          <w:szCs w:val="24"/>
          <w:lang w:eastAsia="en-US"/>
        </w:rPr>
        <w:br w:type="page"/>
      </w:r>
    </w:p>
    <w:p w14:paraId="0AC94FB9" w14:textId="690B2E1A" w:rsidR="008A5B47" w:rsidRPr="00393250" w:rsidRDefault="008A5B47" w:rsidP="008A5B47">
      <w:pPr>
        <w:spacing w:before="120" w:after="120" w:line="360" w:lineRule="auto"/>
        <w:ind w:left="1416" w:hanging="566"/>
        <w:rPr>
          <w:szCs w:val="24"/>
          <w:lang w:eastAsia="en-US"/>
        </w:rPr>
      </w:pPr>
      <w:r w:rsidRPr="00393250">
        <w:rPr>
          <w:b/>
          <w:i/>
          <w:szCs w:val="24"/>
          <w:lang w:eastAsia="en-US"/>
        </w:rPr>
        <w:lastRenderedPageBreak/>
        <w:t>db)</w:t>
      </w:r>
      <w:r w:rsidRPr="00393250">
        <w:rPr>
          <w:szCs w:val="24"/>
          <w:lang w:eastAsia="en-US"/>
        </w:rPr>
        <w:tab/>
      </w:r>
      <w:r w:rsidR="00804E44" w:rsidRPr="00393250">
        <w:rPr>
          <w:b/>
          <w:i/>
          <w:szCs w:val="24"/>
          <w:lang w:eastAsia="en-US"/>
        </w:rPr>
        <w:t>Nr</w:t>
      </w:r>
      <w:r w:rsidRPr="00393250">
        <w:rPr>
          <w:b/>
          <w:i/>
          <w:szCs w:val="24"/>
          <w:lang w:eastAsia="en-US"/>
        </w:rPr>
        <w:t>. 40</w:t>
      </w:r>
      <w:r w:rsidR="00804E44" w:rsidRPr="00393250">
        <w:rPr>
          <w:b/>
          <w:i/>
          <w:szCs w:val="24"/>
          <w:lang w:eastAsia="en-US"/>
        </w:rPr>
        <w:t>)</w:t>
      </w:r>
      <w:r w:rsidRPr="00393250">
        <w:rPr>
          <w:b/>
          <w:i/>
          <w:szCs w:val="24"/>
          <w:lang w:eastAsia="en-US"/>
        </w:rPr>
        <w:t>, første afsnit, affattes således:</w:t>
      </w:r>
    </w:p>
    <w:p w14:paraId="6804145E" w14:textId="66EF3B81" w:rsidR="008A5B47" w:rsidRPr="00393250" w:rsidRDefault="00804E44" w:rsidP="008A5B47">
      <w:pPr>
        <w:spacing w:before="120" w:after="120" w:line="360" w:lineRule="auto"/>
        <w:ind w:left="1982" w:hanging="566"/>
        <w:rPr>
          <w:b/>
          <w:szCs w:val="24"/>
          <w:lang w:eastAsia="en-US"/>
        </w:rPr>
      </w:pPr>
      <w:r w:rsidRPr="00393250">
        <w:rPr>
          <w:b/>
          <w:i/>
          <w:szCs w:val="24"/>
          <w:lang w:eastAsia="en-US"/>
        </w:rPr>
        <w:t>"</w:t>
      </w:r>
      <w:r w:rsidR="008A5B47" w:rsidRPr="00393250">
        <w:rPr>
          <w:b/>
          <w:i/>
          <w:szCs w:val="24"/>
          <w:lang w:eastAsia="en-US"/>
        </w:rPr>
        <w:t>40)</w:t>
      </w:r>
      <w:r w:rsidR="008A5B47" w:rsidRPr="00393250">
        <w:rPr>
          <w:szCs w:val="24"/>
          <w:lang w:eastAsia="en-US"/>
        </w:rPr>
        <w:tab/>
      </w:r>
      <w:r w:rsidR="008A5B47" w:rsidRPr="00393250">
        <w:rPr>
          <w:b/>
          <w:i/>
          <w:szCs w:val="24"/>
          <w:lang w:eastAsia="en-US"/>
        </w:rPr>
        <w:t>"Emissionsgrænseværdi": massen udtrykt i relation til bestemte parametre, koncentrationen og/eller emissionsniveauet, som ikke må overskrides i et eller flere bestemte tidsrum. Der kan også fastsættes emissionsgrænseværdier for bestemte grupper, familier eller kategorier af stoffer, herunder navnlig for de stoffer, der er omhandlet i bilag I til direktiv 2008/105/EF.</w:t>
      </w:r>
      <w:r w:rsidRPr="00393250">
        <w:rPr>
          <w:b/>
          <w:i/>
          <w:szCs w:val="24"/>
          <w:lang w:eastAsia="en-US"/>
        </w:rPr>
        <w:t>"</w:t>
      </w:r>
      <w:r w:rsidRPr="00393250">
        <w:rPr>
          <w:b/>
          <w:szCs w:val="24"/>
          <w:lang w:eastAsia="en-US"/>
        </w:rPr>
        <w:t xml:space="preserve"> [Ændring 60]</w:t>
      </w:r>
    </w:p>
    <w:p w14:paraId="7F8E41C5"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(3)</w:t>
      </w:r>
      <w:r w:rsidRPr="00393250">
        <w:rPr>
          <w:szCs w:val="24"/>
          <w:lang w:eastAsia="en-US"/>
        </w:rPr>
        <w:tab/>
        <w:t>I artikel 3 indsættes følgende stk. 4a:</w:t>
      </w:r>
    </w:p>
    <w:p w14:paraId="0F7E2ACA"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"4a.</w:t>
      </w:r>
      <w:r w:rsidRPr="00393250">
        <w:rPr>
          <w:szCs w:val="24"/>
          <w:lang w:eastAsia="en-US"/>
        </w:rPr>
        <w:tab/>
        <w:t>I tilfælde af ekstraordinære omstændigheder af naturlig art eller force majeure, navnlig ekstreme oversvømmelser, langvarig tørke eller væsentlige forureningsuheld, som kan påvirke vandområder nedstrøms i andre medlemsstater, sikrer medlemsstaterne, at de kompetente myndigheder for vandområder nedstrøms i sådanne medlemsstater samt Kommissionen straks underrettes, og at der etableres det nødvendige samarbejde for at undersøge årsagerne og håndtere konsekvenserne af de ekstraordinære omstændigheder eller hændelser.</w:t>
      </w:r>
    </w:p>
    <w:p w14:paraId="361A22BD" w14:textId="77777777" w:rsidR="00F66D6F" w:rsidRPr="00393250" w:rsidRDefault="00F66D6F">
      <w:pPr>
        <w:widowControl/>
        <w:rPr>
          <w:b/>
          <w:i/>
          <w:szCs w:val="24"/>
          <w:lang w:eastAsia="en-US"/>
        </w:rPr>
      </w:pPr>
      <w:r w:rsidRPr="00393250">
        <w:rPr>
          <w:b/>
          <w:i/>
          <w:szCs w:val="24"/>
          <w:lang w:eastAsia="en-US"/>
        </w:rPr>
        <w:br w:type="page"/>
      </w:r>
    </w:p>
    <w:p w14:paraId="763C438C" w14:textId="152135D0" w:rsidR="008A5B47" w:rsidRPr="00393250" w:rsidRDefault="008A5B47" w:rsidP="008A5B47">
      <w:pPr>
        <w:spacing w:before="120" w:after="120" w:line="360" w:lineRule="auto"/>
        <w:ind w:left="1416"/>
        <w:rPr>
          <w:szCs w:val="24"/>
          <w:lang w:eastAsia="en-US"/>
        </w:rPr>
      </w:pPr>
      <w:r w:rsidRPr="00393250">
        <w:rPr>
          <w:b/>
          <w:i/>
          <w:szCs w:val="24"/>
          <w:lang w:eastAsia="en-US"/>
        </w:rPr>
        <w:lastRenderedPageBreak/>
        <w:t>Medlemsstaterne underretter andre medlemsstater, der kan blive negativt påvirket af det pågældende forureningsuheld.</w:t>
      </w:r>
    </w:p>
    <w:p w14:paraId="00F84C99" w14:textId="336AC626" w:rsidR="008A5B47" w:rsidRPr="00393250" w:rsidRDefault="008A5B47" w:rsidP="008A5B47">
      <w:pPr>
        <w:spacing w:before="120" w:after="120" w:line="360" w:lineRule="auto"/>
        <w:ind w:left="1416"/>
        <w:rPr>
          <w:b/>
          <w:szCs w:val="24"/>
          <w:lang w:eastAsia="en-US"/>
        </w:rPr>
      </w:pPr>
      <w:r w:rsidRPr="00393250">
        <w:rPr>
          <w:b/>
          <w:i/>
          <w:szCs w:val="24"/>
          <w:lang w:eastAsia="en-US"/>
        </w:rPr>
        <w:t>For yderligere at forbedre samarbejdet og informationsudvekslingen i de internationale vandområdedistrikter indføres der ordninger for nødkommunikation og -beredskab for alle internationale vandområdedistrikter.</w:t>
      </w:r>
      <w:r w:rsidRPr="00393250">
        <w:rPr>
          <w:szCs w:val="24"/>
          <w:lang w:eastAsia="en-US"/>
        </w:rPr>
        <w:t>"</w:t>
      </w:r>
      <w:r w:rsidR="00F66D6F" w:rsidRPr="00393250">
        <w:rPr>
          <w:b/>
          <w:szCs w:val="24"/>
          <w:lang w:eastAsia="en-US"/>
        </w:rPr>
        <w:t xml:space="preserve"> [Ændring 61]</w:t>
      </w:r>
    </w:p>
    <w:p w14:paraId="509F2B13"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(4)</w:t>
      </w:r>
      <w:r w:rsidRPr="00393250">
        <w:rPr>
          <w:szCs w:val="24"/>
          <w:lang w:eastAsia="en-US"/>
        </w:rPr>
        <w:tab/>
        <w:t>I artikel 4, stk. 1, foretages følgende ændringer:</w:t>
      </w:r>
    </w:p>
    <w:p w14:paraId="0544592A" w14:textId="6CF49068" w:rsidR="008A5B47" w:rsidRPr="00393250" w:rsidRDefault="008A5B47" w:rsidP="008A5B47">
      <w:pPr>
        <w:spacing w:before="120" w:after="120" w:line="360" w:lineRule="auto"/>
        <w:ind w:left="1416" w:hanging="566"/>
        <w:rPr>
          <w:szCs w:val="24"/>
          <w:lang w:eastAsia="en-US"/>
        </w:rPr>
      </w:pPr>
      <w:r w:rsidRPr="00393250">
        <w:rPr>
          <w:szCs w:val="24"/>
          <w:lang w:eastAsia="en-US"/>
        </w:rPr>
        <w:t>a)</w:t>
      </w:r>
      <w:r w:rsidRPr="00393250">
        <w:rPr>
          <w:szCs w:val="24"/>
          <w:lang w:eastAsia="en-US"/>
        </w:rPr>
        <w:tab/>
        <w:t>Litra a), nr. iv), affattes således:</w:t>
      </w:r>
    </w:p>
    <w:p w14:paraId="2A1D565C" w14:textId="460BAB6F" w:rsidR="008A5B47" w:rsidRPr="00393250" w:rsidRDefault="008A5B47" w:rsidP="008A5B47">
      <w:pPr>
        <w:spacing w:before="120" w:after="120" w:line="360" w:lineRule="auto"/>
        <w:ind w:left="1982" w:hanging="566"/>
        <w:rPr>
          <w:b/>
          <w:szCs w:val="24"/>
          <w:lang w:eastAsia="en-US"/>
        </w:rPr>
      </w:pPr>
      <w:r w:rsidRPr="00393250">
        <w:rPr>
          <w:szCs w:val="24"/>
          <w:lang w:eastAsia="en-US"/>
        </w:rPr>
        <w:t>"iv)</w:t>
      </w:r>
      <w:r w:rsidRPr="00393250">
        <w:rPr>
          <w:szCs w:val="24"/>
          <w:lang w:eastAsia="en-US"/>
        </w:rPr>
        <w:tab/>
        <w:t xml:space="preserve">medlemsstaterne iværksætter de nødvendige foranstaltninger for gradvis at reducere </w:t>
      </w:r>
      <w:r w:rsidRPr="00393250">
        <w:rPr>
          <w:strike/>
          <w:szCs w:val="24"/>
          <w:lang w:eastAsia="en-US"/>
        </w:rPr>
        <w:t>forureningen</w:t>
      </w:r>
      <w:r w:rsidRPr="00393250">
        <w:rPr>
          <w:b/>
          <w:i/>
          <w:szCs w:val="24"/>
          <w:lang w:eastAsia="en-US"/>
        </w:rPr>
        <w:t>forurening, udledning, emissioner og tab</w:t>
      </w:r>
      <w:r w:rsidRPr="00393250">
        <w:rPr>
          <w:szCs w:val="24"/>
          <w:lang w:eastAsia="en-US"/>
        </w:rPr>
        <w:t xml:space="preserve"> fra prioriterede stoffer og vandområdespecifikke forurenende stoffer og for at standse eller udfase udledninger, emissioner og tab af prioriterede farlige stoffer</w:t>
      </w:r>
      <w:r w:rsidRPr="00393250">
        <w:rPr>
          <w:b/>
          <w:i/>
          <w:szCs w:val="24"/>
          <w:lang w:eastAsia="en-US"/>
        </w:rPr>
        <w:t xml:space="preserve"> inden for en passende tidsfrist og under alle omstændigheder senest 20 år efter, at et givet prioriteret stof er opført som farligt i del A i bilag I til direktiv 2008/105/EF</w:t>
      </w:r>
      <w:r w:rsidRPr="00393250">
        <w:rPr>
          <w:szCs w:val="24"/>
          <w:lang w:eastAsia="en-US"/>
        </w:rPr>
        <w:t>.</w:t>
      </w:r>
      <w:r w:rsidRPr="00393250">
        <w:rPr>
          <w:b/>
          <w:i/>
          <w:szCs w:val="24"/>
          <w:lang w:eastAsia="en-US"/>
        </w:rPr>
        <w:t xml:space="preserve"> Denne tidsfrist finder anvendelse med forbehold af anvendelsen af strengere tidsfrister i anden gældende EU-lovgivning.</w:t>
      </w:r>
      <w:r w:rsidRPr="00393250">
        <w:rPr>
          <w:szCs w:val="24"/>
          <w:lang w:eastAsia="en-US"/>
        </w:rPr>
        <w:t>"</w:t>
      </w:r>
      <w:r w:rsidR="00F66D6F" w:rsidRPr="00393250">
        <w:rPr>
          <w:b/>
          <w:szCs w:val="24"/>
          <w:lang w:eastAsia="en-US"/>
        </w:rPr>
        <w:t xml:space="preserve"> [Ændring 62]</w:t>
      </w:r>
    </w:p>
    <w:p w14:paraId="08EC712A" w14:textId="77777777" w:rsidR="00F66D6F" w:rsidRPr="00393250" w:rsidRDefault="00F66D6F">
      <w:pPr>
        <w:widowControl/>
        <w:rPr>
          <w:szCs w:val="24"/>
          <w:lang w:eastAsia="en-US"/>
        </w:rPr>
      </w:pPr>
      <w:r w:rsidRPr="00393250">
        <w:rPr>
          <w:szCs w:val="24"/>
          <w:lang w:eastAsia="en-US"/>
        </w:rPr>
        <w:br w:type="page"/>
      </w:r>
    </w:p>
    <w:p w14:paraId="4286C071" w14:textId="7D54D45F" w:rsidR="008A5B47" w:rsidRPr="00393250" w:rsidRDefault="008A5B47" w:rsidP="008A5B47">
      <w:pPr>
        <w:spacing w:before="120" w:after="120" w:line="360" w:lineRule="auto"/>
        <w:ind w:left="1416" w:hanging="566"/>
        <w:rPr>
          <w:szCs w:val="24"/>
          <w:lang w:eastAsia="en-US"/>
        </w:rPr>
      </w:pPr>
      <w:r w:rsidRPr="00393250">
        <w:rPr>
          <w:szCs w:val="24"/>
          <w:lang w:eastAsia="en-US"/>
        </w:rPr>
        <w:lastRenderedPageBreak/>
        <w:t>b)</w:t>
      </w:r>
      <w:r w:rsidRPr="00393250">
        <w:rPr>
          <w:szCs w:val="24"/>
          <w:lang w:eastAsia="en-US"/>
        </w:rPr>
        <w:tab/>
        <w:t>Litra b), nr. iii), andet afsnit, affattes således:</w:t>
      </w:r>
    </w:p>
    <w:p w14:paraId="469191A8" w14:textId="77777777" w:rsidR="008A5B47" w:rsidRPr="00393250" w:rsidRDefault="008A5B47" w:rsidP="008A5B47">
      <w:pPr>
        <w:spacing w:before="120" w:after="120" w:line="360" w:lineRule="auto"/>
        <w:ind w:left="1416"/>
        <w:rPr>
          <w:szCs w:val="24"/>
          <w:lang w:eastAsia="en-US"/>
        </w:rPr>
      </w:pPr>
      <w:r w:rsidRPr="00393250">
        <w:rPr>
          <w:szCs w:val="24"/>
          <w:lang w:eastAsia="en-US"/>
        </w:rPr>
        <w:t>"Foranstaltningerne med henblik på at vende tendensen iværksættes i overensstemmelse med artikel 5 i direktiv 2006/118/EF og bilag IV til nævnte direktiv, med forbehold af anvendelse af denne artikels stk. 6 og 7, jf. dog dens stk. 8."</w:t>
      </w:r>
    </w:p>
    <w:p w14:paraId="598DB55E" w14:textId="77777777" w:rsidR="008A5B47" w:rsidRPr="00393250" w:rsidRDefault="008A5B47" w:rsidP="008A5B47">
      <w:pPr>
        <w:spacing w:before="120" w:after="120" w:line="360" w:lineRule="auto"/>
        <w:ind w:left="1416" w:hanging="566"/>
        <w:rPr>
          <w:szCs w:val="24"/>
          <w:lang w:eastAsia="en-US"/>
        </w:rPr>
      </w:pPr>
      <w:r w:rsidRPr="00393250">
        <w:rPr>
          <w:b/>
          <w:i/>
          <w:szCs w:val="24"/>
          <w:lang w:eastAsia="en-US"/>
        </w:rPr>
        <w:t>ba)</w:t>
      </w:r>
      <w:r w:rsidRPr="00393250">
        <w:rPr>
          <w:szCs w:val="24"/>
          <w:lang w:eastAsia="en-US"/>
        </w:rPr>
        <w:tab/>
      </w:r>
      <w:r w:rsidRPr="00393250">
        <w:rPr>
          <w:b/>
          <w:i/>
          <w:szCs w:val="24"/>
          <w:lang w:eastAsia="en-US"/>
        </w:rPr>
        <w:t>Følgende afsnit 1a tilføjes i litra c):</w:t>
      </w:r>
    </w:p>
    <w:p w14:paraId="2C73C119" w14:textId="39FAEC05" w:rsidR="008A5B47" w:rsidRPr="00393250" w:rsidRDefault="00F66D6F" w:rsidP="008A5B47">
      <w:pPr>
        <w:spacing w:before="120" w:after="120" w:line="360" w:lineRule="auto"/>
        <w:ind w:left="1416"/>
        <w:rPr>
          <w:b/>
          <w:szCs w:val="24"/>
          <w:lang w:eastAsia="en-US"/>
        </w:rPr>
      </w:pPr>
      <w:r w:rsidRPr="00393250">
        <w:rPr>
          <w:b/>
          <w:i/>
          <w:szCs w:val="24"/>
          <w:lang w:eastAsia="en-US"/>
        </w:rPr>
        <w:t>"</w:t>
      </w:r>
      <w:r w:rsidR="008A5B47" w:rsidRPr="00393250">
        <w:rPr>
          <w:b/>
          <w:i/>
          <w:szCs w:val="24"/>
          <w:lang w:eastAsia="en-US"/>
        </w:rPr>
        <w:t>Medlemsstaterne fastsætter strengere standarder eller tærskelværdier, hvis det er nødvendigt for i tilstrækkelig grad at beskytte de områder, der er opført i bilag IV til dette direktiv, herunder særlige bevaringsområder i henhold til Rådets direktiv 92/43/EØF. De programmer og foranstaltninger, der er påkrævet i forbindelse med sådanne tærskelværdier, finder også anvendelse på de aktiviteter, der er omfattet af anvendelsesområdet for direktiv 91/676/EØF.</w:t>
      </w:r>
      <w:r w:rsidRPr="00393250">
        <w:rPr>
          <w:b/>
          <w:i/>
          <w:szCs w:val="24"/>
          <w:lang w:eastAsia="en-US"/>
        </w:rPr>
        <w:t>"</w:t>
      </w:r>
      <w:r w:rsidRPr="00393250">
        <w:rPr>
          <w:b/>
          <w:szCs w:val="24"/>
          <w:lang w:eastAsia="en-US"/>
        </w:rPr>
        <w:t xml:space="preserve"> [Ændring 63]</w:t>
      </w:r>
    </w:p>
    <w:p w14:paraId="54E55063" w14:textId="77777777" w:rsidR="00A94F2E" w:rsidRPr="00393250" w:rsidRDefault="00A94F2E">
      <w:pPr>
        <w:widowControl/>
        <w:rPr>
          <w:szCs w:val="24"/>
          <w:lang w:eastAsia="en-US"/>
        </w:rPr>
      </w:pPr>
      <w:r w:rsidRPr="00393250">
        <w:rPr>
          <w:szCs w:val="24"/>
          <w:lang w:eastAsia="en-US"/>
        </w:rPr>
        <w:br w:type="page"/>
      </w:r>
    </w:p>
    <w:p w14:paraId="6FC3AFC6" w14:textId="51FC3E0D"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(5)</w:t>
      </w:r>
      <w:r w:rsidRPr="00393250">
        <w:rPr>
          <w:szCs w:val="24"/>
          <w:lang w:eastAsia="en-US"/>
        </w:rPr>
        <w:tab/>
        <w:t>Artikel 7, stk. 2, affattes således:</w:t>
      </w:r>
    </w:p>
    <w:p w14:paraId="413B3B03"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"2.</w:t>
      </w:r>
      <w:r w:rsidRPr="00393250">
        <w:rPr>
          <w:szCs w:val="24"/>
          <w:lang w:eastAsia="en-US"/>
        </w:rPr>
        <w:tab/>
        <w:t>For hver forekomst af vand, der er udpeget i henhold til stk. 1, sørger medlemsstaterne for — ud over at opfylde målene i artikel 4 i henhold til kravene i dette direktiv for overfladevandområder, herunder de miljøkvalitetskrav, der er fastlagt på EU-plan — at vandet efter den anvendte vandbehandlingsordning og i overensstemmelse med EU-lovgivningen opfylder kravene i Europa-Parlamentets og Rådets direktiv (EU) 2020/2184*.</w:t>
      </w:r>
    </w:p>
    <w:p w14:paraId="1853B424" w14:textId="77777777" w:rsidR="008A5B47" w:rsidRPr="00393250" w:rsidRDefault="008A5B47" w:rsidP="008A5B47">
      <w:pPr>
        <w:spacing w:before="120" w:after="120" w:line="360" w:lineRule="auto"/>
        <w:ind w:left="1416"/>
        <w:rPr>
          <w:szCs w:val="24"/>
          <w:lang w:eastAsia="en-US"/>
        </w:rPr>
      </w:pPr>
      <w:r w:rsidRPr="00393250">
        <w:rPr>
          <w:szCs w:val="24"/>
          <w:lang w:eastAsia="en-US"/>
        </w:rPr>
        <w:t>* Europa-Parlamentets og Rådets direktiv (EU) 2020/2184 af 16. december 2020 om kvaliteten af drikkevand (EUT L 435 af 23.12.2020, s. 1)."</w:t>
      </w:r>
    </w:p>
    <w:p w14:paraId="0030008F" w14:textId="77777777" w:rsidR="00A94F2E" w:rsidRPr="00393250" w:rsidRDefault="00A94F2E">
      <w:pPr>
        <w:widowControl/>
        <w:rPr>
          <w:szCs w:val="24"/>
          <w:lang w:eastAsia="en-US"/>
        </w:rPr>
      </w:pPr>
      <w:r w:rsidRPr="00393250">
        <w:rPr>
          <w:szCs w:val="24"/>
          <w:lang w:eastAsia="en-US"/>
        </w:rPr>
        <w:br w:type="page"/>
      </w:r>
    </w:p>
    <w:p w14:paraId="5E327895" w14:textId="450C33E7"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(6)</w:t>
      </w:r>
      <w:r w:rsidRPr="00393250">
        <w:rPr>
          <w:szCs w:val="24"/>
          <w:lang w:eastAsia="en-US"/>
        </w:rPr>
        <w:tab/>
        <w:t>I artikel 8 foretages følgende ændringer:</w:t>
      </w:r>
    </w:p>
    <w:p w14:paraId="5148CC1C" w14:textId="3A64449C" w:rsidR="008A5B47" w:rsidRPr="00393250" w:rsidRDefault="008A5B47" w:rsidP="008A5B47">
      <w:pPr>
        <w:spacing w:before="120" w:after="120" w:line="360" w:lineRule="auto"/>
        <w:ind w:left="1416" w:hanging="566"/>
        <w:rPr>
          <w:szCs w:val="24"/>
          <w:lang w:eastAsia="en-US"/>
        </w:rPr>
      </w:pPr>
      <w:r w:rsidRPr="00393250">
        <w:rPr>
          <w:szCs w:val="24"/>
          <w:lang w:eastAsia="en-US"/>
        </w:rPr>
        <w:t>a)</w:t>
      </w:r>
      <w:r w:rsidRPr="00393250">
        <w:rPr>
          <w:szCs w:val="24"/>
          <w:lang w:eastAsia="en-US"/>
        </w:rPr>
        <w:tab/>
        <w:t>Stk. 3 affattes således:</w:t>
      </w:r>
    </w:p>
    <w:p w14:paraId="70CB4229" w14:textId="20D0D03A" w:rsidR="008A5B47" w:rsidRPr="00393250" w:rsidRDefault="008A5B47" w:rsidP="008A5B47">
      <w:pPr>
        <w:spacing w:before="120" w:after="120" w:line="360" w:lineRule="auto"/>
        <w:ind w:left="1982" w:hanging="566"/>
        <w:rPr>
          <w:b/>
          <w:szCs w:val="24"/>
          <w:lang w:eastAsia="en-US"/>
        </w:rPr>
      </w:pPr>
      <w:r w:rsidRPr="00393250">
        <w:rPr>
          <w:szCs w:val="24"/>
          <w:lang w:eastAsia="en-US"/>
        </w:rPr>
        <w:t>"3.</w:t>
      </w:r>
      <w:r w:rsidRPr="00393250">
        <w:rPr>
          <w:szCs w:val="24"/>
          <w:lang w:eastAsia="en-US"/>
        </w:rPr>
        <w:tab/>
        <w:t xml:space="preserve">Kommissionen tillægges beføjelser til at vedtage </w:t>
      </w:r>
      <w:r w:rsidRPr="00393250">
        <w:rPr>
          <w:strike/>
          <w:szCs w:val="24"/>
          <w:lang w:eastAsia="en-US"/>
        </w:rPr>
        <w:t>gennemførelsesretsakter</w:t>
      </w:r>
      <w:r w:rsidRPr="00393250">
        <w:rPr>
          <w:b/>
          <w:i/>
          <w:szCs w:val="24"/>
          <w:lang w:eastAsia="en-US"/>
        </w:rPr>
        <w:t>delegerede retsakter i overensstemmelse med artikel 20a</w:t>
      </w:r>
      <w:r w:rsidRPr="00393250">
        <w:rPr>
          <w:szCs w:val="24"/>
          <w:lang w:eastAsia="en-US"/>
        </w:rPr>
        <w:t xml:space="preserve"> med henblik på</w:t>
      </w:r>
      <w:r w:rsidRPr="00393250">
        <w:rPr>
          <w:b/>
          <w:i/>
          <w:szCs w:val="24"/>
          <w:lang w:eastAsia="en-US"/>
        </w:rPr>
        <w:t xml:space="preserve"> at supplere dette direktiv ved</w:t>
      </w:r>
      <w:r w:rsidRPr="00393250">
        <w:rPr>
          <w:szCs w:val="24"/>
          <w:lang w:eastAsia="en-US"/>
        </w:rPr>
        <w:t xml:space="preserve"> at fastsætte tekniske specifikationer og standardiserede metoder til analyse og overvågning af vandets tilstand i overensstemmelse med bilag V</w:t>
      </w:r>
      <w:r w:rsidRPr="00393250">
        <w:rPr>
          <w:b/>
          <w:i/>
          <w:szCs w:val="24"/>
          <w:lang w:eastAsia="en-US"/>
        </w:rPr>
        <w:t>. Kommissionen tillægges beføjelser til at vedtage gennemførelsesretsakter</w:t>
      </w:r>
      <w:r w:rsidRPr="00393250">
        <w:rPr>
          <w:strike/>
          <w:szCs w:val="24"/>
          <w:lang w:eastAsia="en-US"/>
        </w:rPr>
        <w:t xml:space="preserve"> og</w:t>
      </w:r>
      <w:r w:rsidRPr="00393250">
        <w:rPr>
          <w:szCs w:val="24"/>
          <w:lang w:eastAsia="en-US"/>
        </w:rPr>
        <w:t xml:space="preserve"> til fastlæggelse af formater for rapportering af overvågnings- og tilstandsdata i overensstemmelse med stk. 4. </w:t>
      </w:r>
      <w:r w:rsidRPr="00393250">
        <w:rPr>
          <w:strike/>
          <w:szCs w:val="24"/>
          <w:lang w:eastAsia="en-US"/>
        </w:rPr>
        <w:t>Gennemførelsesretsakterne</w:t>
      </w:r>
      <w:r w:rsidRPr="00393250">
        <w:rPr>
          <w:b/>
          <w:i/>
          <w:szCs w:val="24"/>
          <w:lang w:eastAsia="en-US"/>
        </w:rPr>
        <w:t>Disse gennemførelsesretsakter</w:t>
      </w:r>
      <w:r w:rsidRPr="00393250">
        <w:rPr>
          <w:szCs w:val="24"/>
          <w:lang w:eastAsia="en-US"/>
        </w:rPr>
        <w:t xml:space="preserve"> vedtages efter undersøgelsesproceduren i artikel 21, stk. 2."</w:t>
      </w:r>
      <w:r w:rsidR="00A94F2E" w:rsidRPr="00393250">
        <w:rPr>
          <w:b/>
          <w:szCs w:val="24"/>
          <w:lang w:eastAsia="en-US"/>
        </w:rPr>
        <w:t xml:space="preserve"> [Ændring 64]</w:t>
      </w:r>
    </w:p>
    <w:p w14:paraId="43BAF9DA" w14:textId="77777777" w:rsidR="00A94F2E" w:rsidRPr="00393250" w:rsidRDefault="00A94F2E">
      <w:pPr>
        <w:widowControl/>
        <w:rPr>
          <w:b/>
          <w:i/>
          <w:szCs w:val="24"/>
          <w:lang w:eastAsia="en-US"/>
        </w:rPr>
      </w:pPr>
      <w:r w:rsidRPr="00393250">
        <w:rPr>
          <w:b/>
          <w:i/>
          <w:szCs w:val="24"/>
          <w:lang w:eastAsia="en-US"/>
        </w:rPr>
        <w:br w:type="page"/>
      </w:r>
    </w:p>
    <w:p w14:paraId="40B5FFA1" w14:textId="3F6FEBEF" w:rsidR="008A5B47" w:rsidRPr="00393250" w:rsidRDefault="008A5B47" w:rsidP="008A5B47">
      <w:pPr>
        <w:spacing w:before="120" w:after="120" w:line="360" w:lineRule="auto"/>
        <w:ind w:left="1416" w:hanging="566"/>
        <w:rPr>
          <w:szCs w:val="24"/>
          <w:lang w:eastAsia="en-US"/>
        </w:rPr>
      </w:pPr>
      <w:r w:rsidRPr="00393250">
        <w:rPr>
          <w:b/>
          <w:i/>
          <w:szCs w:val="24"/>
          <w:lang w:eastAsia="en-US"/>
        </w:rPr>
        <w:lastRenderedPageBreak/>
        <w:t>aa)</w:t>
      </w:r>
      <w:r w:rsidRPr="00393250">
        <w:rPr>
          <w:szCs w:val="24"/>
          <w:lang w:eastAsia="en-US"/>
        </w:rPr>
        <w:tab/>
      </w:r>
      <w:r w:rsidRPr="00393250">
        <w:rPr>
          <w:b/>
          <w:i/>
          <w:szCs w:val="24"/>
          <w:lang w:eastAsia="en-US"/>
        </w:rPr>
        <w:t>Følgende nye stykke tilføjes:</w:t>
      </w:r>
    </w:p>
    <w:p w14:paraId="211C8A26" w14:textId="3D9E5E6C" w:rsidR="008A5B47" w:rsidRPr="00393250" w:rsidRDefault="00A94F2E" w:rsidP="008A5B47">
      <w:pPr>
        <w:spacing w:before="120" w:after="120" w:line="360" w:lineRule="auto"/>
        <w:ind w:left="1982" w:hanging="566"/>
        <w:rPr>
          <w:szCs w:val="24"/>
          <w:lang w:eastAsia="en-US"/>
        </w:rPr>
      </w:pPr>
      <w:r w:rsidRPr="00393250">
        <w:rPr>
          <w:b/>
          <w:i/>
          <w:szCs w:val="24"/>
          <w:lang w:eastAsia="en-US"/>
        </w:rPr>
        <w:t>"</w:t>
      </w:r>
      <w:r w:rsidR="008A5B47" w:rsidRPr="00393250">
        <w:rPr>
          <w:b/>
          <w:i/>
          <w:szCs w:val="24"/>
          <w:lang w:eastAsia="en-US"/>
        </w:rPr>
        <w:t>3a.</w:t>
      </w:r>
      <w:r w:rsidR="008A5B47" w:rsidRPr="00393250">
        <w:rPr>
          <w:szCs w:val="24"/>
          <w:lang w:eastAsia="en-US"/>
        </w:rPr>
        <w:tab/>
      </w:r>
      <w:r w:rsidR="008A5B47" w:rsidRPr="00393250">
        <w:rPr>
          <w:b/>
          <w:i/>
          <w:szCs w:val="24"/>
          <w:lang w:eastAsia="en-US"/>
        </w:rPr>
        <w:t>Senest den ... [to år efter dette direktivs ikrafttræden] offentliggør Kommissionen en udførlig vurdering af den mulige anvendelse af løbende og præcise (online) forureningsovervågningssystemer for vandkvalitetsmålinger, herunder aspekter af den økonomiske og tekniske anvendelighed af sådanne systemer, som er relevante for medlemsstaterne, og af anvendelsen af harmoniserede standarder.</w:t>
      </w:r>
    </w:p>
    <w:p w14:paraId="5EEC924B" w14:textId="3B266A19" w:rsidR="008A5B47" w:rsidRPr="00393250" w:rsidRDefault="008A5B47" w:rsidP="008A5B47">
      <w:pPr>
        <w:spacing w:before="120" w:after="120" w:line="360" w:lineRule="auto"/>
        <w:ind w:left="1982"/>
        <w:rPr>
          <w:b/>
          <w:szCs w:val="24"/>
          <w:lang w:eastAsia="en-US"/>
        </w:rPr>
      </w:pPr>
      <w:r w:rsidRPr="00393250">
        <w:rPr>
          <w:b/>
          <w:i/>
          <w:szCs w:val="24"/>
          <w:lang w:eastAsia="en-US"/>
        </w:rPr>
        <w:t>Hvis det er relevant, vedtager Kommissionen en gennemførelsesretsakt efter undersøgelsesproceduren i artikel 21, stk. 2, for at fastsætte harmoniserede standarder for online-vandovervågning."</w:t>
      </w:r>
      <w:r w:rsidR="00A94F2E" w:rsidRPr="00393250">
        <w:rPr>
          <w:b/>
          <w:szCs w:val="24"/>
          <w:lang w:eastAsia="en-US"/>
        </w:rPr>
        <w:t xml:space="preserve"> [Ændring 65]</w:t>
      </w:r>
    </w:p>
    <w:p w14:paraId="473EA36B" w14:textId="77777777" w:rsidR="00A94F2E" w:rsidRPr="00393250" w:rsidRDefault="00A94F2E">
      <w:pPr>
        <w:widowControl/>
        <w:rPr>
          <w:szCs w:val="24"/>
          <w:lang w:eastAsia="en-US"/>
        </w:rPr>
      </w:pPr>
      <w:r w:rsidRPr="00393250">
        <w:rPr>
          <w:szCs w:val="24"/>
          <w:lang w:eastAsia="en-US"/>
        </w:rPr>
        <w:br w:type="page"/>
      </w:r>
    </w:p>
    <w:p w14:paraId="34B533D1" w14:textId="33A8F781" w:rsidR="008A5B47" w:rsidRPr="00393250" w:rsidRDefault="008A5B47" w:rsidP="008A5B47">
      <w:pPr>
        <w:spacing w:before="120" w:after="120" w:line="360" w:lineRule="auto"/>
        <w:ind w:left="1416" w:hanging="566"/>
        <w:rPr>
          <w:szCs w:val="24"/>
          <w:lang w:eastAsia="en-US"/>
        </w:rPr>
      </w:pPr>
      <w:r w:rsidRPr="00393250">
        <w:rPr>
          <w:szCs w:val="24"/>
          <w:lang w:eastAsia="en-US"/>
        </w:rPr>
        <w:lastRenderedPageBreak/>
        <w:t>b)</w:t>
      </w:r>
      <w:r w:rsidRPr="00393250">
        <w:rPr>
          <w:szCs w:val="24"/>
          <w:lang w:eastAsia="en-US"/>
        </w:rPr>
        <w:tab/>
        <w:t>Som stk. 4 og 5 indsættes følgende:</w:t>
      </w:r>
    </w:p>
    <w:p w14:paraId="2691BA56" w14:textId="11D900AC" w:rsidR="008A5B47" w:rsidRPr="00393250" w:rsidRDefault="008A5B47" w:rsidP="008A5B47">
      <w:pPr>
        <w:spacing w:before="120" w:after="120" w:line="360" w:lineRule="auto"/>
        <w:ind w:left="1982" w:hanging="566"/>
        <w:rPr>
          <w:b/>
          <w:szCs w:val="24"/>
          <w:lang w:eastAsia="en-US"/>
        </w:rPr>
      </w:pPr>
      <w:r w:rsidRPr="00393250">
        <w:rPr>
          <w:szCs w:val="24"/>
          <w:lang w:eastAsia="en-US"/>
        </w:rPr>
        <w:t>"4.</w:t>
      </w:r>
      <w:r w:rsidRPr="00393250">
        <w:rPr>
          <w:szCs w:val="24"/>
          <w:lang w:eastAsia="en-US"/>
        </w:rPr>
        <w:tab/>
        <w:t>Medlemsstaterne sikrer, at de tilgængelige individuelle overvågningsdata, der indsamles i overensstemmelse med bilag V, punkt 1.3.4</w:t>
      </w:r>
      <w:r w:rsidRPr="00393250">
        <w:rPr>
          <w:b/>
          <w:i/>
          <w:szCs w:val="24"/>
          <w:lang w:eastAsia="en-US"/>
        </w:rPr>
        <w:t xml:space="preserve"> og 2.4.3</w:t>
      </w:r>
      <w:r w:rsidRPr="00393250">
        <w:rPr>
          <w:szCs w:val="24"/>
          <w:lang w:eastAsia="en-US"/>
        </w:rPr>
        <w:t xml:space="preserve">, og den deraf følgende tilstand i overensstemmelse med bilag V stilles til rådighed for </w:t>
      </w:r>
      <w:r w:rsidRPr="00393250">
        <w:rPr>
          <w:strike/>
          <w:szCs w:val="24"/>
          <w:lang w:eastAsia="en-US"/>
        </w:rPr>
        <w:t xml:space="preserve">offentligheden og </w:t>
      </w:r>
      <w:r w:rsidRPr="00393250">
        <w:rPr>
          <w:szCs w:val="24"/>
          <w:lang w:eastAsia="en-US"/>
        </w:rPr>
        <w:t>Det Europæiske Miljøagentur (EEA)</w:t>
      </w:r>
      <w:r w:rsidRPr="00393250">
        <w:rPr>
          <w:b/>
          <w:i/>
          <w:szCs w:val="24"/>
          <w:lang w:eastAsia="en-US"/>
        </w:rPr>
        <w:t xml:space="preserve"> og, uden unødig forsinkelse og på en lettilgængelig måde, for offentligheden</w:t>
      </w:r>
      <w:r w:rsidRPr="00393250">
        <w:rPr>
          <w:szCs w:val="24"/>
          <w:lang w:eastAsia="en-US"/>
        </w:rPr>
        <w:t xml:space="preserve"> mindst én gang om året elektronisk i et maskinlæsbart format i overensstemmelse med Europa-Parlamentets og Rådets direktiv 2003/4/EF*, Europa-Parlamentets og Rådets direktiv 2007/2/EF** og Europa-Parlamentets og Rådets direktiv (EU) 2019/1024***. Med henblik herpå anvender medlemsstaterne de formater, der er fastlagt i overensstemmelse med denne artikels stk. 3.</w:t>
      </w:r>
      <w:r w:rsidR="00A94F2E" w:rsidRPr="00393250">
        <w:rPr>
          <w:b/>
          <w:szCs w:val="24"/>
          <w:lang w:eastAsia="en-US"/>
        </w:rPr>
        <w:t xml:space="preserve"> [Ændring 66]</w:t>
      </w:r>
    </w:p>
    <w:p w14:paraId="69CFBE04" w14:textId="77777777" w:rsidR="00A94F2E" w:rsidRPr="00393250" w:rsidRDefault="00A94F2E">
      <w:pPr>
        <w:widowControl/>
        <w:rPr>
          <w:szCs w:val="24"/>
          <w:lang w:eastAsia="en-US"/>
        </w:rPr>
      </w:pPr>
      <w:r w:rsidRPr="00393250">
        <w:rPr>
          <w:szCs w:val="24"/>
          <w:lang w:eastAsia="en-US"/>
        </w:rPr>
        <w:br w:type="page"/>
      </w:r>
    </w:p>
    <w:p w14:paraId="3FA62DD0" w14:textId="4CFB8FFD" w:rsidR="008A5B47" w:rsidRPr="00393250" w:rsidRDefault="008A5B47" w:rsidP="008A5B47">
      <w:pPr>
        <w:spacing w:before="120" w:after="120" w:line="360" w:lineRule="auto"/>
        <w:ind w:left="1982" w:hanging="566"/>
        <w:rPr>
          <w:szCs w:val="24"/>
          <w:lang w:eastAsia="en-US"/>
        </w:rPr>
      </w:pPr>
      <w:r w:rsidRPr="00393250">
        <w:rPr>
          <w:szCs w:val="24"/>
          <w:lang w:eastAsia="en-US"/>
        </w:rPr>
        <w:lastRenderedPageBreak/>
        <w:t>5.</w:t>
      </w:r>
      <w:r w:rsidRPr="00393250">
        <w:rPr>
          <w:szCs w:val="24"/>
          <w:lang w:eastAsia="en-US"/>
        </w:rPr>
        <w:tab/>
        <w:t>EEA sikrer, at de oplysninger, der stilles til rådighed i henhold til stk. 4, regelmæssigt behandles og analyseres med henblik på at gøre dem tilgængelige via relevante EU-portaler for Kommissionens og de relevante EU-agenturers videreanvendelse og for at give Kommissionen, medlemsstaterne og offentligheden ajourførte, objektive, pålidelige og sammenlignelige oplysninger, navnlig om tilstand, i overensstemmelse med Europa-Parlamentets og Rådets forordning (EF) nr. 401/2009****.</w:t>
      </w:r>
    </w:p>
    <w:p w14:paraId="653863B8" w14:textId="77777777" w:rsidR="008A5B47" w:rsidRPr="00393250" w:rsidRDefault="008A5B47" w:rsidP="008A5B47">
      <w:pPr>
        <w:spacing w:before="120" w:after="120" w:line="360" w:lineRule="auto"/>
        <w:ind w:left="1416"/>
        <w:rPr>
          <w:szCs w:val="24"/>
          <w:lang w:eastAsia="en-US"/>
        </w:rPr>
      </w:pPr>
      <w:r w:rsidRPr="00393250">
        <w:rPr>
          <w:szCs w:val="24"/>
          <w:lang w:eastAsia="en-US"/>
        </w:rPr>
        <w:t>* Europa-Parlamentets og Rådets direktiv 2003/4/EF af 28. januar 2003 om offentlig adgang til miljøoplysninger og om ophævelse af Rådets direktiv 90/313/EØF (EUT L 41 af 14.2.2003, s. 26).</w:t>
      </w:r>
    </w:p>
    <w:p w14:paraId="3F567DE8" w14:textId="77777777" w:rsidR="008A5B47" w:rsidRPr="00393250" w:rsidRDefault="008A5B47" w:rsidP="008A5B47">
      <w:pPr>
        <w:spacing w:before="120" w:after="120" w:line="360" w:lineRule="auto"/>
        <w:ind w:left="1416"/>
        <w:rPr>
          <w:szCs w:val="24"/>
          <w:lang w:eastAsia="en-US"/>
        </w:rPr>
      </w:pPr>
      <w:r w:rsidRPr="00393250">
        <w:rPr>
          <w:szCs w:val="24"/>
          <w:lang w:eastAsia="en-US"/>
        </w:rPr>
        <w:t>** Europa-Parlamentets og Rådets direktiv 2007/2/EF af 14. marts 2007 om opbygning af en infrastruktur for geografisk information i Det Europæiske Fællesskab (Inspire) (EUT L 108 af 25.4.2007, s. 1).</w:t>
      </w:r>
    </w:p>
    <w:p w14:paraId="742914FB" w14:textId="77777777" w:rsidR="008A5B47" w:rsidRPr="00393250" w:rsidRDefault="008A5B47" w:rsidP="008A5B47">
      <w:pPr>
        <w:spacing w:before="120" w:after="120" w:line="360" w:lineRule="auto"/>
        <w:ind w:left="1416"/>
        <w:rPr>
          <w:szCs w:val="24"/>
          <w:lang w:eastAsia="en-US"/>
        </w:rPr>
      </w:pPr>
      <w:r w:rsidRPr="00393250">
        <w:rPr>
          <w:szCs w:val="24"/>
          <w:lang w:eastAsia="en-US"/>
        </w:rPr>
        <w:t>*** Europa-Parlamentets og Rådets direktiv (EU) 2019/1024 af 20. juni 2019 om åbne data og videreanvendelse af den offentlige sektors informationer (EUT L 172 af 26.6.2019, s. 56).</w:t>
      </w:r>
    </w:p>
    <w:p w14:paraId="6716CA02" w14:textId="77777777" w:rsidR="008A5B47" w:rsidRPr="00393250" w:rsidRDefault="008A5B47" w:rsidP="008A5B47">
      <w:pPr>
        <w:spacing w:before="120" w:after="120" w:line="360" w:lineRule="auto"/>
        <w:ind w:left="1416"/>
        <w:rPr>
          <w:szCs w:val="24"/>
          <w:lang w:eastAsia="en-US"/>
        </w:rPr>
      </w:pPr>
      <w:r w:rsidRPr="00393250">
        <w:rPr>
          <w:szCs w:val="24"/>
          <w:lang w:eastAsia="en-US"/>
        </w:rPr>
        <w:t>**** Europa-Parlamentets og Rådets forordning (EF) nr. 401/2009 af 23. april 2009 om Det Europæiske Miljøagentur og Det Europæiske Miljøoplysnings- og Miljøovervågningsnet (EUT L 126 af 21.5.2009, s. 13)."</w:t>
      </w:r>
    </w:p>
    <w:p w14:paraId="25C4E905" w14:textId="77777777" w:rsidR="00A94F2E" w:rsidRPr="00393250" w:rsidRDefault="00A94F2E">
      <w:pPr>
        <w:widowControl/>
        <w:rPr>
          <w:szCs w:val="24"/>
          <w:lang w:eastAsia="en-US"/>
        </w:rPr>
      </w:pPr>
      <w:r w:rsidRPr="00393250">
        <w:rPr>
          <w:szCs w:val="24"/>
          <w:lang w:eastAsia="en-US"/>
        </w:rPr>
        <w:br w:type="page"/>
      </w:r>
    </w:p>
    <w:p w14:paraId="70508D0F" w14:textId="61B988E0"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(7)</w:t>
      </w:r>
      <w:r w:rsidRPr="00393250">
        <w:rPr>
          <w:szCs w:val="24"/>
          <w:lang w:eastAsia="en-US"/>
        </w:rPr>
        <w:tab/>
        <w:t>I artikel 10 foretages følgende ændringer:</w:t>
      </w:r>
    </w:p>
    <w:p w14:paraId="5D406C96" w14:textId="742BD9BD" w:rsidR="008A5B47" w:rsidRPr="00393250" w:rsidRDefault="008A5B47" w:rsidP="008A5B47">
      <w:pPr>
        <w:spacing w:before="120" w:after="120" w:line="360" w:lineRule="auto"/>
        <w:ind w:left="1416" w:hanging="566"/>
        <w:rPr>
          <w:szCs w:val="24"/>
          <w:lang w:eastAsia="en-US"/>
        </w:rPr>
      </w:pPr>
      <w:r w:rsidRPr="00393250">
        <w:rPr>
          <w:szCs w:val="24"/>
          <w:lang w:eastAsia="en-US"/>
        </w:rPr>
        <w:t>a)</w:t>
      </w:r>
      <w:r w:rsidRPr="00393250">
        <w:rPr>
          <w:szCs w:val="24"/>
          <w:lang w:eastAsia="en-US"/>
        </w:rPr>
        <w:tab/>
        <w:t>Stk. 2 affattes således:</w:t>
      </w:r>
    </w:p>
    <w:p w14:paraId="0B92A551"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"2.</w:t>
      </w:r>
      <w:r w:rsidRPr="00393250">
        <w:rPr>
          <w:szCs w:val="24"/>
          <w:lang w:eastAsia="en-US"/>
        </w:rPr>
        <w:tab/>
        <w:t>Med henblik på at opfylde de mål, kvalitetskrav og tærskelværdier, der er fastsat i henhold til dette direktiv, sikrer medlemsstaterne indførelse og gennemførelse af:</w:t>
      </w:r>
    </w:p>
    <w:p w14:paraId="13DCBA58" w14:textId="77777777" w:rsidR="008A5B47" w:rsidRPr="00393250" w:rsidRDefault="008A5B47" w:rsidP="008A5B47">
      <w:pPr>
        <w:spacing w:before="120" w:after="120" w:line="360" w:lineRule="auto"/>
        <w:ind w:left="2548" w:hanging="566"/>
        <w:rPr>
          <w:szCs w:val="24"/>
          <w:lang w:eastAsia="en-US"/>
        </w:rPr>
      </w:pPr>
      <w:r w:rsidRPr="00393250">
        <w:rPr>
          <w:szCs w:val="24"/>
          <w:lang w:eastAsia="en-US"/>
        </w:rPr>
        <w:t>a)</w:t>
      </w:r>
      <w:r w:rsidRPr="00393250">
        <w:rPr>
          <w:szCs w:val="24"/>
          <w:lang w:eastAsia="en-US"/>
        </w:rPr>
        <w:tab/>
        <w:t>emissionskontrol baseret på den bedste tilgængelige teknologi</w:t>
      </w:r>
    </w:p>
    <w:p w14:paraId="15E57200" w14:textId="77777777" w:rsidR="008A5B47" w:rsidRPr="00393250" w:rsidRDefault="008A5B47" w:rsidP="008A5B47">
      <w:pPr>
        <w:spacing w:before="120" w:after="120" w:line="360" w:lineRule="auto"/>
        <w:ind w:left="2548" w:hanging="566"/>
        <w:rPr>
          <w:szCs w:val="24"/>
          <w:lang w:eastAsia="en-US"/>
        </w:rPr>
      </w:pPr>
      <w:r w:rsidRPr="00393250">
        <w:rPr>
          <w:szCs w:val="24"/>
          <w:lang w:eastAsia="en-US"/>
        </w:rPr>
        <w:t>b)</w:t>
      </w:r>
      <w:r w:rsidRPr="00393250">
        <w:rPr>
          <w:szCs w:val="24"/>
          <w:lang w:eastAsia="en-US"/>
        </w:rPr>
        <w:tab/>
        <w:t>relevante emissionsgrænseværdier</w:t>
      </w:r>
    </w:p>
    <w:p w14:paraId="421C7EAE" w14:textId="77777777" w:rsidR="00A94F2E" w:rsidRPr="00393250" w:rsidRDefault="00A94F2E">
      <w:pPr>
        <w:widowControl/>
        <w:rPr>
          <w:szCs w:val="24"/>
          <w:lang w:eastAsia="en-US"/>
        </w:rPr>
      </w:pPr>
      <w:r w:rsidRPr="00393250">
        <w:rPr>
          <w:szCs w:val="24"/>
          <w:lang w:eastAsia="en-US"/>
        </w:rPr>
        <w:br w:type="page"/>
      </w:r>
    </w:p>
    <w:p w14:paraId="1E532E0A" w14:textId="5A34AFFA" w:rsidR="008A5B47" w:rsidRPr="00393250" w:rsidRDefault="008A5B47" w:rsidP="008A5B47">
      <w:pPr>
        <w:spacing w:before="120" w:after="120" w:line="360" w:lineRule="auto"/>
        <w:ind w:left="2548" w:hanging="566"/>
        <w:rPr>
          <w:szCs w:val="24"/>
          <w:lang w:eastAsia="en-US"/>
        </w:rPr>
      </w:pPr>
      <w:r w:rsidRPr="00393250">
        <w:rPr>
          <w:szCs w:val="24"/>
          <w:lang w:eastAsia="en-US"/>
        </w:rPr>
        <w:lastRenderedPageBreak/>
        <w:t>c)</w:t>
      </w:r>
      <w:r w:rsidRPr="00393250">
        <w:rPr>
          <w:szCs w:val="24"/>
          <w:lang w:eastAsia="en-US"/>
        </w:rPr>
        <w:tab/>
        <w:t>i tilfælde af diffuse virkninger, kontrol der, hvor det er relevant, omfatter den bedste miljøpraksis som fastsat i</w:t>
      </w:r>
      <w:r w:rsidR="00A94F2E" w:rsidRPr="00393250">
        <w:rPr>
          <w:b/>
          <w:i/>
          <w:szCs w:val="24"/>
          <w:lang w:eastAsia="en-US"/>
        </w:rPr>
        <w:t>:</w:t>
      </w:r>
    </w:p>
    <w:p w14:paraId="7819E668" w14:textId="77777777" w:rsidR="008A5B47" w:rsidRPr="00393250" w:rsidRDefault="008A5B47" w:rsidP="008A5B47">
      <w:pPr>
        <w:spacing w:before="120" w:after="120" w:line="360" w:lineRule="auto"/>
        <w:ind w:left="3114" w:hanging="566"/>
        <w:rPr>
          <w:szCs w:val="24"/>
          <w:lang w:eastAsia="en-US"/>
        </w:rPr>
      </w:pPr>
      <w:r w:rsidRPr="00393250">
        <w:rPr>
          <w:szCs w:val="24"/>
          <w:lang w:eastAsia="en-US"/>
        </w:rPr>
        <w:t>-</w:t>
      </w:r>
      <w:r w:rsidRPr="00393250">
        <w:rPr>
          <w:szCs w:val="24"/>
          <w:lang w:eastAsia="en-US"/>
        </w:rPr>
        <w:tab/>
        <w:t>Europa-Parlamentets og Rådets direktiv 2009/128/EF*</w:t>
      </w:r>
    </w:p>
    <w:p w14:paraId="14A92D81" w14:textId="77777777" w:rsidR="008A5B47" w:rsidRPr="00393250" w:rsidRDefault="008A5B47" w:rsidP="008A5B47">
      <w:pPr>
        <w:spacing w:before="120" w:after="120" w:line="360" w:lineRule="auto"/>
        <w:ind w:left="3114" w:hanging="566"/>
        <w:rPr>
          <w:szCs w:val="24"/>
          <w:lang w:eastAsia="en-US"/>
        </w:rPr>
      </w:pPr>
      <w:r w:rsidRPr="00393250">
        <w:rPr>
          <w:szCs w:val="24"/>
          <w:lang w:eastAsia="en-US"/>
        </w:rPr>
        <w:t>-</w:t>
      </w:r>
      <w:r w:rsidRPr="00393250">
        <w:rPr>
          <w:szCs w:val="24"/>
          <w:lang w:eastAsia="en-US"/>
        </w:rPr>
        <w:tab/>
        <w:t>Europa-Parlamentets og Rådets direktiv 2010/75/EU**</w:t>
      </w:r>
    </w:p>
    <w:p w14:paraId="39435BF2" w14:textId="77777777" w:rsidR="008A5B47" w:rsidRPr="00393250" w:rsidRDefault="008A5B47" w:rsidP="008A5B47">
      <w:pPr>
        <w:spacing w:before="120" w:after="120" w:line="360" w:lineRule="auto"/>
        <w:ind w:left="3114" w:hanging="566"/>
        <w:rPr>
          <w:szCs w:val="24"/>
          <w:lang w:eastAsia="en-US"/>
        </w:rPr>
      </w:pPr>
      <w:r w:rsidRPr="00393250">
        <w:rPr>
          <w:szCs w:val="24"/>
          <w:lang w:eastAsia="en-US"/>
        </w:rPr>
        <w:t>-</w:t>
      </w:r>
      <w:r w:rsidRPr="00393250">
        <w:rPr>
          <w:szCs w:val="24"/>
          <w:lang w:eastAsia="en-US"/>
        </w:rPr>
        <w:tab/>
        <w:t>Rådets direktiv 91/271/EØF***</w:t>
      </w:r>
    </w:p>
    <w:p w14:paraId="682B2196" w14:textId="77777777" w:rsidR="008A5B47" w:rsidRPr="00393250" w:rsidRDefault="008A5B47" w:rsidP="008A5B47">
      <w:pPr>
        <w:spacing w:before="120" w:after="120" w:line="360" w:lineRule="auto"/>
        <w:ind w:left="3114" w:hanging="566"/>
        <w:rPr>
          <w:szCs w:val="24"/>
          <w:lang w:eastAsia="en-US"/>
        </w:rPr>
      </w:pPr>
      <w:r w:rsidRPr="00393250">
        <w:rPr>
          <w:szCs w:val="24"/>
          <w:lang w:eastAsia="en-US"/>
        </w:rPr>
        <w:t>-</w:t>
      </w:r>
      <w:r w:rsidRPr="00393250">
        <w:rPr>
          <w:szCs w:val="24"/>
          <w:lang w:eastAsia="en-US"/>
        </w:rPr>
        <w:tab/>
        <w:t>Rådets direktiv 91/676/EØF****</w:t>
      </w:r>
    </w:p>
    <w:p w14:paraId="59B46D0E" w14:textId="77777777" w:rsidR="008A5B47" w:rsidRPr="00393250" w:rsidRDefault="008A5B47" w:rsidP="008A5B47">
      <w:pPr>
        <w:spacing w:before="120" w:after="120" w:line="360" w:lineRule="auto"/>
        <w:ind w:left="3114" w:hanging="566"/>
        <w:rPr>
          <w:szCs w:val="24"/>
          <w:lang w:eastAsia="en-US"/>
        </w:rPr>
      </w:pPr>
      <w:r w:rsidRPr="00393250">
        <w:rPr>
          <w:szCs w:val="24"/>
          <w:lang w:eastAsia="en-US"/>
        </w:rPr>
        <w:t>-</w:t>
      </w:r>
      <w:r w:rsidRPr="00393250">
        <w:rPr>
          <w:szCs w:val="24"/>
          <w:lang w:eastAsia="en-US"/>
        </w:rPr>
        <w:tab/>
        <w:t>anden EU-lovgivning, der er relevant for håndtering af punktkilder eller diffus forurening.</w:t>
      </w:r>
    </w:p>
    <w:p w14:paraId="79C88BB2" w14:textId="77777777" w:rsidR="008A5B47" w:rsidRPr="00393250" w:rsidRDefault="008A5B47" w:rsidP="008A5B47">
      <w:pPr>
        <w:spacing w:before="120" w:after="120" w:line="360" w:lineRule="auto"/>
        <w:ind w:left="2548"/>
        <w:rPr>
          <w:szCs w:val="24"/>
          <w:lang w:eastAsia="en-US"/>
        </w:rPr>
      </w:pPr>
      <w:r w:rsidRPr="00393250">
        <w:rPr>
          <w:szCs w:val="24"/>
          <w:lang w:eastAsia="en-US"/>
        </w:rPr>
        <w:t>* Europa-Parlamentets og Rådets direktiv 2009/128/EF af 21. oktober 2009 om en ramme for Fællesskabets indsats for en bæredygtig anvendelse af pesticider (EUT L 309 af 24.11.2009, s. 71).</w:t>
      </w:r>
    </w:p>
    <w:p w14:paraId="1DA43529" w14:textId="77777777" w:rsidR="008A5B47" w:rsidRPr="00393250" w:rsidRDefault="008A5B47" w:rsidP="008A5B47">
      <w:pPr>
        <w:spacing w:before="120" w:after="120" w:line="360" w:lineRule="auto"/>
        <w:ind w:left="2548"/>
        <w:rPr>
          <w:szCs w:val="24"/>
          <w:lang w:eastAsia="en-US"/>
        </w:rPr>
      </w:pPr>
      <w:r w:rsidRPr="00393250">
        <w:rPr>
          <w:szCs w:val="24"/>
          <w:lang w:eastAsia="en-US"/>
        </w:rPr>
        <w:t>** Europa-Parlamentets og Rådets direktiv 2010/75/EU af 24. november 2010 om industrielle emissioner (EUT L 334 af 17.12.2010, s. 17).</w:t>
      </w:r>
    </w:p>
    <w:p w14:paraId="3F98255C" w14:textId="77777777" w:rsidR="008A5B47" w:rsidRPr="00393250" w:rsidRDefault="008A5B47" w:rsidP="008A5B47">
      <w:pPr>
        <w:spacing w:before="120" w:after="120" w:line="360" w:lineRule="auto"/>
        <w:ind w:left="2548"/>
        <w:rPr>
          <w:szCs w:val="24"/>
          <w:lang w:eastAsia="en-US"/>
        </w:rPr>
      </w:pPr>
      <w:r w:rsidRPr="00393250">
        <w:rPr>
          <w:szCs w:val="24"/>
          <w:lang w:eastAsia="en-US"/>
        </w:rPr>
        <w:t>*** Rådets direktiv 91/271/EØF af 21. maj 1991 om rensning af byspildevand (EFT L 135 af 30.5.1991, s. 40).</w:t>
      </w:r>
    </w:p>
    <w:p w14:paraId="4ADE0E7E" w14:textId="77777777" w:rsidR="008A5B47" w:rsidRPr="00393250" w:rsidRDefault="008A5B47" w:rsidP="008A5B47">
      <w:pPr>
        <w:spacing w:before="120" w:after="120" w:line="360" w:lineRule="auto"/>
        <w:ind w:left="2548"/>
        <w:rPr>
          <w:szCs w:val="24"/>
          <w:lang w:eastAsia="en-US"/>
        </w:rPr>
      </w:pPr>
      <w:r w:rsidRPr="00393250">
        <w:rPr>
          <w:szCs w:val="24"/>
          <w:lang w:eastAsia="en-US"/>
        </w:rPr>
        <w:t>**** Rådets direktiv 91/676/EØF af 12. december 1991 om beskyttelse af vand mod forurening forårsaget af nitrater, der stammer fra landbruget (EFT L 375 af 31.12.1991, s. 1)."</w:t>
      </w:r>
    </w:p>
    <w:p w14:paraId="3FD1C590" w14:textId="77777777" w:rsidR="00A94F2E" w:rsidRPr="00393250" w:rsidRDefault="00A94F2E">
      <w:pPr>
        <w:widowControl/>
        <w:rPr>
          <w:szCs w:val="24"/>
          <w:lang w:eastAsia="en-US"/>
        </w:rPr>
      </w:pPr>
      <w:r w:rsidRPr="00393250">
        <w:rPr>
          <w:szCs w:val="24"/>
          <w:lang w:eastAsia="en-US"/>
        </w:rPr>
        <w:br w:type="page"/>
      </w:r>
    </w:p>
    <w:p w14:paraId="43DEC9F8" w14:textId="514D2B9C" w:rsidR="008A5B47" w:rsidRPr="00393250" w:rsidRDefault="008A5B47" w:rsidP="008A5B47">
      <w:pPr>
        <w:spacing w:before="120" w:after="120" w:line="360" w:lineRule="auto"/>
        <w:ind w:left="1416" w:hanging="566"/>
        <w:rPr>
          <w:szCs w:val="24"/>
          <w:lang w:eastAsia="en-US"/>
        </w:rPr>
      </w:pPr>
      <w:r w:rsidRPr="00393250">
        <w:rPr>
          <w:szCs w:val="24"/>
          <w:lang w:eastAsia="en-US"/>
        </w:rPr>
        <w:lastRenderedPageBreak/>
        <w:t>b)</w:t>
      </w:r>
      <w:r w:rsidRPr="00393250">
        <w:rPr>
          <w:szCs w:val="24"/>
          <w:lang w:eastAsia="en-US"/>
        </w:rPr>
        <w:tab/>
        <w:t>Stk. 3 affattes således:</w:t>
      </w:r>
    </w:p>
    <w:p w14:paraId="54F712E6"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"3.</w:t>
      </w:r>
      <w:r w:rsidRPr="00393250">
        <w:rPr>
          <w:szCs w:val="24"/>
          <w:lang w:eastAsia="en-US"/>
        </w:rPr>
        <w:tab/>
        <w:t>Hvis et kvalitetsmål, et kvalitetskrav eller en tærskel, uanset om de er fastsat i henhold til dette direktiv, i henhold til direktiv 2006/118/EF eller 2008/105/EF eller i henhold til anden EU-lovgivning, kræver overholdelse af strengere betingelser end dem, som følger af anvendelsen af stk. 2, fastsættes der i overensstemmelse hermed strengere emissionskontrol."</w:t>
      </w:r>
    </w:p>
    <w:p w14:paraId="7B188D06" w14:textId="77777777" w:rsidR="00A94F2E" w:rsidRPr="00393250" w:rsidRDefault="00A94F2E">
      <w:pPr>
        <w:widowControl/>
        <w:rPr>
          <w:b/>
          <w:i/>
          <w:szCs w:val="24"/>
          <w:lang w:eastAsia="en-US"/>
        </w:rPr>
      </w:pPr>
      <w:r w:rsidRPr="00393250">
        <w:rPr>
          <w:b/>
          <w:i/>
          <w:szCs w:val="24"/>
          <w:lang w:eastAsia="en-US"/>
        </w:rPr>
        <w:br w:type="page"/>
      </w:r>
    </w:p>
    <w:p w14:paraId="259CD94C" w14:textId="397A8DD8" w:rsidR="008A5B47" w:rsidRPr="00393250" w:rsidRDefault="00841015" w:rsidP="008A5B47">
      <w:pPr>
        <w:spacing w:before="120" w:after="120" w:line="360" w:lineRule="auto"/>
        <w:ind w:left="850" w:hanging="850"/>
        <w:rPr>
          <w:szCs w:val="24"/>
          <w:lang w:eastAsia="en-US"/>
        </w:rPr>
      </w:pPr>
      <w:r w:rsidRPr="00393250">
        <w:rPr>
          <w:b/>
          <w:i/>
          <w:szCs w:val="24"/>
          <w:lang w:eastAsia="en-US"/>
        </w:rPr>
        <w:lastRenderedPageBreak/>
        <w:t>(</w:t>
      </w:r>
      <w:r w:rsidR="008A5B47" w:rsidRPr="00393250">
        <w:rPr>
          <w:b/>
          <w:i/>
          <w:szCs w:val="24"/>
          <w:lang w:eastAsia="en-US"/>
        </w:rPr>
        <w:t>7a)</w:t>
      </w:r>
      <w:r w:rsidR="008A5B47" w:rsidRPr="00393250">
        <w:rPr>
          <w:szCs w:val="24"/>
          <w:lang w:eastAsia="en-US"/>
        </w:rPr>
        <w:tab/>
      </w:r>
      <w:r w:rsidR="008A5B47" w:rsidRPr="00393250">
        <w:rPr>
          <w:b/>
          <w:i/>
          <w:szCs w:val="24"/>
          <w:lang w:eastAsia="en-US"/>
        </w:rPr>
        <w:t>Artikel 11, stk. 1, affattes således:</w:t>
      </w:r>
    </w:p>
    <w:p w14:paraId="0D4906FD" w14:textId="6C5AA3E0" w:rsidR="008A5B47" w:rsidRPr="00393250" w:rsidRDefault="00841015" w:rsidP="008A5B47">
      <w:pPr>
        <w:spacing w:before="120" w:after="120" w:line="360" w:lineRule="auto"/>
        <w:ind w:left="1416" w:hanging="566"/>
        <w:rPr>
          <w:b/>
          <w:szCs w:val="24"/>
          <w:lang w:eastAsia="en-US"/>
        </w:rPr>
      </w:pPr>
      <w:r w:rsidRPr="00393250">
        <w:rPr>
          <w:b/>
          <w:i/>
          <w:szCs w:val="24"/>
          <w:lang w:eastAsia="en-US"/>
        </w:rPr>
        <w:t>"</w:t>
      </w:r>
      <w:r w:rsidR="008A5B47" w:rsidRPr="00393250">
        <w:rPr>
          <w:b/>
          <w:i/>
          <w:szCs w:val="24"/>
          <w:lang w:eastAsia="en-US"/>
        </w:rPr>
        <w:t>1.</w:t>
      </w:r>
      <w:r w:rsidR="008A5B47" w:rsidRPr="00393250">
        <w:rPr>
          <w:szCs w:val="24"/>
          <w:lang w:eastAsia="en-US"/>
        </w:rPr>
        <w:tab/>
      </w:r>
      <w:r w:rsidR="008A5B47" w:rsidRPr="00393250">
        <w:rPr>
          <w:b/>
          <w:i/>
          <w:szCs w:val="24"/>
          <w:lang w:eastAsia="en-US"/>
        </w:rPr>
        <w:t>Hver medlemsstat sørger for, at der for hvert vandområdedistrikt eller for den del af et internationalt vandområdedistrikt, der ligger inden for dens område, udarbejdes et indsatsprogram, idet der tages hensyn til resultaterne af de analyser, der kræves i henhold til artikel 5, med henblik på opfyldelse af de mål, der er fastsat i henhold til artikel 4. Sådanne indsatsprogrammer skal prioritere foranstaltninger til bekæmpelse af forurening ved kilden i overensstemmelse med relevant EU-sektorlovgivning om forurening. End-of-pipe-foranstaltninger anvendes som supplement til foranstaltninger til bekæmpelse af forurening ved kilden, hvis der er risiko for, at sidstnævnte ikke indfrier målet om god tilstand i vandområderne. Indsatsprogrammer kan referere til foranstaltninger, der følger af lovgivning, vedtaget på nationalt plan, der dækker en medlemsstats samlede område. Hvor det er relevant, kan en medlemsstat vedtage foranstaltninger for alle vandområdedistrikter og/eller for dele af internationale vandområdedistrikter, der ligger inden for dens område. Kommissionen udarbejder vejledning om bedste praksis for foranstaltninger til bekæmpelse af forurening ved kilden og end-of-pipe-foranstaltningers komplementaritet."</w:t>
      </w:r>
      <w:r w:rsidRPr="00393250">
        <w:rPr>
          <w:b/>
          <w:szCs w:val="24"/>
          <w:lang w:eastAsia="en-US"/>
        </w:rPr>
        <w:t xml:space="preserve"> [Ændring 67]</w:t>
      </w:r>
    </w:p>
    <w:p w14:paraId="7BE16C71" w14:textId="77777777" w:rsidR="00841015" w:rsidRPr="00393250" w:rsidRDefault="00841015">
      <w:pPr>
        <w:widowControl/>
        <w:rPr>
          <w:b/>
          <w:i/>
          <w:szCs w:val="24"/>
          <w:lang w:eastAsia="en-US"/>
        </w:rPr>
      </w:pPr>
      <w:r w:rsidRPr="00393250">
        <w:rPr>
          <w:b/>
          <w:i/>
          <w:szCs w:val="24"/>
          <w:lang w:eastAsia="en-US"/>
        </w:rPr>
        <w:br w:type="page"/>
      </w:r>
    </w:p>
    <w:p w14:paraId="459DCB3C" w14:textId="2DA06578" w:rsidR="008A5B47" w:rsidRPr="00393250" w:rsidRDefault="00841015" w:rsidP="008A5B47">
      <w:pPr>
        <w:spacing w:before="120" w:after="120" w:line="360" w:lineRule="auto"/>
        <w:ind w:left="850" w:hanging="850"/>
        <w:rPr>
          <w:szCs w:val="24"/>
          <w:lang w:eastAsia="en-US"/>
        </w:rPr>
      </w:pPr>
      <w:r w:rsidRPr="00393250">
        <w:rPr>
          <w:b/>
          <w:i/>
          <w:szCs w:val="24"/>
          <w:lang w:eastAsia="en-US"/>
        </w:rPr>
        <w:lastRenderedPageBreak/>
        <w:t>(</w:t>
      </w:r>
      <w:r w:rsidR="008A5B47" w:rsidRPr="00393250">
        <w:rPr>
          <w:b/>
          <w:i/>
          <w:szCs w:val="24"/>
          <w:lang w:eastAsia="en-US"/>
        </w:rPr>
        <w:t>7b)</w:t>
      </w:r>
      <w:r w:rsidR="008A5B47" w:rsidRPr="00393250">
        <w:rPr>
          <w:szCs w:val="24"/>
          <w:lang w:eastAsia="en-US"/>
        </w:rPr>
        <w:tab/>
      </w:r>
      <w:r w:rsidR="008A5B47" w:rsidRPr="00393250">
        <w:rPr>
          <w:b/>
          <w:i/>
          <w:szCs w:val="24"/>
          <w:lang w:eastAsia="en-US"/>
        </w:rPr>
        <w:t>Artikel 11, stk. 3, litra c), affattes således:</w:t>
      </w:r>
    </w:p>
    <w:p w14:paraId="518AA6E5" w14:textId="0DD55208" w:rsidR="008A5B47" w:rsidRPr="00393250" w:rsidRDefault="00841015" w:rsidP="008A5B47">
      <w:pPr>
        <w:spacing w:before="120" w:after="120" w:line="360" w:lineRule="auto"/>
        <w:ind w:left="1416" w:hanging="566"/>
        <w:rPr>
          <w:b/>
          <w:szCs w:val="24"/>
          <w:lang w:eastAsia="en-US"/>
        </w:rPr>
      </w:pPr>
      <w:r w:rsidRPr="00393250">
        <w:rPr>
          <w:b/>
          <w:i/>
          <w:szCs w:val="24"/>
          <w:lang w:eastAsia="en-US"/>
        </w:rPr>
        <w:t>"</w:t>
      </w:r>
      <w:r w:rsidR="008A5B47" w:rsidRPr="00393250">
        <w:rPr>
          <w:b/>
          <w:i/>
          <w:szCs w:val="24"/>
          <w:lang w:eastAsia="en-US"/>
        </w:rPr>
        <w:t>c)</w:t>
      </w:r>
      <w:r w:rsidR="008A5B47" w:rsidRPr="00393250">
        <w:rPr>
          <w:szCs w:val="24"/>
          <w:lang w:eastAsia="en-US"/>
        </w:rPr>
        <w:tab/>
      </w:r>
      <w:r w:rsidR="008A5B47" w:rsidRPr="00393250">
        <w:rPr>
          <w:b/>
          <w:i/>
          <w:szCs w:val="24"/>
          <w:lang w:eastAsia="en-US"/>
        </w:rPr>
        <w:t>foranstaltninger, der skal fremme en effektiv og bæredygtig vandanvendelse, herunder i landbruget, således at opnåelsen af målene i artikel 4 ikke bringes i fare"</w:t>
      </w:r>
      <w:r w:rsidRPr="00393250">
        <w:rPr>
          <w:b/>
          <w:szCs w:val="24"/>
          <w:lang w:eastAsia="en-US"/>
        </w:rPr>
        <w:t xml:space="preserve"> [Ændring 68]</w:t>
      </w:r>
    </w:p>
    <w:p w14:paraId="4F3180D3"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(8)</w:t>
      </w:r>
      <w:r w:rsidRPr="00393250">
        <w:rPr>
          <w:szCs w:val="24"/>
          <w:lang w:eastAsia="en-US"/>
        </w:rPr>
        <w:tab/>
        <w:t>Artikel 11, stk. 3, litra k), affattes således:</w:t>
      </w:r>
    </w:p>
    <w:p w14:paraId="3927EC21"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"k)</w:t>
      </w:r>
      <w:r w:rsidRPr="00393250">
        <w:rPr>
          <w:szCs w:val="24"/>
          <w:lang w:eastAsia="en-US"/>
        </w:rPr>
        <w:tab/>
        <w:t>foranstaltninger til at eliminere forurening af overfladevand med prioriterede farlige stoffer og til gradvis at reducere forurening med andre stoffer, som ellers vil forhindre medlemsstaterne i at opfylde de miljømål for overfladevandområderne, der er anført i artikel 4"</w:t>
      </w:r>
    </w:p>
    <w:p w14:paraId="4B9A80C9" w14:textId="7D6189CD" w:rsidR="008A5B47" w:rsidRPr="00393250" w:rsidRDefault="00841015" w:rsidP="008A5B47">
      <w:pPr>
        <w:spacing w:before="120" w:after="120" w:line="360" w:lineRule="auto"/>
        <w:ind w:left="850" w:hanging="850"/>
        <w:rPr>
          <w:szCs w:val="24"/>
          <w:lang w:eastAsia="en-US"/>
        </w:rPr>
      </w:pPr>
      <w:r w:rsidRPr="00393250">
        <w:rPr>
          <w:b/>
          <w:i/>
          <w:szCs w:val="24"/>
          <w:lang w:eastAsia="en-US"/>
        </w:rPr>
        <w:t>(</w:t>
      </w:r>
      <w:r w:rsidR="008A5B47" w:rsidRPr="00393250">
        <w:rPr>
          <w:b/>
          <w:i/>
          <w:szCs w:val="24"/>
          <w:lang w:eastAsia="en-US"/>
        </w:rPr>
        <w:t>8a)</w:t>
      </w:r>
      <w:r w:rsidR="008A5B47" w:rsidRPr="00393250">
        <w:rPr>
          <w:szCs w:val="24"/>
          <w:lang w:eastAsia="en-US"/>
        </w:rPr>
        <w:tab/>
      </w:r>
      <w:r w:rsidR="008A5B47" w:rsidRPr="00393250">
        <w:rPr>
          <w:b/>
          <w:i/>
          <w:szCs w:val="24"/>
          <w:lang w:eastAsia="en-US"/>
        </w:rPr>
        <w:t>Artikel 11, stk. 5, led 2, affattes således:</w:t>
      </w:r>
    </w:p>
    <w:p w14:paraId="014B6DD9" w14:textId="02CE1D4B" w:rsidR="008A5B47" w:rsidRPr="00393250" w:rsidRDefault="00841015" w:rsidP="008A5B47">
      <w:pPr>
        <w:spacing w:before="120" w:after="120" w:line="360" w:lineRule="auto"/>
        <w:ind w:left="1416" w:hanging="566"/>
        <w:rPr>
          <w:b/>
          <w:szCs w:val="24"/>
          <w:lang w:eastAsia="en-US"/>
        </w:rPr>
      </w:pPr>
      <w:r w:rsidRPr="00393250">
        <w:rPr>
          <w:b/>
          <w:i/>
          <w:szCs w:val="24"/>
          <w:lang w:eastAsia="en-US"/>
        </w:rPr>
        <w:t>"</w:t>
      </w:r>
      <w:r w:rsidR="008A5B47" w:rsidRPr="00393250">
        <w:rPr>
          <w:b/>
          <w:i/>
          <w:szCs w:val="24"/>
          <w:lang w:eastAsia="en-US"/>
        </w:rPr>
        <w:t>-</w:t>
      </w:r>
      <w:r w:rsidR="008A5B47" w:rsidRPr="00393250">
        <w:rPr>
          <w:szCs w:val="24"/>
          <w:lang w:eastAsia="en-US"/>
        </w:rPr>
        <w:tab/>
      </w:r>
      <w:r w:rsidR="008A5B47" w:rsidRPr="00393250">
        <w:rPr>
          <w:b/>
          <w:i/>
          <w:szCs w:val="24"/>
          <w:lang w:eastAsia="en-US"/>
        </w:rPr>
        <w:t>at relevante tilladelser og godkendelser undersøges og eventuelt revideres og i behørigt begrundede tilfælde suspenderes"</w:t>
      </w:r>
      <w:r w:rsidRPr="00393250">
        <w:rPr>
          <w:b/>
          <w:szCs w:val="24"/>
          <w:lang w:eastAsia="en-US"/>
        </w:rPr>
        <w:t xml:space="preserve"> [Ændring 69]</w:t>
      </w:r>
    </w:p>
    <w:p w14:paraId="038A5672" w14:textId="77777777" w:rsidR="00841015" w:rsidRPr="00393250" w:rsidRDefault="00841015">
      <w:pPr>
        <w:widowControl/>
        <w:rPr>
          <w:szCs w:val="24"/>
          <w:lang w:eastAsia="en-US"/>
        </w:rPr>
      </w:pPr>
      <w:r w:rsidRPr="00393250">
        <w:rPr>
          <w:szCs w:val="24"/>
          <w:lang w:eastAsia="en-US"/>
        </w:rPr>
        <w:br w:type="page"/>
      </w:r>
    </w:p>
    <w:p w14:paraId="45C1D49B" w14:textId="38467F31"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(9)</w:t>
      </w:r>
      <w:r w:rsidRPr="00393250">
        <w:rPr>
          <w:szCs w:val="24"/>
          <w:lang w:eastAsia="en-US"/>
        </w:rPr>
        <w:tab/>
        <w:t>Artikel 12 affattes således:</w:t>
      </w:r>
    </w:p>
    <w:p w14:paraId="38060FAF" w14:textId="77777777" w:rsidR="008A5B47" w:rsidRPr="00393250" w:rsidRDefault="008A5B47" w:rsidP="008A5B47">
      <w:pPr>
        <w:spacing w:before="120" w:after="120" w:line="360" w:lineRule="auto"/>
        <w:ind w:left="850"/>
        <w:rPr>
          <w:szCs w:val="24"/>
          <w:lang w:eastAsia="en-US"/>
        </w:rPr>
      </w:pPr>
      <w:r w:rsidRPr="00393250">
        <w:rPr>
          <w:szCs w:val="24"/>
          <w:lang w:eastAsia="en-US"/>
        </w:rPr>
        <w:t>"Artikel 12</w:t>
      </w:r>
    </w:p>
    <w:p w14:paraId="5B94758E" w14:textId="188ED492" w:rsidR="008A5B47" w:rsidRPr="00393250" w:rsidRDefault="008A5B47" w:rsidP="008A5B47">
      <w:pPr>
        <w:spacing w:before="120" w:after="120" w:line="360" w:lineRule="auto"/>
        <w:ind w:left="850"/>
        <w:rPr>
          <w:szCs w:val="24"/>
          <w:lang w:eastAsia="en-US"/>
        </w:rPr>
      </w:pPr>
      <w:r w:rsidRPr="00393250">
        <w:rPr>
          <w:szCs w:val="24"/>
          <w:lang w:eastAsia="en-US"/>
        </w:rPr>
        <w:t>Problemer, der ikke kan løses på medlemsstatsniveau</w:t>
      </w:r>
    </w:p>
    <w:p w14:paraId="696E9F47"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1.</w:t>
      </w:r>
      <w:r w:rsidRPr="00393250">
        <w:rPr>
          <w:szCs w:val="24"/>
          <w:lang w:eastAsia="en-US"/>
        </w:rPr>
        <w:tab/>
        <w:t>Hvis en medlemsstat støder på et problem, der har indvirkning på forvaltningen af dens vand, men som den ikke selv kan løse, underretter den Kommissionen og enhver anden berørt medlemsstat og fremlægger anbefalinger vedrørende løsning af problemet.</w:t>
      </w:r>
    </w:p>
    <w:p w14:paraId="53E146B3" w14:textId="1000E260" w:rsidR="008A5B47" w:rsidRPr="00393250" w:rsidRDefault="008A5B47" w:rsidP="008A5B47">
      <w:pPr>
        <w:spacing w:before="120" w:after="120" w:line="360" w:lineRule="auto"/>
        <w:ind w:left="1416"/>
        <w:rPr>
          <w:b/>
          <w:szCs w:val="24"/>
          <w:lang w:eastAsia="en-US"/>
        </w:rPr>
      </w:pPr>
      <w:r w:rsidRPr="00393250">
        <w:rPr>
          <w:b/>
          <w:i/>
          <w:szCs w:val="24"/>
          <w:lang w:eastAsia="en-US"/>
        </w:rPr>
        <w:t>Kommissionen besvarer alle meddelelser fra en medlemsstat inden for seks måneder. Hvis problemet vedrører manglende opnåelse af god kemisk tilstand, handler Kommissionen i overensstemmelse med artikel 7a i direktiv 2008/105/EF.</w:t>
      </w:r>
      <w:r w:rsidR="00C40669" w:rsidRPr="00393250">
        <w:rPr>
          <w:b/>
          <w:szCs w:val="24"/>
          <w:lang w:eastAsia="en-US"/>
        </w:rPr>
        <w:t xml:space="preserve"> [Ændring 70]</w:t>
      </w:r>
    </w:p>
    <w:p w14:paraId="04622E0D"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2.</w:t>
      </w:r>
      <w:r w:rsidRPr="00393250">
        <w:rPr>
          <w:szCs w:val="24"/>
          <w:lang w:eastAsia="en-US"/>
        </w:rPr>
        <w:tab/>
        <w:t>De berørte medlemsstater samarbejder om at identificere kilderne til de problemer, der er omhandlet i stk. 1, og de foranstaltninger, der er nødvendige for at løse disse problemer.</w:t>
      </w:r>
    </w:p>
    <w:p w14:paraId="50FFA480" w14:textId="77777777" w:rsidR="00C40669" w:rsidRPr="00393250" w:rsidRDefault="00C40669">
      <w:pPr>
        <w:widowControl/>
        <w:rPr>
          <w:szCs w:val="24"/>
          <w:lang w:eastAsia="en-US"/>
        </w:rPr>
      </w:pPr>
      <w:r w:rsidRPr="00393250">
        <w:rPr>
          <w:szCs w:val="24"/>
          <w:lang w:eastAsia="en-US"/>
        </w:rPr>
        <w:br w:type="page"/>
      </w:r>
    </w:p>
    <w:p w14:paraId="458D6736" w14:textId="26A0159D" w:rsidR="008A5B47" w:rsidRPr="00393250" w:rsidRDefault="008A5B47" w:rsidP="008A5B47">
      <w:pPr>
        <w:spacing w:before="120" w:after="120" w:line="360" w:lineRule="auto"/>
        <w:ind w:left="1416"/>
        <w:rPr>
          <w:b/>
          <w:szCs w:val="24"/>
          <w:lang w:eastAsia="en-US"/>
        </w:rPr>
      </w:pPr>
      <w:r w:rsidRPr="00393250">
        <w:rPr>
          <w:szCs w:val="24"/>
          <w:lang w:eastAsia="en-US"/>
        </w:rPr>
        <w:lastRenderedPageBreak/>
        <w:t xml:space="preserve">Medlemsstaterne reagerer rettidigt og senest </w:t>
      </w:r>
      <w:r w:rsidRPr="00393250">
        <w:rPr>
          <w:strike/>
          <w:szCs w:val="24"/>
          <w:lang w:eastAsia="en-US"/>
        </w:rPr>
        <w:t>tre</w:t>
      </w:r>
      <w:r w:rsidRPr="00393250">
        <w:rPr>
          <w:b/>
          <w:i/>
          <w:szCs w:val="24"/>
          <w:lang w:eastAsia="en-US"/>
        </w:rPr>
        <w:t>to</w:t>
      </w:r>
      <w:r w:rsidRPr="00393250">
        <w:rPr>
          <w:szCs w:val="24"/>
          <w:lang w:eastAsia="en-US"/>
        </w:rPr>
        <w:t xml:space="preserve"> måneder efter underretningen fra en anden medlemsstat i overensstemmelse med stk. 1.</w:t>
      </w:r>
      <w:r w:rsidR="00C40669" w:rsidRPr="00393250">
        <w:rPr>
          <w:b/>
          <w:szCs w:val="24"/>
          <w:lang w:eastAsia="en-US"/>
        </w:rPr>
        <w:t xml:space="preserve"> [Ændring 71]</w:t>
      </w:r>
    </w:p>
    <w:p w14:paraId="5CBD6F30"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3.</w:t>
      </w:r>
      <w:r w:rsidRPr="00393250">
        <w:rPr>
          <w:szCs w:val="24"/>
          <w:lang w:eastAsia="en-US"/>
        </w:rPr>
        <w:tab/>
        <w:t>Kommissionen underrettes og opfordres til at deltage og bistå i det samarbejde, der er omhandlet i stk. 2. Hvor det er relevant, overvejer Kommissionen under hensyntagen til de rapporter, der udarbejdes i henhold til artikel 13, om der skal træffes yderligere foranstaltninger på EU-plan for at reducere de grænseoverskridende virkninger på vandområder."</w:t>
      </w:r>
    </w:p>
    <w:p w14:paraId="6A5F65D8" w14:textId="634B16FA" w:rsidR="008A5B47" w:rsidRPr="00393250" w:rsidRDefault="006B5D95" w:rsidP="008A5B47">
      <w:pPr>
        <w:spacing w:before="120" w:after="120" w:line="360" w:lineRule="auto"/>
        <w:ind w:left="850" w:hanging="850"/>
        <w:rPr>
          <w:szCs w:val="24"/>
          <w:lang w:eastAsia="en-US"/>
        </w:rPr>
      </w:pPr>
      <w:r w:rsidRPr="00393250">
        <w:rPr>
          <w:b/>
          <w:i/>
          <w:szCs w:val="24"/>
          <w:lang w:eastAsia="en-US"/>
        </w:rPr>
        <w:t>(</w:t>
      </w:r>
      <w:r w:rsidR="008A5B47" w:rsidRPr="00393250">
        <w:rPr>
          <w:b/>
          <w:i/>
          <w:szCs w:val="24"/>
          <w:lang w:eastAsia="en-US"/>
        </w:rPr>
        <w:t>9a)</w:t>
      </w:r>
      <w:r w:rsidR="008A5B47" w:rsidRPr="00393250">
        <w:rPr>
          <w:szCs w:val="24"/>
          <w:lang w:eastAsia="en-US"/>
        </w:rPr>
        <w:tab/>
      </w:r>
      <w:r w:rsidR="008A5B47" w:rsidRPr="00393250">
        <w:rPr>
          <w:b/>
          <w:i/>
          <w:szCs w:val="24"/>
          <w:lang w:eastAsia="en-US"/>
        </w:rPr>
        <w:t>I artikel 13 indsættes følgende stykke:</w:t>
      </w:r>
    </w:p>
    <w:p w14:paraId="68D2EE67" w14:textId="695A343C" w:rsidR="008A5B47" w:rsidRPr="00393250" w:rsidRDefault="006B5D95" w:rsidP="008A5B47">
      <w:pPr>
        <w:spacing w:before="120" w:after="120" w:line="360" w:lineRule="auto"/>
        <w:ind w:left="1416" w:hanging="566"/>
        <w:rPr>
          <w:b/>
          <w:szCs w:val="24"/>
          <w:lang w:eastAsia="en-US"/>
        </w:rPr>
      </w:pPr>
      <w:r w:rsidRPr="00393250">
        <w:rPr>
          <w:b/>
          <w:i/>
          <w:szCs w:val="24"/>
          <w:lang w:eastAsia="en-US"/>
        </w:rPr>
        <w:t>"</w:t>
      </w:r>
      <w:r w:rsidR="008A5B47" w:rsidRPr="00393250">
        <w:rPr>
          <w:b/>
          <w:i/>
          <w:szCs w:val="24"/>
          <w:lang w:eastAsia="en-US"/>
        </w:rPr>
        <w:t>4a.</w:t>
      </w:r>
      <w:r w:rsidR="008A5B47" w:rsidRPr="00393250">
        <w:rPr>
          <w:szCs w:val="24"/>
          <w:lang w:eastAsia="en-US"/>
        </w:rPr>
        <w:tab/>
      </w:r>
      <w:r w:rsidR="008A5B47" w:rsidRPr="00393250">
        <w:rPr>
          <w:b/>
          <w:i/>
          <w:szCs w:val="24"/>
          <w:lang w:eastAsia="en-US"/>
        </w:rPr>
        <w:t>Kommissionen forkaster vandområdeplaner, som fremlægges af medlemsstater, når disse planer ikke omfatter elementerne i bilag VII."</w:t>
      </w:r>
      <w:r w:rsidRPr="00393250">
        <w:rPr>
          <w:b/>
          <w:szCs w:val="24"/>
          <w:lang w:eastAsia="en-US"/>
        </w:rPr>
        <w:t xml:space="preserve"> [Ændring 72]</w:t>
      </w:r>
    </w:p>
    <w:p w14:paraId="5245680D" w14:textId="77777777" w:rsidR="006B5D95" w:rsidRPr="00393250" w:rsidRDefault="006B5D95">
      <w:pPr>
        <w:widowControl/>
        <w:rPr>
          <w:b/>
          <w:i/>
          <w:szCs w:val="24"/>
          <w:lang w:eastAsia="en-US"/>
        </w:rPr>
      </w:pPr>
      <w:r w:rsidRPr="00393250">
        <w:rPr>
          <w:b/>
          <w:i/>
          <w:szCs w:val="24"/>
          <w:lang w:eastAsia="en-US"/>
        </w:rPr>
        <w:br w:type="page"/>
      </w:r>
    </w:p>
    <w:p w14:paraId="7F10C493" w14:textId="4492E419" w:rsidR="008A5B47" w:rsidRPr="00393250" w:rsidRDefault="006B5D95" w:rsidP="008A5B47">
      <w:pPr>
        <w:spacing w:before="120" w:after="120" w:line="360" w:lineRule="auto"/>
        <w:ind w:left="850" w:hanging="850"/>
        <w:rPr>
          <w:szCs w:val="24"/>
          <w:lang w:eastAsia="en-US"/>
        </w:rPr>
      </w:pPr>
      <w:r w:rsidRPr="00393250">
        <w:rPr>
          <w:b/>
          <w:i/>
          <w:szCs w:val="24"/>
          <w:lang w:eastAsia="en-US"/>
        </w:rPr>
        <w:lastRenderedPageBreak/>
        <w:t>(</w:t>
      </w:r>
      <w:r w:rsidR="008A5B47" w:rsidRPr="00393250">
        <w:rPr>
          <w:b/>
          <w:i/>
          <w:szCs w:val="24"/>
          <w:lang w:eastAsia="en-US"/>
        </w:rPr>
        <w:t>9b)</w:t>
      </w:r>
      <w:r w:rsidR="008A5B47" w:rsidRPr="00393250">
        <w:rPr>
          <w:szCs w:val="24"/>
          <w:lang w:eastAsia="en-US"/>
        </w:rPr>
        <w:tab/>
      </w:r>
      <w:r w:rsidR="008A5B47" w:rsidRPr="00393250">
        <w:rPr>
          <w:b/>
          <w:i/>
          <w:szCs w:val="24"/>
          <w:lang w:eastAsia="en-US"/>
        </w:rPr>
        <w:t>Følgende artikel indsættes:</w:t>
      </w:r>
    </w:p>
    <w:p w14:paraId="41522F77" w14:textId="705948F2" w:rsidR="008A5B47" w:rsidRPr="00393250" w:rsidRDefault="006B5D95" w:rsidP="008A5B47">
      <w:pPr>
        <w:spacing w:before="120" w:after="120" w:line="360" w:lineRule="auto"/>
        <w:ind w:left="850"/>
        <w:rPr>
          <w:szCs w:val="24"/>
          <w:lang w:eastAsia="en-US"/>
        </w:rPr>
      </w:pPr>
      <w:r w:rsidRPr="00393250">
        <w:rPr>
          <w:b/>
          <w:i/>
          <w:szCs w:val="24"/>
          <w:lang w:eastAsia="en-US"/>
        </w:rPr>
        <w:t>"Artikel</w:t>
      </w:r>
      <w:r w:rsidR="008A5B47" w:rsidRPr="00393250">
        <w:rPr>
          <w:b/>
          <w:i/>
          <w:szCs w:val="24"/>
          <w:lang w:eastAsia="en-US"/>
        </w:rPr>
        <w:t xml:space="preserve"> 14a</w:t>
      </w:r>
      <w:r w:rsidR="008A5B47" w:rsidRPr="00393250">
        <w:rPr>
          <w:szCs w:val="24"/>
          <w:lang w:eastAsia="en-US"/>
        </w:rPr>
        <w:br/>
      </w:r>
      <w:r w:rsidR="008A5B47" w:rsidRPr="00393250">
        <w:rPr>
          <w:b/>
          <w:i/>
          <w:szCs w:val="24"/>
          <w:lang w:eastAsia="en-US"/>
        </w:rPr>
        <w:t>Adgang til klage og domstolsprøvelse</w:t>
      </w:r>
    </w:p>
    <w:p w14:paraId="08F3D003" w14:textId="77777777" w:rsidR="008A5B47" w:rsidRPr="00393250" w:rsidRDefault="008A5B47" w:rsidP="008A5B47">
      <w:pPr>
        <w:spacing w:before="120" w:after="120" w:line="360" w:lineRule="auto"/>
        <w:ind w:left="1416" w:hanging="566"/>
        <w:rPr>
          <w:szCs w:val="24"/>
          <w:lang w:eastAsia="en-US"/>
        </w:rPr>
      </w:pPr>
      <w:r w:rsidRPr="00393250">
        <w:rPr>
          <w:b/>
          <w:i/>
          <w:szCs w:val="24"/>
          <w:lang w:eastAsia="en-US"/>
        </w:rPr>
        <w:t>1.</w:t>
      </w:r>
      <w:r w:rsidRPr="00393250">
        <w:rPr>
          <w:szCs w:val="24"/>
          <w:lang w:eastAsia="en-US"/>
        </w:rPr>
        <w:tab/>
      </w:r>
      <w:r w:rsidRPr="00393250">
        <w:rPr>
          <w:b/>
          <w:i/>
          <w:szCs w:val="24"/>
          <w:lang w:eastAsia="en-US"/>
        </w:rPr>
        <w:t>Medlemsstaterne sikrer, at offentligheden – i overensstemmelse med national ret – som har en tilstrækkelig interesse i, eller som gør gældende, at en rettighed er blevet krænket, ved en domstol eller et andet uafhængigt og upartisk organ, der er oprettet ved lov, har adgang til at få prøvet den materielle eller processuelle lovlighed af alle afgørelser, handlinger eller undladelser i henhold til dette direktiv, bl.a.:</w:t>
      </w:r>
    </w:p>
    <w:p w14:paraId="0C7FA629" w14:textId="77777777" w:rsidR="008A5B47" w:rsidRPr="00393250" w:rsidRDefault="008A5B47" w:rsidP="008A5B47">
      <w:pPr>
        <w:spacing w:before="120" w:after="120" w:line="360" w:lineRule="auto"/>
        <w:ind w:left="1982" w:hanging="566"/>
        <w:rPr>
          <w:szCs w:val="24"/>
          <w:lang w:eastAsia="en-US"/>
        </w:rPr>
      </w:pPr>
      <w:r w:rsidRPr="00393250">
        <w:rPr>
          <w:b/>
          <w:i/>
          <w:szCs w:val="24"/>
          <w:lang w:eastAsia="en-US"/>
        </w:rPr>
        <w:t>a)</w:t>
      </w:r>
      <w:r w:rsidRPr="00393250">
        <w:rPr>
          <w:szCs w:val="24"/>
          <w:lang w:eastAsia="en-US"/>
        </w:rPr>
        <w:tab/>
      </w:r>
      <w:r w:rsidRPr="00393250">
        <w:rPr>
          <w:b/>
          <w:i/>
          <w:szCs w:val="24"/>
          <w:lang w:eastAsia="en-US"/>
        </w:rPr>
        <w:t>planer og projekter, som kan være i strid med kravene i artikel 4, herunder for at forhindre en forringelse af vandområdernes tilstand og for at opnå en god vandtilstand, et godt økologisk potentiale og/eller en god kemisk tilstand for vand, i det omfang disse krav ikke allerede er fastsat i artikel 11 i direktiv 2011/92/EU</w:t>
      </w:r>
    </w:p>
    <w:p w14:paraId="0FF46B48" w14:textId="77777777" w:rsidR="006B5D95" w:rsidRPr="00393250" w:rsidRDefault="006B5D95">
      <w:pPr>
        <w:widowControl/>
        <w:rPr>
          <w:b/>
          <w:i/>
          <w:szCs w:val="24"/>
          <w:lang w:eastAsia="en-US"/>
        </w:rPr>
      </w:pPr>
      <w:r w:rsidRPr="00393250">
        <w:rPr>
          <w:b/>
          <w:i/>
          <w:szCs w:val="24"/>
          <w:lang w:eastAsia="en-US"/>
        </w:rPr>
        <w:br w:type="page"/>
      </w:r>
    </w:p>
    <w:p w14:paraId="181626AC" w14:textId="4BB593D0" w:rsidR="008A5B47" w:rsidRPr="00393250" w:rsidRDefault="008A5B47" w:rsidP="008A5B47">
      <w:pPr>
        <w:spacing w:before="120" w:after="120" w:line="360" w:lineRule="auto"/>
        <w:ind w:left="1982" w:hanging="566"/>
        <w:rPr>
          <w:szCs w:val="24"/>
          <w:lang w:eastAsia="en-US"/>
        </w:rPr>
      </w:pPr>
      <w:r w:rsidRPr="00393250">
        <w:rPr>
          <w:b/>
          <w:i/>
          <w:szCs w:val="24"/>
          <w:lang w:eastAsia="en-US"/>
        </w:rPr>
        <w:lastRenderedPageBreak/>
        <w:t>b)</w:t>
      </w:r>
      <w:r w:rsidRPr="00393250">
        <w:rPr>
          <w:szCs w:val="24"/>
          <w:lang w:eastAsia="en-US"/>
        </w:rPr>
        <w:tab/>
      </w:r>
      <w:r w:rsidRPr="00393250">
        <w:rPr>
          <w:b/>
          <w:i/>
          <w:szCs w:val="24"/>
          <w:lang w:eastAsia="en-US"/>
        </w:rPr>
        <w:t>indsatsprogrammer, der er omhandlet i artikel 11, medlemsstaternes vandområdeplaner, der er omhandlet i artikel 13, stk. 1, og medlemsstaternes supplerende programmer eller områdeplaner, der er omhandlet i artikel 13, stk. 5.</w:t>
      </w:r>
    </w:p>
    <w:p w14:paraId="24D65BAB" w14:textId="77777777" w:rsidR="008A5B47" w:rsidRPr="00393250" w:rsidRDefault="008A5B47" w:rsidP="008A5B47">
      <w:pPr>
        <w:spacing w:before="120" w:after="120" w:line="360" w:lineRule="auto"/>
        <w:ind w:left="1416" w:hanging="566"/>
        <w:rPr>
          <w:szCs w:val="24"/>
          <w:lang w:eastAsia="en-US"/>
        </w:rPr>
      </w:pPr>
      <w:r w:rsidRPr="00393250">
        <w:rPr>
          <w:b/>
          <w:i/>
          <w:szCs w:val="24"/>
          <w:lang w:eastAsia="en-US"/>
        </w:rPr>
        <w:t>2.</w:t>
      </w:r>
      <w:r w:rsidRPr="00393250">
        <w:rPr>
          <w:szCs w:val="24"/>
          <w:lang w:eastAsia="en-US"/>
        </w:rPr>
        <w:tab/>
      </w:r>
      <w:r w:rsidRPr="00393250">
        <w:rPr>
          <w:b/>
          <w:i/>
          <w:szCs w:val="24"/>
          <w:lang w:eastAsia="en-US"/>
        </w:rPr>
        <w:t>Medlemsstaterne fastlægger, hvad der udgør en tilstrækkelig interesse og krænkelse af en rettighed, på en måde, der er i overensstemmelse med målet om at give offentligheden bred adgang til klage og domstolsprøvelse. Med henblik på stk. 1 anses enhver ikkestatslig organisation, der fremmer miljøbeskyttelse, og som opfylder de relevante krav i henhold til national ret, for at have rettigheder, der kan krænkes, og dens interesser anses for tilstrækkelige.</w:t>
      </w:r>
    </w:p>
    <w:p w14:paraId="4E877807" w14:textId="77777777" w:rsidR="008A5B47" w:rsidRPr="00393250" w:rsidRDefault="008A5B47" w:rsidP="008A5B47">
      <w:pPr>
        <w:spacing w:before="120" w:after="120" w:line="360" w:lineRule="auto"/>
        <w:ind w:left="1416" w:hanging="566"/>
        <w:rPr>
          <w:szCs w:val="24"/>
          <w:lang w:eastAsia="en-US"/>
        </w:rPr>
      </w:pPr>
      <w:r w:rsidRPr="00393250">
        <w:rPr>
          <w:b/>
          <w:i/>
          <w:szCs w:val="24"/>
          <w:lang w:eastAsia="en-US"/>
        </w:rPr>
        <w:t>3.</w:t>
      </w:r>
      <w:r w:rsidRPr="00393250">
        <w:rPr>
          <w:szCs w:val="24"/>
          <w:lang w:eastAsia="en-US"/>
        </w:rPr>
        <w:tab/>
      </w:r>
      <w:r w:rsidRPr="00393250">
        <w:rPr>
          <w:b/>
          <w:i/>
          <w:szCs w:val="24"/>
          <w:lang w:eastAsia="en-US"/>
        </w:rPr>
        <w:t>De klageprocedurer, der er omhandlet i stk. 1, skal være rimelige og afsluttes rettidigt og må ikke være uoverkommeligt dyre. Disse procedurer skal også omfatte tilvejebringelse af passende og effektive retsmidler, herunder foreløbige retsmidler, hvor det er relevant.</w:t>
      </w:r>
    </w:p>
    <w:p w14:paraId="3E7E8063" w14:textId="77777777" w:rsidR="006B5D95" w:rsidRPr="00393250" w:rsidRDefault="006B5D95">
      <w:pPr>
        <w:widowControl/>
        <w:rPr>
          <w:b/>
          <w:i/>
          <w:szCs w:val="24"/>
          <w:lang w:eastAsia="en-US"/>
        </w:rPr>
      </w:pPr>
      <w:r w:rsidRPr="00393250">
        <w:rPr>
          <w:b/>
          <w:i/>
          <w:szCs w:val="24"/>
          <w:lang w:eastAsia="en-US"/>
        </w:rPr>
        <w:br w:type="page"/>
      </w:r>
    </w:p>
    <w:p w14:paraId="3E147444" w14:textId="52E46F67" w:rsidR="008A5B47" w:rsidRPr="00393250" w:rsidRDefault="008A5B47" w:rsidP="008A5B47">
      <w:pPr>
        <w:spacing w:before="120" w:after="120" w:line="360" w:lineRule="auto"/>
        <w:ind w:left="1416" w:hanging="566"/>
        <w:rPr>
          <w:b/>
          <w:szCs w:val="24"/>
          <w:lang w:eastAsia="en-US"/>
        </w:rPr>
      </w:pPr>
      <w:r w:rsidRPr="00393250">
        <w:rPr>
          <w:b/>
          <w:i/>
          <w:szCs w:val="24"/>
          <w:lang w:eastAsia="en-US"/>
        </w:rPr>
        <w:lastRenderedPageBreak/>
        <w:t>4.</w:t>
      </w:r>
      <w:r w:rsidRPr="00393250">
        <w:rPr>
          <w:szCs w:val="24"/>
          <w:lang w:eastAsia="en-US"/>
        </w:rPr>
        <w:tab/>
      </w:r>
      <w:r w:rsidRPr="00393250">
        <w:rPr>
          <w:b/>
          <w:i/>
          <w:szCs w:val="24"/>
          <w:lang w:eastAsia="en-US"/>
        </w:rPr>
        <w:t>Medlemsstaterne sikrer, at der stilles praktiske oplysninger til rådighed for offentligheden om den adgang til klage og domstolsprøvelse, der er omhandlet i denne artikel."</w:t>
      </w:r>
      <w:r w:rsidR="006B5D95" w:rsidRPr="00393250">
        <w:rPr>
          <w:b/>
          <w:szCs w:val="24"/>
          <w:lang w:eastAsia="en-US"/>
        </w:rPr>
        <w:t xml:space="preserve"> [Ændring 73]</w:t>
      </w:r>
    </w:p>
    <w:p w14:paraId="31BD38BC" w14:textId="16FC8BEF" w:rsidR="008A5B47" w:rsidRPr="00393250" w:rsidRDefault="008A5B47" w:rsidP="008A5B47">
      <w:pPr>
        <w:spacing w:before="120" w:after="120" w:line="360" w:lineRule="auto"/>
        <w:ind w:left="850" w:hanging="850"/>
        <w:rPr>
          <w:b/>
          <w:szCs w:val="24"/>
          <w:lang w:eastAsia="en-US"/>
        </w:rPr>
      </w:pPr>
      <w:r w:rsidRPr="00393250">
        <w:rPr>
          <w:strike/>
          <w:szCs w:val="24"/>
          <w:lang w:eastAsia="en-US"/>
        </w:rPr>
        <w:t>(10)</w:t>
      </w:r>
      <w:r w:rsidRPr="00393250">
        <w:rPr>
          <w:szCs w:val="24"/>
          <w:lang w:eastAsia="en-US"/>
        </w:rPr>
        <w:tab/>
      </w:r>
      <w:r w:rsidRPr="00393250">
        <w:rPr>
          <w:strike/>
          <w:szCs w:val="24"/>
          <w:lang w:eastAsia="en-US"/>
        </w:rPr>
        <w:t>I artikel 15 udgår stk. 3.</w:t>
      </w:r>
      <w:r w:rsidR="006B5D95" w:rsidRPr="00393250">
        <w:rPr>
          <w:b/>
          <w:szCs w:val="24"/>
          <w:lang w:eastAsia="en-US"/>
        </w:rPr>
        <w:t xml:space="preserve"> [Ændring 74]</w:t>
      </w:r>
    </w:p>
    <w:p w14:paraId="43364A94" w14:textId="71910D30" w:rsidR="008A5B47" w:rsidRPr="00393250" w:rsidRDefault="006B5D95" w:rsidP="008A5B47">
      <w:pPr>
        <w:spacing w:before="120" w:after="120" w:line="360" w:lineRule="auto"/>
        <w:ind w:left="850" w:hanging="850"/>
        <w:rPr>
          <w:szCs w:val="24"/>
          <w:lang w:eastAsia="en-US"/>
        </w:rPr>
      </w:pPr>
      <w:r w:rsidRPr="00393250">
        <w:rPr>
          <w:b/>
          <w:i/>
          <w:szCs w:val="24"/>
          <w:lang w:eastAsia="en-US"/>
        </w:rPr>
        <w:t>(</w:t>
      </w:r>
      <w:r w:rsidR="008A5B47" w:rsidRPr="00393250">
        <w:rPr>
          <w:b/>
          <w:i/>
          <w:szCs w:val="24"/>
          <w:lang w:eastAsia="en-US"/>
        </w:rPr>
        <w:t>10a)</w:t>
      </w:r>
      <w:r w:rsidR="008A5B47" w:rsidRPr="00393250">
        <w:rPr>
          <w:szCs w:val="24"/>
          <w:lang w:eastAsia="en-US"/>
        </w:rPr>
        <w:tab/>
      </w:r>
      <w:r w:rsidR="008A5B47" w:rsidRPr="00393250">
        <w:rPr>
          <w:b/>
          <w:i/>
          <w:szCs w:val="24"/>
          <w:lang w:eastAsia="en-US"/>
        </w:rPr>
        <w:t>I artikel 15, stk. 3, indsættes følgende afsnit:</w:t>
      </w:r>
    </w:p>
    <w:p w14:paraId="14D7F825" w14:textId="126671E1" w:rsidR="008A5B47" w:rsidRPr="00393250" w:rsidRDefault="006B5D95" w:rsidP="008A5B47">
      <w:pPr>
        <w:spacing w:before="120" w:after="120" w:line="360" w:lineRule="auto"/>
        <w:ind w:left="850"/>
        <w:rPr>
          <w:b/>
          <w:szCs w:val="24"/>
          <w:lang w:eastAsia="en-US"/>
        </w:rPr>
      </w:pPr>
      <w:r w:rsidRPr="00393250">
        <w:rPr>
          <w:b/>
          <w:i/>
          <w:szCs w:val="24"/>
          <w:lang w:eastAsia="en-US"/>
        </w:rPr>
        <w:t>"</w:t>
      </w:r>
      <w:r w:rsidR="008A5B47" w:rsidRPr="00393250">
        <w:rPr>
          <w:b/>
          <w:i/>
          <w:szCs w:val="24"/>
          <w:lang w:eastAsia="en-US"/>
        </w:rPr>
        <w:t>Kommissionen vedtager retningslinjer og skabeloner vedrørende indholdet, strukturen og formatet af de statusrapporter, der er omhandlet i første afsnit, senest den ... [seks måneder efter dette direktivs ikrafttræden].</w:t>
      </w:r>
      <w:r w:rsidRPr="00393250">
        <w:rPr>
          <w:b/>
          <w:i/>
          <w:szCs w:val="24"/>
          <w:lang w:eastAsia="en-US"/>
        </w:rPr>
        <w:t>"</w:t>
      </w:r>
      <w:r w:rsidRPr="00393250">
        <w:rPr>
          <w:b/>
          <w:szCs w:val="24"/>
          <w:lang w:eastAsia="en-US"/>
        </w:rPr>
        <w:t xml:space="preserve"> [Ændring 75]</w:t>
      </w:r>
    </w:p>
    <w:p w14:paraId="3C5757E4"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(11)</w:t>
      </w:r>
      <w:r w:rsidRPr="00393250">
        <w:rPr>
          <w:szCs w:val="24"/>
          <w:lang w:eastAsia="en-US"/>
        </w:rPr>
        <w:tab/>
        <w:t>Artikel 16 og 17 udgår.</w:t>
      </w:r>
    </w:p>
    <w:p w14:paraId="7DD3A55C"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(12)</w:t>
      </w:r>
      <w:r w:rsidRPr="00393250">
        <w:rPr>
          <w:szCs w:val="24"/>
          <w:lang w:eastAsia="en-US"/>
        </w:rPr>
        <w:tab/>
        <w:t>I artikel 18 foretages følgende ændringer:</w:t>
      </w:r>
    </w:p>
    <w:p w14:paraId="3B7BAAF7" w14:textId="3A7D90CC" w:rsidR="008A5B47" w:rsidRPr="00393250" w:rsidRDefault="008A5B47" w:rsidP="008A5B47">
      <w:pPr>
        <w:spacing w:before="120" w:after="120" w:line="360" w:lineRule="auto"/>
        <w:ind w:left="1416" w:hanging="566"/>
        <w:rPr>
          <w:szCs w:val="24"/>
          <w:lang w:eastAsia="en-US"/>
        </w:rPr>
      </w:pPr>
      <w:r w:rsidRPr="00393250">
        <w:rPr>
          <w:szCs w:val="24"/>
          <w:lang w:eastAsia="en-US"/>
        </w:rPr>
        <w:t>a)</w:t>
      </w:r>
      <w:r w:rsidRPr="00393250">
        <w:rPr>
          <w:szCs w:val="24"/>
          <w:lang w:eastAsia="en-US"/>
        </w:rPr>
        <w:tab/>
        <w:t>Stk. 2, litra e), affattes således:</w:t>
      </w:r>
    </w:p>
    <w:p w14:paraId="125A98FB"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"e)</w:t>
      </w:r>
      <w:r w:rsidRPr="00393250">
        <w:rPr>
          <w:szCs w:val="24"/>
          <w:lang w:eastAsia="en-US"/>
        </w:rPr>
        <w:tab/>
        <w:t>et resumé af eventuelle forslag, kontrolforanstaltninger og strategier med henblik på at kontrollere kemisk forurening eller standse eller udfase farlige stoffer"</w:t>
      </w:r>
    </w:p>
    <w:p w14:paraId="38AB8118" w14:textId="7E28BEF1" w:rsidR="008A5B47" w:rsidRPr="00393250" w:rsidRDefault="008A5B47" w:rsidP="008A5B47">
      <w:pPr>
        <w:spacing w:before="120" w:after="120" w:line="360" w:lineRule="auto"/>
        <w:ind w:left="1416" w:hanging="566"/>
        <w:rPr>
          <w:b/>
          <w:szCs w:val="24"/>
          <w:lang w:eastAsia="en-US"/>
        </w:rPr>
      </w:pPr>
      <w:r w:rsidRPr="00393250">
        <w:rPr>
          <w:strike/>
          <w:szCs w:val="24"/>
          <w:lang w:eastAsia="en-US"/>
        </w:rPr>
        <w:t>b)</w:t>
      </w:r>
      <w:r w:rsidRPr="00393250">
        <w:rPr>
          <w:szCs w:val="24"/>
          <w:lang w:eastAsia="en-US"/>
        </w:rPr>
        <w:tab/>
      </w:r>
      <w:r w:rsidRPr="00393250">
        <w:rPr>
          <w:strike/>
          <w:szCs w:val="24"/>
          <w:lang w:eastAsia="en-US"/>
        </w:rPr>
        <w:t>Stk. 4 udgår.</w:t>
      </w:r>
      <w:r w:rsidR="006B5D95" w:rsidRPr="00393250">
        <w:rPr>
          <w:b/>
          <w:szCs w:val="24"/>
          <w:lang w:eastAsia="en-US"/>
        </w:rPr>
        <w:t xml:space="preserve"> [Ændring 76]</w:t>
      </w:r>
    </w:p>
    <w:p w14:paraId="2A43ECC0" w14:textId="77777777" w:rsidR="006B5D95" w:rsidRPr="00393250" w:rsidRDefault="006B5D95">
      <w:pPr>
        <w:widowControl/>
        <w:rPr>
          <w:szCs w:val="24"/>
          <w:lang w:eastAsia="en-US"/>
        </w:rPr>
      </w:pPr>
      <w:r w:rsidRPr="00393250">
        <w:rPr>
          <w:szCs w:val="24"/>
          <w:lang w:eastAsia="en-US"/>
        </w:rPr>
        <w:br w:type="page"/>
      </w:r>
    </w:p>
    <w:p w14:paraId="26843A21" w14:textId="3B258AA0"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(13)</w:t>
      </w:r>
      <w:r w:rsidRPr="00393250">
        <w:rPr>
          <w:szCs w:val="24"/>
          <w:lang w:eastAsia="en-US"/>
        </w:rPr>
        <w:tab/>
        <w:t>Artikel 20 affattes således:</w:t>
      </w:r>
    </w:p>
    <w:p w14:paraId="39B6D79C" w14:textId="77777777" w:rsidR="008A5B47" w:rsidRPr="00393250" w:rsidRDefault="008A5B47" w:rsidP="008A5B47">
      <w:pPr>
        <w:spacing w:before="120" w:after="120" w:line="360" w:lineRule="auto"/>
        <w:ind w:left="850"/>
        <w:rPr>
          <w:szCs w:val="24"/>
          <w:lang w:eastAsia="en-US"/>
        </w:rPr>
      </w:pPr>
      <w:r w:rsidRPr="00393250">
        <w:rPr>
          <w:szCs w:val="24"/>
          <w:lang w:eastAsia="en-US"/>
        </w:rPr>
        <w:t>"Artikel 20</w:t>
      </w:r>
    </w:p>
    <w:p w14:paraId="367A4A6C" w14:textId="77777777" w:rsidR="008A5B47" w:rsidRPr="00393250" w:rsidRDefault="008A5B47" w:rsidP="008A5B47">
      <w:pPr>
        <w:spacing w:before="120" w:after="120" w:line="360" w:lineRule="auto"/>
        <w:ind w:left="850"/>
        <w:rPr>
          <w:szCs w:val="24"/>
          <w:lang w:eastAsia="en-US"/>
        </w:rPr>
      </w:pPr>
      <w:r w:rsidRPr="00393250">
        <w:rPr>
          <w:szCs w:val="24"/>
          <w:lang w:eastAsia="en-US"/>
        </w:rPr>
        <w:t>Tekniske tilpasninger og gennemførelse af dette direktiv</w:t>
      </w:r>
    </w:p>
    <w:p w14:paraId="0C85E768"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1.</w:t>
      </w:r>
      <w:r w:rsidRPr="00393250">
        <w:rPr>
          <w:szCs w:val="24"/>
          <w:lang w:eastAsia="en-US"/>
        </w:rPr>
        <w:tab/>
        <w:t>Kommissionen tillægges beføjelser til at vedtage delegerede retsakter i overensstemmelse med artikel 20a med henblik på at ændre bilag I og III og punkt 1.3.6 i bilag V for at tilpasse oplysningskravene vedrørende kompetente myndigheder, indholdet af den økonomiske analyse og de valgte overvågningsstandarder til den videnskabelige og tekniske udvikling.</w:t>
      </w:r>
    </w:p>
    <w:p w14:paraId="080B2FEA"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2.</w:t>
      </w:r>
      <w:r w:rsidRPr="00393250">
        <w:rPr>
          <w:szCs w:val="24"/>
          <w:lang w:eastAsia="en-US"/>
        </w:rPr>
        <w:tab/>
        <w:t>Kommissionen tillægges beføjelser til at vedtage delegerede retsakter i overensstemmelse med artikel 20a med henblik på at supplere dette direktiv ved at fastsætte de værdier, der er fastsat for klassifikationerne i medlemsstaternes overvågningssystemer i overensstemmelse med interkalibreringsproceduren i bilag V, punkt 1.4.1.</w:t>
      </w:r>
    </w:p>
    <w:p w14:paraId="3039E127"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3.</w:t>
      </w:r>
      <w:r w:rsidRPr="00393250">
        <w:rPr>
          <w:szCs w:val="24"/>
          <w:lang w:eastAsia="en-US"/>
        </w:rPr>
        <w:tab/>
        <w:t>Kommissionen tillægges beføjelser til at vedtage gennemførelsesretsakter med henblik på at fastsætte de tekniske formater for indberetning af de data, der er omhandlet i artikel 8, stk. 4. Disse gennemførelsesretsakter vedtages efter undersøgelsesproceduren i artikel 21, stk. 2. Ved fastlæggelsen af disse formater bistås Kommissionen om nødvendigt af EEA."</w:t>
      </w:r>
    </w:p>
    <w:p w14:paraId="7EA96A5D" w14:textId="77777777" w:rsidR="00932CDE" w:rsidRPr="00393250" w:rsidRDefault="00932CDE">
      <w:pPr>
        <w:widowControl/>
        <w:rPr>
          <w:szCs w:val="24"/>
          <w:lang w:eastAsia="en-US"/>
        </w:rPr>
      </w:pPr>
      <w:r w:rsidRPr="00393250">
        <w:rPr>
          <w:szCs w:val="24"/>
          <w:lang w:eastAsia="en-US"/>
        </w:rPr>
        <w:br w:type="page"/>
      </w:r>
    </w:p>
    <w:p w14:paraId="377F5109" w14:textId="02A7E92F"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(14)</w:t>
      </w:r>
      <w:r w:rsidRPr="00393250">
        <w:rPr>
          <w:szCs w:val="24"/>
          <w:lang w:eastAsia="en-US"/>
        </w:rPr>
        <w:tab/>
        <w:t>Følgende indsættes som artikel 20a:</w:t>
      </w:r>
    </w:p>
    <w:p w14:paraId="2A54A521" w14:textId="77777777" w:rsidR="008A5B47" w:rsidRPr="00393250" w:rsidRDefault="008A5B47" w:rsidP="008A5B47">
      <w:pPr>
        <w:spacing w:before="120" w:after="120" w:line="360" w:lineRule="auto"/>
        <w:ind w:left="850"/>
        <w:rPr>
          <w:szCs w:val="24"/>
          <w:lang w:eastAsia="en-US"/>
        </w:rPr>
      </w:pPr>
      <w:r w:rsidRPr="00393250">
        <w:rPr>
          <w:szCs w:val="24"/>
          <w:lang w:eastAsia="en-US"/>
        </w:rPr>
        <w:t>"Artikel 20a</w:t>
      </w:r>
    </w:p>
    <w:p w14:paraId="0C4FBB2F" w14:textId="77777777" w:rsidR="008A5B47" w:rsidRPr="00393250" w:rsidRDefault="008A5B47" w:rsidP="008A5B47">
      <w:pPr>
        <w:spacing w:before="120" w:after="120" w:line="360" w:lineRule="auto"/>
        <w:ind w:left="850"/>
        <w:rPr>
          <w:szCs w:val="24"/>
          <w:lang w:eastAsia="en-US"/>
        </w:rPr>
      </w:pPr>
      <w:r w:rsidRPr="00393250">
        <w:rPr>
          <w:szCs w:val="24"/>
          <w:lang w:eastAsia="en-US"/>
        </w:rPr>
        <w:t>Udøvelse af delegerede beføjelser</w:t>
      </w:r>
    </w:p>
    <w:p w14:paraId="69CCA588"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1.</w:t>
      </w:r>
      <w:r w:rsidRPr="00393250">
        <w:rPr>
          <w:szCs w:val="24"/>
          <w:lang w:eastAsia="en-US"/>
        </w:rPr>
        <w:tab/>
        <w:t>Beføjelsen til at vedtage delegerede retsakter tillægges Kommissionen på de i denne artikel fastlagte betingelser.</w:t>
      </w:r>
    </w:p>
    <w:p w14:paraId="6AF739BB" w14:textId="2AE01172" w:rsidR="008A5B47" w:rsidRPr="00393250" w:rsidRDefault="008A5B47" w:rsidP="008A5B47">
      <w:pPr>
        <w:spacing w:before="120" w:after="120" w:line="360" w:lineRule="auto"/>
        <w:ind w:left="1416" w:hanging="566"/>
        <w:rPr>
          <w:szCs w:val="24"/>
          <w:lang w:eastAsia="en-US"/>
        </w:rPr>
      </w:pPr>
      <w:r w:rsidRPr="00393250">
        <w:rPr>
          <w:szCs w:val="24"/>
          <w:lang w:eastAsia="en-US"/>
        </w:rPr>
        <w:t>2.</w:t>
      </w:r>
      <w:r w:rsidRPr="00393250">
        <w:rPr>
          <w:szCs w:val="24"/>
          <w:lang w:eastAsia="en-US"/>
        </w:rPr>
        <w:tab/>
        <w:t>De beføjelser til at vedtage delegerede retsakter, der er omhandlet i artikel 20, stk. 1, tillægges Kommissionen på ubestemt tid fra den [</w:t>
      </w:r>
      <w:r w:rsidR="003C5218" w:rsidRPr="00393250">
        <w:rPr>
          <w:szCs w:val="24"/>
          <w:lang w:eastAsia="en-US"/>
        </w:rPr>
        <w:t>Publikationskontoret: Indsæt dato for dette direktivs ikrafttræden</w:t>
      </w:r>
      <w:r w:rsidRPr="00393250">
        <w:rPr>
          <w:szCs w:val="24"/>
          <w:lang w:eastAsia="en-US"/>
        </w:rPr>
        <w:t>].</w:t>
      </w:r>
    </w:p>
    <w:p w14:paraId="296EA748"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3.</w:t>
      </w:r>
      <w:r w:rsidRPr="00393250">
        <w:rPr>
          <w:szCs w:val="24"/>
          <w:lang w:eastAsia="en-US"/>
        </w:rPr>
        <w:tab/>
        <w:t xml:space="preserve">Den i artikel 20, stk. 1, omhandlede delegation af beføjelser kan til enhver tid tilbagekaldes af Europa-Parlamentet og Rådet. En afgørelse om tilbagekaldelse bringer delegationen af de beføjelser, der er angivet i den pågældende afgørelse, til ophør. Den får virkning dagen efter offentliggørelsen af afgørelsen i </w:t>
      </w:r>
      <w:r w:rsidRPr="00393250">
        <w:rPr>
          <w:i/>
          <w:szCs w:val="24"/>
          <w:lang w:eastAsia="en-US"/>
        </w:rPr>
        <w:t>Den Europæiske Unions Tidende</w:t>
      </w:r>
      <w:r w:rsidRPr="00393250">
        <w:rPr>
          <w:szCs w:val="24"/>
          <w:lang w:eastAsia="en-US"/>
        </w:rPr>
        <w:t xml:space="preserve"> eller på et senere tidspunkt, der angives i afgørelsen. Den berører ikke gyldigheden af de delegerede retsakter, der allerede er i kraft.</w:t>
      </w:r>
    </w:p>
    <w:p w14:paraId="03327B3B" w14:textId="77777777" w:rsidR="000B3969" w:rsidRPr="00393250" w:rsidRDefault="000B3969">
      <w:pPr>
        <w:widowControl/>
        <w:rPr>
          <w:szCs w:val="24"/>
          <w:lang w:eastAsia="en-US"/>
        </w:rPr>
      </w:pPr>
      <w:r w:rsidRPr="00393250">
        <w:rPr>
          <w:szCs w:val="24"/>
          <w:lang w:eastAsia="en-US"/>
        </w:rPr>
        <w:br w:type="page"/>
      </w:r>
    </w:p>
    <w:p w14:paraId="151441D0" w14:textId="3C3CCA87" w:rsidR="008A5B47" w:rsidRPr="00393250" w:rsidRDefault="008A5B47" w:rsidP="008A5B47">
      <w:pPr>
        <w:spacing w:before="120" w:after="120" w:line="360" w:lineRule="auto"/>
        <w:ind w:left="1416" w:hanging="566"/>
        <w:rPr>
          <w:szCs w:val="24"/>
          <w:lang w:eastAsia="en-US"/>
        </w:rPr>
      </w:pPr>
      <w:r w:rsidRPr="00393250">
        <w:rPr>
          <w:szCs w:val="24"/>
          <w:lang w:eastAsia="en-US"/>
        </w:rPr>
        <w:lastRenderedPageBreak/>
        <w:t>4.</w:t>
      </w:r>
      <w:r w:rsidRPr="00393250">
        <w:rPr>
          <w:szCs w:val="24"/>
          <w:lang w:eastAsia="en-US"/>
        </w:rPr>
        <w:tab/>
        <w:t>Inden vedtagelsen af en delegeret retsakt hører Kommissionen eksperter, som er udpeget af hver enkelt medlemsstat, i overensstemmelse med principperne i den interinstitutionelle aftale om bedre lovgivning af 13. april 2016.</w:t>
      </w:r>
    </w:p>
    <w:p w14:paraId="452D7512"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5.</w:t>
      </w:r>
      <w:r w:rsidRPr="00393250">
        <w:rPr>
          <w:szCs w:val="24"/>
          <w:lang w:eastAsia="en-US"/>
        </w:rPr>
        <w:tab/>
        <w:t>Så snart Kommissionen vedtager en delegeret retsakt, giver den samtidig Europa-Parlamentet og Rådet meddelelse herom.</w:t>
      </w:r>
    </w:p>
    <w:p w14:paraId="7BF10954"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6.</w:t>
      </w:r>
      <w:r w:rsidRPr="00393250">
        <w:rPr>
          <w:szCs w:val="24"/>
          <w:lang w:eastAsia="en-US"/>
        </w:rPr>
        <w:tab/>
        <w:t>En delegeret retsakt vedtaget i henhold til artikel 20, stk. 1, træder kun i kraft, hvis hverken Europa-Parlamentet eller Rådet har gjort indsigelse inden for en frist på to måneder fra meddelelsen af den pågældende retsakt til Europa-Parlamentet og Rådet, eller hvis Europa-Parlamentet og Rådet inden udløbet af denne frist begge har informeret Kommissionen om, at de ikke agter at gøre indsigelse. Fristen forlænges med to måneder på Europa-Parlamentets eller Rådets initiativ."</w:t>
      </w:r>
    </w:p>
    <w:p w14:paraId="2EF9FB86" w14:textId="77777777" w:rsidR="009A0B7F" w:rsidRPr="00393250" w:rsidRDefault="009A0B7F">
      <w:pPr>
        <w:widowControl/>
        <w:rPr>
          <w:szCs w:val="24"/>
          <w:lang w:eastAsia="en-US"/>
        </w:rPr>
      </w:pPr>
      <w:r w:rsidRPr="00393250">
        <w:rPr>
          <w:szCs w:val="24"/>
          <w:lang w:eastAsia="en-US"/>
        </w:rPr>
        <w:br w:type="page"/>
      </w:r>
    </w:p>
    <w:p w14:paraId="68FFDAE4" w14:textId="379A213D"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(15)</w:t>
      </w:r>
      <w:r w:rsidRPr="00393250">
        <w:rPr>
          <w:szCs w:val="24"/>
          <w:lang w:eastAsia="en-US"/>
        </w:rPr>
        <w:tab/>
        <w:t>Artikel 21 affattes således:</w:t>
      </w:r>
    </w:p>
    <w:p w14:paraId="3A7D54F0" w14:textId="77777777" w:rsidR="008A5B47" w:rsidRPr="00393250" w:rsidRDefault="008A5B47" w:rsidP="008A5B47">
      <w:pPr>
        <w:spacing w:before="120" w:after="120" w:line="360" w:lineRule="auto"/>
        <w:ind w:left="850"/>
        <w:rPr>
          <w:szCs w:val="24"/>
          <w:lang w:eastAsia="en-US"/>
        </w:rPr>
      </w:pPr>
      <w:r w:rsidRPr="00393250">
        <w:rPr>
          <w:szCs w:val="24"/>
          <w:lang w:eastAsia="en-US"/>
        </w:rPr>
        <w:t>"Artikel 21</w:t>
      </w:r>
    </w:p>
    <w:p w14:paraId="75305B8B" w14:textId="77777777" w:rsidR="008A5B47" w:rsidRPr="00393250" w:rsidRDefault="008A5B47" w:rsidP="008A5B47">
      <w:pPr>
        <w:spacing w:before="120" w:after="120" w:line="360" w:lineRule="auto"/>
        <w:ind w:left="850"/>
        <w:rPr>
          <w:szCs w:val="24"/>
          <w:lang w:eastAsia="en-US"/>
        </w:rPr>
      </w:pPr>
      <w:r w:rsidRPr="00393250">
        <w:rPr>
          <w:szCs w:val="24"/>
          <w:lang w:eastAsia="en-US"/>
        </w:rPr>
        <w:t>Udvalgsprocedure</w:t>
      </w:r>
    </w:p>
    <w:p w14:paraId="5B34D3F6"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1.</w:t>
      </w:r>
      <w:r w:rsidRPr="00393250">
        <w:rPr>
          <w:szCs w:val="24"/>
          <w:lang w:eastAsia="en-US"/>
        </w:rPr>
        <w:tab/>
        <w:t>Kommissionen bistås af et udvalg. Dette udvalg er et udvalg som omhandlet i Europa-Parlamentets og Rådets forordning (EU) nr. 182/2011*.</w:t>
      </w:r>
    </w:p>
    <w:p w14:paraId="14B476EF"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2.</w:t>
      </w:r>
      <w:r w:rsidRPr="00393250">
        <w:rPr>
          <w:szCs w:val="24"/>
          <w:lang w:eastAsia="en-US"/>
        </w:rPr>
        <w:tab/>
        <w:t>Når der henvises til dette stykke, anvendes artikel 5 i forordning (EU) nr. 182/2011.</w:t>
      </w:r>
    </w:p>
    <w:p w14:paraId="6A437E3F" w14:textId="77777777" w:rsidR="008A5B47" w:rsidRPr="00393250" w:rsidRDefault="008A5B47" w:rsidP="008A5B47">
      <w:pPr>
        <w:spacing w:before="120" w:after="120" w:line="360" w:lineRule="auto"/>
        <w:ind w:left="1416"/>
        <w:rPr>
          <w:szCs w:val="24"/>
          <w:lang w:eastAsia="en-US"/>
        </w:rPr>
      </w:pPr>
      <w:r w:rsidRPr="00393250">
        <w:rPr>
          <w:szCs w:val="24"/>
          <w:lang w:eastAsia="en-US"/>
        </w:rPr>
        <w:t>Afgiver udvalget ikke nogen udtalelse, vedtager Kommissionen ikke udkastet til gennemførelsesretsakt, og artikel 5, stk. 4, tredje afsnit, i forordning (EU) nr. 182/2011 anvendes.</w:t>
      </w:r>
    </w:p>
    <w:p w14:paraId="3A4F2568" w14:textId="77777777" w:rsidR="008A5B47" w:rsidRPr="00393250" w:rsidRDefault="008A5B47" w:rsidP="008A5B47">
      <w:pPr>
        <w:spacing w:before="120" w:after="120" w:line="360" w:lineRule="auto"/>
        <w:ind w:left="1416"/>
        <w:rPr>
          <w:szCs w:val="24"/>
          <w:lang w:eastAsia="en-US"/>
        </w:rPr>
      </w:pPr>
      <w:r w:rsidRPr="00393250">
        <w:rPr>
          <w:szCs w:val="24"/>
          <w:lang w:eastAsia="en-US"/>
        </w:rPr>
        <w:t>* Europa-Parlamentets og Rådets forordning (EU) nr. 182/2011 af 16. februar 2011 om de generelle regler og principper for, hvordan medlemsstaterne skal kontrollere Kommissionens udøvelse af gennemførelsesbeføjelser (EUT L 55 af 28.2.2011, s. 13)."</w:t>
      </w:r>
    </w:p>
    <w:p w14:paraId="0F56851D" w14:textId="77777777" w:rsidR="009A0B7F" w:rsidRPr="00393250" w:rsidRDefault="009A0B7F">
      <w:pPr>
        <w:widowControl/>
        <w:rPr>
          <w:szCs w:val="24"/>
          <w:lang w:eastAsia="en-US"/>
        </w:rPr>
      </w:pPr>
      <w:r w:rsidRPr="00393250">
        <w:rPr>
          <w:szCs w:val="24"/>
          <w:lang w:eastAsia="en-US"/>
        </w:rPr>
        <w:br w:type="page"/>
      </w:r>
    </w:p>
    <w:p w14:paraId="095ADD8D" w14:textId="47331FC4"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(16)</w:t>
      </w:r>
      <w:r w:rsidRPr="00393250">
        <w:rPr>
          <w:szCs w:val="24"/>
          <w:lang w:eastAsia="en-US"/>
        </w:rPr>
        <w:tab/>
        <w:t>Artikel 22, stk. 4, affattes således:</w:t>
      </w:r>
    </w:p>
    <w:p w14:paraId="7DF22ABC"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"4.</w:t>
      </w:r>
      <w:r w:rsidRPr="00393250">
        <w:rPr>
          <w:szCs w:val="24"/>
          <w:lang w:eastAsia="en-US"/>
        </w:rPr>
        <w:tab/>
        <w:t>Miljømålene i artikel 4, miljøkvalitetskravene i del A i bilag I til direktiv 2008/105/EF og de tærskelværdier for vandområdespecifikke forurenende stoffer, der er fastsat i henhold til artikel 8 og 8d i nævnte direktiv, betragtes som miljøkvalitetskrav i henhold til direktiv 2010/75/EU."</w:t>
      </w:r>
    </w:p>
    <w:p w14:paraId="4E5E5732"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(17)</w:t>
      </w:r>
      <w:r w:rsidRPr="00393250">
        <w:rPr>
          <w:szCs w:val="24"/>
          <w:lang w:eastAsia="en-US"/>
        </w:rPr>
        <w:tab/>
        <w:t>Bilag V ændres som angivet i bilag I til dette direktiv.</w:t>
      </w:r>
    </w:p>
    <w:p w14:paraId="1443FE65"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(18)</w:t>
      </w:r>
      <w:r w:rsidRPr="00393250">
        <w:rPr>
          <w:szCs w:val="24"/>
          <w:lang w:eastAsia="en-US"/>
        </w:rPr>
        <w:tab/>
        <w:t>Bilag VII, del A, punkt 7.7, affattes således:</w:t>
      </w:r>
    </w:p>
    <w:p w14:paraId="0F832B62"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"7.7.</w:t>
      </w:r>
      <w:r w:rsidRPr="00393250">
        <w:rPr>
          <w:szCs w:val="24"/>
          <w:lang w:eastAsia="en-US"/>
        </w:rPr>
        <w:tab/>
        <w:t>et resumé af de foranstaltninger, der er truffet for at reducere emissionerne af prioriterede stoffer og udfase emissionerne af prioriterede farlige stoffer"</w:t>
      </w:r>
    </w:p>
    <w:p w14:paraId="3623F50A" w14:textId="053D5406" w:rsidR="008A5B47" w:rsidRPr="00393250" w:rsidRDefault="009A0B7F" w:rsidP="008A5B47">
      <w:pPr>
        <w:spacing w:before="120" w:after="120" w:line="360" w:lineRule="auto"/>
        <w:ind w:left="850" w:hanging="850"/>
        <w:rPr>
          <w:szCs w:val="24"/>
          <w:lang w:eastAsia="en-US"/>
        </w:rPr>
      </w:pPr>
      <w:r w:rsidRPr="00393250">
        <w:rPr>
          <w:b/>
          <w:i/>
          <w:szCs w:val="24"/>
          <w:lang w:eastAsia="en-US"/>
        </w:rPr>
        <w:t>(</w:t>
      </w:r>
      <w:r w:rsidR="008A5B47" w:rsidRPr="00393250">
        <w:rPr>
          <w:b/>
          <w:i/>
          <w:szCs w:val="24"/>
          <w:lang w:eastAsia="en-US"/>
        </w:rPr>
        <w:t>18a)</w:t>
      </w:r>
      <w:r w:rsidR="008A5B47" w:rsidRPr="00393250">
        <w:rPr>
          <w:szCs w:val="24"/>
          <w:lang w:eastAsia="en-US"/>
        </w:rPr>
        <w:tab/>
      </w:r>
      <w:r w:rsidR="008A5B47" w:rsidRPr="00393250">
        <w:rPr>
          <w:b/>
          <w:i/>
          <w:szCs w:val="24"/>
          <w:lang w:eastAsia="en-US"/>
        </w:rPr>
        <w:t>I bilag VII, del A, indsættes følgende punkt:</w:t>
      </w:r>
    </w:p>
    <w:p w14:paraId="1C7C6171" w14:textId="40CE9155" w:rsidR="008A5B47" w:rsidRPr="00393250" w:rsidRDefault="009A0B7F" w:rsidP="008A5B47">
      <w:pPr>
        <w:spacing w:before="120" w:after="120" w:line="360" w:lineRule="auto"/>
        <w:ind w:left="1416" w:hanging="566"/>
        <w:rPr>
          <w:b/>
          <w:szCs w:val="24"/>
          <w:lang w:eastAsia="en-US"/>
        </w:rPr>
      </w:pPr>
      <w:r w:rsidRPr="00393250">
        <w:rPr>
          <w:b/>
          <w:i/>
          <w:szCs w:val="24"/>
          <w:lang w:eastAsia="en-US"/>
        </w:rPr>
        <w:t>"</w:t>
      </w:r>
      <w:r w:rsidR="008A5B47" w:rsidRPr="00393250">
        <w:rPr>
          <w:b/>
          <w:i/>
          <w:szCs w:val="24"/>
          <w:lang w:eastAsia="en-US"/>
        </w:rPr>
        <w:t>7.7a.</w:t>
      </w:r>
      <w:r w:rsidR="008A5B47" w:rsidRPr="00393250">
        <w:rPr>
          <w:szCs w:val="24"/>
          <w:lang w:eastAsia="en-US"/>
        </w:rPr>
        <w:tab/>
      </w:r>
      <w:r w:rsidR="008A5B47" w:rsidRPr="00393250">
        <w:rPr>
          <w:b/>
          <w:i/>
          <w:szCs w:val="24"/>
          <w:lang w:eastAsia="en-US"/>
        </w:rPr>
        <w:t>et resumé af de foranstaltninger, der er truffet for at digitalisere vandsektorens overvågningsaspekter"</w:t>
      </w:r>
      <w:r w:rsidRPr="00393250">
        <w:rPr>
          <w:b/>
          <w:szCs w:val="24"/>
          <w:lang w:eastAsia="en-US"/>
        </w:rPr>
        <w:t xml:space="preserve"> [Ændring 77]</w:t>
      </w:r>
    </w:p>
    <w:p w14:paraId="6AB2F999"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(19)</w:t>
      </w:r>
      <w:r w:rsidRPr="00393250">
        <w:rPr>
          <w:szCs w:val="24"/>
          <w:lang w:eastAsia="en-US"/>
        </w:rPr>
        <w:tab/>
        <w:t>Bilag VIII ændres som angivet i bilag II til dette direktiv.</w:t>
      </w:r>
    </w:p>
    <w:p w14:paraId="6F1E62B5" w14:textId="78742907" w:rsidR="008A5B47" w:rsidRPr="00393250" w:rsidRDefault="008A5B47" w:rsidP="008A5B47">
      <w:pPr>
        <w:spacing w:before="120" w:after="120" w:line="360" w:lineRule="auto"/>
        <w:ind w:left="850" w:hanging="850"/>
        <w:rPr>
          <w:b/>
          <w:szCs w:val="24"/>
          <w:lang w:eastAsia="en-US"/>
        </w:rPr>
      </w:pPr>
      <w:r w:rsidRPr="00393250">
        <w:rPr>
          <w:szCs w:val="24"/>
          <w:lang w:eastAsia="en-US"/>
        </w:rPr>
        <w:t>(20)</w:t>
      </w:r>
      <w:r w:rsidRPr="00393250">
        <w:rPr>
          <w:szCs w:val="24"/>
          <w:lang w:eastAsia="en-US"/>
        </w:rPr>
        <w:tab/>
        <w:t>Bilag</w:t>
      </w:r>
      <w:r w:rsidRPr="00393250">
        <w:rPr>
          <w:b/>
          <w:i/>
          <w:szCs w:val="24"/>
          <w:lang w:eastAsia="en-US"/>
        </w:rPr>
        <w:t xml:space="preserve"> IX og</w:t>
      </w:r>
      <w:r w:rsidRPr="00393250">
        <w:rPr>
          <w:szCs w:val="24"/>
          <w:lang w:eastAsia="en-US"/>
        </w:rPr>
        <w:t xml:space="preserve"> X udgår.</w:t>
      </w:r>
      <w:r w:rsidR="00596977" w:rsidRPr="00393250">
        <w:rPr>
          <w:b/>
          <w:szCs w:val="24"/>
          <w:lang w:eastAsia="en-US"/>
        </w:rPr>
        <w:t xml:space="preserve"> [Ændring 78]</w:t>
      </w:r>
    </w:p>
    <w:p w14:paraId="71206295" w14:textId="77777777" w:rsidR="00596977" w:rsidRPr="00393250" w:rsidRDefault="00596977">
      <w:pPr>
        <w:widowControl/>
        <w:rPr>
          <w:szCs w:val="24"/>
          <w:lang w:eastAsia="en-US"/>
        </w:rPr>
      </w:pPr>
      <w:r w:rsidRPr="00393250">
        <w:rPr>
          <w:szCs w:val="24"/>
          <w:lang w:eastAsia="en-US"/>
        </w:rPr>
        <w:br w:type="page"/>
      </w:r>
    </w:p>
    <w:p w14:paraId="7BBDAAD1" w14:textId="1B56EF20" w:rsidR="008A5B47" w:rsidRPr="00393250" w:rsidRDefault="008A5B47" w:rsidP="008A5B47">
      <w:pPr>
        <w:spacing w:before="120" w:after="120" w:line="360" w:lineRule="auto"/>
        <w:jc w:val="center"/>
        <w:rPr>
          <w:szCs w:val="24"/>
          <w:lang w:eastAsia="en-US"/>
        </w:rPr>
      </w:pPr>
      <w:r w:rsidRPr="00393250">
        <w:rPr>
          <w:szCs w:val="24"/>
          <w:lang w:eastAsia="en-US"/>
        </w:rPr>
        <w:lastRenderedPageBreak/>
        <w:t>Artikel 2</w:t>
      </w:r>
      <w:r w:rsidRPr="00393250">
        <w:rPr>
          <w:szCs w:val="24"/>
          <w:lang w:eastAsia="en-US"/>
        </w:rPr>
        <w:br/>
        <w:t>Ændringer af direktiv 2006/118/EF</w:t>
      </w:r>
    </w:p>
    <w:p w14:paraId="364F17E0" w14:textId="77777777" w:rsidR="008A5B47" w:rsidRPr="00393250" w:rsidRDefault="008A5B47" w:rsidP="008A5B47">
      <w:pPr>
        <w:spacing w:before="120" w:after="120" w:line="360" w:lineRule="auto"/>
        <w:rPr>
          <w:szCs w:val="24"/>
          <w:lang w:eastAsia="en-US"/>
        </w:rPr>
      </w:pPr>
      <w:r w:rsidRPr="00393250">
        <w:rPr>
          <w:szCs w:val="24"/>
          <w:lang w:eastAsia="en-US"/>
        </w:rPr>
        <w:t>Direktiv 2006/118/EF ændres således:</w:t>
      </w:r>
    </w:p>
    <w:p w14:paraId="1353C146"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(1)</w:t>
      </w:r>
      <w:r w:rsidRPr="00393250">
        <w:rPr>
          <w:szCs w:val="24"/>
          <w:lang w:eastAsia="en-US"/>
        </w:rPr>
        <w:tab/>
        <w:t>Titlen affattes således:</w:t>
      </w:r>
    </w:p>
    <w:p w14:paraId="0F2A4631" w14:textId="77777777" w:rsidR="008A5B47" w:rsidRPr="00393250" w:rsidRDefault="008A5B47" w:rsidP="008A5B47">
      <w:pPr>
        <w:spacing w:before="120" w:after="120" w:line="360" w:lineRule="auto"/>
        <w:ind w:left="850"/>
        <w:rPr>
          <w:szCs w:val="24"/>
          <w:lang w:eastAsia="en-US"/>
        </w:rPr>
      </w:pPr>
      <w:r w:rsidRPr="00393250">
        <w:rPr>
          <w:szCs w:val="24"/>
          <w:lang w:eastAsia="en-US"/>
        </w:rPr>
        <w:t>"Europa-Parlamentets og Rådets direktiv 2006/118/EF af 12. december 2006 om forebyggelse af og kontrol med forurening af grundvand"</w:t>
      </w:r>
    </w:p>
    <w:p w14:paraId="63D37C46"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(2)</w:t>
      </w:r>
      <w:r w:rsidRPr="00393250">
        <w:rPr>
          <w:szCs w:val="24"/>
          <w:lang w:eastAsia="en-US"/>
        </w:rPr>
        <w:tab/>
        <w:t>Artikel 1, stk. 1, affattes således:</w:t>
      </w:r>
    </w:p>
    <w:p w14:paraId="4353654B" w14:textId="0F872B14" w:rsidR="008A5B47" w:rsidRPr="00393250" w:rsidRDefault="008A5B47" w:rsidP="008A5B47">
      <w:pPr>
        <w:spacing w:before="120" w:after="120" w:line="360" w:lineRule="auto"/>
        <w:ind w:left="1416" w:hanging="566"/>
        <w:rPr>
          <w:b/>
          <w:szCs w:val="24"/>
          <w:lang w:eastAsia="en-US"/>
        </w:rPr>
      </w:pPr>
      <w:r w:rsidRPr="00393250">
        <w:rPr>
          <w:szCs w:val="24"/>
          <w:lang w:eastAsia="en-US"/>
        </w:rPr>
        <w:t>"1.</w:t>
      </w:r>
      <w:r w:rsidRPr="00393250">
        <w:rPr>
          <w:szCs w:val="24"/>
          <w:lang w:eastAsia="en-US"/>
        </w:rPr>
        <w:tab/>
        <w:t xml:space="preserve">Dette direktiv fastsætter specifikke foranstaltninger til forebyggelse af og kontrol med forurening af grundvand med henblik på at nå de miljømål, der er fastsat i artikel 4, stk. 1, litra b), i direktiv 2000/60/EF. </w:t>
      </w:r>
      <w:r w:rsidRPr="00393250">
        <w:rPr>
          <w:b/>
          <w:i/>
          <w:szCs w:val="24"/>
          <w:lang w:eastAsia="en-US"/>
        </w:rPr>
        <w:t xml:space="preserve">Hierarkiet for foranstaltninger, der skal træffes, prioriterer begrænsninger og andre foranstaltninger til bekæmpelse af forurening ved kilden, uden at det berører end-of-pipe-foranstaltninger, hvor det er relevant. </w:t>
      </w:r>
      <w:r w:rsidRPr="00393250">
        <w:rPr>
          <w:szCs w:val="24"/>
          <w:lang w:eastAsia="en-US"/>
        </w:rPr>
        <w:t>Disse foranstaltninger omfatter navnlig:</w:t>
      </w:r>
      <w:r w:rsidR="00FB4BC5" w:rsidRPr="00393250">
        <w:rPr>
          <w:b/>
          <w:szCs w:val="24"/>
          <w:lang w:eastAsia="en-US"/>
        </w:rPr>
        <w:t xml:space="preserve"> [Ændring 79]</w:t>
      </w:r>
    </w:p>
    <w:p w14:paraId="7161BC3E"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a)</w:t>
      </w:r>
      <w:r w:rsidRPr="00393250">
        <w:rPr>
          <w:szCs w:val="24"/>
          <w:lang w:eastAsia="en-US"/>
        </w:rPr>
        <w:tab/>
        <w:t>kriterier for vurdering af god kemisk grundvandstilstand</w:t>
      </w:r>
    </w:p>
    <w:p w14:paraId="55BE30F8" w14:textId="77777777" w:rsidR="00FB4BC5" w:rsidRPr="00393250" w:rsidRDefault="00FB4BC5">
      <w:pPr>
        <w:widowControl/>
        <w:rPr>
          <w:szCs w:val="24"/>
          <w:lang w:eastAsia="en-US"/>
        </w:rPr>
      </w:pPr>
      <w:r w:rsidRPr="00393250">
        <w:rPr>
          <w:szCs w:val="24"/>
          <w:lang w:eastAsia="en-US"/>
        </w:rPr>
        <w:br w:type="page"/>
      </w:r>
    </w:p>
    <w:p w14:paraId="4D7F9A19" w14:textId="4F8C55A3" w:rsidR="008A5B47" w:rsidRPr="00393250" w:rsidRDefault="008A5B47" w:rsidP="008A5B47">
      <w:pPr>
        <w:spacing w:before="120" w:after="120" w:line="360" w:lineRule="auto"/>
        <w:ind w:left="1982" w:hanging="566"/>
        <w:rPr>
          <w:szCs w:val="24"/>
          <w:lang w:eastAsia="en-US"/>
        </w:rPr>
      </w:pPr>
      <w:r w:rsidRPr="00393250">
        <w:rPr>
          <w:szCs w:val="24"/>
          <w:lang w:eastAsia="en-US"/>
        </w:rPr>
        <w:lastRenderedPageBreak/>
        <w:t>b)</w:t>
      </w:r>
      <w:r w:rsidRPr="00393250">
        <w:rPr>
          <w:szCs w:val="24"/>
          <w:lang w:eastAsia="en-US"/>
        </w:rPr>
        <w:tab/>
        <w:t>kriterier for identifikation og vending af en væsentlig og vedvarende opadgående tendens og for fastlæggelse af udgangspunktet for at vende tendensen.</w:t>
      </w:r>
    </w:p>
    <w:p w14:paraId="3347896C" w14:textId="1034C11E" w:rsidR="008A5B47" w:rsidRPr="00393250" w:rsidRDefault="008A5B47" w:rsidP="008A5B47">
      <w:pPr>
        <w:spacing w:before="120" w:after="120" w:line="360" w:lineRule="auto"/>
        <w:ind w:left="1982" w:hanging="566"/>
        <w:rPr>
          <w:b/>
          <w:szCs w:val="24"/>
          <w:lang w:eastAsia="en-US"/>
        </w:rPr>
      </w:pPr>
      <w:r w:rsidRPr="00393250">
        <w:rPr>
          <w:b/>
          <w:i/>
          <w:szCs w:val="24"/>
          <w:lang w:eastAsia="en-US"/>
        </w:rPr>
        <w:t>ba)</w:t>
      </w:r>
      <w:r w:rsidRPr="00393250">
        <w:rPr>
          <w:szCs w:val="24"/>
          <w:lang w:eastAsia="en-US"/>
        </w:rPr>
        <w:tab/>
      </w:r>
      <w:r w:rsidRPr="00393250">
        <w:rPr>
          <w:b/>
          <w:i/>
          <w:szCs w:val="24"/>
          <w:lang w:eastAsia="en-US"/>
        </w:rPr>
        <w:t>kriterier for vurdering af grundvandets gode økologiske tilstand.</w:t>
      </w:r>
      <w:r w:rsidRPr="00393250">
        <w:rPr>
          <w:szCs w:val="24"/>
          <w:lang w:eastAsia="en-US"/>
        </w:rPr>
        <w:t>"</w:t>
      </w:r>
      <w:r w:rsidR="00FB4BC5" w:rsidRPr="00393250">
        <w:rPr>
          <w:b/>
          <w:szCs w:val="24"/>
          <w:lang w:eastAsia="en-US"/>
        </w:rPr>
        <w:t xml:space="preserve"> [Ændring 80]</w:t>
      </w:r>
    </w:p>
    <w:p w14:paraId="5A6FD3FE"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(3)</w:t>
      </w:r>
      <w:r w:rsidRPr="00393250">
        <w:rPr>
          <w:szCs w:val="24"/>
          <w:lang w:eastAsia="en-US"/>
        </w:rPr>
        <w:tab/>
        <w:t>Artikel 2, nr. 2), affattes således:</w:t>
      </w:r>
    </w:p>
    <w:p w14:paraId="0F24965C"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"2)</w:t>
      </w:r>
      <w:r w:rsidRPr="00393250">
        <w:rPr>
          <w:szCs w:val="24"/>
          <w:lang w:eastAsia="en-US"/>
        </w:rPr>
        <w:tab/>
        <w:t>"tærskelværdi": et kvalitetskrav for grundvand, som medlemsstaterne har fastsat i henhold til artikel 3, stk. 1, litra b), eller som er fastsat på EU-plan i henhold til artikel 8, stk. 3"</w:t>
      </w:r>
    </w:p>
    <w:p w14:paraId="09A90E28"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(4)</w:t>
      </w:r>
      <w:r w:rsidRPr="00393250">
        <w:rPr>
          <w:szCs w:val="24"/>
          <w:lang w:eastAsia="en-US"/>
        </w:rPr>
        <w:tab/>
        <w:t>I artikel 3 foretages følgende ændringer:</w:t>
      </w:r>
    </w:p>
    <w:p w14:paraId="3590D9FE" w14:textId="710A0745" w:rsidR="008A5B47" w:rsidRPr="00393250" w:rsidRDefault="008A5B47" w:rsidP="008A5B47">
      <w:pPr>
        <w:spacing w:before="120" w:after="120" w:line="360" w:lineRule="auto"/>
        <w:ind w:left="1416" w:hanging="566"/>
        <w:rPr>
          <w:szCs w:val="24"/>
          <w:lang w:eastAsia="en-US"/>
        </w:rPr>
      </w:pPr>
      <w:r w:rsidRPr="00393250">
        <w:rPr>
          <w:szCs w:val="24"/>
          <w:lang w:eastAsia="en-US"/>
        </w:rPr>
        <w:t>a)</w:t>
      </w:r>
      <w:r w:rsidRPr="00393250">
        <w:rPr>
          <w:szCs w:val="24"/>
          <w:lang w:eastAsia="en-US"/>
        </w:rPr>
        <w:tab/>
        <w:t>I stk. 1, første afsnit, tilføjes følgende litra c):</w:t>
      </w:r>
    </w:p>
    <w:p w14:paraId="1107A75D"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"c)</w:t>
      </w:r>
      <w:r w:rsidRPr="00393250">
        <w:rPr>
          <w:szCs w:val="24"/>
          <w:lang w:eastAsia="en-US"/>
        </w:rPr>
        <w:tab/>
        <w:t>tærskelværdier, som er fastsat på EU-plan i overensstemmelse med artikel 8, stk. 3, og som er anført i del D i bilag II til dette direktiv."</w:t>
      </w:r>
    </w:p>
    <w:p w14:paraId="3D7B7A9B" w14:textId="77777777" w:rsidR="00FB4BC5" w:rsidRPr="00393250" w:rsidRDefault="00FB4BC5">
      <w:pPr>
        <w:widowControl/>
        <w:rPr>
          <w:b/>
          <w:i/>
          <w:szCs w:val="24"/>
          <w:lang w:eastAsia="en-US"/>
        </w:rPr>
      </w:pPr>
      <w:r w:rsidRPr="00393250">
        <w:rPr>
          <w:b/>
          <w:i/>
          <w:szCs w:val="24"/>
          <w:lang w:eastAsia="en-US"/>
        </w:rPr>
        <w:br w:type="page"/>
      </w:r>
    </w:p>
    <w:p w14:paraId="6DAC5633" w14:textId="28220DE3" w:rsidR="008A5B47" w:rsidRPr="00393250" w:rsidRDefault="008A5B47" w:rsidP="008A5B47">
      <w:pPr>
        <w:spacing w:before="120" w:after="120" w:line="360" w:lineRule="auto"/>
        <w:ind w:left="1416" w:hanging="566"/>
        <w:rPr>
          <w:szCs w:val="24"/>
          <w:lang w:eastAsia="en-US"/>
        </w:rPr>
      </w:pPr>
      <w:r w:rsidRPr="00393250">
        <w:rPr>
          <w:b/>
          <w:i/>
          <w:szCs w:val="24"/>
          <w:lang w:eastAsia="en-US"/>
        </w:rPr>
        <w:lastRenderedPageBreak/>
        <w:t>aa)</w:t>
      </w:r>
      <w:r w:rsidRPr="00393250">
        <w:rPr>
          <w:szCs w:val="24"/>
          <w:lang w:eastAsia="en-US"/>
        </w:rPr>
        <w:tab/>
      </w:r>
      <w:r w:rsidRPr="00393250">
        <w:rPr>
          <w:b/>
          <w:i/>
          <w:szCs w:val="24"/>
          <w:lang w:eastAsia="en-US"/>
        </w:rPr>
        <w:t>i stk. 1 tilføjes følgende afsnit:</w:t>
      </w:r>
    </w:p>
    <w:p w14:paraId="0773E44F" w14:textId="7D036834" w:rsidR="008A5B47" w:rsidRPr="00393250" w:rsidRDefault="00FB4BC5" w:rsidP="008A5B47">
      <w:pPr>
        <w:spacing w:before="120" w:after="120" w:line="360" w:lineRule="auto"/>
        <w:ind w:left="1416"/>
        <w:rPr>
          <w:b/>
          <w:szCs w:val="24"/>
          <w:lang w:eastAsia="en-US"/>
        </w:rPr>
      </w:pPr>
      <w:r w:rsidRPr="00393250">
        <w:rPr>
          <w:b/>
          <w:i/>
          <w:szCs w:val="24"/>
          <w:lang w:eastAsia="en-US"/>
        </w:rPr>
        <w:t>"</w:t>
      </w:r>
      <w:r w:rsidR="008A5B47" w:rsidRPr="00393250">
        <w:rPr>
          <w:b/>
          <w:i/>
          <w:szCs w:val="24"/>
          <w:lang w:eastAsia="en-US"/>
        </w:rPr>
        <w:t>De tærskelværdier, der gælder for grundvand, skal være ti gange lavere end de tilsvarende miljøkvalitetskrav for overfladevand, undtagen i tilfælde, hvor der kan konstateres en reel risiko for grundvandsøkosystemer, og hvor det kan være hensigtsmæssigt at fastsætte tærskelværdierne for grundvand på et andet niveau.</w:t>
      </w:r>
      <w:r w:rsidRPr="00393250">
        <w:rPr>
          <w:b/>
          <w:i/>
          <w:szCs w:val="24"/>
          <w:lang w:eastAsia="en-US"/>
        </w:rPr>
        <w:t>"</w:t>
      </w:r>
      <w:r w:rsidRPr="00393250">
        <w:rPr>
          <w:b/>
          <w:szCs w:val="24"/>
          <w:lang w:eastAsia="en-US"/>
        </w:rPr>
        <w:t xml:space="preserve"> [Ændring 81]</w:t>
      </w:r>
    </w:p>
    <w:p w14:paraId="040A4EE5" w14:textId="28C5DF80" w:rsidR="008A5B47" w:rsidRPr="00393250" w:rsidRDefault="008A5B47" w:rsidP="008A5B47">
      <w:pPr>
        <w:spacing w:before="120" w:after="120" w:line="360" w:lineRule="auto"/>
        <w:ind w:left="1416" w:hanging="566"/>
        <w:rPr>
          <w:szCs w:val="24"/>
          <w:lang w:eastAsia="en-US"/>
        </w:rPr>
      </w:pPr>
      <w:r w:rsidRPr="00393250">
        <w:rPr>
          <w:szCs w:val="24"/>
          <w:lang w:eastAsia="en-US"/>
        </w:rPr>
        <w:t>b)</w:t>
      </w:r>
      <w:r w:rsidRPr="00393250">
        <w:rPr>
          <w:szCs w:val="24"/>
          <w:lang w:eastAsia="en-US"/>
        </w:rPr>
        <w:tab/>
        <w:t>Stk. 2 affattes således:</w:t>
      </w:r>
    </w:p>
    <w:p w14:paraId="1A815068"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"2.</w:t>
      </w:r>
      <w:r w:rsidRPr="00393250">
        <w:rPr>
          <w:szCs w:val="24"/>
          <w:lang w:eastAsia="en-US"/>
        </w:rPr>
        <w:tab/>
        <w:t>Tærskelværdier, jf. stk. 1, litra b), kan fastsættes på nationalt plan, for et vandområdedistrikt eller for den del af et internationalt vandområdedistrikt, der hører ind under en medlemsstats område, eller for en grundvandsforekomst eller en gruppe af grundvandsforekomster."</w:t>
      </w:r>
    </w:p>
    <w:p w14:paraId="4BF568E0" w14:textId="77777777" w:rsidR="00FB4BC5" w:rsidRPr="00393250" w:rsidRDefault="00FB4BC5">
      <w:pPr>
        <w:widowControl/>
        <w:rPr>
          <w:szCs w:val="24"/>
          <w:lang w:eastAsia="en-US"/>
        </w:rPr>
      </w:pPr>
      <w:r w:rsidRPr="00393250">
        <w:rPr>
          <w:szCs w:val="24"/>
          <w:lang w:eastAsia="en-US"/>
        </w:rPr>
        <w:br w:type="page"/>
      </w:r>
    </w:p>
    <w:p w14:paraId="6DF65582" w14:textId="4A1BE7AC" w:rsidR="008A5B47" w:rsidRPr="00393250" w:rsidRDefault="008A5B47" w:rsidP="008A5B47">
      <w:pPr>
        <w:spacing w:before="120" w:after="120" w:line="360" w:lineRule="auto"/>
        <w:ind w:left="1416" w:hanging="566"/>
        <w:rPr>
          <w:szCs w:val="24"/>
          <w:lang w:eastAsia="en-US"/>
        </w:rPr>
      </w:pPr>
      <w:r w:rsidRPr="00393250">
        <w:rPr>
          <w:szCs w:val="24"/>
          <w:lang w:eastAsia="en-US"/>
        </w:rPr>
        <w:lastRenderedPageBreak/>
        <w:t>c)</w:t>
      </w:r>
      <w:r w:rsidRPr="00393250">
        <w:rPr>
          <w:szCs w:val="24"/>
          <w:lang w:eastAsia="en-US"/>
        </w:rPr>
        <w:tab/>
        <w:t>Stk. 5 affattes således:</w:t>
      </w:r>
    </w:p>
    <w:p w14:paraId="1E3B511E"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"5.</w:t>
      </w:r>
      <w:r w:rsidRPr="00393250">
        <w:rPr>
          <w:szCs w:val="24"/>
          <w:lang w:eastAsia="en-US"/>
        </w:rPr>
        <w:tab/>
        <w:t>Alle tærskelværdier, jf. stk. 1, offentliggøres i de vandområdeplaner, der skal udarbejdes i henhold til artikel 13 i direktiv 2000/60/EF, sammen med et resumé af oplysningerne i del C i bilag II til dette direktiv.</w:t>
      </w:r>
    </w:p>
    <w:p w14:paraId="64A3AD29" w14:textId="5834CB3A" w:rsidR="008A5B47" w:rsidRPr="00393250" w:rsidRDefault="008A5B47" w:rsidP="008A5B47">
      <w:pPr>
        <w:spacing w:before="120" w:after="120" w:line="360" w:lineRule="auto"/>
        <w:ind w:left="1982"/>
        <w:rPr>
          <w:szCs w:val="24"/>
          <w:lang w:eastAsia="en-US"/>
        </w:rPr>
      </w:pPr>
      <w:r w:rsidRPr="00393250">
        <w:rPr>
          <w:szCs w:val="24"/>
          <w:lang w:eastAsia="en-US"/>
        </w:rPr>
        <w:t>Medlemsstaterne underretter senest den [</w:t>
      </w:r>
      <w:r w:rsidR="003C5218" w:rsidRPr="00393250">
        <w:rPr>
          <w:szCs w:val="24"/>
          <w:lang w:eastAsia="en-US"/>
        </w:rPr>
        <w:t>Publikationskontoret: Indsæt venligst datoen = den første dag i den måned, der følger 18 måneder efter datoen for dette direktivs ikrafttræden</w:t>
      </w:r>
      <w:r w:rsidRPr="00393250">
        <w:rPr>
          <w:szCs w:val="24"/>
          <w:lang w:eastAsia="en-US"/>
        </w:rPr>
        <w:t>] Det Europæiske Kemikalieagentur (ECHA) om de nationale tærskelværdier, der er omhandlet i stk. 1, litra b). ECHA offentliggør disse oplysninger.</w:t>
      </w:r>
      <w:r w:rsidR="00520E08" w:rsidRPr="00393250">
        <w:rPr>
          <w:b/>
          <w:i/>
          <w:szCs w:val="24"/>
          <w:lang w:eastAsia="en-US"/>
        </w:rPr>
        <w:t>"</w:t>
      </w:r>
    </w:p>
    <w:p w14:paraId="280EC6EF" w14:textId="7C654BC7" w:rsidR="00FB4BC5" w:rsidRPr="00393250" w:rsidRDefault="00FB4BC5" w:rsidP="001E74BE">
      <w:pPr>
        <w:spacing w:before="120" w:after="120" w:line="360" w:lineRule="auto"/>
        <w:ind w:left="1418" w:hanging="567"/>
        <w:rPr>
          <w:b/>
          <w:i/>
          <w:szCs w:val="24"/>
          <w:lang w:eastAsia="en-US"/>
        </w:rPr>
      </w:pPr>
      <w:r w:rsidRPr="00393250">
        <w:rPr>
          <w:b/>
          <w:i/>
          <w:szCs w:val="24"/>
          <w:lang w:eastAsia="en-US"/>
        </w:rPr>
        <w:t>ca)</w:t>
      </w:r>
      <w:r w:rsidRPr="00393250">
        <w:rPr>
          <w:b/>
          <w:i/>
          <w:szCs w:val="24"/>
          <w:lang w:eastAsia="en-US"/>
        </w:rPr>
        <w:tab/>
        <w:t>I</w:t>
      </w:r>
      <w:r w:rsidR="008A5B47" w:rsidRPr="00393250">
        <w:rPr>
          <w:b/>
          <w:i/>
          <w:szCs w:val="24"/>
          <w:lang w:eastAsia="en-US"/>
        </w:rPr>
        <w:t xml:space="preserve"> stk. 5 tilføjes følgende afsnit:  </w:t>
      </w:r>
    </w:p>
    <w:p w14:paraId="7636DFBF" w14:textId="4824E34D" w:rsidR="008A5B47" w:rsidRPr="00393250" w:rsidRDefault="00FB4BC5" w:rsidP="001E74BE">
      <w:pPr>
        <w:spacing w:before="120" w:after="120" w:line="360" w:lineRule="auto"/>
        <w:ind w:left="1418"/>
        <w:rPr>
          <w:b/>
          <w:szCs w:val="24"/>
          <w:lang w:eastAsia="en-US"/>
        </w:rPr>
      </w:pPr>
      <w:r w:rsidRPr="00393250">
        <w:rPr>
          <w:b/>
          <w:i/>
          <w:szCs w:val="24"/>
          <w:lang w:eastAsia="en-US"/>
        </w:rPr>
        <w:t>"</w:t>
      </w:r>
      <w:r w:rsidR="008A5B47" w:rsidRPr="00393250">
        <w:rPr>
          <w:b/>
          <w:i/>
          <w:szCs w:val="24"/>
          <w:lang w:eastAsia="en-US"/>
        </w:rPr>
        <w:t>Medlemsstaterne sikrer, at beboerne i det pågældende vandområdedistrikt eller i den del af det internationale vandområdedistrikt, der ligger inden for en medlemsstats område, informer</w:t>
      </w:r>
      <w:r w:rsidRPr="00393250">
        <w:rPr>
          <w:b/>
          <w:i/>
          <w:szCs w:val="24"/>
          <w:lang w:eastAsia="en-US"/>
        </w:rPr>
        <w:t>es tilstrækkeligt og rettidigt.</w:t>
      </w:r>
      <w:r w:rsidR="008A5B47" w:rsidRPr="00393250">
        <w:rPr>
          <w:szCs w:val="24"/>
          <w:lang w:eastAsia="en-US"/>
        </w:rPr>
        <w:t>"</w:t>
      </w:r>
      <w:r w:rsidRPr="00393250">
        <w:rPr>
          <w:b/>
          <w:szCs w:val="24"/>
          <w:lang w:eastAsia="en-US"/>
        </w:rPr>
        <w:t xml:space="preserve"> [Ændring 82]</w:t>
      </w:r>
    </w:p>
    <w:p w14:paraId="4E4FFA5B" w14:textId="77777777" w:rsidR="00FB4BC5" w:rsidRPr="00393250" w:rsidRDefault="00FB4BC5">
      <w:pPr>
        <w:widowControl/>
        <w:rPr>
          <w:szCs w:val="24"/>
          <w:lang w:eastAsia="en-US"/>
        </w:rPr>
      </w:pPr>
      <w:r w:rsidRPr="00393250">
        <w:rPr>
          <w:szCs w:val="24"/>
          <w:lang w:eastAsia="en-US"/>
        </w:rPr>
        <w:br w:type="page"/>
      </w:r>
    </w:p>
    <w:p w14:paraId="3232AB22" w14:textId="55191E15" w:rsidR="008A5B47" w:rsidRPr="00393250" w:rsidRDefault="008A5B47" w:rsidP="008A5B47">
      <w:pPr>
        <w:spacing w:before="120" w:after="120" w:line="360" w:lineRule="auto"/>
        <w:ind w:left="1416" w:hanging="566"/>
        <w:rPr>
          <w:szCs w:val="24"/>
          <w:lang w:eastAsia="en-US"/>
        </w:rPr>
      </w:pPr>
      <w:r w:rsidRPr="00393250">
        <w:rPr>
          <w:szCs w:val="24"/>
          <w:lang w:eastAsia="en-US"/>
        </w:rPr>
        <w:lastRenderedPageBreak/>
        <w:t>d)</w:t>
      </w:r>
      <w:r w:rsidRPr="00393250">
        <w:rPr>
          <w:szCs w:val="24"/>
          <w:lang w:eastAsia="en-US"/>
        </w:rPr>
        <w:tab/>
        <w:t>Stk. 6, første afsnit, affattes således:</w:t>
      </w:r>
    </w:p>
    <w:p w14:paraId="5CDBFDDC" w14:textId="5FE1C6A5" w:rsidR="008A5B47" w:rsidRPr="00393250" w:rsidRDefault="008A5B47" w:rsidP="008A5B47">
      <w:pPr>
        <w:spacing w:before="120" w:after="120" w:line="360" w:lineRule="auto"/>
        <w:ind w:left="1416"/>
        <w:rPr>
          <w:b/>
          <w:szCs w:val="24"/>
          <w:lang w:eastAsia="en-US"/>
        </w:rPr>
      </w:pPr>
      <w:r w:rsidRPr="00393250">
        <w:rPr>
          <w:szCs w:val="24"/>
          <w:lang w:eastAsia="en-US"/>
        </w:rPr>
        <w:t>"Medlemsstaterne ændrer den liste over tærskelværdier, der anvendes på deres område, hver gang nye oplysninger om forurenende stoffer, grupper af forurenende stoffer eller forureningsindikatorer</w:t>
      </w:r>
      <w:r w:rsidRPr="00393250">
        <w:rPr>
          <w:b/>
          <w:i/>
          <w:szCs w:val="24"/>
          <w:lang w:eastAsia="en-US"/>
        </w:rPr>
        <w:t>, også under hensyntagen til forsigtighedsprincippet,</w:t>
      </w:r>
      <w:r w:rsidRPr="00393250">
        <w:rPr>
          <w:szCs w:val="24"/>
          <w:lang w:eastAsia="en-US"/>
        </w:rPr>
        <w:t xml:space="preserve"> viser, at der skal fastsættes en tærskelværdi for et yderligere stof, eller at en eksisterende tærskelværdi skal ændres, eller at en tærskelværdi, der tidligere er slettet af listen, skal genoptages på den. Hvis der fastsættes eller ændres relevante tærskelværdier på EU-plan, tilpasser medlemsstaterne listen over tærskelværdier, der anvendes på deres område, til disse værdier."</w:t>
      </w:r>
      <w:r w:rsidR="00BE6604" w:rsidRPr="00393250">
        <w:rPr>
          <w:b/>
          <w:szCs w:val="24"/>
          <w:lang w:eastAsia="en-US"/>
        </w:rPr>
        <w:t xml:space="preserve"> [Ændring 83]</w:t>
      </w:r>
    </w:p>
    <w:p w14:paraId="7EA6B7D6" w14:textId="3FA3F128" w:rsidR="008A5B47" w:rsidRPr="00393250" w:rsidRDefault="00BE6604" w:rsidP="001E74BE">
      <w:pPr>
        <w:spacing w:before="120" w:after="120" w:line="360" w:lineRule="auto"/>
        <w:ind w:left="1418" w:hanging="567"/>
        <w:rPr>
          <w:szCs w:val="24"/>
          <w:lang w:eastAsia="en-US"/>
        </w:rPr>
      </w:pPr>
      <w:r w:rsidRPr="00393250">
        <w:rPr>
          <w:b/>
          <w:i/>
          <w:szCs w:val="24"/>
          <w:lang w:eastAsia="en-US"/>
        </w:rPr>
        <w:t>e)</w:t>
      </w:r>
      <w:r w:rsidR="008A5B47" w:rsidRPr="00393250">
        <w:rPr>
          <w:szCs w:val="24"/>
          <w:lang w:eastAsia="en-US"/>
        </w:rPr>
        <w:tab/>
      </w:r>
      <w:r w:rsidR="008A5B47" w:rsidRPr="00393250">
        <w:rPr>
          <w:b/>
          <w:i/>
          <w:szCs w:val="24"/>
          <w:lang w:eastAsia="en-US"/>
        </w:rPr>
        <w:t>Stk. 7 affattes således:</w:t>
      </w:r>
    </w:p>
    <w:p w14:paraId="5CE7818E" w14:textId="6305EF58" w:rsidR="008A5B47" w:rsidRPr="00393250" w:rsidRDefault="00BE6604" w:rsidP="001E74BE">
      <w:pPr>
        <w:spacing w:before="120" w:after="120" w:line="360" w:lineRule="auto"/>
        <w:ind w:left="1985" w:hanging="566"/>
        <w:rPr>
          <w:b/>
          <w:szCs w:val="24"/>
          <w:lang w:eastAsia="en-US"/>
        </w:rPr>
      </w:pPr>
      <w:r w:rsidRPr="00393250">
        <w:rPr>
          <w:b/>
          <w:i/>
          <w:szCs w:val="24"/>
          <w:lang w:eastAsia="en-US"/>
        </w:rPr>
        <w:t>"</w:t>
      </w:r>
      <w:r w:rsidR="008A5B47" w:rsidRPr="00393250">
        <w:rPr>
          <w:b/>
          <w:i/>
          <w:szCs w:val="24"/>
          <w:lang w:eastAsia="en-US"/>
        </w:rPr>
        <w:t>7.</w:t>
      </w:r>
      <w:r w:rsidR="008A5B47" w:rsidRPr="00393250">
        <w:rPr>
          <w:szCs w:val="24"/>
          <w:lang w:eastAsia="en-US"/>
        </w:rPr>
        <w:tab/>
      </w:r>
      <w:r w:rsidR="008A5B47" w:rsidRPr="00393250">
        <w:rPr>
          <w:b/>
          <w:i/>
          <w:szCs w:val="24"/>
          <w:lang w:eastAsia="en-US"/>
        </w:rPr>
        <w:t>Kommissionen offentliggør en rapport om de i stk. 1, litra b), omhandlede nationale tærskelværdier et år efter, at medlemsstaterne har stillet oplysningerne til rådighed for ECHA i overensstemmelse med stk. 5."</w:t>
      </w:r>
      <w:r w:rsidRPr="00393250">
        <w:rPr>
          <w:b/>
          <w:szCs w:val="24"/>
          <w:lang w:eastAsia="en-US"/>
        </w:rPr>
        <w:t xml:space="preserve"> [Ændring 84]</w:t>
      </w:r>
    </w:p>
    <w:p w14:paraId="65A0AB22" w14:textId="77777777" w:rsidR="00D66191" w:rsidRPr="00393250" w:rsidRDefault="00D66191">
      <w:pPr>
        <w:widowControl/>
        <w:rPr>
          <w:szCs w:val="24"/>
          <w:lang w:eastAsia="en-US"/>
        </w:rPr>
      </w:pPr>
      <w:r w:rsidRPr="00393250">
        <w:rPr>
          <w:szCs w:val="24"/>
          <w:lang w:eastAsia="en-US"/>
        </w:rPr>
        <w:br w:type="page"/>
      </w:r>
    </w:p>
    <w:p w14:paraId="38620552" w14:textId="4749647B"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(5)</w:t>
      </w:r>
      <w:r w:rsidRPr="00393250">
        <w:rPr>
          <w:szCs w:val="24"/>
          <w:lang w:eastAsia="en-US"/>
        </w:rPr>
        <w:tab/>
        <w:t>Artikel 4, stk. 2, litra b), affattes således:</w:t>
      </w:r>
    </w:p>
    <w:p w14:paraId="2372E160"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"b)</w:t>
      </w:r>
      <w:r w:rsidRPr="00393250">
        <w:rPr>
          <w:szCs w:val="24"/>
          <w:lang w:eastAsia="en-US"/>
        </w:rPr>
        <w:tab/>
        <w:t>grundvandskvalitetskravene som anført i bilag I og tærskelværdierne, jf. artikel 3, stk. 1, litra b) og c), ikke overskrides i nogen af overvågningspunkterne i denne grundvandsforekomst eller gruppe af grundvandsforekomster; eller"</w:t>
      </w:r>
    </w:p>
    <w:p w14:paraId="093CD767"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(6)</w:t>
      </w:r>
      <w:r w:rsidRPr="00393250">
        <w:rPr>
          <w:szCs w:val="24"/>
          <w:lang w:eastAsia="en-US"/>
        </w:rPr>
        <w:tab/>
        <w:t>Følgende indsættes som artikel 6a:</w:t>
      </w:r>
    </w:p>
    <w:p w14:paraId="7E202E61" w14:textId="77777777" w:rsidR="008A5B47" w:rsidRPr="00393250" w:rsidRDefault="008A5B47" w:rsidP="008A5B47">
      <w:pPr>
        <w:spacing w:before="120" w:after="120" w:line="360" w:lineRule="auto"/>
        <w:ind w:left="850"/>
        <w:rPr>
          <w:szCs w:val="24"/>
          <w:lang w:eastAsia="en-US"/>
        </w:rPr>
      </w:pPr>
      <w:r w:rsidRPr="00393250">
        <w:rPr>
          <w:szCs w:val="24"/>
          <w:lang w:eastAsia="en-US"/>
        </w:rPr>
        <w:t>"Artikel 6a</w:t>
      </w:r>
    </w:p>
    <w:p w14:paraId="33A046A3" w14:textId="77777777" w:rsidR="008A5B47" w:rsidRPr="00393250" w:rsidRDefault="008A5B47" w:rsidP="008A5B47">
      <w:pPr>
        <w:spacing w:before="120" w:after="120" w:line="360" w:lineRule="auto"/>
        <w:ind w:left="850"/>
        <w:rPr>
          <w:szCs w:val="24"/>
          <w:lang w:eastAsia="en-US"/>
        </w:rPr>
      </w:pPr>
      <w:r w:rsidRPr="00393250">
        <w:rPr>
          <w:szCs w:val="24"/>
          <w:lang w:eastAsia="en-US"/>
        </w:rPr>
        <w:t>Observationsliste</w:t>
      </w:r>
    </w:p>
    <w:p w14:paraId="26C29762"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1.</w:t>
      </w:r>
      <w:r w:rsidRPr="00393250">
        <w:rPr>
          <w:szCs w:val="24"/>
          <w:lang w:eastAsia="en-US"/>
        </w:rPr>
        <w:tab/>
        <w:t>Kommissionen tillægges beføjelser til at vedtage gennemførelsesretsakter med henblik på under hensyntagen til videnskabelige rapporter, der er udarbejdet af ECHA, at udarbejde en observationsliste over stoffer, for hvilke medlemsstaterne skal indsamle EU-dækkende overvågningsdata, og til at fastlægge de formater, som medlemsstaterne skal anvende til rapportering af resultaterne af denne overvågning og relaterede oplysninger til Kommissionen. Disse gennemførelsesretsakter vedtages efter undersøgelsesproceduren i artikel 9, stk. 2.</w:t>
      </w:r>
    </w:p>
    <w:p w14:paraId="1A1B08C4" w14:textId="77777777" w:rsidR="00D66191" w:rsidRPr="00393250" w:rsidRDefault="00D66191">
      <w:pPr>
        <w:widowControl/>
        <w:rPr>
          <w:szCs w:val="24"/>
          <w:lang w:eastAsia="en-US"/>
        </w:rPr>
      </w:pPr>
      <w:r w:rsidRPr="00393250">
        <w:rPr>
          <w:szCs w:val="24"/>
          <w:lang w:eastAsia="en-US"/>
        </w:rPr>
        <w:br w:type="page"/>
      </w:r>
    </w:p>
    <w:p w14:paraId="12365EF9" w14:textId="5FD21922" w:rsidR="008A5B47" w:rsidRPr="00393250" w:rsidRDefault="008A5B47" w:rsidP="008A5B47">
      <w:pPr>
        <w:spacing w:before="120" w:after="120" w:line="360" w:lineRule="auto"/>
        <w:ind w:left="1416"/>
        <w:rPr>
          <w:szCs w:val="24"/>
          <w:lang w:eastAsia="en-US"/>
        </w:rPr>
      </w:pPr>
      <w:r w:rsidRPr="00393250">
        <w:rPr>
          <w:szCs w:val="24"/>
          <w:lang w:eastAsia="en-US"/>
        </w:rPr>
        <w:lastRenderedPageBreak/>
        <w:t xml:space="preserve">Observationslisten </w:t>
      </w:r>
      <w:r w:rsidRPr="00393250">
        <w:rPr>
          <w:strike/>
          <w:szCs w:val="24"/>
          <w:lang w:eastAsia="en-US"/>
        </w:rPr>
        <w:t>må højst</w:t>
      </w:r>
      <w:r w:rsidRPr="00393250">
        <w:rPr>
          <w:b/>
          <w:i/>
          <w:szCs w:val="24"/>
          <w:lang w:eastAsia="en-US"/>
        </w:rPr>
        <w:t>skal som minimum</w:t>
      </w:r>
      <w:r w:rsidRPr="00393250">
        <w:rPr>
          <w:szCs w:val="24"/>
          <w:lang w:eastAsia="en-US"/>
        </w:rPr>
        <w:t xml:space="preserve"> indeholde fem stoffer eller grupper af stoffer</w:t>
      </w:r>
      <w:r w:rsidRPr="00393250">
        <w:rPr>
          <w:strike/>
          <w:szCs w:val="24"/>
          <w:lang w:eastAsia="en-US"/>
        </w:rPr>
        <w:t xml:space="preserve"> og skal angive overvågningsmatricerne og de mulige analysemetoder for hvert stof. Disse overvågningsmatricer og -metoder må ikke medføre uforholdsmæssigt store omkostninger for de kompetente myndigheder. Stofferne, der opføres på observationslisten</w:t>
      </w:r>
      <w:r w:rsidRPr="00393250">
        <w:rPr>
          <w:b/>
          <w:i/>
          <w:szCs w:val="24"/>
          <w:lang w:eastAsia="en-US"/>
        </w:rPr>
        <w:t>, der giver anledning til stigende bekymring</w:t>
      </w:r>
      <w:r w:rsidRPr="00393250">
        <w:rPr>
          <w:szCs w:val="24"/>
          <w:lang w:eastAsia="en-US"/>
        </w:rPr>
        <w:t>,</w:t>
      </w:r>
      <w:r w:rsidRPr="00393250">
        <w:rPr>
          <w:b/>
          <w:i/>
          <w:szCs w:val="24"/>
          <w:lang w:eastAsia="en-US"/>
        </w:rPr>
        <w:t xml:space="preserve"> og som</w:t>
      </w:r>
      <w:r w:rsidRPr="00393250">
        <w:rPr>
          <w:szCs w:val="24"/>
          <w:lang w:eastAsia="en-US"/>
        </w:rPr>
        <w:t xml:space="preserve"> udvælges blandt de stoffer, for hvilke de foreliggende oplysninger</w:t>
      </w:r>
      <w:r w:rsidRPr="00393250">
        <w:rPr>
          <w:b/>
          <w:i/>
          <w:szCs w:val="24"/>
          <w:lang w:eastAsia="en-US"/>
        </w:rPr>
        <w:t xml:space="preserve"> i overensstemmelse med fjerde afsnit også</w:t>
      </w:r>
      <w:r w:rsidRPr="00393250">
        <w:rPr>
          <w:szCs w:val="24"/>
          <w:lang w:eastAsia="en-US"/>
        </w:rPr>
        <w:t xml:space="preserve"> tyder på, at de kan udgøre en væsentlig risiko for vandmiljøet eller via vandmiljøet på EU-plan, og for hvilke overvågningsdataene er utilstrækkelige</w:t>
      </w:r>
      <w:r w:rsidRPr="00393250">
        <w:rPr>
          <w:strike/>
          <w:szCs w:val="24"/>
          <w:lang w:eastAsia="en-US"/>
        </w:rPr>
        <w:t>. Denne observationsliste skal omfatte</w:t>
      </w:r>
      <w:r w:rsidRPr="00393250">
        <w:rPr>
          <w:b/>
          <w:i/>
          <w:szCs w:val="24"/>
          <w:lang w:eastAsia="en-US"/>
        </w:rPr>
        <w:t>, undtagen hvis antallet af stoffer eller grupper af</w:t>
      </w:r>
      <w:r w:rsidRPr="00393250">
        <w:rPr>
          <w:szCs w:val="24"/>
          <w:lang w:eastAsia="en-US"/>
        </w:rPr>
        <w:t xml:space="preserve"> stoffer, </w:t>
      </w:r>
      <w:r w:rsidRPr="00393250">
        <w:rPr>
          <w:strike/>
          <w:szCs w:val="24"/>
          <w:lang w:eastAsia="en-US"/>
        </w:rPr>
        <w:t>der giver anledning til stigende bekymring</w:t>
      </w:r>
      <w:r w:rsidRPr="00393250">
        <w:rPr>
          <w:b/>
          <w:i/>
          <w:szCs w:val="24"/>
          <w:lang w:eastAsia="en-US"/>
        </w:rPr>
        <w:t>for hvilke de foreliggende oplysninger tyder på, at de kan udgøre en væsentlig risiko for vandmiljøet eller via vandmiljøet, og som kan udvælges, er mindre end fem, i hvilket tilfælde observationslisten skal indeholde alle disse stoffer</w:t>
      </w:r>
      <w:r w:rsidRPr="00393250">
        <w:rPr>
          <w:szCs w:val="24"/>
          <w:lang w:eastAsia="en-US"/>
        </w:rPr>
        <w:t>.</w:t>
      </w:r>
    </w:p>
    <w:p w14:paraId="4AE63E2A" w14:textId="77777777" w:rsidR="008A5B47" w:rsidRPr="00393250" w:rsidRDefault="008A5B47" w:rsidP="008A5B47">
      <w:pPr>
        <w:spacing w:before="120" w:after="120" w:line="360" w:lineRule="auto"/>
        <w:ind w:left="1416"/>
        <w:rPr>
          <w:szCs w:val="24"/>
          <w:lang w:eastAsia="en-US"/>
        </w:rPr>
      </w:pPr>
      <w:r w:rsidRPr="00393250">
        <w:rPr>
          <w:b/>
          <w:i/>
          <w:szCs w:val="24"/>
          <w:lang w:eastAsia="en-US"/>
        </w:rPr>
        <w:t>Ud over minimumsantallet af stoffer eller grupper af stoffer kan observationslisten også indeholde forureningsindikatorer.</w:t>
      </w:r>
    </w:p>
    <w:p w14:paraId="27B20F0D" w14:textId="77777777" w:rsidR="00D66191" w:rsidRPr="00393250" w:rsidRDefault="00D66191">
      <w:pPr>
        <w:widowControl/>
        <w:rPr>
          <w:b/>
          <w:i/>
          <w:szCs w:val="24"/>
          <w:lang w:eastAsia="en-US"/>
        </w:rPr>
      </w:pPr>
      <w:r w:rsidRPr="00393250">
        <w:rPr>
          <w:b/>
          <w:i/>
          <w:szCs w:val="24"/>
          <w:lang w:eastAsia="en-US"/>
        </w:rPr>
        <w:br w:type="page"/>
      </w:r>
    </w:p>
    <w:p w14:paraId="7DEBA493" w14:textId="0F774F5A" w:rsidR="008A5B47" w:rsidRPr="00393250" w:rsidRDefault="008A5B47" w:rsidP="008A5B47">
      <w:pPr>
        <w:spacing w:before="120" w:after="120" w:line="360" w:lineRule="auto"/>
        <w:ind w:left="1416"/>
        <w:rPr>
          <w:b/>
          <w:szCs w:val="24"/>
          <w:lang w:eastAsia="en-US"/>
        </w:rPr>
      </w:pPr>
      <w:r w:rsidRPr="00393250">
        <w:rPr>
          <w:b/>
          <w:i/>
          <w:szCs w:val="24"/>
          <w:lang w:eastAsia="en-US"/>
        </w:rPr>
        <w:lastRenderedPageBreak/>
        <w:t>Observationslisten skal fastsætteovervågningsmatricerne og de mulige analysemetoder for hvert stof. Disse overvågningsmatricer og -metoder må ikke medføre uforholdsmæssigt store omkostninger for de kompetente myndigheder.</w:t>
      </w:r>
      <w:r w:rsidR="00D66191" w:rsidRPr="00393250">
        <w:rPr>
          <w:b/>
          <w:szCs w:val="24"/>
          <w:lang w:eastAsia="en-US"/>
        </w:rPr>
        <w:t xml:space="preserve"> [Ændring 85]</w:t>
      </w:r>
    </w:p>
    <w:p w14:paraId="54159B01" w14:textId="437EC54E" w:rsidR="008A5B47" w:rsidRPr="00393250" w:rsidRDefault="008A5B47" w:rsidP="008A5B47">
      <w:pPr>
        <w:spacing w:before="120" w:after="120" w:line="360" w:lineRule="auto"/>
        <w:ind w:left="1416"/>
        <w:rPr>
          <w:b/>
          <w:szCs w:val="24"/>
          <w:lang w:eastAsia="en-US"/>
        </w:rPr>
      </w:pPr>
      <w:r w:rsidRPr="00393250">
        <w:rPr>
          <w:b/>
          <w:i/>
          <w:szCs w:val="24"/>
          <w:lang w:eastAsia="en-US"/>
        </w:rPr>
        <w:t>Der skal så hurtigt som muligt og senest [den første dag i den måned, der følger 18 måneder efter datoen for dette ændringsdirektivs ikrafttræden] fastlægges</w:t>
      </w:r>
      <w:r w:rsidRPr="00393250">
        <w:rPr>
          <w:strike/>
          <w:szCs w:val="24"/>
          <w:lang w:eastAsia="en-US"/>
        </w:rPr>
        <w:t>Så snart der er identificeret</w:t>
      </w:r>
      <w:r w:rsidRPr="00393250">
        <w:rPr>
          <w:szCs w:val="24"/>
          <w:lang w:eastAsia="en-US"/>
        </w:rPr>
        <w:t xml:space="preserve"> egnede overvågningsmetoder for mikroplast og udvalgte gener for antimikrobiel resistens</w:t>
      </w:r>
      <w:r w:rsidRPr="00393250">
        <w:rPr>
          <w:b/>
          <w:i/>
          <w:szCs w:val="24"/>
          <w:lang w:eastAsia="en-US"/>
        </w:rPr>
        <w:t>. Så snart disse overvågningsmetoder er fastlagt</w:t>
      </w:r>
      <w:r w:rsidRPr="00393250">
        <w:rPr>
          <w:szCs w:val="24"/>
          <w:lang w:eastAsia="en-US"/>
        </w:rPr>
        <w:t xml:space="preserve">, opføres </w:t>
      </w:r>
      <w:r w:rsidRPr="00393250">
        <w:rPr>
          <w:strike/>
          <w:szCs w:val="24"/>
          <w:lang w:eastAsia="en-US"/>
        </w:rPr>
        <w:t>disse stoffer</w:t>
      </w:r>
      <w:r w:rsidRPr="00393250">
        <w:rPr>
          <w:b/>
          <w:i/>
          <w:szCs w:val="24"/>
          <w:lang w:eastAsia="en-US"/>
        </w:rPr>
        <w:t>mikroplast og udvalgte gener for antimikrobiel resistens</w:t>
      </w:r>
      <w:r w:rsidRPr="00393250">
        <w:rPr>
          <w:szCs w:val="24"/>
          <w:lang w:eastAsia="en-US"/>
        </w:rPr>
        <w:t xml:space="preserve"> på observationslisten</w:t>
      </w:r>
      <w:r w:rsidRPr="00393250">
        <w:rPr>
          <w:b/>
          <w:i/>
          <w:szCs w:val="24"/>
          <w:lang w:eastAsia="en-US"/>
        </w:rPr>
        <w:t xml:space="preserve"> i overensstemmelse med artikel 6a, stk</w:t>
      </w:r>
      <w:r w:rsidRPr="00393250">
        <w:rPr>
          <w:szCs w:val="24"/>
          <w:lang w:eastAsia="en-US"/>
        </w:rPr>
        <w:t>.</w:t>
      </w:r>
      <w:r w:rsidRPr="00393250">
        <w:rPr>
          <w:b/>
          <w:i/>
          <w:szCs w:val="24"/>
          <w:lang w:eastAsia="en-US"/>
        </w:rPr>
        <w:t xml:space="preserve"> 2, nr. 1). Kommissionen overvejer også, om det er nødvendigt at medtage sulfater på den første observationsliste for at forbedre tilgængeligheden af data om deres forekomst med hensyn til dette direktivs anvendelsesområde.</w:t>
      </w:r>
      <w:r w:rsidR="00D66191" w:rsidRPr="00393250">
        <w:rPr>
          <w:b/>
          <w:szCs w:val="24"/>
          <w:lang w:eastAsia="en-US"/>
        </w:rPr>
        <w:t xml:space="preserve"> [Ændring 86]</w:t>
      </w:r>
    </w:p>
    <w:p w14:paraId="25B5FE94" w14:textId="77777777" w:rsidR="00D66191" w:rsidRPr="00393250" w:rsidRDefault="00D66191">
      <w:pPr>
        <w:widowControl/>
        <w:rPr>
          <w:szCs w:val="24"/>
          <w:lang w:eastAsia="en-US"/>
        </w:rPr>
      </w:pPr>
      <w:r w:rsidRPr="00393250">
        <w:rPr>
          <w:szCs w:val="24"/>
          <w:lang w:eastAsia="en-US"/>
        </w:rPr>
        <w:br w:type="page"/>
      </w:r>
    </w:p>
    <w:p w14:paraId="7C21B951" w14:textId="45B504E6" w:rsidR="008A5B47" w:rsidRPr="00393250" w:rsidRDefault="008A5B47" w:rsidP="008A5B47">
      <w:pPr>
        <w:spacing w:before="120" w:after="120" w:line="360" w:lineRule="auto"/>
        <w:ind w:left="1416"/>
        <w:rPr>
          <w:b/>
          <w:szCs w:val="24"/>
          <w:lang w:eastAsia="en-US"/>
        </w:rPr>
      </w:pPr>
      <w:r w:rsidRPr="00393250">
        <w:rPr>
          <w:szCs w:val="24"/>
          <w:lang w:eastAsia="en-US"/>
        </w:rPr>
        <w:lastRenderedPageBreak/>
        <w:t xml:space="preserve">ECHA udarbejder videnskabelige rapporter for at bistå Kommissionen i udvælgelsen af stoffer </w:t>
      </w:r>
      <w:r w:rsidRPr="00393250">
        <w:rPr>
          <w:b/>
          <w:i/>
          <w:szCs w:val="24"/>
          <w:lang w:eastAsia="en-US"/>
        </w:rPr>
        <w:t xml:space="preserve">og forureningsindikatorer </w:t>
      </w:r>
      <w:r w:rsidRPr="00393250">
        <w:rPr>
          <w:szCs w:val="24"/>
          <w:lang w:eastAsia="en-US"/>
        </w:rPr>
        <w:t>til observationslisten under hensyntagen til følgende oplysninger:</w:t>
      </w:r>
      <w:r w:rsidR="00D66191" w:rsidRPr="00393250">
        <w:rPr>
          <w:b/>
          <w:szCs w:val="24"/>
          <w:lang w:eastAsia="en-US"/>
        </w:rPr>
        <w:t xml:space="preserve"> [Ændring 87]</w:t>
      </w:r>
    </w:p>
    <w:p w14:paraId="34CF45E6" w14:textId="0F676A18" w:rsidR="008A5B47" w:rsidRPr="00393250" w:rsidRDefault="008A5B47" w:rsidP="008A5B47">
      <w:pPr>
        <w:spacing w:before="120" w:after="120" w:line="360" w:lineRule="auto"/>
        <w:ind w:left="1982" w:hanging="566"/>
        <w:rPr>
          <w:szCs w:val="24"/>
          <w:lang w:eastAsia="en-US"/>
        </w:rPr>
      </w:pPr>
      <w:r w:rsidRPr="00393250">
        <w:rPr>
          <w:szCs w:val="24"/>
          <w:lang w:eastAsia="en-US"/>
        </w:rPr>
        <w:t>a)</w:t>
      </w:r>
      <w:r w:rsidRPr="00393250">
        <w:rPr>
          <w:szCs w:val="24"/>
          <w:lang w:eastAsia="en-US"/>
        </w:rPr>
        <w:tab/>
        <w:t>bilag I til Europa-Parlamentets og Rådets direktiv 2008/105/EF* og resultaterne af den seneste revision af nævnte bilag</w:t>
      </w:r>
    </w:p>
    <w:p w14:paraId="0EB94A92" w14:textId="0D5DD70A" w:rsidR="008A5B47" w:rsidRPr="00393250" w:rsidRDefault="008A5B47" w:rsidP="008A5B47">
      <w:pPr>
        <w:spacing w:before="120" w:after="120" w:line="360" w:lineRule="auto"/>
        <w:ind w:left="1982" w:hanging="566"/>
        <w:rPr>
          <w:szCs w:val="24"/>
          <w:lang w:eastAsia="en-US"/>
        </w:rPr>
      </w:pPr>
      <w:r w:rsidRPr="00393250">
        <w:rPr>
          <w:szCs w:val="24"/>
          <w:lang w:eastAsia="en-US"/>
        </w:rPr>
        <w:t>b)</w:t>
      </w:r>
      <w:r w:rsidRPr="00393250">
        <w:rPr>
          <w:szCs w:val="24"/>
          <w:lang w:eastAsia="en-US"/>
        </w:rPr>
        <w:tab/>
        <w:t>de observationslister, der er oprettet i henhold til Europa-Parlamentets og Rådets direktiv 2008/105/EF og direktiv (EU) 2020/2184**</w:t>
      </w:r>
    </w:p>
    <w:p w14:paraId="756E777C" w14:textId="640F5693" w:rsidR="008A5B47" w:rsidRPr="00393250" w:rsidRDefault="008A5B47" w:rsidP="008A5B47">
      <w:pPr>
        <w:spacing w:before="120" w:after="120" w:line="360" w:lineRule="auto"/>
        <w:ind w:left="1982" w:hanging="566"/>
        <w:rPr>
          <w:szCs w:val="24"/>
          <w:lang w:eastAsia="en-US"/>
        </w:rPr>
      </w:pPr>
      <w:r w:rsidRPr="00393250">
        <w:rPr>
          <w:szCs w:val="24"/>
          <w:lang w:eastAsia="en-US"/>
        </w:rPr>
        <w:t>c)</w:t>
      </w:r>
      <w:r w:rsidRPr="00393250">
        <w:rPr>
          <w:szCs w:val="24"/>
          <w:lang w:eastAsia="en-US"/>
        </w:rPr>
        <w:tab/>
        <w:t>krav vedrørende bekæmpelse af jordforurening, herunder relaterede overvågningsdata</w:t>
      </w:r>
    </w:p>
    <w:p w14:paraId="29EAD5F2" w14:textId="3B792B3B" w:rsidR="008A5B47" w:rsidRPr="00393250" w:rsidRDefault="008A5B47" w:rsidP="008A5B47">
      <w:pPr>
        <w:spacing w:before="120" w:after="120" w:line="360" w:lineRule="auto"/>
        <w:ind w:left="1982" w:hanging="566"/>
        <w:rPr>
          <w:szCs w:val="24"/>
          <w:lang w:eastAsia="en-US"/>
        </w:rPr>
      </w:pPr>
      <w:r w:rsidRPr="00393250">
        <w:rPr>
          <w:szCs w:val="24"/>
          <w:lang w:eastAsia="en-US"/>
        </w:rPr>
        <w:t>d)</w:t>
      </w:r>
      <w:r w:rsidRPr="00393250">
        <w:rPr>
          <w:szCs w:val="24"/>
          <w:lang w:eastAsia="en-US"/>
        </w:rPr>
        <w:tab/>
        <w:t>medlemsstaternes karakterisering af vandområdedistrikter i overensstemmelse med artikel 5 i direktiv 2000/60/EF og resultaterne af overvågningsprogrammer, der er udarbejdet i henhold til artikel 8 i nævnte direktiv</w:t>
      </w:r>
    </w:p>
    <w:p w14:paraId="73B5AF70" w14:textId="77777777" w:rsidR="00307670" w:rsidRPr="00393250" w:rsidRDefault="00307670">
      <w:pPr>
        <w:widowControl/>
        <w:rPr>
          <w:szCs w:val="24"/>
          <w:lang w:eastAsia="en-US"/>
        </w:rPr>
      </w:pPr>
      <w:r w:rsidRPr="00393250">
        <w:rPr>
          <w:szCs w:val="24"/>
          <w:lang w:eastAsia="en-US"/>
        </w:rPr>
        <w:br w:type="page"/>
      </w:r>
    </w:p>
    <w:p w14:paraId="311E6F2B" w14:textId="327C4A81" w:rsidR="008A5B47" w:rsidRPr="00393250" w:rsidRDefault="008A5B47" w:rsidP="008A5B47">
      <w:pPr>
        <w:spacing w:before="120" w:after="120" w:line="360" w:lineRule="auto"/>
        <w:ind w:left="1982" w:hanging="566"/>
        <w:rPr>
          <w:szCs w:val="24"/>
          <w:lang w:eastAsia="en-US"/>
        </w:rPr>
      </w:pPr>
      <w:r w:rsidRPr="00393250">
        <w:rPr>
          <w:szCs w:val="24"/>
          <w:lang w:eastAsia="en-US"/>
        </w:rPr>
        <w:lastRenderedPageBreak/>
        <w:t>e)</w:t>
      </w:r>
      <w:r w:rsidRPr="00393250">
        <w:rPr>
          <w:szCs w:val="24"/>
          <w:lang w:eastAsia="en-US"/>
        </w:rPr>
        <w:tab/>
        <w:t>oplysninger om produktionsmængder, anvendelsesmønstre, iboende egenskaber (herunder mobilitet i jord og, hvor det er relevant, partikelstørrelse), koncentrationer i miljøet og skadelige virkninger for menneskers sundhed og vandmiljøet af et bestemt stof eller en bestemt gruppe af stoffer, herunder oplysninger indsamlet i overensstemmelse med Europa-Parlamentets og Rådets forordning (EF) nr. 1907/2006***, Europa-Parlamentets og Rådets forordning (EF) nr. 1107/2009****, Europa-Parlamentets og Rådets forordning (EU) nr. 528/2012*****, Europa-Parlamentets og Rådets forordning (EU) 2019/6******, Europa-Parlamentets og Rådets direktiv 2001/83/EF******* og Europa-Parlamentets og Rådets direktiv 2009/128/EF********</w:t>
      </w:r>
    </w:p>
    <w:p w14:paraId="68735D87" w14:textId="77777777" w:rsidR="00307670" w:rsidRPr="00393250" w:rsidRDefault="00307670">
      <w:pPr>
        <w:widowControl/>
        <w:rPr>
          <w:szCs w:val="24"/>
          <w:lang w:eastAsia="en-US"/>
        </w:rPr>
      </w:pPr>
      <w:r w:rsidRPr="00393250">
        <w:rPr>
          <w:szCs w:val="24"/>
          <w:lang w:eastAsia="en-US"/>
        </w:rPr>
        <w:br w:type="page"/>
      </w:r>
    </w:p>
    <w:p w14:paraId="779B9EAF" w14:textId="6543090F" w:rsidR="008A5B47" w:rsidRPr="00393250" w:rsidRDefault="008A5B47" w:rsidP="008A5B47">
      <w:pPr>
        <w:spacing w:before="120" w:after="120" w:line="360" w:lineRule="auto"/>
        <w:ind w:left="1982" w:hanging="566"/>
        <w:rPr>
          <w:b/>
          <w:szCs w:val="24"/>
          <w:lang w:eastAsia="en-US"/>
        </w:rPr>
      </w:pPr>
      <w:r w:rsidRPr="00393250">
        <w:rPr>
          <w:szCs w:val="24"/>
          <w:lang w:eastAsia="en-US"/>
        </w:rPr>
        <w:lastRenderedPageBreak/>
        <w:t>f)</w:t>
      </w:r>
      <w:r w:rsidRPr="00393250">
        <w:rPr>
          <w:szCs w:val="24"/>
          <w:lang w:eastAsia="en-US"/>
        </w:rPr>
        <w:tab/>
        <w:t>forskningsprojekter og videnskabelige publikationer</w:t>
      </w:r>
      <w:r w:rsidRPr="00393250">
        <w:rPr>
          <w:b/>
          <w:i/>
          <w:szCs w:val="24"/>
          <w:lang w:eastAsia="en-US"/>
        </w:rPr>
        <w:t xml:space="preserve"> og videnskabelig dokumentation</w:t>
      </w:r>
      <w:r w:rsidRPr="00393250">
        <w:rPr>
          <w:szCs w:val="24"/>
          <w:lang w:eastAsia="en-US"/>
        </w:rPr>
        <w:t>, herunder</w:t>
      </w:r>
      <w:r w:rsidRPr="00393250">
        <w:rPr>
          <w:b/>
          <w:i/>
          <w:szCs w:val="24"/>
          <w:lang w:eastAsia="en-US"/>
        </w:rPr>
        <w:t xml:space="preserve"> oplysninger om indvirkningen af materielle og termiske forurenende stoffer samt indvirkningen af udvindings-og infrastrukturprojekter over og under jorden på grundvandets økosystemer og grundvandsafhængige økosystemer og deres biodiversitet,</w:t>
      </w:r>
      <w:r w:rsidRPr="00393250">
        <w:rPr>
          <w:szCs w:val="24"/>
          <w:lang w:eastAsia="en-US"/>
        </w:rPr>
        <w:t xml:space="preserve"> oplysninger om tendenser og prognoser baseret på modeller eller andre prognostiske vurderinger samt </w:t>
      </w:r>
      <w:r w:rsidRPr="00393250">
        <w:rPr>
          <w:strike/>
          <w:szCs w:val="24"/>
          <w:lang w:eastAsia="en-US"/>
        </w:rPr>
        <w:t xml:space="preserve">data og </w:t>
      </w:r>
      <w:r w:rsidRPr="00393250">
        <w:rPr>
          <w:szCs w:val="24"/>
          <w:lang w:eastAsia="en-US"/>
        </w:rPr>
        <w:t>oplysninger</w:t>
      </w:r>
      <w:r w:rsidRPr="00393250">
        <w:rPr>
          <w:b/>
          <w:i/>
          <w:szCs w:val="24"/>
          <w:lang w:eastAsia="en-US"/>
        </w:rPr>
        <w:t xml:space="preserve"> og data, som er indsamlet</w:t>
      </w:r>
      <w:r w:rsidRPr="00393250">
        <w:rPr>
          <w:szCs w:val="24"/>
          <w:lang w:eastAsia="en-US"/>
        </w:rPr>
        <w:t xml:space="preserve"> fra telemålingsteknologier, jordobservation (Copernicustjenester), in situ-sensorer og -udstyr eller borgervidenskabelige data, der udnytter de muligheder, der ligger i kunstig intelligens og avanceret dataanalyse og -behandling</w:t>
      </w:r>
      <w:r w:rsidR="00307670" w:rsidRPr="00393250">
        <w:rPr>
          <w:b/>
          <w:szCs w:val="24"/>
          <w:lang w:eastAsia="en-US"/>
        </w:rPr>
        <w:t xml:space="preserve"> [Ændring 88]</w:t>
      </w:r>
    </w:p>
    <w:p w14:paraId="28238627" w14:textId="57BF6841" w:rsidR="008A5B47" w:rsidRPr="00393250" w:rsidRDefault="008A5B47" w:rsidP="008A5B47">
      <w:pPr>
        <w:spacing w:before="120" w:after="120" w:line="360" w:lineRule="auto"/>
        <w:ind w:left="1982" w:hanging="566"/>
        <w:rPr>
          <w:szCs w:val="24"/>
          <w:lang w:eastAsia="en-US"/>
        </w:rPr>
      </w:pPr>
      <w:r w:rsidRPr="00393250">
        <w:rPr>
          <w:szCs w:val="24"/>
          <w:lang w:eastAsia="en-US"/>
        </w:rPr>
        <w:t>g)</w:t>
      </w:r>
      <w:r w:rsidRPr="00393250">
        <w:rPr>
          <w:szCs w:val="24"/>
          <w:lang w:eastAsia="en-US"/>
        </w:rPr>
        <w:tab/>
        <w:t>anbefalinger fra interessenter.</w:t>
      </w:r>
    </w:p>
    <w:p w14:paraId="75DE5344" w14:textId="197D3A70" w:rsidR="008A5B47" w:rsidRPr="00393250" w:rsidRDefault="008A5B47" w:rsidP="008A5B47">
      <w:pPr>
        <w:spacing w:before="120" w:after="120" w:line="360" w:lineRule="auto"/>
        <w:ind w:left="1416"/>
        <w:rPr>
          <w:szCs w:val="24"/>
          <w:lang w:eastAsia="en-US"/>
        </w:rPr>
      </w:pPr>
      <w:r w:rsidRPr="00393250">
        <w:rPr>
          <w:szCs w:val="24"/>
          <w:lang w:eastAsia="en-US"/>
        </w:rPr>
        <w:t>ECHA udarbejder hvert tredje år en rapport, der sammenfatter resultaterne af de videnskabelige rapporter, der er udarbejdet i henhold til fjerde afsnit, og offentliggør rapporten. Den første rapport stilles til rådighed senest den [</w:t>
      </w:r>
      <w:r w:rsidR="003C5218" w:rsidRPr="00393250">
        <w:rPr>
          <w:szCs w:val="24"/>
          <w:lang w:eastAsia="en-US"/>
        </w:rPr>
        <w:t>Publikationskontoret: Indsæt venligst datoen = den første dag i den enogtyvende måned efter datoen for dette direktivs ikrafttræden</w:t>
      </w:r>
      <w:r w:rsidRPr="00393250">
        <w:rPr>
          <w:szCs w:val="24"/>
          <w:lang w:eastAsia="en-US"/>
        </w:rPr>
        <w:t>].</w:t>
      </w:r>
    </w:p>
    <w:p w14:paraId="3A10690B" w14:textId="77777777" w:rsidR="00307670" w:rsidRPr="00393250" w:rsidRDefault="00307670">
      <w:pPr>
        <w:widowControl/>
        <w:rPr>
          <w:szCs w:val="24"/>
          <w:lang w:eastAsia="en-US"/>
        </w:rPr>
      </w:pPr>
      <w:r w:rsidRPr="00393250">
        <w:rPr>
          <w:szCs w:val="24"/>
          <w:lang w:eastAsia="en-US"/>
        </w:rPr>
        <w:br w:type="page"/>
      </w:r>
    </w:p>
    <w:p w14:paraId="6D2D5462" w14:textId="20593204" w:rsidR="008A5B47" w:rsidRPr="00393250" w:rsidRDefault="008A5B47" w:rsidP="008A5B47">
      <w:pPr>
        <w:spacing w:before="120" w:after="120" w:line="360" w:lineRule="auto"/>
        <w:ind w:left="1416" w:hanging="566"/>
        <w:rPr>
          <w:b/>
          <w:szCs w:val="24"/>
          <w:lang w:eastAsia="en-US"/>
        </w:rPr>
      </w:pPr>
      <w:r w:rsidRPr="00393250">
        <w:rPr>
          <w:szCs w:val="24"/>
          <w:lang w:eastAsia="en-US"/>
        </w:rPr>
        <w:lastRenderedPageBreak/>
        <w:t>2.</w:t>
      </w:r>
      <w:r w:rsidRPr="00393250">
        <w:rPr>
          <w:szCs w:val="24"/>
          <w:lang w:eastAsia="en-US"/>
        </w:rPr>
        <w:tab/>
        <w:t>Den første observationsliste skal oprettes senest den</w:t>
      </w:r>
      <w:r w:rsidR="005E0B54" w:rsidRPr="00393250">
        <w:rPr>
          <w:szCs w:val="24"/>
          <w:lang w:eastAsia="en-US"/>
        </w:rPr>
        <w:t>…</w:t>
      </w:r>
      <w:r w:rsidRPr="00393250">
        <w:rPr>
          <w:szCs w:val="24"/>
          <w:lang w:eastAsia="en-US"/>
        </w:rPr>
        <w:t xml:space="preserve"> [</w:t>
      </w:r>
      <w:r w:rsidR="003C5218" w:rsidRPr="00393250">
        <w:rPr>
          <w:szCs w:val="24"/>
          <w:lang w:eastAsia="en-US"/>
        </w:rPr>
        <w:t>Publikationskontoret: Indsæt venligst datoen = den første dag i den måned, der følger 24 måneder efter datoen for dette direktivs ikrafttræden</w:t>
      </w:r>
      <w:r w:rsidRPr="00393250">
        <w:rPr>
          <w:szCs w:val="24"/>
          <w:lang w:eastAsia="en-US"/>
        </w:rPr>
        <w:t>]. Observationslisten ajourføres derefter hver 36. måned</w:t>
      </w:r>
      <w:r w:rsidRPr="00393250">
        <w:rPr>
          <w:b/>
          <w:i/>
          <w:szCs w:val="24"/>
          <w:lang w:eastAsia="en-US"/>
        </w:rPr>
        <w:t xml:space="preserve"> eller hyppigere, hvis der fremkommer ny videnskabelig dokumentation, som nødvendiggør, at listen ajourføres i overgangsperioden mellem de individuelle revisioner</w:t>
      </w:r>
      <w:r w:rsidRPr="00393250">
        <w:rPr>
          <w:szCs w:val="24"/>
          <w:lang w:eastAsia="en-US"/>
        </w:rPr>
        <w:t>.</w:t>
      </w:r>
      <w:r w:rsidR="00307670" w:rsidRPr="00393250">
        <w:rPr>
          <w:b/>
          <w:szCs w:val="24"/>
          <w:lang w:eastAsia="en-US"/>
        </w:rPr>
        <w:t xml:space="preserve"> [Ændring 89]</w:t>
      </w:r>
    </w:p>
    <w:p w14:paraId="7F0B1707" w14:textId="3AB0B26C" w:rsidR="008A5B47" w:rsidRPr="00393250" w:rsidRDefault="008A5B47" w:rsidP="008A5B47">
      <w:pPr>
        <w:spacing w:before="120" w:after="120" w:line="360" w:lineRule="auto"/>
        <w:ind w:left="1416"/>
        <w:rPr>
          <w:b/>
          <w:szCs w:val="24"/>
          <w:lang w:eastAsia="en-US"/>
        </w:rPr>
      </w:pPr>
      <w:r w:rsidRPr="00393250">
        <w:rPr>
          <w:b/>
          <w:i/>
          <w:szCs w:val="24"/>
          <w:lang w:eastAsia="en-US"/>
        </w:rPr>
        <w:t>Medlemsstaterne evaluerer hvert andet år indvirkningen på vandkvaliteten af industrielle aktiviteter i forbindelse med energiomstillingen og underretter Kommissionen om nyligt identificerede trusler, så den kan ajourføre observationslisten i overensstemmelse hermed. Evalueringen skal være let tilgængelig for offentligheden.</w:t>
      </w:r>
      <w:r w:rsidR="00B35773" w:rsidRPr="00393250">
        <w:rPr>
          <w:b/>
          <w:szCs w:val="24"/>
          <w:lang w:eastAsia="en-US"/>
        </w:rPr>
        <w:t xml:space="preserve"> [Ændring 90]</w:t>
      </w:r>
    </w:p>
    <w:p w14:paraId="1848E666" w14:textId="77777777" w:rsidR="00B35773" w:rsidRPr="00393250" w:rsidRDefault="00B35773">
      <w:pPr>
        <w:widowControl/>
        <w:rPr>
          <w:szCs w:val="24"/>
          <w:lang w:eastAsia="en-US"/>
        </w:rPr>
      </w:pPr>
      <w:r w:rsidRPr="00393250">
        <w:rPr>
          <w:szCs w:val="24"/>
          <w:lang w:eastAsia="en-US"/>
        </w:rPr>
        <w:br w:type="page"/>
      </w:r>
    </w:p>
    <w:p w14:paraId="677F693E" w14:textId="27B9A703" w:rsidR="008A5B47" w:rsidRPr="00393250" w:rsidRDefault="008A5B47" w:rsidP="008A5B47">
      <w:pPr>
        <w:spacing w:before="120" w:after="120" w:line="360" w:lineRule="auto"/>
        <w:ind w:left="1416"/>
        <w:rPr>
          <w:szCs w:val="24"/>
          <w:lang w:eastAsia="en-US"/>
        </w:rPr>
      </w:pPr>
      <w:r w:rsidRPr="00393250">
        <w:rPr>
          <w:szCs w:val="24"/>
          <w:lang w:eastAsia="en-US"/>
        </w:rPr>
        <w:lastRenderedPageBreak/>
        <w:t>Når Kommissionen ajourfører observationslisten, fjerner den ethvert stof eller enhver gruppe af stoffer fra den eksisterende observationsliste, for hvilket den anser det for muligt at vurdere risikoen for vandmiljøet uden yderligere overvågningsdata. Når observationslisten ajourføres, kan et individuelt stof eller en gruppe af stoffer forblive på observationslisten i endnu en periode på tre år, hvis der er behov for yderligere overvågningsdata for at vurdere risikoen for vandmiljøet. Den ajourførte observationsliste skal også indeholde et eller flere yderligere stoffer, som efter Kommissionens vurdering under hensyntagen til ECHA's videnskabelige rapporter kan udgøre en risiko for vandmiljøet.</w:t>
      </w:r>
    </w:p>
    <w:p w14:paraId="1DF5598D"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3.</w:t>
      </w:r>
      <w:r w:rsidRPr="00393250">
        <w:rPr>
          <w:szCs w:val="24"/>
          <w:lang w:eastAsia="en-US"/>
        </w:rPr>
        <w:tab/>
        <w:t>Medlemsstaterne overvåger hvert stof eller hver gruppe af stoffer på observationslisten ved udvalgte repræsentative overvågningsstationer over en periode på 24 måneder. Overvågningsperioden begynder senest seks måneder efter udarbejdelsen af observationslisten.</w:t>
      </w:r>
    </w:p>
    <w:p w14:paraId="68792A85" w14:textId="05629DA9" w:rsidR="008A5B47" w:rsidRPr="00393250" w:rsidRDefault="008A5B47" w:rsidP="008A5B47">
      <w:pPr>
        <w:spacing w:before="120" w:after="120" w:line="360" w:lineRule="auto"/>
        <w:ind w:left="1416"/>
        <w:rPr>
          <w:b/>
          <w:szCs w:val="24"/>
          <w:lang w:eastAsia="en-US"/>
        </w:rPr>
      </w:pPr>
      <w:r w:rsidRPr="00393250">
        <w:rPr>
          <w:szCs w:val="24"/>
          <w:lang w:eastAsia="en-US"/>
        </w:rPr>
        <w:t xml:space="preserve">Hver medlemsstat udvælger mindst </w:t>
      </w:r>
      <w:r w:rsidRPr="00393250">
        <w:rPr>
          <w:strike/>
          <w:szCs w:val="24"/>
          <w:lang w:eastAsia="en-US"/>
        </w:rPr>
        <w:t>én overvågningsstation</w:t>
      </w:r>
      <w:r w:rsidRPr="00393250">
        <w:rPr>
          <w:b/>
          <w:i/>
          <w:szCs w:val="24"/>
          <w:lang w:eastAsia="en-US"/>
        </w:rPr>
        <w:t>to overvågningsstationer</w:t>
      </w:r>
      <w:r w:rsidRPr="00393250">
        <w:rPr>
          <w:szCs w:val="24"/>
          <w:lang w:eastAsia="en-US"/>
        </w:rPr>
        <w:t xml:space="preserve"> plus antallet af stationer svarende til dens samlede areal i km² grundvandsforekomster divideret med </w:t>
      </w:r>
      <w:r w:rsidRPr="00393250">
        <w:rPr>
          <w:strike/>
          <w:szCs w:val="24"/>
          <w:lang w:eastAsia="en-US"/>
        </w:rPr>
        <w:t>60 000</w:t>
      </w:r>
      <w:r w:rsidRPr="00393250">
        <w:rPr>
          <w:b/>
          <w:i/>
          <w:szCs w:val="24"/>
          <w:lang w:eastAsia="en-US"/>
        </w:rPr>
        <w:t>30 000</w:t>
      </w:r>
      <w:r w:rsidRPr="00393250">
        <w:rPr>
          <w:szCs w:val="24"/>
          <w:lang w:eastAsia="en-US"/>
        </w:rPr>
        <w:t xml:space="preserve"> (afrundet til nærmeste hele tal).</w:t>
      </w:r>
      <w:r w:rsidR="00B35773" w:rsidRPr="00393250">
        <w:rPr>
          <w:b/>
          <w:szCs w:val="24"/>
          <w:lang w:eastAsia="en-US"/>
        </w:rPr>
        <w:t xml:space="preserve"> [Ændring 91]</w:t>
      </w:r>
    </w:p>
    <w:p w14:paraId="4A12FA58" w14:textId="77777777" w:rsidR="00B35773" w:rsidRPr="00393250" w:rsidRDefault="00B35773">
      <w:pPr>
        <w:widowControl/>
        <w:rPr>
          <w:szCs w:val="24"/>
          <w:lang w:eastAsia="en-US"/>
        </w:rPr>
      </w:pPr>
      <w:r w:rsidRPr="00393250">
        <w:rPr>
          <w:szCs w:val="24"/>
          <w:lang w:eastAsia="en-US"/>
        </w:rPr>
        <w:br w:type="page"/>
      </w:r>
    </w:p>
    <w:p w14:paraId="0B612848" w14:textId="33471C3C" w:rsidR="008A5B47" w:rsidRPr="00393250" w:rsidRDefault="008A5B47" w:rsidP="008A5B47">
      <w:pPr>
        <w:spacing w:before="120" w:after="120" w:line="360" w:lineRule="auto"/>
        <w:ind w:left="1416"/>
        <w:rPr>
          <w:szCs w:val="24"/>
          <w:lang w:eastAsia="en-US"/>
        </w:rPr>
      </w:pPr>
      <w:r w:rsidRPr="00393250">
        <w:rPr>
          <w:szCs w:val="24"/>
          <w:lang w:eastAsia="en-US"/>
        </w:rPr>
        <w:lastRenderedPageBreak/>
        <w:t>Ved udvælgelsen af repræsentative overvågningsstationer, overvågningshyppigheden og sæsontidspunktet for hvert stof eller hver gruppe af stoffer tager medlemsstaterne hensyn til anvendelsesmønstrene og den mulige forekomst af stoffet eller gruppen af stoffer. Overvågningsfrekvensen skal være mindst en gang om året.</w:t>
      </w:r>
    </w:p>
    <w:p w14:paraId="2952FE37" w14:textId="77777777" w:rsidR="008A5B47" w:rsidRPr="00393250" w:rsidRDefault="008A5B47" w:rsidP="008A5B47">
      <w:pPr>
        <w:spacing w:before="120" w:after="120" w:line="360" w:lineRule="auto"/>
        <w:ind w:left="1416"/>
        <w:rPr>
          <w:szCs w:val="24"/>
          <w:lang w:eastAsia="en-US"/>
        </w:rPr>
      </w:pPr>
      <w:r w:rsidRPr="00393250">
        <w:rPr>
          <w:szCs w:val="24"/>
          <w:lang w:eastAsia="en-US"/>
        </w:rPr>
        <w:t>Hvis en medlemsstat er i stand til at generere tilstrækkelige, sammenlignelige, repræsentative og nylige overvågningsdata for et bestemt stof eller en bestemt gruppe af stoffer fra eksisterende overvågningsprogrammer eller -undersøgelser, kan den beslutte ikke at foretage yderligere overvågning under observationslistemekanismen for det pågældende stof eller den pågældende gruppe af stoffer, forudsat at stoffet eller gruppen af stoffer er blevet overvåget ved hjælp af en metode, der er i overensstemmelse med overvågningsmatricerne og de analysemetoder, der er omhandlet i gennemførelsesretsakten om oprettelse af observationslisten.</w:t>
      </w:r>
    </w:p>
    <w:p w14:paraId="03F3746B" w14:textId="77777777" w:rsidR="00B35773" w:rsidRPr="00393250" w:rsidRDefault="00B35773">
      <w:pPr>
        <w:widowControl/>
        <w:rPr>
          <w:szCs w:val="24"/>
          <w:lang w:eastAsia="en-US"/>
        </w:rPr>
      </w:pPr>
      <w:r w:rsidRPr="00393250">
        <w:rPr>
          <w:szCs w:val="24"/>
          <w:lang w:eastAsia="en-US"/>
        </w:rPr>
        <w:br w:type="page"/>
      </w:r>
    </w:p>
    <w:p w14:paraId="6FEF5653" w14:textId="551AE5EC" w:rsidR="008A5B47" w:rsidRPr="00393250" w:rsidRDefault="008A5B47" w:rsidP="008A5B47">
      <w:pPr>
        <w:spacing w:before="120" w:after="120" w:line="360" w:lineRule="auto"/>
        <w:ind w:left="1416" w:hanging="566"/>
        <w:rPr>
          <w:szCs w:val="24"/>
          <w:lang w:eastAsia="en-US"/>
        </w:rPr>
      </w:pPr>
      <w:r w:rsidRPr="00393250">
        <w:rPr>
          <w:szCs w:val="24"/>
          <w:lang w:eastAsia="en-US"/>
        </w:rPr>
        <w:lastRenderedPageBreak/>
        <w:t>4.</w:t>
      </w:r>
      <w:r w:rsidRPr="00393250">
        <w:rPr>
          <w:szCs w:val="24"/>
          <w:lang w:eastAsia="en-US"/>
        </w:rPr>
        <w:tab/>
        <w:t>Medlemsstaterne stiller resultaterne af den overvågning, der er omhandlet i nærværende artikels stk. 3, til rådighed i overensstemmelse med artikel 8, stk. 4, i direktiv 2000/60/EF og gennemførelsesretsakten om oprettelse af observationslisten som vedtaget i henhold til stk. 1. De stiller også oplysninger til rådighed om overvågningsstationernes repræsentativitet og om overvågningsstrategien.</w:t>
      </w:r>
    </w:p>
    <w:p w14:paraId="4BCF9FE5"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5.</w:t>
      </w:r>
      <w:r w:rsidRPr="00393250">
        <w:rPr>
          <w:szCs w:val="24"/>
          <w:lang w:eastAsia="en-US"/>
        </w:rPr>
        <w:tab/>
        <w:t>ECHA gennemgår overvågningsresultaterne ved udgangen af den periode på 24 måneder, der er omhandlet i stk. 3, og vurderer, hvilke stoffer eller stofgrupper der skal overvåges i endnu en periode på 24 måneder og derfor skal bibeholdes på observationslisten, og hvilke stoffer eller grupper af stoffer der kan fjernes fra observationslisten.</w:t>
      </w:r>
    </w:p>
    <w:p w14:paraId="7735E3D6" w14:textId="77777777" w:rsidR="008A5B47" w:rsidRPr="00393250" w:rsidRDefault="008A5B47" w:rsidP="008A5B47">
      <w:pPr>
        <w:spacing w:before="120" w:after="120" w:line="360" w:lineRule="auto"/>
        <w:ind w:left="1416"/>
        <w:rPr>
          <w:szCs w:val="24"/>
          <w:lang w:eastAsia="en-US"/>
        </w:rPr>
      </w:pPr>
      <w:r w:rsidRPr="00393250">
        <w:rPr>
          <w:szCs w:val="24"/>
          <w:lang w:eastAsia="en-US"/>
        </w:rPr>
        <w:t>Hvis Kommissionen under hensyntagen til ECHA's vurdering, jf. første afsnit, konkluderer, at der ikke er behov for yderligere overvågning for yderligere at vurdere risikoen for vandmiljøet, tages der hensyn til denne vurdering i forbindelse med revisionen af bilag I eller II, jf. artikel 8.</w:t>
      </w:r>
    </w:p>
    <w:p w14:paraId="18488A05" w14:textId="77777777" w:rsidR="00B35773" w:rsidRPr="00393250" w:rsidRDefault="00B35773">
      <w:pPr>
        <w:widowControl/>
        <w:rPr>
          <w:szCs w:val="24"/>
          <w:lang w:eastAsia="en-US"/>
        </w:rPr>
      </w:pPr>
      <w:r w:rsidRPr="00393250">
        <w:rPr>
          <w:szCs w:val="24"/>
          <w:lang w:eastAsia="en-US"/>
        </w:rPr>
        <w:br w:type="page"/>
      </w:r>
    </w:p>
    <w:p w14:paraId="69728C2A" w14:textId="2DC5CCA4" w:rsidR="008A5B47" w:rsidRPr="00393250" w:rsidRDefault="008A5B47" w:rsidP="008A5B47">
      <w:pPr>
        <w:spacing w:before="120" w:after="120" w:line="360" w:lineRule="auto"/>
        <w:ind w:left="1416"/>
        <w:rPr>
          <w:szCs w:val="24"/>
          <w:lang w:eastAsia="en-US"/>
        </w:rPr>
      </w:pPr>
      <w:r w:rsidRPr="00393250">
        <w:rPr>
          <w:szCs w:val="24"/>
          <w:lang w:eastAsia="en-US"/>
        </w:rPr>
        <w:lastRenderedPageBreak/>
        <w:t>* Europa-Parlamentets og Rådets direktiv 2008/105/EF af 16. december 2008 om forebyggelse af og kontrol med forurening af overfladevand, om ændring og senere ophævelse af Rådets direktiv 82/176/EØF, 83/513/EØF, 84/156/EØF, 84/491/EØF og 86/280/EØF og om ændring af Europa-Parlamentets og Rådets direktiv 2000/60/EF (EUT L 348 af 24.12.2008, s. 84).</w:t>
      </w:r>
    </w:p>
    <w:p w14:paraId="6A78182C" w14:textId="77777777" w:rsidR="008A5B47" w:rsidRPr="00393250" w:rsidRDefault="008A5B47" w:rsidP="008A5B47">
      <w:pPr>
        <w:spacing w:before="120" w:after="120" w:line="360" w:lineRule="auto"/>
        <w:ind w:left="1416"/>
        <w:rPr>
          <w:szCs w:val="24"/>
          <w:lang w:eastAsia="en-US"/>
        </w:rPr>
      </w:pPr>
      <w:r w:rsidRPr="00393250">
        <w:rPr>
          <w:szCs w:val="24"/>
          <w:lang w:eastAsia="en-US"/>
        </w:rPr>
        <w:t>** Europa-Parlamentets og Rådets direktiv (EU) 2020/2184 af 16. december 2020 om kvaliteten af drikkevand (EUT L 435 af 23.12.2020, s. 1).</w:t>
      </w:r>
    </w:p>
    <w:p w14:paraId="1C4445ED" w14:textId="77777777" w:rsidR="008A5B47" w:rsidRPr="00393250" w:rsidRDefault="008A5B47" w:rsidP="008A5B47">
      <w:pPr>
        <w:spacing w:before="120" w:after="120" w:line="360" w:lineRule="auto"/>
        <w:ind w:left="1416"/>
        <w:rPr>
          <w:szCs w:val="24"/>
          <w:lang w:eastAsia="en-US"/>
        </w:rPr>
      </w:pPr>
      <w:r w:rsidRPr="00393250">
        <w:rPr>
          <w:szCs w:val="24"/>
          <w:lang w:eastAsia="en-US"/>
        </w:rPr>
        <w:t>*** Europa-Parlamentets og Rådets forordning (EF) nr. 1907/2006 af 18. december 2006 om registrering, vurdering og godkendelse af samt begrænsninger for kemikalier (EUT L 396 af 30.12.2006, s. 1).</w:t>
      </w:r>
    </w:p>
    <w:p w14:paraId="023B44D5" w14:textId="77777777" w:rsidR="008A5B47" w:rsidRPr="00393250" w:rsidRDefault="008A5B47" w:rsidP="008A5B47">
      <w:pPr>
        <w:spacing w:before="120" w:after="120" w:line="360" w:lineRule="auto"/>
        <w:ind w:left="1416"/>
        <w:rPr>
          <w:szCs w:val="24"/>
          <w:lang w:eastAsia="en-US"/>
        </w:rPr>
      </w:pPr>
      <w:r w:rsidRPr="00393250">
        <w:rPr>
          <w:szCs w:val="24"/>
          <w:lang w:eastAsia="en-US"/>
        </w:rPr>
        <w:t>**** Europa-Parlamentets og Rådets forordning (EF) nr. 1107/2009 af 21. oktober 2009 om markedsføring af plantebeskyttelsesmidler (EUT L 309 af 24.11.2009, s. 1).</w:t>
      </w:r>
    </w:p>
    <w:p w14:paraId="0444C004" w14:textId="77777777" w:rsidR="00B35773" w:rsidRPr="00393250" w:rsidRDefault="00B35773">
      <w:pPr>
        <w:widowControl/>
        <w:rPr>
          <w:szCs w:val="24"/>
          <w:lang w:eastAsia="en-US"/>
        </w:rPr>
      </w:pPr>
      <w:r w:rsidRPr="00393250">
        <w:rPr>
          <w:szCs w:val="24"/>
          <w:lang w:eastAsia="en-US"/>
        </w:rPr>
        <w:br w:type="page"/>
      </w:r>
    </w:p>
    <w:p w14:paraId="36CC478B" w14:textId="31E39E82" w:rsidR="008A5B47" w:rsidRPr="00393250" w:rsidRDefault="008A5B47" w:rsidP="008A5B47">
      <w:pPr>
        <w:spacing w:before="120" w:after="120" w:line="360" w:lineRule="auto"/>
        <w:ind w:left="1416"/>
        <w:rPr>
          <w:szCs w:val="24"/>
          <w:lang w:eastAsia="en-US"/>
        </w:rPr>
      </w:pPr>
      <w:r w:rsidRPr="00393250">
        <w:rPr>
          <w:szCs w:val="24"/>
          <w:lang w:eastAsia="en-US"/>
        </w:rPr>
        <w:lastRenderedPageBreak/>
        <w:t>***** Europa-Parlamentets og Rådets forordning (EU) nr. 528/2012 af 22. maj 2012 om tilgængeliggørelse på markedet og anvendelse af biocidholdige produkter (EUT L 167 af 27.6.2012, s. 1).</w:t>
      </w:r>
    </w:p>
    <w:p w14:paraId="55E160C3" w14:textId="77777777" w:rsidR="008A5B47" w:rsidRPr="00393250" w:rsidRDefault="008A5B47" w:rsidP="008A5B47">
      <w:pPr>
        <w:spacing w:before="120" w:after="120" w:line="360" w:lineRule="auto"/>
        <w:ind w:left="1416"/>
        <w:rPr>
          <w:szCs w:val="24"/>
          <w:lang w:eastAsia="en-US"/>
        </w:rPr>
      </w:pPr>
      <w:r w:rsidRPr="00393250">
        <w:rPr>
          <w:szCs w:val="24"/>
          <w:lang w:eastAsia="en-US"/>
        </w:rPr>
        <w:t>****** Europa-Parlamentets og Rådets forordning (EU) 2019/6 af 11. december 2018 om veterinærlægemidler (EUT L 4 af 7.1.2019, s. 43).</w:t>
      </w:r>
    </w:p>
    <w:p w14:paraId="4249EB56" w14:textId="77777777" w:rsidR="008A5B47" w:rsidRPr="00393250" w:rsidRDefault="008A5B47" w:rsidP="008A5B47">
      <w:pPr>
        <w:spacing w:before="120" w:after="120" w:line="360" w:lineRule="auto"/>
        <w:ind w:left="1416"/>
        <w:rPr>
          <w:szCs w:val="24"/>
          <w:lang w:eastAsia="en-US"/>
        </w:rPr>
      </w:pPr>
      <w:r w:rsidRPr="00393250">
        <w:rPr>
          <w:szCs w:val="24"/>
          <w:lang w:eastAsia="en-US"/>
        </w:rPr>
        <w:t>******* Europa-Parlamentets og Rådets direktiv 2001/83/EF af 6. november 2001 om oprettelse af en fællesskabskodeks for humanmedicinske lægemidler (EFT L 311 af 28.11.2001, s. 67).</w:t>
      </w:r>
    </w:p>
    <w:p w14:paraId="28D61B8F" w14:textId="77777777" w:rsidR="008A5B47" w:rsidRPr="00393250" w:rsidRDefault="008A5B47" w:rsidP="008A5B47">
      <w:pPr>
        <w:spacing w:before="120" w:after="120" w:line="360" w:lineRule="auto"/>
        <w:ind w:left="1416"/>
        <w:rPr>
          <w:szCs w:val="24"/>
          <w:lang w:eastAsia="en-US"/>
        </w:rPr>
      </w:pPr>
      <w:r w:rsidRPr="00393250">
        <w:rPr>
          <w:szCs w:val="24"/>
          <w:lang w:eastAsia="en-US"/>
        </w:rPr>
        <w:t>******** Europa-Parlamentets og Rådets direktiv 2009/128/EF af 21. oktober 2009 om en ramme for Fællesskabets indsats for en bæredygtig anvendelse af pesticider (EUT L 309 af 24.11.2009, s. 71)."</w:t>
      </w:r>
    </w:p>
    <w:p w14:paraId="42BD4701" w14:textId="77777777" w:rsidR="00B35773" w:rsidRPr="00393250" w:rsidRDefault="00B35773">
      <w:pPr>
        <w:widowControl/>
        <w:rPr>
          <w:b/>
          <w:i/>
          <w:szCs w:val="24"/>
          <w:lang w:eastAsia="en-US"/>
        </w:rPr>
      </w:pPr>
      <w:r w:rsidRPr="00393250">
        <w:rPr>
          <w:b/>
          <w:i/>
          <w:szCs w:val="24"/>
          <w:lang w:eastAsia="en-US"/>
        </w:rPr>
        <w:br w:type="page"/>
      </w:r>
    </w:p>
    <w:p w14:paraId="38EC0435" w14:textId="5C870450" w:rsidR="008A5B47" w:rsidRPr="00393250" w:rsidRDefault="008A5B47" w:rsidP="008A5B47">
      <w:pPr>
        <w:spacing w:before="120" w:after="120" w:line="360" w:lineRule="auto"/>
        <w:ind w:left="850" w:hanging="850"/>
        <w:rPr>
          <w:szCs w:val="24"/>
          <w:lang w:eastAsia="en-US"/>
        </w:rPr>
      </w:pPr>
      <w:r w:rsidRPr="00393250">
        <w:rPr>
          <w:b/>
          <w:i/>
          <w:szCs w:val="24"/>
          <w:lang w:eastAsia="en-US"/>
        </w:rPr>
        <w:lastRenderedPageBreak/>
        <w:t>6a)</w:t>
      </w:r>
      <w:r w:rsidRPr="00393250">
        <w:rPr>
          <w:szCs w:val="24"/>
          <w:lang w:eastAsia="en-US"/>
        </w:rPr>
        <w:tab/>
      </w:r>
      <w:r w:rsidRPr="00393250">
        <w:rPr>
          <w:b/>
          <w:i/>
          <w:szCs w:val="24"/>
          <w:lang w:eastAsia="en-US"/>
        </w:rPr>
        <w:t>Følgende artikel indsættes:</w:t>
      </w:r>
    </w:p>
    <w:p w14:paraId="516A3520" w14:textId="7BCC64ED" w:rsidR="008A5B47" w:rsidRPr="00393250" w:rsidRDefault="00B35773" w:rsidP="008A5B47">
      <w:pPr>
        <w:spacing w:before="120" w:after="120" w:line="360" w:lineRule="auto"/>
        <w:ind w:left="850"/>
        <w:rPr>
          <w:szCs w:val="24"/>
          <w:lang w:eastAsia="en-US"/>
        </w:rPr>
      </w:pPr>
      <w:r w:rsidRPr="00393250">
        <w:rPr>
          <w:b/>
          <w:i/>
          <w:szCs w:val="24"/>
          <w:lang w:eastAsia="en-US"/>
        </w:rPr>
        <w:t>"</w:t>
      </w:r>
      <w:r w:rsidR="008A5B47" w:rsidRPr="00393250">
        <w:rPr>
          <w:b/>
          <w:i/>
          <w:szCs w:val="24"/>
          <w:lang w:eastAsia="en-US"/>
        </w:rPr>
        <w:t>Artikel 6aa</w:t>
      </w:r>
      <w:r w:rsidR="008A5B47" w:rsidRPr="00393250">
        <w:rPr>
          <w:szCs w:val="24"/>
          <w:lang w:eastAsia="en-US"/>
        </w:rPr>
        <w:br/>
      </w:r>
      <w:r w:rsidR="008A5B47" w:rsidRPr="00393250">
        <w:rPr>
          <w:b/>
          <w:i/>
          <w:szCs w:val="24"/>
          <w:lang w:eastAsia="en-US"/>
        </w:rPr>
        <w:t>Bedre beskyttelse af grundvandsøkosystemer</w:t>
      </w:r>
    </w:p>
    <w:p w14:paraId="7284FE97" w14:textId="010D84C6" w:rsidR="008A5B47" w:rsidRPr="00393250" w:rsidRDefault="008A5B47" w:rsidP="008A5B47">
      <w:pPr>
        <w:spacing w:before="120" w:after="120" w:line="360" w:lineRule="auto"/>
        <w:ind w:left="850"/>
        <w:rPr>
          <w:b/>
          <w:szCs w:val="24"/>
          <w:lang w:eastAsia="en-US"/>
        </w:rPr>
      </w:pPr>
      <w:r w:rsidRPr="00393250">
        <w:rPr>
          <w:b/>
          <w:i/>
          <w:szCs w:val="24"/>
          <w:lang w:eastAsia="en-US"/>
        </w:rPr>
        <w:t>Kommissionen offentliggør senest den [Publikationskontoret: indsæt venligst datoen = fire år efter datoen for dette direktivs ikrafttræden] en vurdering af virkningerne af fysisk-kemiske elementer såsom pH, ilttilsætning og temperatur på grundvandsøkosystemernes sundhed, eventuelt ledsaget af et lovgivningsmæssigt forslag om revision af dette direktiv i overensstemmelse hermed med henblik på at fastsætte de tilsvarende parametre, fastsætte harmoniserede overvågningsmetoder og definere, hvad der ville udgøre en "god økologisk tilstand" for grundvandet."</w:t>
      </w:r>
      <w:r w:rsidR="00B35773" w:rsidRPr="00393250">
        <w:rPr>
          <w:b/>
          <w:szCs w:val="24"/>
          <w:lang w:eastAsia="en-US"/>
        </w:rPr>
        <w:t xml:space="preserve"> [Ændring 92]</w:t>
      </w:r>
    </w:p>
    <w:p w14:paraId="0AEB4E25" w14:textId="77777777" w:rsidR="00B35773" w:rsidRPr="00393250" w:rsidRDefault="00B35773">
      <w:pPr>
        <w:widowControl/>
        <w:rPr>
          <w:b/>
          <w:i/>
          <w:szCs w:val="24"/>
          <w:lang w:eastAsia="en-US"/>
        </w:rPr>
      </w:pPr>
      <w:r w:rsidRPr="00393250">
        <w:rPr>
          <w:b/>
          <w:i/>
          <w:szCs w:val="24"/>
          <w:lang w:eastAsia="en-US"/>
        </w:rPr>
        <w:br w:type="page"/>
      </w:r>
    </w:p>
    <w:p w14:paraId="7327CB42" w14:textId="7EAB410B" w:rsidR="008A5B47" w:rsidRPr="00393250" w:rsidRDefault="008A5B47" w:rsidP="008A5B47">
      <w:pPr>
        <w:spacing w:before="120" w:after="120" w:line="360" w:lineRule="auto"/>
        <w:ind w:left="850" w:hanging="850"/>
        <w:rPr>
          <w:szCs w:val="24"/>
          <w:lang w:eastAsia="en-US"/>
        </w:rPr>
      </w:pPr>
      <w:r w:rsidRPr="00393250">
        <w:rPr>
          <w:b/>
          <w:i/>
          <w:szCs w:val="24"/>
          <w:lang w:eastAsia="en-US"/>
        </w:rPr>
        <w:lastRenderedPageBreak/>
        <w:t>6b)</w:t>
      </w:r>
      <w:r w:rsidRPr="00393250">
        <w:rPr>
          <w:szCs w:val="24"/>
          <w:lang w:eastAsia="en-US"/>
        </w:rPr>
        <w:tab/>
      </w:r>
      <w:r w:rsidRPr="00393250">
        <w:rPr>
          <w:b/>
          <w:i/>
          <w:szCs w:val="24"/>
          <w:lang w:eastAsia="en-US"/>
        </w:rPr>
        <w:t>Følgende artikel indsættes:</w:t>
      </w:r>
    </w:p>
    <w:p w14:paraId="58AD8C1A" w14:textId="2D748C49" w:rsidR="008A5B47" w:rsidRPr="00393250" w:rsidRDefault="0075413E" w:rsidP="008A5B47">
      <w:pPr>
        <w:spacing w:before="120" w:after="120" w:line="360" w:lineRule="auto"/>
        <w:ind w:left="850"/>
        <w:rPr>
          <w:szCs w:val="24"/>
          <w:lang w:eastAsia="en-US"/>
        </w:rPr>
      </w:pPr>
      <w:r w:rsidRPr="00393250">
        <w:rPr>
          <w:b/>
          <w:i/>
          <w:szCs w:val="24"/>
          <w:lang w:eastAsia="en-US"/>
        </w:rPr>
        <w:t>"</w:t>
      </w:r>
      <w:r w:rsidR="008A5B47" w:rsidRPr="00393250">
        <w:rPr>
          <w:b/>
          <w:i/>
          <w:szCs w:val="24"/>
          <w:lang w:eastAsia="en-US"/>
        </w:rPr>
        <w:t>Artikel 6ab</w:t>
      </w:r>
      <w:r w:rsidR="008A5B47" w:rsidRPr="00393250">
        <w:rPr>
          <w:szCs w:val="24"/>
          <w:lang w:eastAsia="en-US"/>
        </w:rPr>
        <w:br/>
      </w:r>
      <w:r w:rsidR="008A5B47" w:rsidRPr="00393250">
        <w:rPr>
          <w:b/>
          <w:i/>
          <w:szCs w:val="24"/>
          <w:lang w:eastAsia="en-US"/>
        </w:rPr>
        <w:t>Særlig behandling af områder med høj økologisk værdi, sårbarhed eller forurening</w:t>
      </w:r>
    </w:p>
    <w:p w14:paraId="14E4954B" w14:textId="7E661177" w:rsidR="008A5B47" w:rsidRPr="00393250" w:rsidRDefault="008A5B47" w:rsidP="008A5B47">
      <w:pPr>
        <w:spacing w:before="120" w:after="120" w:line="360" w:lineRule="auto"/>
        <w:ind w:left="850"/>
        <w:rPr>
          <w:b/>
          <w:szCs w:val="24"/>
          <w:lang w:eastAsia="en-US"/>
        </w:rPr>
      </w:pPr>
      <w:r w:rsidRPr="00393250">
        <w:rPr>
          <w:b/>
          <w:i/>
          <w:szCs w:val="24"/>
          <w:lang w:eastAsia="en-US"/>
        </w:rPr>
        <w:t>Kommissionen offentliggør ... [senest fire år efter dette direktivs ikrafttræden] en vurdering af den kemiske tilstand i områder, der er kendetegnet ved høj økologisk værdi, sårbarhed eller forurening, såsom huler og karstområder, tidligere industriområder og andre områder med kendt historisk forurening, eventuelt ledsaget af et lovgivningsmæssigt forslag om revision af dette direktiv.</w:t>
      </w:r>
      <w:r w:rsidR="0075413E" w:rsidRPr="00393250">
        <w:rPr>
          <w:b/>
          <w:i/>
          <w:szCs w:val="24"/>
          <w:lang w:eastAsia="en-US"/>
        </w:rPr>
        <w:t>"</w:t>
      </w:r>
      <w:r w:rsidR="0075413E" w:rsidRPr="00393250">
        <w:rPr>
          <w:b/>
          <w:szCs w:val="24"/>
          <w:lang w:eastAsia="en-US"/>
        </w:rPr>
        <w:t xml:space="preserve"> [Ændring 93]</w:t>
      </w:r>
    </w:p>
    <w:p w14:paraId="51FAFE59" w14:textId="77777777" w:rsidR="0075413E" w:rsidRPr="00393250" w:rsidRDefault="0075413E">
      <w:pPr>
        <w:widowControl/>
        <w:rPr>
          <w:b/>
          <w:i/>
          <w:szCs w:val="24"/>
          <w:lang w:eastAsia="en-US"/>
        </w:rPr>
      </w:pPr>
      <w:r w:rsidRPr="00393250">
        <w:rPr>
          <w:b/>
          <w:i/>
          <w:szCs w:val="24"/>
          <w:lang w:eastAsia="en-US"/>
        </w:rPr>
        <w:br w:type="page"/>
      </w:r>
    </w:p>
    <w:p w14:paraId="20401B8A" w14:textId="2CB90B80" w:rsidR="008A5B47" w:rsidRPr="00393250" w:rsidRDefault="008A5B47" w:rsidP="008A5B47">
      <w:pPr>
        <w:spacing w:before="120" w:after="120" w:line="360" w:lineRule="auto"/>
        <w:ind w:left="850" w:hanging="850"/>
        <w:rPr>
          <w:szCs w:val="24"/>
          <w:lang w:eastAsia="en-US"/>
        </w:rPr>
      </w:pPr>
      <w:r w:rsidRPr="00393250">
        <w:rPr>
          <w:b/>
          <w:i/>
          <w:szCs w:val="24"/>
          <w:lang w:eastAsia="en-US"/>
        </w:rPr>
        <w:lastRenderedPageBreak/>
        <w:t>6c)</w:t>
      </w:r>
      <w:r w:rsidRPr="00393250">
        <w:rPr>
          <w:szCs w:val="24"/>
          <w:lang w:eastAsia="en-US"/>
        </w:rPr>
        <w:tab/>
      </w:r>
      <w:r w:rsidRPr="00393250">
        <w:rPr>
          <w:b/>
          <w:i/>
          <w:szCs w:val="24"/>
          <w:lang w:eastAsia="en-US"/>
        </w:rPr>
        <w:t>Følgende artikel indsættes:</w:t>
      </w:r>
    </w:p>
    <w:p w14:paraId="566D46F0" w14:textId="043FE84F" w:rsidR="008A5B47" w:rsidRPr="00393250" w:rsidRDefault="0075413E" w:rsidP="008A5B47">
      <w:pPr>
        <w:spacing w:before="120" w:after="120" w:line="360" w:lineRule="auto"/>
        <w:ind w:left="850"/>
        <w:rPr>
          <w:szCs w:val="24"/>
          <w:lang w:eastAsia="en-US"/>
        </w:rPr>
      </w:pPr>
      <w:r w:rsidRPr="00393250">
        <w:rPr>
          <w:b/>
          <w:i/>
          <w:szCs w:val="24"/>
          <w:lang w:eastAsia="en-US"/>
        </w:rPr>
        <w:t>"</w:t>
      </w:r>
      <w:r w:rsidR="008A5B47" w:rsidRPr="00393250">
        <w:rPr>
          <w:b/>
          <w:i/>
          <w:szCs w:val="24"/>
          <w:lang w:eastAsia="en-US"/>
        </w:rPr>
        <w:t>Artikel 6ac</w:t>
      </w:r>
    </w:p>
    <w:p w14:paraId="39473BCE" w14:textId="75CF1266" w:rsidR="008A5B47" w:rsidRPr="00393250" w:rsidRDefault="008A5B47" w:rsidP="008A5B47">
      <w:pPr>
        <w:spacing w:before="120" w:after="120" w:line="360" w:lineRule="auto"/>
        <w:ind w:left="850"/>
        <w:rPr>
          <w:b/>
          <w:szCs w:val="24"/>
          <w:lang w:eastAsia="en-US"/>
        </w:rPr>
      </w:pPr>
      <w:r w:rsidRPr="00393250">
        <w:rPr>
          <w:b/>
          <w:i/>
          <w:szCs w:val="24"/>
          <w:lang w:eastAsia="en-US"/>
        </w:rPr>
        <w:t>Senest den ... [et år efter datoen for dette direktivs ikrafttræden] forelægger Kommissionen en konsekvensanalyse, hvori den undersøger medtagelsen i dette direktiv af en mekanisme for udvidet producentansvar, som sikrer, at producenter, der markedsfører produkter, som indeholder et eller flere af de stoffer eller forbindelser, der er opført i bilag I, og stoffer, der giver anledning til stigende bekymring, og som er opført på observationslisten i henhold til dette direktiv, bidrager til omkostningerne til de overvågningsprogrammer, som er udarbejdet i henhold til artikel 8 i direktiv 2000/60/EF. Konsekvensanalysen ledsages, hvis det er relevant, af et lovgivningsmæssigt forslag om revision af dette direktiv.</w:t>
      </w:r>
      <w:r w:rsidR="0075413E" w:rsidRPr="00393250">
        <w:rPr>
          <w:b/>
          <w:i/>
          <w:szCs w:val="24"/>
          <w:lang w:eastAsia="en-US"/>
        </w:rPr>
        <w:t>"</w:t>
      </w:r>
      <w:r w:rsidR="0075413E" w:rsidRPr="00393250">
        <w:rPr>
          <w:b/>
          <w:szCs w:val="24"/>
          <w:lang w:eastAsia="en-US"/>
        </w:rPr>
        <w:t xml:space="preserve"> [Ændring 94]</w:t>
      </w:r>
    </w:p>
    <w:p w14:paraId="712A09BA" w14:textId="77777777" w:rsidR="0075413E" w:rsidRPr="00393250" w:rsidRDefault="0075413E">
      <w:pPr>
        <w:widowControl/>
        <w:rPr>
          <w:b/>
          <w:i/>
          <w:szCs w:val="24"/>
          <w:lang w:eastAsia="en-US"/>
        </w:rPr>
      </w:pPr>
      <w:r w:rsidRPr="00393250">
        <w:rPr>
          <w:b/>
          <w:i/>
          <w:szCs w:val="24"/>
          <w:lang w:eastAsia="en-US"/>
        </w:rPr>
        <w:br w:type="page"/>
      </w:r>
    </w:p>
    <w:p w14:paraId="7CCE26C6" w14:textId="2401B92F" w:rsidR="008A5B47" w:rsidRPr="00393250" w:rsidRDefault="008A5B47" w:rsidP="008A5B47">
      <w:pPr>
        <w:spacing w:before="120" w:after="120" w:line="360" w:lineRule="auto"/>
        <w:ind w:left="850" w:hanging="850"/>
        <w:rPr>
          <w:szCs w:val="24"/>
          <w:lang w:eastAsia="en-US"/>
        </w:rPr>
      </w:pPr>
      <w:r w:rsidRPr="00393250">
        <w:rPr>
          <w:b/>
          <w:i/>
          <w:szCs w:val="24"/>
          <w:lang w:eastAsia="en-US"/>
        </w:rPr>
        <w:lastRenderedPageBreak/>
        <w:t>6d)</w:t>
      </w:r>
      <w:r w:rsidRPr="00393250">
        <w:rPr>
          <w:szCs w:val="24"/>
          <w:lang w:eastAsia="en-US"/>
        </w:rPr>
        <w:tab/>
      </w:r>
      <w:r w:rsidRPr="00393250">
        <w:rPr>
          <w:b/>
          <w:i/>
          <w:szCs w:val="24"/>
          <w:lang w:eastAsia="en-US"/>
        </w:rPr>
        <w:t>Følgende artikel indsættes:</w:t>
      </w:r>
    </w:p>
    <w:p w14:paraId="0BB26B13" w14:textId="21314F5F" w:rsidR="008A5B47" w:rsidRPr="00393250" w:rsidRDefault="0075413E" w:rsidP="008A5B47">
      <w:pPr>
        <w:spacing w:before="120" w:after="120" w:line="360" w:lineRule="auto"/>
        <w:ind w:left="850"/>
        <w:rPr>
          <w:szCs w:val="24"/>
          <w:lang w:eastAsia="en-US"/>
        </w:rPr>
      </w:pPr>
      <w:r w:rsidRPr="00393250">
        <w:rPr>
          <w:b/>
          <w:i/>
          <w:szCs w:val="24"/>
          <w:lang w:eastAsia="en-US"/>
        </w:rPr>
        <w:t>"</w:t>
      </w:r>
      <w:r w:rsidR="008A5B47" w:rsidRPr="00393250">
        <w:rPr>
          <w:b/>
          <w:i/>
          <w:szCs w:val="24"/>
          <w:lang w:eastAsia="en-US"/>
        </w:rPr>
        <w:t>Artikel 6ad</w:t>
      </w:r>
      <w:r w:rsidR="008A5B47" w:rsidRPr="00393250">
        <w:rPr>
          <w:szCs w:val="24"/>
          <w:lang w:eastAsia="en-US"/>
        </w:rPr>
        <w:br/>
      </w:r>
      <w:r w:rsidR="008A5B47" w:rsidRPr="00393250">
        <w:rPr>
          <w:b/>
          <w:i/>
          <w:szCs w:val="24"/>
          <w:lang w:eastAsia="en-US"/>
        </w:rPr>
        <w:t>Europæisk overvågningsfacilitet</w:t>
      </w:r>
    </w:p>
    <w:p w14:paraId="56C2762B" w14:textId="77777777" w:rsidR="008A5B47" w:rsidRPr="00393250" w:rsidRDefault="008A5B47" w:rsidP="008A5B47">
      <w:pPr>
        <w:spacing w:before="120" w:after="120" w:line="360" w:lineRule="auto"/>
        <w:ind w:left="850"/>
        <w:rPr>
          <w:szCs w:val="24"/>
          <w:lang w:eastAsia="en-US"/>
        </w:rPr>
      </w:pPr>
      <w:r w:rsidRPr="00393250">
        <w:rPr>
          <w:b/>
          <w:i/>
          <w:szCs w:val="24"/>
          <w:lang w:eastAsia="en-US"/>
        </w:rPr>
        <w:t>Kommissionen opretter senest den ... [et år efter datoen for dette direktivs ikrafttræden] en fælles overvågningsfacilitet til forvaltning af overvågningskravene, når medlemsstaterne anmoder herom.</w:t>
      </w:r>
    </w:p>
    <w:p w14:paraId="7D3C2749" w14:textId="77777777" w:rsidR="008A5B47" w:rsidRPr="00393250" w:rsidRDefault="008A5B47" w:rsidP="008A5B47">
      <w:pPr>
        <w:spacing w:before="120" w:after="120" w:line="360" w:lineRule="auto"/>
        <w:ind w:left="850"/>
        <w:rPr>
          <w:szCs w:val="24"/>
          <w:lang w:eastAsia="en-US"/>
        </w:rPr>
      </w:pPr>
      <w:r w:rsidRPr="00393250">
        <w:rPr>
          <w:b/>
          <w:i/>
          <w:szCs w:val="24"/>
          <w:lang w:eastAsia="en-US"/>
        </w:rPr>
        <w:t>Kommissionen fastlægger, hvordan overvågningsfaciliteten skal fungere, hvilket bl.a. omfatter følgende:</w:t>
      </w:r>
    </w:p>
    <w:p w14:paraId="07BC094B" w14:textId="77777777" w:rsidR="008A5B47" w:rsidRPr="00393250" w:rsidRDefault="008A5B47" w:rsidP="008A5B47">
      <w:pPr>
        <w:spacing w:before="120" w:after="120" w:line="360" w:lineRule="auto"/>
        <w:ind w:left="1416" w:hanging="566"/>
        <w:rPr>
          <w:szCs w:val="24"/>
          <w:lang w:eastAsia="en-US"/>
        </w:rPr>
      </w:pPr>
      <w:r w:rsidRPr="00393250">
        <w:rPr>
          <w:b/>
          <w:i/>
          <w:szCs w:val="24"/>
          <w:lang w:eastAsia="en-US"/>
        </w:rPr>
        <w:t>a)</w:t>
      </w:r>
      <w:r w:rsidRPr="00393250">
        <w:rPr>
          <w:szCs w:val="24"/>
          <w:lang w:eastAsia="en-US"/>
        </w:rPr>
        <w:tab/>
      </w:r>
      <w:r w:rsidRPr="00393250">
        <w:rPr>
          <w:b/>
          <w:i/>
          <w:szCs w:val="24"/>
          <w:lang w:eastAsia="en-US"/>
        </w:rPr>
        <w:t>den frivillige karakter af anvendelsen af overvågningsfaciliteten, som ikke berører ordninger, som medlemsstaterne allerede har indført</w:t>
      </w:r>
    </w:p>
    <w:p w14:paraId="53BD39C4" w14:textId="77777777" w:rsidR="008A5B47" w:rsidRPr="00393250" w:rsidRDefault="008A5B47" w:rsidP="008A5B47">
      <w:pPr>
        <w:spacing w:before="120" w:after="120" w:line="360" w:lineRule="auto"/>
        <w:ind w:left="1416" w:hanging="566"/>
        <w:rPr>
          <w:szCs w:val="24"/>
          <w:lang w:eastAsia="en-US"/>
        </w:rPr>
      </w:pPr>
      <w:r w:rsidRPr="00393250">
        <w:rPr>
          <w:b/>
          <w:i/>
          <w:szCs w:val="24"/>
          <w:lang w:eastAsia="en-US"/>
        </w:rPr>
        <w:t>b)</w:t>
      </w:r>
      <w:r w:rsidRPr="00393250">
        <w:rPr>
          <w:szCs w:val="24"/>
          <w:lang w:eastAsia="en-US"/>
        </w:rPr>
        <w:tab/>
      </w:r>
      <w:r w:rsidRPr="00393250">
        <w:rPr>
          <w:b/>
          <w:i/>
          <w:szCs w:val="24"/>
          <w:lang w:eastAsia="en-US"/>
        </w:rPr>
        <w:t>de operationelle procedurer for medlemsstater, der har til hensigt at gøre brug af overvågningsfaciliteten, og de operationelle procedurer skal bl.a. omfatte den påkrævede meddelelse til Kommissionen om deres nøjagtige overvågningsbehov eller -kapacitet, de nøjagtige protokoller for forvaltning af prøver og den periode, de agter at forblive en del af mekanismen</w:t>
      </w:r>
    </w:p>
    <w:p w14:paraId="13A14D6B" w14:textId="77777777" w:rsidR="0075413E" w:rsidRPr="00393250" w:rsidRDefault="0075413E">
      <w:pPr>
        <w:widowControl/>
        <w:rPr>
          <w:b/>
          <w:i/>
          <w:szCs w:val="24"/>
          <w:lang w:eastAsia="en-US"/>
        </w:rPr>
      </w:pPr>
      <w:r w:rsidRPr="00393250">
        <w:rPr>
          <w:b/>
          <w:i/>
          <w:szCs w:val="24"/>
          <w:lang w:eastAsia="en-US"/>
        </w:rPr>
        <w:br w:type="page"/>
      </w:r>
    </w:p>
    <w:p w14:paraId="1D5E04E6" w14:textId="664C8F39" w:rsidR="008A5B47" w:rsidRPr="00393250" w:rsidRDefault="008A5B47" w:rsidP="008A5B47">
      <w:pPr>
        <w:spacing w:before="120" w:after="120" w:line="360" w:lineRule="auto"/>
        <w:ind w:left="1416" w:hanging="566"/>
        <w:rPr>
          <w:b/>
          <w:szCs w:val="24"/>
          <w:lang w:eastAsia="en-US"/>
        </w:rPr>
      </w:pPr>
      <w:r w:rsidRPr="00393250">
        <w:rPr>
          <w:b/>
          <w:i/>
          <w:szCs w:val="24"/>
          <w:lang w:eastAsia="en-US"/>
        </w:rPr>
        <w:lastRenderedPageBreak/>
        <w:t>c)</w:t>
      </w:r>
      <w:r w:rsidRPr="00393250">
        <w:rPr>
          <w:szCs w:val="24"/>
          <w:lang w:eastAsia="en-US"/>
        </w:rPr>
        <w:tab/>
      </w:r>
      <w:r w:rsidRPr="00393250">
        <w:rPr>
          <w:b/>
          <w:i/>
          <w:szCs w:val="24"/>
          <w:lang w:eastAsia="en-US"/>
        </w:rPr>
        <w:t>finansieringskilderne, som kan omfatte relevante EU-strukturfonde og programmer, og bidrag fra den private sektor, herunder inden for rammerne af mekanismen for udvidet producentansvar, når den er indført i overensstemmelse med artikel 6ac.</w:t>
      </w:r>
      <w:r w:rsidR="0075413E" w:rsidRPr="00393250">
        <w:rPr>
          <w:b/>
          <w:i/>
          <w:szCs w:val="24"/>
          <w:lang w:eastAsia="en-US"/>
        </w:rPr>
        <w:t>"</w:t>
      </w:r>
      <w:r w:rsidR="0075413E" w:rsidRPr="00393250">
        <w:rPr>
          <w:b/>
          <w:szCs w:val="24"/>
          <w:lang w:eastAsia="en-US"/>
        </w:rPr>
        <w:t xml:space="preserve"> [Ændring 95]</w:t>
      </w:r>
    </w:p>
    <w:p w14:paraId="3AEEA639"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(7)</w:t>
      </w:r>
      <w:r w:rsidRPr="00393250">
        <w:rPr>
          <w:szCs w:val="24"/>
          <w:lang w:eastAsia="en-US"/>
        </w:rPr>
        <w:tab/>
        <w:t>Artikel 8 affattes således:</w:t>
      </w:r>
    </w:p>
    <w:p w14:paraId="706BBB29" w14:textId="28E9D676" w:rsidR="008A5B47" w:rsidRPr="00393250" w:rsidRDefault="0075413E" w:rsidP="008A5B47">
      <w:pPr>
        <w:spacing w:before="120" w:after="120" w:line="360" w:lineRule="auto"/>
        <w:ind w:left="850"/>
        <w:rPr>
          <w:szCs w:val="24"/>
          <w:lang w:eastAsia="en-US"/>
        </w:rPr>
      </w:pPr>
      <w:r w:rsidRPr="00393250">
        <w:rPr>
          <w:szCs w:val="24"/>
          <w:lang w:eastAsia="en-US"/>
        </w:rPr>
        <w:t>"</w:t>
      </w:r>
      <w:r w:rsidR="008A5B47" w:rsidRPr="00393250">
        <w:rPr>
          <w:szCs w:val="24"/>
          <w:lang w:eastAsia="en-US"/>
        </w:rPr>
        <w:t>Artikel 8</w:t>
      </w:r>
    </w:p>
    <w:p w14:paraId="6FF807A8" w14:textId="77777777" w:rsidR="008A5B47" w:rsidRPr="00393250" w:rsidRDefault="008A5B47" w:rsidP="008A5B47">
      <w:pPr>
        <w:spacing w:before="120" w:after="120" w:line="360" w:lineRule="auto"/>
        <w:ind w:left="850"/>
        <w:rPr>
          <w:szCs w:val="24"/>
          <w:lang w:eastAsia="en-US"/>
        </w:rPr>
      </w:pPr>
      <w:r w:rsidRPr="00393250">
        <w:rPr>
          <w:szCs w:val="24"/>
          <w:lang w:eastAsia="en-US"/>
        </w:rPr>
        <w:t xml:space="preserve">Revision af bilag I-IV </w:t>
      </w:r>
    </w:p>
    <w:p w14:paraId="194AAA4D" w14:textId="5A8D5143" w:rsidR="008A5B47" w:rsidRPr="00393250" w:rsidRDefault="008A5B47" w:rsidP="008A5B47">
      <w:pPr>
        <w:spacing w:before="120" w:after="120" w:line="360" w:lineRule="auto"/>
        <w:ind w:left="1416" w:hanging="566"/>
        <w:rPr>
          <w:b/>
          <w:szCs w:val="24"/>
          <w:lang w:eastAsia="en-US"/>
        </w:rPr>
      </w:pPr>
      <w:r w:rsidRPr="00393250">
        <w:rPr>
          <w:szCs w:val="24"/>
          <w:lang w:eastAsia="en-US"/>
        </w:rPr>
        <w:t>1.</w:t>
      </w:r>
      <w:r w:rsidRPr="00393250">
        <w:rPr>
          <w:szCs w:val="24"/>
          <w:lang w:eastAsia="en-US"/>
        </w:rPr>
        <w:tab/>
        <w:t xml:space="preserve">Kommissionen reviderer første gang senest den … [OP: </w:t>
      </w:r>
      <w:r w:rsidRPr="00393250">
        <w:rPr>
          <w:strike/>
          <w:szCs w:val="24"/>
          <w:lang w:eastAsia="en-US"/>
        </w:rPr>
        <w:t>please insert the date = six years after the date of entry into force of this Directive</w:t>
      </w:r>
      <w:r w:rsidRPr="00393250">
        <w:rPr>
          <w:b/>
          <w:i/>
          <w:szCs w:val="24"/>
          <w:lang w:eastAsia="en-US"/>
        </w:rPr>
        <w:t>indsæt venligst datoen = fire år efter ikrafttræden af dette direktiv</w:t>
      </w:r>
      <w:r w:rsidRPr="00393250">
        <w:rPr>
          <w:szCs w:val="24"/>
          <w:lang w:eastAsia="en-US"/>
        </w:rPr>
        <w:t xml:space="preserve">] og derefter hvert </w:t>
      </w:r>
      <w:r w:rsidRPr="00393250">
        <w:rPr>
          <w:strike/>
          <w:szCs w:val="24"/>
          <w:lang w:eastAsia="en-US"/>
        </w:rPr>
        <w:t>sjette</w:t>
      </w:r>
      <w:r w:rsidRPr="00393250">
        <w:rPr>
          <w:b/>
          <w:i/>
          <w:szCs w:val="24"/>
          <w:lang w:eastAsia="en-US"/>
        </w:rPr>
        <w:t>fjerde</w:t>
      </w:r>
      <w:r w:rsidRPr="00393250">
        <w:rPr>
          <w:szCs w:val="24"/>
          <w:lang w:eastAsia="en-US"/>
        </w:rPr>
        <w:t xml:space="preserve"> år listen over forurenende stoffer i bilag I og kvalitetskravene for disse forurenende stoffer i nævnte bilag samt listen over forurenende stoffer og indikatorer i bilag II, del B.</w:t>
      </w:r>
      <w:r w:rsidR="0075413E" w:rsidRPr="00393250">
        <w:rPr>
          <w:b/>
          <w:szCs w:val="24"/>
          <w:lang w:eastAsia="en-US"/>
        </w:rPr>
        <w:t xml:space="preserve"> [Ændring 96]</w:t>
      </w:r>
    </w:p>
    <w:p w14:paraId="389BB9BE" w14:textId="77777777" w:rsidR="0075413E" w:rsidRPr="00393250" w:rsidRDefault="0075413E">
      <w:pPr>
        <w:widowControl/>
        <w:rPr>
          <w:szCs w:val="24"/>
          <w:lang w:eastAsia="en-US"/>
        </w:rPr>
      </w:pPr>
      <w:r w:rsidRPr="00393250">
        <w:rPr>
          <w:szCs w:val="24"/>
          <w:lang w:eastAsia="en-US"/>
        </w:rPr>
        <w:br w:type="page"/>
      </w:r>
    </w:p>
    <w:p w14:paraId="6073FF99" w14:textId="275E8191" w:rsidR="008A5B47" w:rsidRPr="00393250" w:rsidRDefault="008A5B47" w:rsidP="008A5B47">
      <w:pPr>
        <w:spacing w:before="120" w:after="120" w:line="360" w:lineRule="auto"/>
        <w:ind w:left="1416" w:hanging="566"/>
        <w:rPr>
          <w:b/>
          <w:szCs w:val="24"/>
          <w:lang w:eastAsia="en-US"/>
        </w:rPr>
      </w:pPr>
      <w:r w:rsidRPr="00393250">
        <w:rPr>
          <w:szCs w:val="24"/>
          <w:lang w:eastAsia="en-US"/>
        </w:rPr>
        <w:lastRenderedPageBreak/>
        <w:t>2.</w:t>
      </w:r>
      <w:r w:rsidRPr="00393250">
        <w:rPr>
          <w:szCs w:val="24"/>
          <w:lang w:eastAsia="en-US"/>
        </w:rPr>
        <w:tab/>
      </w:r>
      <w:r w:rsidRPr="00393250">
        <w:rPr>
          <w:b/>
          <w:i/>
          <w:szCs w:val="24"/>
          <w:lang w:eastAsia="en-US"/>
        </w:rPr>
        <w:t xml:space="preserve">På grundlag af revisionen fremsætter </w:t>
      </w:r>
      <w:r w:rsidRPr="00393250">
        <w:rPr>
          <w:szCs w:val="24"/>
          <w:lang w:eastAsia="en-US"/>
        </w:rPr>
        <w:t>Kommissionen</w:t>
      </w:r>
      <w:r w:rsidRPr="00393250">
        <w:rPr>
          <w:strike/>
          <w:szCs w:val="24"/>
          <w:lang w:eastAsia="en-US"/>
        </w:rPr>
        <w:t xml:space="preserve"> tillægges beføjelser til at vedtage delegerede retsakter i overensstemmelse med artikel 8a med henblik på at ændre</w:t>
      </w:r>
      <w:r w:rsidRPr="00393250">
        <w:rPr>
          <w:b/>
          <w:i/>
          <w:szCs w:val="24"/>
          <w:lang w:eastAsia="en-US"/>
        </w:rPr>
        <w:t>, hvor det er relevant, lovgivningsmæssige forslag om ændring af</w:t>
      </w:r>
      <w:r w:rsidRPr="00393250">
        <w:rPr>
          <w:szCs w:val="24"/>
          <w:lang w:eastAsia="en-US"/>
        </w:rPr>
        <w:t xml:space="preserve"> bilag I for at tilpasse det til den tekniske og videnskabelige udvikling ved at tilføje eller fjerne grundvandsforurenende stoffer og kvalitetskrav for disse forurenende stoffer i nævnte bilag</w:t>
      </w:r>
      <w:r w:rsidRPr="00393250">
        <w:rPr>
          <w:b/>
          <w:i/>
          <w:szCs w:val="24"/>
          <w:lang w:eastAsia="en-US"/>
        </w:rPr>
        <w:t>. Kommissionen tillægges beføjelser til at vedtage delegerede retsakter i overensstemmelse med artikel 8a med henblik på</w:t>
      </w:r>
      <w:r w:rsidRPr="00393250">
        <w:rPr>
          <w:strike/>
          <w:szCs w:val="24"/>
          <w:lang w:eastAsia="en-US"/>
        </w:rPr>
        <w:t xml:space="preserve"> og til</w:t>
      </w:r>
      <w:r w:rsidRPr="00393250">
        <w:rPr>
          <w:szCs w:val="24"/>
          <w:lang w:eastAsia="en-US"/>
        </w:rPr>
        <w:t xml:space="preserve"> at ændre del B</w:t>
      </w:r>
      <w:r w:rsidRPr="00393250">
        <w:rPr>
          <w:b/>
          <w:i/>
          <w:szCs w:val="24"/>
          <w:lang w:eastAsia="en-US"/>
        </w:rPr>
        <w:t xml:space="preserve"> i bilag II</w:t>
      </w:r>
      <w:r w:rsidRPr="00393250">
        <w:rPr>
          <w:szCs w:val="24"/>
          <w:lang w:eastAsia="en-US"/>
        </w:rPr>
        <w:t xml:space="preserve"> for at tilpasse det til den tekniske og videnskabelige udvikling ved at tilføje forurenende stoffer eller indikatorer, for hvilke medlemsstaterne skal overveje at fastsætte nationale grænseværdier.</w:t>
      </w:r>
      <w:r w:rsidR="0075413E" w:rsidRPr="00393250">
        <w:rPr>
          <w:b/>
          <w:szCs w:val="24"/>
          <w:lang w:eastAsia="en-US"/>
        </w:rPr>
        <w:t xml:space="preserve"> [Ændring 97]</w:t>
      </w:r>
    </w:p>
    <w:p w14:paraId="5D217030"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3.</w:t>
      </w:r>
      <w:r w:rsidRPr="00393250">
        <w:rPr>
          <w:szCs w:val="24"/>
          <w:lang w:eastAsia="en-US"/>
        </w:rPr>
        <w:tab/>
        <w:t>Kommissionen tillægges beføjelser til at vedtage delegerede retsakter i overensstemmelse med artikel 8a med henblik på at ændre del D i bilag II for at tilpasse den til den videnskabelige og tekniske udvikling ved at tilføje eller ændre harmoniserede tærskelværdier for et eller flere forurenende stoffer, der er anført i del B i nævnte bilag.</w:t>
      </w:r>
    </w:p>
    <w:p w14:paraId="66D9D8F2" w14:textId="004A2F3D" w:rsidR="008A5B47" w:rsidRPr="00393250" w:rsidRDefault="008A5B47" w:rsidP="008A5B47">
      <w:pPr>
        <w:spacing w:before="120" w:after="120" w:line="360" w:lineRule="auto"/>
        <w:ind w:left="1416" w:hanging="566"/>
        <w:rPr>
          <w:b/>
          <w:szCs w:val="24"/>
          <w:lang w:eastAsia="en-US"/>
        </w:rPr>
      </w:pPr>
      <w:r w:rsidRPr="00393250">
        <w:rPr>
          <w:szCs w:val="24"/>
          <w:lang w:eastAsia="en-US"/>
        </w:rPr>
        <w:t>4.</w:t>
      </w:r>
      <w:r w:rsidRPr="00393250">
        <w:rPr>
          <w:szCs w:val="24"/>
          <w:lang w:eastAsia="en-US"/>
        </w:rPr>
        <w:tab/>
        <w:t>Når Kommissionen vedtager</w:t>
      </w:r>
      <w:r w:rsidRPr="00393250">
        <w:rPr>
          <w:b/>
          <w:i/>
          <w:szCs w:val="24"/>
          <w:lang w:eastAsia="en-US"/>
        </w:rPr>
        <w:t xml:space="preserve"> lovgivningsmæssige forslag og</w:t>
      </w:r>
      <w:r w:rsidRPr="00393250">
        <w:rPr>
          <w:szCs w:val="24"/>
          <w:lang w:eastAsia="en-US"/>
        </w:rPr>
        <w:t xml:space="preserve"> delegerede retsakter som omhandlet i stk. 2 og 3, tager den hensyn til de videnskabelige rapporter, der er udarbejdet af ECHA i henhold til denne artikels stk. 6.</w:t>
      </w:r>
      <w:r w:rsidR="0075413E" w:rsidRPr="00393250">
        <w:rPr>
          <w:b/>
          <w:szCs w:val="24"/>
          <w:lang w:eastAsia="en-US"/>
        </w:rPr>
        <w:t xml:space="preserve"> [Ændring 98]</w:t>
      </w:r>
    </w:p>
    <w:p w14:paraId="3D7D9D15" w14:textId="77777777" w:rsidR="0075413E" w:rsidRPr="00393250" w:rsidRDefault="0075413E">
      <w:pPr>
        <w:widowControl/>
        <w:rPr>
          <w:szCs w:val="24"/>
          <w:lang w:eastAsia="en-US"/>
        </w:rPr>
      </w:pPr>
      <w:r w:rsidRPr="00393250">
        <w:rPr>
          <w:szCs w:val="24"/>
          <w:lang w:eastAsia="en-US"/>
        </w:rPr>
        <w:br w:type="page"/>
      </w:r>
    </w:p>
    <w:p w14:paraId="4E64B140" w14:textId="3902DA4D" w:rsidR="008A5B47" w:rsidRPr="00393250" w:rsidRDefault="008A5B47" w:rsidP="008A5B47">
      <w:pPr>
        <w:spacing w:before="120" w:after="120" w:line="360" w:lineRule="auto"/>
        <w:ind w:left="1416" w:hanging="566"/>
        <w:rPr>
          <w:szCs w:val="24"/>
          <w:lang w:eastAsia="en-US"/>
        </w:rPr>
      </w:pPr>
      <w:r w:rsidRPr="00393250">
        <w:rPr>
          <w:szCs w:val="24"/>
          <w:lang w:eastAsia="en-US"/>
        </w:rPr>
        <w:lastRenderedPageBreak/>
        <w:t>5.</w:t>
      </w:r>
      <w:r w:rsidRPr="00393250">
        <w:rPr>
          <w:szCs w:val="24"/>
          <w:lang w:eastAsia="en-US"/>
        </w:rPr>
        <w:tab/>
        <w:t>Kommissionen tillægges beføjelser til at vedtage delegerede retsakter i overensstemmelse med artikel 8a med henblik på at ændre del A og C i bilag II samt bilag III og IV for at tilpasse dem til den videnskabelige og tekniske udvikling.</w:t>
      </w:r>
    </w:p>
    <w:p w14:paraId="07F0CF54"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6.</w:t>
      </w:r>
      <w:r w:rsidRPr="00393250">
        <w:rPr>
          <w:szCs w:val="24"/>
          <w:lang w:eastAsia="en-US"/>
        </w:rPr>
        <w:tab/>
        <w:t>Med henblik på at bistå Kommissionen i forbindelse med revisionen af bilag I og II udarbejder ECHA videnskabelige rapporter. Disse rapporter baseres på:</w:t>
      </w:r>
    </w:p>
    <w:p w14:paraId="3C4E6C48"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a)</w:t>
      </w:r>
      <w:r w:rsidRPr="00393250">
        <w:rPr>
          <w:szCs w:val="24"/>
          <w:lang w:eastAsia="en-US"/>
        </w:rPr>
        <w:tab/>
        <w:t>udtalelsen fra ECHA's Udvalg for Risikovurdering og Udvalg for Socioøkonomisk Analyse</w:t>
      </w:r>
    </w:p>
    <w:p w14:paraId="279CEAC9"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b)</w:t>
      </w:r>
      <w:r w:rsidRPr="00393250">
        <w:rPr>
          <w:szCs w:val="24"/>
          <w:lang w:eastAsia="en-US"/>
        </w:rPr>
        <w:tab/>
        <w:t>de resultater af grundvandsovervågningsnettet, der er opnået i overensstemmelse med artikel 8 i direktiv 2000/60/EF</w:t>
      </w:r>
    </w:p>
    <w:p w14:paraId="49E7F8AF"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c)</w:t>
      </w:r>
      <w:r w:rsidRPr="00393250">
        <w:rPr>
          <w:szCs w:val="24"/>
          <w:lang w:eastAsia="en-US"/>
        </w:rPr>
        <w:tab/>
        <w:t>de overvågningsdata, der er indsamlet i overensstemmelse med dette direktivs artikel 6a, stk. 4</w:t>
      </w:r>
    </w:p>
    <w:p w14:paraId="633C3F58"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d)</w:t>
      </w:r>
      <w:r w:rsidRPr="00393250">
        <w:rPr>
          <w:szCs w:val="24"/>
          <w:lang w:eastAsia="en-US"/>
        </w:rPr>
        <w:tab/>
        <w:t>resultatet af revisionen af bilagene til direktiv 2008/105/EF og direktiv (EU) 2020/2184</w:t>
      </w:r>
    </w:p>
    <w:p w14:paraId="760FC3BF" w14:textId="77777777" w:rsidR="0075413E" w:rsidRPr="00393250" w:rsidRDefault="0075413E">
      <w:pPr>
        <w:widowControl/>
        <w:rPr>
          <w:szCs w:val="24"/>
          <w:lang w:eastAsia="en-US"/>
        </w:rPr>
      </w:pPr>
      <w:r w:rsidRPr="00393250">
        <w:rPr>
          <w:szCs w:val="24"/>
          <w:lang w:eastAsia="en-US"/>
        </w:rPr>
        <w:br w:type="page"/>
      </w:r>
    </w:p>
    <w:p w14:paraId="1956F0C8" w14:textId="17000014" w:rsidR="008A5B47" w:rsidRPr="00393250" w:rsidRDefault="008A5B47" w:rsidP="008A5B47">
      <w:pPr>
        <w:spacing w:before="120" w:after="120" w:line="360" w:lineRule="auto"/>
        <w:ind w:left="1982" w:hanging="566"/>
        <w:rPr>
          <w:szCs w:val="24"/>
          <w:lang w:eastAsia="en-US"/>
        </w:rPr>
      </w:pPr>
      <w:r w:rsidRPr="00393250">
        <w:rPr>
          <w:szCs w:val="24"/>
          <w:lang w:eastAsia="en-US"/>
        </w:rPr>
        <w:lastRenderedPageBreak/>
        <w:t>e)</w:t>
      </w:r>
      <w:r w:rsidRPr="00393250">
        <w:rPr>
          <w:szCs w:val="24"/>
          <w:lang w:eastAsia="en-US"/>
        </w:rPr>
        <w:tab/>
        <w:t>oplysninger og krav vedrørende bekæmpelse af jordforurening</w:t>
      </w:r>
    </w:p>
    <w:p w14:paraId="375FEC05" w14:textId="29B51078" w:rsidR="008A5B47" w:rsidRPr="00393250" w:rsidRDefault="008A5B47" w:rsidP="008A5B47">
      <w:pPr>
        <w:spacing w:before="120" w:after="120" w:line="360" w:lineRule="auto"/>
        <w:ind w:left="1982" w:hanging="566"/>
        <w:rPr>
          <w:b/>
          <w:szCs w:val="24"/>
          <w:lang w:eastAsia="en-US"/>
        </w:rPr>
      </w:pPr>
      <w:r w:rsidRPr="00393250">
        <w:rPr>
          <w:szCs w:val="24"/>
          <w:lang w:eastAsia="en-US"/>
        </w:rPr>
        <w:t>f)</w:t>
      </w:r>
      <w:r w:rsidRPr="00393250">
        <w:rPr>
          <w:szCs w:val="24"/>
          <w:lang w:eastAsia="en-US"/>
        </w:rPr>
        <w:tab/>
        <w:t>Unionens forskningsprogrammer og videnskabelige publikationer, herunder</w:t>
      </w:r>
      <w:r w:rsidRPr="00393250">
        <w:rPr>
          <w:b/>
          <w:i/>
          <w:szCs w:val="24"/>
          <w:lang w:eastAsia="en-US"/>
        </w:rPr>
        <w:t xml:space="preserve"> ajourførte</w:t>
      </w:r>
      <w:r w:rsidRPr="00393250">
        <w:rPr>
          <w:szCs w:val="24"/>
          <w:lang w:eastAsia="en-US"/>
        </w:rPr>
        <w:t xml:space="preserve"> oplysninger fra telemålingsteknologier, jordobservation (Copernicustjenester), in situ-sensorer og -udstyr eller borgervidenskabelige data, der udnytter de muligheder, der ligger i </w:t>
      </w:r>
      <w:r w:rsidRPr="00393250">
        <w:rPr>
          <w:b/>
          <w:i/>
          <w:szCs w:val="24"/>
          <w:lang w:eastAsia="en-US"/>
        </w:rPr>
        <w:t xml:space="preserve">de bedste tilgængelige teknikker, som kan omfatte </w:t>
      </w:r>
      <w:r w:rsidRPr="00393250">
        <w:rPr>
          <w:szCs w:val="24"/>
          <w:lang w:eastAsia="en-US"/>
        </w:rPr>
        <w:t>kunstig intelligens og avanceret dataanalyse og -behandling</w:t>
      </w:r>
      <w:r w:rsidR="0075413E" w:rsidRPr="00393250">
        <w:rPr>
          <w:b/>
          <w:szCs w:val="24"/>
          <w:lang w:eastAsia="en-US"/>
        </w:rPr>
        <w:t xml:space="preserve"> [Ændring 99]</w:t>
      </w:r>
    </w:p>
    <w:p w14:paraId="75EE3A9A" w14:textId="4789684A" w:rsidR="008A5B47" w:rsidRPr="00393250" w:rsidRDefault="008A5B47" w:rsidP="008A5B47">
      <w:pPr>
        <w:spacing w:before="120" w:after="120" w:line="360" w:lineRule="auto"/>
        <w:ind w:left="1982" w:hanging="566"/>
        <w:rPr>
          <w:b/>
          <w:szCs w:val="24"/>
          <w:lang w:eastAsia="en-US"/>
        </w:rPr>
      </w:pPr>
      <w:r w:rsidRPr="00393250">
        <w:rPr>
          <w:szCs w:val="24"/>
          <w:lang w:eastAsia="en-US"/>
        </w:rPr>
        <w:t>g)</w:t>
      </w:r>
      <w:r w:rsidRPr="00393250">
        <w:rPr>
          <w:szCs w:val="24"/>
          <w:lang w:eastAsia="en-US"/>
        </w:rPr>
        <w:tab/>
        <w:t>bemærkninger og oplysninger fra relevante interessenter</w:t>
      </w:r>
      <w:r w:rsidRPr="00393250">
        <w:rPr>
          <w:b/>
          <w:i/>
          <w:szCs w:val="24"/>
          <w:lang w:eastAsia="en-US"/>
        </w:rPr>
        <w:t>, herunder nationale tilsynsmyndigheder og andre relevante organer</w:t>
      </w:r>
      <w:r w:rsidRPr="00393250">
        <w:rPr>
          <w:szCs w:val="24"/>
          <w:lang w:eastAsia="en-US"/>
        </w:rPr>
        <w:t>.</w:t>
      </w:r>
      <w:r w:rsidR="0075413E" w:rsidRPr="00393250">
        <w:rPr>
          <w:b/>
          <w:szCs w:val="24"/>
          <w:lang w:eastAsia="en-US"/>
        </w:rPr>
        <w:t xml:space="preserve"> [Ændring 100]</w:t>
      </w:r>
    </w:p>
    <w:p w14:paraId="4F4B2E64" w14:textId="18E09640" w:rsidR="008A5B47" w:rsidRPr="00393250" w:rsidRDefault="008A5B47" w:rsidP="008A5B47">
      <w:pPr>
        <w:spacing w:before="120" w:after="120" w:line="360" w:lineRule="auto"/>
        <w:ind w:left="1416" w:hanging="566"/>
        <w:rPr>
          <w:b/>
          <w:szCs w:val="24"/>
          <w:lang w:eastAsia="en-US"/>
        </w:rPr>
      </w:pPr>
      <w:r w:rsidRPr="00393250">
        <w:rPr>
          <w:b/>
          <w:i/>
          <w:szCs w:val="24"/>
          <w:lang w:eastAsia="en-US"/>
        </w:rPr>
        <w:t>6a.</w:t>
      </w:r>
      <w:r w:rsidRPr="00393250">
        <w:rPr>
          <w:szCs w:val="24"/>
          <w:lang w:eastAsia="en-US"/>
        </w:rPr>
        <w:tab/>
      </w:r>
      <w:r w:rsidRPr="00393250">
        <w:rPr>
          <w:b/>
          <w:i/>
          <w:szCs w:val="24"/>
          <w:lang w:eastAsia="en-US"/>
        </w:rPr>
        <w:t>Kommissionen fastlægger senest den 12. januar 2025 tekniske retningslinjer vedrørende analysemetoder for kontrollen af per- og polyfluoralkylstoffer under parametrene "PFAS i alt". Kommissionen tillægges beføjelser til at vedtage delegerede retsakter i overensstemmelse med artikel 8a om ændring af dette direktiv ved at fastsætte et kvalitetskrav for "PFAS i alt" og ændre bilag I i overensstemmelse hermed. Kommissionen vedtager disse delegerede retsakter senest den 12. januar 2026.</w:t>
      </w:r>
      <w:r w:rsidR="0075413E" w:rsidRPr="00393250">
        <w:rPr>
          <w:b/>
          <w:szCs w:val="24"/>
          <w:lang w:eastAsia="en-US"/>
        </w:rPr>
        <w:t xml:space="preserve"> [Ændring 101]</w:t>
      </w:r>
    </w:p>
    <w:p w14:paraId="3E7CC2F9" w14:textId="77777777" w:rsidR="0075413E" w:rsidRPr="00393250" w:rsidRDefault="0075413E">
      <w:pPr>
        <w:widowControl/>
        <w:rPr>
          <w:szCs w:val="24"/>
          <w:lang w:eastAsia="en-US"/>
        </w:rPr>
      </w:pPr>
      <w:r w:rsidRPr="00393250">
        <w:rPr>
          <w:szCs w:val="24"/>
          <w:lang w:eastAsia="en-US"/>
        </w:rPr>
        <w:br w:type="page"/>
      </w:r>
    </w:p>
    <w:p w14:paraId="123F8354" w14:textId="5AC21BBF" w:rsidR="008A5B47" w:rsidRPr="00393250" w:rsidRDefault="008A5B47" w:rsidP="008A5B47">
      <w:pPr>
        <w:spacing w:before="120" w:after="120" w:line="360" w:lineRule="auto"/>
        <w:ind w:left="1416" w:hanging="566"/>
        <w:rPr>
          <w:b/>
          <w:szCs w:val="24"/>
          <w:lang w:eastAsia="en-US"/>
        </w:rPr>
      </w:pPr>
      <w:r w:rsidRPr="00393250">
        <w:rPr>
          <w:szCs w:val="24"/>
          <w:lang w:eastAsia="en-US"/>
        </w:rPr>
        <w:lastRenderedPageBreak/>
        <w:t>7.</w:t>
      </w:r>
      <w:r w:rsidRPr="00393250">
        <w:rPr>
          <w:szCs w:val="24"/>
          <w:lang w:eastAsia="en-US"/>
        </w:rPr>
        <w:tab/>
        <w:t xml:space="preserve">ECHA udarbejder og offentliggør hvert </w:t>
      </w:r>
      <w:r w:rsidRPr="00393250">
        <w:rPr>
          <w:strike/>
          <w:szCs w:val="24"/>
          <w:lang w:eastAsia="en-US"/>
        </w:rPr>
        <w:t>sjette</w:t>
      </w:r>
      <w:r w:rsidRPr="00393250">
        <w:rPr>
          <w:b/>
          <w:i/>
          <w:szCs w:val="24"/>
          <w:lang w:eastAsia="en-US"/>
        </w:rPr>
        <w:t>fjerde</w:t>
      </w:r>
      <w:r w:rsidRPr="00393250">
        <w:rPr>
          <w:szCs w:val="24"/>
          <w:lang w:eastAsia="en-US"/>
        </w:rPr>
        <w:t xml:space="preserve"> år en rapport, der sammenfatter resultaterne af den revision, der er omhandlet i stk. 2 og 3. Den første rapport forelægges Kommissionen den … [OP: </w:t>
      </w:r>
      <w:r w:rsidRPr="00393250">
        <w:rPr>
          <w:strike/>
          <w:szCs w:val="24"/>
          <w:lang w:eastAsia="en-US"/>
        </w:rPr>
        <w:t>Please insert the date = five years after the date of entry into force of this Directive</w:t>
      </w:r>
      <w:r w:rsidRPr="00393250">
        <w:rPr>
          <w:b/>
          <w:i/>
          <w:szCs w:val="24"/>
          <w:lang w:eastAsia="en-US"/>
        </w:rPr>
        <w:t>indsæt venligst datoen = tre år efter ikrafttræden af dette direktiv</w:t>
      </w:r>
      <w:r w:rsidRPr="00393250">
        <w:rPr>
          <w:szCs w:val="24"/>
          <w:lang w:eastAsia="en-US"/>
        </w:rPr>
        <w:t>]</w:t>
      </w:r>
      <w:r w:rsidRPr="00393250">
        <w:rPr>
          <w:strike/>
          <w:szCs w:val="24"/>
          <w:lang w:eastAsia="en-US"/>
        </w:rPr>
        <w:t>.</w:t>
      </w:r>
      <w:r w:rsidR="0075413E" w:rsidRPr="00393250">
        <w:rPr>
          <w:szCs w:val="24"/>
          <w:lang w:eastAsia="en-US"/>
        </w:rPr>
        <w:t>"</w:t>
      </w:r>
      <w:r w:rsidR="0075413E" w:rsidRPr="00393250">
        <w:rPr>
          <w:b/>
          <w:szCs w:val="24"/>
          <w:lang w:eastAsia="en-US"/>
        </w:rPr>
        <w:t xml:space="preserve"> [Ændring 102]</w:t>
      </w:r>
    </w:p>
    <w:p w14:paraId="299DEE8E"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(8)</w:t>
      </w:r>
      <w:r w:rsidRPr="00393250">
        <w:rPr>
          <w:szCs w:val="24"/>
          <w:lang w:eastAsia="en-US"/>
        </w:rPr>
        <w:tab/>
        <w:t>Følgende indsættes som artikel 8a:</w:t>
      </w:r>
    </w:p>
    <w:p w14:paraId="2AD58A8A" w14:textId="77777777" w:rsidR="008A5B47" w:rsidRPr="00393250" w:rsidRDefault="008A5B47" w:rsidP="008A5B47">
      <w:pPr>
        <w:spacing w:before="120" w:after="120" w:line="360" w:lineRule="auto"/>
        <w:ind w:left="850"/>
        <w:rPr>
          <w:szCs w:val="24"/>
          <w:lang w:eastAsia="en-US"/>
        </w:rPr>
      </w:pPr>
      <w:r w:rsidRPr="00393250">
        <w:rPr>
          <w:szCs w:val="24"/>
          <w:lang w:eastAsia="en-US"/>
        </w:rPr>
        <w:t>"Artikel 8a</w:t>
      </w:r>
    </w:p>
    <w:p w14:paraId="5D309883" w14:textId="77777777" w:rsidR="008A5B47" w:rsidRPr="00393250" w:rsidRDefault="008A5B47" w:rsidP="008A5B47">
      <w:pPr>
        <w:spacing w:before="120" w:after="120" w:line="360" w:lineRule="auto"/>
        <w:ind w:left="850"/>
        <w:rPr>
          <w:szCs w:val="24"/>
          <w:lang w:eastAsia="en-US"/>
        </w:rPr>
      </w:pPr>
      <w:r w:rsidRPr="00393250">
        <w:rPr>
          <w:szCs w:val="24"/>
          <w:lang w:eastAsia="en-US"/>
        </w:rPr>
        <w:t>Udøvelse af delegerede beføjelser</w:t>
      </w:r>
    </w:p>
    <w:p w14:paraId="2C57C543"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1.</w:t>
      </w:r>
      <w:r w:rsidRPr="00393250">
        <w:rPr>
          <w:szCs w:val="24"/>
          <w:lang w:eastAsia="en-US"/>
        </w:rPr>
        <w:tab/>
        <w:t>Beføjelsen til at vedtage delegerede retsakter tillægges Kommissionen på de i denne artikel fastlagte betingelser.</w:t>
      </w:r>
    </w:p>
    <w:p w14:paraId="3E3775DB" w14:textId="138F90B5" w:rsidR="008A5B47" w:rsidRPr="00393250" w:rsidRDefault="008A5B47" w:rsidP="008A5B47">
      <w:pPr>
        <w:spacing w:before="120" w:after="120" w:line="360" w:lineRule="auto"/>
        <w:ind w:left="1416" w:hanging="566"/>
        <w:rPr>
          <w:b/>
          <w:szCs w:val="24"/>
          <w:lang w:eastAsia="en-US"/>
        </w:rPr>
      </w:pPr>
      <w:r w:rsidRPr="00393250">
        <w:rPr>
          <w:szCs w:val="24"/>
          <w:lang w:eastAsia="en-US"/>
        </w:rPr>
        <w:t>2.</w:t>
      </w:r>
      <w:r w:rsidRPr="00393250">
        <w:rPr>
          <w:szCs w:val="24"/>
          <w:lang w:eastAsia="en-US"/>
        </w:rPr>
        <w:tab/>
      </w:r>
      <w:r w:rsidRPr="00393250">
        <w:rPr>
          <w:strike/>
          <w:szCs w:val="24"/>
          <w:lang w:eastAsia="en-US"/>
        </w:rPr>
        <w:t>De beføjelser</w:t>
      </w:r>
      <w:r w:rsidRPr="00393250">
        <w:rPr>
          <w:b/>
          <w:i/>
          <w:szCs w:val="24"/>
          <w:lang w:eastAsia="en-US"/>
        </w:rPr>
        <w:t>Beføjelsen</w:t>
      </w:r>
      <w:r w:rsidRPr="00393250">
        <w:rPr>
          <w:szCs w:val="24"/>
          <w:lang w:eastAsia="en-US"/>
        </w:rPr>
        <w:t xml:space="preserve"> til at vedtage delegerede retsakter, </w:t>
      </w:r>
      <w:r w:rsidRPr="00393250">
        <w:rPr>
          <w:strike/>
          <w:szCs w:val="24"/>
          <w:lang w:eastAsia="en-US"/>
        </w:rPr>
        <w:t>der er omhandlet i</w:t>
      </w:r>
      <w:r w:rsidRPr="00393250">
        <w:rPr>
          <w:b/>
          <w:i/>
          <w:szCs w:val="24"/>
          <w:lang w:eastAsia="en-US"/>
        </w:rPr>
        <w:t>jf.</w:t>
      </w:r>
      <w:r w:rsidRPr="00393250">
        <w:rPr>
          <w:szCs w:val="24"/>
          <w:lang w:eastAsia="en-US"/>
        </w:rPr>
        <w:t xml:space="preserve"> artikel 8, stk. </w:t>
      </w:r>
      <w:r w:rsidRPr="00393250">
        <w:rPr>
          <w:strike/>
          <w:szCs w:val="24"/>
          <w:lang w:eastAsia="en-US"/>
        </w:rPr>
        <w:t>1 og 2</w:t>
      </w:r>
      <w:r w:rsidRPr="00393250">
        <w:rPr>
          <w:b/>
          <w:i/>
          <w:szCs w:val="24"/>
          <w:lang w:eastAsia="en-US"/>
        </w:rPr>
        <w:t>2, 3 og 6a</w:t>
      </w:r>
      <w:r w:rsidRPr="00393250">
        <w:rPr>
          <w:szCs w:val="24"/>
          <w:lang w:eastAsia="en-US"/>
        </w:rPr>
        <w:t xml:space="preserve">, tillægges Kommissionen </w:t>
      </w:r>
      <w:r w:rsidRPr="00393250">
        <w:rPr>
          <w:b/>
          <w:i/>
          <w:szCs w:val="24"/>
          <w:lang w:eastAsia="en-US"/>
        </w:rPr>
        <w:t>for en periode på seks år fra den … [datoen for dette direktivs ikrafttræden</w:t>
      </w:r>
      <w:r w:rsidRPr="00393250">
        <w:rPr>
          <w:strike/>
          <w:szCs w:val="24"/>
          <w:lang w:eastAsia="en-US"/>
        </w:rPr>
        <w:t>på ubestemt tid fra [OP insert the date of entry into force of this Directive</w:t>
      </w:r>
      <w:r w:rsidRPr="00393250">
        <w:rPr>
          <w:szCs w:val="24"/>
          <w:lang w:eastAsia="en-US"/>
        </w:rPr>
        <w:t>].</w:t>
      </w:r>
      <w:r w:rsidRPr="00393250">
        <w:rPr>
          <w:b/>
          <w:i/>
          <w:szCs w:val="24"/>
          <w:lang w:eastAsia="en-US"/>
        </w:rPr>
        <w:t xml:space="preserve"> Kommissionen udarbejder en rapport vedrørende delegationen af beføjelser senest ni måneder inden udløbet af seksårsperioden. Delegationen af beføjelser forlænges stiltiende for perioder af samme varighed, medmindre Europa-Parlamentet eller Rådet modsætter sig en sådan forlængelse senest tre måneder inden udløbet af hver periode.</w:t>
      </w:r>
      <w:r w:rsidR="00FE333B" w:rsidRPr="00393250">
        <w:rPr>
          <w:b/>
          <w:szCs w:val="24"/>
          <w:lang w:eastAsia="en-US"/>
        </w:rPr>
        <w:t xml:space="preserve"> [Ændring 103]</w:t>
      </w:r>
    </w:p>
    <w:p w14:paraId="2C2391E2" w14:textId="77777777" w:rsidR="00FE333B" w:rsidRPr="00393250" w:rsidRDefault="00FE333B">
      <w:pPr>
        <w:widowControl/>
        <w:rPr>
          <w:szCs w:val="24"/>
          <w:lang w:eastAsia="en-US"/>
        </w:rPr>
      </w:pPr>
      <w:r w:rsidRPr="00393250">
        <w:rPr>
          <w:szCs w:val="24"/>
          <w:lang w:eastAsia="en-US"/>
        </w:rPr>
        <w:br w:type="page"/>
      </w:r>
    </w:p>
    <w:p w14:paraId="70B11637" w14:textId="17AEADA7" w:rsidR="008A5B47" w:rsidRPr="00393250" w:rsidRDefault="008A5B47" w:rsidP="008A5B47">
      <w:pPr>
        <w:spacing w:before="120" w:after="120" w:line="360" w:lineRule="auto"/>
        <w:ind w:left="1416" w:hanging="566"/>
        <w:rPr>
          <w:b/>
          <w:szCs w:val="24"/>
          <w:lang w:eastAsia="en-US"/>
        </w:rPr>
      </w:pPr>
      <w:r w:rsidRPr="00393250">
        <w:rPr>
          <w:szCs w:val="24"/>
          <w:lang w:eastAsia="en-US"/>
        </w:rPr>
        <w:lastRenderedPageBreak/>
        <w:t>3.</w:t>
      </w:r>
      <w:r w:rsidRPr="00393250">
        <w:rPr>
          <w:szCs w:val="24"/>
          <w:lang w:eastAsia="en-US"/>
        </w:rPr>
        <w:tab/>
        <w:t xml:space="preserve">Den i artikel 8, stk. </w:t>
      </w:r>
      <w:r w:rsidRPr="00393250">
        <w:rPr>
          <w:strike/>
          <w:szCs w:val="24"/>
          <w:lang w:eastAsia="en-US"/>
        </w:rPr>
        <w:t>1 og 2</w:t>
      </w:r>
      <w:r w:rsidRPr="00393250">
        <w:rPr>
          <w:b/>
          <w:i/>
          <w:szCs w:val="24"/>
          <w:lang w:eastAsia="en-US"/>
        </w:rPr>
        <w:t>3, 2 og 6a</w:t>
      </w:r>
      <w:r w:rsidRPr="00393250">
        <w:rPr>
          <w:szCs w:val="24"/>
          <w:lang w:eastAsia="en-US"/>
        </w:rPr>
        <w:t xml:space="preserve">, omhandlede delegation af beføjelser kan til enhver tid tilbagekaldes af Europa-Parlamentet og Rådet. En afgørelse om tilbagekaldelse bringer delegationen af de beføjelser, der er angivet i den pågældende afgørelse, til ophør. Den får virkning dagen efter offentliggørelsen af afgørelsen i </w:t>
      </w:r>
      <w:r w:rsidRPr="00393250">
        <w:rPr>
          <w:i/>
          <w:szCs w:val="24"/>
          <w:lang w:eastAsia="en-US"/>
        </w:rPr>
        <w:t>Den Europæiske Unions Tidende</w:t>
      </w:r>
      <w:r w:rsidRPr="00393250">
        <w:rPr>
          <w:szCs w:val="24"/>
          <w:lang w:eastAsia="en-US"/>
        </w:rPr>
        <w:t xml:space="preserve"> eller på et senere tidspunkt, der angives i afgørelsen. Den berører ikke gyldigheden af de delegerede retsakter, der allerede er i kraft.</w:t>
      </w:r>
      <w:r w:rsidR="00FE333B" w:rsidRPr="00393250">
        <w:rPr>
          <w:b/>
          <w:szCs w:val="24"/>
          <w:lang w:eastAsia="en-US"/>
        </w:rPr>
        <w:t xml:space="preserve"> [Ændring 104]</w:t>
      </w:r>
    </w:p>
    <w:p w14:paraId="54AE3D02"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4.</w:t>
      </w:r>
      <w:r w:rsidRPr="00393250">
        <w:rPr>
          <w:szCs w:val="24"/>
          <w:lang w:eastAsia="en-US"/>
        </w:rPr>
        <w:tab/>
        <w:t>Inden vedtagelsen af en delegeret retsakt hører Kommissionen eksperter, som er udpeget af hver enkelt medlemsstat, i overensstemmelse med principperne i den interinstitutionelle aftale af 13. april 2016 om bedre lovgivning.</w:t>
      </w:r>
      <w:r w:rsidRPr="00393250">
        <w:rPr>
          <w:b/>
          <w:i/>
          <w:szCs w:val="24"/>
          <w:lang w:eastAsia="en-US"/>
        </w:rPr>
        <w:t xml:space="preserve"> </w:t>
      </w:r>
      <w:r w:rsidRPr="00393250">
        <w:rPr>
          <w:b/>
          <w:szCs w:val="24"/>
          <w:lang w:eastAsia="en-US"/>
        </w:rPr>
        <w:t>[Ændring 105 - Vedrører ikke den danske tekst]</w:t>
      </w:r>
    </w:p>
    <w:p w14:paraId="3B674779"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5.</w:t>
      </w:r>
      <w:r w:rsidRPr="00393250">
        <w:rPr>
          <w:szCs w:val="24"/>
          <w:lang w:eastAsia="en-US"/>
        </w:rPr>
        <w:tab/>
        <w:t>Så snart Kommissionen vedtager en delegeret retsakt, giver den samtidig Europa-Parlamentet og Rådet meddelelse herom.</w:t>
      </w:r>
    </w:p>
    <w:p w14:paraId="33E5713C" w14:textId="77777777" w:rsidR="00FE333B" w:rsidRPr="00393250" w:rsidRDefault="00FE333B">
      <w:pPr>
        <w:widowControl/>
        <w:rPr>
          <w:szCs w:val="24"/>
          <w:lang w:eastAsia="en-US"/>
        </w:rPr>
      </w:pPr>
      <w:r w:rsidRPr="00393250">
        <w:rPr>
          <w:szCs w:val="24"/>
          <w:lang w:eastAsia="en-US"/>
        </w:rPr>
        <w:br w:type="page"/>
      </w:r>
    </w:p>
    <w:p w14:paraId="042DCD52" w14:textId="35860D69" w:rsidR="008A5B47" w:rsidRPr="00393250" w:rsidRDefault="008A5B47" w:rsidP="008A5B47">
      <w:pPr>
        <w:spacing w:before="120" w:after="120" w:line="360" w:lineRule="auto"/>
        <w:ind w:left="1416" w:hanging="566"/>
        <w:rPr>
          <w:b/>
          <w:szCs w:val="24"/>
          <w:lang w:eastAsia="en-US"/>
        </w:rPr>
      </w:pPr>
      <w:r w:rsidRPr="00393250">
        <w:rPr>
          <w:szCs w:val="24"/>
          <w:lang w:eastAsia="en-US"/>
        </w:rPr>
        <w:lastRenderedPageBreak/>
        <w:t>6.</w:t>
      </w:r>
      <w:r w:rsidRPr="00393250">
        <w:rPr>
          <w:szCs w:val="24"/>
          <w:lang w:eastAsia="en-US"/>
        </w:rPr>
        <w:tab/>
        <w:t xml:space="preserve">En delegeret retsakt vedtaget i henhold til artikel 8, stk. </w:t>
      </w:r>
      <w:r w:rsidRPr="00393250">
        <w:rPr>
          <w:strike/>
          <w:szCs w:val="24"/>
          <w:lang w:eastAsia="en-US"/>
        </w:rPr>
        <w:t>1</w:t>
      </w:r>
      <w:r w:rsidRPr="00393250">
        <w:rPr>
          <w:b/>
          <w:i/>
          <w:szCs w:val="24"/>
          <w:lang w:eastAsia="en-US"/>
        </w:rPr>
        <w:t>2, 3</w:t>
      </w:r>
      <w:r w:rsidRPr="00393250">
        <w:rPr>
          <w:szCs w:val="24"/>
          <w:lang w:eastAsia="en-US"/>
        </w:rPr>
        <w:t xml:space="preserve"> eller </w:t>
      </w:r>
      <w:r w:rsidRPr="00393250">
        <w:rPr>
          <w:strike/>
          <w:szCs w:val="24"/>
          <w:lang w:eastAsia="en-US"/>
        </w:rPr>
        <w:t>2</w:t>
      </w:r>
      <w:r w:rsidRPr="00393250">
        <w:rPr>
          <w:b/>
          <w:i/>
          <w:szCs w:val="24"/>
          <w:lang w:eastAsia="en-US"/>
        </w:rPr>
        <w:t>6a</w:t>
      </w:r>
      <w:r w:rsidRPr="00393250">
        <w:rPr>
          <w:szCs w:val="24"/>
          <w:lang w:eastAsia="en-US"/>
        </w:rPr>
        <w:t>, træder kun i kraft, hvis hverken Europa-Parlamentet eller Rådet har gjort indsigelse inden for en frist på to måneder fra meddelelsen af den pågældende retsakt til Europa-Parlamentet og Rådet, eller hvis Europa-Parlamentet og Rådet inden udløbet af denne frist begge har informeret Kommissionen om, at de ikke agter at gøre indsigelse. Fristen forlænges med to måneder på Europa-Parlamentets eller Rådets initiativ."</w:t>
      </w:r>
      <w:r w:rsidR="00FE333B" w:rsidRPr="00393250">
        <w:rPr>
          <w:b/>
          <w:szCs w:val="24"/>
          <w:lang w:eastAsia="en-US"/>
        </w:rPr>
        <w:t xml:space="preserve"> [Ændring 106]</w:t>
      </w:r>
    </w:p>
    <w:p w14:paraId="6C2A6687"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(9)</w:t>
      </w:r>
      <w:r w:rsidRPr="00393250">
        <w:rPr>
          <w:szCs w:val="24"/>
          <w:lang w:eastAsia="en-US"/>
        </w:rPr>
        <w:tab/>
        <w:t>Artikel 9 affattes således:</w:t>
      </w:r>
    </w:p>
    <w:p w14:paraId="31AC3B89" w14:textId="77777777" w:rsidR="008A5B47" w:rsidRPr="00393250" w:rsidRDefault="008A5B47" w:rsidP="008A5B47">
      <w:pPr>
        <w:spacing w:before="120" w:after="120" w:line="360" w:lineRule="auto"/>
        <w:ind w:left="850"/>
        <w:rPr>
          <w:szCs w:val="24"/>
          <w:lang w:eastAsia="en-US"/>
        </w:rPr>
      </w:pPr>
      <w:r w:rsidRPr="00393250">
        <w:rPr>
          <w:szCs w:val="24"/>
          <w:lang w:eastAsia="en-US"/>
        </w:rPr>
        <w:t>"Artikel 9</w:t>
      </w:r>
    </w:p>
    <w:p w14:paraId="3774BF3A" w14:textId="77777777" w:rsidR="008A5B47" w:rsidRPr="00393250" w:rsidRDefault="008A5B47" w:rsidP="008A5B47">
      <w:pPr>
        <w:spacing w:before="120" w:after="120" w:line="360" w:lineRule="auto"/>
        <w:ind w:left="850"/>
        <w:rPr>
          <w:szCs w:val="24"/>
          <w:lang w:eastAsia="en-US"/>
        </w:rPr>
      </w:pPr>
      <w:r w:rsidRPr="00393250">
        <w:rPr>
          <w:szCs w:val="24"/>
          <w:lang w:eastAsia="en-US"/>
        </w:rPr>
        <w:t>Udvalgsprocedure</w:t>
      </w:r>
    </w:p>
    <w:p w14:paraId="14D8E05A"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1.</w:t>
      </w:r>
      <w:r w:rsidRPr="00393250">
        <w:rPr>
          <w:szCs w:val="24"/>
          <w:lang w:eastAsia="en-US"/>
        </w:rPr>
        <w:tab/>
        <w:t>Kommissionen bistås af et udvalg. Dette udvalg er et udvalg som omhandlet i Europa-Parlamentets og Rådets forordning (EU) nr. 182/2011*.</w:t>
      </w:r>
    </w:p>
    <w:p w14:paraId="62AE952D" w14:textId="77777777" w:rsidR="00FE333B" w:rsidRPr="00393250" w:rsidRDefault="00FE333B">
      <w:pPr>
        <w:widowControl/>
        <w:rPr>
          <w:szCs w:val="24"/>
          <w:lang w:eastAsia="en-US"/>
        </w:rPr>
      </w:pPr>
      <w:r w:rsidRPr="00393250">
        <w:rPr>
          <w:szCs w:val="24"/>
          <w:lang w:eastAsia="en-US"/>
        </w:rPr>
        <w:br w:type="page"/>
      </w:r>
    </w:p>
    <w:p w14:paraId="5F238CB9" w14:textId="72BD4936" w:rsidR="008A5B47" w:rsidRPr="00393250" w:rsidRDefault="008A5B47" w:rsidP="008A5B47">
      <w:pPr>
        <w:spacing w:before="120" w:after="120" w:line="360" w:lineRule="auto"/>
        <w:ind w:left="1416" w:hanging="566"/>
        <w:rPr>
          <w:szCs w:val="24"/>
          <w:lang w:eastAsia="en-US"/>
        </w:rPr>
      </w:pPr>
      <w:r w:rsidRPr="00393250">
        <w:rPr>
          <w:szCs w:val="24"/>
          <w:lang w:eastAsia="en-US"/>
        </w:rPr>
        <w:lastRenderedPageBreak/>
        <w:t>2.</w:t>
      </w:r>
      <w:r w:rsidRPr="00393250">
        <w:rPr>
          <w:szCs w:val="24"/>
          <w:lang w:eastAsia="en-US"/>
        </w:rPr>
        <w:tab/>
        <w:t>Når der henvises til dette stykke, anvendes artikel 5 i forordning (EU) nr. 182/2011.</w:t>
      </w:r>
    </w:p>
    <w:p w14:paraId="71DA7F9A" w14:textId="77777777" w:rsidR="008A5B47" w:rsidRPr="00393250" w:rsidRDefault="008A5B47" w:rsidP="008A5B47">
      <w:pPr>
        <w:spacing w:before="120" w:after="120" w:line="360" w:lineRule="auto"/>
        <w:ind w:left="850"/>
        <w:rPr>
          <w:szCs w:val="24"/>
          <w:lang w:eastAsia="en-US"/>
        </w:rPr>
      </w:pPr>
      <w:r w:rsidRPr="00393250">
        <w:rPr>
          <w:szCs w:val="24"/>
          <w:lang w:eastAsia="en-US"/>
        </w:rPr>
        <w:t>Afgiver udvalget ikke nogen udtalelse, vedtager Kommissionen ikke udkastet til gennemførelsesretsakt, og artikel 5, stk. 4, tredje afsnit, i forordning (EU) nr. 182/2011 finder anvendelse."</w:t>
      </w:r>
    </w:p>
    <w:p w14:paraId="665E3473" w14:textId="77777777" w:rsidR="008A5B47" w:rsidRPr="00393250" w:rsidRDefault="008A5B47" w:rsidP="008A5B47">
      <w:pPr>
        <w:spacing w:before="120" w:after="120" w:line="360" w:lineRule="auto"/>
        <w:ind w:left="850"/>
        <w:rPr>
          <w:szCs w:val="24"/>
          <w:lang w:eastAsia="en-US"/>
        </w:rPr>
      </w:pPr>
      <w:r w:rsidRPr="00393250">
        <w:rPr>
          <w:szCs w:val="24"/>
          <w:lang w:eastAsia="en-US"/>
        </w:rPr>
        <w:t>* Europa-Parlamentets og Rådets forordning (EU) nr. 182/2011 af 16. februar 2011 om de generelle regler og principper for, hvordan medlemsstaterne skal kontrollere Kommissionens udøvelse af gennemførelsesbeføjelser (EUT L 55 af 28.2.2011, s. 13)."</w:t>
      </w:r>
    </w:p>
    <w:p w14:paraId="470F0335"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(10)</w:t>
      </w:r>
      <w:r w:rsidRPr="00393250">
        <w:rPr>
          <w:szCs w:val="24"/>
          <w:lang w:eastAsia="en-US"/>
        </w:rPr>
        <w:tab/>
        <w:t>Artikel 10 udgår.</w:t>
      </w:r>
    </w:p>
    <w:p w14:paraId="25FAE385"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(11)</w:t>
      </w:r>
      <w:r w:rsidRPr="00393250">
        <w:rPr>
          <w:szCs w:val="24"/>
          <w:lang w:eastAsia="en-US"/>
        </w:rPr>
        <w:tab/>
        <w:t>Bilag I erstattes med teksten i bilag III til dette direktiv.</w:t>
      </w:r>
    </w:p>
    <w:p w14:paraId="24F721EF"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(12)</w:t>
      </w:r>
      <w:r w:rsidRPr="00393250">
        <w:rPr>
          <w:szCs w:val="24"/>
          <w:lang w:eastAsia="en-US"/>
        </w:rPr>
        <w:tab/>
        <w:t>Bilag II ændres som angivet i bilag IV til dette direktiv.</w:t>
      </w:r>
    </w:p>
    <w:p w14:paraId="655766C7" w14:textId="77777777" w:rsidR="00FE333B" w:rsidRPr="00393250" w:rsidRDefault="00FE333B">
      <w:pPr>
        <w:widowControl/>
        <w:rPr>
          <w:szCs w:val="24"/>
          <w:lang w:eastAsia="en-US"/>
        </w:rPr>
      </w:pPr>
      <w:r w:rsidRPr="00393250">
        <w:rPr>
          <w:szCs w:val="24"/>
          <w:lang w:eastAsia="en-US"/>
        </w:rPr>
        <w:br w:type="page"/>
      </w:r>
    </w:p>
    <w:p w14:paraId="37DDA5A4" w14:textId="5E9DC33A"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(13)</w:t>
      </w:r>
      <w:r w:rsidRPr="00393250">
        <w:rPr>
          <w:szCs w:val="24"/>
          <w:lang w:eastAsia="en-US"/>
        </w:rPr>
        <w:tab/>
        <w:t>I bilag III affattes punkt 2, litra c), således:</w:t>
      </w:r>
    </w:p>
    <w:p w14:paraId="4D2859EC"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"c)</w:t>
      </w:r>
      <w:r w:rsidRPr="00393250">
        <w:rPr>
          <w:szCs w:val="24"/>
          <w:lang w:eastAsia="en-US"/>
        </w:rPr>
        <w:tab/>
        <w:t>alle andre relevante oplysninger, herunder en sammenligning mellem den årlige aritmetiske gennemsnitskoncentration af de pågældende forurenende stoffer i et overvågningspunkt og grundvandskvalitetskravene i bilag I og de tærskelværdier, der er omhandlet i artikel 3, stk. 1, litra b) og c)."</w:t>
      </w:r>
    </w:p>
    <w:p w14:paraId="200E884E"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(14)</w:t>
      </w:r>
      <w:r w:rsidRPr="00393250">
        <w:rPr>
          <w:szCs w:val="24"/>
          <w:lang w:eastAsia="en-US"/>
        </w:rPr>
        <w:tab/>
        <w:t>I bilag IV, del B, punkt 1, affattes indledningen således:</w:t>
      </w:r>
    </w:p>
    <w:p w14:paraId="688FDC72" w14:textId="7AF0E412" w:rsidR="008A5B47" w:rsidRPr="00393250" w:rsidRDefault="008A5B47" w:rsidP="008A5B47">
      <w:pPr>
        <w:spacing w:before="120" w:after="120" w:line="360" w:lineRule="auto"/>
        <w:ind w:left="850"/>
        <w:rPr>
          <w:b/>
          <w:szCs w:val="24"/>
          <w:lang w:eastAsia="en-US"/>
        </w:rPr>
      </w:pPr>
      <w:r w:rsidRPr="00393250">
        <w:rPr>
          <w:szCs w:val="24"/>
          <w:lang w:eastAsia="en-US"/>
        </w:rPr>
        <w:t>"Udgangspunktet for at gennemføre foranstaltninger til at vende væsentlige og vedvarende opadgående tendenser</w:t>
      </w:r>
      <w:r w:rsidRPr="00393250">
        <w:rPr>
          <w:b/>
          <w:i/>
          <w:szCs w:val="24"/>
          <w:lang w:eastAsia="en-US"/>
        </w:rPr>
        <w:t>, herunder årstidsbestemte opadgående tendenser, som bl.a. skyldes en lav udledning fra et vandområde,</w:t>
      </w:r>
      <w:r w:rsidRPr="00393250">
        <w:rPr>
          <w:szCs w:val="24"/>
          <w:lang w:eastAsia="en-US"/>
        </w:rPr>
        <w:t xml:space="preserve"> foreligger, når koncentrationen af det forurenende stof når op på 75</w:t>
      </w:r>
      <w:r w:rsidR="00FE333B" w:rsidRPr="00393250">
        <w:rPr>
          <w:szCs w:val="24"/>
          <w:lang w:eastAsia="en-US"/>
        </w:rPr>
        <w:t> </w:t>
      </w:r>
      <w:r w:rsidRPr="00393250">
        <w:rPr>
          <w:szCs w:val="24"/>
          <w:lang w:eastAsia="en-US"/>
        </w:rPr>
        <w:t>% af parameterværdierne for grundvandskvalitetskravene i bilag I og af tærskelværdierne omhandlet i artikel 3, stk. 1, litra b) og c), medmindre:</w:t>
      </w:r>
      <w:r w:rsidRPr="00393250">
        <w:rPr>
          <w:strike/>
          <w:szCs w:val="24"/>
          <w:lang w:eastAsia="en-US"/>
        </w:rPr>
        <w:t>.</w:t>
      </w:r>
      <w:r w:rsidRPr="00393250">
        <w:rPr>
          <w:szCs w:val="24"/>
          <w:lang w:eastAsia="en-US"/>
        </w:rPr>
        <w:t>"</w:t>
      </w:r>
      <w:r w:rsidR="00FE333B" w:rsidRPr="00393250">
        <w:rPr>
          <w:b/>
          <w:szCs w:val="24"/>
          <w:lang w:eastAsia="en-US"/>
        </w:rPr>
        <w:t xml:space="preserve"> [Ændring 107]</w:t>
      </w:r>
    </w:p>
    <w:p w14:paraId="75CD04AB" w14:textId="77777777" w:rsidR="00FE333B" w:rsidRPr="00393250" w:rsidRDefault="00FE333B">
      <w:pPr>
        <w:widowControl/>
        <w:rPr>
          <w:szCs w:val="24"/>
          <w:lang w:eastAsia="en-US"/>
        </w:rPr>
      </w:pPr>
      <w:r w:rsidRPr="00393250">
        <w:rPr>
          <w:szCs w:val="24"/>
          <w:lang w:eastAsia="en-US"/>
        </w:rPr>
        <w:br w:type="page"/>
      </w:r>
    </w:p>
    <w:p w14:paraId="7208DF85" w14:textId="5B3AB20A" w:rsidR="008A5B47" w:rsidRPr="00393250" w:rsidRDefault="008A5B47" w:rsidP="008A5B47">
      <w:pPr>
        <w:spacing w:before="120" w:after="120" w:line="360" w:lineRule="auto"/>
        <w:jc w:val="center"/>
        <w:rPr>
          <w:szCs w:val="24"/>
          <w:lang w:eastAsia="en-US"/>
        </w:rPr>
      </w:pPr>
      <w:r w:rsidRPr="00393250">
        <w:rPr>
          <w:szCs w:val="24"/>
          <w:lang w:eastAsia="en-US"/>
        </w:rPr>
        <w:lastRenderedPageBreak/>
        <w:t>Artikel 3</w:t>
      </w:r>
      <w:r w:rsidRPr="00393250">
        <w:rPr>
          <w:szCs w:val="24"/>
          <w:lang w:eastAsia="en-US"/>
        </w:rPr>
        <w:br/>
        <w:t>Ændringer af direktiv 2008/105/EF</w:t>
      </w:r>
    </w:p>
    <w:p w14:paraId="5973F6EA" w14:textId="77777777" w:rsidR="008A5B47" w:rsidRPr="00393250" w:rsidRDefault="008A5B47" w:rsidP="008A5B47">
      <w:pPr>
        <w:spacing w:before="120" w:after="120" w:line="360" w:lineRule="auto"/>
        <w:rPr>
          <w:szCs w:val="24"/>
          <w:lang w:eastAsia="en-US"/>
        </w:rPr>
      </w:pPr>
      <w:r w:rsidRPr="00393250">
        <w:rPr>
          <w:szCs w:val="24"/>
          <w:lang w:eastAsia="en-US"/>
        </w:rPr>
        <w:t>Direktiv 2008/105/EF ændres således:</w:t>
      </w:r>
    </w:p>
    <w:p w14:paraId="50D443C0"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(1)</w:t>
      </w:r>
      <w:r w:rsidRPr="00393250">
        <w:rPr>
          <w:szCs w:val="24"/>
          <w:lang w:eastAsia="en-US"/>
        </w:rPr>
        <w:tab/>
        <w:t>Titlen affattes således:</w:t>
      </w:r>
    </w:p>
    <w:p w14:paraId="7A38074B" w14:textId="77777777" w:rsidR="008A5B47" w:rsidRPr="00393250" w:rsidRDefault="008A5B47" w:rsidP="008A5B47">
      <w:pPr>
        <w:spacing w:before="120" w:after="120" w:line="360" w:lineRule="auto"/>
        <w:ind w:left="850"/>
        <w:rPr>
          <w:szCs w:val="24"/>
          <w:lang w:eastAsia="en-US"/>
        </w:rPr>
      </w:pPr>
      <w:r w:rsidRPr="00393250">
        <w:rPr>
          <w:szCs w:val="24"/>
          <w:lang w:eastAsia="en-US"/>
        </w:rPr>
        <w:t>"Europa-Parlamentets og Rådets direktiv 2008/105/EF af 16. december 2008 om forebyggelse af og kontrol med forurening af overfladevand, om ændring og senere ophævelse af Rådets direktiv 82/176/EØF, 83/513/EØF, 84/156/EØF, 84/491/EØF og 86/280/EØF og om ændring af Europa-Parlamentets og Rådets direktiv 2000/60/EF"</w:t>
      </w:r>
    </w:p>
    <w:p w14:paraId="527CD3B0" w14:textId="77777777" w:rsidR="008A5B47" w:rsidRPr="00393250" w:rsidRDefault="008A5B47" w:rsidP="008A5B47">
      <w:pPr>
        <w:spacing w:before="120" w:after="120" w:line="360" w:lineRule="auto"/>
        <w:ind w:left="850" w:hanging="850"/>
        <w:rPr>
          <w:szCs w:val="24"/>
          <w:lang w:eastAsia="en-US"/>
        </w:rPr>
      </w:pPr>
      <w:r w:rsidRPr="00393250">
        <w:rPr>
          <w:b/>
          <w:i/>
          <w:szCs w:val="24"/>
          <w:lang w:eastAsia="en-US"/>
        </w:rPr>
        <w:t>(1a)</w:t>
      </w:r>
      <w:r w:rsidRPr="00393250">
        <w:rPr>
          <w:szCs w:val="24"/>
          <w:lang w:eastAsia="en-US"/>
        </w:rPr>
        <w:tab/>
      </w:r>
      <w:r w:rsidRPr="00393250">
        <w:rPr>
          <w:b/>
          <w:i/>
          <w:szCs w:val="24"/>
          <w:lang w:eastAsia="en-US"/>
        </w:rPr>
        <w:t>Artikel 1 ændres således:</w:t>
      </w:r>
    </w:p>
    <w:p w14:paraId="19D1E221" w14:textId="56F0E898" w:rsidR="008A5B47" w:rsidRPr="00393250" w:rsidRDefault="00EF3814" w:rsidP="008A5B47">
      <w:pPr>
        <w:spacing w:before="120" w:after="120" w:line="360" w:lineRule="auto"/>
        <w:ind w:left="850"/>
        <w:rPr>
          <w:szCs w:val="24"/>
          <w:lang w:eastAsia="en-US"/>
        </w:rPr>
      </w:pPr>
      <w:r w:rsidRPr="00393250">
        <w:rPr>
          <w:b/>
          <w:i/>
          <w:szCs w:val="24"/>
          <w:lang w:eastAsia="en-US"/>
        </w:rPr>
        <w:t>"</w:t>
      </w:r>
      <w:r w:rsidR="008A5B47" w:rsidRPr="00393250">
        <w:rPr>
          <w:b/>
          <w:i/>
          <w:szCs w:val="24"/>
          <w:lang w:eastAsia="en-US"/>
        </w:rPr>
        <w:t>Artikel 1</w:t>
      </w:r>
      <w:r w:rsidR="008A5B47" w:rsidRPr="00393250">
        <w:rPr>
          <w:szCs w:val="24"/>
          <w:lang w:eastAsia="en-US"/>
        </w:rPr>
        <w:br/>
      </w:r>
      <w:r w:rsidR="008A5B47" w:rsidRPr="00393250">
        <w:rPr>
          <w:b/>
          <w:i/>
          <w:szCs w:val="24"/>
          <w:lang w:eastAsia="en-US"/>
        </w:rPr>
        <w:t>Genstand</w:t>
      </w:r>
    </w:p>
    <w:p w14:paraId="23DCC1A4" w14:textId="79491202" w:rsidR="008A5B47" w:rsidRPr="00393250" w:rsidRDefault="008A5B47" w:rsidP="008A5B47">
      <w:pPr>
        <w:spacing w:before="120" w:after="120" w:line="360" w:lineRule="auto"/>
        <w:ind w:left="850"/>
        <w:rPr>
          <w:b/>
          <w:szCs w:val="24"/>
          <w:lang w:eastAsia="en-US"/>
        </w:rPr>
      </w:pPr>
      <w:r w:rsidRPr="00393250">
        <w:rPr>
          <w:b/>
          <w:i/>
          <w:szCs w:val="24"/>
          <w:lang w:eastAsia="en-US"/>
        </w:rPr>
        <w:t>Dette direktiv fastlægger miljøkvalitetskrav for prioriterede stoffer og prioriterede farlige stoffer med henblik på at opnå en god kemisk tilstand for overfladevand og i overensstemmelse med bestemmelserne og målene i artikel 4 i direktiv 2000/60/EF."</w:t>
      </w:r>
      <w:r w:rsidR="00EF3814" w:rsidRPr="00393250">
        <w:rPr>
          <w:b/>
          <w:szCs w:val="24"/>
          <w:lang w:eastAsia="en-US"/>
        </w:rPr>
        <w:t xml:space="preserve"> [Ændring 108]</w:t>
      </w:r>
    </w:p>
    <w:p w14:paraId="7F8C6185" w14:textId="77777777" w:rsidR="00EF3814" w:rsidRPr="00393250" w:rsidRDefault="00EF3814">
      <w:pPr>
        <w:widowControl/>
        <w:rPr>
          <w:szCs w:val="24"/>
          <w:lang w:eastAsia="en-US"/>
        </w:rPr>
      </w:pPr>
      <w:r w:rsidRPr="00393250">
        <w:rPr>
          <w:szCs w:val="24"/>
          <w:lang w:eastAsia="en-US"/>
        </w:rPr>
        <w:br w:type="page"/>
      </w:r>
    </w:p>
    <w:p w14:paraId="66FD6626" w14:textId="0344C028"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(2)</w:t>
      </w:r>
      <w:r w:rsidRPr="00393250">
        <w:rPr>
          <w:szCs w:val="24"/>
          <w:lang w:eastAsia="en-US"/>
        </w:rPr>
        <w:tab/>
        <w:t>I artikel 3 foretages følgende ændringer:</w:t>
      </w:r>
    </w:p>
    <w:p w14:paraId="2244BB24" w14:textId="066A8A0B" w:rsidR="008A5B47" w:rsidRPr="00393250" w:rsidRDefault="008A5B47" w:rsidP="008A5B47">
      <w:pPr>
        <w:spacing w:before="120" w:after="120" w:line="360" w:lineRule="auto"/>
        <w:ind w:left="1416" w:hanging="566"/>
        <w:rPr>
          <w:szCs w:val="24"/>
          <w:lang w:eastAsia="en-US"/>
        </w:rPr>
      </w:pPr>
      <w:r w:rsidRPr="00393250">
        <w:rPr>
          <w:szCs w:val="24"/>
          <w:lang w:eastAsia="en-US"/>
        </w:rPr>
        <w:t>a)</w:t>
      </w:r>
      <w:r w:rsidRPr="00393250">
        <w:rPr>
          <w:szCs w:val="24"/>
          <w:lang w:eastAsia="en-US"/>
        </w:rPr>
        <w:tab/>
        <w:t>I stk. 1a, første afsnit, indsættes som nr. iii):</w:t>
      </w:r>
    </w:p>
    <w:p w14:paraId="41CC06CE"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"iii)</w:t>
      </w:r>
      <w:r w:rsidRPr="00393250">
        <w:rPr>
          <w:szCs w:val="24"/>
          <w:lang w:eastAsia="en-US"/>
        </w:rPr>
        <w:tab/>
        <w:t>stof nr. 5, 9, 13, 15, 17, 21, 23, 24, 28, 30, 34, 37, 41 og 44 i bilag I, del A, for hvilke der er fastsat reviderede miljøkvalitetskrav, og de nyligt identificerede stoffer nr. 46-70 i del A i bilag I med virkning fra den … [OP please insert the date = the first day of the month following 18 months after the date of entry into force of this Directive], med henblik på at forebygge forringelse af overfladevandområders kemiske tilstand og opnå en god kemisk tilstand for overfladevand i forhold til disse stoffer."</w:t>
      </w:r>
    </w:p>
    <w:p w14:paraId="4B2DE58D" w14:textId="403E7315" w:rsidR="008A5B47" w:rsidRPr="00393250" w:rsidRDefault="008A5B47" w:rsidP="008A5B47">
      <w:pPr>
        <w:spacing w:before="120" w:after="120" w:line="360" w:lineRule="auto"/>
        <w:ind w:left="1416" w:hanging="566"/>
        <w:rPr>
          <w:szCs w:val="24"/>
          <w:lang w:eastAsia="en-US"/>
        </w:rPr>
      </w:pPr>
      <w:r w:rsidRPr="00393250">
        <w:rPr>
          <w:szCs w:val="24"/>
          <w:lang w:eastAsia="en-US"/>
        </w:rPr>
        <w:t>b)</w:t>
      </w:r>
      <w:r w:rsidRPr="00393250">
        <w:rPr>
          <w:szCs w:val="24"/>
          <w:lang w:eastAsia="en-US"/>
        </w:rPr>
        <w:tab/>
        <w:t>Stk. 2 affattes således:</w:t>
      </w:r>
    </w:p>
    <w:p w14:paraId="3ACC2E76"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"2.</w:t>
      </w:r>
      <w:r w:rsidRPr="00393250">
        <w:rPr>
          <w:szCs w:val="24"/>
          <w:lang w:eastAsia="en-US"/>
        </w:rPr>
        <w:tab/>
        <w:t>For så vidt angår stoffer, for hvilke der er fastsat miljøkvalitetskrav for biota eller sedimenter i bilag I, del A, anvender medlemsstaterne sådanne miljøkvalitetskrav for biota eller sedimenter.</w:t>
      </w:r>
    </w:p>
    <w:p w14:paraId="461F2F59" w14:textId="77777777" w:rsidR="008A5B47" w:rsidRPr="00393250" w:rsidRDefault="008A5B47" w:rsidP="008A5B47">
      <w:pPr>
        <w:spacing w:before="120" w:after="120" w:line="360" w:lineRule="auto"/>
        <w:ind w:left="1982"/>
        <w:rPr>
          <w:szCs w:val="24"/>
          <w:lang w:eastAsia="en-US"/>
        </w:rPr>
      </w:pPr>
      <w:r w:rsidRPr="00393250">
        <w:rPr>
          <w:szCs w:val="24"/>
          <w:lang w:eastAsia="en-US"/>
        </w:rPr>
        <w:t>For så vidt angår andre stoffer end de i første afsnit nævnte, anvender medlemsstaterne de miljøkvalitetskrav for vand, der er fastsat i bilag I, del A."</w:t>
      </w:r>
    </w:p>
    <w:p w14:paraId="55660647" w14:textId="77777777" w:rsidR="00EF3814" w:rsidRPr="00393250" w:rsidRDefault="00EF3814">
      <w:pPr>
        <w:widowControl/>
        <w:rPr>
          <w:szCs w:val="24"/>
          <w:lang w:eastAsia="en-US"/>
        </w:rPr>
      </w:pPr>
      <w:r w:rsidRPr="00393250">
        <w:rPr>
          <w:szCs w:val="24"/>
          <w:lang w:eastAsia="en-US"/>
        </w:rPr>
        <w:br w:type="page"/>
      </w:r>
    </w:p>
    <w:p w14:paraId="356831F0" w14:textId="36D1B11D" w:rsidR="008A5B47" w:rsidRPr="00393250" w:rsidRDefault="008A5B47" w:rsidP="008A5B47">
      <w:pPr>
        <w:spacing w:before="120" w:after="120" w:line="360" w:lineRule="auto"/>
        <w:ind w:left="1416" w:hanging="566"/>
        <w:rPr>
          <w:szCs w:val="24"/>
          <w:lang w:eastAsia="en-US"/>
        </w:rPr>
      </w:pPr>
      <w:r w:rsidRPr="00393250">
        <w:rPr>
          <w:szCs w:val="24"/>
          <w:lang w:eastAsia="en-US"/>
        </w:rPr>
        <w:lastRenderedPageBreak/>
        <w:t>c)</w:t>
      </w:r>
      <w:r w:rsidRPr="00393250">
        <w:rPr>
          <w:szCs w:val="24"/>
          <w:lang w:eastAsia="en-US"/>
        </w:rPr>
        <w:tab/>
        <w:t>Stk. 6, første afsnit, første punktum, affattes således:</w:t>
      </w:r>
    </w:p>
    <w:p w14:paraId="79509E66" w14:textId="77777777" w:rsidR="008A5B47" w:rsidRPr="00393250" w:rsidRDefault="008A5B47" w:rsidP="008A5B47">
      <w:pPr>
        <w:spacing w:before="120" w:after="120" w:line="360" w:lineRule="auto"/>
        <w:ind w:left="1416"/>
        <w:rPr>
          <w:szCs w:val="24"/>
          <w:lang w:eastAsia="en-US"/>
        </w:rPr>
      </w:pPr>
      <w:r w:rsidRPr="00393250">
        <w:rPr>
          <w:szCs w:val="24"/>
          <w:lang w:eastAsia="en-US"/>
        </w:rPr>
        <w:t>"Medlemsstaterne analyserer de langsigtede udviklingstendenser for koncentrationerne af de prioriterede stoffer i bilag I, del A, som stoffer, der har tendens til at blive akkumuleret i sedimenter og/eller biota, på grundlag af overvågningen i sediment eller biota som led i den overvågning af overfladevandtilstanden, der foretages i overensstemmelse med artikel 8 i direktiv 2000/60/EF."</w:t>
      </w:r>
    </w:p>
    <w:p w14:paraId="24D9A392" w14:textId="25848020" w:rsidR="008A5B47" w:rsidRPr="00393250" w:rsidRDefault="008A5B47" w:rsidP="008A5B47">
      <w:pPr>
        <w:spacing w:before="120" w:after="120" w:line="360" w:lineRule="auto"/>
        <w:ind w:left="1416" w:hanging="566"/>
        <w:rPr>
          <w:szCs w:val="24"/>
          <w:lang w:eastAsia="en-US"/>
        </w:rPr>
      </w:pPr>
      <w:r w:rsidRPr="00393250">
        <w:rPr>
          <w:szCs w:val="24"/>
          <w:lang w:eastAsia="en-US"/>
        </w:rPr>
        <w:t>d)</w:t>
      </w:r>
      <w:r w:rsidRPr="00393250">
        <w:rPr>
          <w:szCs w:val="24"/>
          <w:lang w:eastAsia="en-US"/>
        </w:rPr>
        <w:tab/>
        <w:t>Stk. 7 udgår.</w:t>
      </w:r>
    </w:p>
    <w:p w14:paraId="4C64DCE6" w14:textId="67341640" w:rsidR="008A5B47" w:rsidRPr="00393250" w:rsidRDefault="008A5B47" w:rsidP="008A5B47">
      <w:pPr>
        <w:spacing w:before="120" w:after="120" w:line="360" w:lineRule="auto"/>
        <w:ind w:left="1416" w:hanging="566"/>
        <w:rPr>
          <w:szCs w:val="24"/>
          <w:lang w:eastAsia="en-US"/>
        </w:rPr>
      </w:pPr>
      <w:r w:rsidRPr="00393250">
        <w:rPr>
          <w:szCs w:val="24"/>
          <w:lang w:eastAsia="en-US"/>
        </w:rPr>
        <w:t>e)</w:t>
      </w:r>
      <w:r w:rsidRPr="00393250">
        <w:rPr>
          <w:szCs w:val="24"/>
          <w:lang w:eastAsia="en-US"/>
        </w:rPr>
        <w:tab/>
        <w:t>Stk. 8 affattes således:</w:t>
      </w:r>
    </w:p>
    <w:p w14:paraId="547B3A9F"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"8.</w:t>
      </w:r>
      <w:r w:rsidRPr="00393250">
        <w:rPr>
          <w:szCs w:val="24"/>
          <w:lang w:eastAsia="en-US"/>
        </w:rPr>
        <w:tab/>
        <w:t>Kommissionen tillægges beføjelser til at vedtage delegerede retsakter i overensstemmelse med artikel 9a med henblik på at ændre del B, punkt 3, i bilag I for at tilpasse den til den videnskabelige og tekniske udvikling."</w:t>
      </w:r>
    </w:p>
    <w:p w14:paraId="08FC1E14" w14:textId="77777777" w:rsidR="00EF3814" w:rsidRPr="00393250" w:rsidRDefault="00EF3814">
      <w:pPr>
        <w:widowControl/>
        <w:rPr>
          <w:szCs w:val="24"/>
          <w:lang w:eastAsia="en-US"/>
        </w:rPr>
      </w:pPr>
      <w:r w:rsidRPr="00393250">
        <w:rPr>
          <w:szCs w:val="24"/>
          <w:lang w:eastAsia="en-US"/>
        </w:rPr>
        <w:br w:type="page"/>
      </w:r>
    </w:p>
    <w:p w14:paraId="1684C227" w14:textId="29930A3A"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(3)</w:t>
      </w:r>
      <w:r w:rsidRPr="00393250">
        <w:rPr>
          <w:szCs w:val="24"/>
          <w:lang w:eastAsia="en-US"/>
        </w:rPr>
        <w:tab/>
        <w:t>I artikel 5 foretages følgende ændringer:</w:t>
      </w:r>
    </w:p>
    <w:p w14:paraId="7E190437" w14:textId="54469228" w:rsidR="008A5B47" w:rsidRPr="00393250" w:rsidRDefault="008A5B47" w:rsidP="008A5B47">
      <w:pPr>
        <w:spacing w:before="120" w:after="120" w:line="360" w:lineRule="auto"/>
        <w:ind w:left="1416" w:hanging="566"/>
        <w:rPr>
          <w:szCs w:val="24"/>
          <w:lang w:eastAsia="en-US"/>
        </w:rPr>
      </w:pPr>
      <w:r w:rsidRPr="00393250">
        <w:rPr>
          <w:szCs w:val="24"/>
          <w:lang w:eastAsia="en-US"/>
        </w:rPr>
        <w:t>a)</w:t>
      </w:r>
      <w:r w:rsidRPr="00393250">
        <w:rPr>
          <w:szCs w:val="24"/>
          <w:lang w:eastAsia="en-US"/>
        </w:rPr>
        <w:tab/>
        <w:t>Stk. 1 affattes således:</w:t>
      </w:r>
    </w:p>
    <w:p w14:paraId="20C3BF13" w14:textId="4651E83E" w:rsidR="008A5B47" w:rsidRPr="00393250" w:rsidRDefault="008A5B47" w:rsidP="008A5B47">
      <w:pPr>
        <w:spacing w:before="120" w:after="120" w:line="360" w:lineRule="auto"/>
        <w:ind w:left="1982" w:hanging="566"/>
        <w:rPr>
          <w:b/>
          <w:szCs w:val="24"/>
          <w:lang w:eastAsia="en-US"/>
        </w:rPr>
      </w:pPr>
      <w:r w:rsidRPr="00393250">
        <w:rPr>
          <w:szCs w:val="24"/>
          <w:lang w:eastAsia="en-US"/>
        </w:rPr>
        <w:t>"1.</w:t>
      </w:r>
      <w:r w:rsidRPr="00393250">
        <w:rPr>
          <w:szCs w:val="24"/>
          <w:lang w:eastAsia="en-US"/>
        </w:rPr>
        <w:tab/>
        <w:t>Hver medlemsstat udarbejder på grundlag af oplysninger, der indsamles i medfør af artikel 5 og 8 i direktiv 2000/60/EF</w:t>
      </w:r>
      <w:r w:rsidRPr="00393250">
        <w:rPr>
          <w:b/>
          <w:i/>
          <w:szCs w:val="24"/>
          <w:lang w:eastAsia="en-US"/>
        </w:rPr>
        <w:t xml:space="preserve"> og Europa-Parlamentets og Rådets forordning (EU) .../...</w:t>
      </w:r>
      <w:r w:rsidR="00EF3814" w:rsidRPr="00393250">
        <w:rPr>
          <w:b/>
          <w:i/>
          <w:szCs w:val="24"/>
          <w:vertAlign w:val="superscript"/>
          <w:lang w:eastAsia="en-US"/>
        </w:rPr>
        <w:t>1a</w:t>
      </w:r>
      <w:r w:rsidRPr="00393250">
        <w:rPr>
          <w:szCs w:val="24"/>
          <w:lang w:eastAsia="en-US"/>
        </w:rPr>
        <w:t>, og andre tilgængelige data en oversigt, herunder kort, hvis de er til rådighed, over emissioner, udledninger og tab af alle prioriterede stoffer, der er anført i del A i bilag I til dette direktiv, og alle forurenende stoffer, der er anført i del A i bilag II til dette direktiv, for hvert vandområdedistrikt eller del af et vandområdedistrikt inden for dens område, herunder koncentrationerne heraf i sedimenter og/eller biota.</w:t>
      </w:r>
      <w:r w:rsidR="00A71DA3" w:rsidRPr="00393250">
        <w:rPr>
          <w:b/>
          <w:szCs w:val="24"/>
          <w:lang w:eastAsia="en-US"/>
        </w:rPr>
        <w:t xml:space="preserve"> [Ændring 109]</w:t>
      </w:r>
    </w:p>
    <w:p w14:paraId="56AEDEFD" w14:textId="77777777" w:rsidR="00EF3814" w:rsidRPr="00393250" w:rsidRDefault="00EF3814" w:rsidP="00EF3814">
      <w:pPr>
        <w:ind w:left="1982" w:hanging="566"/>
        <w:rPr>
          <w:b/>
          <w:i/>
        </w:rPr>
      </w:pPr>
      <w:r w:rsidRPr="00393250">
        <w:rPr>
          <w:b/>
          <w:i/>
        </w:rPr>
        <w:t>_________________</w:t>
      </w:r>
    </w:p>
    <w:p w14:paraId="358024DC" w14:textId="3261DA81" w:rsidR="00EF3814" w:rsidRPr="00393250" w:rsidRDefault="00EF3814" w:rsidP="001E74BE">
      <w:pPr>
        <w:spacing w:before="120" w:after="120" w:line="360" w:lineRule="auto"/>
        <w:ind w:left="1982" w:hanging="564"/>
        <w:rPr>
          <w:szCs w:val="24"/>
          <w:lang w:eastAsia="en-US"/>
        </w:rPr>
      </w:pPr>
      <w:r w:rsidRPr="00393250">
        <w:rPr>
          <w:b/>
          <w:i/>
          <w:vertAlign w:val="superscript"/>
        </w:rPr>
        <w:t>1a</w:t>
      </w:r>
      <w:r w:rsidRPr="00393250">
        <w:rPr>
          <w:b/>
        </w:rPr>
        <w:t xml:space="preserve"> </w:t>
      </w:r>
      <w:r w:rsidRPr="00393250">
        <w:rPr>
          <w:b/>
        </w:rPr>
        <w:tab/>
      </w:r>
      <w:r w:rsidR="00DA738E" w:rsidRPr="00393250">
        <w:rPr>
          <w:b/>
          <w:i/>
        </w:rPr>
        <w:t>EUT</w:t>
      </w:r>
      <w:r w:rsidRPr="00393250">
        <w:rPr>
          <w:b/>
          <w:i/>
        </w:rPr>
        <w:t>: Indsæt venligst i teksten nummeret på den forordning, der er indeholdt i dokument COM(2022)0157.</w:t>
      </w:r>
    </w:p>
    <w:p w14:paraId="1085F095" w14:textId="15EBB6BF" w:rsidR="008A5B47" w:rsidRPr="00393250" w:rsidRDefault="008A5B47" w:rsidP="008A5B47">
      <w:pPr>
        <w:spacing w:before="120" w:after="120" w:line="360" w:lineRule="auto"/>
        <w:ind w:left="1982"/>
        <w:rPr>
          <w:b/>
          <w:szCs w:val="24"/>
          <w:lang w:eastAsia="en-US"/>
        </w:rPr>
      </w:pPr>
      <w:r w:rsidRPr="00393250">
        <w:rPr>
          <w:b/>
          <w:i/>
          <w:szCs w:val="24"/>
          <w:lang w:eastAsia="en-US"/>
        </w:rPr>
        <w:t>Emissionsopgørelserne skal gøres tilgængelige i en elektronisk database, der ajourføres regelmæssigt og er let tilgængelig for offentligheden.</w:t>
      </w:r>
      <w:r w:rsidR="00A71DA3" w:rsidRPr="00393250">
        <w:rPr>
          <w:b/>
          <w:szCs w:val="24"/>
          <w:lang w:eastAsia="en-US"/>
        </w:rPr>
        <w:t xml:space="preserve"> [Ændring 110]</w:t>
      </w:r>
    </w:p>
    <w:p w14:paraId="22FA46DF" w14:textId="77777777" w:rsidR="00A71DA3" w:rsidRPr="00393250" w:rsidRDefault="00A71DA3">
      <w:pPr>
        <w:widowControl/>
        <w:rPr>
          <w:strike/>
          <w:szCs w:val="24"/>
          <w:lang w:eastAsia="en-US"/>
        </w:rPr>
      </w:pPr>
      <w:r w:rsidRPr="00393250">
        <w:rPr>
          <w:strike/>
          <w:szCs w:val="24"/>
          <w:lang w:eastAsia="en-US"/>
        </w:rPr>
        <w:br w:type="page"/>
      </w:r>
    </w:p>
    <w:p w14:paraId="7D6B2BD6" w14:textId="4CD4150B" w:rsidR="008A5B47" w:rsidRPr="00393250" w:rsidRDefault="008A5B47" w:rsidP="008A5B47">
      <w:pPr>
        <w:spacing w:before="120" w:after="120" w:line="360" w:lineRule="auto"/>
        <w:ind w:left="1982"/>
        <w:rPr>
          <w:b/>
          <w:szCs w:val="24"/>
          <w:lang w:eastAsia="en-US"/>
        </w:rPr>
      </w:pPr>
      <w:r w:rsidRPr="00393250">
        <w:rPr>
          <w:strike/>
          <w:szCs w:val="24"/>
          <w:lang w:eastAsia="en-US"/>
        </w:rPr>
        <w:lastRenderedPageBreak/>
        <w:t xml:space="preserve">Første afsnit finder ikke anvendelse på emissioner, udledninger og tab, der indberettes til Kommissionen elektronisk i overensstemmelse med Europa-Parlamentets og Rådets forordning (EU) .../.... </w:t>
      </w:r>
      <w:r w:rsidRPr="00393250">
        <w:rPr>
          <w:szCs w:val="24"/>
          <w:lang w:eastAsia="en-US"/>
        </w:rPr>
        <w:t>"</w:t>
      </w:r>
      <w:r w:rsidR="006654C4" w:rsidRPr="00393250">
        <w:rPr>
          <w:b/>
          <w:szCs w:val="24"/>
          <w:lang w:eastAsia="en-US"/>
        </w:rPr>
        <w:t xml:space="preserve"> [Ændring 111]</w:t>
      </w:r>
    </w:p>
    <w:p w14:paraId="137DBB4A" w14:textId="6F0855C3" w:rsidR="008A5B47" w:rsidRPr="00393250" w:rsidRDefault="008A5B47" w:rsidP="008A5B47">
      <w:pPr>
        <w:spacing w:before="120" w:after="120" w:line="360" w:lineRule="auto"/>
        <w:ind w:left="1416" w:hanging="566"/>
        <w:rPr>
          <w:szCs w:val="24"/>
          <w:lang w:eastAsia="en-US"/>
        </w:rPr>
      </w:pPr>
      <w:r w:rsidRPr="00393250">
        <w:rPr>
          <w:szCs w:val="24"/>
          <w:lang w:eastAsia="en-US"/>
        </w:rPr>
        <w:t>b)</w:t>
      </w:r>
      <w:r w:rsidRPr="00393250">
        <w:rPr>
          <w:szCs w:val="24"/>
          <w:lang w:eastAsia="en-US"/>
        </w:rPr>
        <w:tab/>
        <w:t>Stk. 2 og 3 udgår</w:t>
      </w:r>
      <w:r w:rsidR="00E174FC" w:rsidRPr="00393250">
        <w:rPr>
          <w:szCs w:val="24"/>
          <w:lang w:eastAsia="en-US"/>
        </w:rPr>
        <w:t>.</w:t>
      </w:r>
    </w:p>
    <w:p w14:paraId="5986B3D0" w14:textId="2DCEFDF2" w:rsidR="008A5B47" w:rsidRPr="00393250" w:rsidRDefault="008A5B47" w:rsidP="008A5B47">
      <w:pPr>
        <w:spacing w:before="120" w:after="120" w:line="360" w:lineRule="auto"/>
        <w:ind w:left="1416" w:hanging="566"/>
        <w:rPr>
          <w:szCs w:val="24"/>
          <w:lang w:eastAsia="en-US"/>
        </w:rPr>
      </w:pPr>
      <w:r w:rsidRPr="00393250">
        <w:rPr>
          <w:szCs w:val="24"/>
          <w:lang w:eastAsia="en-US"/>
        </w:rPr>
        <w:t>c)</w:t>
      </w:r>
      <w:r w:rsidRPr="00393250">
        <w:rPr>
          <w:szCs w:val="24"/>
          <w:lang w:eastAsia="en-US"/>
        </w:rPr>
        <w:tab/>
        <w:t>Stk. 4 affattes således:</w:t>
      </w:r>
    </w:p>
    <w:p w14:paraId="1FAD19AB" w14:textId="6E973B2C" w:rsidR="008A5B47" w:rsidRPr="00393250" w:rsidRDefault="008A5B47" w:rsidP="008A5B47">
      <w:pPr>
        <w:spacing w:before="120" w:after="120" w:line="360" w:lineRule="auto"/>
        <w:ind w:left="1982" w:hanging="566"/>
        <w:rPr>
          <w:b/>
          <w:szCs w:val="24"/>
          <w:lang w:eastAsia="en-US"/>
        </w:rPr>
      </w:pPr>
      <w:r w:rsidRPr="00393250">
        <w:rPr>
          <w:szCs w:val="24"/>
          <w:lang w:eastAsia="en-US"/>
        </w:rPr>
        <w:t>"4.</w:t>
      </w:r>
      <w:r w:rsidRPr="00393250">
        <w:rPr>
          <w:szCs w:val="24"/>
          <w:lang w:eastAsia="en-US"/>
        </w:rPr>
        <w:tab/>
        <w:t xml:space="preserve">Medlemsstaterne ajourfører deres oversigter som led i revisionen af de analyser, der er omhandlet i artikel 5, stk. 2, i direktiv 2000/60/EF, og sikrer, at de emissioner, </w:t>
      </w:r>
      <w:r w:rsidRPr="00393250">
        <w:rPr>
          <w:b/>
          <w:i/>
          <w:szCs w:val="24"/>
          <w:lang w:eastAsia="en-US"/>
        </w:rPr>
        <w:t xml:space="preserve">herunder dem, </w:t>
      </w:r>
      <w:r w:rsidRPr="00393250">
        <w:rPr>
          <w:szCs w:val="24"/>
          <w:lang w:eastAsia="en-US"/>
        </w:rPr>
        <w:t>der</w:t>
      </w:r>
      <w:r w:rsidRPr="00393250">
        <w:rPr>
          <w:strike/>
          <w:szCs w:val="24"/>
          <w:lang w:eastAsia="en-US"/>
        </w:rPr>
        <w:t xml:space="preserve"> ikke</w:t>
      </w:r>
      <w:r w:rsidRPr="00393250">
        <w:rPr>
          <w:szCs w:val="24"/>
          <w:lang w:eastAsia="en-US"/>
        </w:rPr>
        <w:t xml:space="preserve"> rapporteres til portalen for industrielle emissioner oprettet i henhold til forordning (EU).../... + +, offentliggøres i deres vandområdeplaner som ajourført i overensstemmelse med artikel 13, stk. 7, i nævnte direktiv.</w:t>
      </w:r>
      <w:r w:rsidR="006654C4" w:rsidRPr="00393250">
        <w:rPr>
          <w:b/>
          <w:szCs w:val="24"/>
          <w:lang w:eastAsia="en-US"/>
        </w:rPr>
        <w:t xml:space="preserve"> [Ændring 112]</w:t>
      </w:r>
    </w:p>
    <w:p w14:paraId="4EBE6633" w14:textId="77777777" w:rsidR="008A5B47" w:rsidRPr="00393250" w:rsidRDefault="008A5B47" w:rsidP="008A5B47">
      <w:pPr>
        <w:spacing w:before="120" w:after="120" w:line="360" w:lineRule="auto"/>
        <w:ind w:left="1982"/>
        <w:rPr>
          <w:b/>
          <w:szCs w:val="24"/>
          <w:lang w:eastAsia="en-US"/>
        </w:rPr>
      </w:pPr>
      <w:r w:rsidRPr="00393250">
        <w:rPr>
          <w:szCs w:val="24"/>
          <w:lang w:eastAsia="en-US"/>
        </w:rPr>
        <w:t>Som referenceperiode ved fastsættelse af værdier i de ajourførte oversigter benyttes det sidste år, inden analyserne nævnt i første afsnit skal være afsluttet.</w:t>
      </w:r>
    </w:p>
    <w:p w14:paraId="59A15319" w14:textId="77777777" w:rsidR="006654C4" w:rsidRPr="00393250" w:rsidRDefault="006654C4">
      <w:pPr>
        <w:widowControl/>
        <w:rPr>
          <w:strike/>
          <w:szCs w:val="24"/>
          <w:lang w:eastAsia="en-US"/>
        </w:rPr>
      </w:pPr>
      <w:r w:rsidRPr="00393250">
        <w:rPr>
          <w:strike/>
          <w:szCs w:val="24"/>
          <w:lang w:eastAsia="en-US"/>
        </w:rPr>
        <w:br w:type="page"/>
      </w:r>
    </w:p>
    <w:p w14:paraId="79638B64" w14:textId="4E4278F8" w:rsidR="008A5B47" w:rsidRPr="00393250" w:rsidRDefault="008A5B47" w:rsidP="008A5B47">
      <w:pPr>
        <w:spacing w:before="120" w:after="120" w:line="360" w:lineRule="auto"/>
        <w:ind w:left="1982"/>
        <w:rPr>
          <w:b/>
          <w:szCs w:val="24"/>
          <w:lang w:eastAsia="en-US"/>
        </w:rPr>
      </w:pPr>
      <w:r w:rsidRPr="00393250">
        <w:rPr>
          <w:strike/>
          <w:szCs w:val="24"/>
          <w:lang w:eastAsia="en-US"/>
        </w:rPr>
        <w:lastRenderedPageBreak/>
        <w:t>For prioriterede stoffer og forurenende stoffer, der er omfattet af forordning (EF) nr. 1107/2009, kan dog som værdi anføres gennemsnittet af de seneste tre år inden afslutningen af analysen nævnt i første afsnit.</w:t>
      </w:r>
      <w:r w:rsidR="006654C4" w:rsidRPr="00393250">
        <w:rPr>
          <w:b/>
          <w:szCs w:val="24"/>
          <w:lang w:eastAsia="en-US"/>
        </w:rPr>
        <w:t xml:space="preserve"> [Ændring 113]</w:t>
      </w:r>
    </w:p>
    <w:p w14:paraId="7AE76580" w14:textId="77777777" w:rsidR="008A5B47" w:rsidRPr="00393250" w:rsidRDefault="008A5B47" w:rsidP="008A5B47">
      <w:pPr>
        <w:spacing w:before="120" w:after="120" w:line="360" w:lineRule="auto"/>
        <w:ind w:left="1982"/>
        <w:rPr>
          <w:szCs w:val="24"/>
          <w:lang w:eastAsia="en-US"/>
        </w:rPr>
      </w:pPr>
      <w:r w:rsidRPr="00393250">
        <w:rPr>
          <w:szCs w:val="24"/>
          <w:lang w:eastAsia="en-US"/>
        </w:rPr>
        <w:t>For punktkildeemissioner, der ikke rapporteres i henhold til forordning (EU) ../… +++, fordi de ikke er omfattet af anvendelsesområdet for nævnte forordning, eller fordi de ligger under de årlige rapporteringstærskler, der er fastsat i nævnte forordning, opfyldes rapporteringsforpligtelsen i denne artikels første afsnit ved elektronisk rapportering til portalen for industrielle emissioner, der er oprettet i henhold til nævnte forordning.</w:t>
      </w:r>
    </w:p>
    <w:p w14:paraId="1A2DC82D" w14:textId="77777777" w:rsidR="008A5B47" w:rsidRPr="00393250" w:rsidRDefault="008A5B47" w:rsidP="008A5B47">
      <w:pPr>
        <w:spacing w:before="120" w:after="120" w:line="360" w:lineRule="auto"/>
        <w:ind w:left="1982"/>
        <w:rPr>
          <w:szCs w:val="24"/>
          <w:lang w:eastAsia="en-US"/>
        </w:rPr>
      </w:pPr>
      <w:r w:rsidRPr="00393250">
        <w:rPr>
          <w:szCs w:val="24"/>
          <w:lang w:eastAsia="en-US"/>
        </w:rPr>
        <w:t>Kommissionen vedtager med bistand fra Det Europæiske Miljøagentur en gennemførelsesretsakt, der fastlægger formatet, detaljeringsgraden og hyppigheden af den rapportering, der er omhandlet i fjerde afsnit. Denne gennemførelsesretsakt vedtages efter undersøgelsesproceduren i artikel 9, stk. 2."</w:t>
      </w:r>
    </w:p>
    <w:p w14:paraId="696536BE"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(d)</w:t>
      </w:r>
      <w:r w:rsidRPr="00393250">
        <w:rPr>
          <w:szCs w:val="24"/>
          <w:lang w:eastAsia="en-US"/>
        </w:rPr>
        <w:tab/>
        <w:t>Stk. 5 udgår.</w:t>
      </w:r>
    </w:p>
    <w:p w14:paraId="779B5A37" w14:textId="77777777" w:rsidR="006654C4" w:rsidRPr="00393250" w:rsidRDefault="006654C4">
      <w:pPr>
        <w:widowControl/>
        <w:rPr>
          <w:szCs w:val="24"/>
          <w:lang w:eastAsia="en-US"/>
        </w:rPr>
      </w:pPr>
      <w:r w:rsidRPr="00393250">
        <w:rPr>
          <w:szCs w:val="24"/>
          <w:lang w:eastAsia="en-US"/>
        </w:rPr>
        <w:br w:type="page"/>
      </w:r>
    </w:p>
    <w:p w14:paraId="6AF21367" w14:textId="6727A96B"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(4)</w:t>
      </w:r>
      <w:r w:rsidRPr="00393250">
        <w:rPr>
          <w:szCs w:val="24"/>
          <w:lang w:eastAsia="en-US"/>
        </w:rPr>
        <w:tab/>
        <w:t>Artikel 7a, stk. 1, første afsnit, affattes således:</w:t>
      </w:r>
    </w:p>
    <w:p w14:paraId="63DF4456" w14:textId="03D76931" w:rsidR="008A5B47" w:rsidRPr="00393250" w:rsidRDefault="008A5B47" w:rsidP="008A5B47">
      <w:pPr>
        <w:spacing w:before="120" w:after="120" w:line="360" w:lineRule="auto"/>
        <w:ind w:left="1416" w:hanging="566"/>
        <w:rPr>
          <w:b/>
          <w:szCs w:val="24"/>
          <w:lang w:eastAsia="en-US"/>
        </w:rPr>
      </w:pPr>
      <w:r w:rsidRPr="00393250">
        <w:rPr>
          <w:szCs w:val="24"/>
          <w:lang w:eastAsia="en-US"/>
        </w:rPr>
        <w:t>"1.</w:t>
      </w:r>
      <w:r w:rsidRPr="00393250">
        <w:rPr>
          <w:szCs w:val="24"/>
          <w:lang w:eastAsia="en-US"/>
        </w:rPr>
        <w:tab/>
        <w:t xml:space="preserve">For prioriterede stoffer, der er omfattet af anvendelsesområdet for forordning (EF) nr. 1907/2006, forordning (EF) nr. 1107/2009, forordning (EU) nr. 528/2012, Europa-Parlamentets og Rådets forordning (EU) 2019/6* eller anvendelsesområdet for Europa-Parlamentets og Rådets direktiv 2001/83/EF**, Europa-Parlamentets og Rådets direktiv 2009/128/EF*** eller direktiv 2010/75/EU, vurderer Kommissionen </w:t>
      </w:r>
      <w:r w:rsidRPr="00393250">
        <w:rPr>
          <w:strike/>
          <w:szCs w:val="24"/>
          <w:lang w:eastAsia="en-US"/>
        </w:rPr>
        <w:t>som led i den rapport, der er omhandlet i artikel 18, stk. 1, i direktiv 2000/60/EF</w:t>
      </w:r>
      <w:r w:rsidRPr="00393250">
        <w:rPr>
          <w:b/>
          <w:i/>
          <w:szCs w:val="24"/>
          <w:lang w:eastAsia="en-US"/>
        </w:rPr>
        <w:t>hvert andet år</w:t>
      </w:r>
      <w:r w:rsidRPr="00393250">
        <w:rPr>
          <w:szCs w:val="24"/>
          <w:lang w:eastAsia="en-US"/>
        </w:rPr>
        <w:t>, om de foranstaltninger, der er truffet på EU-plan og medlemsstatsplan, er tilstrækkelige til at opfylde miljøkvalitetskravene for prioriterede stoffer og målet om at standse eller udfase udledninger, emissioner og tab af prioriterede farlige stoffer i overensstemmelse med artikel 4, stk. 1, litra a), i direktiv 2000/60/EF.</w:t>
      </w:r>
      <w:r w:rsidR="00E17529" w:rsidRPr="00393250">
        <w:rPr>
          <w:b/>
          <w:szCs w:val="24"/>
          <w:lang w:eastAsia="en-US"/>
        </w:rPr>
        <w:t xml:space="preserve"> [Ændring 114]</w:t>
      </w:r>
    </w:p>
    <w:p w14:paraId="074D8311" w14:textId="1AE4D8A4" w:rsidR="008A5B47" w:rsidRPr="00393250" w:rsidRDefault="008A5B47" w:rsidP="008A5B47">
      <w:pPr>
        <w:spacing w:before="120" w:after="120" w:line="360" w:lineRule="auto"/>
        <w:ind w:left="1416"/>
        <w:rPr>
          <w:b/>
          <w:szCs w:val="24"/>
          <w:lang w:eastAsia="en-US"/>
        </w:rPr>
      </w:pPr>
      <w:r w:rsidRPr="00393250">
        <w:rPr>
          <w:b/>
          <w:i/>
          <w:szCs w:val="24"/>
          <w:lang w:eastAsia="en-US"/>
        </w:rPr>
        <w:t>Hierarkiet for de foranstaltninger, der skal træffes, prioriterer begrænsninger og andre foranstaltninger til bekæmpelse af forurening ved kilden. Kommissionen fremsætter i den henseende forslag til ændring af EU-retsakter for at sikre, at udledninger, emissioner og tab af prioriterede stoffer standses ved kilden.</w:t>
      </w:r>
      <w:r w:rsidR="00E17529" w:rsidRPr="00393250">
        <w:rPr>
          <w:b/>
          <w:szCs w:val="24"/>
          <w:lang w:eastAsia="en-US"/>
        </w:rPr>
        <w:t xml:space="preserve"> [Ændring 115]</w:t>
      </w:r>
    </w:p>
    <w:p w14:paraId="3AEFDABF" w14:textId="77777777" w:rsidR="00E17529" w:rsidRPr="00393250" w:rsidRDefault="00E17529">
      <w:pPr>
        <w:widowControl/>
        <w:rPr>
          <w:szCs w:val="24"/>
          <w:lang w:eastAsia="en-US"/>
        </w:rPr>
      </w:pPr>
      <w:r w:rsidRPr="00393250">
        <w:rPr>
          <w:szCs w:val="24"/>
          <w:lang w:eastAsia="en-US"/>
        </w:rPr>
        <w:br w:type="page"/>
      </w:r>
    </w:p>
    <w:p w14:paraId="43A9E543" w14:textId="5857CA11" w:rsidR="008A5B47" w:rsidRPr="00393250" w:rsidRDefault="008A5B47" w:rsidP="008A5B47">
      <w:pPr>
        <w:spacing w:before="120" w:after="120" w:line="360" w:lineRule="auto"/>
        <w:ind w:left="850"/>
        <w:rPr>
          <w:szCs w:val="24"/>
          <w:lang w:eastAsia="en-US"/>
        </w:rPr>
      </w:pPr>
      <w:r w:rsidRPr="00393250">
        <w:rPr>
          <w:szCs w:val="24"/>
          <w:lang w:eastAsia="en-US"/>
        </w:rPr>
        <w:lastRenderedPageBreak/>
        <w:t>* Europa-Parlamentets og Rådets forordning (EU) 2019/6 af 11. december 2018 om veterinærlægemidler og om ophævelse af direktiv 2001/82/EF (EUT L 4 af 7.1.2019, s. 43).</w:t>
      </w:r>
    </w:p>
    <w:p w14:paraId="67CD1D1F" w14:textId="77777777" w:rsidR="008A5B47" w:rsidRPr="00393250" w:rsidRDefault="008A5B47" w:rsidP="008A5B47">
      <w:pPr>
        <w:spacing w:before="120" w:after="120" w:line="360" w:lineRule="auto"/>
        <w:ind w:left="850"/>
        <w:rPr>
          <w:szCs w:val="24"/>
          <w:lang w:eastAsia="en-US"/>
        </w:rPr>
      </w:pPr>
      <w:r w:rsidRPr="00393250">
        <w:rPr>
          <w:szCs w:val="24"/>
          <w:lang w:eastAsia="en-US"/>
        </w:rPr>
        <w:t>** Europa-Parlamentets og Rådets direktiv 2001/83/EF af 6. november 2001 om oprettelse af en fællesskabskodeks for humanmedicinske lægemidler (EFT L 311 af 28.11.2001, s. 67).</w:t>
      </w:r>
    </w:p>
    <w:p w14:paraId="42E309AD" w14:textId="77777777" w:rsidR="008A5B47" w:rsidRPr="00393250" w:rsidRDefault="008A5B47" w:rsidP="008A5B47">
      <w:pPr>
        <w:spacing w:before="120" w:after="120" w:line="360" w:lineRule="auto"/>
        <w:ind w:left="850"/>
        <w:rPr>
          <w:szCs w:val="24"/>
          <w:lang w:eastAsia="en-US"/>
        </w:rPr>
      </w:pPr>
      <w:r w:rsidRPr="00393250">
        <w:rPr>
          <w:szCs w:val="24"/>
          <w:lang w:eastAsia="en-US"/>
        </w:rPr>
        <w:t>*** Europa-Parlamentets og Rådets direktiv 2009/128/EF af 21. oktober 2009 om en ramme for Fællesskabets indsats for en bæredygtig anvendelse af pesticider (EUT L 309 af 24.11.2009, s. 71)."</w:t>
      </w:r>
    </w:p>
    <w:p w14:paraId="1AF6FC67" w14:textId="1EA7B2CC" w:rsidR="008A5B47" w:rsidRPr="00393250" w:rsidRDefault="00E17529" w:rsidP="008A5B47">
      <w:pPr>
        <w:spacing w:before="120" w:after="120" w:line="360" w:lineRule="auto"/>
        <w:ind w:left="850" w:hanging="850"/>
        <w:rPr>
          <w:szCs w:val="24"/>
          <w:lang w:eastAsia="en-US"/>
        </w:rPr>
      </w:pPr>
      <w:r w:rsidRPr="00393250">
        <w:rPr>
          <w:b/>
          <w:i/>
          <w:szCs w:val="24"/>
          <w:lang w:eastAsia="en-US"/>
        </w:rPr>
        <w:t>(</w:t>
      </w:r>
      <w:r w:rsidR="008A5B47" w:rsidRPr="00393250">
        <w:rPr>
          <w:b/>
          <w:i/>
          <w:szCs w:val="24"/>
          <w:lang w:eastAsia="en-US"/>
        </w:rPr>
        <w:t>4a)</w:t>
      </w:r>
      <w:r w:rsidR="008A5B47" w:rsidRPr="00393250">
        <w:rPr>
          <w:szCs w:val="24"/>
          <w:lang w:eastAsia="en-US"/>
        </w:rPr>
        <w:tab/>
      </w:r>
      <w:r w:rsidR="008A5B47" w:rsidRPr="00393250">
        <w:rPr>
          <w:b/>
          <w:i/>
          <w:szCs w:val="24"/>
          <w:lang w:eastAsia="en-US"/>
        </w:rPr>
        <w:t>Artikel 7a, stk. 2, affattes således:</w:t>
      </w:r>
    </w:p>
    <w:p w14:paraId="103DCAFF" w14:textId="0A5D0C04" w:rsidR="008A5B47" w:rsidRPr="00393250" w:rsidRDefault="00E17529" w:rsidP="008A5B47">
      <w:pPr>
        <w:spacing w:before="120" w:after="120" w:line="360" w:lineRule="auto"/>
        <w:ind w:left="1416" w:hanging="566"/>
        <w:rPr>
          <w:b/>
          <w:szCs w:val="24"/>
          <w:lang w:eastAsia="en-US"/>
        </w:rPr>
      </w:pPr>
      <w:r w:rsidRPr="00393250">
        <w:rPr>
          <w:szCs w:val="24"/>
          <w:lang w:eastAsia="en-US"/>
        </w:rPr>
        <w:t>"</w:t>
      </w:r>
      <w:r w:rsidR="008A5B47" w:rsidRPr="00393250">
        <w:rPr>
          <w:b/>
          <w:i/>
          <w:szCs w:val="24"/>
          <w:lang w:eastAsia="en-US"/>
        </w:rPr>
        <w:t>2.</w:t>
      </w:r>
      <w:r w:rsidR="008A5B47" w:rsidRPr="00393250">
        <w:rPr>
          <w:szCs w:val="24"/>
          <w:lang w:eastAsia="en-US"/>
        </w:rPr>
        <w:tab/>
      </w:r>
      <w:r w:rsidR="008A5B47" w:rsidRPr="00393250">
        <w:rPr>
          <w:b/>
          <w:i/>
          <w:szCs w:val="24"/>
          <w:lang w:eastAsia="en-US"/>
        </w:rPr>
        <w:t>Kommissionen aflægger rapport til Europa-Parlamentet og Rådet om resultatet af den vurdering, der er omhandlet i nærværende artikels stk. 1, senest seks måneder efter sin vurdering og vedlægger sin rapport eventuelle relevante forslag, herunder om kontrolforanstaltninger."</w:t>
      </w:r>
      <w:r w:rsidRPr="00393250">
        <w:rPr>
          <w:b/>
          <w:szCs w:val="24"/>
          <w:lang w:eastAsia="en-US"/>
        </w:rPr>
        <w:t xml:space="preserve"> [Ændring 116]</w:t>
      </w:r>
    </w:p>
    <w:p w14:paraId="327695C7" w14:textId="77777777" w:rsidR="00E17529" w:rsidRPr="00393250" w:rsidRDefault="00E17529">
      <w:pPr>
        <w:widowControl/>
        <w:rPr>
          <w:szCs w:val="24"/>
          <w:lang w:eastAsia="en-US"/>
        </w:rPr>
      </w:pPr>
      <w:r w:rsidRPr="00393250">
        <w:rPr>
          <w:szCs w:val="24"/>
          <w:lang w:eastAsia="en-US"/>
        </w:rPr>
        <w:br w:type="page"/>
      </w:r>
    </w:p>
    <w:p w14:paraId="2DA1485E" w14:textId="2EA2B13F"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(5)</w:t>
      </w:r>
      <w:r w:rsidRPr="00393250">
        <w:rPr>
          <w:szCs w:val="24"/>
          <w:lang w:eastAsia="en-US"/>
        </w:rPr>
        <w:tab/>
        <w:t>Artikel 8 affattes således:</w:t>
      </w:r>
    </w:p>
    <w:p w14:paraId="1F620CAD" w14:textId="00357566" w:rsidR="008A5B47" w:rsidRPr="00393250" w:rsidRDefault="0094221B" w:rsidP="008A5B47">
      <w:pPr>
        <w:spacing w:before="120" w:after="120" w:line="360" w:lineRule="auto"/>
        <w:ind w:left="850"/>
        <w:rPr>
          <w:szCs w:val="24"/>
          <w:lang w:eastAsia="en-US"/>
        </w:rPr>
      </w:pPr>
      <w:r w:rsidRPr="00393250">
        <w:rPr>
          <w:szCs w:val="24"/>
          <w:lang w:eastAsia="en-US"/>
        </w:rPr>
        <w:t>"</w:t>
      </w:r>
      <w:r w:rsidR="008A5B47" w:rsidRPr="00393250">
        <w:rPr>
          <w:szCs w:val="24"/>
          <w:lang w:eastAsia="en-US"/>
        </w:rPr>
        <w:t>Artikel 8</w:t>
      </w:r>
    </w:p>
    <w:p w14:paraId="0F8D0A1D" w14:textId="77777777" w:rsidR="008A5B47" w:rsidRPr="00393250" w:rsidRDefault="008A5B47" w:rsidP="008A5B47">
      <w:pPr>
        <w:spacing w:before="120" w:after="120" w:line="360" w:lineRule="auto"/>
        <w:ind w:left="850"/>
        <w:rPr>
          <w:szCs w:val="24"/>
          <w:lang w:eastAsia="en-US"/>
        </w:rPr>
      </w:pPr>
      <w:r w:rsidRPr="00393250">
        <w:rPr>
          <w:szCs w:val="24"/>
          <w:lang w:eastAsia="en-US"/>
        </w:rPr>
        <w:t>Revision af bilag I og II</w:t>
      </w:r>
    </w:p>
    <w:p w14:paraId="30C9B608" w14:textId="100897FF" w:rsidR="008A5B47" w:rsidRPr="00393250" w:rsidRDefault="008A5B47" w:rsidP="008A5B47">
      <w:pPr>
        <w:spacing w:before="120" w:after="120" w:line="360" w:lineRule="auto"/>
        <w:ind w:left="1416" w:hanging="566"/>
        <w:rPr>
          <w:b/>
          <w:szCs w:val="24"/>
          <w:lang w:eastAsia="en-US"/>
        </w:rPr>
      </w:pPr>
      <w:r w:rsidRPr="00393250">
        <w:rPr>
          <w:szCs w:val="24"/>
          <w:lang w:eastAsia="en-US"/>
        </w:rPr>
        <w:t>1.</w:t>
      </w:r>
      <w:r w:rsidRPr="00393250">
        <w:rPr>
          <w:szCs w:val="24"/>
          <w:lang w:eastAsia="en-US"/>
        </w:rPr>
        <w:tab/>
        <w:t>Kommissionen reviderer første gang senest den … [</w:t>
      </w:r>
      <w:r w:rsidRPr="00393250">
        <w:rPr>
          <w:strike/>
          <w:szCs w:val="24"/>
          <w:lang w:eastAsia="en-US"/>
        </w:rPr>
        <w:t>OP: please insert the date = six years after the date of entry into force of this Directive</w:t>
      </w:r>
      <w:r w:rsidRPr="00393250">
        <w:rPr>
          <w:b/>
          <w:i/>
          <w:szCs w:val="24"/>
          <w:lang w:eastAsia="en-US"/>
        </w:rPr>
        <w:t>Publikationskontoret: indsæt venligst datoen = fire år efter datoen for dette direktivs ikrafttræden</w:t>
      </w:r>
      <w:r w:rsidRPr="00393250">
        <w:rPr>
          <w:szCs w:val="24"/>
          <w:lang w:eastAsia="en-US"/>
        </w:rPr>
        <w:t xml:space="preserve">] og derefter hvert </w:t>
      </w:r>
      <w:r w:rsidRPr="00393250">
        <w:rPr>
          <w:strike/>
          <w:szCs w:val="24"/>
          <w:lang w:eastAsia="en-US"/>
        </w:rPr>
        <w:t>sjette</w:t>
      </w:r>
      <w:r w:rsidRPr="00393250">
        <w:rPr>
          <w:b/>
          <w:i/>
          <w:szCs w:val="24"/>
          <w:lang w:eastAsia="en-US"/>
        </w:rPr>
        <w:t>fjerde</w:t>
      </w:r>
      <w:r w:rsidRPr="00393250">
        <w:rPr>
          <w:szCs w:val="24"/>
          <w:lang w:eastAsia="en-US"/>
        </w:rPr>
        <w:t xml:space="preserve"> år listen over prioriterede stoffer og de tilsvarende kvalitetskrav for disse stoffer i bilag I, del A, samt listen over forurenende stoffer i bilag II, del A.</w:t>
      </w:r>
      <w:r w:rsidR="0094221B" w:rsidRPr="00393250">
        <w:rPr>
          <w:b/>
          <w:szCs w:val="24"/>
          <w:lang w:eastAsia="en-US"/>
        </w:rPr>
        <w:t xml:space="preserve"> [Ændring 117]</w:t>
      </w:r>
    </w:p>
    <w:p w14:paraId="45590CEC" w14:textId="73283366" w:rsidR="008A5B47" w:rsidRPr="00393250" w:rsidRDefault="008A5B47" w:rsidP="008A5B47">
      <w:pPr>
        <w:spacing w:before="120" w:after="120" w:line="360" w:lineRule="auto"/>
        <w:ind w:left="1416" w:hanging="566"/>
        <w:rPr>
          <w:b/>
          <w:szCs w:val="24"/>
          <w:lang w:eastAsia="en-US"/>
        </w:rPr>
      </w:pPr>
      <w:r w:rsidRPr="00393250">
        <w:rPr>
          <w:szCs w:val="24"/>
          <w:lang w:eastAsia="en-US"/>
        </w:rPr>
        <w:t>2.</w:t>
      </w:r>
      <w:r w:rsidRPr="00393250">
        <w:rPr>
          <w:szCs w:val="24"/>
          <w:lang w:eastAsia="en-US"/>
        </w:rPr>
        <w:tab/>
      </w:r>
      <w:r w:rsidRPr="00393250">
        <w:rPr>
          <w:b/>
          <w:i/>
          <w:szCs w:val="24"/>
          <w:lang w:eastAsia="en-US"/>
        </w:rPr>
        <w:t xml:space="preserve">På grundlag af revisionen fremsætter </w:t>
      </w:r>
      <w:r w:rsidRPr="00393250">
        <w:rPr>
          <w:szCs w:val="24"/>
          <w:lang w:eastAsia="en-US"/>
        </w:rPr>
        <w:t>Kommissionen</w:t>
      </w:r>
      <w:r w:rsidRPr="00393250">
        <w:rPr>
          <w:strike/>
          <w:szCs w:val="24"/>
          <w:lang w:eastAsia="en-US"/>
        </w:rPr>
        <w:t xml:space="preserve"> tillægges beføjelser til at vedtage delegerede retsakter</w:t>
      </w:r>
      <w:r w:rsidRPr="00393250">
        <w:rPr>
          <w:b/>
          <w:i/>
          <w:szCs w:val="24"/>
          <w:lang w:eastAsia="en-US"/>
        </w:rPr>
        <w:t>, hvor det er relevant, lovgivningsmæssige forslag</w:t>
      </w:r>
      <w:r w:rsidRPr="00393250">
        <w:rPr>
          <w:szCs w:val="24"/>
          <w:lang w:eastAsia="en-US"/>
        </w:rPr>
        <w:t xml:space="preserve"> under hensyntagen til de videnskabelige rapporter, der er udarbejdet af Det Europæiske Kemikalieagentur (ECHA) i henhold til nærværende artikels stk. 6, i overensstemmelse med artikel 9a med henblik på at ændre bilag I for at tilpasse det til den videnskabelige og teknologiske udvikling ved at:</w:t>
      </w:r>
      <w:r w:rsidR="0094221B" w:rsidRPr="00393250">
        <w:rPr>
          <w:b/>
          <w:szCs w:val="24"/>
          <w:lang w:eastAsia="en-US"/>
        </w:rPr>
        <w:t xml:space="preserve"> [Ændring 118]</w:t>
      </w:r>
    </w:p>
    <w:p w14:paraId="48A750F9" w14:textId="77777777" w:rsidR="0094221B" w:rsidRPr="00393250" w:rsidRDefault="0094221B">
      <w:pPr>
        <w:widowControl/>
        <w:rPr>
          <w:szCs w:val="24"/>
          <w:lang w:eastAsia="en-US"/>
        </w:rPr>
      </w:pPr>
      <w:r w:rsidRPr="00393250">
        <w:rPr>
          <w:szCs w:val="24"/>
          <w:lang w:eastAsia="en-US"/>
        </w:rPr>
        <w:br w:type="page"/>
      </w:r>
    </w:p>
    <w:p w14:paraId="0451A689" w14:textId="6848B727" w:rsidR="008A5B47" w:rsidRPr="00393250" w:rsidRDefault="008A5B47" w:rsidP="008A5B47">
      <w:pPr>
        <w:spacing w:before="120" w:after="120" w:line="360" w:lineRule="auto"/>
        <w:ind w:left="1982" w:hanging="566"/>
        <w:rPr>
          <w:szCs w:val="24"/>
          <w:lang w:eastAsia="en-US"/>
        </w:rPr>
      </w:pPr>
      <w:r w:rsidRPr="00393250">
        <w:rPr>
          <w:szCs w:val="24"/>
          <w:lang w:eastAsia="en-US"/>
        </w:rPr>
        <w:lastRenderedPageBreak/>
        <w:t>a)</w:t>
      </w:r>
      <w:r w:rsidRPr="00393250">
        <w:rPr>
          <w:szCs w:val="24"/>
          <w:lang w:eastAsia="en-US"/>
        </w:rPr>
        <w:tab/>
        <w:t>tilføje stoffer til listen over prioriterede stoffer eller fjerne stoffer fra denne liste</w:t>
      </w:r>
    </w:p>
    <w:p w14:paraId="4B6E7F5B"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b)</w:t>
      </w:r>
      <w:r w:rsidRPr="00393250">
        <w:rPr>
          <w:szCs w:val="24"/>
          <w:lang w:eastAsia="en-US"/>
        </w:rPr>
        <w:tab/>
        <w:t>udpege udvalgte eller fjerne udpegelsen af stoffer som prioriterede farlige stoffer og/eller som allestedsnærværende persistente, bioakkumulerende og toksiske stoffer (uPBT) og/eller som stoffer, der har tendens til at blive akkumuleret i sedimenter og/eller biota, på denne liste</w:t>
      </w:r>
    </w:p>
    <w:p w14:paraId="691898A1"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c)</w:t>
      </w:r>
      <w:r w:rsidRPr="00393250">
        <w:rPr>
          <w:szCs w:val="24"/>
          <w:lang w:eastAsia="en-US"/>
        </w:rPr>
        <w:tab/>
        <w:t>fastsætte tilsvarende miljøkvalitetskrav for overfladevand, sediment eller biota, for så vidt det er relevant.</w:t>
      </w:r>
    </w:p>
    <w:p w14:paraId="6FA438C5"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3.</w:t>
      </w:r>
      <w:r w:rsidRPr="00393250">
        <w:rPr>
          <w:szCs w:val="24"/>
          <w:lang w:eastAsia="en-US"/>
        </w:rPr>
        <w:tab/>
        <w:t>Kommissionen tillægges beføjelser til at vedtage delegerede retsakter under hensyntagen til de videnskabelige rapporter, der er udarbejdet af ECHA i henhold til nærværende artikels stk. 6, i overensstemmelse med artikel 9a med henblik på at ændre bilag II for at tilpasse det til den videnskabelige og teknologiske udvikling ved at:</w:t>
      </w:r>
    </w:p>
    <w:p w14:paraId="0A22C712" w14:textId="78F0FA29" w:rsidR="008A5B47" w:rsidRPr="00393250" w:rsidRDefault="008A5B47" w:rsidP="008A5B47">
      <w:pPr>
        <w:spacing w:before="120" w:after="120" w:line="360" w:lineRule="auto"/>
        <w:ind w:left="1982" w:hanging="566"/>
        <w:rPr>
          <w:szCs w:val="24"/>
          <w:lang w:eastAsia="en-US"/>
        </w:rPr>
      </w:pPr>
      <w:r w:rsidRPr="00393250">
        <w:rPr>
          <w:szCs w:val="24"/>
          <w:lang w:eastAsia="en-US"/>
        </w:rPr>
        <w:t>a)</w:t>
      </w:r>
      <w:r w:rsidRPr="00393250">
        <w:rPr>
          <w:szCs w:val="24"/>
          <w:lang w:eastAsia="en-US"/>
        </w:rPr>
        <w:tab/>
        <w:t>tilføje forurenende stoffer til listen over kategorier af forurenende stoffer i bilag II, del A, eller fjerne forurenende stoffer fra denne liste</w:t>
      </w:r>
    </w:p>
    <w:p w14:paraId="733BA76C" w14:textId="4FBA0183" w:rsidR="008A5B47" w:rsidRPr="00393250" w:rsidRDefault="008A5B47" w:rsidP="008A5B47">
      <w:pPr>
        <w:spacing w:before="120" w:after="120" w:line="360" w:lineRule="auto"/>
        <w:ind w:left="1982" w:hanging="566"/>
        <w:rPr>
          <w:szCs w:val="24"/>
          <w:lang w:eastAsia="en-US"/>
        </w:rPr>
      </w:pPr>
      <w:r w:rsidRPr="00393250">
        <w:rPr>
          <w:szCs w:val="24"/>
          <w:lang w:eastAsia="en-US"/>
        </w:rPr>
        <w:t>b)</w:t>
      </w:r>
      <w:r w:rsidRPr="00393250">
        <w:rPr>
          <w:szCs w:val="24"/>
          <w:lang w:eastAsia="en-US"/>
        </w:rPr>
        <w:tab/>
        <w:t>ajourføre metoden omhandlet i bilag II, del B</w:t>
      </w:r>
    </w:p>
    <w:p w14:paraId="3E478AF3" w14:textId="77777777" w:rsidR="0094221B" w:rsidRPr="00393250" w:rsidRDefault="0094221B">
      <w:pPr>
        <w:widowControl/>
        <w:rPr>
          <w:szCs w:val="24"/>
          <w:lang w:eastAsia="en-US"/>
        </w:rPr>
      </w:pPr>
      <w:r w:rsidRPr="00393250">
        <w:rPr>
          <w:szCs w:val="24"/>
          <w:lang w:eastAsia="en-US"/>
        </w:rPr>
        <w:br w:type="page"/>
      </w:r>
    </w:p>
    <w:p w14:paraId="5292C8AE" w14:textId="2DD8D9EE" w:rsidR="008A5B47" w:rsidRPr="00393250" w:rsidRDefault="008A5B47" w:rsidP="008A5B47">
      <w:pPr>
        <w:spacing w:before="120" w:after="120" w:line="360" w:lineRule="auto"/>
        <w:ind w:left="1982" w:hanging="566"/>
        <w:rPr>
          <w:szCs w:val="24"/>
          <w:lang w:eastAsia="en-US"/>
        </w:rPr>
      </w:pPr>
      <w:r w:rsidRPr="00393250">
        <w:rPr>
          <w:szCs w:val="24"/>
          <w:lang w:eastAsia="en-US"/>
        </w:rPr>
        <w:lastRenderedPageBreak/>
        <w:t>c)</w:t>
      </w:r>
      <w:r w:rsidRPr="00393250">
        <w:rPr>
          <w:szCs w:val="24"/>
          <w:lang w:eastAsia="en-US"/>
        </w:rPr>
        <w:tab/>
        <w:t>anføre de vandområdespecifikke forurenende stoffer, for hvilke det er fastslået, at der skal anvendes miljøkvalitetskrav fastsat på EU-plan, hvor det er relevant, til at sikre en harmoniseret og videnskabeligt baseret gennemførelse af målene i artikel 4 i direktiv 2000/60/EF, i del C i bilag II til dette direktiv, og ved at anføre de tilsvarende miljøkvalitetskrav for disse forurenende stoffer i del C i bilag II til dette direktiv.</w:t>
      </w:r>
    </w:p>
    <w:p w14:paraId="64298B28"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4.</w:t>
      </w:r>
      <w:r w:rsidRPr="00393250">
        <w:rPr>
          <w:szCs w:val="24"/>
          <w:lang w:eastAsia="en-US"/>
        </w:rPr>
        <w:tab/>
        <w:t>Når Kommissionen udpeger vandområdespecifikke forurenende stoffer, for hvilke det kan være nødvendigt at fastsætte miljøkvalitetskrav på EU-plan, tager den hensyn til følgende kriterier:</w:t>
      </w:r>
    </w:p>
    <w:p w14:paraId="28CC7678" w14:textId="0DA91838" w:rsidR="008A5B47" w:rsidRPr="00393250" w:rsidRDefault="008A5B47" w:rsidP="008A5B47">
      <w:pPr>
        <w:spacing w:before="120" w:after="120" w:line="360" w:lineRule="auto"/>
        <w:ind w:left="1982" w:hanging="566"/>
        <w:rPr>
          <w:b/>
          <w:szCs w:val="24"/>
          <w:lang w:eastAsia="en-US"/>
        </w:rPr>
      </w:pPr>
      <w:r w:rsidRPr="00393250">
        <w:rPr>
          <w:szCs w:val="24"/>
          <w:lang w:eastAsia="en-US"/>
        </w:rPr>
        <w:t>a)</w:t>
      </w:r>
      <w:r w:rsidRPr="00393250">
        <w:rPr>
          <w:szCs w:val="24"/>
          <w:lang w:eastAsia="en-US"/>
        </w:rPr>
        <w:tab/>
        <w:t>den risiko, som de forurenende stoffer udgør, herunder deres fare, deres miljøkoncentrationer og den koncentration, over hvilken der kan forventes virkninger</w:t>
      </w:r>
      <w:r w:rsidRPr="00393250">
        <w:rPr>
          <w:b/>
          <w:i/>
          <w:szCs w:val="24"/>
          <w:lang w:eastAsia="en-US"/>
        </w:rPr>
        <w:t>, herunder deres kumulative virkninger</w:t>
      </w:r>
      <w:r w:rsidR="0094221B" w:rsidRPr="00393250">
        <w:rPr>
          <w:b/>
          <w:szCs w:val="24"/>
          <w:lang w:eastAsia="en-US"/>
        </w:rPr>
        <w:t xml:space="preserve"> [Ændring 119]</w:t>
      </w:r>
    </w:p>
    <w:p w14:paraId="46E99383"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b)</w:t>
      </w:r>
      <w:r w:rsidRPr="00393250">
        <w:rPr>
          <w:szCs w:val="24"/>
          <w:lang w:eastAsia="en-US"/>
        </w:rPr>
        <w:tab/>
        <w:t>forskellen mellem de nationale miljøkvalitetskrav, der er fastsat for vandområdespecifikke forurenende stoffer i de forskellige medlemsstater, og i hvilken grad en sådan forskel er berettiget</w:t>
      </w:r>
    </w:p>
    <w:p w14:paraId="09C193BA" w14:textId="77777777" w:rsidR="0094221B" w:rsidRPr="00393250" w:rsidRDefault="0094221B">
      <w:pPr>
        <w:widowControl/>
        <w:rPr>
          <w:szCs w:val="24"/>
          <w:lang w:eastAsia="en-US"/>
        </w:rPr>
      </w:pPr>
      <w:r w:rsidRPr="00393250">
        <w:rPr>
          <w:szCs w:val="24"/>
          <w:lang w:eastAsia="en-US"/>
        </w:rPr>
        <w:br w:type="page"/>
      </w:r>
    </w:p>
    <w:p w14:paraId="09CCF218" w14:textId="2B12C2A2" w:rsidR="008A5B47" w:rsidRPr="00393250" w:rsidRDefault="008A5B47" w:rsidP="008A5B47">
      <w:pPr>
        <w:spacing w:before="120" w:after="120" w:line="360" w:lineRule="auto"/>
        <w:ind w:left="1982" w:hanging="566"/>
        <w:rPr>
          <w:szCs w:val="24"/>
          <w:lang w:eastAsia="en-US"/>
        </w:rPr>
      </w:pPr>
      <w:r w:rsidRPr="00393250">
        <w:rPr>
          <w:szCs w:val="24"/>
          <w:lang w:eastAsia="en-US"/>
        </w:rPr>
        <w:lastRenderedPageBreak/>
        <w:t>c)</w:t>
      </w:r>
      <w:r w:rsidRPr="00393250">
        <w:rPr>
          <w:szCs w:val="24"/>
          <w:lang w:eastAsia="en-US"/>
        </w:rPr>
        <w:tab/>
        <w:t>antallet af medlemsstater, der allerede gennemfører miljøkvalitetskrav for de omhandlede vandområdespecifikke forurenende stoffer.</w:t>
      </w:r>
    </w:p>
    <w:p w14:paraId="16702C9B"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5.</w:t>
      </w:r>
      <w:r w:rsidRPr="00393250">
        <w:rPr>
          <w:szCs w:val="24"/>
          <w:lang w:eastAsia="en-US"/>
        </w:rPr>
        <w:tab/>
        <w:t>Prioriterede stoffer, der som følge af den i stk. 1 omhandlede revision er blevet fjernet fra listen over prioriterede stoffer, fordi de ikke længere udgør en risiko på EU-plan, optages i bilag II, del C, med en liste over vandområdespecifikke forurenende stoffer og relaterede harmoniserede miljøkvalitetskrav, der skal gennemføres, hvis de forurenende stoffer er af national eller regional betydning, i overensstemmelse med artikel 8d.</w:t>
      </w:r>
    </w:p>
    <w:p w14:paraId="686BFE63"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6.</w:t>
      </w:r>
      <w:r w:rsidRPr="00393250">
        <w:rPr>
          <w:szCs w:val="24"/>
          <w:lang w:eastAsia="en-US"/>
        </w:rPr>
        <w:tab/>
        <w:t>Med henblik på at bistå Kommissionen i forbindelse med revisionen af bilag I og II udarbejder ECHA videnskabelige rapporter. Disse videnskabelige rapporter baseres på:</w:t>
      </w:r>
    </w:p>
    <w:p w14:paraId="120B1221"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a)</w:t>
      </w:r>
      <w:r w:rsidRPr="00393250">
        <w:rPr>
          <w:szCs w:val="24"/>
          <w:lang w:eastAsia="en-US"/>
        </w:rPr>
        <w:tab/>
        <w:t>udtalelserne fra ECHA's Udvalg for Risikovurdering og Udvalg for Socioøkonomisk Analyse</w:t>
      </w:r>
    </w:p>
    <w:p w14:paraId="4DC3409F"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b)</w:t>
      </w:r>
      <w:r w:rsidRPr="00393250">
        <w:rPr>
          <w:szCs w:val="24"/>
          <w:lang w:eastAsia="en-US"/>
        </w:rPr>
        <w:tab/>
        <w:t>de resultater af grundvandsovervågningsnettet, der er opnået i overensstemmelse med artikel 8 i direktiv 2000/60/EF</w:t>
      </w:r>
    </w:p>
    <w:p w14:paraId="3D863704" w14:textId="77777777" w:rsidR="0094221B" w:rsidRPr="00393250" w:rsidRDefault="0094221B">
      <w:pPr>
        <w:widowControl/>
        <w:rPr>
          <w:szCs w:val="24"/>
          <w:lang w:eastAsia="en-US"/>
        </w:rPr>
      </w:pPr>
      <w:r w:rsidRPr="00393250">
        <w:rPr>
          <w:szCs w:val="24"/>
          <w:lang w:eastAsia="en-US"/>
        </w:rPr>
        <w:br w:type="page"/>
      </w:r>
    </w:p>
    <w:p w14:paraId="5692FC49" w14:textId="624CF600" w:rsidR="008A5B47" w:rsidRPr="00393250" w:rsidRDefault="008A5B47" w:rsidP="008A5B47">
      <w:pPr>
        <w:spacing w:before="120" w:after="120" w:line="360" w:lineRule="auto"/>
        <w:ind w:left="1982" w:hanging="566"/>
        <w:rPr>
          <w:szCs w:val="24"/>
          <w:lang w:eastAsia="en-US"/>
        </w:rPr>
      </w:pPr>
      <w:r w:rsidRPr="00393250">
        <w:rPr>
          <w:szCs w:val="24"/>
          <w:lang w:eastAsia="en-US"/>
        </w:rPr>
        <w:lastRenderedPageBreak/>
        <w:t>c)</w:t>
      </w:r>
      <w:r w:rsidRPr="00393250">
        <w:rPr>
          <w:szCs w:val="24"/>
          <w:lang w:eastAsia="en-US"/>
        </w:rPr>
        <w:tab/>
        <w:t>de overvågningsdata, der er indsamlet i overensstemmelse med dette direktivs artikel 8b, stk. 4</w:t>
      </w:r>
    </w:p>
    <w:p w14:paraId="5FE56545"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d)</w:t>
      </w:r>
      <w:r w:rsidRPr="00393250">
        <w:rPr>
          <w:szCs w:val="24"/>
          <w:lang w:eastAsia="en-US"/>
        </w:rPr>
        <w:tab/>
        <w:t>resultatet af revisionen af bilagene til Europa-Parlamentets og Rådets direktiv 2006/118/EF* og Europa-Parlamentets og Rådets direktiv (EU) 2020/2184**</w:t>
      </w:r>
    </w:p>
    <w:p w14:paraId="7E6ADF5B"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e)</w:t>
      </w:r>
      <w:r w:rsidRPr="00393250">
        <w:rPr>
          <w:szCs w:val="24"/>
          <w:lang w:eastAsia="en-US"/>
        </w:rPr>
        <w:tab/>
        <w:t>krav vedrørende bekæmpelse af jordforurening, herunder relaterede overvågningsdata</w:t>
      </w:r>
    </w:p>
    <w:p w14:paraId="65079759"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f)</w:t>
      </w:r>
      <w:r w:rsidRPr="00393250">
        <w:rPr>
          <w:szCs w:val="24"/>
          <w:lang w:eastAsia="en-US"/>
        </w:rPr>
        <w:tab/>
        <w:t>Unionens forskningsprogrammer og videnskabelige publikationer, herunder oplysninger fra telemålingsteknologier, jordobservation (Copernicustjenester), in situ-sensorer og -udstyr eller borgervidenskabelige data, der udnytter de muligheder, der ligger i kunstig intelligens og avanceret dataanalyse og -behandling</w:t>
      </w:r>
    </w:p>
    <w:p w14:paraId="6F4623BF"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g)</w:t>
      </w:r>
      <w:r w:rsidRPr="00393250">
        <w:rPr>
          <w:szCs w:val="24"/>
          <w:lang w:eastAsia="en-US"/>
        </w:rPr>
        <w:tab/>
        <w:t>bemærkninger og oplysninger fra relevante interessenter.</w:t>
      </w:r>
    </w:p>
    <w:p w14:paraId="5AD292E2" w14:textId="77777777" w:rsidR="0094221B" w:rsidRPr="00393250" w:rsidRDefault="0094221B">
      <w:pPr>
        <w:widowControl/>
        <w:rPr>
          <w:b/>
          <w:i/>
          <w:szCs w:val="24"/>
          <w:lang w:eastAsia="en-US"/>
        </w:rPr>
      </w:pPr>
      <w:r w:rsidRPr="00393250">
        <w:rPr>
          <w:b/>
          <w:i/>
          <w:szCs w:val="24"/>
          <w:lang w:eastAsia="en-US"/>
        </w:rPr>
        <w:br w:type="page"/>
      </w:r>
    </w:p>
    <w:p w14:paraId="70D63E3C" w14:textId="7201ACE3" w:rsidR="008A5B47" w:rsidRPr="00393250" w:rsidRDefault="008A5B47" w:rsidP="008A5B47">
      <w:pPr>
        <w:spacing w:before="120" w:after="120" w:line="360" w:lineRule="auto"/>
        <w:ind w:left="1416" w:hanging="566"/>
        <w:rPr>
          <w:b/>
          <w:szCs w:val="24"/>
          <w:lang w:eastAsia="en-US"/>
        </w:rPr>
      </w:pPr>
      <w:r w:rsidRPr="00393250">
        <w:rPr>
          <w:b/>
          <w:i/>
          <w:szCs w:val="24"/>
          <w:lang w:eastAsia="en-US"/>
        </w:rPr>
        <w:lastRenderedPageBreak/>
        <w:t>6a.</w:t>
      </w:r>
      <w:r w:rsidRPr="00393250">
        <w:rPr>
          <w:szCs w:val="24"/>
          <w:lang w:eastAsia="en-US"/>
        </w:rPr>
        <w:tab/>
      </w:r>
      <w:r w:rsidRPr="00393250">
        <w:rPr>
          <w:b/>
          <w:i/>
          <w:szCs w:val="24"/>
          <w:lang w:eastAsia="en-US"/>
        </w:rPr>
        <w:t>Kommissionen fastlægger senest den 12. januar 2025 tekniske retningslinjer vedrørende analysemetoder for kontrollen af per- og polyfluoralkylstoffer under parametrene "PFAS i alt". Kommissionen vedtager senest den 12. januar 2026 en delegeret retsakt i overensstemmelse med artikel 9a om ændring af dette direktiv ved at fastsætte et kvalitetskrav for "PFAS i alt" og ændre bilag I i overensstemmelse hermed.</w:t>
      </w:r>
      <w:r w:rsidR="0094221B" w:rsidRPr="00393250">
        <w:rPr>
          <w:b/>
          <w:szCs w:val="24"/>
          <w:lang w:eastAsia="en-US"/>
        </w:rPr>
        <w:t xml:space="preserve"> [Ændring 120]</w:t>
      </w:r>
    </w:p>
    <w:p w14:paraId="661E7AB5" w14:textId="547F56ED" w:rsidR="008A5B47" w:rsidRPr="00393250" w:rsidRDefault="008A5B47" w:rsidP="008A5B47">
      <w:pPr>
        <w:spacing w:before="120" w:after="120" w:line="360" w:lineRule="auto"/>
        <w:ind w:left="1416" w:hanging="566"/>
        <w:rPr>
          <w:b/>
          <w:szCs w:val="24"/>
          <w:lang w:eastAsia="en-US"/>
        </w:rPr>
      </w:pPr>
      <w:r w:rsidRPr="00393250">
        <w:rPr>
          <w:b/>
          <w:i/>
          <w:szCs w:val="24"/>
          <w:lang w:eastAsia="en-US"/>
        </w:rPr>
        <w:t>6b.</w:t>
      </w:r>
      <w:r w:rsidRPr="00393250">
        <w:rPr>
          <w:szCs w:val="24"/>
          <w:lang w:eastAsia="en-US"/>
        </w:rPr>
        <w:tab/>
      </w:r>
      <w:r w:rsidRPr="00393250">
        <w:rPr>
          <w:b/>
          <w:i/>
          <w:szCs w:val="24"/>
          <w:lang w:eastAsia="en-US"/>
        </w:rPr>
        <w:t>Kommissionen fastlægger senest den ... [to år efter dette direktivs ikrafttræden] tekniske retningslinjer vedrørende analysemetoder for kontrollen af bisphenoler, herunder som minimum bisphenol-A, bisphenol-B og bisphenol-S under parameteren "bisphenoler i alt". Kommissionen vedtager senest den [tre år efter datoen for dette direktivs ikrafttræden] en delegeret retsakt i overensstemmelse med artikel 9a om ændring af dette direktiv ved at fastsætte et miljøkvalitetskrav for "bisphenoler i alt" og anvende en tilgang med relativ potensfaktor og ændre bilag I i overensstemmelse hermed.</w:t>
      </w:r>
      <w:r w:rsidR="0094221B" w:rsidRPr="00393250">
        <w:rPr>
          <w:b/>
          <w:szCs w:val="24"/>
          <w:lang w:eastAsia="en-US"/>
        </w:rPr>
        <w:t xml:space="preserve"> [Ændring 121]</w:t>
      </w:r>
    </w:p>
    <w:p w14:paraId="2DAD1C00" w14:textId="77777777" w:rsidR="0094221B" w:rsidRPr="00393250" w:rsidRDefault="0094221B">
      <w:pPr>
        <w:widowControl/>
        <w:rPr>
          <w:szCs w:val="24"/>
          <w:lang w:eastAsia="en-US"/>
        </w:rPr>
      </w:pPr>
      <w:r w:rsidRPr="00393250">
        <w:rPr>
          <w:szCs w:val="24"/>
          <w:lang w:eastAsia="en-US"/>
        </w:rPr>
        <w:br w:type="page"/>
      </w:r>
    </w:p>
    <w:p w14:paraId="3A5655C9" w14:textId="04F33DBF" w:rsidR="008A5B47" w:rsidRPr="00393250" w:rsidRDefault="008A5B47" w:rsidP="008A5B47">
      <w:pPr>
        <w:spacing w:before="120" w:after="120" w:line="360" w:lineRule="auto"/>
        <w:ind w:left="1416" w:hanging="566"/>
        <w:rPr>
          <w:b/>
          <w:szCs w:val="24"/>
          <w:lang w:eastAsia="en-US"/>
        </w:rPr>
      </w:pPr>
      <w:r w:rsidRPr="00393250">
        <w:rPr>
          <w:szCs w:val="24"/>
          <w:lang w:eastAsia="en-US"/>
        </w:rPr>
        <w:lastRenderedPageBreak/>
        <w:t>7.</w:t>
      </w:r>
      <w:r w:rsidRPr="00393250">
        <w:rPr>
          <w:szCs w:val="24"/>
          <w:lang w:eastAsia="en-US"/>
        </w:rPr>
        <w:tab/>
        <w:t xml:space="preserve">ECHA udarbejder og offentliggør hvert </w:t>
      </w:r>
      <w:r w:rsidRPr="00393250">
        <w:rPr>
          <w:strike/>
          <w:szCs w:val="24"/>
          <w:lang w:eastAsia="en-US"/>
        </w:rPr>
        <w:t>sjette</w:t>
      </w:r>
      <w:r w:rsidRPr="00393250">
        <w:rPr>
          <w:b/>
          <w:i/>
          <w:szCs w:val="24"/>
          <w:lang w:eastAsia="en-US"/>
        </w:rPr>
        <w:t>fjerde</w:t>
      </w:r>
      <w:r w:rsidRPr="00393250">
        <w:rPr>
          <w:szCs w:val="24"/>
          <w:lang w:eastAsia="en-US"/>
        </w:rPr>
        <w:t xml:space="preserve"> år en rapport, der sammenfatter resultaterne af de videnskabelige rapporter omhandlet i stk. 6. Den første rapport forelægges Kommissionen den … [</w:t>
      </w:r>
      <w:r w:rsidRPr="00393250">
        <w:rPr>
          <w:strike/>
          <w:szCs w:val="24"/>
          <w:lang w:eastAsia="en-US"/>
        </w:rPr>
        <w:t>OP: Please insert the date = five years after the date of entry into force of this Directive</w:t>
      </w:r>
      <w:r w:rsidRPr="00393250">
        <w:rPr>
          <w:b/>
          <w:i/>
          <w:szCs w:val="24"/>
          <w:lang w:eastAsia="en-US"/>
        </w:rPr>
        <w:t>Publikationskontoret: indsæt venligst datoen = tre år efter datoen for dette direktivs ikrafttræden</w:t>
      </w:r>
      <w:r w:rsidRPr="00393250">
        <w:rPr>
          <w:szCs w:val="24"/>
          <w:lang w:eastAsia="en-US"/>
        </w:rPr>
        <w:t>].</w:t>
      </w:r>
      <w:r w:rsidR="0094221B" w:rsidRPr="00393250">
        <w:rPr>
          <w:b/>
          <w:szCs w:val="24"/>
          <w:lang w:eastAsia="en-US"/>
        </w:rPr>
        <w:t xml:space="preserve"> [Ændring 122]</w:t>
      </w:r>
    </w:p>
    <w:p w14:paraId="1D25C64E" w14:textId="77777777" w:rsidR="008A5B47" w:rsidRPr="00393250" w:rsidRDefault="008A5B47" w:rsidP="008A5B47">
      <w:pPr>
        <w:spacing w:before="120" w:after="120" w:line="360" w:lineRule="auto"/>
        <w:ind w:left="850"/>
        <w:rPr>
          <w:szCs w:val="24"/>
          <w:lang w:eastAsia="en-US"/>
        </w:rPr>
      </w:pPr>
      <w:r w:rsidRPr="00393250">
        <w:rPr>
          <w:szCs w:val="24"/>
          <w:lang w:eastAsia="en-US"/>
        </w:rPr>
        <w:t>* Europa-Parlamentets og Rådets direktiv 2006/118/EF af 12. december 2006 om forebyggelse af og kontrol med forurening af grundvand (EUT L 372 af 27.12.2006, s. 19).</w:t>
      </w:r>
    </w:p>
    <w:p w14:paraId="4D356059" w14:textId="12C89CD6" w:rsidR="008A5B47" w:rsidRPr="00393250" w:rsidRDefault="008A5B47" w:rsidP="008A5B47">
      <w:pPr>
        <w:spacing w:before="120" w:after="120" w:line="360" w:lineRule="auto"/>
        <w:ind w:left="850"/>
        <w:rPr>
          <w:szCs w:val="24"/>
          <w:lang w:eastAsia="en-US"/>
        </w:rPr>
      </w:pPr>
      <w:r w:rsidRPr="00393250">
        <w:rPr>
          <w:szCs w:val="24"/>
          <w:lang w:eastAsia="en-US"/>
        </w:rPr>
        <w:t>** Europa-Parlamentets og Rådets direktiv (EU) 2020/2184 af 16. december 2020 om kvaliteten af drikkevand (EUT L 435 af 23.12.2020, s. 1).</w:t>
      </w:r>
      <w:r w:rsidR="0094221B" w:rsidRPr="00393250">
        <w:rPr>
          <w:szCs w:val="24"/>
          <w:lang w:eastAsia="en-US"/>
        </w:rPr>
        <w:t>"</w:t>
      </w:r>
    </w:p>
    <w:p w14:paraId="5D230714" w14:textId="77777777" w:rsidR="0094221B" w:rsidRPr="00393250" w:rsidRDefault="0094221B">
      <w:pPr>
        <w:widowControl/>
        <w:rPr>
          <w:szCs w:val="24"/>
          <w:lang w:eastAsia="en-US"/>
        </w:rPr>
      </w:pPr>
      <w:r w:rsidRPr="00393250">
        <w:rPr>
          <w:szCs w:val="24"/>
          <w:lang w:eastAsia="en-US"/>
        </w:rPr>
        <w:br w:type="page"/>
      </w:r>
    </w:p>
    <w:p w14:paraId="13BE1126" w14:textId="353569A7"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(6)</w:t>
      </w:r>
      <w:r w:rsidRPr="00393250">
        <w:rPr>
          <w:szCs w:val="24"/>
          <w:lang w:eastAsia="en-US"/>
        </w:rPr>
        <w:tab/>
        <w:t>Artikel 8a affattes således:</w:t>
      </w:r>
    </w:p>
    <w:p w14:paraId="7DA497F9" w14:textId="77777777" w:rsidR="008A5B47" w:rsidRPr="00393250" w:rsidRDefault="008A5B47" w:rsidP="008A5B47">
      <w:pPr>
        <w:spacing w:before="120" w:after="120" w:line="360" w:lineRule="auto"/>
        <w:ind w:left="850"/>
        <w:rPr>
          <w:szCs w:val="24"/>
          <w:lang w:eastAsia="en-US"/>
        </w:rPr>
      </w:pPr>
      <w:r w:rsidRPr="00393250">
        <w:rPr>
          <w:szCs w:val="24"/>
          <w:lang w:eastAsia="en-US"/>
        </w:rPr>
        <w:t>"Artikel 8a</w:t>
      </w:r>
    </w:p>
    <w:p w14:paraId="2E671C00" w14:textId="77777777" w:rsidR="008A5B47" w:rsidRPr="00393250" w:rsidRDefault="008A5B47" w:rsidP="008A5B47">
      <w:pPr>
        <w:spacing w:before="120" w:after="120" w:line="360" w:lineRule="auto"/>
        <w:ind w:left="850"/>
        <w:rPr>
          <w:szCs w:val="24"/>
          <w:lang w:eastAsia="en-US"/>
        </w:rPr>
      </w:pPr>
      <w:r w:rsidRPr="00393250">
        <w:rPr>
          <w:szCs w:val="24"/>
          <w:lang w:eastAsia="en-US"/>
        </w:rPr>
        <w:t>Særlige bestemmelser for visse stoffer</w:t>
      </w:r>
    </w:p>
    <w:p w14:paraId="44A9FF3F"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1.</w:t>
      </w:r>
      <w:r w:rsidRPr="00393250">
        <w:rPr>
          <w:szCs w:val="24"/>
          <w:lang w:eastAsia="en-US"/>
        </w:rPr>
        <w:tab/>
        <w:t>Medlemsstaterne kan i de vandområdeplaner, de udarbejder i overensstemmelse med artikel 13 i direktiv 2000/60/EF, uden at dette berører kravene i punkt 1.4.3 i bilag V til det nævnte direktiv vedrørende præsentation af den kemiske tilstand som helhed og de mål og forpligtelser, der er fastsat i samme direktivs artikel 4, stk. 1, litra a), fremlægge yderligere kort, der præsenterer oplysningerne vedrørende kemisk tilstand for et eller flere af følgende stoffer særskilt fra oplysninger vedrørende resten af de stoffer, som er anført i del A i bilag I til dette direktiv:</w:t>
      </w:r>
    </w:p>
    <w:p w14:paraId="48B1E628" w14:textId="732D430B" w:rsidR="008A5B47" w:rsidRPr="00393250" w:rsidRDefault="008A5B47" w:rsidP="008A5B47">
      <w:pPr>
        <w:spacing w:before="120" w:after="120" w:line="360" w:lineRule="auto"/>
        <w:ind w:left="1982" w:hanging="566"/>
        <w:rPr>
          <w:szCs w:val="24"/>
          <w:lang w:eastAsia="en-US"/>
        </w:rPr>
      </w:pPr>
      <w:r w:rsidRPr="00393250">
        <w:rPr>
          <w:szCs w:val="24"/>
          <w:lang w:eastAsia="en-US"/>
        </w:rPr>
        <w:t>a)</w:t>
      </w:r>
      <w:r w:rsidRPr="00393250">
        <w:rPr>
          <w:szCs w:val="24"/>
          <w:lang w:eastAsia="en-US"/>
        </w:rPr>
        <w:tab/>
        <w:t>stoffer, der i bilag I, del A, er identificeret som stoffer, der opfører sig som allestedsnærværende PBT-stoffer</w:t>
      </w:r>
    </w:p>
    <w:p w14:paraId="6BD7774D" w14:textId="2A71F70E" w:rsidR="008A5B47" w:rsidRPr="00393250" w:rsidRDefault="008A5B47" w:rsidP="008A5B47">
      <w:pPr>
        <w:spacing w:before="120" w:after="120" w:line="360" w:lineRule="auto"/>
        <w:ind w:left="1982" w:hanging="566"/>
        <w:rPr>
          <w:szCs w:val="24"/>
          <w:lang w:eastAsia="en-US"/>
        </w:rPr>
      </w:pPr>
      <w:r w:rsidRPr="00393250">
        <w:rPr>
          <w:szCs w:val="24"/>
          <w:lang w:eastAsia="en-US"/>
        </w:rPr>
        <w:t>b)</w:t>
      </w:r>
      <w:r w:rsidRPr="00393250">
        <w:rPr>
          <w:szCs w:val="24"/>
          <w:lang w:eastAsia="en-US"/>
        </w:rPr>
        <w:tab/>
        <w:t>stoffer, der er nyidentificeret i den seneste revision i overensstemmelse med artikel 8</w:t>
      </w:r>
    </w:p>
    <w:p w14:paraId="7F931A77" w14:textId="77777777" w:rsidR="0094221B" w:rsidRPr="00393250" w:rsidRDefault="0094221B">
      <w:pPr>
        <w:widowControl/>
        <w:rPr>
          <w:szCs w:val="24"/>
          <w:lang w:eastAsia="en-US"/>
        </w:rPr>
      </w:pPr>
      <w:r w:rsidRPr="00393250">
        <w:rPr>
          <w:szCs w:val="24"/>
          <w:lang w:eastAsia="en-US"/>
        </w:rPr>
        <w:br w:type="page"/>
      </w:r>
    </w:p>
    <w:p w14:paraId="4408BEF5" w14:textId="711FA9E0" w:rsidR="008A5B47" w:rsidRPr="00393250" w:rsidRDefault="008A5B47" w:rsidP="008A5B47">
      <w:pPr>
        <w:spacing w:before="120" w:after="120" w:line="360" w:lineRule="auto"/>
        <w:ind w:left="1982" w:hanging="566"/>
        <w:rPr>
          <w:szCs w:val="24"/>
          <w:lang w:eastAsia="en-US"/>
        </w:rPr>
      </w:pPr>
      <w:r w:rsidRPr="00393250">
        <w:rPr>
          <w:szCs w:val="24"/>
          <w:lang w:eastAsia="en-US"/>
        </w:rPr>
        <w:lastRenderedPageBreak/>
        <w:t>c)</w:t>
      </w:r>
      <w:r w:rsidRPr="00393250">
        <w:rPr>
          <w:szCs w:val="24"/>
          <w:lang w:eastAsia="en-US"/>
        </w:rPr>
        <w:tab/>
        <w:t>stoffer, for hvilke der er fastsat strengere miljøkvalitetskrav ved den seneste revision i overensstemmelse med artikel 8.</w:t>
      </w:r>
    </w:p>
    <w:p w14:paraId="1E928BC2" w14:textId="5D96E70A" w:rsidR="008A5B47" w:rsidRPr="00393250" w:rsidRDefault="008A5B47" w:rsidP="008A5B47">
      <w:pPr>
        <w:spacing w:before="120" w:after="120" w:line="360" w:lineRule="auto"/>
        <w:ind w:left="1416"/>
        <w:rPr>
          <w:b/>
          <w:szCs w:val="24"/>
          <w:lang w:eastAsia="en-US"/>
        </w:rPr>
      </w:pPr>
      <w:r w:rsidRPr="00393250">
        <w:rPr>
          <w:szCs w:val="24"/>
          <w:lang w:eastAsia="en-US"/>
        </w:rPr>
        <w:t xml:space="preserve">Medlemsstaterne </w:t>
      </w:r>
      <w:r w:rsidRPr="00393250">
        <w:rPr>
          <w:strike/>
          <w:szCs w:val="24"/>
          <w:lang w:eastAsia="en-US"/>
        </w:rPr>
        <w:t>kan angive</w:t>
      </w:r>
      <w:r w:rsidRPr="00393250">
        <w:rPr>
          <w:b/>
          <w:i/>
          <w:szCs w:val="24"/>
          <w:lang w:eastAsia="en-US"/>
        </w:rPr>
        <w:t>angiver</w:t>
      </w:r>
      <w:r w:rsidRPr="00393250">
        <w:rPr>
          <w:szCs w:val="24"/>
          <w:lang w:eastAsia="en-US"/>
        </w:rPr>
        <w:t xml:space="preserve"> omfanget af enhver afvigelse fra EQS-værdien for de stoffer, der er omhandlet i første afsnit, litra a), b) og c), i de vandområdeplaner, der udarbejdes i overensstemmelse med artikel 13 i direktiv 2000/60/EF. Medlemsstater, der fremlægger supplerende kort som omhandlet i første afsnit, bestræber sig på at sikre deres indbyrdes sammenlignelighed på vandområde- og EU-plan og stiller dataene til rådighed i overensstemmelse med direktiv 2003/4/EF, Europa-Parlamentets og Rådets direktiv 2007/2/EF* og Europa-Parlamentets og Rådets direktiv (EU) 2019/1024**.</w:t>
      </w:r>
      <w:r w:rsidR="0094221B" w:rsidRPr="00393250">
        <w:rPr>
          <w:b/>
          <w:szCs w:val="24"/>
          <w:lang w:eastAsia="en-US"/>
        </w:rPr>
        <w:t xml:space="preserve"> [Ændring 123]</w:t>
      </w:r>
    </w:p>
    <w:p w14:paraId="50E48159" w14:textId="77777777" w:rsidR="0094221B" w:rsidRPr="00393250" w:rsidRDefault="0094221B">
      <w:pPr>
        <w:widowControl/>
        <w:rPr>
          <w:szCs w:val="24"/>
          <w:lang w:eastAsia="en-US"/>
        </w:rPr>
      </w:pPr>
      <w:r w:rsidRPr="00393250">
        <w:rPr>
          <w:szCs w:val="24"/>
          <w:lang w:eastAsia="en-US"/>
        </w:rPr>
        <w:br w:type="page"/>
      </w:r>
    </w:p>
    <w:p w14:paraId="77084147" w14:textId="680D24CD" w:rsidR="008A5B47" w:rsidRPr="00393250" w:rsidRDefault="008A5B47" w:rsidP="008A5B47">
      <w:pPr>
        <w:spacing w:before="120" w:after="120" w:line="360" w:lineRule="auto"/>
        <w:ind w:left="1416" w:hanging="566"/>
        <w:rPr>
          <w:b/>
          <w:szCs w:val="24"/>
          <w:lang w:eastAsia="en-US"/>
        </w:rPr>
      </w:pPr>
      <w:r w:rsidRPr="00393250">
        <w:rPr>
          <w:szCs w:val="24"/>
          <w:lang w:eastAsia="en-US"/>
        </w:rPr>
        <w:lastRenderedPageBreak/>
        <w:t>2.</w:t>
      </w:r>
      <w:r w:rsidRPr="00393250">
        <w:rPr>
          <w:szCs w:val="24"/>
          <w:lang w:eastAsia="en-US"/>
        </w:rPr>
        <w:tab/>
        <w:t>Medlemsstaterne kan foretage en mindre intensiv overvågning af stoffer, der er identificeret som stoffer, der opfører sig som allestedsnærværende PBT-stoffer</w:t>
      </w:r>
      <w:r w:rsidRPr="00393250">
        <w:rPr>
          <w:b/>
          <w:i/>
          <w:szCs w:val="24"/>
          <w:lang w:eastAsia="en-US"/>
        </w:rPr>
        <w:t>, og som ikke længere er godkendt og anvendt i Unionen</w:t>
      </w:r>
      <w:r w:rsidRPr="00393250">
        <w:rPr>
          <w:szCs w:val="24"/>
          <w:lang w:eastAsia="en-US"/>
        </w:rPr>
        <w:t>, i bilag I, del A, i henhold til dette direktivs artikel 3, stk. 4, og bilag V til direktiv 2000/60/EF, forudsat at overvågningen er repræsentativ, og at en statistisk robust basislinje for tilstedeværelsen af de pågældende stoffer i vandmiljøet er tilgængelig. Der bør som hovedregel, i overensstemmelse med dette direktivs artikel 3, stk. 6, andet afsnit, foretages overvågning hvert tredje år, medmindre teknisk viden og ekspertvurderinger begrunder et andet interval.</w:t>
      </w:r>
      <w:r w:rsidR="0094221B" w:rsidRPr="00393250">
        <w:rPr>
          <w:b/>
          <w:szCs w:val="24"/>
          <w:lang w:eastAsia="en-US"/>
        </w:rPr>
        <w:t xml:space="preserve"> [Ændring 124]</w:t>
      </w:r>
    </w:p>
    <w:p w14:paraId="38FE9D5E" w14:textId="77777777" w:rsidR="0094221B" w:rsidRPr="00393250" w:rsidRDefault="0094221B">
      <w:pPr>
        <w:widowControl/>
        <w:rPr>
          <w:szCs w:val="24"/>
          <w:lang w:eastAsia="en-US"/>
        </w:rPr>
      </w:pPr>
      <w:r w:rsidRPr="00393250">
        <w:rPr>
          <w:szCs w:val="24"/>
          <w:lang w:eastAsia="en-US"/>
        </w:rPr>
        <w:br w:type="page"/>
      </w:r>
    </w:p>
    <w:p w14:paraId="12BD3CA7" w14:textId="0FEADE48" w:rsidR="008A5B47" w:rsidRPr="00393250" w:rsidRDefault="008A5B47" w:rsidP="008A5B47">
      <w:pPr>
        <w:spacing w:before="120" w:after="120" w:line="360" w:lineRule="auto"/>
        <w:ind w:left="1416" w:hanging="566"/>
        <w:rPr>
          <w:szCs w:val="24"/>
          <w:lang w:eastAsia="en-US"/>
        </w:rPr>
      </w:pPr>
      <w:r w:rsidRPr="00393250">
        <w:rPr>
          <w:szCs w:val="24"/>
          <w:lang w:eastAsia="en-US"/>
        </w:rPr>
        <w:lastRenderedPageBreak/>
        <w:t>3.</w:t>
      </w:r>
      <w:r w:rsidRPr="00393250">
        <w:rPr>
          <w:szCs w:val="24"/>
          <w:lang w:eastAsia="en-US"/>
        </w:rPr>
        <w:tab/>
        <w:t>Medlemsstaterne overvåger fra den [</w:t>
      </w:r>
      <w:r w:rsidR="00922E52" w:rsidRPr="00393250">
        <w:rPr>
          <w:szCs w:val="24"/>
          <w:lang w:eastAsia="en-US"/>
        </w:rPr>
        <w:t>Publikationskontoret: Indsæt venligst datoen = den første dag i den måned, der følger 18 måneder efter datoen for dette direktivs ikrafttræden</w:t>
      </w:r>
      <w:r w:rsidRPr="00393250">
        <w:rPr>
          <w:szCs w:val="24"/>
          <w:lang w:eastAsia="en-US"/>
        </w:rPr>
        <w:t>] og i en periode på to år forekomsten af østrogene stoffer i vandområder ved hjælp af virkningsbaserede overvågningsmetoder. De foretager overvågningen mindst fire gange i løbet af hvert af de to år på steder, hvor de tre østrogene hormoner 7-beta estradiol (E2), estron (E1) og alfa-etinylestradiol (EE2), der er opført i del A i bilag I til dette direktiv, overvåges ved hjælp af konventionelle analysemetoder i overensstemmelse med artikel 8 i direktiv 2000/60/EF og bilag V til samme direktiv. Medlemsstaterne kan anvende netværket af overvågningssteder, der er udpeget til kontrolovervågning af repræsentative overfladevandområder i overensstemmelse med punkt 1.3.1 i bilag V til direktiv 2000/60/EF.</w:t>
      </w:r>
    </w:p>
    <w:p w14:paraId="00CC8FE3" w14:textId="77777777" w:rsidR="008A5B47" w:rsidRPr="00393250" w:rsidRDefault="008A5B47" w:rsidP="008A5B47">
      <w:pPr>
        <w:spacing w:before="120" w:after="120" w:line="360" w:lineRule="auto"/>
        <w:ind w:left="1416" w:hanging="566"/>
        <w:rPr>
          <w:szCs w:val="24"/>
          <w:lang w:eastAsia="en-US"/>
        </w:rPr>
      </w:pPr>
      <w:r w:rsidRPr="00393250">
        <w:rPr>
          <w:b/>
          <w:i/>
          <w:szCs w:val="24"/>
          <w:lang w:eastAsia="en-US"/>
        </w:rPr>
        <w:t>3a.</w:t>
      </w:r>
      <w:r w:rsidRPr="00393250">
        <w:rPr>
          <w:szCs w:val="24"/>
          <w:lang w:eastAsia="en-US"/>
        </w:rPr>
        <w:tab/>
      </w:r>
      <w:r w:rsidRPr="00393250">
        <w:rPr>
          <w:b/>
          <w:i/>
          <w:szCs w:val="24"/>
          <w:lang w:eastAsia="en-US"/>
        </w:rPr>
        <w:t>Kommissionen offentliggør senest 12 måneder efter den toårige periode, der er omhandlet i stk. 3, en rapport om pålideligheden af de virkningsbaserede metoder ved at sammenligne de virkningsbaserede resultater med de resultater, der er opnået ved hjælp af de konventionelle metoder til overvågning af de tre østrogene stoffer, der er anført i stk. 3, i forventning om en eventuel fastsættelse af virkningsbaserede udløsningsværdier i fremtiden.</w:t>
      </w:r>
    </w:p>
    <w:p w14:paraId="23A874B9" w14:textId="77777777" w:rsidR="00946C35" w:rsidRPr="00393250" w:rsidRDefault="00946C35">
      <w:pPr>
        <w:widowControl/>
        <w:rPr>
          <w:b/>
          <w:i/>
          <w:szCs w:val="24"/>
          <w:lang w:eastAsia="en-US"/>
        </w:rPr>
      </w:pPr>
      <w:r w:rsidRPr="00393250">
        <w:rPr>
          <w:b/>
          <w:i/>
          <w:szCs w:val="24"/>
          <w:lang w:eastAsia="en-US"/>
        </w:rPr>
        <w:br w:type="page"/>
      </w:r>
    </w:p>
    <w:p w14:paraId="42B8BA4D" w14:textId="74885E66" w:rsidR="008A5B47" w:rsidRPr="00393250" w:rsidRDefault="008A5B47" w:rsidP="008A5B47">
      <w:pPr>
        <w:spacing w:before="120" w:after="120" w:line="360" w:lineRule="auto"/>
        <w:ind w:left="1416"/>
        <w:rPr>
          <w:b/>
          <w:szCs w:val="24"/>
          <w:lang w:eastAsia="en-US"/>
        </w:rPr>
      </w:pPr>
      <w:r w:rsidRPr="00393250">
        <w:rPr>
          <w:b/>
          <w:i/>
          <w:szCs w:val="24"/>
          <w:lang w:eastAsia="en-US"/>
        </w:rPr>
        <w:lastRenderedPageBreak/>
        <w:t>Når de virkningsbaserede metoder er klar til at blive anvendt til også andre stoffer, tillægges Kommissionen beføjelse til at vedtage delegerede retsakter i overensstemmelse med artikel 9a med henblik på at supplere dette direktiv ved at tilføje et krav om, at medlemsstaterne skal anvende de virkningsbaserede metoder parallelt med de konventionelle overvågningsmetoder til at foretage overvågning for at vurdere forekomsten af disse stoffer i vandområder.</w:t>
      </w:r>
      <w:r w:rsidR="00946C35" w:rsidRPr="00393250">
        <w:rPr>
          <w:b/>
          <w:szCs w:val="24"/>
          <w:lang w:eastAsia="en-US"/>
        </w:rPr>
        <w:t xml:space="preserve"> [Ændring 125]</w:t>
      </w:r>
    </w:p>
    <w:p w14:paraId="43CFF6B6" w14:textId="77777777" w:rsidR="008A5B47" w:rsidRPr="00393250" w:rsidRDefault="008A5B47" w:rsidP="008A5B47">
      <w:pPr>
        <w:spacing w:before="120" w:after="120" w:line="360" w:lineRule="auto"/>
        <w:ind w:left="850"/>
        <w:rPr>
          <w:szCs w:val="24"/>
          <w:lang w:eastAsia="en-US"/>
        </w:rPr>
      </w:pPr>
      <w:r w:rsidRPr="00393250">
        <w:rPr>
          <w:szCs w:val="24"/>
          <w:lang w:eastAsia="en-US"/>
        </w:rPr>
        <w:t>* Europa-Parlamentets og Rådets direktiv 2007/2/EF af 14. marts 2007 om opbygning af en infrastruktur for geografisk information i Det Europæiske Fællesskab (Inspire) (EUT L 108 af 25.4.2007, s. 1).</w:t>
      </w:r>
    </w:p>
    <w:p w14:paraId="1C388826" w14:textId="77777777" w:rsidR="008A5B47" w:rsidRPr="00393250" w:rsidRDefault="008A5B47" w:rsidP="008A5B47">
      <w:pPr>
        <w:spacing w:before="120" w:after="120" w:line="360" w:lineRule="auto"/>
        <w:ind w:left="850"/>
        <w:rPr>
          <w:szCs w:val="24"/>
          <w:lang w:eastAsia="en-US"/>
        </w:rPr>
      </w:pPr>
      <w:r w:rsidRPr="00393250">
        <w:rPr>
          <w:szCs w:val="24"/>
          <w:lang w:eastAsia="en-US"/>
        </w:rPr>
        <w:t>** Europa-Parlamentets og Rådets direktiv (EU) 2019/1024 af 20. juni 2019 om åbne data og videreanvendelse af den offentlige sektors informationer (EUT L 172 af 26.6.2019, s. 56)."</w:t>
      </w:r>
    </w:p>
    <w:p w14:paraId="76999E10" w14:textId="77777777" w:rsidR="00946C35" w:rsidRPr="00393250" w:rsidRDefault="00946C35">
      <w:pPr>
        <w:widowControl/>
        <w:rPr>
          <w:szCs w:val="24"/>
          <w:lang w:eastAsia="en-US"/>
        </w:rPr>
      </w:pPr>
      <w:r w:rsidRPr="00393250">
        <w:rPr>
          <w:szCs w:val="24"/>
          <w:lang w:eastAsia="en-US"/>
        </w:rPr>
        <w:br w:type="page"/>
      </w:r>
    </w:p>
    <w:p w14:paraId="3FCBE016" w14:textId="2E9A757A"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(7)</w:t>
      </w:r>
      <w:r w:rsidRPr="00393250">
        <w:rPr>
          <w:szCs w:val="24"/>
          <w:lang w:eastAsia="en-US"/>
        </w:rPr>
        <w:tab/>
        <w:t>Artikel 8b affattes således:</w:t>
      </w:r>
    </w:p>
    <w:p w14:paraId="0B60945F" w14:textId="77777777" w:rsidR="008A5B47" w:rsidRPr="00393250" w:rsidRDefault="008A5B47" w:rsidP="008A5B47">
      <w:pPr>
        <w:spacing w:before="120" w:after="120" w:line="360" w:lineRule="auto"/>
        <w:ind w:left="850"/>
        <w:rPr>
          <w:szCs w:val="24"/>
          <w:lang w:eastAsia="en-US"/>
        </w:rPr>
      </w:pPr>
      <w:r w:rsidRPr="00393250">
        <w:rPr>
          <w:szCs w:val="24"/>
          <w:lang w:eastAsia="en-US"/>
        </w:rPr>
        <w:t>"Artikel 8b</w:t>
      </w:r>
    </w:p>
    <w:p w14:paraId="1328B4F7" w14:textId="77777777" w:rsidR="008A5B47" w:rsidRPr="00393250" w:rsidRDefault="008A5B47" w:rsidP="008A5B47">
      <w:pPr>
        <w:spacing w:before="120" w:after="120" w:line="360" w:lineRule="auto"/>
        <w:ind w:left="850"/>
        <w:rPr>
          <w:szCs w:val="24"/>
          <w:lang w:eastAsia="en-US"/>
        </w:rPr>
      </w:pPr>
      <w:r w:rsidRPr="00393250">
        <w:rPr>
          <w:szCs w:val="24"/>
          <w:lang w:eastAsia="en-US"/>
        </w:rPr>
        <w:t>Observationsliste</w:t>
      </w:r>
    </w:p>
    <w:p w14:paraId="1BB320E7"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1.</w:t>
      </w:r>
      <w:r w:rsidRPr="00393250">
        <w:rPr>
          <w:szCs w:val="24"/>
          <w:lang w:eastAsia="en-US"/>
        </w:rPr>
        <w:tab/>
        <w:t>Kommissionen tillægges beføjelser til at vedtage gennemførelsesretsakter med henblik på under hensyntagen til videnskabelige rapporter, der er udarbejdet af ECHA, at udarbejde en observationsliste over stoffer, for hvilke der skal indsamles EU-dækkende overvågningsdata fra medlemsstaterne, og til at fastlægge de formater, som medlemsstaterne skal anvende til rapportering af resultaterne af denne overvågning og relaterede oplysninger til Kommissionen. Disse gennemførelsesretsakter vedtages efter undersøgelsesproceduren i artikel 9, stk. 2.</w:t>
      </w:r>
    </w:p>
    <w:p w14:paraId="1FCDCCA7" w14:textId="77777777" w:rsidR="00946C35" w:rsidRPr="00393250" w:rsidRDefault="00946C35">
      <w:pPr>
        <w:widowControl/>
        <w:rPr>
          <w:szCs w:val="24"/>
          <w:lang w:eastAsia="en-US"/>
        </w:rPr>
      </w:pPr>
      <w:r w:rsidRPr="00393250">
        <w:rPr>
          <w:szCs w:val="24"/>
          <w:lang w:eastAsia="en-US"/>
        </w:rPr>
        <w:br w:type="page"/>
      </w:r>
    </w:p>
    <w:p w14:paraId="42020819" w14:textId="77FC5D90" w:rsidR="008A5B47" w:rsidRPr="00393250" w:rsidRDefault="00946C35" w:rsidP="008A5B47">
      <w:pPr>
        <w:spacing w:before="120" w:after="120" w:line="360" w:lineRule="auto"/>
        <w:ind w:left="1416"/>
        <w:rPr>
          <w:szCs w:val="24"/>
          <w:lang w:eastAsia="en-US"/>
        </w:rPr>
      </w:pPr>
      <w:r w:rsidRPr="00393250">
        <w:lastRenderedPageBreak/>
        <w:t xml:space="preserve">Observationslisten </w:t>
      </w:r>
      <w:r w:rsidRPr="00393250">
        <w:rPr>
          <w:strike/>
        </w:rPr>
        <w:t>må højst</w:t>
      </w:r>
      <w:r w:rsidRPr="00393250">
        <w:t xml:space="preserve"> </w:t>
      </w:r>
      <w:r w:rsidRPr="00393250">
        <w:rPr>
          <w:b/>
          <w:i/>
        </w:rPr>
        <w:t>skal som minimum</w:t>
      </w:r>
      <w:r w:rsidRPr="00393250">
        <w:t xml:space="preserve"> indeholde </w:t>
      </w:r>
      <w:r w:rsidRPr="00393250">
        <w:rPr>
          <w:strike/>
        </w:rPr>
        <w:t>ti</w:t>
      </w:r>
      <w:r w:rsidRPr="00393250">
        <w:t xml:space="preserve"> </w:t>
      </w:r>
      <w:r w:rsidRPr="00393250">
        <w:rPr>
          <w:b/>
          <w:i/>
        </w:rPr>
        <w:t>fem</w:t>
      </w:r>
      <w:r w:rsidRPr="00393250">
        <w:t xml:space="preserve"> stoffer eller grupper af stoffer</w:t>
      </w:r>
      <w:r w:rsidRPr="00393250">
        <w:rPr>
          <w:b/>
          <w:i/>
        </w:rPr>
        <w:t>, der giver anledning til stigende bekymring,</w:t>
      </w:r>
      <w:r w:rsidRPr="00393250">
        <w:t xml:space="preserve"> </w:t>
      </w:r>
      <w:r w:rsidRPr="00393250">
        <w:rPr>
          <w:strike/>
        </w:rPr>
        <w:t>på én gang</w:t>
      </w:r>
      <w:r w:rsidRPr="00393250">
        <w:t xml:space="preserve"> og </w:t>
      </w:r>
      <w:r w:rsidRPr="00393250">
        <w:rPr>
          <w:strike/>
        </w:rPr>
        <w:t>skal angive overvågningsmatricerne og</w:t>
      </w:r>
      <w:r w:rsidRPr="00393250">
        <w:t xml:space="preserve"> </w:t>
      </w:r>
      <w:r w:rsidRPr="00393250">
        <w:rPr>
          <w:b/>
          <w:i/>
        </w:rPr>
        <w:t>som udvælges blandt de stoffer, for hvilke</w:t>
      </w:r>
      <w:r w:rsidRPr="00393250">
        <w:t xml:space="preserve"> de </w:t>
      </w:r>
      <w:r w:rsidRPr="00393250">
        <w:rPr>
          <w:strike/>
        </w:rPr>
        <w:t>mulige analysemetoder for hvert stof. Disse overvågningsmatricer og -metoder må ikke medføre uforholdsmæssigt store omkostninger</w:t>
      </w:r>
      <w:r w:rsidRPr="00393250">
        <w:t xml:space="preserve"> </w:t>
      </w:r>
      <w:r w:rsidRPr="00393250">
        <w:rPr>
          <w:b/>
          <w:i/>
        </w:rPr>
        <w:t>foreliggende oplysninger i overensstemmelse med fjerde afsnit også tyder på, at de kan udgøre en væsentlig risiko</w:t>
      </w:r>
      <w:r w:rsidRPr="00393250">
        <w:t xml:space="preserve"> for </w:t>
      </w:r>
      <w:r w:rsidRPr="00393250">
        <w:rPr>
          <w:strike/>
        </w:rPr>
        <w:t>de kompetente myndigheder. Stofferne, der opføres på observationslisten, udvælges blandt de</w:t>
      </w:r>
      <w:r w:rsidRPr="00393250">
        <w:t xml:space="preserve"> </w:t>
      </w:r>
      <w:r w:rsidRPr="00393250">
        <w:rPr>
          <w:b/>
          <w:i/>
        </w:rPr>
        <w:t>vandmiljøet eller via vandmiljøet på EU-plan</w:t>
      </w:r>
      <w:r w:rsidRPr="00393250">
        <w:t xml:space="preserve">, </w:t>
      </w:r>
      <w:r w:rsidRPr="00393250">
        <w:rPr>
          <w:b/>
          <w:i/>
        </w:rPr>
        <w:t>og for hvilke overvågningsdataene er utilstrækkelige</w:t>
      </w:r>
      <w:r w:rsidRPr="00393250">
        <w:t xml:space="preserve">, </w:t>
      </w:r>
      <w:r w:rsidRPr="00393250">
        <w:rPr>
          <w:b/>
          <w:i/>
        </w:rPr>
        <w:t xml:space="preserve">undtagen hvis antallet af stoffer eller grupper af </w:t>
      </w:r>
      <w:r w:rsidRPr="00393250">
        <w:t xml:space="preserve">stoffer, for hvilke de foreliggende oplysninger tyder på, at de kan udgøre en væsentlig risiko for vandmiljøet eller via vandmiljøet </w:t>
      </w:r>
      <w:r w:rsidRPr="00393250">
        <w:rPr>
          <w:strike/>
        </w:rPr>
        <w:t>på EU-plan</w:t>
      </w:r>
      <w:r w:rsidRPr="00393250">
        <w:t xml:space="preserve">, og </w:t>
      </w:r>
      <w:r w:rsidRPr="00393250">
        <w:rPr>
          <w:strike/>
        </w:rPr>
        <w:t>for hvilke overvågningsdataene</w:t>
      </w:r>
      <w:r w:rsidRPr="00393250">
        <w:t xml:space="preserve"> </w:t>
      </w:r>
      <w:r w:rsidR="00E83478" w:rsidRPr="00393250">
        <w:rPr>
          <w:b/>
          <w:i/>
        </w:rPr>
        <w:t>som kan udvælges,</w:t>
      </w:r>
      <w:r w:rsidR="00E83478" w:rsidRPr="00393250">
        <w:t xml:space="preserve"> </w:t>
      </w:r>
      <w:r w:rsidRPr="00393250">
        <w:t xml:space="preserve">er </w:t>
      </w:r>
      <w:r w:rsidRPr="00393250">
        <w:rPr>
          <w:strike/>
        </w:rPr>
        <w:t>utilstrækkelige. Observationslisten</w:t>
      </w:r>
      <w:r w:rsidRPr="00393250">
        <w:t xml:space="preserve"> </w:t>
      </w:r>
      <w:r w:rsidR="00E83478" w:rsidRPr="00393250">
        <w:rPr>
          <w:b/>
          <w:i/>
        </w:rPr>
        <w:t xml:space="preserve">mindre end fem, i hvilket tilfælde observationslisten </w:t>
      </w:r>
      <w:r w:rsidRPr="00393250">
        <w:t xml:space="preserve">skal </w:t>
      </w:r>
      <w:r w:rsidRPr="00393250">
        <w:rPr>
          <w:strike/>
        </w:rPr>
        <w:t>omfatte</w:t>
      </w:r>
      <w:r w:rsidRPr="00393250">
        <w:t xml:space="preserve"> </w:t>
      </w:r>
      <w:r w:rsidR="00E83478" w:rsidRPr="00393250">
        <w:rPr>
          <w:b/>
          <w:i/>
        </w:rPr>
        <w:t xml:space="preserve">indeholde alle disse </w:t>
      </w:r>
      <w:r w:rsidRPr="00393250">
        <w:t>stoffer</w:t>
      </w:r>
      <w:r w:rsidRPr="00393250">
        <w:rPr>
          <w:strike/>
        </w:rPr>
        <w:t>, der giver anledning til stigende bekymring</w:t>
      </w:r>
      <w:r w:rsidRPr="00393250">
        <w:t>.</w:t>
      </w:r>
    </w:p>
    <w:p w14:paraId="62FD7A2D" w14:textId="77777777" w:rsidR="008A5B47" w:rsidRPr="00393250" w:rsidRDefault="008A5B47" w:rsidP="008A5B47">
      <w:pPr>
        <w:spacing w:before="120" w:after="120" w:line="360" w:lineRule="auto"/>
        <w:ind w:left="1416"/>
        <w:rPr>
          <w:szCs w:val="24"/>
          <w:lang w:eastAsia="en-US"/>
        </w:rPr>
      </w:pPr>
      <w:r w:rsidRPr="00393250">
        <w:rPr>
          <w:b/>
          <w:i/>
          <w:szCs w:val="24"/>
          <w:lang w:eastAsia="en-US"/>
        </w:rPr>
        <w:t>Ud over minimumsantallet af stoffer eller grupper af stoffer kan observationslisten også indeholde forureningsindikatorer.</w:t>
      </w:r>
    </w:p>
    <w:p w14:paraId="3144FB0C" w14:textId="3FFD6306" w:rsidR="008A5B47" w:rsidRPr="00393250" w:rsidRDefault="008A5B47" w:rsidP="008A5B47">
      <w:pPr>
        <w:spacing w:before="120" w:after="120" w:line="360" w:lineRule="auto"/>
        <w:ind w:left="1416"/>
        <w:rPr>
          <w:b/>
          <w:szCs w:val="24"/>
          <w:lang w:eastAsia="en-US"/>
        </w:rPr>
      </w:pPr>
      <w:r w:rsidRPr="00393250">
        <w:rPr>
          <w:b/>
          <w:i/>
          <w:szCs w:val="24"/>
          <w:lang w:eastAsia="en-US"/>
        </w:rPr>
        <w:t>Observationslisten skal fastsætteovervågningsmatricerne og de mulige analysemetoder for hvert stof. Disse overvågningsmatricer og -metoder må ikke medføre uforholdsmæssigt store omkostninger for de kompetente myndigheder.</w:t>
      </w:r>
      <w:r w:rsidR="00E83478" w:rsidRPr="00393250">
        <w:rPr>
          <w:b/>
          <w:szCs w:val="24"/>
          <w:lang w:eastAsia="en-US"/>
        </w:rPr>
        <w:t xml:space="preserve"> [Ændring 126]</w:t>
      </w:r>
    </w:p>
    <w:p w14:paraId="2FDE80BB" w14:textId="77777777" w:rsidR="00946C35" w:rsidRPr="00393250" w:rsidRDefault="00946C35">
      <w:pPr>
        <w:widowControl/>
        <w:rPr>
          <w:b/>
          <w:i/>
          <w:szCs w:val="24"/>
          <w:lang w:eastAsia="en-US"/>
        </w:rPr>
      </w:pPr>
      <w:r w:rsidRPr="00393250">
        <w:rPr>
          <w:b/>
          <w:i/>
          <w:szCs w:val="24"/>
          <w:lang w:eastAsia="en-US"/>
        </w:rPr>
        <w:br w:type="page"/>
      </w:r>
    </w:p>
    <w:p w14:paraId="3E5FC803" w14:textId="33DF591F" w:rsidR="008A5B47" w:rsidRPr="00393250" w:rsidRDefault="008A5B47" w:rsidP="008A5B47">
      <w:pPr>
        <w:spacing w:before="120" w:after="120" w:line="360" w:lineRule="auto"/>
        <w:ind w:left="1416"/>
        <w:rPr>
          <w:b/>
          <w:szCs w:val="24"/>
          <w:lang w:eastAsia="en-US"/>
        </w:rPr>
      </w:pPr>
      <w:r w:rsidRPr="00393250">
        <w:rPr>
          <w:b/>
          <w:i/>
          <w:szCs w:val="24"/>
          <w:lang w:eastAsia="en-US"/>
        </w:rPr>
        <w:lastRenderedPageBreak/>
        <w:t>Der skal så hurtigt som muligt og senest [den første dag i den måned, der følger 18 måneder efter datoen for dette ændringsdirektivs ikrafttræden] fastlægges</w:t>
      </w:r>
      <w:r w:rsidRPr="00393250">
        <w:rPr>
          <w:strike/>
          <w:szCs w:val="24"/>
          <w:lang w:eastAsia="en-US"/>
        </w:rPr>
        <w:t>Så snart der er identificeret</w:t>
      </w:r>
      <w:r w:rsidRPr="00393250">
        <w:rPr>
          <w:szCs w:val="24"/>
          <w:lang w:eastAsia="en-US"/>
        </w:rPr>
        <w:t xml:space="preserve"> egnede overvågningsmetoder for mikroplast og udvalgte gener for antimikrobiel resistens</w:t>
      </w:r>
      <w:r w:rsidRPr="00393250">
        <w:rPr>
          <w:b/>
          <w:i/>
          <w:szCs w:val="24"/>
          <w:lang w:eastAsia="en-US"/>
        </w:rPr>
        <w:t>. Så snart disse overvågningsmetoder er fastlagt</w:t>
      </w:r>
      <w:r w:rsidRPr="00393250">
        <w:rPr>
          <w:szCs w:val="24"/>
          <w:lang w:eastAsia="en-US"/>
        </w:rPr>
        <w:t xml:space="preserve">, opføres </w:t>
      </w:r>
      <w:r w:rsidRPr="00393250">
        <w:rPr>
          <w:strike/>
          <w:szCs w:val="24"/>
          <w:lang w:eastAsia="en-US"/>
        </w:rPr>
        <w:t>disse stoffer</w:t>
      </w:r>
      <w:r w:rsidRPr="00393250">
        <w:rPr>
          <w:b/>
          <w:i/>
          <w:szCs w:val="24"/>
          <w:lang w:eastAsia="en-US"/>
        </w:rPr>
        <w:t>mikroplast og udvalgte gener for antimikrobiel resistens</w:t>
      </w:r>
      <w:r w:rsidRPr="00393250">
        <w:rPr>
          <w:szCs w:val="24"/>
          <w:lang w:eastAsia="en-US"/>
        </w:rPr>
        <w:t xml:space="preserve"> på observationslisten</w:t>
      </w:r>
      <w:r w:rsidRPr="00393250">
        <w:rPr>
          <w:b/>
          <w:i/>
          <w:szCs w:val="24"/>
          <w:lang w:eastAsia="en-US"/>
        </w:rPr>
        <w:t xml:space="preserve"> i overensstemmelse med stk</w:t>
      </w:r>
      <w:r w:rsidRPr="00393250">
        <w:rPr>
          <w:szCs w:val="24"/>
          <w:lang w:eastAsia="en-US"/>
        </w:rPr>
        <w:t>.</w:t>
      </w:r>
      <w:r w:rsidRPr="00393250">
        <w:rPr>
          <w:b/>
          <w:i/>
          <w:szCs w:val="24"/>
          <w:lang w:eastAsia="en-US"/>
        </w:rPr>
        <w:t xml:space="preserve"> 2. Kommissionen overvejer også, om det er nødvendigt at medtage sulfater, xanthater og ikkerelevante metabolitter af pesticider på observationslisten for at forbedre tilgængeligheden af data om deres forekomst med hensyn til dette direktivs anvendelsesområde.</w:t>
      </w:r>
      <w:r w:rsidR="006903C4" w:rsidRPr="00393250">
        <w:rPr>
          <w:b/>
          <w:szCs w:val="24"/>
          <w:lang w:eastAsia="en-US"/>
        </w:rPr>
        <w:t xml:space="preserve"> [Ændring 127]</w:t>
      </w:r>
    </w:p>
    <w:p w14:paraId="4F1DCC29" w14:textId="5B63DC7D" w:rsidR="008A5B47" w:rsidRPr="00393250" w:rsidRDefault="008A5B47" w:rsidP="008A5B47">
      <w:pPr>
        <w:spacing w:before="120" w:after="120" w:line="360" w:lineRule="auto"/>
        <w:ind w:left="1416"/>
        <w:rPr>
          <w:b/>
          <w:szCs w:val="24"/>
          <w:lang w:eastAsia="en-US"/>
        </w:rPr>
      </w:pPr>
      <w:r w:rsidRPr="00393250">
        <w:rPr>
          <w:szCs w:val="24"/>
          <w:lang w:eastAsia="en-US"/>
        </w:rPr>
        <w:t xml:space="preserve">ECHA udarbejder videnskabelige rapporter for at bistå Kommissionen i udvælgelsen af stoffer </w:t>
      </w:r>
      <w:r w:rsidRPr="00393250">
        <w:rPr>
          <w:b/>
          <w:i/>
          <w:szCs w:val="24"/>
          <w:lang w:eastAsia="en-US"/>
        </w:rPr>
        <w:t xml:space="preserve">og forureningsindikatorer </w:t>
      </w:r>
      <w:r w:rsidRPr="00393250">
        <w:rPr>
          <w:szCs w:val="24"/>
          <w:lang w:eastAsia="en-US"/>
        </w:rPr>
        <w:t>til observationslisten under hensyntagen til følgende oplysninger:</w:t>
      </w:r>
      <w:r w:rsidR="006903C4" w:rsidRPr="00393250">
        <w:rPr>
          <w:b/>
          <w:szCs w:val="24"/>
          <w:lang w:eastAsia="en-US"/>
        </w:rPr>
        <w:t xml:space="preserve"> [Ændring 128]</w:t>
      </w:r>
    </w:p>
    <w:p w14:paraId="452E19FC" w14:textId="405E3A43" w:rsidR="008A5B47" w:rsidRPr="00393250" w:rsidRDefault="008A5B47" w:rsidP="008A5B47">
      <w:pPr>
        <w:spacing w:before="120" w:after="120" w:line="360" w:lineRule="auto"/>
        <w:ind w:left="1982" w:hanging="566"/>
        <w:rPr>
          <w:szCs w:val="24"/>
          <w:lang w:eastAsia="en-US"/>
        </w:rPr>
      </w:pPr>
      <w:r w:rsidRPr="00393250">
        <w:rPr>
          <w:szCs w:val="24"/>
          <w:lang w:eastAsia="en-US"/>
        </w:rPr>
        <w:t>a)</w:t>
      </w:r>
      <w:r w:rsidRPr="00393250">
        <w:rPr>
          <w:szCs w:val="24"/>
          <w:lang w:eastAsia="en-US"/>
        </w:rPr>
        <w:tab/>
        <w:t>resultaterne af den seneste revision af bilag I til dette direktiv</w:t>
      </w:r>
    </w:p>
    <w:p w14:paraId="14A7B144" w14:textId="79EDE877" w:rsidR="008A5B47" w:rsidRPr="00393250" w:rsidRDefault="008A5B47" w:rsidP="008A5B47">
      <w:pPr>
        <w:spacing w:before="120" w:after="120" w:line="360" w:lineRule="auto"/>
        <w:ind w:left="1982" w:hanging="566"/>
        <w:rPr>
          <w:szCs w:val="24"/>
          <w:lang w:eastAsia="en-US"/>
        </w:rPr>
      </w:pPr>
      <w:r w:rsidRPr="00393250">
        <w:rPr>
          <w:szCs w:val="24"/>
          <w:lang w:eastAsia="en-US"/>
        </w:rPr>
        <w:t>b)</w:t>
      </w:r>
      <w:r w:rsidRPr="00393250">
        <w:rPr>
          <w:szCs w:val="24"/>
          <w:lang w:eastAsia="en-US"/>
        </w:rPr>
        <w:tab/>
        <w:t>henstillinger fra de interessenter, der er omhandlet i artikel 8 i direktiv 2008/105/EF</w:t>
      </w:r>
    </w:p>
    <w:p w14:paraId="552F1B72" w14:textId="77777777" w:rsidR="006903C4" w:rsidRPr="00393250" w:rsidRDefault="006903C4">
      <w:pPr>
        <w:widowControl/>
        <w:rPr>
          <w:szCs w:val="24"/>
          <w:lang w:eastAsia="en-US"/>
        </w:rPr>
      </w:pPr>
      <w:r w:rsidRPr="00393250">
        <w:rPr>
          <w:szCs w:val="24"/>
          <w:lang w:eastAsia="en-US"/>
        </w:rPr>
        <w:br w:type="page"/>
      </w:r>
    </w:p>
    <w:p w14:paraId="00483395" w14:textId="36FC0C0D" w:rsidR="008A5B47" w:rsidRPr="00393250" w:rsidRDefault="008A5B47" w:rsidP="008A5B47">
      <w:pPr>
        <w:spacing w:before="120" w:after="120" w:line="360" w:lineRule="auto"/>
        <w:ind w:left="1982" w:hanging="566"/>
        <w:rPr>
          <w:szCs w:val="24"/>
          <w:lang w:eastAsia="en-US"/>
        </w:rPr>
      </w:pPr>
      <w:r w:rsidRPr="00393250">
        <w:rPr>
          <w:szCs w:val="24"/>
          <w:lang w:eastAsia="en-US"/>
        </w:rPr>
        <w:lastRenderedPageBreak/>
        <w:t>c)</w:t>
      </w:r>
      <w:r w:rsidRPr="00393250">
        <w:rPr>
          <w:szCs w:val="24"/>
          <w:lang w:eastAsia="en-US"/>
        </w:rPr>
        <w:tab/>
        <w:t>medlemsstaternes karakterisering af vandområdedistrikter i overensstemmelse med artikel 5 i direktiv 2000/60/EF og resultaterne af overvågningsprogrammer, der er udarbejdet i henhold til artikel 8 i nævnte direktiv</w:t>
      </w:r>
    </w:p>
    <w:p w14:paraId="6CEF7F3E" w14:textId="7E671B12" w:rsidR="008A5B47" w:rsidRPr="00393250" w:rsidRDefault="008A5B47" w:rsidP="008A5B47">
      <w:pPr>
        <w:spacing w:before="120" w:after="120" w:line="360" w:lineRule="auto"/>
        <w:ind w:left="1982" w:hanging="566"/>
        <w:rPr>
          <w:szCs w:val="24"/>
          <w:lang w:eastAsia="en-US"/>
        </w:rPr>
      </w:pPr>
      <w:r w:rsidRPr="00393250">
        <w:rPr>
          <w:szCs w:val="24"/>
          <w:lang w:eastAsia="en-US"/>
        </w:rPr>
        <w:t>d)</w:t>
      </w:r>
      <w:r w:rsidRPr="00393250">
        <w:rPr>
          <w:szCs w:val="24"/>
          <w:lang w:eastAsia="en-US"/>
        </w:rPr>
        <w:tab/>
        <w:t>oplysninger om produktionsmængder, anvendelsesmønstre, iboende egenskaber (herunder, hvis det er relevant, partikelstørrelse), koncentrationer i miljøet og skadelige virkninger for menneskers sundhed og vandmiljøet af et stof, herunder oplysninger indsamlet i overensstemmelse med forordning (EF) nr. 1907/2006, forordning (EF) nr. 1107/2009, forordning (EU) nr. 528/2012, forordning (EU) 2019/6, direktiv 2001/83/EF og direktiv 2009/128/EF</w:t>
      </w:r>
    </w:p>
    <w:p w14:paraId="3AF15C7F" w14:textId="54868543" w:rsidR="008A5B47" w:rsidRPr="00393250" w:rsidRDefault="008A5B47" w:rsidP="008A5B47">
      <w:pPr>
        <w:spacing w:before="120" w:after="120" w:line="360" w:lineRule="auto"/>
        <w:ind w:left="1982" w:hanging="566"/>
        <w:rPr>
          <w:b/>
          <w:szCs w:val="24"/>
          <w:lang w:eastAsia="en-US"/>
        </w:rPr>
      </w:pPr>
      <w:r w:rsidRPr="00393250">
        <w:rPr>
          <w:szCs w:val="24"/>
          <w:lang w:eastAsia="en-US"/>
        </w:rPr>
        <w:t>e)</w:t>
      </w:r>
      <w:r w:rsidRPr="00393250">
        <w:rPr>
          <w:szCs w:val="24"/>
          <w:lang w:eastAsia="en-US"/>
        </w:rPr>
        <w:tab/>
        <w:t>forskningsprojekter og videnskabelige publikationer</w:t>
      </w:r>
      <w:r w:rsidRPr="00393250">
        <w:rPr>
          <w:b/>
          <w:i/>
          <w:szCs w:val="24"/>
          <w:lang w:eastAsia="en-US"/>
        </w:rPr>
        <w:t xml:space="preserve"> og videnskabelig dokumentation</w:t>
      </w:r>
      <w:r w:rsidRPr="00393250">
        <w:rPr>
          <w:szCs w:val="24"/>
          <w:lang w:eastAsia="en-US"/>
        </w:rPr>
        <w:t xml:space="preserve">, herunder oplysninger om tendenser og prognoser baseret på modeller eller andre prognostiske vurderinger samt </w:t>
      </w:r>
      <w:r w:rsidRPr="00393250">
        <w:rPr>
          <w:strike/>
          <w:szCs w:val="24"/>
          <w:lang w:eastAsia="en-US"/>
        </w:rPr>
        <w:t xml:space="preserve">data og </w:t>
      </w:r>
      <w:r w:rsidRPr="00393250">
        <w:rPr>
          <w:szCs w:val="24"/>
          <w:lang w:eastAsia="en-US"/>
        </w:rPr>
        <w:t xml:space="preserve">oplysninger </w:t>
      </w:r>
      <w:r w:rsidRPr="00393250">
        <w:rPr>
          <w:strike/>
          <w:szCs w:val="24"/>
          <w:lang w:eastAsia="en-US"/>
        </w:rPr>
        <w:t>fra</w:t>
      </w:r>
      <w:r w:rsidRPr="00393250">
        <w:rPr>
          <w:b/>
          <w:i/>
          <w:szCs w:val="24"/>
          <w:lang w:eastAsia="en-US"/>
        </w:rPr>
        <w:t>og data indsamlet af</w:t>
      </w:r>
      <w:r w:rsidRPr="00393250">
        <w:rPr>
          <w:szCs w:val="24"/>
          <w:lang w:eastAsia="en-US"/>
        </w:rPr>
        <w:t xml:space="preserve"> telemålingsteknologier, jordobservation (Copernicustjenester), in situ-sensorer og -udstyr eller borgervidenskabelige data, der udnytter de muligheder, der ligger i kunstig intelligens og avanceret dataanalyse og -behandling.</w:t>
      </w:r>
      <w:r w:rsidR="006903C4" w:rsidRPr="00393250">
        <w:rPr>
          <w:b/>
          <w:szCs w:val="24"/>
          <w:lang w:eastAsia="en-US"/>
        </w:rPr>
        <w:t xml:space="preserve"> [Ændring 129]</w:t>
      </w:r>
    </w:p>
    <w:p w14:paraId="3F95E0F4" w14:textId="77777777" w:rsidR="006903C4" w:rsidRPr="00393250" w:rsidRDefault="006903C4">
      <w:pPr>
        <w:widowControl/>
        <w:rPr>
          <w:szCs w:val="24"/>
          <w:lang w:eastAsia="en-US"/>
        </w:rPr>
      </w:pPr>
      <w:r w:rsidRPr="00393250">
        <w:rPr>
          <w:szCs w:val="24"/>
          <w:lang w:eastAsia="en-US"/>
        </w:rPr>
        <w:br w:type="page"/>
      </w:r>
    </w:p>
    <w:p w14:paraId="58763672" w14:textId="42EEE1A8" w:rsidR="008A5B47" w:rsidRPr="00393250" w:rsidRDefault="008A5B47" w:rsidP="008A5B47">
      <w:pPr>
        <w:spacing w:before="120" w:after="120" w:line="360" w:lineRule="auto"/>
        <w:ind w:left="1416"/>
        <w:rPr>
          <w:szCs w:val="24"/>
          <w:lang w:eastAsia="en-US"/>
        </w:rPr>
      </w:pPr>
      <w:r w:rsidRPr="00393250">
        <w:rPr>
          <w:szCs w:val="24"/>
          <w:lang w:eastAsia="en-US"/>
        </w:rPr>
        <w:lastRenderedPageBreak/>
        <w:t>ECHA udarbejder hvert tredje år en rapport, der sammenfatter resultaterne af de videnskabelige rapporter, der er udarbejdet i henhold til fjerde afsnit, og offentliggør rapporten. ECHA's første rapport stilles til rådighed senest den … [</w:t>
      </w:r>
      <w:r w:rsidR="00922E52" w:rsidRPr="00393250">
        <w:rPr>
          <w:szCs w:val="24"/>
          <w:lang w:eastAsia="en-US"/>
        </w:rPr>
        <w:t>Publikationskontoret: Indsæt venligst datoen = den første dag i den enogtyvende måned efter datoen for dette direktivs ikrafttræden</w:t>
      </w:r>
      <w:r w:rsidRPr="00393250">
        <w:rPr>
          <w:szCs w:val="24"/>
          <w:lang w:eastAsia="en-US"/>
        </w:rPr>
        <w:t>].</w:t>
      </w:r>
    </w:p>
    <w:p w14:paraId="53C251B7" w14:textId="77777777" w:rsidR="008806C9" w:rsidRPr="00393250" w:rsidRDefault="008A5B47" w:rsidP="008806C9">
      <w:pPr>
        <w:spacing w:before="120" w:after="120" w:line="360" w:lineRule="auto"/>
        <w:ind w:left="1416" w:hanging="566"/>
      </w:pPr>
      <w:r w:rsidRPr="00393250">
        <w:rPr>
          <w:szCs w:val="24"/>
          <w:lang w:eastAsia="en-US"/>
        </w:rPr>
        <w:t>2.</w:t>
      </w:r>
      <w:r w:rsidRPr="00393250">
        <w:rPr>
          <w:szCs w:val="24"/>
          <w:lang w:eastAsia="en-US"/>
        </w:rPr>
        <w:tab/>
      </w:r>
      <w:r w:rsidR="008806C9" w:rsidRPr="00393250">
        <w:t xml:space="preserve">Observationslisten ajourføres senest den X </w:t>
      </w:r>
      <w:r w:rsidR="008806C9" w:rsidRPr="00393250">
        <w:rPr>
          <w:strike/>
        </w:rPr>
        <w:t>[OP please insert date = the last day of the twentythird month after the date of entry into force of this Directive]</w:t>
      </w:r>
      <w:r w:rsidR="008806C9" w:rsidRPr="00393250">
        <w:t xml:space="preserve"> </w:t>
      </w:r>
      <w:r w:rsidR="008806C9" w:rsidRPr="00393250">
        <w:rPr>
          <w:b/>
          <w:i/>
        </w:rPr>
        <w:t>[Publikationskontoret, indsæt venligst datoen</w:t>
      </w:r>
      <w:r w:rsidR="008806C9" w:rsidRPr="00393250">
        <w:t xml:space="preserve"> = </w:t>
      </w:r>
      <w:r w:rsidR="008806C9" w:rsidRPr="00393250">
        <w:rPr>
          <w:b/>
          <w:i/>
        </w:rPr>
        <w:t xml:space="preserve">den sidste dag i den treogtyvende måned efter datoen for dette direktivs ikrafttræden] </w:t>
      </w:r>
      <w:r w:rsidR="008806C9" w:rsidRPr="00393250">
        <w:t xml:space="preserve">og derefter </w:t>
      </w:r>
      <w:r w:rsidR="008806C9" w:rsidRPr="00393250">
        <w:rPr>
          <w:b/>
          <w:i/>
        </w:rPr>
        <w:t>senest</w:t>
      </w:r>
      <w:r w:rsidR="008806C9" w:rsidRPr="00393250">
        <w:t xml:space="preserve"> hver 36. måned </w:t>
      </w:r>
      <w:r w:rsidR="008806C9" w:rsidRPr="00393250">
        <w:rPr>
          <w:b/>
          <w:i/>
        </w:rPr>
        <w:t>eller hyppigere, hvis der fremkommer ny videnskabelig dokumentation, som nødvendiggør, at listen ajourføres i perioden mellem de individuelle revisioner</w:t>
      </w:r>
      <w:r w:rsidR="008806C9" w:rsidRPr="00393250">
        <w:t xml:space="preserve">. </w:t>
      </w:r>
    </w:p>
    <w:p w14:paraId="775A03FD" w14:textId="77777777" w:rsidR="008806C9" w:rsidRPr="00393250" w:rsidRDefault="008806C9" w:rsidP="008806C9">
      <w:pPr>
        <w:spacing w:before="120" w:after="120" w:line="360" w:lineRule="auto"/>
        <w:ind w:left="1416" w:firstLine="2"/>
        <w:rPr>
          <w:b/>
          <w:i/>
        </w:rPr>
      </w:pPr>
      <w:r w:rsidRPr="00393250">
        <w:rPr>
          <w:b/>
          <w:i/>
        </w:rPr>
        <w:t>Medlemsstaterne evaluerer hvert andet år indvirkningen på vandkvaliteten af industrielle aktiviteter i forbindelse med energiomstillingen og underretter Kommissionen om nyligt identificerede trusler, så den kan ajourføre observationslisten i overensstemmelse hermed. Evalueringen skal være let tilgængelig for offentligheden.</w:t>
      </w:r>
    </w:p>
    <w:p w14:paraId="4B5E176F" w14:textId="77777777" w:rsidR="008806C9" w:rsidRPr="00393250" w:rsidRDefault="008806C9">
      <w:pPr>
        <w:widowControl/>
      </w:pPr>
      <w:r w:rsidRPr="00393250">
        <w:br w:type="page"/>
      </w:r>
    </w:p>
    <w:p w14:paraId="6EDBB1D0" w14:textId="11D989CF" w:rsidR="008A5B47" w:rsidRPr="00393250" w:rsidRDefault="008806C9" w:rsidP="008806C9">
      <w:pPr>
        <w:spacing w:before="120" w:after="120" w:line="360" w:lineRule="auto"/>
        <w:ind w:left="1416" w:firstLine="2"/>
        <w:rPr>
          <w:b/>
          <w:szCs w:val="24"/>
          <w:lang w:eastAsia="en-US"/>
        </w:rPr>
      </w:pPr>
      <w:r w:rsidRPr="00393250">
        <w:lastRenderedPageBreak/>
        <w:t>Når Kommissionen ajourfører observationslisten, fjerner den ethvert stof fra den eksisterende observationsliste, for hvilket den anser det for muligt at vurdere risikoen for vandmiljøet uden yderligere overvågningsdata. Når observationslisten ajourføres, kan et individuelt stof eller en gruppe af stoffer forblive på observationslisten i endnu en periode på højst tre år, hvis der er behov for yderligere overvågningsdata for at vurdere risikoen for vandmiljøet. Den ajourførte observationsliste skal også indeholde et eller flere nye stoffer, som efter Kommissionens vurdering under hensyntagen til ECHA's videnskabelige rapporter udgør en risiko for vandmiljøet.</w:t>
      </w:r>
      <w:r w:rsidRPr="00393250">
        <w:rPr>
          <w:b/>
        </w:rPr>
        <w:t xml:space="preserve"> [Ændring 130]</w:t>
      </w:r>
    </w:p>
    <w:p w14:paraId="7D416415"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3.</w:t>
      </w:r>
      <w:r w:rsidRPr="00393250">
        <w:rPr>
          <w:szCs w:val="24"/>
          <w:lang w:eastAsia="en-US"/>
        </w:rPr>
        <w:tab/>
        <w:t>Medlemsstaterne overvåger hvert stof eller hver gruppe af stoffer på observationslisten ved udvalgte repræsentative overvågningsstationer over en periode på 24 måneder. Overvågningsperioden begynder senest seks måneder efter optagelsen af stoffet på observationslisten.</w:t>
      </w:r>
    </w:p>
    <w:p w14:paraId="50A96CA5" w14:textId="77777777" w:rsidR="008A5B47" w:rsidRPr="00393250" w:rsidRDefault="008A5B47" w:rsidP="008A5B47">
      <w:pPr>
        <w:spacing w:before="120" w:after="120" w:line="360" w:lineRule="auto"/>
        <w:ind w:left="1416"/>
        <w:rPr>
          <w:szCs w:val="24"/>
          <w:lang w:eastAsia="en-US"/>
        </w:rPr>
      </w:pPr>
      <w:r w:rsidRPr="00393250">
        <w:rPr>
          <w:szCs w:val="24"/>
          <w:lang w:eastAsia="en-US"/>
        </w:rPr>
        <w:t>Hver medlemsstat udvælger mindst en overvågningsstation, plus en station, hvis medlemsstaten har mere end en million indbyggere, plus antallet af stationer svarende til dens geografiske areal i km2 divideret med 60 000 (afrundet til nærmeste hele tal), plus antallet af stationer svarende til dens befolkningstal divideret med fem millioner (afrundet til nærmeste hele tal).</w:t>
      </w:r>
    </w:p>
    <w:p w14:paraId="468E41ED" w14:textId="77777777" w:rsidR="00A2299C" w:rsidRPr="00393250" w:rsidRDefault="00A2299C">
      <w:pPr>
        <w:widowControl/>
        <w:rPr>
          <w:szCs w:val="24"/>
          <w:lang w:eastAsia="en-US"/>
        </w:rPr>
      </w:pPr>
      <w:r w:rsidRPr="00393250">
        <w:rPr>
          <w:szCs w:val="24"/>
          <w:lang w:eastAsia="en-US"/>
        </w:rPr>
        <w:br w:type="page"/>
      </w:r>
    </w:p>
    <w:p w14:paraId="0EB9C8E4" w14:textId="74B85A6D" w:rsidR="008A5B47" w:rsidRPr="00393250" w:rsidRDefault="008A5B47" w:rsidP="008A5B47">
      <w:pPr>
        <w:spacing w:before="120" w:after="120" w:line="360" w:lineRule="auto"/>
        <w:ind w:left="1416"/>
        <w:rPr>
          <w:b/>
          <w:szCs w:val="24"/>
          <w:lang w:eastAsia="en-US"/>
        </w:rPr>
      </w:pPr>
      <w:r w:rsidRPr="00393250">
        <w:rPr>
          <w:szCs w:val="24"/>
          <w:lang w:eastAsia="en-US"/>
        </w:rPr>
        <w:lastRenderedPageBreak/>
        <w:t>Ved udvælgelsen af repræsentative overvågningsstationer, overvågningshyppigheden og sæsontidspunktet for hvert stof eller hver gruppe af stoffer tager medlemsstaterne hensyn til anvendelsesmønstrene og den mulige forekomst af stoffet eller gruppen af stoffer. Overvågningshyppigheden skal være mindst to gange om året</w:t>
      </w:r>
      <w:r w:rsidRPr="00393250">
        <w:rPr>
          <w:strike/>
          <w:szCs w:val="24"/>
          <w:lang w:eastAsia="en-US"/>
        </w:rPr>
        <w:t>, undtagen for stoffer, der er følsomme over for klimatiske eller sæsonbetingede variationer, for hvilke overvågningen skal udføres hyppigere,</w:t>
      </w:r>
      <w:r w:rsidRPr="00393250">
        <w:rPr>
          <w:b/>
          <w:i/>
          <w:szCs w:val="24"/>
          <w:lang w:eastAsia="en-US"/>
        </w:rPr>
        <w:t>. Hyppigheden skal øges</w:t>
      </w:r>
      <w:r w:rsidRPr="00393250">
        <w:rPr>
          <w:szCs w:val="24"/>
          <w:lang w:eastAsia="en-US"/>
        </w:rPr>
        <w:t xml:space="preserve"> som fastsat i den gennemførelsesretsakt om oprettelse af observationslisten, der er vedtaget i henhold til stk. 1</w:t>
      </w:r>
      <w:r w:rsidRPr="00393250">
        <w:rPr>
          <w:b/>
          <w:i/>
          <w:szCs w:val="24"/>
          <w:lang w:eastAsia="en-US"/>
        </w:rPr>
        <w:t>, for stoffer, som er følsomme over for klimatiske variationer, herunder nedbør, og for stoffer, hvis koncentration sandsynligvis vil toppe i korte perioder som følge af sæsonudsving i anvendelsen af disse stoffer</w:t>
      </w:r>
      <w:r w:rsidRPr="00393250">
        <w:rPr>
          <w:szCs w:val="24"/>
          <w:lang w:eastAsia="en-US"/>
        </w:rPr>
        <w:t>.</w:t>
      </w:r>
      <w:r w:rsidR="00A2299C" w:rsidRPr="00393250">
        <w:rPr>
          <w:b/>
          <w:szCs w:val="24"/>
          <w:lang w:eastAsia="en-US"/>
        </w:rPr>
        <w:t xml:space="preserve"> [Ændring 131]</w:t>
      </w:r>
    </w:p>
    <w:p w14:paraId="352EEECF" w14:textId="77777777" w:rsidR="00A2299C" w:rsidRPr="00393250" w:rsidRDefault="00A2299C">
      <w:pPr>
        <w:widowControl/>
        <w:rPr>
          <w:szCs w:val="24"/>
          <w:lang w:eastAsia="en-US"/>
        </w:rPr>
      </w:pPr>
      <w:r w:rsidRPr="00393250">
        <w:rPr>
          <w:szCs w:val="24"/>
          <w:lang w:eastAsia="en-US"/>
        </w:rPr>
        <w:br w:type="page"/>
      </w:r>
    </w:p>
    <w:p w14:paraId="085C893B" w14:textId="5F720B78" w:rsidR="008A5B47" w:rsidRPr="00393250" w:rsidRDefault="008A5B47" w:rsidP="008A5B47">
      <w:pPr>
        <w:spacing w:before="120" w:after="120" w:line="360" w:lineRule="auto"/>
        <w:ind w:left="1416"/>
        <w:rPr>
          <w:szCs w:val="24"/>
          <w:lang w:eastAsia="en-US"/>
        </w:rPr>
      </w:pPr>
      <w:r w:rsidRPr="00393250">
        <w:rPr>
          <w:szCs w:val="24"/>
          <w:lang w:eastAsia="en-US"/>
        </w:rPr>
        <w:lastRenderedPageBreak/>
        <w:t>Hvis en medlemsstat er i stand til at generere og forelægge Kommissionen tilstrækkelige, sammenlignelige, repræsentative og nylige overvågningsdata for et bestemt stof eller en bestemt gruppe af stoffer fra eksisterende overvågningsprogrammer eller -undersøgelser, kan den beslutte ikke at foretage yderligere overvågning under observationslistemekanismen for det pågældende stof eller den pågældende gruppe af stoffer, forudsat at stoffet eller gruppen af stoffer er blevet overvåget ved hjælp af en metode, der er i overensstemmelse med overvågningsmatricerne og de analysemetoder, der er omhandlet i gennemførelsesretsakten om oprettelse af observationslisten, og direktiv 2009/90/EF*.</w:t>
      </w:r>
    </w:p>
    <w:p w14:paraId="61094AF6"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4.</w:t>
      </w:r>
      <w:r w:rsidRPr="00393250">
        <w:rPr>
          <w:szCs w:val="24"/>
          <w:lang w:eastAsia="en-US"/>
        </w:rPr>
        <w:tab/>
        <w:t>Medlemsstaterne stiller resultaterne af den overvågning, der er omhandlet i nærværende artikels stk. 3, til rådighed i overensstemmelse med artikel 8, stk. 4, i direktiv 2000/60/EF og gennemførelsesretsakten om oprettelse af observationslisten, der er vedtaget i henhold til stk. 1. De stiller også oplysninger til rådighed om overvågningsstationernes repræsentativitet og om overvågningsstrategien.</w:t>
      </w:r>
    </w:p>
    <w:p w14:paraId="5254836E" w14:textId="77777777" w:rsidR="00835794" w:rsidRPr="00393250" w:rsidRDefault="00835794">
      <w:pPr>
        <w:widowControl/>
        <w:rPr>
          <w:szCs w:val="24"/>
          <w:lang w:eastAsia="en-US"/>
        </w:rPr>
      </w:pPr>
      <w:r w:rsidRPr="00393250">
        <w:rPr>
          <w:szCs w:val="24"/>
          <w:lang w:eastAsia="en-US"/>
        </w:rPr>
        <w:br w:type="page"/>
      </w:r>
    </w:p>
    <w:p w14:paraId="3C8DB7DA" w14:textId="05420F60" w:rsidR="008A5B47" w:rsidRPr="00393250" w:rsidRDefault="008A5B47" w:rsidP="008A5B47">
      <w:pPr>
        <w:spacing w:before="120" w:after="120" w:line="360" w:lineRule="auto"/>
        <w:ind w:left="1416" w:hanging="566"/>
        <w:rPr>
          <w:szCs w:val="24"/>
          <w:lang w:eastAsia="en-US"/>
        </w:rPr>
      </w:pPr>
      <w:r w:rsidRPr="00393250">
        <w:rPr>
          <w:szCs w:val="24"/>
          <w:lang w:eastAsia="en-US"/>
        </w:rPr>
        <w:lastRenderedPageBreak/>
        <w:t>5.</w:t>
      </w:r>
      <w:r w:rsidRPr="00393250">
        <w:rPr>
          <w:szCs w:val="24"/>
          <w:lang w:eastAsia="en-US"/>
        </w:rPr>
        <w:tab/>
        <w:t>ECHA gennemgår overvågningsresultaterne ved udgangen af den periode på 24 måneder, der er omhandlet i stk. 3, og vurderer, hvilke stoffer eller stofgrupper der skal overvåges i endnu en periode på 24 måneder og derfor skal bibeholdes på observationslisten, og hvilke stoffer eller grupper af stoffer der kan fjernes fra observationslisten.</w:t>
      </w:r>
    </w:p>
    <w:p w14:paraId="23D30309" w14:textId="77777777" w:rsidR="008A5B47" w:rsidRPr="00393250" w:rsidRDefault="008A5B47" w:rsidP="008A5B47">
      <w:pPr>
        <w:spacing w:before="120" w:after="120" w:line="360" w:lineRule="auto"/>
        <w:ind w:left="1416"/>
        <w:rPr>
          <w:szCs w:val="24"/>
          <w:lang w:eastAsia="en-US"/>
        </w:rPr>
      </w:pPr>
      <w:r w:rsidRPr="00393250">
        <w:rPr>
          <w:szCs w:val="24"/>
          <w:lang w:eastAsia="en-US"/>
        </w:rPr>
        <w:t>Hvis Kommissionen under hensyntagen til ECHA's vurdering, jf. første afsnit, konkluderer, at der ikke er behov for yderligere overvågning for yderligere at vurdere risikoen for vandmiljøet, tages der hensyn til denne vurdering i forbindelse med revisionen af bilag I eller II, jf. artikel 8."</w:t>
      </w:r>
    </w:p>
    <w:p w14:paraId="712825C4" w14:textId="77777777" w:rsidR="008A5B47" w:rsidRPr="00393250" w:rsidRDefault="008A5B47" w:rsidP="008A5B47">
      <w:pPr>
        <w:spacing w:before="120" w:after="120" w:line="360" w:lineRule="auto"/>
        <w:ind w:left="1416"/>
        <w:rPr>
          <w:szCs w:val="24"/>
          <w:lang w:eastAsia="en-US"/>
        </w:rPr>
      </w:pPr>
      <w:r w:rsidRPr="00393250">
        <w:rPr>
          <w:szCs w:val="24"/>
          <w:lang w:eastAsia="en-US"/>
        </w:rPr>
        <w:t>* Kommissionens direktiv 2009/90/EF af 31. juli 2009 om tekniske specifikationer for kemisk analyse og kontrol af vandets tilstand som omhandlet i Europa-Parlamentets og Rådets direktiv 2000/60/EF (EUT L 201 af 1.8.2009, s. 36)."</w:t>
      </w:r>
    </w:p>
    <w:p w14:paraId="1807292E" w14:textId="77777777" w:rsidR="00835794" w:rsidRPr="00393250" w:rsidRDefault="00835794">
      <w:pPr>
        <w:widowControl/>
        <w:rPr>
          <w:b/>
          <w:i/>
          <w:szCs w:val="24"/>
          <w:lang w:eastAsia="en-US"/>
        </w:rPr>
      </w:pPr>
      <w:r w:rsidRPr="00393250">
        <w:rPr>
          <w:b/>
          <w:i/>
          <w:szCs w:val="24"/>
          <w:lang w:eastAsia="en-US"/>
        </w:rPr>
        <w:br w:type="page"/>
      </w:r>
    </w:p>
    <w:p w14:paraId="2C3DC491" w14:textId="65C37A56" w:rsidR="008A5B47" w:rsidRPr="00393250" w:rsidRDefault="00835794" w:rsidP="008A5B47">
      <w:pPr>
        <w:spacing w:before="120" w:after="120" w:line="360" w:lineRule="auto"/>
        <w:ind w:left="850" w:hanging="850"/>
        <w:rPr>
          <w:szCs w:val="24"/>
          <w:lang w:eastAsia="en-US"/>
        </w:rPr>
      </w:pPr>
      <w:r w:rsidRPr="00393250">
        <w:rPr>
          <w:b/>
          <w:i/>
          <w:szCs w:val="24"/>
          <w:lang w:eastAsia="en-US"/>
        </w:rPr>
        <w:lastRenderedPageBreak/>
        <w:t>(</w:t>
      </w:r>
      <w:r w:rsidR="008A5B47" w:rsidRPr="00393250">
        <w:rPr>
          <w:b/>
          <w:i/>
          <w:szCs w:val="24"/>
          <w:lang w:eastAsia="en-US"/>
        </w:rPr>
        <w:t>7a)</w:t>
      </w:r>
      <w:r w:rsidR="008A5B47" w:rsidRPr="00393250">
        <w:rPr>
          <w:szCs w:val="24"/>
          <w:lang w:eastAsia="en-US"/>
        </w:rPr>
        <w:tab/>
      </w:r>
      <w:r w:rsidR="008A5B47" w:rsidRPr="00393250">
        <w:rPr>
          <w:b/>
          <w:i/>
          <w:szCs w:val="24"/>
          <w:lang w:eastAsia="en-US"/>
        </w:rPr>
        <w:t>Følgende indsættes som artikel 8ba:</w:t>
      </w:r>
    </w:p>
    <w:p w14:paraId="58AACBF6" w14:textId="1E6BDADE" w:rsidR="008A5B47" w:rsidRPr="00393250" w:rsidRDefault="00835794" w:rsidP="008A5B47">
      <w:pPr>
        <w:spacing w:before="120" w:after="120" w:line="360" w:lineRule="auto"/>
        <w:ind w:left="850"/>
        <w:rPr>
          <w:szCs w:val="24"/>
          <w:lang w:eastAsia="en-US"/>
        </w:rPr>
      </w:pPr>
      <w:r w:rsidRPr="00393250">
        <w:rPr>
          <w:b/>
          <w:i/>
          <w:szCs w:val="24"/>
          <w:lang w:eastAsia="en-US"/>
        </w:rPr>
        <w:t>"</w:t>
      </w:r>
      <w:r w:rsidR="008A5B47" w:rsidRPr="00393250">
        <w:rPr>
          <w:b/>
          <w:i/>
          <w:szCs w:val="24"/>
          <w:lang w:eastAsia="en-US"/>
        </w:rPr>
        <w:t>Artikel 8ba</w:t>
      </w:r>
    </w:p>
    <w:p w14:paraId="2B5F7BAD" w14:textId="6010F996" w:rsidR="008A5B47" w:rsidRPr="00393250" w:rsidRDefault="008A5B47" w:rsidP="008A5B47">
      <w:pPr>
        <w:spacing w:before="120" w:after="120" w:line="360" w:lineRule="auto"/>
        <w:ind w:left="850"/>
        <w:rPr>
          <w:b/>
          <w:szCs w:val="24"/>
          <w:lang w:eastAsia="en-US"/>
        </w:rPr>
      </w:pPr>
      <w:r w:rsidRPr="00393250">
        <w:rPr>
          <w:b/>
          <w:i/>
          <w:szCs w:val="24"/>
          <w:lang w:eastAsia="en-US"/>
        </w:rPr>
        <w:t>Senest den ... [et år efter datoen for dette direktivs ikrafttræden] forelægger Kommissionen en konsekvensanalyse, hvori den undersøger medtagelsen i dette direktiv af en mekanisme for udvidet producentansvar, som sikrer, at producenter, der markedsfører produkter, som indeholder et eller flere af de stoffer eller forbindelser, der er opført i bilag I, og stoffer, der giver anledning til stigende bekymring, og som er opført på observationslisten i henhold til dette direktiv, bidrager til omkostningerne til de overvågningsprogrammer, som er udarbejdet i henhold til artikel 8 i direktiv 2000/60/EF. Konsekvensanalysen ledsages, hvis det er relevant, af et lovgivningsmæssigt forslag om ændring af dette direktiv."</w:t>
      </w:r>
      <w:r w:rsidR="00835794" w:rsidRPr="00393250">
        <w:rPr>
          <w:b/>
          <w:szCs w:val="24"/>
          <w:lang w:eastAsia="en-US"/>
        </w:rPr>
        <w:t xml:space="preserve"> [Ændring 132]</w:t>
      </w:r>
    </w:p>
    <w:p w14:paraId="57FC0A8B" w14:textId="77777777" w:rsidR="00D55B6E" w:rsidRPr="00393250" w:rsidRDefault="00D55B6E">
      <w:pPr>
        <w:widowControl/>
        <w:rPr>
          <w:b/>
          <w:i/>
          <w:szCs w:val="24"/>
          <w:lang w:eastAsia="en-US"/>
        </w:rPr>
      </w:pPr>
      <w:r w:rsidRPr="00393250">
        <w:rPr>
          <w:b/>
          <w:i/>
          <w:szCs w:val="24"/>
          <w:lang w:eastAsia="en-US"/>
        </w:rPr>
        <w:br w:type="page"/>
      </w:r>
    </w:p>
    <w:p w14:paraId="0918777D" w14:textId="7B2D53DA" w:rsidR="008A5B47" w:rsidRPr="00393250" w:rsidRDefault="00D55B6E" w:rsidP="008A5B47">
      <w:pPr>
        <w:spacing w:before="120" w:after="120" w:line="360" w:lineRule="auto"/>
        <w:ind w:left="850" w:hanging="850"/>
        <w:rPr>
          <w:szCs w:val="24"/>
          <w:lang w:eastAsia="en-US"/>
        </w:rPr>
      </w:pPr>
      <w:r w:rsidRPr="00393250">
        <w:rPr>
          <w:b/>
          <w:i/>
          <w:szCs w:val="24"/>
          <w:lang w:eastAsia="en-US"/>
        </w:rPr>
        <w:lastRenderedPageBreak/>
        <w:t>(</w:t>
      </w:r>
      <w:r w:rsidR="008A5B47" w:rsidRPr="00393250">
        <w:rPr>
          <w:b/>
          <w:i/>
          <w:szCs w:val="24"/>
          <w:lang w:eastAsia="en-US"/>
        </w:rPr>
        <w:t>7b)</w:t>
      </w:r>
      <w:r w:rsidR="008A5B47" w:rsidRPr="00393250">
        <w:rPr>
          <w:szCs w:val="24"/>
          <w:lang w:eastAsia="en-US"/>
        </w:rPr>
        <w:tab/>
      </w:r>
      <w:r w:rsidR="008A5B47" w:rsidRPr="00393250">
        <w:rPr>
          <w:b/>
          <w:i/>
          <w:szCs w:val="24"/>
          <w:lang w:eastAsia="en-US"/>
        </w:rPr>
        <w:t>Følgende artikel indsættes:</w:t>
      </w:r>
    </w:p>
    <w:p w14:paraId="0AACAF82" w14:textId="77777777" w:rsidR="008A5B47" w:rsidRPr="00393250" w:rsidRDefault="008A5B47" w:rsidP="008A5B47">
      <w:pPr>
        <w:spacing w:before="120" w:after="120" w:line="360" w:lineRule="auto"/>
        <w:ind w:left="850"/>
        <w:rPr>
          <w:szCs w:val="24"/>
          <w:lang w:eastAsia="en-US"/>
        </w:rPr>
      </w:pPr>
      <w:r w:rsidRPr="00393250">
        <w:rPr>
          <w:szCs w:val="24"/>
          <w:lang w:eastAsia="en-US"/>
        </w:rPr>
        <w:t>»</w:t>
      </w:r>
      <w:r w:rsidRPr="00393250">
        <w:rPr>
          <w:b/>
          <w:i/>
          <w:szCs w:val="24"/>
          <w:lang w:eastAsia="en-US"/>
        </w:rPr>
        <w:t>Artikel 8bb</w:t>
      </w:r>
      <w:r w:rsidRPr="00393250">
        <w:rPr>
          <w:szCs w:val="24"/>
          <w:lang w:eastAsia="en-US"/>
        </w:rPr>
        <w:br/>
      </w:r>
      <w:r w:rsidRPr="00393250">
        <w:rPr>
          <w:b/>
          <w:i/>
          <w:szCs w:val="24"/>
          <w:lang w:eastAsia="en-US"/>
        </w:rPr>
        <w:t>Europæisk overvågningsfacilitet</w:t>
      </w:r>
    </w:p>
    <w:p w14:paraId="1DD5D171" w14:textId="77777777" w:rsidR="008A5B47" w:rsidRPr="00393250" w:rsidRDefault="008A5B47" w:rsidP="008A5B47">
      <w:pPr>
        <w:spacing w:before="120" w:after="120" w:line="360" w:lineRule="auto"/>
        <w:ind w:left="850"/>
        <w:rPr>
          <w:szCs w:val="24"/>
          <w:lang w:eastAsia="en-US"/>
        </w:rPr>
      </w:pPr>
      <w:r w:rsidRPr="00393250">
        <w:rPr>
          <w:b/>
          <w:i/>
          <w:szCs w:val="24"/>
          <w:lang w:eastAsia="en-US"/>
        </w:rPr>
        <w:t>Kommissionen opretter senest den ... [et år efter datoen for dette direktivs ikrafttræden] en fælles overvågningsfacilitet til forvaltning af overvågningskravene, når medlemsstaterne anmoder herom.</w:t>
      </w:r>
    </w:p>
    <w:p w14:paraId="2ED08CE8" w14:textId="77777777" w:rsidR="008A5B47" w:rsidRPr="00393250" w:rsidRDefault="008A5B47" w:rsidP="008A5B47">
      <w:pPr>
        <w:spacing w:before="120" w:after="120" w:line="360" w:lineRule="auto"/>
        <w:ind w:left="850"/>
        <w:rPr>
          <w:szCs w:val="24"/>
          <w:lang w:eastAsia="en-US"/>
        </w:rPr>
      </w:pPr>
      <w:r w:rsidRPr="00393250">
        <w:rPr>
          <w:b/>
          <w:i/>
          <w:szCs w:val="24"/>
          <w:lang w:eastAsia="en-US"/>
        </w:rPr>
        <w:t>Kommissionen fastlægger, hvordan overvågningsfaciliteten skal fungere, hvilket bl.a. omfatter følgende:</w:t>
      </w:r>
    </w:p>
    <w:p w14:paraId="11BA643F" w14:textId="77777777" w:rsidR="008A5B47" w:rsidRPr="00393250" w:rsidRDefault="008A5B47" w:rsidP="008A5B47">
      <w:pPr>
        <w:spacing w:before="120" w:after="120" w:line="360" w:lineRule="auto"/>
        <w:ind w:left="1416" w:hanging="566"/>
        <w:rPr>
          <w:szCs w:val="24"/>
          <w:lang w:eastAsia="en-US"/>
        </w:rPr>
      </w:pPr>
      <w:r w:rsidRPr="00393250">
        <w:rPr>
          <w:b/>
          <w:i/>
          <w:szCs w:val="24"/>
          <w:lang w:eastAsia="en-US"/>
        </w:rPr>
        <w:t>a)</w:t>
      </w:r>
      <w:r w:rsidRPr="00393250">
        <w:rPr>
          <w:szCs w:val="24"/>
          <w:lang w:eastAsia="en-US"/>
        </w:rPr>
        <w:tab/>
      </w:r>
      <w:r w:rsidRPr="00393250">
        <w:rPr>
          <w:b/>
          <w:i/>
          <w:szCs w:val="24"/>
          <w:lang w:eastAsia="en-US"/>
        </w:rPr>
        <w:t>den frivillige karakter af anvendelsen af overvågningsfaciliteten, som ikke berører ordninger, som medlemsstaterne allerede har indført</w:t>
      </w:r>
    </w:p>
    <w:p w14:paraId="36A46EB3" w14:textId="77777777" w:rsidR="008A5B47" w:rsidRPr="00393250" w:rsidRDefault="008A5B47" w:rsidP="008A5B47">
      <w:pPr>
        <w:spacing w:before="120" w:after="120" w:line="360" w:lineRule="auto"/>
        <w:ind w:left="1416" w:hanging="566"/>
        <w:rPr>
          <w:szCs w:val="24"/>
          <w:lang w:eastAsia="en-US"/>
        </w:rPr>
      </w:pPr>
      <w:r w:rsidRPr="00393250">
        <w:rPr>
          <w:b/>
          <w:i/>
          <w:szCs w:val="24"/>
          <w:lang w:eastAsia="en-US"/>
        </w:rPr>
        <w:t>b)</w:t>
      </w:r>
      <w:r w:rsidRPr="00393250">
        <w:rPr>
          <w:szCs w:val="24"/>
          <w:lang w:eastAsia="en-US"/>
        </w:rPr>
        <w:tab/>
      </w:r>
      <w:r w:rsidRPr="00393250">
        <w:rPr>
          <w:b/>
          <w:i/>
          <w:szCs w:val="24"/>
          <w:lang w:eastAsia="en-US"/>
        </w:rPr>
        <w:t>de operationelle procedurer for medlemsstater, der har til hensigt at gøre brug af overvågningsfaciliteten, og de operationelle procedurer skal bl.a. omfatte den påkrævede meddelelse til Kommissionen, deres nøjagtige overvågningsbehov eller -kapacitet, de nøjagtige protokoller for forvaltning af prøver og den periode, de agter at forblive en del af mekanismen</w:t>
      </w:r>
    </w:p>
    <w:p w14:paraId="5DCF8F55" w14:textId="77777777" w:rsidR="00D55B6E" w:rsidRPr="00393250" w:rsidRDefault="00D55B6E">
      <w:pPr>
        <w:widowControl/>
        <w:rPr>
          <w:b/>
          <w:i/>
          <w:szCs w:val="24"/>
          <w:lang w:eastAsia="en-US"/>
        </w:rPr>
      </w:pPr>
      <w:r w:rsidRPr="00393250">
        <w:rPr>
          <w:b/>
          <w:i/>
          <w:szCs w:val="24"/>
          <w:lang w:eastAsia="en-US"/>
        </w:rPr>
        <w:br w:type="page"/>
      </w:r>
    </w:p>
    <w:p w14:paraId="5D378A23" w14:textId="70ADDB1B" w:rsidR="008A5B47" w:rsidRPr="00393250" w:rsidRDefault="008A5B47" w:rsidP="008A5B47">
      <w:pPr>
        <w:spacing w:before="120" w:after="120" w:line="360" w:lineRule="auto"/>
        <w:ind w:left="1416" w:hanging="566"/>
        <w:rPr>
          <w:b/>
          <w:szCs w:val="24"/>
          <w:lang w:eastAsia="en-US"/>
        </w:rPr>
      </w:pPr>
      <w:r w:rsidRPr="00393250">
        <w:rPr>
          <w:b/>
          <w:i/>
          <w:szCs w:val="24"/>
          <w:lang w:eastAsia="en-US"/>
        </w:rPr>
        <w:lastRenderedPageBreak/>
        <w:t>c)</w:t>
      </w:r>
      <w:r w:rsidRPr="00393250">
        <w:rPr>
          <w:szCs w:val="24"/>
          <w:lang w:eastAsia="en-US"/>
        </w:rPr>
        <w:tab/>
      </w:r>
      <w:r w:rsidRPr="00393250">
        <w:rPr>
          <w:b/>
          <w:i/>
          <w:szCs w:val="24"/>
          <w:lang w:eastAsia="en-US"/>
        </w:rPr>
        <w:t>finansieringskilderne, som kan omfatte relevante EU-strukturfonde og programmer, og bidrag fra den private sektor, herunder inden for rammerne af mekanismen for udvidet producentansvar, når den er indført i overensstemmelse med artikel 8ba."</w:t>
      </w:r>
      <w:r w:rsidR="00D55B6E" w:rsidRPr="00393250">
        <w:rPr>
          <w:b/>
          <w:szCs w:val="24"/>
          <w:lang w:eastAsia="en-US"/>
        </w:rPr>
        <w:t xml:space="preserve"> [Ændring 133]</w:t>
      </w:r>
    </w:p>
    <w:p w14:paraId="36BB5B00"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(8)</w:t>
      </w:r>
      <w:r w:rsidRPr="00393250">
        <w:rPr>
          <w:szCs w:val="24"/>
          <w:lang w:eastAsia="en-US"/>
        </w:rPr>
        <w:tab/>
        <w:t>Følgende indsættes som artikel 8d:</w:t>
      </w:r>
    </w:p>
    <w:p w14:paraId="4C9ED342" w14:textId="77777777" w:rsidR="008A5B47" w:rsidRPr="00393250" w:rsidRDefault="008A5B47" w:rsidP="008A5B47">
      <w:pPr>
        <w:spacing w:before="120" w:after="120" w:line="360" w:lineRule="auto"/>
        <w:ind w:left="850"/>
        <w:rPr>
          <w:szCs w:val="24"/>
          <w:lang w:eastAsia="en-US"/>
        </w:rPr>
      </w:pPr>
      <w:r w:rsidRPr="00393250">
        <w:rPr>
          <w:szCs w:val="24"/>
          <w:lang w:eastAsia="en-US"/>
        </w:rPr>
        <w:t>"Artikel 8d</w:t>
      </w:r>
    </w:p>
    <w:p w14:paraId="041B7707" w14:textId="77777777" w:rsidR="008A5B47" w:rsidRPr="00393250" w:rsidRDefault="008A5B47" w:rsidP="008A5B47">
      <w:pPr>
        <w:spacing w:before="120" w:after="120" w:line="360" w:lineRule="auto"/>
        <w:ind w:left="850"/>
        <w:rPr>
          <w:szCs w:val="24"/>
          <w:lang w:eastAsia="en-US"/>
        </w:rPr>
      </w:pPr>
      <w:r w:rsidRPr="00393250">
        <w:rPr>
          <w:szCs w:val="24"/>
          <w:lang w:eastAsia="en-US"/>
        </w:rPr>
        <w:t>Vandområdespecifikke forurenende stoffer</w:t>
      </w:r>
    </w:p>
    <w:p w14:paraId="2CB1F82C"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1.</w:t>
      </w:r>
      <w:r w:rsidRPr="00393250">
        <w:rPr>
          <w:szCs w:val="24"/>
          <w:lang w:eastAsia="en-US"/>
        </w:rPr>
        <w:tab/>
        <w:t>Medlemsstaterne fastsætter og anvender miljøkvalitetskrav for de vandområdespecifikke forurenende stoffer, der er omfattet af kategorierne i del A i bilag II til dette direktiv, hvis disse forurenende stoffer udgør en risiko for vandområder i et eller flere af deres vandområdedistrikter på grundlag af de analyser og revisioner, der er omhandlet i artikel 5 i direktiv 2000/60/EU, i overensstemmelse med proceduren i del B i bilag II til dette direktiv.</w:t>
      </w:r>
    </w:p>
    <w:p w14:paraId="428A8567" w14:textId="2A55913F" w:rsidR="008A5B47" w:rsidRPr="00393250" w:rsidRDefault="008A5B47" w:rsidP="008A5B47">
      <w:pPr>
        <w:spacing w:before="120" w:after="120" w:line="360" w:lineRule="auto"/>
        <w:ind w:left="1416"/>
        <w:rPr>
          <w:szCs w:val="24"/>
          <w:lang w:eastAsia="en-US"/>
        </w:rPr>
      </w:pPr>
      <w:r w:rsidRPr="00393250">
        <w:rPr>
          <w:szCs w:val="24"/>
          <w:lang w:eastAsia="en-US"/>
        </w:rPr>
        <w:t>Medlemsstaterne underretter senest den [</w:t>
      </w:r>
      <w:r w:rsidR="005563FC" w:rsidRPr="00393250">
        <w:rPr>
          <w:szCs w:val="24"/>
          <w:lang w:eastAsia="en-US"/>
        </w:rPr>
        <w:t>Publikationskontoret: Indsæt venligst datoen = den første dag i den måned, der følger 18 måneder efter datoen for dette direktivs ikrafttræden</w:t>
      </w:r>
      <w:r w:rsidRPr="00393250">
        <w:rPr>
          <w:szCs w:val="24"/>
          <w:lang w:eastAsia="en-US"/>
        </w:rPr>
        <w:t>] ECHA om de miljøkvalitetskrav, der er omhandlet i første afsnit. ECHA offentliggør disse oplysninger.</w:t>
      </w:r>
    </w:p>
    <w:p w14:paraId="14551487" w14:textId="77777777" w:rsidR="00A6038C" w:rsidRPr="00393250" w:rsidRDefault="00A6038C">
      <w:pPr>
        <w:widowControl/>
        <w:rPr>
          <w:szCs w:val="24"/>
          <w:lang w:eastAsia="en-US"/>
        </w:rPr>
      </w:pPr>
      <w:r w:rsidRPr="00393250">
        <w:rPr>
          <w:szCs w:val="24"/>
          <w:lang w:eastAsia="en-US"/>
        </w:rPr>
        <w:br w:type="page"/>
      </w:r>
    </w:p>
    <w:p w14:paraId="572C9CF4" w14:textId="44A54BAD" w:rsidR="008A5B47" w:rsidRPr="00393250" w:rsidRDefault="008A5B47" w:rsidP="008A5B47">
      <w:pPr>
        <w:spacing w:before="120" w:after="120" w:line="360" w:lineRule="auto"/>
        <w:ind w:left="1416" w:hanging="566"/>
        <w:rPr>
          <w:szCs w:val="24"/>
          <w:lang w:eastAsia="en-US"/>
        </w:rPr>
      </w:pPr>
      <w:r w:rsidRPr="00393250">
        <w:rPr>
          <w:szCs w:val="24"/>
          <w:lang w:eastAsia="en-US"/>
        </w:rPr>
        <w:lastRenderedPageBreak/>
        <w:t>2.</w:t>
      </w:r>
      <w:r w:rsidRPr="00393250">
        <w:rPr>
          <w:szCs w:val="24"/>
          <w:lang w:eastAsia="en-US"/>
        </w:rPr>
        <w:tab/>
        <w:t>Hvis miljøkvalitetskravene for vandområdespecifikke forurenende stoffer er blevet fastsat på EU-plan og anført i bilag II, del C, i overensstemmelse med artikel 8, har disse miljøkvalitetskrav forrang for miljøkvalitetskrav for vandområdespecifikke forurenende stoffer, der er fastsat på nationalt plan i overensstemmelse med stk. 1. De miljøkvalitetskrav, der er fastsat på EU-plan, anvendes også af medlemsstaterne til at fastslå, om de vandområdespecifikke forurenende stoffer, der er opført i bilag II, del C, udgør en risiko.</w:t>
      </w:r>
    </w:p>
    <w:p w14:paraId="658E22FE"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3.</w:t>
      </w:r>
      <w:r w:rsidRPr="00393250">
        <w:rPr>
          <w:szCs w:val="24"/>
          <w:lang w:eastAsia="en-US"/>
        </w:rPr>
        <w:tab/>
        <w:t>De gældende nationale miljøkvalitetskrav eller miljøkvalitetskrav fastsat på EU-plan, hvor det er relevant, skal overholdes, for at et vandområde kan være i god kemisk tilstand, jf. definitionen i artikel 2, stk. 24, i direktiv 2000/60/EF.</w:t>
      </w:r>
    </w:p>
    <w:p w14:paraId="18E148C3" w14:textId="2CF7386B" w:rsidR="008A5B47" w:rsidRPr="00393250" w:rsidRDefault="008A5B47" w:rsidP="008A5B47">
      <w:pPr>
        <w:spacing w:before="120" w:after="120" w:line="360" w:lineRule="auto"/>
        <w:ind w:left="1416" w:hanging="566"/>
        <w:rPr>
          <w:b/>
          <w:szCs w:val="24"/>
          <w:lang w:eastAsia="en-US"/>
        </w:rPr>
      </w:pPr>
      <w:r w:rsidRPr="00393250">
        <w:rPr>
          <w:b/>
          <w:i/>
          <w:szCs w:val="24"/>
          <w:lang w:eastAsia="en-US"/>
        </w:rPr>
        <w:t>3a.</w:t>
      </w:r>
      <w:r w:rsidRPr="00393250">
        <w:rPr>
          <w:szCs w:val="24"/>
          <w:lang w:eastAsia="en-US"/>
        </w:rPr>
        <w:tab/>
      </w:r>
      <w:r w:rsidRPr="00393250">
        <w:rPr>
          <w:b/>
          <w:i/>
          <w:szCs w:val="24"/>
          <w:lang w:eastAsia="en-US"/>
        </w:rPr>
        <w:t>Medlemsstaterne kan i forbindelse med fastsættelse og anvendelse af miljøkvalitetskrav for vandområdespecifikke forurenende stoffer tage hensyn til metallers biotilgængelighed.</w:t>
      </w:r>
      <w:r w:rsidRPr="00393250">
        <w:rPr>
          <w:szCs w:val="24"/>
          <w:lang w:eastAsia="en-US"/>
        </w:rPr>
        <w:t>"</w:t>
      </w:r>
      <w:r w:rsidR="00A6038C" w:rsidRPr="00393250">
        <w:rPr>
          <w:b/>
          <w:szCs w:val="24"/>
          <w:lang w:eastAsia="en-US"/>
        </w:rPr>
        <w:t xml:space="preserve"> [Ændring 134]</w:t>
      </w:r>
    </w:p>
    <w:p w14:paraId="57CAB39E" w14:textId="77777777" w:rsidR="00A6038C" w:rsidRPr="00393250" w:rsidRDefault="00A6038C">
      <w:pPr>
        <w:widowControl/>
        <w:rPr>
          <w:b/>
          <w:i/>
          <w:szCs w:val="24"/>
          <w:lang w:eastAsia="en-US"/>
        </w:rPr>
      </w:pPr>
      <w:r w:rsidRPr="00393250">
        <w:rPr>
          <w:b/>
          <w:i/>
          <w:szCs w:val="24"/>
          <w:lang w:eastAsia="en-US"/>
        </w:rPr>
        <w:br w:type="page"/>
      </w:r>
    </w:p>
    <w:p w14:paraId="15B11631" w14:textId="16599416" w:rsidR="008A5B47" w:rsidRPr="00393250" w:rsidRDefault="00A6038C" w:rsidP="008A5B47">
      <w:pPr>
        <w:spacing w:before="120" w:after="120" w:line="360" w:lineRule="auto"/>
        <w:ind w:left="850" w:hanging="850"/>
        <w:rPr>
          <w:szCs w:val="24"/>
          <w:lang w:eastAsia="en-US"/>
        </w:rPr>
      </w:pPr>
      <w:r w:rsidRPr="00393250">
        <w:rPr>
          <w:b/>
          <w:i/>
          <w:szCs w:val="24"/>
          <w:lang w:eastAsia="en-US"/>
        </w:rPr>
        <w:lastRenderedPageBreak/>
        <w:t>(</w:t>
      </w:r>
      <w:r w:rsidR="008A5B47" w:rsidRPr="00393250">
        <w:rPr>
          <w:b/>
          <w:i/>
          <w:szCs w:val="24"/>
          <w:lang w:eastAsia="en-US"/>
        </w:rPr>
        <w:t>8a)</w:t>
      </w:r>
      <w:r w:rsidR="008A5B47" w:rsidRPr="00393250">
        <w:rPr>
          <w:szCs w:val="24"/>
          <w:lang w:eastAsia="en-US"/>
        </w:rPr>
        <w:tab/>
      </w:r>
      <w:r w:rsidR="008A5B47" w:rsidRPr="00393250">
        <w:rPr>
          <w:b/>
          <w:i/>
          <w:szCs w:val="24"/>
          <w:lang w:eastAsia="en-US"/>
        </w:rPr>
        <w:t>Artikel 9a, stk. 2, ændres som følger:</w:t>
      </w:r>
    </w:p>
    <w:p w14:paraId="45AD15DD" w14:textId="67836D65" w:rsidR="008A5B47" w:rsidRPr="00393250" w:rsidRDefault="00A6038C" w:rsidP="008A5B47">
      <w:pPr>
        <w:spacing w:before="120" w:after="120" w:line="360" w:lineRule="auto"/>
        <w:ind w:left="1416" w:hanging="566"/>
        <w:rPr>
          <w:b/>
          <w:szCs w:val="24"/>
          <w:lang w:eastAsia="en-US"/>
        </w:rPr>
      </w:pPr>
      <w:r w:rsidRPr="00393250">
        <w:rPr>
          <w:b/>
          <w:i/>
          <w:szCs w:val="24"/>
          <w:lang w:eastAsia="en-US"/>
        </w:rPr>
        <w:t>"</w:t>
      </w:r>
      <w:r w:rsidR="008A5B47" w:rsidRPr="00393250">
        <w:rPr>
          <w:b/>
          <w:i/>
          <w:szCs w:val="24"/>
          <w:lang w:eastAsia="en-US"/>
        </w:rPr>
        <w:t>2.</w:t>
      </w:r>
      <w:r w:rsidR="008A5B47" w:rsidRPr="00393250">
        <w:rPr>
          <w:szCs w:val="24"/>
          <w:lang w:eastAsia="en-US"/>
        </w:rPr>
        <w:tab/>
      </w:r>
      <w:r w:rsidR="008A5B47" w:rsidRPr="00393250">
        <w:rPr>
          <w:b/>
          <w:i/>
          <w:szCs w:val="24"/>
          <w:lang w:eastAsia="en-US"/>
        </w:rPr>
        <w:t>Kommissionen tillægges beføjelser til at vedtage de delegerede retsakter, der er omhandlet i artikel 3, stk. 8, artikel 8, stk. 3, 6a, og 6b, og artikel 8a, stk. 3a, for en periode på seks år fra den [Publikationskontoret, indsæt venligst datoen = datoen for dette direktivs ikrafttræden]. Kommissionen udarbejder en rapport vedrørende delegationen af beføjelser senest ni måneder inden udløbet af seksårsperioden. Delegationen af beføjelser forlænges stiltiende for perioder af samme varighed, medmindre Europa-Parlamentet eller Rådet modsætter sig en sådan forlængelse senest tre måneder inden udløbet af hver periode."</w:t>
      </w:r>
      <w:r w:rsidRPr="00393250">
        <w:rPr>
          <w:b/>
          <w:szCs w:val="24"/>
          <w:lang w:eastAsia="en-US"/>
        </w:rPr>
        <w:t xml:space="preserve"> [Ændring 135]</w:t>
      </w:r>
    </w:p>
    <w:p w14:paraId="1C2CA4BE" w14:textId="3808B048" w:rsidR="008A5B47" w:rsidRPr="00393250" w:rsidRDefault="00A6038C" w:rsidP="008A5B47">
      <w:pPr>
        <w:spacing w:before="120" w:after="120" w:line="360" w:lineRule="auto"/>
        <w:ind w:left="850" w:hanging="850"/>
        <w:rPr>
          <w:szCs w:val="24"/>
          <w:lang w:eastAsia="en-US"/>
        </w:rPr>
      </w:pPr>
      <w:r w:rsidRPr="00393250">
        <w:rPr>
          <w:b/>
          <w:i/>
          <w:szCs w:val="24"/>
          <w:lang w:eastAsia="en-US"/>
        </w:rPr>
        <w:t>(</w:t>
      </w:r>
      <w:r w:rsidR="008A5B47" w:rsidRPr="00393250">
        <w:rPr>
          <w:b/>
          <w:i/>
          <w:szCs w:val="24"/>
          <w:lang w:eastAsia="en-US"/>
        </w:rPr>
        <w:t>8b)</w:t>
      </w:r>
      <w:r w:rsidR="008A5B47" w:rsidRPr="00393250">
        <w:rPr>
          <w:szCs w:val="24"/>
          <w:lang w:eastAsia="en-US"/>
        </w:rPr>
        <w:tab/>
      </w:r>
      <w:r w:rsidR="008A5B47" w:rsidRPr="00393250">
        <w:rPr>
          <w:b/>
          <w:i/>
          <w:szCs w:val="24"/>
          <w:lang w:eastAsia="en-US"/>
        </w:rPr>
        <w:t>Artikel 9a, stk. 3, ændres som følger:</w:t>
      </w:r>
    </w:p>
    <w:p w14:paraId="77B8BE40" w14:textId="2C299183" w:rsidR="008A5B47" w:rsidRPr="00393250" w:rsidRDefault="00A6038C" w:rsidP="008A5B47">
      <w:pPr>
        <w:spacing w:before="120" w:after="120" w:line="360" w:lineRule="auto"/>
        <w:ind w:left="1416" w:hanging="566"/>
        <w:rPr>
          <w:b/>
          <w:szCs w:val="24"/>
          <w:lang w:eastAsia="en-US"/>
        </w:rPr>
      </w:pPr>
      <w:r w:rsidRPr="00393250">
        <w:rPr>
          <w:b/>
          <w:i/>
          <w:szCs w:val="24"/>
          <w:lang w:eastAsia="en-US"/>
        </w:rPr>
        <w:t>"</w:t>
      </w:r>
      <w:r w:rsidR="008A5B47" w:rsidRPr="00393250">
        <w:rPr>
          <w:b/>
          <w:i/>
          <w:szCs w:val="24"/>
          <w:lang w:eastAsia="en-US"/>
        </w:rPr>
        <w:t>3.</w:t>
      </w:r>
      <w:r w:rsidR="008A5B47" w:rsidRPr="00393250">
        <w:rPr>
          <w:szCs w:val="24"/>
          <w:lang w:eastAsia="en-US"/>
        </w:rPr>
        <w:tab/>
      </w:r>
      <w:r w:rsidR="008A5B47" w:rsidRPr="00393250">
        <w:rPr>
          <w:b/>
          <w:i/>
          <w:szCs w:val="24"/>
          <w:lang w:eastAsia="en-US"/>
        </w:rPr>
        <w:t>Den i artikel 3, stk. 8, artikel 8, stk. 3, 6a og 6b, og artikel 8a, stk. 3a,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r w:rsidRPr="00393250">
        <w:rPr>
          <w:b/>
          <w:szCs w:val="24"/>
          <w:lang w:eastAsia="en-US"/>
        </w:rPr>
        <w:t xml:space="preserve"> [Ændring 136]</w:t>
      </w:r>
    </w:p>
    <w:p w14:paraId="51A58F1C" w14:textId="77777777" w:rsidR="00A6038C" w:rsidRPr="00393250" w:rsidRDefault="00A6038C">
      <w:pPr>
        <w:widowControl/>
        <w:rPr>
          <w:b/>
          <w:i/>
          <w:szCs w:val="24"/>
          <w:lang w:eastAsia="en-US"/>
        </w:rPr>
      </w:pPr>
      <w:r w:rsidRPr="00393250">
        <w:rPr>
          <w:b/>
          <w:i/>
          <w:szCs w:val="24"/>
          <w:lang w:eastAsia="en-US"/>
        </w:rPr>
        <w:br w:type="page"/>
      </w:r>
    </w:p>
    <w:p w14:paraId="0567840E" w14:textId="51C019AB" w:rsidR="008A5B47" w:rsidRPr="00393250" w:rsidRDefault="008A5B47" w:rsidP="008A5B47">
      <w:pPr>
        <w:spacing w:before="120" w:after="120" w:line="360" w:lineRule="auto"/>
        <w:ind w:left="850" w:hanging="850"/>
        <w:rPr>
          <w:szCs w:val="24"/>
          <w:lang w:eastAsia="en-US"/>
        </w:rPr>
      </w:pPr>
      <w:r w:rsidRPr="00393250">
        <w:rPr>
          <w:b/>
          <w:i/>
          <w:szCs w:val="24"/>
          <w:lang w:eastAsia="en-US"/>
        </w:rPr>
        <w:lastRenderedPageBreak/>
        <w:t>8c)</w:t>
      </w:r>
      <w:r w:rsidRPr="00393250">
        <w:rPr>
          <w:szCs w:val="24"/>
          <w:lang w:eastAsia="en-US"/>
        </w:rPr>
        <w:tab/>
      </w:r>
      <w:r w:rsidRPr="00393250">
        <w:rPr>
          <w:b/>
          <w:i/>
          <w:szCs w:val="24"/>
          <w:lang w:eastAsia="en-US"/>
        </w:rPr>
        <w:t>I artikel 9a indsættes som stykke 3a:</w:t>
      </w:r>
    </w:p>
    <w:p w14:paraId="6F41C8A7" w14:textId="334AB778" w:rsidR="008A5B47" w:rsidRPr="00393250" w:rsidRDefault="00A6038C" w:rsidP="008A5B47">
      <w:pPr>
        <w:spacing w:before="120" w:after="120" w:line="360" w:lineRule="auto"/>
        <w:ind w:left="1416" w:hanging="566"/>
        <w:rPr>
          <w:b/>
          <w:szCs w:val="24"/>
          <w:lang w:eastAsia="en-US"/>
        </w:rPr>
      </w:pPr>
      <w:r w:rsidRPr="00393250">
        <w:rPr>
          <w:b/>
          <w:i/>
          <w:szCs w:val="24"/>
          <w:lang w:eastAsia="en-US"/>
        </w:rPr>
        <w:t>"</w:t>
      </w:r>
      <w:r w:rsidR="008A5B47" w:rsidRPr="00393250">
        <w:rPr>
          <w:b/>
          <w:i/>
          <w:szCs w:val="24"/>
          <w:lang w:eastAsia="en-US"/>
        </w:rPr>
        <w:t>3a.</w:t>
      </w:r>
      <w:r w:rsidR="008A5B47" w:rsidRPr="00393250">
        <w:rPr>
          <w:szCs w:val="24"/>
          <w:lang w:eastAsia="en-US"/>
        </w:rPr>
        <w:tab/>
      </w:r>
      <w:r w:rsidR="008A5B47" w:rsidRPr="00393250">
        <w:rPr>
          <w:b/>
          <w:i/>
          <w:szCs w:val="24"/>
          <w:lang w:eastAsia="en-US"/>
        </w:rPr>
        <w:t>Inden vedtagelsen af en delegeret retsakt hører Kommissionen eksperter, som er udpeget af hver enkelt medlemsstat, i overensstemmelse med principperne i den interinstitutionelle aftale af 13. april 2016 om bedre lovgivning."</w:t>
      </w:r>
      <w:r w:rsidRPr="00393250">
        <w:rPr>
          <w:b/>
          <w:szCs w:val="24"/>
          <w:lang w:eastAsia="en-US"/>
        </w:rPr>
        <w:t xml:space="preserve"> [Ændring 137]</w:t>
      </w:r>
    </w:p>
    <w:p w14:paraId="49BB9804" w14:textId="546D518E" w:rsidR="008A5B47" w:rsidRPr="00393250" w:rsidRDefault="00A6038C" w:rsidP="008A5B47">
      <w:pPr>
        <w:spacing w:before="120" w:after="120" w:line="360" w:lineRule="auto"/>
        <w:ind w:left="850" w:hanging="850"/>
        <w:rPr>
          <w:szCs w:val="24"/>
          <w:lang w:eastAsia="en-US"/>
        </w:rPr>
      </w:pPr>
      <w:r w:rsidRPr="00393250">
        <w:rPr>
          <w:b/>
          <w:i/>
          <w:szCs w:val="24"/>
          <w:lang w:eastAsia="en-US"/>
        </w:rPr>
        <w:t>(</w:t>
      </w:r>
      <w:r w:rsidR="008A5B47" w:rsidRPr="00393250">
        <w:rPr>
          <w:b/>
          <w:i/>
          <w:szCs w:val="24"/>
          <w:lang w:eastAsia="en-US"/>
        </w:rPr>
        <w:t>8d)</w:t>
      </w:r>
      <w:r w:rsidR="008A5B47" w:rsidRPr="00393250">
        <w:rPr>
          <w:szCs w:val="24"/>
          <w:lang w:eastAsia="en-US"/>
        </w:rPr>
        <w:tab/>
      </w:r>
      <w:r w:rsidR="008A5B47" w:rsidRPr="00393250">
        <w:rPr>
          <w:b/>
          <w:i/>
          <w:szCs w:val="24"/>
          <w:lang w:eastAsia="en-US"/>
        </w:rPr>
        <w:t>Artikel 9a, stk. 5, ændres som følger:</w:t>
      </w:r>
    </w:p>
    <w:p w14:paraId="3CC3BA47" w14:textId="0C7897A5" w:rsidR="008A5B47" w:rsidRPr="00393250" w:rsidRDefault="00A6038C" w:rsidP="008A5B47">
      <w:pPr>
        <w:spacing w:before="120" w:after="120" w:line="360" w:lineRule="auto"/>
        <w:ind w:left="1416" w:hanging="566"/>
        <w:rPr>
          <w:b/>
          <w:szCs w:val="24"/>
          <w:lang w:eastAsia="en-US"/>
        </w:rPr>
      </w:pPr>
      <w:r w:rsidRPr="00393250">
        <w:rPr>
          <w:b/>
          <w:i/>
          <w:szCs w:val="24"/>
          <w:lang w:eastAsia="en-US"/>
        </w:rPr>
        <w:t>"</w:t>
      </w:r>
      <w:r w:rsidR="008A5B47" w:rsidRPr="00393250">
        <w:rPr>
          <w:b/>
          <w:i/>
          <w:szCs w:val="24"/>
          <w:lang w:eastAsia="en-US"/>
        </w:rPr>
        <w:t>5.</w:t>
      </w:r>
      <w:r w:rsidR="008A5B47" w:rsidRPr="00393250">
        <w:rPr>
          <w:szCs w:val="24"/>
          <w:lang w:eastAsia="en-US"/>
        </w:rPr>
        <w:tab/>
      </w:r>
      <w:r w:rsidR="008A5B47" w:rsidRPr="00393250">
        <w:rPr>
          <w:b/>
          <w:i/>
          <w:szCs w:val="24"/>
          <w:lang w:eastAsia="en-US"/>
        </w:rPr>
        <w:t>En delegeret retsakt vedtaget i henhold til artikel 3, stk. 8, artikel 8, stk. 3, 6a og 6b, eller artikel 8a, stk. 3a, træder kun i kraft, hvis hverken Europa-Parlamentet eller Rådet har gjort indsigelse inden for en frist på to måneder fra meddelelsen af den pågældende retsakt til Europa-Parlamentet og Rådet, eller hvis Europa-Parlamentet og Rådet inden udløbet af denne frist begge har informeret Kommissionen om, at de ikke agter at gøre indsigelse. Fristen forlænges med to måneder på Europa-Parlamentets eller Rådets initiativ."</w:t>
      </w:r>
      <w:r w:rsidRPr="00393250">
        <w:rPr>
          <w:b/>
          <w:szCs w:val="24"/>
          <w:lang w:eastAsia="en-US"/>
        </w:rPr>
        <w:t xml:space="preserve"> [Ændring 138]</w:t>
      </w:r>
    </w:p>
    <w:p w14:paraId="7EFC1A56" w14:textId="77777777" w:rsidR="00A6038C" w:rsidRPr="00393250" w:rsidRDefault="00A6038C">
      <w:pPr>
        <w:widowControl/>
        <w:rPr>
          <w:szCs w:val="24"/>
          <w:lang w:eastAsia="en-US"/>
        </w:rPr>
      </w:pPr>
      <w:r w:rsidRPr="00393250">
        <w:rPr>
          <w:szCs w:val="24"/>
          <w:lang w:eastAsia="en-US"/>
        </w:rPr>
        <w:br w:type="page"/>
      </w:r>
    </w:p>
    <w:p w14:paraId="3BCE140E" w14:textId="095E3AA2"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(9)</w:t>
      </w:r>
      <w:r w:rsidRPr="00393250">
        <w:rPr>
          <w:szCs w:val="24"/>
          <w:lang w:eastAsia="en-US"/>
        </w:rPr>
        <w:tab/>
        <w:t>Artikel 10 udgår.</w:t>
      </w:r>
    </w:p>
    <w:p w14:paraId="6BE423E4"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(10)</w:t>
      </w:r>
      <w:r w:rsidRPr="00393250">
        <w:rPr>
          <w:szCs w:val="24"/>
          <w:lang w:eastAsia="en-US"/>
        </w:rPr>
        <w:tab/>
        <w:t>Bilag I ændres som angivet i bilag V til dette direktiv.</w:t>
      </w:r>
    </w:p>
    <w:p w14:paraId="2A41D49F"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(11)</w:t>
      </w:r>
      <w:r w:rsidRPr="00393250">
        <w:rPr>
          <w:szCs w:val="24"/>
          <w:lang w:eastAsia="en-US"/>
        </w:rPr>
        <w:tab/>
        <w:t>Bilag II som fastlagt i bilag VI til dette direktiv tilføjes.</w:t>
      </w:r>
    </w:p>
    <w:p w14:paraId="3A8695BA" w14:textId="77777777" w:rsidR="008A5B47" w:rsidRPr="00393250" w:rsidRDefault="008A5B47" w:rsidP="008A5B47">
      <w:pPr>
        <w:spacing w:before="120" w:after="120" w:line="360" w:lineRule="auto"/>
        <w:jc w:val="center"/>
        <w:rPr>
          <w:szCs w:val="24"/>
          <w:lang w:eastAsia="en-US"/>
        </w:rPr>
      </w:pPr>
      <w:r w:rsidRPr="00393250">
        <w:rPr>
          <w:szCs w:val="24"/>
          <w:lang w:eastAsia="en-US"/>
        </w:rPr>
        <w:t>Artikel 4</w:t>
      </w:r>
    </w:p>
    <w:p w14:paraId="582AE2BA"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1.</w:t>
      </w:r>
      <w:r w:rsidRPr="00393250">
        <w:rPr>
          <w:szCs w:val="24"/>
          <w:lang w:eastAsia="en-US"/>
        </w:rPr>
        <w:tab/>
        <w:t>Medlemsstaterne sætter de nødvendige love og administrative bestemmelser i kraft for at efterkomme dette direktiv senest den [OP please insert the date = the first day of the month following 18 months after the date of entry into force of this Directive].</w:t>
      </w:r>
    </w:p>
    <w:p w14:paraId="0048D177"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2.</w:t>
      </w:r>
      <w:r w:rsidRPr="00393250">
        <w:rPr>
          <w:szCs w:val="24"/>
          <w:lang w:eastAsia="en-US"/>
        </w:rPr>
        <w:tab/>
        <w:t>De meddeler straks Kommissionen teksten til disse love og bestemmelser. Lovene og bestemmelserne skal ved vedtagelsen indeholde en henvisning til dette direktiv eller skal ved offentliggørelsen ledsages af en sådan henvisning. De nærmere regler for henvisningen fastsættes af medlemsstaterne. Medlemsstaterne meddeler Kommissionen teksten til de vigtigste nationale retsforskrifter, som de udsteder på det område, der er omfattet af dette direktiv.</w:t>
      </w:r>
    </w:p>
    <w:p w14:paraId="02EF9876" w14:textId="77777777" w:rsidR="00A6038C" w:rsidRPr="00393250" w:rsidRDefault="00A6038C">
      <w:pPr>
        <w:widowControl/>
        <w:rPr>
          <w:szCs w:val="24"/>
          <w:lang w:eastAsia="en-US"/>
        </w:rPr>
      </w:pPr>
      <w:r w:rsidRPr="00393250">
        <w:rPr>
          <w:szCs w:val="24"/>
          <w:lang w:eastAsia="en-US"/>
        </w:rPr>
        <w:br w:type="page"/>
      </w:r>
    </w:p>
    <w:p w14:paraId="0498782F" w14:textId="288B4C01" w:rsidR="008A5B47" w:rsidRPr="00393250" w:rsidRDefault="008A5B47" w:rsidP="008A5B47">
      <w:pPr>
        <w:spacing w:before="120" w:after="120" w:line="360" w:lineRule="auto"/>
        <w:jc w:val="center"/>
        <w:rPr>
          <w:szCs w:val="24"/>
          <w:lang w:eastAsia="en-US"/>
        </w:rPr>
      </w:pPr>
      <w:r w:rsidRPr="00393250">
        <w:rPr>
          <w:szCs w:val="24"/>
          <w:lang w:eastAsia="en-US"/>
        </w:rPr>
        <w:lastRenderedPageBreak/>
        <w:t>Artikel 5</w:t>
      </w:r>
    </w:p>
    <w:p w14:paraId="68474E28" w14:textId="77777777" w:rsidR="008A5B47" w:rsidRPr="00393250" w:rsidRDefault="008A5B47" w:rsidP="008A5B47">
      <w:pPr>
        <w:spacing w:before="120" w:after="120" w:line="360" w:lineRule="auto"/>
        <w:rPr>
          <w:szCs w:val="24"/>
          <w:lang w:eastAsia="en-US"/>
        </w:rPr>
      </w:pPr>
      <w:r w:rsidRPr="00393250">
        <w:rPr>
          <w:szCs w:val="24"/>
          <w:lang w:eastAsia="en-US"/>
        </w:rPr>
        <w:t xml:space="preserve">Dette direktiv træder i kraft på tyvendedagen efter offentliggørelsen i </w:t>
      </w:r>
      <w:bookmarkStart w:id="8" w:name="_GoBack"/>
      <w:r w:rsidRPr="00393250">
        <w:rPr>
          <w:i/>
          <w:szCs w:val="24"/>
          <w:lang w:eastAsia="en-US"/>
        </w:rPr>
        <w:t>Den Europæiske Unions Tidende</w:t>
      </w:r>
      <w:bookmarkEnd w:id="8"/>
      <w:r w:rsidRPr="00393250">
        <w:rPr>
          <w:szCs w:val="24"/>
          <w:lang w:eastAsia="en-US"/>
        </w:rPr>
        <w:t>.</w:t>
      </w:r>
    </w:p>
    <w:p w14:paraId="128E4DC1" w14:textId="77777777" w:rsidR="008A5B47" w:rsidRPr="00393250" w:rsidRDefault="008A5B47" w:rsidP="008A5B47">
      <w:pPr>
        <w:spacing w:before="120" w:after="120" w:line="360" w:lineRule="auto"/>
        <w:jc w:val="center"/>
        <w:rPr>
          <w:szCs w:val="24"/>
          <w:lang w:eastAsia="en-US"/>
        </w:rPr>
      </w:pPr>
      <w:r w:rsidRPr="00393250">
        <w:rPr>
          <w:szCs w:val="24"/>
          <w:lang w:eastAsia="en-US"/>
        </w:rPr>
        <w:t>Artikel 6</w:t>
      </w:r>
    </w:p>
    <w:p w14:paraId="7849A40D" w14:textId="77777777" w:rsidR="008A5B47" w:rsidRPr="00393250" w:rsidRDefault="008A5B47" w:rsidP="008A5B47">
      <w:pPr>
        <w:spacing w:before="120" w:after="120" w:line="360" w:lineRule="auto"/>
        <w:rPr>
          <w:szCs w:val="24"/>
          <w:lang w:eastAsia="en-US"/>
        </w:rPr>
      </w:pPr>
      <w:r w:rsidRPr="00393250">
        <w:rPr>
          <w:szCs w:val="24"/>
          <w:lang w:eastAsia="en-US"/>
        </w:rPr>
        <w:t>Dette direktiv er rettet til medlemsstaterne.</w:t>
      </w:r>
    </w:p>
    <w:p w14:paraId="3C2776BE" w14:textId="2FB1E0E0" w:rsidR="008A5B47" w:rsidRPr="00393250" w:rsidRDefault="008A5B47" w:rsidP="008A5B47">
      <w:pPr>
        <w:keepNext/>
        <w:widowControl/>
        <w:spacing w:before="120" w:line="360" w:lineRule="auto"/>
        <w:rPr>
          <w:szCs w:val="24"/>
          <w:lang w:eastAsia="en-US"/>
        </w:rPr>
      </w:pPr>
      <w:r w:rsidRPr="00393250">
        <w:rPr>
          <w:szCs w:val="24"/>
          <w:lang w:eastAsia="en-US"/>
        </w:rPr>
        <w:t xml:space="preserve">Udfærdiget i </w:t>
      </w:r>
      <w:r w:rsidR="00A6038C" w:rsidRPr="00393250">
        <w:rPr>
          <w:szCs w:val="24"/>
          <w:lang w:eastAsia="en-US"/>
        </w:rPr>
        <w:t>…</w:t>
      </w:r>
      <w:r w:rsidRPr="00393250">
        <w:rPr>
          <w:szCs w:val="24"/>
          <w:lang w:eastAsia="en-US"/>
        </w:rPr>
        <w:t>, den […].</w:t>
      </w:r>
    </w:p>
    <w:p w14:paraId="51031FC7" w14:textId="77777777" w:rsidR="008A5B47" w:rsidRPr="00393250" w:rsidRDefault="008A5B47" w:rsidP="008A5B47">
      <w:pPr>
        <w:keepNext/>
        <w:widowControl/>
        <w:tabs>
          <w:tab w:val="left" w:pos="4252"/>
        </w:tabs>
        <w:spacing w:before="720" w:after="100" w:line="360" w:lineRule="auto"/>
        <w:jc w:val="both"/>
        <w:rPr>
          <w:i/>
          <w:szCs w:val="24"/>
          <w:lang w:eastAsia="en-US"/>
        </w:rPr>
      </w:pPr>
      <w:r w:rsidRPr="00393250">
        <w:rPr>
          <w:i/>
          <w:szCs w:val="24"/>
          <w:lang w:eastAsia="en-US"/>
        </w:rPr>
        <w:t>På Europa-Parlamentets vegne</w:t>
      </w:r>
      <w:r w:rsidRPr="00393250">
        <w:rPr>
          <w:i/>
          <w:szCs w:val="24"/>
          <w:lang w:eastAsia="en-US"/>
        </w:rPr>
        <w:tab/>
        <w:t>På Rådets vegne</w:t>
      </w:r>
    </w:p>
    <w:p w14:paraId="7FE6FD71" w14:textId="77777777" w:rsidR="008A5B47" w:rsidRPr="00393250" w:rsidRDefault="008A5B47" w:rsidP="008A5B47">
      <w:pPr>
        <w:widowControl/>
        <w:tabs>
          <w:tab w:val="left" w:pos="4252"/>
        </w:tabs>
        <w:spacing w:line="360" w:lineRule="auto"/>
        <w:rPr>
          <w:i/>
          <w:szCs w:val="24"/>
          <w:lang w:eastAsia="en-US"/>
        </w:rPr>
      </w:pPr>
      <w:r w:rsidRPr="00393250">
        <w:rPr>
          <w:i/>
          <w:szCs w:val="24"/>
          <w:lang w:eastAsia="en-US"/>
        </w:rPr>
        <w:t>Formand</w:t>
      </w:r>
      <w:r w:rsidRPr="00393250">
        <w:rPr>
          <w:i/>
          <w:szCs w:val="24"/>
          <w:lang w:eastAsia="en-US"/>
        </w:rPr>
        <w:tab/>
        <w:t>Formand</w:t>
      </w:r>
    </w:p>
    <w:p w14:paraId="31756C0B" w14:textId="77777777" w:rsidR="008A5B47" w:rsidRPr="00393250" w:rsidRDefault="008A5B47" w:rsidP="008A5B47">
      <w:pPr>
        <w:pStyle w:val="AmNumberTabs"/>
        <w:rPr>
          <w:b w:val="0"/>
        </w:rPr>
        <w:sectPr w:rsidR="008A5B47" w:rsidRPr="00393250" w:rsidSect="008B5EF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F475722" w14:textId="260252FE" w:rsidR="008A5B47" w:rsidRPr="00393250" w:rsidRDefault="000A2EE6" w:rsidP="008A5B47">
      <w:pPr>
        <w:spacing w:before="120" w:after="120" w:line="360" w:lineRule="auto"/>
        <w:jc w:val="center"/>
        <w:rPr>
          <w:lang w:eastAsia="en-US"/>
        </w:rPr>
      </w:pPr>
      <w:r w:rsidRPr="00393250">
        <w:rPr>
          <w:lang w:eastAsia="en-US"/>
        </w:rPr>
        <w:lastRenderedPageBreak/>
        <w:t>Bilag</w:t>
      </w:r>
      <w:r w:rsidR="008A5B47" w:rsidRPr="00393250">
        <w:rPr>
          <w:lang w:eastAsia="en-US"/>
        </w:rPr>
        <w:t xml:space="preserve"> I</w:t>
      </w:r>
    </w:p>
    <w:p w14:paraId="6EE69DD2" w14:textId="77777777" w:rsidR="008A5B47" w:rsidRPr="00393250" w:rsidRDefault="008A5B47" w:rsidP="008A5B47">
      <w:pPr>
        <w:spacing w:before="120" w:after="120" w:line="360" w:lineRule="auto"/>
        <w:rPr>
          <w:szCs w:val="24"/>
          <w:lang w:eastAsia="en-US"/>
        </w:rPr>
      </w:pPr>
      <w:r w:rsidRPr="00393250">
        <w:rPr>
          <w:szCs w:val="24"/>
          <w:lang w:eastAsia="en-US"/>
        </w:rPr>
        <w:t>I bilag V til direktiv 2000/60/EF foretages følgende ændringer:</w:t>
      </w:r>
    </w:p>
    <w:p w14:paraId="204185D7"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(1)</w:t>
      </w:r>
      <w:r w:rsidRPr="00393250">
        <w:rPr>
          <w:szCs w:val="24"/>
          <w:lang w:eastAsia="en-US"/>
        </w:rPr>
        <w:tab/>
        <w:t>Punkt 1.1.1 til 1.1.4 affattes således:</w:t>
      </w:r>
    </w:p>
    <w:p w14:paraId="0CB84906" w14:textId="64ECAC93" w:rsidR="008A5B47" w:rsidRPr="00393250" w:rsidRDefault="00020719" w:rsidP="008A5B47">
      <w:pPr>
        <w:spacing w:before="120" w:after="120" w:line="360" w:lineRule="auto"/>
        <w:ind w:left="1416" w:hanging="566"/>
        <w:rPr>
          <w:szCs w:val="24"/>
          <w:lang w:eastAsia="en-US"/>
        </w:rPr>
      </w:pPr>
      <w:r w:rsidRPr="00393250">
        <w:rPr>
          <w:szCs w:val="24"/>
          <w:lang w:eastAsia="en-US"/>
        </w:rPr>
        <w:t>"</w:t>
      </w:r>
      <w:r w:rsidR="008A5B47" w:rsidRPr="00393250">
        <w:rPr>
          <w:szCs w:val="24"/>
          <w:lang w:eastAsia="en-US"/>
        </w:rPr>
        <w:t>1.1.1.</w:t>
      </w:r>
      <w:r w:rsidR="008A5B47" w:rsidRPr="00393250">
        <w:rPr>
          <w:szCs w:val="24"/>
          <w:lang w:eastAsia="en-US"/>
        </w:rPr>
        <w:tab/>
        <w:t>"Vandløb</w:t>
      </w:r>
    </w:p>
    <w:p w14:paraId="14D61C56" w14:textId="77777777" w:rsidR="008A5B47" w:rsidRPr="00393250" w:rsidRDefault="008A5B47" w:rsidP="008A5B47">
      <w:pPr>
        <w:spacing w:before="120" w:after="120" w:line="360" w:lineRule="auto"/>
        <w:ind w:left="1416"/>
        <w:rPr>
          <w:szCs w:val="24"/>
          <w:lang w:eastAsia="en-US"/>
        </w:rPr>
      </w:pPr>
      <w:r w:rsidRPr="00393250">
        <w:rPr>
          <w:szCs w:val="24"/>
          <w:lang w:eastAsia="en-US"/>
        </w:rPr>
        <w:t>Biologiske elementer</w:t>
      </w:r>
    </w:p>
    <w:p w14:paraId="7509C8B6" w14:textId="77777777" w:rsidR="008A5B47" w:rsidRPr="00393250" w:rsidRDefault="008A5B47" w:rsidP="008A5B47">
      <w:pPr>
        <w:spacing w:before="120" w:after="120" w:line="360" w:lineRule="auto"/>
        <w:ind w:left="1416"/>
        <w:rPr>
          <w:szCs w:val="24"/>
          <w:lang w:eastAsia="en-US"/>
        </w:rPr>
      </w:pPr>
      <w:r w:rsidRPr="00393250">
        <w:rPr>
          <w:szCs w:val="24"/>
          <w:lang w:eastAsia="en-US"/>
        </w:rPr>
        <w:t>Den akvatiske floras sammensætning og tæthed</w:t>
      </w:r>
    </w:p>
    <w:p w14:paraId="1365D42C" w14:textId="77777777" w:rsidR="008A5B47" w:rsidRPr="00393250" w:rsidRDefault="008A5B47" w:rsidP="008A5B47">
      <w:pPr>
        <w:spacing w:before="120" w:after="120" w:line="360" w:lineRule="auto"/>
        <w:ind w:left="1416"/>
        <w:rPr>
          <w:szCs w:val="24"/>
          <w:lang w:eastAsia="en-US"/>
        </w:rPr>
      </w:pPr>
      <w:r w:rsidRPr="00393250">
        <w:rPr>
          <w:szCs w:val="24"/>
          <w:lang w:eastAsia="en-US"/>
        </w:rPr>
        <w:t>Den bentiske invertebratfaunas sammensætning og tæthed</w:t>
      </w:r>
    </w:p>
    <w:p w14:paraId="44895EBF" w14:textId="77777777" w:rsidR="008A5B47" w:rsidRPr="00393250" w:rsidRDefault="008A5B47" w:rsidP="008A5B47">
      <w:pPr>
        <w:spacing w:before="120" w:after="120" w:line="360" w:lineRule="auto"/>
        <w:ind w:left="1416"/>
        <w:rPr>
          <w:szCs w:val="24"/>
          <w:lang w:eastAsia="en-US"/>
        </w:rPr>
      </w:pPr>
      <w:r w:rsidRPr="00393250">
        <w:rPr>
          <w:szCs w:val="24"/>
          <w:lang w:eastAsia="en-US"/>
        </w:rPr>
        <w:t>Fiskefaunaens sammensætning, tæthed og aldersstruktur</w:t>
      </w:r>
    </w:p>
    <w:p w14:paraId="65049928" w14:textId="77777777" w:rsidR="008A5B47" w:rsidRPr="00393250" w:rsidRDefault="008A5B47" w:rsidP="008A5B47">
      <w:pPr>
        <w:spacing w:before="120" w:after="120" w:line="360" w:lineRule="auto"/>
        <w:ind w:left="1416"/>
        <w:rPr>
          <w:szCs w:val="24"/>
          <w:lang w:eastAsia="en-US"/>
        </w:rPr>
      </w:pPr>
      <w:r w:rsidRPr="00393250">
        <w:rPr>
          <w:szCs w:val="24"/>
          <w:lang w:eastAsia="en-US"/>
        </w:rPr>
        <w:t>Hydromorfologiske elementer, der understøtter de biologiske elementer</w:t>
      </w:r>
    </w:p>
    <w:p w14:paraId="7C747037" w14:textId="77777777" w:rsidR="008A5B47" w:rsidRPr="00393250" w:rsidRDefault="008A5B47" w:rsidP="008A5B47">
      <w:pPr>
        <w:spacing w:before="120" w:after="120" w:line="360" w:lineRule="auto"/>
        <w:ind w:left="850"/>
        <w:rPr>
          <w:szCs w:val="24"/>
          <w:lang w:eastAsia="en-US"/>
        </w:rPr>
      </w:pPr>
      <w:r w:rsidRPr="00393250">
        <w:rPr>
          <w:szCs w:val="24"/>
          <w:lang w:eastAsia="en-US"/>
        </w:rPr>
        <w:t>Hydrologisk regime</w:t>
      </w:r>
    </w:p>
    <w:p w14:paraId="1A01E246" w14:textId="77777777" w:rsidR="008A5B47" w:rsidRPr="00393250" w:rsidRDefault="008A5B47" w:rsidP="008A5B47">
      <w:pPr>
        <w:spacing w:before="120" w:after="120" w:line="360" w:lineRule="auto"/>
        <w:ind w:left="1416"/>
        <w:rPr>
          <w:szCs w:val="24"/>
          <w:lang w:eastAsia="en-US"/>
        </w:rPr>
      </w:pPr>
      <w:r w:rsidRPr="00393250">
        <w:rPr>
          <w:szCs w:val="24"/>
          <w:lang w:eastAsia="en-US"/>
        </w:rPr>
        <w:t>vandstrømningens volumen og dynamik</w:t>
      </w:r>
    </w:p>
    <w:p w14:paraId="5552474F" w14:textId="77777777" w:rsidR="008A5B47" w:rsidRPr="00393250" w:rsidRDefault="008A5B47" w:rsidP="008A5B47">
      <w:pPr>
        <w:spacing w:before="120" w:after="120" w:line="360" w:lineRule="auto"/>
        <w:ind w:left="1416"/>
        <w:rPr>
          <w:szCs w:val="24"/>
          <w:lang w:eastAsia="en-US"/>
        </w:rPr>
      </w:pPr>
      <w:r w:rsidRPr="00393250">
        <w:rPr>
          <w:szCs w:val="24"/>
          <w:lang w:eastAsia="en-US"/>
        </w:rPr>
        <w:t>forbindelse til grundvandsforekomster</w:t>
      </w:r>
    </w:p>
    <w:p w14:paraId="50867E29" w14:textId="77777777" w:rsidR="008A5B47" w:rsidRPr="00393250" w:rsidRDefault="008A5B47" w:rsidP="008A5B47">
      <w:pPr>
        <w:spacing w:before="120" w:after="120" w:line="360" w:lineRule="auto"/>
        <w:ind w:left="1416"/>
        <w:rPr>
          <w:szCs w:val="24"/>
          <w:lang w:eastAsia="en-US"/>
        </w:rPr>
      </w:pPr>
      <w:r w:rsidRPr="00393250">
        <w:rPr>
          <w:szCs w:val="24"/>
          <w:lang w:eastAsia="en-US"/>
        </w:rPr>
        <w:t>Vandløbets kontinuitet</w:t>
      </w:r>
    </w:p>
    <w:p w14:paraId="4C801B3D" w14:textId="77777777" w:rsidR="001302AA" w:rsidRPr="00393250" w:rsidRDefault="001302AA">
      <w:pPr>
        <w:widowControl/>
        <w:rPr>
          <w:szCs w:val="24"/>
          <w:lang w:eastAsia="en-US"/>
        </w:rPr>
      </w:pPr>
      <w:r w:rsidRPr="00393250">
        <w:rPr>
          <w:szCs w:val="24"/>
          <w:lang w:eastAsia="en-US"/>
        </w:rPr>
        <w:br w:type="page"/>
      </w:r>
    </w:p>
    <w:p w14:paraId="52A2CA47" w14:textId="5E53B629" w:rsidR="008A5B47" w:rsidRPr="00393250" w:rsidRDefault="008A5B47" w:rsidP="008A5B47">
      <w:pPr>
        <w:spacing w:before="120" w:after="120" w:line="360" w:lineRule="auto"/>
        <w:ind w:left="850"/>
        <w:rPr>
          <w:szCs w:val="24"/>
          <w:lang w:eastAsia="en-US"/>
        </w:rPr>
      </w:pPr>
      <w:r w:rsidRPr="00393250">
        <w:rPr>
          <w:szCs w:val="24"/>
          <w:lang w:eastAsia="en-US"/>
        </w:rPr>
        <w:lastRenderedPageBreak/>
        <w:t>Morfologiske forhold</w:t>
      </w:r>
    </w:p>
    <w:p w14:paraId="4A36E866" w14:textId="77777777" w:rsidR="008A5B47" w:rsidRPr="00393250" w:rsidRDefault="008A5B47" w:rsidP="008A5B47">
      <w:pPr>
        <w:spacing w:before="120" w:after="120" w:line="360" w:lineRule="auto"/>
        <w:ind w:left="1416"/>
        <w:rPr>
          <w:szCs w:val="24"/>
          <w:lang w:eastAsia="en-US"/>
        </w:rPr>
      </w:pPr>
      <w:r w:rsidRPr="00393250">
        <w:rPr>
          <w:szCs w:val="24"/>
          <w:lang w:eastAsia="en-US"/>
        </w:rPr>
        <w:t>variation i vandløbets dybde og bredde</w:t>
      </w:r>
    </w:p>
    <w:p w14:paraId="377E6C65" w14:textId="77777777" w:rsidR="008A5B47" w:rsidRPr="00393250" w:rsidRDefault="008A5B47" w:rsidP="008A5B47">
      <w:pPr>
        <w:spacing w:before="120" w:after="120" w:line="360" w:lineRule="auto"/>
        <w:ind w:left="1416"/>
        <w:rPr>
          <w:szCs w:val="24"/>
          <w:lang w:eastAsia="en-US"/>
        </w:rPr>
      </w:pPr>
      <w:r w:rsidRPr="00393250">
        <w:rPr>
          <w:szCs w:val="24"/>
          <w:lang w:eastAsia="en-US"/>
        </w:rPr>
        <w:t>bundforhold (struktur og substrat)</w:t>
      </w:r>
    </w:p>
    <w:p w14:paraId="08112248" w14:textId="77777777" w:rsidR="008A5B47" w:rsidRPr="00393250" w:rsidRDefault="008A5B47" w:rsidP="008A5B47">
      <w:pPr>
        <w:spacing w:before="120" w:after="120" w:line="360" w:lineRule="auto"/>
        <w:ind w:left="1416"/>
        <w:rPr>
          <w:szCs w:val="24"/>
          <w:lang w:eastAsia="en-US"/>
        </w:rPr>
      </w:pPr>
      <w:r w:rsidRPr="00393250">
        <w:rPr>
          <w:szCs w:val="24"/>
          <w:lang w:eastAsia="en-US"/>
        </w:rPr>
        <w:t>bredzonens struktur</w:t>
      </w:r>
    </w:p>
    <w:p w14:paraId="145CD17E" w14:textId="77777777" w:rsidR="008A5B47" w:rsidRPr="00393250" w:rsidRDefault="008A5B47" w:rsidP="008A5B47">
      <w:pPr>
        <w:spacing w:before="120" w:after="120" w:line="360" w:lineRule="auto"/>
        <w:ind w:left="1416"/>
        <w:rPr>
          <w:szCs w:val="24"/>
          <w:lang w:eastAsia="en-US"/>
        </w:rPr>
      </w:pPr>
      <w:r w:rsidRPr="00393250">
        <w:rPr>
          <w:szCs w:val="24"/>
          <w:lang w:eastAsia="en-US"/>
        </w:rPr>
        <w:t>Generelle fysisk-kemiske elementer, der understøtter de biologiske elementer</w:t>
      </w:r>
    </w:p>
    <w:p w14:paraId="47DD7E21" w14:textId="77777777" w:rsidR="008A5B47" w:rsidRPr="00393250" w:rsidRDefault="008A5B47" w:rsidP="008A5B47">
      <w:pPr>
        <w:spacing w:before="120" w:after="120" w:line="360" w:lineRule="auto"/>
        <w:ind w:left="1416"/>
        <w:rPr>
          <w:szCs w:val="24"/>
          <w:lang w:eastAsia="en-US"/>
        </w:rPr>
      </w:pPr>
      <w:r w:rsidRPr="00393250">
        <w:rPr>
          <w:szCs w:val="24"/>
          <w:lang w:eastAsia="en-US"/>
        </w:rPr>
        <w:t>Termiske forhold</w:t>
      </w:r>
    </w:p>
    <w:p w14:paraId="173C8A0A" w14:textId="77777777" w:rsidR="008A5B47" w:rsidRPr="00393250" w:rsidRDefault="008A5B47" w:rsidP="008A5B47">
      <w:pPr>
        <w:spacing w:before="120" w:after="120" w:line="360" w:lineRule="auto"/>
        <w:ind w:left="1416"/>
        <w:rPr>
          <w:szCs w:val="24"/>
          <w:lang w:eastAsia="en-US"/>
        </w:rPr>
      </w:pPr>
      <w:r w:rsidRPr="00393250">
        <w:rPr>
          <w:szCs w:val="24"/>
          <w:lang w:eastAsia="en-US"/>
        </w:rPr>
        <w:t>Iltforhold</w:t>
      </w:r>
    </w:p>
    <w:p w14:paraId="08885124" w14:textId="77777777" w:rsidR="008A5B47" w:rsidRPr="00393250" w:rsidRDefault="008A5B47" w:rsidP="008A5B47">
      <w:pPr>
        <w:spacing w:before="120" w:after="120" w:line="360" w:lineRule="auto"/>
        <w:ind w:left="1416"/>
        <w:rPr>
          <w:szCs w:val="24"/>
          <w:lang w:eastAsia="en-US"/>
        </w:rPr>
      </w:pPr>
      <w:r w:rsidRPr="00393250">
        <w:rPr>
          <w:szCs w:val="24"/>
          <w:lang w:eastAsia="en-US"/>
        </w:rPr>
        <w:t>Saltindhold</w:t>
      </w:r>
    </w:p>
    <w:p w14:paraId="709D8BB2" w14:textId="77777777" w:rsidR="008A5B47" w:rsidRPr="00393250" w:rsidRDefault="008A5B47" w:rsidP="008A5B47">
      <w:pPr>
        <w:spacing w:before="120" w:after="120" w:line="360" w:lineRule="auto"/>
        <w:ind w:left="1416"/>
        <w:rPr>
          <w:szCs w:val="24"/>
          <w:lang w:eastAsia="en-US"/>
        </w:rPr>
      </w:pPr>
      <w:r w:rsidRPr="00393250">
        <w:rPr>
          <w:szCs w:val="24"/>
          <w:lang w:eastAsia="en-US"/>
        </w:rPr>
        <w:t>Forsuringstilstand</w:t>
      </w:r>
    </w:p>
    <w:p w14:paraId="67051FA7" w14:textId="77777777" w:rsidR="008A5B47" w:rsidRPr="00393250" w:rsidRDefault="008A5B47" w:rsidP="008A5B47">
      <w:pPr>
        <w:spacing w:before="120" w:after="120" w:line="360" w:lineRule="auto"/>
        <w:ind w:left="1416"/>
        <w:rPr>
          <w:szCs w:val="24"/>
          <w:lang w:eastAsia="en-US"/>
        </w:rPr>
      </w:pPr>
      <w:r w:rsidRPr="00393250">
        <w:rPr>
          <w:szCs w:val="24"/>
          <w:lang w:eastAsia="en-US"/>
        </w:rPr>
        <w:t>Næringsstofforhold</w:t>
      </w:r>
    </w:p>
    <w:p w14:paraId="4A9C2A66"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1.1.2.</w:t>
      </w:r>
      <w:r w:rsidRPr="00393250">
        <w:rPr>
          <w:szCs w:val="24"/>
          <w:lang w:eastAsia="en-US"/>
        </w:rPr>
        <w:tab/>
        <w:t xml:space="preserve"> Søer</w:t>
      </w:r>
    </w:p>
    <w:p w14:paraId="64137800" w14:textId="77777777" w:rsidR="008A5B47" w:rsidRPr="00393250" w:rsidRDefault="008A5B47" w:rsidP="008A5B47">
      <w:pPr>
        <w:spacing w:before="120" w:after="120" w:line="360" w:lineRule="auto"/>
        <w:ind w:left="1416"/>
        <w:rPr>
          <w:szCs w:val="24"/>
          <w:lang w:eastAsia="en-US"/>
        </w:rPr>
      </w:pPr>
      <w:r w:rsidRPr="00393250">
        <w:rPr>
          <w:szCs w:val="24"/>
          <w:lang w:eastAsia="en-US"/>
        </w:rPr>
        <w:t>Biologiske elementer</w:t>
      </w:r>
    </w:p>
    <w:p w14:paraId="7DD81AF7" w14:textId="77777777" w:rsidR="001302AA" w:rsidRPr="00393250" w:rsidRDefault="001302AA">
      <w:pPr>
        <w:widowControl/>
        <w:rPr>
          <w:szCs w:val="24"/>
          <w:lang w:eastAsia="en-US"/>
        </w:rPr>
      </w:pPr>
      <w:r w:rsidRPr="00393250">
        <w:rPr>
          <w:szCs w:val="24"/>
          <w:lang w:eastAsia="en-US"/>
        </w:rPr>
        <w:br w:type="page"/>
      </w:r>
    </w:p>
    <w:p w14:paraId="59EF75E2" w14:textId="69A1C38E" w:rsidR="008A5B47" w:rsidRPr="00393250" w:rsidRDefault="008A5B47" w:rsidP="008A5B47">
      <w:pPr>
        <w:spacing w:before="120" w:after="120" w:line="360" w:lineRule="auto"/>
        <w:ind w:left="1416"/>
        <w:rPr>
          <w:szCs w:val="24"/>
          <w:lang w:eastAsia="en-US"/>
        </w:rPr>
      </w:pPr>
      <w:r w:rsidRPr="00393250">
        <w:rPr>
          <w:szCs w:val="24"/>
          <w:lang w:eastAsia="en-US"/>
        </w:rPr>
        <w:lastRenderedPageBreak/>
        <w:t>Fytoplanktons sammensætning, tæthed og biomasse</w:t>
      </w:r>
    </w:p>
    <w:p w14:paraId="528A4FCB" w14:textId="77777777" w:rsidR="008A5B47" w:rsidRPr="00393250" w:rsidRDefault="008A5B47" w:rsidP="008A5B47">
      <w:pPr>
        <w:spacing w:before="120" w:after="120" w:line="360" w:lineRule="auto"/>
        <w:ind w:left="1416"/>
        <w:rPr>
          <w:szCs w:val="24"/>
          <w:lang w:eastAsia="en-US"/>
        </w:rPr>
      </w:pPr>
      <w:r w:rsidRPr="00393250">
        <w:rPr>
          <w:szCs w:val="24"/>
          <w:lang w:eastAsia="en-US"/>
        </w:rPr>
        <w:t>Anden akvatisk floras sammensætning og tæthed</w:t>
      </w:r>
    </w:p>
    <w:p w14:paraId="1F23FFC8" w14:textId="77777777" w:rsidR="008A5B47" w:rsidRPr="00393250" w:rsidRDefault="008A5B47" w:rsidP="008A5B47">
      <w:pPr>
        <w:spacing w:before="120" w:after="120" w:line="360" w:lineRule="auto"/>
        <w:ind w:left="1416"/>
        <w:rPr>
          <w:szCs w:val="24"/>
          <w:lang w:eastAsia="en-US"/>
        </w:rPr>
      </w:pPr>
      <w:r w:rsidRPr="00393250">
        <w:rPr>
          <w:szCs w:val="24"/>
          <w:lang w:eastAsia="en-US"/>
        </w:rPr>
        <w:t>Den bentiske invertebratfaunas sammensætning og tæthed</w:t>
      </w:r>
    </w:p>
    <w:p w14:paraId="431857C0" w14:textId="77777777" w:rsidR="008A5B47" w:rsidRPr="00393250" w:rsidRDefault="008A5B47" w:rsidP="008A5B47">
      <w:pPr>
        <w:spacing w:before="120" w:after="120" w:line="360" w:lineRule="auto"/>
        <w:ind w:left="1416"/>
        <w:rPr>
          <w:szCs w:val="24"/>
          <w:lang w:eastAsia="en-US"/>
        </w:rPr>
      </w:pPr>
      <w:r w:rsidRPr="00393250">
        <w:rPr>
          <w:szCs w:val="24"/>
          <w:lang w:eastAsia="en-US"/>
        </w:rPr>
        <w:t>Fiskefaunaens sammensætning, tæthed og aldersstruktur</w:t>
      </w:r>
    </w:p>
    <w:p w14:paraId="17EB2E27" w14:textId="77777777" w:rsidR="008A5B47" w:rsidRPr="00393250" w:rsidRDefault="008A5B47" w:rsidP="008A5B47">
      <w:pPr>
        <w:spacing w:before="120" w:after="120" w:line="360" w:lineRule="auto"/>
        <w:ind w:left="1416"/>
        <w:rPr>
          <w:szCs w:val="24"/>
          <w:lang w:eastAsia="en-US"/>
        </w:rPr>
      </w:pPr>
      <w:r w:rsidRPr="00393250">
        <w:rPr>
          <w:szCs w:val="24"/>
          <w:lang w:eastAsia="en-US"/>
        </w:rPr>
        <w:t>Hydromorfologiske elementer, der understøtter de biologiske elementer</w:t>
      </w:r>
    </w:p>
    <w:p w14:paraId="345659FF" w14:textId="77777777" w:rsidR="008A5B47" w:rsidRPr="00393250" w:rsidRDefault="008A5B47" w:rsidP="008A5B47">
      <w:pPr>
        <w:spacing w:before="120" w:after="120" w:line="360" w:lineRule="auto"/>
        <w:ind w:left="850"/>
        <w:rPr>
          <w:szCs w:val="24"/>
          <w:lang w:eastAsia="en-US"/>
        </w:rPr>
      </w:pPr>
      <w:r w:rsidRPr="00393250">
        <w:rPr>
          <w:szCs w:val="24"/>
          <w:lang w:eastAsia="en-US"/>
        </w:rPr>
        <w:t>Hydrologisk regime</w:t>
      </w:r>
    </w:p>
    <w:p w14:paraId="6FC75E94" w14:textId="77777777" w:rsidR="008A5B47" w:rsidRPr="00393250" w:rsidRDefault="008A5B47" w:rsidP="008A5B47">
      <w:pPr>
        <w:spacing w:before="120" w:after="120" w:line="360" w:lineRule="auto"/>
        <w:ind w:left="1416"/>
        <w:rPr>
          <w:szCs w:val="24"/>
          <w:lang w:eastAsia="en-US"/>
        </w:rPr>
      </w:pPr>
      <w:r w:rsidRPr="00393250">
        <w:rPr>
          <w:szCs w:val="24"/>
          <w:lang w:eastAsia="en-US"/>
        </w:rPr>
        <w:t>vandstrømningens volumen og dynamik</w:t>
      </w:r>
    </w:p>
    <w:p w14:paraId="4E8456E4" w14:textId="77777777" w:rsidR="008A5B47" w:rsidRPr="00393250" w:rsidRDefault="008A5B47" w:rsidP="008A5B47">
      <w:pPr>
        <w:spacing w:before="120" w:after="120" w:line="360" w:lineRule="auto"/>
        <w:ind w:left="1416"/>
        <w:rPr>
          <w:szCs w:val="24"/>
          <w:lang w:eastAsia="en-US"/>
        </w:rPr>
      </w:pPr>
      <w:r w:rsidRPr="00393250">
        <w:rPr>
          <w:szCs w:val="24"/>
          <w:lang w:eastAsia="en-US"/>
        </w:rPr>
        <w:t>opholdstid</w:t>
      </w:r>
    </w:p>
    <w:p w14:paraId="46063DDF" w14:textId="77777777" w:rsidR="008A5B47" w:rsidRPr="00393250" w:rsidRDefault="008A5B47" w:rsidP="008A5B47">
      <w:pPr>
        <w:spacing w:before="120" w:after="120" w:line="360" w:lineRule="auto"/>
        <w:ind w:left="1416"/>
        <w:rPr>
          <w:szCs w:val="24"/>
          <w:lang w:eastAsia="en-US"/>
        </w:rPr>
      </w:pPr>
      <w:r w:rsidRPr="00393250">
        <w:rPr>
          <w:szCs w:val="24"/>
          <w:lang w:eastAsia="en-US"/>
        </w:rPr>
        <w:t>forbindelse til grundvandsforekomster</w:t>
      </w:r>
    </w:p>
    <w:p w14:paraId="78807411" w14:textId="77777777" w:rsidR="008A5B47" w:rsidRPr="00393250" w:rsidRDefault="008A5B47" w:rsidP="008A5B47">
      <w:pPr>
        <w:spacing w:before="120" w:after="120" w:line="360" w:lineRule="auto"/>
        <w:ind w:left="850"/>
        <w:rPr>
          <w:szCs w:val="24"/>
          <w:lang w:eastAsia="en-US"/>
        </w:rPr>
      </w:pPr>
      <w:r w:rsidRPr="00393250">
        <w:rPr>
          <w:szCs w:val="24"/>
          <w:lang w:eastAsia="en-US"/>
        </w:rPr>
        <w:t>Morfologiske forhold</w:t>
      </w:r>
    </w:p>
    <w:p w14:paraId="72F1AB21" w14:textId="77777777" w:rsidR="008A5B47" w:rsidRPr="00393250" w:rsidRDefault="008A5B47" w:rsidP="008A5B47">
      <w:pPr>
        <w:spacing w:before="120" w:after="120" w:line="360" w:lineRule="auto"/>
        <w:ind w:left="1416"/>
        <w:rPr>
          <w:szCs w:val="24"/>
          <w:lang w:eastAsia="en-US"/>
        </w:rPr>
      </w:pPr>
      <w:r w:rsidRPr="00393250">
        <w:rPr>
          <w:szCs w:val="24"/>
          <w:lang w:eastAsia="en-US"/>
        </w:rPr>
        <w:t>variation i søens dybde</w:t>
      </w:r>
    </w:p>
    <w:p w14:paraId="3C3F140A" w14:textId="77777777" w:rsidR="008A5B47" w:rsidRPr="00393250" w:rsidRDefault="008A5B47" w:rsidP="008A5B47">
      <w:pPr>
        <w:spacing w:before="120" w:after="120" w:line="360" w:lineRule="auto"/>
        <w:ind w:left="1416"/>
        <w:rPr>
          <w:szCs w:val="24"/>
          <w:lang w:eastAsia="en-US"/>
        </w:rPr>
      </w:pPr>
      <w:r w:rsidRPr="00393250">
        <w:rPr>
          <w:szCs w:val="24"/>
          <w:lang w:eastAsia="en-US"/>
        </w:rPr>
        <w:t>volumen og bundforhold (struktur og substrat)</w:t>
      </w:r>
    </w:p>
    <w:p w14:paraId="5AF091A2" w14:textId="77777777" w:rsidR="008A5B47" w:rsidRPr="00393250" w:rsidRDefault="008A5B47" w:rsidP="008A5B47">
      <w:pPr>
        <w:spacing w:before="120" w:after="120" w:line="360" w:lineRule="auto"/>
        <w:ind w:left="1416"/>
        <w:rPr>
          <w:szCs w:val="24"/>
          <w:lang w:eastAsia="en-US"/>
        </w:rPr>
      </w:pPr>
      <w:r w:rsidRPr="00393250">
        <w:rPr>
          <w:szCs w:val="24"/>
          <w:lang w:eastAsia="en-US"/>
        </w:rPr>
        <w:t>søbreddens struktur</w:t>
      </w:r>
    </w:p>
    <w:p w14:paraId="25EEC321" w14:textId="77777777" w:rsidR="001302AA" w:rsidRPr="00393250" w:rsidRDefault="001302AA">
      <w:pPr>
        <w:widowControl/>
        <w:rPr>
          <w:szCs w:val="24"/>
          <w:lang w:eastAsia="en-US"/>
        </w:rPr>
      </w:pPr>
      <w:r w:rsidRPr="00393250">
        <w:rPr>
          <w:szCs w:val="24"/>
          <w:lang w:eastAsia="en-US"/>
        </w:rPr>
        <w:br w:type="page"/>
      </w:r>
    </w:p>
    <w:p w14:paraId="5A0FD110" w14:textId="668F63A6" w:rsidR="008A5B47" w:rsidRPr="00393250" w:rsidRDefault="008A5B47" w:rsidP="008A5B47">
      <w:pPr>
        <w:spacing w:before="120" w:after="120" w:line="360" w:lineRule="auto"/>
        <w:ind w:left="1416"/>
        <w:rPr>
          <w:szCs w:val="24"/>
          <w:lang w:eastAsia="en-US"/>
        </w:rPr>
      </w:pPr>
      <w:r w:rsidRPr="00393250">
        <w:rPr>
          <w:szCs w:val="24"/>
          <w:lang w:eastAsia="en-US"/>
        </w:rPr>
        <w:lastRenderedPageBreak/>
        <w:t>Generelle fysisk-kemiske elementer, der understøtter de biologiske elementer</w:t>
      </w:r>
    </w:p>
    <w:p w14:paraId="2BD42B28" w14:textId="77777777" w:rsidR="008A5B47" w:rsidRPr="00393250" w:rsidRDefault="008A5B47" w:rsidP="008A5B47">
      <w:pPr>
        <w:spacing w:before="120" w:after="120" w:line="360" w:lineRule="auto"/>
        <w:ind w:left="1416"/>
        <w:rPr>
          <w:szCs w:val="24"/>
          <w:lang w:eastAsia="en-US"/>
        </w:rPr>
      </w:pPr>
      <w:r w:rsidRPr="00393250">
        <w:rPr>
          <w:szCs w:val="24"/>
          <w:lang w:eastAsia="en-US"/>
        </w:rPr>
        <w:t>Gennemsigtighed</w:t>
      </w:r>
    </w:p>
    <w:p w14:paraId="058856EE" w14:textId="77777777" w:rsidR="008A5B47" w:rsidRPr="00393250" w:rsidRDefault="008A5B47" w:rsidP="008A5B47">
      <w:pPr>
        <w:spacing w:before="120" w:after="120" w:line="360" w:lineRule="auto"/>
        <w:ind w:left="1416"/>
        <w:rPr>
          <w:szCs w:val="24"/>
          <w:lang w:eastAsia="en-US"/>
        </w:rPr>
      </w:pPr>
      <w:r w:rsidRPr="00393250">
        <w:rPr>
          <w:szCs w:val="24"/>
          <w:lang w:eastAsia="en-US"/>
        </w:rPr>
        <w:t>Termiske forhold</w:t>
      </w:r>
    </w:p>
    <w:p w14:paraId="5A7BA12E" w14:textId="77777777" w:rsidR="008A5B47" w:rsidRPr="00393250" w:rsidRDefault="008A5B47" w:rsidP="008A5B47">
      <w:pPr>
        <w:spacing w:before="120" w:after="120" w:line="360" w:lineRule="auto"/>
        <w:ind w:left="1416"/>
        <w:rPr>
          <w:szCs w:val="24"/>
          <w:lang w:eastAsia="en-US"/>
        </w:rPr>
      </w:pPr>
      <w:r w:rsidRPr="00393250">
        <w:rPr>
          <w:szCs w:val="24"/>
          <w:lang w:eastAsia="en-US"/>
        </w:rPr>
        <w:t>Iltforhold</w:t>
      </w:r>
    </w:p>
    <w:p w14:paraId="53E34ECE" w14:textId="77777777" w:rsidR="008A5B47" w:rsidRPr="00393250" w:rsidRDefault="008A5B47" w:rsidP="008A5B47">
      <w:pPr>
        <w:spacing w:before="120" w:after="120" w:line="360" w:lineRule="auto"/>
        <w:ind w:left="1416"/>
        <w:rPr>
          <w:szCs w:val="24"/>
          <w:lang w:eastAsia="en-US"/>
        </w:rPr>
      </w:pPr>
      <w:r w:rsidRPr="00393250">
        <w:rPr>
          <w:szCs w:val="24"/>
          <w:lang w:eastAsia="en-US"/>
        </w:rPr>
        <w:t>Saltindhold</w:t>
      </w:r>
    </w:p>
    <w:p w14:paraId="525320A8" w14:textId="77777777" w:rsidR="008A5B47" w:rsidRPr="00393250" w:rsidRDefault="008A5B47" w:rsidP="008A5B47">
      <w:pPr>
        <w:spacing w:before="120" w:after="120" w:line="360" w:lineRule="auto"/>
        <w:ind w:left="1416"/>
        <w:rPr>
          <w:szCs w:val="24"/>
          <w:lang w:eastAsia="en-US"/>
        </w:rPr>
      </w:pPr>
      <w:r w:rsidRPr="00393250">
        <w:rPr>
          <w:szCs w:val="24"/>
          <w:lang w:eastAsia="en-US"/>
        </w:rPr>
        <w:t>Forsuringstilstand</w:t>
      </w:r>
    </w:p>
    <w:p w14:paraId="5A18B57B" w14:textId="77777777" w:rsidR="008A5B47" w:rsidRPr="00393250" w:rsidRDefault="008A5B47" w:rsidP="008A5B47">
      <w:pPr>
        <w:spacing w:before="120" w:after="120" w:line="360" w:lineRule="auto"/>
        <w:ind w:left="1416"/>
        <w:rPr>
          <w:szCs w:val="24"/>
          <w:lang w:eastAsia="en-US"/>
        </w:rPr>
      </w:pPr>
      <w:r w:rsidRPr="00393250">
        <w:rPr>
          <w:szCs w:val="24"/>
          <w:lang w:eastAsia="en-US"/>
        </w:rPr>
        <w:t>Næringsstofforhold</w:t>
      </w:r>
    </w:p>
    <w:p w14:paraId="00F71178"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1.1.3.</w:t>
      </w:r>
      <w:r w:rsidRPr="00393250">
        <w:rPr>
          <w:szCs w:val="24"/>
          <w:lang w:eastAsia="en-US"/>
        </w:rPr>
        <w:tab/>
        <w:t>Overgangsvande</w:t>
      </w:r>
    </w:p>
    <w:p w14:paraId="2165DDA5" w14:textId="77777777" w:rsidR="008A5B47" w:rsidRPr="00393250" w:rsidRDefault="008A5B47" w:rsidP="008A5B47">
      <w:pPr>
        <w:spacing w:before="120" w:after="120" w:line="360" w:lineRule="auto"/>
        <w:ind w:left="1416"/>
        <w:rPr>
          <w:szCs w:val="24"/>
          <w:lang w:eastAsia="en-US"/>
        </w:rPr>
      </w:pPr>
      <w:r w:rsidRPr="00393250">
        <w:rPr>
          <w:szCs w:val="24"/>
          <w:lang w:eastAsia="en-US"/>
        </w:rPr>
        <w:t>Biologiske elementer</w:t>
      </w:r>
    </w:p>
    <w:p w14:paraId="5BF4CD7F" w14:textId="77777777" w:rsidR="008A5B47" w:rsidRPr="00393250" w:rsidRDefault="008A5B47" w:rsidP="008A5B47">
      <w:pPr>
        <w:spacing w:before="120" w:after="120" w:line="360" w:lineRule="auto"/>
        <w:ind w:left="1416"/>
        <w:rPr>
          <w:szCs w:val="24"/>
          <w:lang w:eastAsia="en-US"/>
        </w:rPr>
      </w:pPr>
      <w:r w:rsidRPr="00393250">
        <w:rPr>
          <w:szCs w:val="24"/>
          <w:lang w:eastAsia="en-US"/>
        </w:rPr>
        <w:t>Fytoplanktons sammensætning, tæthed og biomasse</w:t>
      </w:r>
    </w:p>
    <w:p w14:paraId="597C5C36" w14:textId="77777777" w:rsidR="008A5B47" w:rsidRPr="00393250" w:rsidRDefault="008A5B47" w:rsidP="008A5B47">
      <w:pPr>
        <w:spacing w:before="120" w:after="120" w:line="360" w:lineRule="auto"/>
        <w:ind w:left="1416"/>
        <w:rPr>
          <w:szCs w:val="24"/>
          <w:lang w:eastAsia="en-US"/>
        </w:rPr>
      </w:pPr>
      <w:r w:rsidRPr="00393250">
        <w:rPr>
          <w:szCs w:val="24"/>
          <w:lang w:eastAsia="en-US"/>
        </w:rPr>
        <w:t>Anden akvatisk floras sammensætning og tæthed</w:t>
      </w:r>
    </w:p>
    <w:p w14:paraId="12EA6853" w14:textId="77777777" w:rsidR="008A5B47" w:rsidRPr="00393250" w:rsidRDefault="008A5B47" w:rsidP="008A5B47">
      <w:pPr>
        <w:spacing w:before="120" w:after="120" w:line="360" w:lineRule="auto"/>
        <w:ind w:left="1416"/>
        <w:rPr>
          <w:szCs w:val="24"/>
          <w:lang w:eastAsia="en-US"/>
        </w:rPr>
      </w:pPr>
      <w:r w:rsidRPr="00393250">
        <w:rPr>
          <w:szCs w:val="24"/>
          <w:lang w:eastAsia="en-US"/>
        </w:rPr>
        <w:t>Den bentiske invertebratfaunas sammensætning og tæthed</w:t>
      </w:r>
    </w:p>
    <w:p w14:paraId="45B0F06C" w14:textId="77777777" w:rsidR="008A5B47" w:rsidRPr="00393250" w:rsidRDefault="008A5B47" w:rsidP="008A5B47">
      <w:pPr>
        <w:spacing w:before="120" w:after="120" w:line="360" w:lineRule="auto"/>
        <w:ind w:left="1416"/>
        <w:rPr>
          <w:szCs w:val="24"/>
          <w:lang w:eastAsia="en-US"/>
        </w:rPr>
      </w:pPr>
      <w:r w:rsidRPr="00393250">
        <w:rPr>
          <w:szCs w:val="24"/>
          <w:lang w:eastAsia="en-US"/>
        </w:rPr>
        <w:t>Fiskefaunaens sammensætning og tæthed</w:t>
      </w:r>
    </w:p>
    <w:p w14:paraId="1CA439B0" w14:textId="77777777" w:rsidR="001302AA" w:rsidRPr="00393250" w:rsidRDefault="001302AA">
      <w:pPr>
        <w:widowControl/>
        <w:rPr>
          <w:szCs w:val="24"/>
          <w:lang w:eastAsia="en-US"/>
        </w:rPr>
      </w:pPr>
      <w:r w:rsidRPr="00393250">
        <w:rPr>
          <w:szCs w:val="24"/>
          <w:lang w:eastAsia="en-US"/>
        </w:rPr>
        <w:br w:type="page"/>
      </w:r>
    </w:p>
    <w:p w14:paraId="300448E2" w14:textId="53C08B13" w:rsidR="008A5B47" w:rsidRPr="00393250" w:rsidRDefault="008A5B47" w:rsidP="008A5B47">
      <w:pPr>
        <w:spacing w:before="120" w:after="120" w:line="360" w:lineRule="auto"/>
        <w:ind w:left="1416"/>
        <w:rPr>
          <w:szCs w:val="24"/>
          <w:lang w:eastAsia="en-US"/>
        </w:rPr>
      </w:pPr>
      <w:r w:rsidRPr="00393250">
        <w:rPr>
          <w:szCs w:val="24"/>
          <w:lang w:eastAsia="en-US"/>
        </w:rPr>
        <w:lastRenderedPageBreak/>
        <w:t>Hydromorfologiske elementer, der understøtter de biologiske elementer</w:t>
      </w:r>
    </w:p>
    <w:p w14:paraId="2F6CE44A" w14:textId="77777777" w:rsidR="008A5B47" w:rsidRPr="00393250" w:rsidRDefault="008A5B47" w:rsidP="008A5B47">
      <w:pPr>
        <w:spacing w:before="120" w:after="120" w:line="360" w:lineRule="auto"/>
        <w:ind w:left="850"/>
        <w:rPr>
          <w:szCs w:val="24"/>
          <w:lang w:eastAsia="en-US"/>
        </w:rPr>
      </w:pPr>
      <w:r w:rsidRPr="00393250">
        <w:rPr>
          <w:szCs w:val="24"/>
          <w:lang w:eastAsia="en-US"/>
        </w:rPr>
        <w:t>Morfologiske forhold</w:t>
      </w:r>
    </w:p>
    <w:p w14:paraId="7F7EAAB8" w14:textId="77777777" w:rsidR="008A5B47" w:rsidRPr="00393250" w:rsidRDefault="008A5B47" w:rsidP="008A5B47">
      <w:pPr>
        <w:spacing w:before="120" w:after="120" w:line="360" w:lineRule="auto"/>
        <w:ind w:left="1416"/>
        <w:rPr>
          <w:szCs w:val="24"/>
          <w:lang w:eastAsia="en-US"/>
        </w:rPr>
      </w:pPr>
      <w:r w:rsidRPr="00393250">
        <w:rPr>
          <w:szCs w:val="24"/>
          <w:lang w:eastAsia="en-US"/>
        </w:rPr>
        <w:t>dybdevariation</w:t>
      </w:r>
    </w:p>
    <w:p w14:paraId="39684BC1" w14:textId="77777777" w:rsidR="008A5B47" w:rsidRPr="00393250" w:rsidRDefault="008A5B47" w:rsidP="008A5B47">
      <w:pPr>
        <w:spacing w:before="120" w:after="120" w:line="360" w:lineRule="auto"/>
        <w:ind w:left="1416"/>
        <w:rPr>
          <w:szCs w:val="24"/>
          <w:lang w:eastAsia="en-US"/>
        </w:rPr>
      </w:pPr>
      <w:r w:rsidRPr="00393250">
        <w:rPr>
          <w:szCs w:val="24"/>
          <w:lang w:eastAsia="en-US"/>
        </w:rPr>
        <w:t>volumen og bundforhold (struktur og substrat)</w:t>
      </w:r>
    </w:p>
    <w:p w14:paraId="712F0F24" w14:textId="77777777" w:rsidR="008A5B47" w:rsidRPr="00393250" w:rsidRDefault="008A5B47" w:rsidP="008A5B47">
      <w:pPr>
        <w:spacing w:before="120" w:after="120" w:line="360" w:lineRule="auto"/>
        <w:ind w:left="1416"/>
        <w:rPr>
          <w:szCs w:val="24"/>
          <w:lang w:eastAsia="en-US"/>
        </w:rPr>
      </w:pPr>
      <w:r w:rsidRPr="00393250">
        <w:rPr>
          <w:szCs w:val="24"/>
          <w:lang w:eastAsia="en-US"/>
        </w:rPr>
        <w:t>tidevandszonens struktur</w:t>
      </w:r>
    </w:p>
    <w:p w14:paraId="3564C4BA" w14:textId="77777777" w:rsidR="008A5B47" w:rsidRPr="00393250" w:rsidRDefault="008A5B47" w:rsidP="008A5B47">
      <w:pPr>
        <w:spacing w:before="120" w:after="120" w:line="360" w:lineRule="auto"/>
        <w:ind w:left="850"/>
        <w:rPr>
          <w:szCs w:val="24"/>
          <w:lang w:eastAsia="en-US"/>
        </w:rPr>
      </w:pPr>
      <w:r w:rsidRPr="00393250">
        <w:rPr>
          <w:szCs w:val="24"/>
          <w:lang w:eastAsia="en-US"/>
        </w:rPr>
        <w:t>Tidevandsregime</w:t>
      </w:r>
    </w:p>
    <w:p w14:paraId="75DBD5BB" w14:textId="77777777" w:rsidR="008A5B47" w:rsidRPr="00393250" w:rsidRDefault="008A5B47" w:rsidP="008A5B47">
      <w:pPr>
        <w:spacing w:before="120" w:after="120" w:line="360" w:lineRule="auto"/>
        <w:ind w:left="1416"/>
        <w:rPr>
          <w:szCs w:val="24"/>
          <w:lang w:eastAsia="en-US"/>
        </w:rPr>
      </w:pPr>
      <w:r w:rsidRPr="00393250">
        <w:rPr>
          <w:szCs w:val="24"/>
          <w:lang w:eastAsia="en-US"/>
        </w:rPr>
        <w:t>ferskvandsstrømning</w:t>
      </w:r>
    </w:p>
    <w:p w14:paraId="0DA34FB0" w14:textId="77777777" w:rsidR="008A5B47" w:rsidRPr="00393250" w:rsidRDefault="008A5B47" w:rsidP="008A5B47">
      <w:pPr>
        <w:spacing w:before="120" w:after="120" w:line="360" w:lineRule="auto"/>
        <w:ind w:left="1416"/>
        <w:rPr>
          <w:szCs w:val="24"/>
          <w:lang w:eastAsia="en-US"/>
        </w:rPr>
      </w:pPr>
      <w:r w:rsidRPr="00393250">
        <w:rPr>
          <w:szCs w:val="24"/>
          <w:lang w:eastAsia="en-US"/>
        </w:rPr>
        <w:t>bølgeeksponering</w:t>
      </w:r>
    </w:p>
    <w:p w14:paraId="4D34C404" w14:textId="77777777" w:rsidR="008A5B47" w:rsidRPr="00393250" w:rsidRDefault="008A5B47" w:rsidP="008A5B47">
      <w:pPr>
        <w:spacing w:before="120" w:after="120" w:line="360" w:lineRule="auto"/>
        <w:ind w:left="1416"/>
        <w:rPr>
          <w:szCs w:val="24"/>
          <w:lang w:eastAsia="en-US"/>
        </w:rPr>
      </w:pPr>
      <w:r w:rsidRPr="00393250">
        <w:rPr>
          <w:szCs w:val="24"/>
          <w:lang w:eastAsia="en-US"/>
        </w:rPr>
        <w:t>Generelle fysisk-kemiske elementer, der understøtter de biologiske elementer</w:t>
      </w:r>
    </w:p>
    <w:p w14:paraId="7C50A651" w14:textId="77777777" w:rsidR="008A5B47" w:rsidRPr="00393250" w:rsidRDefault="008A5B47" w:rsidP="008A5B47">
      <w:pPr>
        <w:spacing w:before="120" w:after="120" w:line="360" w:lineRule="auto"/>
        <w:ind w:left="1416"/>
        <w:rPr>
          <w:szCs w:val="24"/>
          <w:lang w:eastAsia="en-US"/>
        </w:rPr>
      </w:pPr>
      <w:r w:rsidRPr="00393250">
        <w:rPr>
          <w:szCs w:val="24"/>
          <w:lang w:eastAsia="en-US"/>
        </w:rPr>
        <w:t>Gennemsigtighed</w:t>
      </w:r>
    </w:p>
    <w:p w14:paraId="3D095B9A" w14:textId="77777777" w:rsidR="008A5B47" w:rsidRPr="00393250" w:rsidRDefault="008A5B47" w:rsidP="008A5B47">
      <w:pPr>
        <w:spacing w:before="120" w:after="120" w:line="360" w:lineRule="auto"/>
        <w:ind w:left="1416"/>
        <w:rPr>
          <w:szCs w:val="24"/>
          <w:lang w:eastAsia="en-US"/>
        </w:rPr>
      </w:pPr>
      <w:r w:rsidRPr="00393250">
        <w:rPr>
          <w:szCs w:val="24"/>
          <w:lang w:eastAsia="en-US"/>
        </w:rPr>
        <w:t>Termiske forhold</w:t>
      </w:r>
    </w:p>
    <w:p w14:paraId="2B0BE542" w14:textId="77777777" w:rsidR="008A5B47" w:rsidRPr="00393250" w:rsidRDefault="008A5B47" w:rsidP="008A5B47">
      <w:pPr>
        <w:spacing w:before="120" w:after="120" w:line="360" w:lineRule="auto"/>
        <w:ind w:left="1416"/>
        <w:rPr>
          <w:szCs w:val="24"/>
          <w:lang w:eastAsia="en-US"/>
        </w:rPr>
      </w:pPr>
      <w:r w:rsidRPr="00393250">
        <w:rPr>
          <w:szCs w:val="24"/>
          <w:lang w:eastAsia="en-US"/>
        </w:rPr>
        <w:t>Iltforhold</w:t>
      </w:r>
    </w:p>
    <w:p w14:paraId="2E85E7BC" w14:textId="77777777" w:rsidR="001302AA" w:rsidRPr="00393250" w:rsidRDefault="001302AA">
      <w:pPr>
        <w:widowControl/>
        <w:rPr>
          <w:szCs w:val="24"/>
          <w:lang w:eastAsia="en-US"/>
        </w:rPr>
      </w:pPr>
      <w:r w:rsidRPr="00393250">
        <w:rPr>
          <w:szCs w:val="24"/>
          <w:lang w:eastAsia="en-US"/>
        </w:rPr>
        <w:br w:type="page"/>
      </w:r>
    </w:p>
    <w:p w14:paraId="0266E54E" w14:textId="1696B40C" w:rsidR="008A5B47" w:rsidRPr="00393250" w:rsidRDefault="008A5B47" w:rsidP="008A5B47">
      <w:pPr>
        <w:spacing w:before="120" w:after="120" w:line="360" w:lineRule="auto"/>
        <w:ind w:left="1416"/>
        <w:rPr>
          <w:szCs w:val="24"/>
          <w:lang w:eastAsia="en-US"/>
        </w:rPr>
      </w:pPr>
      <w:r w:rsidRPr="00393250">
        <w:rPr>
          <w:szCs w:val="24"/>
          <w:lang w:eastAsia="en-US"/>
        </w:rPr>
        <w:lastRenderedPageBreak/>
        <w:t>Saltindhold</w:t>
      </w:r>
    </w:p>
    <w:p w14:paraId="40778A06" w14:textId="77777777" w:rsidR="008A5B47" w:rsidRPr="00393250" w:rsidRDefault="008A5B47" w:rsidP="008A5B47">
      <w:pPr>
        <w:spacing w:before="120" w:after="120" w:line="360" w:lineRule="auto"/>
        <w:ind w:left="1416"/>
        <w:rPr>
          <w:szCs w:val="24"/>
          <w:lang w:eastAsia="en-US"/>
        </w:rPr>
      </w:pPr>
      <w:r w:rsidRPr="00393250">
        <w:rPr>
          <w:szCs w:val="24"/>
          <w:lang w:eastAsia="en-US"/>
        </w:rPr>
        <w:t>Næringsstofforhold</w:t>
      </w:r>
    </w:p>
    <w:p w14:paraId="44F6D3DC"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1.1.4.</w:t>
      </w:r>
      <w:r w:rsidRPr="00393250">
        <w:rPr>
          <w:szCs w:val="24"/>
          <w:lang w:eastAsia="en-US"/>
        </w:rPr>
        <w:tab/>
        <w:t xml:space="preserve"> Kystvande</w:t>
      </w:r>
    </w:p>
    <w:p w14:paraId="4C2A7AEF" w14:textId="77777777" w:rsidR="008A5B47" w:rsidRPr="00393250" w:rsidRDefault="008A5B47" w:rsidP="008A5B47">
      <w:pPr>
        <w:spacing w:before="120" w:after="120" w:line="360" w:lineRule="auto"/>
        <w:ind w:left="1416"/>
        <w:rPr>
          <w:szCs w:val="24"/>
          <w:lang w:eastAsia="en-US"/>
        </w:rPr>
      </w:pPr>
      <w:r w:rsidRPr="00393250">
        <w:rPr>
          <w:szCs w:val="24"/>
          <w:lang w:eastAsia="en-US"/>
        </w:rPr>
        <w:t>Biologiske elementer</w:t>
      </w:r>
    </w:p>
    <w:p w14:paraId="14BAFEC4" w14:textId="77777777" w:rsidR="008A5B47" w:rsidRPr="00393250" w:rsidRDefault="008A5B47" w:rsidP="008A5B47">
      <w:pPr>
        <w:spacing w:before="120" w:after="120" w:line="360" w:lineRule="auto"/>
        <w:ind w:left="1416"/>
        <w:rPr>
          <w:szCs w:val="24"/>
          <w:lang w:eastAsia="en-US"/>
        </w:rPr>
      </w:pPr>
      <w:r w:rsidRPr="00393250">
        <w:rPr>
          <w:szCs w:val="24"/>
          <w:lang w:eastAsia="en-US"/>
        </w:rPr>
        <w:t>Fytoplanktons sammensætning, tæthed og biomasse</w:t>
      </w:r>
    </w:p>
    <w:p w14:paraId="64CC53CE" w14:textId="77777777" w:rsidR="008A5B47" w:rsidRPr="00393250" w:rsidRDefault="008A5B47" w:rsidP="008A5B47">
      <w:pPr>
        <w:spacing w:before="120" w:after="120" w:line="360" w:lineRule="auto"/>
        <w:ind w:left="1416"/>
        <w:rPr>
          <w:szCs w:val="24"/>
          <w:lang w:eastAsia="en-US"/>
        </w:rPr>
      </w:pPr>
      <w:r w:rsidRPr="00393250">
        <w:rPr>
          <w:szCs w:val="24"/>
          <w:lang w:eastAsia="en-US"/>
        </w:rPr>
        <w:t>Anden akvatisk floras sammensætning og tæthed</w:t>
      </w:r>
    </w:p>
    <w:p w14:paraId="0DB8054B" w14:textId="77777777" w:rsidR="008A5B47" w:rsidRPr="00393250" w:rsidRDefault="008A5B47" w:rsidP="008A5B47">
      <w:pPr>
        <w:spacing w:before="120" w:after="120" w:line="360" w:lineRule="auto"/>
        <w:ind w:left="1416"/>
        <w:rPr>
          <w:szCs w:val="24"/>
          <w:lang w:eastAsia="en-US"/>
        </w:rPr>
      </w:pPr>
      <w:r w:rsidRPr="00393250">
        <w:rPr>
          <w:szCs w:val="24"/>
          <w:lang w:eastAsia="en-US"/>
        </w:rPr>
        <w:t>Den bentiske invertebratfaunas sammensætning og tæthed</w:t>
      </w:r>
    </w:p>
    <w:p w14:paraId="67AFC099" w14:textId="77777777" w:rsidR="008A5B47" w:rsidRPr="00393250" w:rsidRDefault="008A5B47" w:rsidP="008A5B47">
      <w:pPr>
        <w:spacing w:before="120" w:after="120" w:line="360" w:lineRule="auto"/>
        <w:ind w:left="1416"/>
        <w:rPr>
          <w:szCs w:val="24"/>
          <w:lang w:eastAsia="en-US"/>
        </w:rPr>
      </w:pPr>
      <w:r w:rsidRPr="00393250">
        <w:rPr>
          <w:szCs w:val="24"/>
          <w:lang w:eastAsia="en-US"/>
        </w:rPr>
        <w:t>Hydromorfologiske elementer, der understøtter de biologiske elementer</w:t>
      </w:r>
    </w:p>
    <w:p w14:paraId="5C7C89D1" w14:textId="77777777" w:rsidR="008A5B47" w:rsidRPr="00393250" w:rsidRDefault="008A5B47" w:rsidP="008A5B47">
      <w:pPr>
        <w:spacing w:before="120" w:after="120" w:line="360" w:lineRule="auto"/>
        <w:ind w:left="850"/>
        <w:rPr>
          <w:szCs w:val="24"/>
          <w:lang w:eastAsia="en-US"/>
        </w:rPr>
      </w:pPr>
      <w:r w:rsidRPr="00393250">
        <w:rPr>
          <w:szCs w:val="24"/>
          <w:lang w:eastAsia="en-US"/>
        </w:rPr>
        <w:t>Morfologiske forhold</w:t>
      </w:r>
    </w:p>
    <w:p w14:paraId="30C007C5" w14:textId="77777777" w:rsidR="008A5B47" w:rsidRPr="00393250" w:rsidRDefault="008A5B47" w:rsidP="008A5B47">
      <w:pPr>
        <w:spacing w:before="120" w:after="120" w:line="360" w:lineRule="auto"/>
        <w:ind w:left="1416"/>
        <w:rPr>
          <w:szCs w:val="24"/>
          <w:lang w:eastAsia="en-US"/>
        </w:rPr>
      </w:pPr>
      <w:r w:rsidRPr="00393250">
        <w:rPr>
          <w:szCs w:val="24"/>
          <w:lang w:eastAsia="en-US"/>
        </w:rPr>
        <w:t>dybdevariation</w:t>
      </w:r>
    </w:p>
    <w:p w14:paraId="51F6D92C" w14:textId="77777777" w:rsidR="008A5B47" w:rsidRPr="00393250" w:rsidRDefault="008A5B47" w:rsidP="008A5B47">
      <w:pPr>
        <w:spacing w:before="120" w:after="120" w:line="360" w:lineRule="auto"/>
        <w:ind w:left="1416"/>
        <w:rPr>
          <w:szCs w:val="24"/>
          <w:lang w:eastAsia="en-US"/>
        </w:rPr>
      </w:pPr>
      <w:r w:rsidRPr="00393250">
        <w:rPr>
          <w:szCs w:val="24"/>
          <w:lang w:eastAsia="en-US"/>
        </w:rPr>
        <w:t>bundforhold (struktur og substrat)</w:t>
      </w:r>
    </w:p>
    <w:p w14:paraId="05F64734" w14:textId="77777777" w:rsidR="008A5B47" w:rsidRPr="00393250" w:rsidRDefault="008A5B47" w:rsidP="008A5B47">
      <w:pPr>
        <w:spacing w:before="120" w:after="120" w:line="360" w:lineRule="auto"/>
        <w:ind w:left="1416"/>
        <w:rPr>
          <w:szCs w:val="24"/>
          <w:lang w:eastAsia="en-US"/>
        </w:rPr>
      </w:pPr>
      <w:r w:rsidRPr="00393250">
        <w:rPr>
          <w:szCs w:val="24"/>
          <w:lang w:eastAsia="en-US"/>
        </w:rPr>
        <w:t>tidevandszonens struktur</w:t>
      </w:r>
    </w:p>
    <w:p w14:paraId="4720F036" w14:textId="77777777" w:rsidR="001302AA" w:rsidRPr="00393250" w:rsidRDefault="001302AA">
      <w:pPr>
        <w:widowControl/>
        <w:rPr>
          <w:szCs w:val="24"/>
          <w:lang w:eastAsia="en-US"/>
        </w:rPr>
      </w:pPr>
      <w:r w:rsidRPr="00393250">
        <w:rPr>
          <w:szCs w:val="24"/>
          <w:lang w:eastAsia="en-US"/>
        </w:rPr>
        <w:br w:type="page"/>
      </w:r>
    </w:p>
    <w:p w14:paraId="54163DAD" w14:textId="6217D3B0" w:rsidR="008A5B47" w:rsidRPr="00393250" w:rsidRDefault="008A5B47" w:rsidP="008A5B47">
      <w:pPr>
        <w:spacing w:before="120" w:after="120" w:line="360" w:lineRule="auto"/>
        <w:ind w:left="850"/>
        <w:rPr>
          <w:szCs w:val="24"/>
          <w:lang w:eastAsia="en-US"/>
        </w:rPr>
      </w:pPr>
      <w:r w:rsidRPr="00393250">
        <w:rPr>
          <w:szCs w:val="24"/>
          <w:lang w:eastAsia="en-US"/>
        </w:rPr>
        <w:lastRenderedPageBreak/>
        <w:t>Tidevandsregime</w:t>
      </w:r>
    </w:p>
    <w:p w14:paraId="744900FE" w14:textId="77777777" w:rsidR="008A5B47" w:rsidRPr="00393250" w:rsidRDefault="008A5B47" w:rsidP="008A5B47">
      <w:pPr>
        <w:spacing w:before="120" w:after="120" w:line="360" w:lineRule="auto"/>
        <w:ind w:left="1416"/>
        <w:rPr>
          <w:szCs w:val="24"/>
          <w:lang w:eastAsia="en-US"/>
        </w:rPr>
      </w:pPr>
      <w:r w:rsidRPr="00393250">
        <w:rPr>
          <w:szCs w:val="24"/>
          <w:lang w:eastAsia="en-US"/>
        </w:rPr>
        <w:t>de dominerende strømmes retning</w:t>
      </w:r>
    </w:p>
    <w:p w14:paraId="2FB806BD" w14:textId="77777777" w:rsidR="008A5B47" w:rsidRPr="00393250" w:rsidRDefault="008A5B47" w:rsidP="008A5B47">
      <w:pPr>
        <w:spacing w:before="120" w:after="120" w:line="360" w:lineRule="auto"/>
        <w:ind w:left="1416"/>
        <w:rPr>
          <w:szCs w:val="24"/>
          <w:lang w:eastAsia="en-US"/>
        </w:rPr>
      </w:pPr>
      <w:r w:rsidRPr="00393250">
        <w:rPr>
          <w:szCs w:val="24"/>
          <w:lang w:eastAsia="en-US"/>
        </w:rPr>
        <w:t>bølgeeksponering</w:t>
      </w:r>
    </w:p>
    <w:p w14:paraId="41E73AE1" w14:textId="77777777" w:rsidR="008A5B47" w:rsidRPr="00393250" w:rsidRDefault="008A5B47" w:rsidP="008A5B47">
      <w:pPr>
        <w:spacing w:before="120" w:after="120" w:line="360" w:lineRule="auto"/>
        <w:ind w:left="1416"/>
        <w:rPr>
          <w:szCs w:val="24"/>
          <w:lang w:eastAsia="en-US"/>
        </w:rPr>
      </w:pPr>
      <w:r w:rsidRPr="00393250">
        <w:rPr>
          <w:szCs w:val="24"/>
          <w:lang w:eastAsia="en-US"/>
        </w:rPr>
        <w:t>Generelle fysisk-kemiske elementer, der understøtter de biologiske elementer</w:t>
      </w:r>
    </w:p>
    <w:p w14:paraId="5ECAA8BF" w14:textId="77777777" w:rsidR="008A5B47" w:rsidRPr="00393250" w:rsidRDefault="008A5B47" w:rsidP="008A5B47">
      <w:pPr>
        <w:spacing w:before="120" w:after="120" w:line="360" w:lineRule="auto"/>
        <w:ind w:left="1416"/>
        <w:rPr>
          <w:szCs w:val="24"/>
          <w:lang w:eastAsia="en-US"/>
        </w:rPr>
      </w:pPr>
      <w:r w:rsidRPr="00393250">
        <w:rPr>
          <w:szCs w:val="24"/>
          <w:lang w:eastAsia="en-US"/>
        </w:rPr>
        <w:t>Gennemsigtighed</w:t>
      </w:r>
    </w:p>
    <w:p w14:paraId="1FB88D84" w14:textId="77777777" w:rsidR="008A5B47" w:rsidRPr="00393250" w:rsidRDefault="008A5B47" w:rsidP="008A5B47">
      <w:pPr>
        <w:spacing w:before="120" w:after="120" w:line="360" w:lineRule="auto"/>
        <w:ind w:left="1416"/>
        <w:rPr>
          <w:szCs w:val="24"/>
          <w:lang w:eastAsia="en-US"/>
        </w:rPr>
      </w:pPr>
      <w:r w:rsidRPr="00393250">
        <w:rPr>
          <w:szCs w:val="24"/>
          <w:lang w:eastAsia="en-US"/>
        </w:rPr>
        <w:t>Termiske forhold</w:t>
      </w:r>
    </w:p>
    <w:p w14:paraId="0619CA89" w14:textId="77777777" w:rsidR="008A5B47" w:rsidRPr="00393250" w:rsidRDefault="008A5B47" w:rsidP="008A5B47">
      <w:pPr>
        <w:spacing w:before="120" w:after="120" w:line="360" w:lineRule="auto"/>
        <w:ind w:left="1416"/>
        <w:rPr>
          <w:szCs w:val="24"/>
          <w:lang w:eastAsia="en-US"/>
        </w:rPr>
      </w:pPr>
      <w:r w:rsidRPr="00393250">
        <w:rPr>
          <w:szCs w:val="24"/>
          <w:lang w:eastAsia="en-US"/>
        </w:rPr>
        <w:t>Iltforhold</w:t>
      </w:r>
    </w:p>
    <w:p w14:paraId="267BAB7C" w14:textId="77777777" w:rsidR="008A5B47" w:rsidRPr="00393250" w:rsidRDefault="008A5B47" w:rsidP="008A5B47">
      <w:pPr>
        <w:spacing w:before="120" w:after="120" w:line="360" w:lineRule="auto"/>
        <w:ind w:left="1416"/>
        <w:rPr>
          <w:szCs w:val="24"/>
          <w:lang w:eastAsia="en-US"/>
        </w:rPr>
      </w:pPr>
      <w:r w:rsidRPr="00393250">
        <w:rPr>
          <w:szCs w:val="24"/>
          <w:lang w:eastAsia="en-US"/>
        </w:rPr>
        <w:t>Saltindhold</w:t>
      </w:r>
    </w:p>
    <w:p w14:paraId="716E72FC" w14:textId="3119A16D" w:rsidR="008A5B47" w:rsidRPr="00393250" w:rsidRDefault="008A5B47" w:rsidP="008A5B47">
      <w:pPr>
        <w:spacing w:before="120" w:after="120" w:line="360" w:lineRule="auto"/>
        <w:ind w:left="1416"/>
        <w:rPr>
          <w:szCs w:val="24"/>
          <w:lang w:eastAsia="en-US"/>
        </w:rPr>
      </w:pPr>
      <w:r w:rsidRPr="00393250">
        <w:rPr>
          <w:szCs w:val="24"/>
          <w:lang w:eastAsia="en-US"/>
        </w:rPr>
        <w:t>Næringsstofforhold.</w:t>
      </w:r>
      <w:r w:rsidR="00B32CF9" w:rsidRPr="00393250">
        <w:rPr>
          <w:szCs w:val="24"/>
          <w:lang w:eastAsia="en-US"/>
        </w:rPr>
        <w:t>"</w:t>
      </w:r>
    </w:p>
    <w:p w14:paraId="353E1D91"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(2)</w:t>
      </w:r>
      <w:r w:rsidRPr="00393250">
        <w:rPr>
          <w:szCs w:val="24"/>
          <w:lang w:eastAsia="en-US"/>
        </w:rPr>
        <w:tab/>
        <w:t>I punkt 1.2.1 erstattes tabellen "Fysisk-kemiske kvalitetselementer" med følgende:</w:t>
      </w:r>
    </w:p>
    <w:p w14:paraId="2B010C6F" w14:textId="7E1D2CF6" w:rsidR="001302AA" w:rsidRPr="00393250" w:rsidRDefault="001302AA" w:rsidP="008A5B47">
      <w:pPr>
        <w:spacing w:before="120" w:after="120" w:line="360" w:lineRule="auto"/>
        <w:ind w:left="850"/>
        <w:rPr>
          <w:szCs w:val="24"/>
          <w:lang w:val="en-GB" w:eastAsia="en-US"/>
        </w:rPr>
      </w:pPr>
      <w:r w:rsidRPr="00393250">
        <w:rPr>
          <w:szCs w:val="24"/>
          <w:lang w:eastAsia="en-US"/>
        </w:rPr>
        <w:t>"</w:t>
      </w:r>
      <w:r w:rsidR="008A5B47" w:rsidRPr="00393250">
        <w:rPr>
          <w:szCs w:val="24"/>
          <w:lang w:val="en-GB" w:eastAsia="en-US"/>
        </w:rPr>
        <w:t>Generelle fysisk-kemiske kvalitetselementer</w:t>
      </w:r>
    </w:p>
    <w:p w14:paraId="4052D3CD" w14:textId="77777777" w:rsidR="001302AA" w:rsidRPr="00393250" w:rsidRDefault="001302AA">
      <w:pPr>
        <w:widowControl/>
        <w:rPr>
          <w:szCs w:val="24"/>
          <w:lang w:val="en-GB" w:eastAsia="en-US"/>
        </w:rPr>
      </w:pPr>
      <w:r w:rsidRPr="00393250">
        <w:rPr>
          <w:szCs w:val="24"/>
          <w:lang w:val="en-GB" w:eastAsia="en-US"/>
        </w:rPr>
        <w:br w:type="page"/>
      </w:r>
    </w:p>
    <w:p w14:paraId="3AC04B7F" w14:textId="77777777" w:rsidR="008A5B47" w:rsidRPr="00393250" w:rsidRDefault="008A5B47" w:rsidP="008A5B47">
      <w:pPr>
        <w:spacing w:before="120" w:after="120" w:line="360" w:lineRule="auto"/>
        <w:ind w:left="850"/>
        <w:rPr>
          <w:szCs w:val="24"/>
          <w:lang w:val="en-GB"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364"/>
        <w:gridCol w:w="2808"/>
        <w:gridCol w:w="2808"/>
        <w:gridCol w:w="2085"/>
      </w:tblGrid>
      <w:tr w:rsidR="008A5B47" w:rsidRPr="00393250" w14:paraId="17B5A18B" w14:textId="77777777" w:rsidTr="00020719">
        <w:trPr>
          <w:tblHeader/>
        </w:trPr>
        <w:tc>
          <w:tcPr>
            <w:tcW w:w="752" w:type="pct"/>
          </w:tcPr>
          <w:p w14:paraId="6246C01C" w14:textId="77777777" w:rsidR="008A5B47" w:rsidRPr="00393250" w:rsidRDefault="008A5B47" w:rsidP="008A5B47">
            <w:pPr>
              <w:spacing w:before="120" w:after="120" w:line="360" w:lineRule="auto"/>
              <w:rPr>
                <w:szCs w:val="24"/>
                <w:lang w:val="en-GB" w:eastAsia="en-US"/>
              </w:rPr>
            </w:pPr>
            <w:r w:rsidRPr="00393250">
              <w:rPr>
                <w:szCs w:val="24"/>
                <w:lang w:val="en-GB" w:eastAsia="en-US"/>
              </w:rPr>
              <w:t>Element</w:t>
            </w:r>
          </w:p>
        </w:tc>
        <w:tc>
          <w:tcPr>
            <w:tcW w:w="1549" w:type="pct"/>
          </w:tcPr>
          <w:p w14:paraId="4F44DE71" w14:textId="77777777" w:rsidR="008A5B47" w:rsidRPr="00393250" w:rsidRDefault="008A5B47" w:rsidP="008A5B47">
            <w:pPr>
              <w:spacing w:before="120" w:after="120" w:line="360" w:lineRule="auto"/>
              <w:rPr>
                <w:szCs w:val="24"/>
                <w:lang w:val="en-GB" w:eastAsia="en-US"/>
              </w:rPr>
            </w:pPr>
            <w:r w:rsidRPr="00393250">
              <w:rPr>
                <w:szCs w:val="24"/>
                <w:lang w:val="en-GB" w:eastAsia="en-US"/>
              </w:rPr>
              <w:t>Høj tilstand</w:t>
            </w:r>
          </w:p>
        </w:tc>
        <w:tc>
          <w:tcPr>
            <w:tcW w:w="1549" w:type="pct"/>
          </w:tcPr>
          <w:p w14:paraId="201680F3" w14:textId="77777777" w:rsidR="008A5B47" w:rsidRPr="00393250" w:rsidRDefault="008A5B47" w:rsidP="008A5B47">
            <w:pPr>
              <w:spacing w:before="120" w:after="120" w:line="360" w:lineRule="auto"/>
              <w:rPr>
                <w:szCs w:val="24"/>
                <w:lang w:val="en-GB" w:eastAsia="en-US"/>
              </w:rPr>
            </w:pPr>
            <w:r w:rsidRPr="00393250">
              <w:rPr>
                <w:szCs w:val="24"/>
                <w:lang w:val="en-GB" w:eastAsia="en-US"/>
              </w:rPr>
              <w:t>God tilstand</w:t>
            </w:r>
          </w:p>
        </w:tc>
        <w:tc>
          <w:tcPr>
            <w:tcW w:w="1150" w:type="pct"/>
          </w:tcPr>
          <w:p w14:paraId="1A5DB356" w14:textId="77777777" w:rsidR="008A5B47" w:rsidRPr="00393250" w:rsidRDefault="008A5B47" w:rsidP="008A5B47">
            <w:pPr>
              <w:spacing w:before="120" w:after="120" w:line="360" w:lineRule="auto"/>
              <w:rPr>
                <w:szCs w:val="24"/>
                <w:lang w:val="en-GB" w:eastAsia="en-US"/>
              </w:rPr>
            </w:pPr>
            <w:r w:rsidRPr="00393250">
              <w:rPr>
                <w:szCs w:val="24"/>
                <w:lang w:val="en-GB" w:eastAsia="en-US"/>
              </w:rPr>
              <w:t>Moderat tilstand</w:t>
            </w:r>
          </w:p>
        </w:tc>
      </w:tr>
      <w:tr w:rsidR="008A5B47" w:rsidRPr="00393250" w14:paraId="07C16CBB" w14:textId="77777777" w:rsidTr="00020719">
        <w:tc>
          <w:tcPr>
            <w:tcW w:w="752" w:type="pct"/>
          </w:tcPr>
          <w:p w14:paraId="2E0306EC" w14:textId="77777777" w:rsidR="008A5B47" w:rsidRPr="00393250" w:rsidRDefault="008A5B47" w:rsidP="008A5B47">
            <w:pPr>
              <w:spacing w:before="120" w:after="120" w:line="360" w:lineRule="auto"/>
              <w:rPr>
                <w:szCs w:val="24"/>
                <w:lang w:val="en-GB" w:eastAsia="en-US"/>
              </w:rPr>
            </w:pPr>
            <w:r w:rsidRPr="00393250">
              <w:rPr>
                <w:szCs w:val="24"/>
                <w:lang w:val="en-GB" w:eastAsia="en-US"/>
              </w:rPr>
              <w:t>Generelle forhold</w:t>
            </w:r>
          </w:p>
        </w:tc>
        <w:tc>
          <w:tcPr>
            <w:tcW w:w="1549" w:type="pct"/>
          </w:tcPr>
          <w:p w14:paraId="452D52C4" w14:textId="77777777" w:rsidR="008A5B47" w:rsidRPr="00393250" w:rsidRDefault="008A5B47" w:rsidP="008A5B47">
            <w:pPr>
              <w:spacing w:before="120" w:after="120" w:line="360" w:lineRule="auto"/>
              <w:rPr>
                <w:szCs w:val="24"/>
                <w:lang w:eastAsia="en-US"/>
              </w:rPr>
            </w:pPr>
            <w:r w:rsidRPr="00393250">
              <w:rPr>
                <w:szCs w:val="24"/>
                <w:lang w:eastAsia="en-US"/>
              </w:rPr>
              <w:t>Værdierne for de generelle fysisk-kemiske elementer svarer fuldstændig eller næsten fuldstændig til uberørte forhold. Næringsstofkoncentrationerne ligger inden for de niveauer, der normalt findes ved uberørte forhold. Salinitetsniveauer, pH, iltbalance, syreneutraliseringsevne og temperatur viser ikke tegn på menneskeskabt forstyrrelse og ligger inden for de niveauer, der normalt findes ved uberørte forhold.</w:t>
            </w:r>
          </w:p>
        </w:tc>
        <w:tc>
          <w:tcPr>
            <w:tcW w:w="1549" w:type="pct"/>
          </w:tcPr>
          <w:p w14:paraId="76CD0A88" w14:textId="77777777" w:rsidR="008A5B47" w:rsidRPr="00393250" w:rsidRDefault="008A5B47" w:rsidP="008A5B47">
            <w:pPr>
              <w:spacing w:before="120" w:after="120" w:line="360" w:lineRule="auto"/>
              <w:rPr>
                <w:szCs w:val="24"/>
                <w:lang w:eastAsia="en-US"/>
              </w:rPr>
            </w:pPr>
            <w:r w:rsidRPr="00393250">
              <w:rPr>
                <w:szCs w:val="24"/>
                <w:lang w:eastAsia="en-US"/>
              </w:rPr>
              <w:t>Temperatur, iltbalance, pH, syreneutraliseringsevne og salinitet når ikke niveauer, der ligger uden for de fastsatte grænser, der sikrer, at det typespecifikke økosystem fungerer, og at der opnås de ovenfor specificerede værdier for de biologiske kvalitetselementer. Næringsstofkoncentrationerne overstiger ikke de fastsatte niveauer, der sikrer, at økosystemet fungerer, og at der opnås de ovenfor specificerede værdier for de biologiske kvalitetselementer.</w:t>
            </w:r>
          </w:p>
        </w:tc>
        <w:tc>
          <w:tcPr>
            <w:tcW w:w="1150" w:type="pct"/>
          </w:tcPr>
          <w:p w14:paraId="331A01BD" w14:textId="77777777" w:rsidR="008A5B47" w:rsidRPr="00393250" w:rsidRDefault="008A5B47" w:rsidP="008A5B47">
            <w:pPr>
              <w:spacing w:before="120" w:after="120" w:line="360" w:lineRule="auto"/>
              <w:rPr>
                <w:szCs w:val="24"/>
                <w:lang w:eastAsia="en-US"/>
              </w:rPr>
            </w:pPr>
            <w:r w:rsidRPr="00393250">
              <w:rPr>
                <w:szCs w:val="24"/>
                <w:lang w:eastAsia="en-US"/>
              </w:rPr>
              <w:t>Forhold svarende til, hvad der er specificeret ovenfor for de biologiske kvalitetselementer."</w:t>
            </w:r>
          </w:p>
        </w:tc>
      </w:tr>
    </w:tbl>
    <w:p w14:paraId="2274F6D6" w14:textId="5DAEC466" w:rsidR="008A5B47" w:rsidRPr="00393250" w:rsidRDefault="008A5B47" w:rsidP="008A5B47">
      <w:pPr>
        <w:spacing w:before="120" w:after="120" w:line="360" w:lineRule="auto"/>
        <w:ind w:left="850"/>
        <w:rPr>
          <w:szCs w:val="24"/>
          <w:lang w:eastAsia="en-US"/>
        </w:rPr>
      </w:pPr>
    </w:p>
    <w:p w14:paraId="73B2919A" w14:textId="77777777" w:rsidR="00B32CF9" w:rsidRPr="00393250" w:rsidRDefault="00B32CF9">
      <w:pPr>
        <w:widowControl/>
        <w:rPr>
          <w:szCs w:val="24"/>
          <w:lang w:eastAsia="en-US"/>
        </w:rPr>
      </w:pPr>
      <w:r w:rsidRPr="00393250">
        <w:rPr>
          <w:szCs w:val="24"/>
          <w:lang w:eastAsia="en-US"/>
        </w:rPr>
        <w:br w:type="page"/>
      </w:r>
    </w:p>
    <w:p w14:paraId="7C2E2C5B" w14:textId="14B15FBD"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(3)</w:t>
      </w:r>
      <w:r w:rsidRPr="00393250">
        <w:rPr>
          <w:szCs w:val="24"/>
          <w:lang w:eastAsia="en-US"/>
        </w:rPr>
        <w:tab/>
        <w:t>I punkt 1.2.2 erstattes tabellen "Fysisk-kemiske kvalitetselementer" med følgende:</w:t>
      </w:r>
    </w:p>
    <w:p w14:paraId="12689D3E" w14:textId="2972CE13" w:rsidR="008A5B47" w:rsidRPr="00393250" w:rsidRDefault="00B32CF9" w:rsidP="008A5B47">
      <w:pPr>
        <w:spacing w:before="120" w:after="120" w:line="360" w:lineRule="auto"/>
        <w:ind w:left="850"/>
        <w:rPr>
          <w:szCs w:val="24"/>
          <w:lang w:val="en-GB" w:eastAsia="en-US"/>
        </w:rPr>
      </w:pPr>
      <w:r w:rsidRPr="00393250">
        <w:rPr>
          <w:szCs w:val="24"/>
          <w:lang w:eastAsia="en-US"/>
        </w:rPr>
        <w:t>"</w:t>
      </w:r>
      <w:r w:rsidR="008A5B47" w:rsidRPr="00393250">
        <w:rPr>
          <w:szCs w:val="24"/>
          <w:lang w:val="en-GB" w:eastAsia="en-US"/>
        </w:rPr>
        <w:t>Generelle fysisk-kemiske kvalitetselementer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364"/>
        <w:gridCol w:w="2808"/>
        <w:gridCol w:w="2808"/>
        <w:gridCol w:w="2085"/>
      </w:tblGrid>
      <w:tr w:rsidR="008A5B47" w:rsidRPr="00393250" w14:paraId="5CED8B8E" w14:textId="77777777" w:rsidTr="00946C35">
        <w:trPr>
          <w:tblHeader/>
        </w:trPr>
        <w:tc>
          <w:tcPr>
            <w:tcW w:w="0" w:type="auto"/>
          </w:tcPr>
          <w:p w14:paraId="52650281" w14:textId="77777777" w:rsidR="008A5B47" w:rsidRPr="00393250" w:rsidRDefault="008A5B47" w:rsidP="008A5B47">
            <w:pPr>
              <w:spacing w:before="120" w:after="120" w:line="360" w:lineRule="auto"/>
              <w:rPr>
                <w:szCs w:val="24"/>
                <w:lang w:val="en-GB" w:eastAsia="en-US"/>
              </w:rPr>
            </w:pPr>
            <w:r w:rsidRPr="00393250">
              <w:rPr>
                <w:szCs w:val="24"/>
                <w:lang w:val="en-GB" w:eastAsia="en-US"/>
              </w:rPr>
              <w:t>Element</w:t>
            </w:r>
          </w:p>
        </w:tc>
        <w:tc>
          <w:tcPr>
            <w:tcW w:w="0" w:type="auto"/>
          </w:tcPr>
          <w:p w14:paraId="081DE46F" w14:textId="77777777" w:rsidR="008A5B47" w:rsidRPr="00393250" w:rsidRDefault="008A5B47" w:rsidP="008A5B47">
            <w:pPr>
              <w:spacing w:before="120" w:after="120" w:line="360" w:lineRule="auto"/>
              <w:rPr>
                <w:szCs w:val="24"/>
                <w:lang w:val="en-GB" w:eastAsia="en-US"/>
              </w:rPr>
            </w:pPr>
            <w:r w:rsidRPr="00393250">
              <w:rPr>
                <w:szCs w:val="24"/>
                <w:lang w:val="en-GB" w:eastAsia="en-US"/>
              </w:rPr>
              <w:t>Høj tilstand</w:t>
            </w:r>
          </w:p>
        </w:tc>
        <w:tc>
          <w:tcPr>
            <w:tcW w:w="0" w:type="auto"/>
          </w:tcPr>
          <w:p w14:paraId="7DD13A6E" w14:textId="77777777" w:rsidR="008A5B47" w:rsidRPr="00393250" w:rsidRDefault="008A5B47" w:rsidP="008A5B47">
            <w:pPr>
              <w:spacing w:before="120" w:after="120" w:line="360" w:lineRule="auto"/>
              <w:rPr>
                <w:szCs w:val="24"/>
                <w:lang w:val="en-GB" w:eastAsia="en-US"/>
              </w:rPr>
            </w:pPr>
            <w:r w:rsidRPr="00393250">
              <w:rPr>
                <w:szCs w:val="24"/>
                <w:lang w:val="en-GB" w:eastAsia="en-US"/>
              </w:rPr>
              <w:t>God tilstand</w:t>
            </w:r>
          </w:p>
        </w:tc>
        <w:tc>
          <w:tcPr>
            <w:tcW w:w="0" w:type="auto"/>
          </w:tcPr>
          <w:p w14:paraId="5EBB926F" w14:textId="77777777" w:rsidR="008A5B47" w:rsidRPr="00393250" w:rsidRDefault="008A5B47" w:rsidP="008A5B47">
            <w:pPr>
              <w:spacing w:before="120" w:after="120" w:line="360" w:lineRule="auto"/>
              <w:rPr>
                <w:szCs w:val="24"/>
                <w:lang w:val="en-GB" w:eastAsia="en-US"/>
              </w:rPr>
            </w:pPr>
            <w:r w:rsidRPr="00393250">
              <w:rPr>
                <w:szCs w:val="24"/>
                <w:lang w:val="en-GB" w:eastAsia="en-US"/>
              </w:rPr>
              <w:t>Moderat tilstand</w:t>
            </w:r>
          </w:p>
        </w:tc>
      </w:tr>
      <w:tr w:rsidR="008A5B47" w:rsidRPr="00393250" w14:paraId="0B16D328" w14:textId="77777777" w:rsidTr="00946C35">
        <w:tc>
          <w:tcPr>
            <w:tcW w:w="0" w:type="auto"/>
          </w:tcPr>
          <w:p w14:paraId="200FC19F" w14:textId="77777777" w:rsidR="008A5B47" w:rsidRPr="00393250" w:rsidRDefault="008A5B47" w:rsidP="008A5B47">
            <w:pPr>
              <w:spacing w:before="120" w:after="120" w:line="360" w:lineRule="auto"/>
              <w:rPr>
                <w:szCs w:val="24"/>
                <w:lang w:val="en-GB" w:eastAsia="en-US"/>
              </w:rPr>
            </w:pPr>
            <w:r w:rsidRPr="00393250">
              <w:rPr>
                <w:szCs w:val="24"/>
                <w:lang w:val="en-GB" w:eastAsia="en-US"/>
              </w:rPr>
              <w:t>Generelle forhold</w:t>
            </w:r>
          </w:p>
        </w:tc>
        <w:tc>
          <w:tcPr>
            <w:tcW w:w="0" w:type="auto"/>
          </w:tcPr>
          <w:p w14:paraId="1783ADFB" w14:textId="77777777" w:rsidR="008A5B47" w:rsidRPr="00393250" w:rsidRDefault="008A5B47" w:rsidP="008A5B47">
            <w:pPr>
              <w:spacing w:before="120" w:after="120" w:line="360" w:lineRule="auto"/>
              <w:rPr>
                <w:szCs w:val="24"/>
                <w:lang w:eastAsia="en-US"/>
              </w:rPr>
            </w:pPr>
            <w:r w:rsidRPr="00393250">
              <w:rPr>
                <w:szCs w:val="24"/>
                <w:lang w:eastAsia="en-US"/>
              </w:rPr>
              <w:t>Værdierne for de generelle fysisk-kemiske elementer svarer fuldstændig eller næsten fuldstændig til uberørte forhold. Næringsstofkoncentrationerne ligger inden for de niveauer, der normalt findes ved uberørte forhold. Salinitetsniveauer, pH, iltbalance, syreneutraliseringsevne, sigtdybde og temperatur viser ikke tegn på menneskeskabt forstyrrelse og ligger inden for de grænser, der normalt findes ved uberørte forhold.</w:t>
            </w:r>
          </w:p>
        </w:tc>
        <w:tc>
          <w:tcPr>
            <w:tcW w:w="0" w:type="auto"/>
          </w:tcPr>
          <w:p w14:paraId="31B63905" w14:textId="77777777" w:rsidR="008A5B47" w:rsidRPr="00393250" w:rsidRDefault="008A5B47" w:rsidP="008A5B47">
            <w:pPr>
              <w:spacing w:before="120" w:after="120" w:line="360" w:lineRule="auto"/>
              <w:rPr>
                <w:szCs w:val="24"/>
                <w:lang w:eastAsia="en-US"/>
              </w:rPr>
            </w:pPr>
            <w:r w:rsidRPr="00393250">
              <w:rPr>
                <w:szCs w:val="24"/>
                <w:lang w:eastAsia="en-US"/>
              </w:rPr>
              <w:t>Temperatur, iltbalance, pH, syreneutraliseringsevne, sigtdybde og salinitet når ikke niveauer, der ligger uden for de fastsatte grænser, der sikrer, at økosystemet fungerer, og at der opnås de ovenfor specificerede værdier for de biologiske kvalitetselementer. Næringsstofkoncentrationerne overstiger ikke de fastsatte niveauer, der sikrer, at økosystemet fungerer, og at der opnås de ovenfor specificerede værdier for de biologiske kvalitetselementer.</w:t>
            </w:r>
          </w:p>
        </w:tc>
        <w:tc>
          <w:tcPr>
            <w:tcW w:w="0" w:type="auto"/>
          </w:tcPr>
          <w:p w14:paraId="36B64F8E" w14:textId="77777777" w:rsidR="008A5B47" w:rsidRPr="00393250" w:rsidRDefault="008A5B47" w:rsidP="008A5B47">
            <w:pPr>
              <w:spacing w:before="120" w:after="120" w:line="360" w:lineRule="auto"/>
              <w:rPr>
                <w:szCs w:val="24"/>
                <w:lang w:eastAsia="en-US"/>
              </w:rPr>
            </w:pPr>
            <w:r w:rsidRPr="00393250">
              <w:rPr>
                <w:szCs w:val="24"/>
                <w:lang w:eastAsia="en-US"/>
              </w:rPr>
              <w:t>Forhold svarende til, hvad der er specificeret ovenfor for de biologiske kvalitetselementer."</w:t>
            </w:r>
          </w:p>
        </w:tc>
      </w:tr>
    </w:tbl>
    <w:p w14:paraId="05AF4D79" w14:textId="4368D3DC" w:rsidR="008A5B47" w:rsidRPr="00393250" w:rsidRDefault="008A5B47" w:rsidP="008A5B47">
      <w:pPr>
        <w:spacing w:before="120" w:after="120" w:line="360" w:lineRule="auto"/>
        <w:ind w:left="850"/>
        <w:rPr>
          <w:szCs w:val="24"/>
          <w:lang w:eastAsia="en-US"/>
        </w:rPr>
      </w:pPr>
    </w:p>
    <w:p w14:paraId="05A7857D" w14:textId="77777777" w:rsidR="00B32CF9" w:rsidRPr="00393250" w:rsidRDefault="00B32CF9">
      <w:pPr>
        <w:widowControl/>
        <w:rPr>
          <w:szCs w:val="24"/>
          <w:lang w:eastAsia="en-US"/>
        </w:rPr>
      </w:pPr>
      <w:r w:rsidRPr="00393250">
        <w:rPr>
          <w:szCs w:val="24"/>
          <w:lang w:eastAsia="en-US"/>
        </w:rPr>
        <w:br w:type="page"/>
      </w:r>
    </w:p>
    <w:p w14:paraId="313BC751" w14:textId="2794770A"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(4)</w:t>
      </w:r>
      <w:r w:rsidRPr="00393250">
        <w:rPr>
          <w:szCs w:val="24"/>
          <w:lang w:eastAsia="en-US"/>
        </w:rPr>
        <w:tab/>
        <w:t>I punkt 1.2.3 erstattes tabellen "Fysisk-kemiske kvalitetselementer" med følgende:</w:t>
      </w:r>
    </w:p>
    <w:p w14:paraId="5D5A3648" w14:textId="7B49BABE" w:rsidR="008A5B47" w:rsidRPr="00393250" w:rsidRDefault="00B32CF9" w:rsidP="008A5B47">
      <w:pPr>
        <w:spacing w:before="120" w:after="120" w:line="360" w:lineRule="auto"/>
        <w:ind w:left="850"/>
        <w:rPr>
          <w:szCs w:val="24"/>
          <w:lang w:val="en-GB" w:eastAsia="en-US"/>
        </w:rPr>
      </w:pPr>
      <w:r w:rsidRPr="00393250">
        <w:rPr>
          <w:szCs w:val="24"/>
          <w:lang w:eastAsia="en-US"/>
        </w:rPr>
        <w:t>"</w:t>
      </w:r>
      <w:r w:rsidR="008A5B47" w:rsidRPr="00393250">
        <w:rPr>
          <w:szCs w:val="24"/>
          <w:lang w:val="en-GB" w:eastAsia="en-US"/>
        </w:rPr>
        <w:t>Generelle fysisk-kemiske kvalitetselementer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364"/>
        <w:gridCol w:w="2808"/>
        <w:gridCol w:w="2808"/>
        <w:gridCol w:w="2085"/>
      </w:tblGrid>
      <w:tr w:rsidR="008A5B47" w:rsidRPr="00393250" w14:paraId="195C126A" w14:textId="77777777" w:rsidTr="00946C35">
        <w:trPr>
          <w:tblHeader/>
        </w:trPr>
        <w:tc>
          <w:tcPr>
            <w:tcW w:w="0" w:type="auto"/>
          </w:tcPr>
          <w:p w14:paraId="68E14969" w14:textId="77777777" w:rsidR="008A5B47" w:rsidRPr="00393250" w:rsidRDefault="008A5B47" w:rsidP="008A5B47">
            <w:pPr>
              <w:spacing w:before="120" w:after="120" w:line="360" w:lineRule="auto"/>
              <w:rPr>
                <w:szCs w:val="24"/>
                <w:lang w:val="en-GB" w:eastAsia="en-US"/>
              </w:rPr>
            </w:pPr>
            <w:r w:rsidRPr="00393250">
              <w:rPr>
                <w:szCs w:val="24"/>
                <w:lang w:val="en-GB" w:eastAsia="en-US"/>
              </w:rPr>
              <w:t>Element</w:t>
            </w:r>
          </w:p>
        </w:tc>
        <w:tc>
          <w:tcPr>
            <w:tcW w:w="0" w:type="auto"/>
          </w:tcPr>
          <w:p w14:paraId="25CA3882" w14:textId="77777777" w:rsidR="008A5B47" w:rsidRPr="00393250" w:rsidRDefault="008A5B47" w:rsidP="008A5B47">
            <w:pPr>
              <w:spacing w:before="120" w:after="120" w:line="360" w:lineRule="auto"/>
              <w:rPr>
                <w:szCs w:val="24"/>
                <w:lang w:val="en-GB" w:eastAsia="en-US"/>
              </w:rPr>
            </w:pPr>
            <w:r w:rsidRPr="00393250">
              <w:rPr>
                <w:szCs w:val="24"/>
                <w:lang w:val="en-GB" w:eastAsia="en-US"/>
              </w:rPr>
              <w:t>Høj tilstand</w:t>
            </w:r>
          </w:p>
        </w:tc>
        <w:tc>
          <w:tcPr>
            <w:tcW w:w="0" w:type="auto"/>
          </w:tcPr>
          <w:p w14:paraId="59E69443" w14:textId="77777777" w:rsidR="008A5B47" w:rsidRPr="00393250" w:rsidRDefault="008A5B47" w:rsidP="008A5B47">
            <w:pPr>
              <w:spacing w:before="120" w:after="120" w:line="360" w:lineRule="auto"/>
              <w:rPr>
                <w:szCs w:val="24"/>
                <w:lang w:val="en-GB" w:eastAsia="en-US"/>
              </w:rPr>
            </w:pPr>
            <w:r w:rsidRPr="00393250">
              <w:rPr>
                <w:szCs w:val="24"/>
                <w:lang w:val="en-GB" w:eastAsia="en-US"/>
              </w:rPr>
              <w:t>God tilstand</w:t>
            </w:r>
          </w:p>
        </w:tc>
        <w:tc>
          <w:tcPr>
            <w:tcW w:w="0" w:type="auto"/>
          </w:tcPr>
          <w:p w14:paraId="7DD2C1A7" w14:textId="77777777" w:rsidR="008A5B47" w:rsidRPr="00393250" w:rsidRDefault="008A5B47" w:rsidP="008A5B47">
            <w:pPr>
              <w:spacing w:before="120" w:after="120" w:line="360" w:lineRule="auto"/>
              <w:rPr>
                <w:szCs w:val="24"/>
                <w:lang w:val="en-GB" w:eastAsia="en-US"/>
              </w:rPr>
            </w:pPr>
            <w:r w:rsidRPr="00393250">
              <w:rPr>
                <w:szCs w:val="24"/>
                <w:lang w:val="en-GB" w:eastAsia="en-US"/>
              </w:rPr>
              <w:t>Moderat tilstand</w:t>
            </w:r>
          </w:p>
        </w:tc>
      </w:tr>
      <w:tr w:rsidR="008A5B47" w:rsidRPr="00393250" w14:paraId="074E8BC7" w14:textId="77777777" w:rsidTr="00946C35">
        <w:tc>
          <w:tcPr>
            <w:tcW w:w="0" w:type="auto"/>
          </w:tcPr>
          <w:p w14:paraId="7C3B31F7" w14:textId="77777777" w:rsidR="008A5B47" w:rsidRPr="00393250" w:rsidRDefault="008A5B47" w:rsidP="008A5B47">
            <w:pPr>
              <w:spacing w:before="120" w:after="120" w:line="360" w:lineRule="auto"/>
              <w:rPr>
                <w:szCs w:val="24"/>
                <w:lang w:val="en-GB" w:eastAsia="en-US"/>
              </w:rPr>
            </w:pPr>
            <w:r w:rsidRPr="00393250">
              <w:rPr>
                <w:szCs w:val="24"/>
                <w:lang w:val="en-GB" w:eastAsia="en-US"/>
              </w:rPr>
              <w:t>Generelle forhold</w:t>
            </w:r>
          </w:p>
        </w:tc>
        <w:tc>
          <w:tcPr>
            <w:tcW w:w="0" w:type="auto"/>
          </w:tcPr>
          <w:p w14:paraId="05F8B92F" w14:textId="77777777" w:rsidR="008A5B47" w:rsidRPr="00393250" w:rsidRDefault="008A5B47" w:rsidP="008A5B47">
            <w:pPr>
              <w:spacing w:before="120" w:after="120" w:line="360" w:lineRule="auto"/>
              <w:rPr>
                <w:szCs w:val="24"/>
                <w:lang w:eastAsia="en-US"/>
              </w:rPr>
            </w:pPr>
            <w:r w:rsidRPr="00393250">
              <w:rPr>
                <w:szCs w:val="24"/>
                <w:lang w:eastAsia="en-US"/>
              </w:rPr>
              <w:t>De generelle fysisk-kemiske elementer svarer fuldstændig eller næsten fuldstændig til uberørte forhold. Næringsstofkoncentrationerne ligger inden for de niveauer, der normalt findes ved uberørte forhold. Temperatur, iltbalance og sigtdybde viser ikke tegn på menneskeskabt forstyrrelse og ligger inden for de grænser, der normalt er knyttet til uberørte forhold.</w:t>
            </w:r>
          </w:p>
        </w:tc>
        <w:tc>
          <w:tcPr>
            <w:tcW w:w="0" w:type="auto"/>
          </w:tcPr>
          <w:p w14:paraId="31E4FBA5" w14:textId="77777777" w:rsidR="008A5B47" w:rsidRPr="00393250" w:rsidRDefault="008A5B47" w:rsidP="008A5B47">
            <w:pPr>
              <w:spacing w:before="120" w:after="120" w:line="360" w:lineRule="auto"/>
              <w:rPr>
                <w:szCs w:val="24"/>
                <w:lang w:eastAsia="en-US"/>
              </w:rPr>
            </w:pPr>
            <w:r w:rsidRPr="00393250">
              <w:rPr>
                <w:szCs w:val="24"/>
                <w:lang w:eastAsia="en-US"/>
              </w:rPr>
              <w:t>Temperatur, iltforhold og sigtdybde når ikke niveauer, der ligger uden for de fastsatte grænser, der sikrer, at økosystemet fungerer, og at der opnås de ovenfor specificerede værdier for de biologiske kvalitetselementer. Næringsstofkoncentrationerne overstiger ikke de fastsatte niveauer, der sikrer, at økosystemet fungerer, og at der opnås de ovenfor specificerede værdier for de biologiske kvalitetselementer.</w:t>
            </w:r>
          </w:p>
        </w:tc>
        <w:tc>
          <w:tcPr>
            <w:tcW w:w="0" w:type="auto"/>
          </w:tcPr>
          <w:p w14:paraId="3896ABEE" w14:textId="77777777" w:rsidR="008A5B47" w:rsidRPr="00393250" w:rsidRDefault="008A5B47" w:rsidP="008A5B47">
            <w:pPr>
              <w:spacing w:before="120" w:after="120" w:line="360" w:lineRule="auto"/>
              <w:rPr>
                <w:szCs w:val="24"/>
                <w:lang w:eastAsia="en-US"/>
              </w:rPr>
            </w:pPr>
            <w:r w:rsidRPr="00393250">
              <w:rPr>
                <w:szCs w:val="24"/>
                <w:lang w:eastAsia="en-US"/>
              </w:rPr>
              <w:t>Forhold svarende til, hvad der er specificeret ovenfor for de biologiske kvalitetselementer."</w:t>
            </w:r>
          </w:p>
        </w:tc>
      </w:tr>
    </w:tbl>
    <w:p w14:paraId="6B54FB40" w14:textId="20D8F2B0" w:rsidR="008A5B47" w:rsidRPr="00393250" w:rsidRDefault="008A5B47" w:rsidP="008A5B47">
      <w:pPr>
        <w:spacing w:before="120" w:after="120" w:line="360" w:lineRule="auto"/>
        <w:ind w:left="850"/>
        <w:rPr>
          <w:szCs w:val="24"/>
          <w:lang w:eastAsia="en-US"/>
        </w:rPr>
      </w:pPr>
    </w:p>
    <w:p w14:paraId="4879B92C" w14:textId="77777777" w:rsidR="00B32CF9" w:rsidRPr="00393250" w:rsidRDefault="00B32CF9">
      <w:pPr>
        <w:widowControl/>
        <w:rPr>
          <w:szCs w:val="24"/>
          <w:lang w:eastAsia="en-US"/>
        </w:rPr>
      </w:pPr>
      <w:r w:rsidRPr="00393250">
        <w:rPr>
          <w:szCs w:val="24"/>
          <w:lang w:eastAsia="en-US"/>
        </w:rPr>
        <w:br w:type="page"/>
      </w:r>
    </w:p>
    <w:p w14:paraId="3637BBAA" w14:textId="3DE2FFBD"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(5)</w:t>
      </w:r>
      <w:r w:rsidRPr="00393250">
        <w:rPr>
          <w:szCs w:val="24"/>
          <w:lang w:eastAsia="en-US"/>
        </w:rPr>
        <w:tab/>
        <w:t>I punkt 1.2.4 erstattes tabellen "Fysisk-kemiske kvalitetselementer" med følgende:</w:t>
      </w:r>
    </w:p>
    <w:p w14:paraId="13273483" w14:textId="1E32B4F5" w:rsidR="008A5B47" w:rsidRPr="00393250" w:rsidRDefault="008A5B47" w:rsidP="008A5B47">
      <w:pPr>
        <w:spacing w:before="120" w:after="120" w:line="360" w:lineRule="auto"/>
        <w:ind w:left="850"/>
        <w:rPr>
          <w:szCs w:val="24"/>
          <w:lang w:val="en-GB" w:eastAsia="en-US"/>
        </w:rPr>
      </w:pPr>
      <w:r w:rsidRPr="00393250">
        <w:rPr>
          <w:szCs w:val="24"/>
          <w:lang w:val="en-GB" w:eastAsia="en-US"/>
        </w:rPr>
        <w:t>"Generelle fysisk-kemiske kvalitetselementer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364"/>
        <w:gridCol w:w="2808"/>
        <w:gridCol w:w="2808"/>
        <w:gridCol w:w="2085"/>
      </w:tblGrid>
      <w:tr w:rsidR="008A5B47" w:rsidRPr="00393250" w14:paraId="5F81D63D" w14:textId="77777777" w:rsidTr="00946C35">
        <w:trPr>
          <w:tblHeader/>
        </w:trPr>
        <w:tc>
          <w:tcPr>
            <w:tcW w:w="0" w:type="auto"/>
          </w:tcPr>
          <w:p w14:paraId="62165191" w14:textId="77777777" w:rsidR="008A5B47" w:rsidRPr="00393250" w:rsidRDefault="008A5B47" w:rsidP="008A5B47">
            <w:pPr>
              <w:spacing w:before="120" w:after="120" w:line="360" w:lineRule="auto"/>
              <w:rPr>
                <w:szCs w:val="24"/>
                <w:lang w:val="en-GB" w:eastAsia="en-US"/>
              </w:rPr>
            </w:pPr>
            <w:r w:rsidRPr="00393250">
              <w:rPr>
                <w:szCs w:val="24"/>
                <w:lang w:val="en-GB" w:eastAsia="en-US"/>
              </w:rPr>
              <w:t>Element</w:t>
            </w:r>
          </w:p>
        </w:tc>
        <w:tc>
          <w:tcPr>
            <w:tcW w:w="0" w:type="auto"/>
          </w:tcPr>
          <w:p w14:paraId="0D440890" w14:textId="77777777" w:rsidR="008A5B47" w:rsidRPr="00393250" w:rsidRDefault="008A5B47" w:rsidP="008A5B47">
            <w:pPr>
              <w:spacing w:before="120" w:after="120" w:line="360" w:lineRule="auto"/>
              <w:rPr>
                <w:szCs w:val="24"/>
                <w:lang w:val="en-GB" w:eastAsia="en-US"/>
              </w:rPr>
            </w:pPr>
            <w:r w:rsidRPr="00393250">
              <w:rPr>
                <w:szCs w:val="24"/>
                <w:lang w:val="en-GB" w:eastAsia="en-US"/>
              </w:rPr>
              <w:t>Høj tilstand</w:t>
            </w:r>
          </w:p>
        </w:tc>
        <w:tc>
          <w:tcPr>
            <w:tcW w:w="0" w:type="auto"/>
          </w:tcPr>
          <w:p w14:paraId="06092A79" w14:textId="77777777" w:rsidR="008A5B47" w:rsidRPr="00393250" w:rsidRDefault="008A5B47" w:rsidP="008A5B47">
            <w:pPr>
              <w:spacing w:before="120" w:after="120" w:line="360" w:lineRule="auto"/>
              <w:rPr>
                <w:szCs w:val="24"/>
                <w:lang w:val="en-GB" w:eastAsia="en-US"/>
              </w:rPr>
            </w:pPr>
            <w:r w:rsidRPr="00393250">
              <w:rPr>
                <w:szCs w:val="24"/>
                <w:lang w:val="en-GB" w:eastAsia="en-US"/>
              </w:rPr>
              <w:t>God tilstand</w:t>
            </w:r>
          </w:p>
        </w:tc>
        <w:tc>
          <w:tcPr>
            <w:tcW w:w="0" w:type="auto"/>
          </w:tcPr>
          <w:p w14:paraId="28AF133D" w14:textId="77777777" w:rsidR="008A5B47" w:rsidRPr="00393250" w:rsidRDefault="008A5B47" w:rsidP="008A5B47">
            <w:pPr>
              <w:spacing w:before="120" w:after="120" w:line="360" w:lineRule="auto"/>
              <w:rPr>
                <w:szCs w:val="24"/>
                <w:lang w:val="en-GB" w:eastAsia="en-US"/>
              </w:rPr>
            </w:pPr>
            <w:r w:rsidRPr="00393250">
              <w:rPr>
                <w:szCs w:val="24"/>
                <w:lang w:val="en-GB" w:eastAsia="en-US"/>
              </w:rPr>
              <w:t>Moderat tilstand</w:t>
            </w:r>
          </w:p>
        </w:tc>
      </w:tr>
      <w:tr w:rsidR="008A5B47" w:rsidRPr="00393250" w14:paraId="1C177970" w14:textId="77777777" w:rsidTr="00946C35">
        <w:tc>
          <w:tcPr>
            <w:tcW w:w="0" w:type="auto"/>
          </w:tcPr>
          <w:p w14:paraId="1304BC27" w14:textId="77777777" w:rsidR="008A5B47" w:rsidRPr="00393250" w:rsidRDefault="008A5B47" w:rsidP="008A5B47">
            <w:pPr>
              <w:spacing w:before="120" w:after="120" w:line="360" w:lineRule="auto"/>
              <w:rPr>
                <w:szCs w:val="24"/>
                <w:lang w:val="en-GB" w:eastAsia="en-US"/>
              </w:rPr>
            </w:pPr>
            <w:r w:rsidRPr="00393250">
              <w:rPr>
                <w:szCs w:val="24"/>
                <w:lang w:val="en-GB" w:eastAsia="en-US"/>
              </w:rPr>
              <w:t>Generelle forhold</w:t>
            </w:r>
          </w:p>
        </w:tc>
        <w:tc>
          <w:tcPr>
            <w:tcW w:w="0" w:type="auto"/>
          </w:tcPr>
          <w:p w14:paraId="37B2DD6A" w14:textId="77777777" w:rsidR="008A5B47" w:rsidRPr="00393250" w:rsidRDefault="008A5B47" w:rsidP="008A5B47">
            <w:pPr>
              <w:spacing w:before="120" w:after="120" w:line="360" w:lineRule="auto"/>
              <w:rPr>
                <w:szCs w:val="24"/>
                <w:lang w:eastAsia="en-US"/>
              </w:rPr>
            </w:pPr>
            <w:r w:rsidRPr="00393250">
              <w:rPr>
                <w:szCs w:val="24"/>
                <w:lang w:eastAsia="en-US"/>
              </w:rPr>
              <w:t>De generelle fysisk-kemiske elementer svarer fuldstændig eller næsten fuldstændig til uberørte forhold. Næringsstofkoncentrationerne ligger inden for de niveauer, der normalt findes ved uberørte forhold. Temperatur, iltbalance og sigtdybde viser ikke tegn på menneskeskabt forstyrrelse og ligger inden for de niveauer, der normalt findes ved uberørte forhold.</w:t>
            </w:r>
          </w:p>
        </w:tc>
        <w:tc>
          <w:tcPr>
            <w:tcW w:w="0" w:type="auto"/>
          </w:tcPr>
          <w:p w14:paraId="63E4FCA7" w14:textId="77777777" w:rsidR="008A5B47" w:rsidRPr="00393250" w:rsidRDefault="008A5B47" w:rsidP="008A5B47">
            <w:pPr>
              <w:spacing w:before="120" w:after="120" w:line="360" w:lineRule="auto"/>
              <w:rPr>
                <w:szCs w:val="24"/>
                <w:lang w:eastAsia="en-US"/>
              </w:rPr>
            </w:pPr>
            <w:r w:rsidRPr="00393250">
              <w:rPr>
                <w:szCs w:val="24"/>
                <w:lang w:eastAsia="en-US"/>
              </w:rPr>
              <w:t>Temperatur, iltforhold og sigtdybde når ikke niveauer, der ligger uden for de fastsatte grænser, der sikrer, at økosystemet fungerer, og at der opnås de ovenfor specificerede værdier for de biologiske kvalitetselementer. Næringsstofkoncentrationerne overstiger ikke de fastsatte niveauer, der sikrer, at økosystemet fungerer, og at der opnås de ovenfor specificerede værdier for de biologiske kvalitetselementer.</w:t>
            </w:r>
          </w:p>
        </w:tc>
        <w:tc>
          <w:tcPr>
            <w:tcW w:w="0" w:type="auto"/>
          </w:tcPr>
          <w:p w14:paraId="62BD8801" w14:textId="77777777" w:rsidR="008A5B47" w:rsidRPr="00393250" w:rsidRDefault="008A5B47" w:rsidP="008A5B47">
            <w:pPr>
              <w:spacing w:before="120" w:after="120" w:line="360" w:lineRule="auto"/>
              <w:rPr>
                <w:szCs w:val="24"/>
                <w:lang w:eastAsia="en-US"/>
              </w:rPr>
            </w:pPr>
            <w:r w:rsidRPr="00393250">
              <w:rPr>
                <w:szCs w:val="24"/>
                <w:lang w:eastAsia="en-US"/>
              </w:rPr>
              <w:t>Forhold svarende til, hvad der er specificeret ovenfor for de biologiske kvalitetselementer."</w:t>
            </w:r>
          </w:p>
        </w:tc>
      </w:tr>
    </w:tbl>
    <w:p w14:paraId="4B9A86D1" w14:textId="47088DBD" w:rsidR="008A5B47" w:rsidRPr="00393250" w:rsidRDefault="008A5B47" w:rsidP="008A5B47">
      <w:pPr>
        <w:spacing w:before="120" w:after="120" w:line="360" w:lineRule="auto"/>
        <w:ind w:left="850"/>
        <w:rPr>
          <w:szCs w:val="24"/>
          <w:lang w:eastAsia="en-US"/>
        </w:rPr>
      </w:pPr>
    </w:p>
    <w:p w14:paraId="5EE11BE5" w14:textId="77777777" w:rsidR="00B32CF9" w:rsidRPr="00393250" w:rsidRDefault="00B32CF9">
      <w:pPr>
        <w:widowControl/>
        <w:rPr>
          <w:szCs w:val="24"/>
          <w:lang w:eastAsia="en-US"/>
        </w:rPr>
      </w:pPr>
      <w:r w:rsidRPr="00393250">
        <w:rPr>
          <w:szCs w:val="24"/>
          <w:lang w:eastAsia="en-US"/>
        </w:rPr>
        <w:br w:type="page"/>
      </w:r>
    </w:p>
    <w:p w14:paraId="0232E48F" w14:textId="2E326889"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(6)</w:t>
      </w:r>
      <w:r w:rsidRPr="00393250">
        <w:rPr>
          <w:szCs w:val="24"/>
          <w:lang w:eastAsia="en-US"/>
        </w:rPr>
        <w:tab/>
        <w:t>I punkt 1.2.5 foretages følgende ændringer i tabellen:</w:t>
      </w:r>
    </w:p>
    <w:p w14:paraId="7576F340" w14:textId="560CB3AF" w:rsidR="008A5B47" w:rsidRPr="00393250" w:rsidRDefault="008A5B47" w:rsidP="008A5B47">
      <w:pPr>
        <w:spacing w:before="120" w:after="120" w:line="360" w:lineRule="auto"/>
        <w:ind w:left="1416" w:hanging="566"/>
        <w:rPr>
          <w:szCs w:val="24"/>
          <w:lang w:eastAsia="en-US"/>
        </w:rPr>
      </w:pPr>
      <w:r w:rsidRPr="00393250">
        <w:rPr>
          <w:szCs w:val="24"/>
          <w:lang w:eastAsia="en-US"/>
        </w:rPr>
        <w:t>a)</w:t>
      </w:r>
      <w:r w:rsidRPr="00393250">
        <w:rPr>
          <w:szCs w:val="24"/>
          <w:lang w:eastAsia="en-US"/>
        </w:rPr>
        <w:tab/>
        <w:t>femte række vedrørende "Specifikke syntetiske forurenende stoffer" udgår</w:t>
      </w:r>
    </w:p>
    <w:p w14:paraId="6F5ECC05" w14:textId="40563743" w:rsidR="008A5B47" w:rsidRPr="00393250" w:rsidRDefault="008A5B47" w:rsidP="008A5B47">
      <w:pPr>
        <w:spacing w:before="120" w:after="120" w:line="360" w:lineRule="auto"/>
        <w:ind w:left="1416" w:hanging="566"/>
        <w:rPr>
          <w:szCs w:val="24"/>
          <w:lang w:eastAsia="en-US"/>
        </w:rPr>
      </w:pPr>
      <w:r w:rsidRPr="00393250">
        <w:rPr>
          <w:szCs w:val="24"/>
          <w:lang w:eastAsia="en-US"/>
        </w:rPr>
        <w:t>b)</w:t>
      </w:r>
      <w:r w:rsidRPr="00393250">
        <w:rPr>
          <w:szCs w:val="24"/>
          <w:lang w:eastAsia="en-US"/>
        </w:rPr>
        <w:tab/>
        <w:t>sjette række vedrørende "Specifikke ikke-syntetiske forurenende stoffer" udgår</w:t>
      </w:r>
    </w:p>
    <w:p w14:paraId="22C5D0A2" w14:textId="4692D464" w:rsidR="008A5B47" w:rsidRPr="00393250" w:rsidRDefault="008A5B47" w:rsidP="008A5B47">
      <w:pPr>
        <w:spacing w:before="120" w:after="120" w:line="360" w:lineRule="auto"/>
        <w:ind w:left="1416" w:hanging="566"/>
        <w:rPr>
          <w:szCs w:val="24"/>
          <w:lang w:eastAsia="en-US"/>
        </w:rPr>
      </w:pPr>
      <w:r w:rsidRPr="00393250">
        <w:rPr>
          <w:szCs w:val="24"/>
          <w:lang w:eastAsia="en-US"/>
        </w:rPr>
        <w:t>c)</w:t>
      </w:r>
      <w:r w:rsidRPr="00393250">
        <w:rPr>
          <w:szCs w:val="24"/>
          <w:lang w:eastAsia="en-US"/>
        </w:rPr>
        <w:tab/>
        <w:t>syvende række vedrørende tabelnote (1) udgår</w:t>
      </w:r>
      <w:r w:rsidR="006D4D4C" w:rsidRPr="00393250">
        <w:rPr>
          <w:szCs w:val="24"/>
          <w:lang w:eastAsia="en-US"/>
        </w:rPr>
        <w:t>.</w:t>
      </w:r>
    </w:p>
    <w:p w14:paraId="19E19139" w14:textId="41829B28" w:rsidR="008A5B47" w:rsidRPr="00393250" w:rsidRDefault="008A5B47" w:rsidP="008A5B47">
      <w:pPr>
        <w:spacing w:before="120" w:after="120" w:line="360" w:lineRule="auto"/>
        <w:ind w:left="850" w:hanging="850"/>
        <w:rPr>
          <w:szCs w:val="24"/>
          <w:lang w:eastAsia="en-US"/>
        </w:rPr>
      </w:pPr>
      <w:r w:rsidRPr="00393250">
        <w:rPr>
          <w:szCs w:val="24"/>
          <w:lang w:eastAsia="en-US"/>
        </w:rPr>
        <w:t>(7)</w:t>
      </w:r>
      <w:r w:rsidRPr="00393250">
        <w:rPr>
          <w:szCs w:val="24"/>
          <w:lang w:eastAsia="en-US"/>
        </w:rPr>
        <w:tab/>
        <w:t>Punkt 1.2.6 udgår</w:t>
      </w:r>
      <w:r w:rsidR="006D4D4C" w:rsidRPr="00393250">
        <w:rPr>
          <w:szCs w:val="24"/>
          <w:lang w:eastAsia="en-US"/>
        </w:rPr>
        <w:t>.</w:t>
      </w:r>
    </w:p>
    <w:p w14:paraId="7D8CFE49"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(8)</w:t>
      </w:r>
      <w:r w:rsidRPr="00393250">
        <w:rPr>
          <w:szCs w:val="24"/>
          <w:lang w:eastAsia="en-US"/>
        </w:rPr>
        <w:tab/>
        <w:t>I punkt 1.3 tilføjes følgende som fjerde og femte afsnit:</w:t>
      </w:r>
    </w:p>
    <w:p w14:paraId="25043AC5" w14:textId="77777777" w:rsidR="008A5B47" w:rsidRPr="00393250" w:rsidRDefault="008A5B47" w:rsidP="008A5B47">
      <w:pPr>
        <w:spacing w:before="120" w:after="120" w:line="360" w:lineRule="auto"/>
        <w:ind w:left="850"/>
        <w:rPr>
          <w:szCs w:val="24"/>
          <w:lang w:eastAsia="en-US"/>
        </w:rPr>
      </w:pPr>
      <w:r w:rsidRPr="00393250">
        <w:rPr>
          <w:szCs w:val="24"/>
          <w:lang w:eastAsia="en-US"/>
        </w:rPr>
        <w:t>"Hvis overvågningsnettet omfatter jordobservation og telemåling snarere end lokale prøvetagningssteder eller andre innovative teknikker, skal overvågningsnettets kort indeholde oplysninger om de kvalitetselementer og vandområder eller grupper af vandområder, der er blevet overvåget ved hjælp af sådanne overvågningsmetoder. Der henvises til CEN, ISO eller andre internationale eller nationale standarder, der er blevet anvendt for at sikre, at de indhentede tids- og geodata er lige så pålidelige som dem, der opnås ved hjælp af konventionelle overvågningsmetoder på lokale prøvetagningssteder.</w:t>
      </w:r>
    </w:p>
    <w:p w14:paraId="40B81FDA" w14:textId="77777777" w:rsidR="006D4D4C" w:rsidRPr="00393250" w:rsidRDefault="006D4D4C">
      <w:pPr>
        <w:widowControl/>
        <w:rPr>
          <w:szCs w:val="24"/>
          <w:lang w:eastAsia="en-US"/>
        </w:rPr>
      </w:pPr>
      <w:r w:rsidRPr="00393250">
        <w:rPr>
          <w:szCs w:val="24"/>
          <w:lang w:eastAsia="en-US"/>
        </w:rPr>
        <w:br w:type="page"/>
      </w:r>
    </w:p>
    <w:p w14:paraId="2E4F61F9" w14:textId="49CFB74F" w:rsidR="008A5B47" w:rsidRPr="00393250" w:rsidRDefault="008A5B47" w:rsidP="008A5B47">
      <w:pPr>
        <w:spacing w:before="120" w:after="120" w:line="360" w:lineRule="auto"/>
        <w:ind w:left="850"/>
        <w:rPr>
          <w:szCs w:val="24"/>
          <w:lang w:eastAsia="en-US"/>
        </w:rPr>
      </w:pPr>
      <w:r w:rsidRPr="00393250">
        <w:rPr>
          <w:szCs w:val="24"/>
          <w:lang w:eastAsia="en-US"/>
        </w:rPr>
        <w:lastRenderedPageBreak/>
        <w:t>Medlemsstaterne kan anvende passive prøveudtagningsmetoder til overvågning af kemiske forurenende stoffer, hvor det er relevant, navnlig med henblik på screening, forudsat at disse prøveudtagningsmetoder ikke undervurderer de koncentrationer af forurenende stoffer, for hvilke der gælder miljøkvalitetskrav, og således på pålidelig vis identificerer "manglende opnåelse af god tilstand", og at der foretages kemisk analyse af vand-, biota- eller sedimentprøver i overensstemmelse med de anvendte miljøkvalitetskrav, uanset hvor sådanne mangler konstateres. Medlemsstaterne kan også anvende virkningsbaserede prøveudtagningsmetoder på samme betingelser."</w:t>
      </w:r>
    </w:p>
    <w:p w14:paraId="366E4F18"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(9)</w:t>
      </w:r>
      <w:r w:rsidRPr="00393250">
        <w:rPr>
          <w:szCs w:val="24"/>
          <w:lang w:eastAsia="en-US"/>
        </w:rPr>
        <w:tab/>
        <w:t>I punkt 1.3.1 erstattes det sidste afsnit "Udvælgelse af kvalitetselementer" med følgende:</w:t>
      </w:r>
    </w:p>
    <w:p w14:paraId="40DD2A0E" w14:textId="77777777" w:rsidR="008A5B47" w:rsidRPr="00393250" w:rsidRDefault="008A5B47" w:rsidP="008A5B47">
      <w:pPr>
        <w:spacing w:before="120" w:after="120" w:line="360" w:lineRule="auto"/>
        <w:ind w:left="850"/>
        <w:rPr>
          <w:szCs w:val="24"/>
          <w:lang w:eastAsia="en-US"/>
        </w:rPr>
      </w:pPr>
      <w:r w:rsidRPr="00393250">
        <w:rPr>
          <w:szCs w:val="24"/>
          <w:lang w:eastAsia="en-US"/>
        </w:rPr>
        <w:t>"Udvælgelse af kvalitetselementer</w:t>
      </w:r>
    </w:p>
    <w:p w14:paraId="7FA328DC" w14:textId="77777777" w:rsidR="008A5B47" w:rsidRPr="00393250" w:rsidRDefault="008A5B47" w:rsidP="008A5B47">
      <w:pPr>
        <w:spacing w:before="120" w:after="120" w:line="360" w:lineRule="auto"/>
        <w:ind w:left="850"/>
        <w:rPr>
          <w:szCs w:val="24"/>
          <w:lang w:eastAsia="en-US"/>
        </w:rPr>
      </w:pPr>
      <w:r w:rsidRPr="00393250">
        <w:rPr>
          <w:szCs w:val="24"/>
          <w:lang w:eastAsia="en-US"/>
        </w:rPr>
        <w:t>Kontrolovervågningen udføres for hvert overvågningssted for en periode på et år i den periode, der er omfattet af en vandområdeplan. Overvågningen skal omfatte følgende:</w:t>
      </w:r>
    </w:p>
    <w:p w14:paraId="31636E98"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a)</w:t>
      </w:r>
      <w:r w:rsidRPr="00393250">
        <w:rPr>
          <w:szCs w:val="24"/>
          <w:lang w:eastAsia="en-US"/>
        </w:rPr>
        <w:tab/>
        <w:t>parametre, der er indikatorer for alle biologiske kvalitetselementer</w:t>
      </w:r>
    </w:p>
    <w:p w14:paraId="19A11749" w14:textId="77777777" w:rsidR="006D4D4C" w:rsidRPr="00393250" w:rsidRDefault="006D4D4C">
      <w:pPr>
        <w:widowControl/>
        <w:rPr>
          <w:szCs w:val="24"/>
          <w:lang w:eastAsia="en-US"/>
        </w:rPr>
      </w:pPr>
      <w:r w:rsidRPr="00393250">
        <w:rPr>
          <w:szCs w:val="24"/>
          <w:lang w:eastAsia="en-US"/>
        </w:rPr>
        <w:br w:type="page"/>
      </w:r>
    </w:p>
    <w:p w14:paraId="4E967BA2" w14:textId="72AAB2FA" w:rsidR="008A5B47" w:rsidRPr="00393250" w:rsidRDefault="008A5B47" w:rsidP="008A5B47">
      <w:pPr>
        <w:spacing w:before="120" w:after="120" w:line="360" w:lineRule="auto"/>
        <w:ind w:left="1416" w:hanging="566"/>
        <w:rPr>
          <w:szCs w:val="24"/>
          <w:lang w:eastAsia="en-US"/>
        </w:rPr>
      </w:pPr>
      <w:r w:rsidRPr="00393250">
        <w:rPr>
          <w:szCs w:val="24"/>
          <w:lang w:eastAsia="en-US"/>
        </w:rPr>
        <w:lastRenderedPageBreak/>
        <w:t>b)</w:t>
      </w:r>
      <w:r w:rsidRPr="00393250">
        <w:rPr>
          <w:szCs w:val="24"/>
          <w:lang w:eastAsia="en-US"/>
        </w:rPr>
        <w:tab/>
        <w:t>parametre, der er indikatorer for alle hydromorfologiske kvalitetselementer</w:t>
      </w:r>
    </w:p>
    <w:p w14:paraId="7E11DB73"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c)</w:t>
      </w:r>
      <w:r w:rsidRPr="00393250">
        <w:rPr>
          <w:szCs w:val="24"/>
          <w:lang w:eastAsia="en-US"/>
        </w:rPr>
        <w:tab/>
        <w:t>parametre, der er indikatorer for alle generelle fysisk-kemiske kvalitetselementer</w:t>
      </w:r>
    </w:p>
    <w:p w14:paraId="0E1CD6AC"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d)</w:t>
      </w:r>
      <w:r w:rsidRPr="00393250">
        <w:rPr>
          <w:szCs w:val="24"/>
          <w:lang w:eastAsia="en-US"/>
        </w:rPr>
        <w:tab/>
        <w:t>en liste over prioriterede forurenende stoffer, der udledes eller på anden måde deponeres i vandløbsoplandet eller deloplandet</w:t>
      </w:r>
    </w:p>
    <w:p w14:paraId="03643CC2"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e)</w:t>
      </w:r>
      <w:r w:rsidRPr="00393250">
        <w:rPr>
          <w:szCs w:val="24"/>
          <w:lang w:eastAsia="en-US"/>
        </w:rPr>
        <w:tab/>
        <w:t>andre forurenende stoffer, der udledes eller på anden måde deponeres i vandløbsoplandet eller deloplandet i betydelige mængder.</w:t>
      </w:r>
    </w:p>
    <w:p w14:paraId="377BA1C3" w14:textId="77777777" w:rsidR="008A5B47" w:rsidRPr="00393250" w:rsidRDefault="008A5B47" w:rsidP="008A5B47">
      <w:pPr>
        <w:spacing w:before="120" w:after="120" w:line="360" w:lineRule="auto"/>
        <w:ind w:left="850"/>
        <w:rPr>
          <w:szCs w:val="24"/>
          <w:lang w:eastAsia="en-US"/>
        </w:rPr>
      </w:pPr>
      <w:r w:rsidRPr="00393250">
        <w:rPr>
          <w:szCs w:val="24"/>
          <w:lang w:eastAsia="en-US"/>
        </w:rPr>
        <w:t>Hvis den foregående overvågning imidlertid har vist, at det pågældende vandområde har nået en god tilstand, og undersøgelsen af påvirkninger fra menneskelig aktivitet i henhold til bilag II ikke har vist tegn på, at påvirkningerne af området er ændret, skal der foretages kontrolovervågning én gang i løbet af den periode, der er omfattet af tre på hinanden følgende vandområdeplaner."</w:t>
      </w:r>
    </w:p>
    <w:p w14:paraId="1CF99407"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(10)</w:t>
      </w:r>
      <w:r w:rsidRPr="00393250">
        <w:rPr>
          <w:szCs w:val="24"/>
          <w:lang w:eastAsia="en-US"/>
        </w:rPr>
        <w:tab/>
        <w:t>I punkt 1.3.2 foretages følgende ændringer:</w:t>
      </w:r>
    </w:p>
    <w:p w14:paraId="2DB09062" w14:textId="2C7402AC" w:rsidR="008A5B47" w:rsidRPr="00393250" w:rsidRDefault="006D4D4C" w:rsidP="008A5B47">
      <w:pPr>
        <w:spacing w:before="120" w:after="120" w:line="360" w:lineRule="auto"/>
        <w:ind w:left="1416" w:hanging="566"/>
        <w:rPr>
          <w:szCs w:val="24"/>
          <w:lang w:eastAsia="en-US"/>
        </w:rPr>
      </w:pPr>
      <w:r w:rsidRPr="00393250">
        <w:rPr>
          <w:szCs w:val="24"/>
          <w:lang w:eastAsia="en-US"/>
        </w:rPr>
        <w:t>"</w:t>
      </w:r>
      <w:r w:rsidR="008A5B47" w:rsidRPr="00393250">
        <w:rPr>
          <w:szCs w:val="24"/>
          <w:lang w:eastAsia="en-US"/>
        </w:rPr>
        <w:t>a)</w:t>
      </w:r>
      <w:r w:rsidR="008A5B47" w:rsidRPr="00393250">
        <w:rPr>
          <w:szCs w:val="24"/>
          <w:lang w:eastAsia="en-US"/>
        </w:rPr>
        <w:tab/>
        <w:t>I tredje afsnit "Udvælgelse af overvågningssteder" affattes første punktum således:</w:t>
      </w:r>
    </w:p>
    <w:p w14:paraId="3A88A0D5" w14:textId="77777777" w:rsidR="006D4D4C" w:rsidRPr="00393250" w:rsidRDefault="006D4D4C">
      <w:pPr>
        <w:widowControl/>
        <w:rPr>
          <w:szCs w:val="24"/>
          <w:lang w:eastAsia="en-US"/>
        </w:rPr>
      </w:pPr>
      <w:r w:rsidRPr="00393250">
        <w:rPr>
          <w:szCs w:val="24"/>
          <w:lang w:eastAsia="en-US"/>
        </w:rPr>
        <w:br w:type="page"/>
      </w:r>
    </w:p>
    <w:p w14:paraId="699FD026" w14:textId="7997403F" w:rsidR="008A5B47" w:rsidRPr="00393250" w:rsidRDefault="008A5B47" w:rsidP="008A5B47">
      <w:pPr>
        <w:spacing w:before="120" w:after="120" w:line="360" w:lineRule="auto"/>
        <w:ind w:left="1416"/>
        <w:rPr>
          <w:szCs w:val="24"/>
          <w:lang w:eastAsia="en-US"/>
        </w:rPr>
      </w:pPr>
      <w:r w:rsidRPr="00393250">
        <w:rPr>
          <w:szCs w:val="24"/>
          <w:lang w:eastAsia="en-US"/>
        </w:rPr>
        <w:lastRenderedPageBreak/>
        <w:t>"Den operationelle overvågning udføres for alle vandområder, der på grundlag af miljøvurderingen i henhold til bilag II eller kontrolovervågningen anses for eventuelt ikke at kunne opfylde deres miljømål i henhold til direktivets artikel 4, samt for vandområder, i hvilke der udledes eller på anden måde deponeres stoffer fra listen over prioriterede stoffer, eller i hvilke der udledes eller på anden måde deponeres vandområdespecifikke forurenende stoffer i betydelige mængder."</w:t>
      </w:r>
    </w:p>
    <w:p w14:paraId="330125C3"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b)</w:t>
      </w:r>
      <w:r w:rsidRPr="00393250">
        <w:rPr>
          <w:szCs w:val="24"/>
          <w:lang w:eastAsia="en-US"/>
        </w:rPr>
        <w:tab/>
        <w:t>I fjerde afsnit "Udvælgelse af kvalitetselementer" affattes andet led således:</w:t>
      </w:r>
    </w:p>
    <w:p w14:paraId="4E126927" w14:textId="52B0B56C" w:rsidR="008A5B47" w:rsidRPr="00393250" w:rsidRDefault="008A5B47" w:rsidP="00020719">
      <w:pPr>
        <w:spacing w:before="120" w:after="120" w:line="360" w:lineRule="auto"/>
        <w:ind w:left="1985" w:hanging="569"/>
        <w:rPr>
          <w:szCs w:val="24"/>
          <w:lang w:eastAsia="en-US"/>
        </w:rPr>
      </w:pPr>
      <w:r w:rsidRPr="00393250">
        <w:rPr>
          <w:szCs w:val="24"/>
          <w:lang w:eastAsia="en-US"/>
        </w:rPr>
        <w:t>"—</w:t>
      </w:r>
      <w:r w:rsidR="00020719" w:rsidRPr="00393250">
        <w:rPr>
          <w:szCs w:val="24"/>
          <w:lang w:eastAsia="en-US"/>
        </w:rPr>
        <w:tab/>
      </w:r>
      <w:r w:rsidRPr="00393250">
        <w:rPr>
          <w:szCs w:val="24"/>
          <w:lang w:eastAsia="en-US"/>
        </w:rPr>
        <w:t>alle prioriterede stoffer, der udledes eller på anden måde deponeres i vandområder, og alle vandområdespecifikke forurenende stoffer, der udledes eller på anden måde deponeres i vandområder i betydelige mængder.</w:t>
      </w:r>
      <w:r w:rsidR="006D4D4C" w:rsidRPr="00393250">
        <w:rPr>
          <w:szCs w:val="24"/>
          <w:lang w:eastAsia="en-US"/>
        </w:rPr>
        <w:t>"</w:t>
      </w:r>
    </w:p>
    <w:p w14:paraId="27CF34CF" w14:textId="77777777" w:rsidR="006D4D4C" w:rsidRPr="00393250" w:rsidRDefault="006D4D4C">
      <w:pPr>
        <w:widowControl/>
        <w:rPr>
          <w:b/>
          <w:i/>
          <w:szCs w:val="24"/>
          <w:lang w:eastAsia="en-US"/>
        </w:rPr>
      </w:pPr>
      <w:r w:rsidRPr="00393250">
        <w:rPr>
          <w:b/>
          <w:i/>
          <w:szCs w:val="24"/>
          <w:lang w:eastAsia="en-US"/>
        </w:rPr>
        <w:br w:type="page"/>
      </w:r>
    </w:p>
    <w:p w14:paraId="3358E9AA" w14:textId="600480D4" w:rsidR="008A5B47" w:rsidRPr="00393250" w:rsidRDefault="008A5B47" w:rsidP="008A5B47">
      <w:pPr>
        <w:spacing w:before="120" w:after="120" w:line="360" w:lineRule="auto"/>
        <w:ind w:left="850" w:hanging="850"/>
        <w:rPr>
          <w:szCs w:val="24"/>
          <w:lang w:eastAsia="en-US"/>
        </w:rPr>
      </w:pPr>
      <w:r w:rsidRPr="00393250">
        <w:rPr>
          <w:b/>
          <w:i/>
          <w:szCs w:val="24"/>
          <w:lang w:eastAsia="en-US"/>
        </w:rPr>
        <w:lastRenderedPageBreak/>
        <w:t>10a.</w:t>
      </w:r>
      <w:r w:rsidRPr="00393250">
        <w:rPr>
          <w:szCs w:val="24"/>
          <w:lang w:eastAsia="en-US"/>
        </w:rPr>
        <w:tab/>
      </w:r>
      <w:r w:rsidRPr="00393250">
        <w:rPr>
          <w:b/>
          <w:i/>
          <w:szCs w:val="24"/>
          <w:lang w:eastAsia="en-US"/>
        </w:rPr>
        <w:t>I punkt 1.3.4 foretages følgende ændringer i fjerde afsnit:</w:t>
      </w:r>
    </w:p>
    <w:p w14:paraId="7508F931" w14:textId="2DA42BF7" w:rsidR="008A5B47" w:rsidRPr="00393250" w:rsidRDefault="008A5B47" w:rsidP="008A5B47">
      <w:pPr>
        <w:spacing w:before="120" w:after="120" w:line="360" w:lineRule="auto"/>
        <w:ind w:left="850"/>
        <w:rPr>
          <w:b/>
          <w:szCs w:val="24"/>
          <w:lang w:eastAsia="en-US"/>
        </w:rPr>
      </w:pPr>
      <w:r w:rsidRPr="00393250">
        <w:rPr>
          <w:b/>
          <w:i/>
          <w:szCs w:val="24"/>
          <w:lang w:eastAsia="en-US"/>
        </w:rPr>
        <w:t>"Der vælges overvågningsfrekvenser, der om nødvendigt øges, for at tage hensyn til variabiliteten i parametre, der er et resultat af både naturlige og menneskelige forhold. De tidspunkter, hvorpå overvågningen foretages, udvælges endvidere på en sådan måde, at der tages hensyn til den virkning, som sæsonudsving i anvendelsen af stoffer og de varierende vandstande har på statusvurderingen, og det dermed sikres, at resultaterne afspejler ændringer i vandområdet, der skyldes ændringer som følge af menneskelige belastninger og klimavariationer. For så vidt angår prioriterede stoffer, der er følsomme over for klimatiske variationer og prioriterede stoffer, hvis koncentration kan forventes at toppe i korte perioder som følge af sæsonudsving i anvendelsen af disse stoffer, foretages overvågningen hyppigere end for andre stoffer."</w:t>
      </w:r>
      <w:r w:rsidR="002B5CCC" w:rsidRPr="00393250">
        <w:rPr>
          <w:b/>
          <w:szCs w:val="24"/>
          <w:lang w:eastAsia="en-US"/>
        </w:rPr>
        <w:t xml:space="preserve"> [Ændring 139]</w:t>
      </w:r>
    </w:p>
    <w:p w14:paraId="744CD637"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(11)</w:t>
      </w:r>
      <w:r w:rsidRPr="00393250">
        <w:rPr>
          <w:szCs w:val="24"/>
          <w:lang w:eastAsia="en-US"/>
        </w:rPr>
        <w:tab/>
        <w:t>I punkt 1.3.4, tabellen, sjette række under overskriften "Fysisk-kemisk", erstattes ordene "Andre forurenende stoffer" med "Vandområdespecifikke forurenende stoffer".</w:t>
      </w:r>
    </w:p>
    <w:p w14:paraId="355951CD" w14:textId="77777777" w:rsidR="005A485C" w:rsidRPr="00393250" w:rsidRDefault="005A485C">
      <w:pPr>
        <w:widowControl/>
        <w:rPr>
          <w:szCs w:val="24"/>
          <w:lang w:eastAsia="en-US"/>
        </w:rPr>
      </w:pPr>
      <w:r w:rsidRPr="00393250">
        <w:rPr>
          <w:szCs w:val="24"/>
          <w:lang w:eastAsia="en-US"/>
        </w:rPr>
        <w:br w:type="page"/>
      </w:r>
    </w:p>
    <w:p w14:paraId="42C30147" w14:textId="2BB40CBC"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(12)</w:t>
      </w:r>
      <w:r w:rsidRPr="00393250">
        <w:rPr>
          <w:szCs w:val="24"/>
          <w:lang w:eastAsia="en-US"/>
        </w:rPr>
        <w:tab/>
        <w:t>I punkt 1.4.1 foretages følgende ændringer:</w:t>
      </w:r>
    </w:p>
    <w:p w14:paraId="4E14E007" w14:textId="35646A4D" w:rsidR="008A5B47" w:rsidRPr="00393250" w:rsidRDefault="008A5B47" w:rsidP="008A5B47">
      <w:pPr>
        <w:spacing w:before="120" w:after="120" w:line="360" w:lineRule="auto"/>
        <w:ind w:left="1416" w:hanging="566"/>
        <w:rPr>
          <w:szCs w:val="24"/>
          <w:lang w:eastAsia="en-US"/>
        </w:rPr>
      </w:pPr>
      <w:r w:rsidRPr="00393250">
        <w:rPr>
          <w:szCs w:val="24"/>
          <w:lang w:eastAsia="en-US"/>
        </w:rPr>
        <w:t>a)</w:t>
      </w:r>
      <w:r w:rsidRPr="00393250">
        <w:rPr>
          <w:szCs w:val="24"/>
          <w:lang w:eastAsia="en-US"/>
        </w:rPr>
        <w:tab/>
      </w:r>
      <w:r w:rsidR="00731DB1" w:rsidRPr="00393250">
        <w:rPr>
          <w:szCs w:val="24"/>
          <w:lang w:eastAsia="en-US"/>
        </w:rPr>
        <w:t>i</w:t>
      </w:r>
      <w:r w:rsidRPr="00393250">
        <w:rPr>
          <w:szCs w:val="24"/>
          <w:lang w:eastAsia="en-US"/>
        </w:rPr>
        <w:t xml:space="preserve"> nr. vii) udgår andet punktum</w:t>
      </w:r>
    </w:p>
    <w:p w14:paraId="11E34137" w14:textId="44BA1D7F" w:rsidR="008A5B47" w:rsidRPr="00393250" w:rsidRDefault="008A5B47" w:rsidP="008A5B47">
      <w:pPr>
        <w:spacing w:before="120" w:after="120" w:line="360" w:lineRule="auto"/>
        <w:ind w:left="1416" w:hanging="566"/>
        <w:rPr>
          <w:szCs w:val="24"/>
          <w:lang w:eastAsia="en-US"/>
        </w:rPr>
      </w:pPr>
      <w:r w:rsidRPr="00393250">
        <w:rPr>
          <w:szCs w:val="24"/>
          <w:lang w:eastAsia="en-US"/>
        </w:rPr>
        <w:t>b)</w:t>
      </w:r>
      <w:r w:rsidRPr="00393250">
        <w:rPr>
          <w:szCs w:val="24"/>
          <w:lang w:eastAsia="en-US"/>
        </w:rPr>
        <w:tab/>
      </w:r>
      <w:r w:rsidR="00731DB1" w:rsidRPr="00393250">
        <w:rPr>
          <w:szCs w:val="24"/>
          <w:lang w:eastAsia="en-US"/>
        </w:rPr>
        <w:t>n</w:t>
      </w:r>
      <w:r w:rsidRPr="00393250">
        <w:rPr>
          <w:szCs w:val="24"/>
          <w:lang w:eastAsia="en-US"/>
        </w:rPr>
        <w:t>r. viii) udgår</w:t>
      </w:r>
    </w:p>
    <w:p w14:paraId="56499832" w14:textId="3174AD78" w:rsidR="008A5B47" w:rsidRPr="00393250" w:rsidRDefault="008A5B47" w:rsidP="008A5B47">
      <w:pPr>
        <w:spacing w:before="120" w:after="120" w:line="360" w:lineRule="auto"/>
        <w:ind w:left="1416" w:hanging="566"/>
        <w:rPr>
          <w:szCs w:val="24"/>
          <w:lang w:eastAsia="en-US"/>
        </w:rPr>
      </w:pPr>
      <w:r w:rsidRPr="00393250">
        <w:rPr>
          <w:szCs w:val="24"/>
          <w:lang w:eastAsia="en-US"/>
        </w:rPr>
        <w:t>c)</w:t>
      </w:r>
      <w:r w:rsidRPr="00393250">
        <w:rPr>
          <w:szCs w:val="24"/>
          <w:lang w:eastAsia="en-US"/>
        </w:rPr>
        <w:tab/>
      </w:r>
      <w:r w:rsidR="00731DB1" w:rsidRPr="00393250">
        <w:rPr>
          <w:szCs w:val="24"/>
          <w:lang w:eastAsia="en-US"/>
        </w:rPr>
        <w:t>n</w:t>
      </w:r>
      <w:r w:rsidRPr="00393250">
        <w:rPr>
          <w:szCs w:val="24"/>
          <w:lang w:eastAsia="en-US"/>
        </w:rPr>
        <w:t>r. ix) affattes således:</w:t>
      </w:r>
    </w:p>
    <w:p w14:paraId="60609F5D"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"ix)</w:t>
      </w:r>
      <w:r w:rsidRPr="00393250">
        <w:rPr>
          <w:szCs w:val="24"/>
          <w:lang w:eastAsia="en-US"/>
        </w:rPr>
        <w:tab/>
        <w:t>Resultaterne af interkalibreringsarbejdet og værdierne for klassifikationerne i medlemsstaternes overvågningssystemer i overensstemmelse med nr. i)-viii) offentliggøres senest seks måneder efter vedtagelsen af den delegerede retsakt i henhold til artikel 20."</w:t>
      </w:r>
    </w:p>
    <w:p w14:paraId="75CE8D85"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(13)</w:t>
      </w:r>
      <w:r w:rsidRPr="00393250">
        <w:rPr>
          <w:szCs w:val="24"/>
          <w:lang w:eastAsia="en-US"/>
        </w:rPr>
        <w:tab/>
        <w:t>I punkt 1.4.2 udgår nr. iii).</w:t>
      </w:r>
    </w:p>
    <w:p w14:paraId="10182640"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(14)</w:t>
      </w:r>
      <w:r w:rsidRPr="00393250">
        <w:rPr>
          <w:szCs w:val="24"/>
          <w:lang w:eastAsia="en-US"/>
        </w:rPr>
        <w:tab/>
        <w:t>I punkt 1.4.3, første afsnit, affattes første punktum således:</w:t>
      </w:r>
    </w:p>
    <w:p w14:paraId="09800D57" w14:textId="77777777" w:rsidR="008A5B47" w:rsidRPr="00393250" w:rsidRDefault="008A5B47" w:rsidP="008A5B47">
      <w:pPr>
        <w:spacing w:before="120" w:after="120" w:line="360" w:lineRule="auto"/>
        <w:ind w:left="850"/>
        <w:rPr>
          <w:szCs w:val="24"/>
          <w:lang w:eastAsia="en-US"/>
        </w:rPr>
      </w:pPr>
      <w:r w:rsidRPr="00393250">
        <w:rPr>
          <w:szCs w:val="24"/>
          <w:lang w:eastAsia="en-US"/>
        </w:rPr>
        <w:t>"Det registreres, at et vandområde har opnået god kemisk tilstand, hvis det opfylder alle miljøkvalitetskravene i del A i bilag I til direktiv 2008/105/EF og de miljøkvalitetskrav, der er fastsat i henhold til nævnte direktivs artikel 8 og 8d."</w:t>
      </w:r>
    </w:p>
    <w:p w14:paraId="2685E66F" w14:textId="77777777" w:rsidR="00957F77" w:rsidRPr="00393250" w:rsidRDefault="00957F77">
      <w:pPr>
        <w:widowControl/>
        <w:rPr>
          <w:szCs w:val="24"/>
          <w:lang w:eastAsia="en-US"/>
        </w:rPr>
      </w:pPr>
      <w:r w:rsidRPr="00393250">
        <w:rPr>
          <w:szCs w:val="24"/>
          <w:lang w:eastAsia="en-US"/>
        </w:rPr>
        <w:br w:type="page"/>
      </w:r>
    </w:p>
    <w:p w14:paraId="108C7CE7" w14:textId="54504578"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(15)</w:t>
      </w:r>
      <w:r w:rsidRPr="00393250">
        <w:rPr>
          <w:szCs w:val="24"/>
          <w:lang w:eastAsia="en-US"/>
        </w:rPr>
        <w:tab/>
        <w:t>I punkt 2.2.1 tilføjes følgende afsnit:</w:t>
      </w:r>
    </w:p>
    <w:p w14:paraId="78A06987" w14:textId="285A90A5" w:rsidR="008A5B47" w:rsidRPr="00393250" w:rsidRDefault="00957F77" w:rsidP="008A5B47">
      <w:pPr>
        <w:spacing w:before="120" w:after="120" w:line="360" w:lineRule="auto"/>
        <w:ind w:left="850"/>
        <w:rPr>
          <w:szCs w:val="24"/>
          <w:lang w:eastAsia="en-US"/>
        </w:rPr>
      </w:pPr>
      <w:r w:rsidRPr="00393250">
        <w:rPr>
          <w:szCs w:val="24"/>
          <w:lang w:eastAsia="en-US"/>
        </w:rPr>
        <w:t>"</w:t>
      </w:r>
      <w:r w:rsidR="008A5B47" w:rsidRPr="00393250">
        <w:rPr>
          <w:szCs w:val="24"/>
          <w:lang w:eastAsia="en-US"/>
        </w:rPr>
        <w:t>Hvis overvågningsnettet omfatter jordobservation og telemåling snarere end lokale prøvetagningssteder eller andre innovative teknikker, henvises der til CEN, ISO eller andre internationale eller nationale standarder, der er blevet anvendt for at sikre, at de indhentede tids- og geodata er lige så pålidelige som dem, der opnås ved hjælp af konventionelle overvågningsmetoder på lokale prøvetagningssteder.</w:t>
      </w:r>
      <w:r w:rsidRPr="00393250">
        <w:rPr>
          <w:szCs w:val="24"/>
          <w:lang w:eastAsia="en-US"/>
        </w:rPr>
        <w:t>"</w:t>
      </w:r>
    </w:p>
    <w:p w14:paraId="7F70D2E4" w14:textId="77777777" w:rsidR="00957F77" w:rsidRPr="00393250" w:rsidRDefault="00957F77">
      <w:pPr>
        <w:widowControl/>
        <w:rPr>
          <w:szCs w:val="24"/>
          <w:lang w:eastAsia="en-US"/>
        </w:rPr>
      </w:pPr>
      <w:r w:rsidRPr="00393250">
        <w:rPr>
          <w:szCs w:val="24"/>
          <w:lang w:eastAsia="en-US"/>
        </w:rPr>
        <w:br w:type="page"/>
      </w:r>
    </w:p>
    <w:p w14:paraId="3CFD686A" w14:textId="240F710D"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(16)</w:t>
      </w:r>
      <w:r w:rsidRPr="00393250">
        <w:rPr>
          <w:szCs w:val="24"/>
          <w:lang w:eastAsia="en-US"/>
        </w:rPr>
        <w:tab/>
        <w:t>Punkt 2.3.2 affattes således:</w:t>
      </w:r>
    </w:p>
    <w:p w14:paraId="609B7476" w14:textId="642F99AD" w:rsidR="008A5B47" w:rsidRPr="00393250" w:rsidRDefault="00957F77" w:rsidP="008A5B47">
      <w:pPr>
        <w:spacing w:before="120" w:after="120" w:line="360" w:lineRule="auto"/>
        <w:ind w:left="1416" w:hanging="566"/>
        <w:rPr>
          <w:szCs w:val="24"/>
          <w:lang w:eastAsia="en-US"/>
        </w:rPr>
      </w:pPr>
      <w:r w:rsidRPr="00393250">
        <w:rPr>
          <w:szCs w:val="24"/>
          <w:lang w:eastAsia="en-US"/>
        </w:rPr>
        <w:t>"</w:t>
      </w:r>
      <w:r w:rsidR="008A5B47" w:rsidRPr="00393250">
        <w:rPr>
          <w:szCs w:val="24"/>
          <w:lang w:eastAsia="en-US"/>
        </w:rPr>
        <w:t>2.3.2.</w:t>
      </w:r>
      <w:r w:rsidR="008A5B47" w:rsidRPr="00393250">
        <w:rPr>
          <w:szCs w:val="24"/>
          <w:lang w:eastAsia="en-US"/>
        </w:rPr>
        <w:tab/>
        <w:t>Definition af god kemisk tilstand for grundvand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027"/>
        <w:gridCol w:w="7038"/>
      </w:tblGrid>
      <w:tr w:rsidR="008A5B47" w:rsidRPr="00393250" w14:paraId="3EC4EE5A" w14:textId="77777777" w:rsidTr="00946C35">
        <w:trPr>
          <w:tblHeader/>
        </w:trPr>
        <w:tc>
          <w:tcPr>
            <w:tcW w:w="0" w:type="auto"/>
          </w:tcPr>
          <w:p w14:paraId="46CFB76C" w14:textId="77777777" w:rsidR="008A5B47" w:rsidRPr="00393250" w:rsidRDefault="008A5B47" w:rsidP="008A5B47">
            <w:pPr>
              <w:spacing w:before="120" w:after="120" w:line="360" w:lineRule="auto"/>
              <w:rPr>
                <w:szCs w:val="24"/>
                <w:lang w:val="en-GB" w:eastAsia="en-US"/>
              </w:rPr>
            </w:pPr>
            <w:r w:rsidRPr="00393250">
              <w:rPr>
                <w:szCs w:val="24"/>
                <w:lang w:val="en-GB" w:eastAsia="en-US"/>
              </w:rPr>
              <w:t>Elementer</w:t>
            </w:r>
          </w:p>
        </w:tc>
        <w:tc>
          <w:tcPr>
            <w:tcW w:w="0" w:type="auto"/>
          </w:tcPr>
          <w:p w14:paraId="29BC7AEF" w14:textId="77777777" w:rsidR="008A5B47" w:rsidRPr="00393250" w:rsidRDefault="008A5B47" w:rsidP="008A5B47">
            <w:pPr>
              <w:spacing w:before="120" w:after="120" w:line="360" w:lineRule="auto"/>
              <w:rPr>
                <w:szCs w:val="24"/>
                <w:lang w:val="en-GB" w:eastAsia="en-US"/>
              </w:rPr>
            </w:pPr>
            <w:r w:rsidRPr="00393250">
              <w:rPr>
                <w:szCs w:val="24"/>
                <w:lang w:val="en-GB" w:eastAsia="en-US"/>
              </w:rPr>
              <w:t>God tilstand</w:t>
            </w:r>
          </w:p>
        </w:tc>
      </w:tr>
      <w:tr w:rsidR="008A5B47" w:rsidRPr="00393250" w14:paraId="37992431" w14:textId="77777777" w:rsidTr="00946C35">
        <w:tc>
          <w:tcPr>
            <w:tcW w:w="0" w:type="auto"/>
          </w:tcPr>
          <w:p w14:paraId="23F8D022" w14:textId="77777777" w:rsidR="008A5B47" w:rsidRPr="00393250" w:rsidRDefault="008A5B47" w:rsidP="008A5B47">
            <w:pPr>
              <w:spacing w:before="120" w:after="120" w:line="360" w:lineRule="auto"/>
              <w:rPr>
                <w:szCs w:val="24"/>
                <w:lang w:val="en-GB" w:eastAsia="en-US"/>
              </w:rPr>
            </w:pPr>
            <w:r w:rsidRPr="00393250">
              <w:rPr>
                <w:szCs w:val="24"/>
                <w:lang w:val="en-GB" w:eastAsia="en-US"/>
              </w:rPr>
              <w:t>Generelt</w:t>
            </w:r>
          </w:p>
        </w:tc>
        <w:tc>
          <w:tcPr>
            <w:tcW w:w="0" w:type="auto"/>
          </w:tcPr>
          <w:p w14:paraId="1B556F3C" w14:textId="77777777" w:rsidR="008A5B47" w:rsidRPr="00393250" w:rsidRDefault="008A5B47" w:rsidP="008A5B47">
            <w:pPr>
              <w:spacing w:before="120" w:after="120" w:line="360" w:lineRule="auto"/>
              <w:rPr>
                <w:szCs w:val="24"/>
                <w:lang w:eastAsia="en-US"/>
              </w:rPr>
            </w:pPr>
            <w:r w:rsidRPr="00393250">
              <w:rPr>
                <w:szCs w:val="24"/>
                <w:lang w:eastAsia="en-US"/>
              </w:rPr>
              <w:t>Grundvandsforekomstens kemiske sammensætning er således, at koncentrationerne af forurenende stoffer — som anført nedenfor ikke viser påvirkninger fra indtrængning af saltvand eller andet — ikke overstiger de kvalitetskrav, der gælder i henhold til bilag I til direktiv 2006/118/EF, de tærskelværdier for forurenende stoffer og forureningsindikatorer, der er fastsat i henhold til artikel 3, stk. 1, litra b), i nævnte direktiv, og de EU-tærskelværdier, der er fastsat i henhold til artikel 8, stk. 3, i nævnte direktiv — ikke ville medføre, at miljømålene i artikel 4 ikke opfyldes for tilknyttede overfladevandområder, eller at der sker en signifikant forringelse i sådanne vandområders økologiske eller kemiske kvalitet eller en signifikant beskadigelse af terrestriske økosystemer, som er direkte afhængige af grundvandsforekomsten</w:t>
            </w:r>
          </w:p>
        </w:tc>
      </w:tr>
      <w:tr w:rsidR="008A5B47" w:rsidRPr="00393250" w14:paraId="42307759" w14:textId="77777777" w:rsidTr="00946C35">
        <w:tc>
          <w:tcPr>
            <w:tcW w:w="0" w:type="auto"/>
          </w:tcPr>
          <w:p w14:paraId="090E4C03" w14:textId="77777777" w:rsidR="008A5B47" w:rsidRPr="00393250" w:rsidRDefault="008A5B47" w:rsidP="008A5B47">
            <w:pPr>
              <w:spacing w:before="120" w:after="120" w:line="360" w:lineRule="auto"/>
              <w:rPr>
                <w:szCs w:val="24"/>
                <w:lang w:val="en-GB" w:eastAsia="en-US"/>
              </w:rPr>
            </w:pPr>
            <w:r w:rsidRPr="00393250">
              <w:rPr>
                <w:szCs w:val="24"/>
                <w:lang w:val="en-GB" w:eastAsia="en-US"/>
              </w:rPr>
              <w:t>Ledningsevne</w:t>
            </w:r>
          </w:p>
        </w:tc>
        <w:tc>
          <w:tcPr>
            <w:tcW w:w="0" w:type="auto"/>
          </w:tcPr>
          <w:p w14:paraId="0486CB43" w14:textId="77777777" w:rsidR="008A5B47" w:rsidRPr="00393250" w:rsidRDefault="008A5B47" w:rsidP="008A5B47">
            <w:pPr>
              <w:spacing w:before="120" w:after="120" w:line="360" w:lineRule="auto"/>
              <w:rPr>
                <w:szCs w:val="24"/>
                <w:lang w:eastAsia="en-US"/>
              </w:rPr>
            </w:pPr>
            <w:r w:rsidRPr="00393250">
              <w:rPr>
                <w:szCs w:val="24"/>
                <w:lang w:eastAsia="en-US"/>
              </w:rPr>
              <w:t>Ændringer i ledningsevnen tyder ikke på indtrængning af saltvand eller andet i grundvandsforekomsten".</w:t>
            </w:r>
          </w:p>
        </w:tc>
      </w:tr>
    </w:tbl>
    <w:p w14:paraId="585F590A" w14:textId="67B99767" w:rsidR="008A5B47" w:rsidRPr="00393250" w:rsidRDefault="008A5B47" w:rsidP="008A5B47">
      <w:pPr>
        <w:spacing w:before="120" w:after="120" w:line="360" w:lineRule="auto"/>
        <w:ind w:left="850"/>
        <w:rPr>
          <w:szCs w:val="24"/>
          <w:lang w:eastAsia="en-US"/>
        </w:rPr>
      </w:pPr>
    </w:p>
    <w:p w14:paraId="4745D40D" w14:textId="77777777" w:rsidR="00957F77" w:rsidRPr="00393250" w:rsidRDefault="00957F77">
      <w:pPr>
        <w:widowControl/>
        <w:rPr>
          <w:szCs w:val="24"/>
          <w:lang w:eastAsia="en-US"/>
        </w:rPr>
      </w:pPr>
      <w:r w:rsidRPr="00393250">
        <w:rPr>
          <w:szCs w:val="24"/>
          <w:lang w:eastAsia="en-US"/>
        </w:rPr>
        <w:br w:type="page"/>
      </w:r>
    </w:p>
    <w:p w14:paraId="5CE7A7F4" w14:textId="55F230C5" w:rsidR="008A5B47" w:rsidRPr="00393250" w:rsidRDefault="008A5B47" w:rsidP="008A5B47">
      <w:pPr>
        <w:spacing w:before="120" w:after="120" w:line="360" w:lineRule="auto"/>
        <w:ind w:left="850" w:hanging="850"/>
        <w:rPr>
          <w:szCs w:val="24"/>
          <w:lang w:eastAsia="en-US"/>
        </w:rPr>
      </w:pPr>
      <w:r w:rsidRPr="00393250">
        <w:rPr>
          <w:szCs w:val="24"/>
          <w:lang w:eastAsia="en-US"/>
        </w:rPr>
        <w:lastRenderedPageBreak/>
        <w:t>(17)</w:t>
      </w:r>
      <w:r w:rsidRPr="00393250">
        <w:rPr>
          <w:szCs w:val="24"/>
          <w:lang w:eastAsia="en-US"/>
        </w:rPr>
        <w:tab/>
        <w:t>I punkt 2.4.1 tilføjes følgende afsnit:</w:t>
      </w:r>
    </w:p>
    <w:p w14:paraId="3E2314E1" w14:textId="77777777" w:rsidR="008A5B47" w:rsidRPr="00393250" w:rsidRDefault="008A5B47" w:rsidP="008A5B47">
      <w:pPr>
        <w:spacing w:before="120" w:after="120" w:line="360" w:lineRule="auto"/>
        <w:ind w:left="850"/>
        <w:rPr>
          <w:szCs w:val="24"/>
          <w:lang w:eastAsia="en-US"/>
        </w:rPr>
      </w:pPr>
      <w:r w:rsidRPr="00393250">
        <w:rPr>
          <w:szCs w:val="24"/>
          <w:lang w:eastAsia="en-US"/>
        </w:rPr>
        <w:t>"Hvis overvågningsnettet omfatter jordobservation og telemåling snarere end lokale prøvetagningssteder eller andre innovative teknikker, henvises der til CEN, ISO eller andre internationale eller nationale standarder, der er blevet anvendt for at sikre, at de indhentede tids- og geodata er lige så pålidelige som dem, der opnås ved hjælp af konventionelle overvågningsmetoder på lokale prøvetagningssteder."</w:t>
      </w:r>
    </w:p>
    <w:p w14:paraId="62E4E263"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(18)</w:t>
      </w:r>
      <w:r w:rsidRPr="00393250">
        <w:rPr>
          <w:szCs w:val="24"/>
          <w:lang w:eastAsia="en-US"/>
        </w:rPr>
        <w:tab/>
        <w:t>Punkt 2.4.5 affattes således:</w:t>
      </w:r>
    </w:p>
    <w:p w14:paraId="01CDEA54"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"2.4.5.</w:t>
      </w:r>
      <w:r w:rsidRPr="00393250">
        <w:rPr>
          <w:szCs w:val="24"/>
          <w:lang w:eastAsia="en-US"/>
        </w:rPr>
        <w:tab/>
        <w:t>Fortolkning og præsentation af grundvandets kemiske tilstand</w:t>
      </w:r>
    </w:p>
    <w:p w14:paraId="38769A2B" w14:textId="77777777" w:rsidR="008A5B47" w:rsidRPr="00393250" w:rsidRDefault="008A5B47" w:rsidP="008A5B47">
      <w:pPr>
        <w:spacing w:before="120" w:after="120" w:line="360" w:lineRule="auto"/>
        <w:ind w:left="1416"/>
        <w:rPr>
          <w:szCs w:val="24"/>
          <w:lang w:eastAsia="en-US"/>
        </w:rPr>
      </w:pPr>
      <w:r w:rsidRPr="00393250">
        <w:rPr>
          <w:szCs w:val="24"/>
          <w:lang w:eastAsia="en-US"/>
        </w:rPr>
        <w:t>Ved vurderingen af grundvandets kemiske tilstand aggregeres data fra de enkelte overvågningspunkter i en grundvandsforekomst for grundvandsforekomsten som helhed. Middelværdien af resultaterne fra hvert overvågningspunkt i grundvandsforekomsten eller gruppen af grundvandsforekomster beregnes for følgende parametre:</w:t>
      </w:r>
    </w:p>
    <w:p w14:paraId="5169D2C0" w14:textId="77777777" w:rsidR="00957F77" w:rsidRPr="00393250" w:rsidRDefault="00957F77">
      <w:pPr>
        <w:widowControl/>
        <w:rPr>
          <w:szCs w:val="24"/>
          <w:lang w:eastAsia="en-US"/>
        </w:rPr>
      </w:pPr>
      <w:r w:rsidRPr="00393250">
        <w:rPr>
          <w:szCs w:val="24"/>
          <w:lang w:eastAsia="en-US"/>
        </w:rPr>
        <w:br w:type="page"/>
      </w:r>
    </w:p>
    <w:p w14:paraId="39052BA1" w14:textId="5CE4D26F" w:rsidR="008A5B47" w:rsidRPr="00393250" w:rsidRDefault="008A5B47" w:rsidP="008A5B47">
      <w:pPr>
        <w:spacing w:before="120" w:after="120" w:line="360" w:lineRule="auto"/>
        <w:ind w:left="1982" w:hanging="566"/>
        <w:rPr>
          <w:szCs w:val="24"/>
          <w:lang w:eastAsia="en-US"/>
        </w:rPr>
      </w:pPr>
      <w:r w:rsidRPr="00393250">
        <w:rPr>
          <w:szCs w:val="24"/>
          <w:lang w:eastAsia="en-US"/>
        </w:rPr>
        <w:lastRenderedPageBreak/>
        <w:t>a)</w:t>
      </w:r>
      <w:r w:rsidRPr="00393250">
        <w:rPr>
          <w:szCs w:val="24"/>
          <w:lang w:eastAsia="en-US"/>
        </w:rPr>
        <w:tab/>
        <w:t>kemiske parametre, for hvilke der er fastsat kvalitetskrav i bilag I til direktiv 2006/118/EF</w:t>
      </w:r>
    </w:p>
    <w:p w14:paraId="16678852"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b)</w:t>
      </w:r>
      <w:r w:rsidRPr="00393250">
        <w:rPr>
          <w:szCs w:val="24"/>
          <w:lang w:eastAsia="en-US"/>
        </w:rPr>
        <w:tab/>
        <w:t>kemiske parametre, for hvilke der er fastsat nationale tærskelværdier i henhold til artikel 3, stk. 1, litra b), i direktiv 2006/118/EF</w:t>
      </w:r>
    </w:p>
    <w:p w14:paraId="1CE57A8C" w14:textId="77777777" w:rsidR="008A5B47" w:rsidRPr="00393250" w:rsidRDefault="008A5B47" w:rsidP="008A5B47">
      <w:pPr>
        <w:spacing w:before="120" w:after="120" w:line="360" w:lineRule="auto"/>
        <w:ind w:left="1982" w:hanging="566"/>
        <w:rPr>
          <w:szCs w:val="24"/>
          <w:lang w:eastAsia="en-US"/>
        </w:rPr>
      </w:pPr>
      <w:r w:rsidRPr="00393250">
        <w:rPr>
          <w:szCs w:val="24"/>
          <w:lang w:eastAsia="en-US"/>
        </w:rPr>
        <w:t>c)</w:t>
      </w:r>
      <w:r w:rsidRPr="00393250">
        <w:rPr>
          <w:szCs w:val="24"/>
          <w:lang w:eastAsia="en-US"/>
        </w:rPr>
        <w:tab/>
        <w:t>kemiske parametre, for hvilke der er fastsat EU-dækkende tærskelværdier i henhold til artikel 8, stk. 3, i direktiv 2006/118/EF</w:t>
      </w:r>
    </w:p>
    <w:p w14:paraId="2A9B0EA6" w14:textId="77777777" w:rsidR="008A5B47" w:rsidRPr="00393250" w:rsidRDefault="008A5B47" w:rsidP="008A5B47">
      <w:pPr>
        <w:spacing w:before="120" w:after="120" w:line="360" w:lineRule="auto"/>
        <w:ind w:left="1416"/>
        <w:rPr>
          <w:szCs w:val="24"/>
          <w:lang w:eastAsia="en-US"/>
        </w:rPr>
      </w:pPr>
      <w:r w:rsidRPr="00393250">
        <w:rPr>
          <w:szCs w:val="24"/>
          <w:lang w:eastAsia="en-US"/>
        </w:rPr>
        <w:t>De middelværdier, der er omhandlet i første afsnit, anvendes til at påvise overensstemmelse med god kemisk tilstand for grundvand defineret ved henvisning til de kvalitetskrav og tærskelværdier, der er omhandlet i første afsnit.</w:t>
      </w:r>
    </w:p>
    <w:p w14:paraId="6D7A4F83" w14:textId="77777777" w:rsidR="008A5B47" w:rsidRPr="00393250" w:rsidRDefault="008A5B47" w:rsidP="008A5B47">
      <w:pPr>
        <w:spacing w:before="120" w:after="120" w:line="360" w:lineRule="auto"/>
        <w:ind w:left="1416"/>
        <w:rPr>
          <w:szCs w:val="24"/>
          <w:lang w:eastAsia="en-US"/>
        </w:rPr>
      </w:pPr>
      <w:r w:rsidRPr="00393250">
        <w:rPr>
          <w:szCs w:val="24"/>
          <w:lang w:eastAsia="en-US"/>
        </w:rPr>
        <w:t>Med forbehold af punkt 2.5 udarbejder medlemsstaterne et kort, der viser grundvandets kemiske tilstand med følgende farvekoder:</w:t>
      </w:r>
    </w:p>
    <w:p w14:paraId="08494403" w14:textId="77777777" w:rsidR="008A5B47" w:rsidRPr="00393250" w:rsidRDefault="008A5B47" w:rsidP="008A5B47">
      <w:pPr>
        <w:spacing w:before="120" w:after="120" w:line="360" w:lineRule="auto"/>
        <w:ind w:left="1416"/>
        <w:rPr>
          <w:szCs w:val="24"/>
          <w:lang w:eastAsia="en-US"/>
        </w:rPr>
      </w:pPr>
      <w:r w:rsidRPr="00393250">
        <w:rPr>
          <w:szCs w:val="24"/>
          <w:lang w:eastAsia="en-US"/>
        </w:rPr>
        <w:t>God: grøn</w:t>
      </w:r>
    </w:p>
    <w:p w14:paraId="7DC2DE75" w14:textId="77777777" w:rsidR="008A5B47" w:rsidRPr="00393250" w:rsidRDefault="008A5B47" w:rsidP="008A5B47">
      <w:pPr>
        <w:spacing w:before="120" w:after="120" w:line="360" w:lineRule="auto"/>
        <w:ind w:left="1416"/>
        <w:rPr>
          <w:szCs w:val="24"/>
          <w:lang w:eastAsia="en-US"/>
        </w:rPr>
      </w:pPr>
      <w:r w:rsidRPr="00393250">
        <w:rPr>
          <w:szCs w:val="24"/>
          <w:lang w:eastAsia="en-US"/>
        </w:rPr>
        <w:t>Ringe: rød</w:t>
      </w:r>
    </w:p>
    <w:p w14:paraId="62B9A37B" w14:textId="77777777" w:rsidR="00957F77" w:rsidRPr="00393250" w:rsidRDefault="00957F77">
      <w:pPr>
        <w:widowControl/>
        <w:rPr>
          <w:szCs w:val="24"/>
          <w:lang w:eastAsia="en-US"/>
        </w:rPr>
      </w:pPr>
      <w:r w:rsidRPr="00393250">
        <w:rPr>
          <w:szCs w:val="24"/>
          <w:lang w:eastAsia="en-US"/>
        </w:rPr>
        <w:br w:type="page"/>
      </w:r>
    </w:p>
    <w:p w14:paraId="37DD37A0" w14:textId="1620547B" w:rsidR="008A5B47" w:rsidRPr="00393250" w:rsidRDefault="008A5B47" w:rsidP="008A5B47">
      <w:pPr>
        <w:spacing w:before="120" w:after="120" w:line="360" w:lineRule="auto"/>
        <w:ind w:left="1416"/>
        <w:rPr>
          <w:b/>
          <w:szCs w:val="24"/>
          <w:lang w:eastAsia="en-US"/>
        </w:rPr>
      </w:pPr>
      <w:r w:rsidRPr="00393250">
        <w:rPr>
          <w:szCs w:val="24"/>
          <w:lang w:eastAsia="en-US"/>
        </w:rPr>
        <w:lastRenderedPageBreak/>
        <w:t xml:space="preserve">Med en sort prik på kortet viser medlemsstaterne desuden de grundvandsforekomster, som er udsat for </w:t>
      </w:r>
      <w:r w:rsidRPr="00393250">
        <w:rPr>
          <w:strike/>
          <w:szCs w:val="24"/>
          <w:lang w:eastAsia="en-US"/>
        </w:rPr>
        <w:t>en signifikant</w:t>
      </w:r>
      <w:r w:rsidRPr="00393250">
        <w:rPr>
          <w:b/>
          <w:i/>
          <w:szCs w:val="24"/>
          <w:lang w:eastAsia="en-US"/>
        </w:rPr>
        <w:t>signifikante</w:t>
      </w:r>
      <w:r w:rsidRPr="00393250">
        <w:rPr>
          <w:szCs w:val="24"/>
          <w:lang w:eastAsia="en-US"/>
        </w:rPr>
        <w:t xml:space="preserve"> og vedvarende </w:t>
      </w:r>
      <w:r w:rsidRPr="00393250">
        <w:rPr>
          <w:strike/>
          <w:szCs w:val="24"/>
          <w:lang w:eastAsia="en-US"/>
        </w:rPr>
        <w:t>tendens</w:t>
      </w:r>
      <w:r w:rsidRPr="00393250">
        <w:rPr>
          <w:b/>
          <w:i/>
          <w:szCs w:val="24"/>
          <w:lang w:eastAsia="en-US"/>
        </w:rPr>
        <w:t>tendenser, herunder årstidsbestemte opadgående tendenser, der bl.a. skyldes en lav udledning fra et vandområde,</w:t>
      </w:r>
      <w:r w:rsidRPr="00393250">
        <w:rPr>
          <w:szCs w:val="24"/>
          <w:lang w:eastAsia="en-US"/>
        </w:rPr>
        <w:t xml:space="preserve"> til stigende koncentrationer af forurenende stoffer, der stammer fra menneskelig aktivitet. Ændringer i en udviklingstendens anføres med en blå prik på kortet.</w:t>
      </w:r>
      <w:r w:rsidR="00957F77" w:rsidRPr="00393250">
        <w:rPr>
          <w:b/>
          <w:szCs w:val="24"/>
          <w:lang w:eastAsia="en-US"/>
        </w:rPr>
        <w:t xml:space="preserve"> [Ændring 140]</w:t>
      </w:r>
    </w:p>
    <w:p w14:paraId="3CABB830" w14:textId="11276DD3" w:rsidR="008A5B47" w:rsidRPr="00393250" w:rsidRDefault="008A5B47" w:rsidP="008A5B47">
      <w:pPr>
        <w:spacing w:before="120" w:after="120" w:line="360" w:lineRule="auto"/>
        <w:ind w:left="1416"/>
        <w:rPr>
          <w:szCs w:val="24"/>
          <w:lang w:eastAsia="en-US"/>
        </w:rPr>
      </w:pPr>
      <w:r w:rsidRPr="00393250">
        <w:rPr>
          <w:szCs w:val="24"/>
          <w:lang w:eastAsia="en-US"/>
        </w:rPr>
        <w:t>Kortene skal indgå i vandområdeplanen."</w:t>
      </w:r>
    </w:p>
    <w:p w14:paraId="22C5D2B8" w14:textId="77777777" w:rsidR="008A5B47" w:rsidRPr="00393250" w:rsidRDefault="008A5B47" w:rsidP="008A5B47">
      <w:pPr>
        <w:spacing w:before="120" w:after="120" w:line="360" w:lineRule="auto"/>
        <w:rPr>
          <w:b/>
          <w:szCs w:val="24"/>
          <w:lang w:eastAsia="en-US"/>
        </w:rPr>
        <w:sectPr w:rsidR="008A5B47" w:rsidRPr="00393250">
          <w:footnotePr>
            <w:numRestart w:val="eachSect"/>
          </w:footnotePr>
          <w:endnotePr>
            <w:numFmt w:val="decimal"/>
          </w:endnotePr>
          <w:pgSz w:w="11909" w:h="16834"/>
          <w:pgMar w:top="1134" w:right="1417" w:bottom="1417" w:left="1417" w:header="1134" w:footer="567" w:gutter="0"/>
          <w:cols w:space="720"/>
        </w:sectPr>
      </w:pPr>
    </w:p>
    <w:p w14:paraId="7E2F00C8" w14:textId="0C43949C" w:rsidR="008A5B47" w:rsidRPr="00393250" w:rsidRDefault="000A2EE6" w:rsidP="008A5B47">
      <w:pPr>
        <w:spacing w:before="120" w:after="120" w:line="360" w:lineRule="auto"/>
        <w:jc w:val="center"/>
        <w:rPr>
          <w:lang w:eastAsia="en-US"/>
        </w:rPr>
      </w:pPr>
      <w:r w:rsidRPr="00393250">
        <w:rPr>
          <w:lang w:eastAsia="en-US"/>
        </w:rPr>
        <w:lastRenderedPageBreak/>
        <w:t>Bilag</w:t>
      </w:r>
      <w:r w:rsidR="008A5B47" w:rsidRPr="00393250">
        <w:rPr>
          <w:lang w:eastAsia="en-US"/>
        </w:rPr>
        <w:t xml:space="preserve"> II</w:t>
      </w:r>
    </w:p>
    <w:p w14:paraId="6C3DE72C" w14:textId="77777777" w:rsidR="008A5B47" w:rsidRPr="00393250" w:rsidRDefault="008A5B47" w:rsidP="008A5B47">
      <w:pPr>
        <w:spacing w:before="120" w:after="120" w:line="360" w:lineRule="auto"/>
        <w:rPr>
          <w:szCs w:val="24"/>
          <w:lang w:eastAsia="en-US"/>
        </w:rPr>
      </w:pPr>
      <w:r w:rsidRPr="00393250">
        <w:rPr>
          <w:szCs w:val="24"/>
          <w:lang w:eastAsia="en-US"/>
        </w:rPr>
        <w:t>Bilag VIII til direktiv 2000/60/EF ændres således:</w:t>
      </w:r>
    </w:p>
    <w:p w14:paraId="1DDA8031" w14:textId="30ACE150" w:rsidR="008A5B47" w:rsidRPr="00393250" w:rsidRDefault="000A2EE6" w:rsidP="008A5B47">
      <w:pPr>
        <w:spacing w:before="120" w:after="120" w:line="360" w:lineRule="auto"/>
        <w:ind w:left="850" w:hanging="850"/>
        <w:rPr>
          <w:szCs w:val="24"/>
          <w:lang w:eastAsia="en-US"/>
        </w:rPr>
      </w:pPr>
      <w:r w:rsidRPr="00393250">
        <w:rPr>
          <w:szCs w:val="24"/>
          <w:lang w:eastAsia="en-US"/>
        </w:rPr>
        <w:t>(</w:t>
      </w:r>
      <w:r w:rsidR="008A5B47" w:rsidRPr="00393250">
        <w:rPr>
          <w:szCs w:val="24"/>
          <w:lang w:eastAsia="en-US"/>
        </w:rPr>
        <w:t>1)</w:t>
      </w:r>
      <w:r w:rsidR="008A5B47" w:rsidRPr="00393250">
        <w:rPr>
          <w:szCs w:val="24"/>
          <w:lang w:eastAsia="en-US"/>
        </w:rPr>
        <w:tab/>
        <w:t>Nr. 10 affattes således:</w:t>
      </w:r>
    </w:p>
    <w:p w14:paraId="62749F5B" w14:textId="46FC0A93" w:rsidR="008A5B47" w:rsidRPr="00393250" w:rsidRDefault="008A5B47" w:rsidP="008A5B47">
      <w:pPr>
        <w:spacing w:before="120" w:after="120" w:line="360" w:lineRule="auto"/>
        <w:ind w:left="1416" w:hanging="566"/>
        <w:rPr>
          <w:b/>
          <w:szCs w:val="24"/>
          <w:lang w:eastAsia="en-US"/>
        </w:rPr>
      </w:pPr>
      <w:r w:rsidRPr="00393250">
        <w:rPr>
          <w:szCs w:val="24"/>
          <w:lang w:eastAsia="en-US"/>
        </w:rPr>
        <w:t>"10.</w:t>
      </w:r>
      <w:r w:rsidRPr="00393250">
        <w:rPr>
          <w:szCs w:val="24"/>
          <w:lang w:eastAsia="en-US"/>
        </w:rPr>
        <w:tab/>
        <w:t xml:space="preserve"> Opslæmmede stoffer, herunder mikro-/nanoplast</w:t>
      </w:r>
      <w:r w:rsidRPr="00393250">
        <w:rPr>
          <w:b/>
          <w:i/>
          <w:szCs w:val="24"/>
          <w:lang w:eastAsia="en-US"/>
        </w:rPr>
        <w:t>, og materialer, der er kendt for at føre til mikro- eller nanoplast</w:t>
      </w:r>
      <w:r w:rsidRPr="00393250">
        <w:rPr>
          <w:szCs w:val="24"/>
          <w:lang w:eastAsia="en-US"/>
        </w:rPr>
        <w:t>"</w:t>
      </w:r>
      <w:r w:rsidR="000A2EE6" w:rsidRPr="00393250">
        <w:rPr>
          <w:b/>
          <w:szCs w:val="24"/>
          <w:lang w:eastAsia="en-US"/>
        </w:rPr>
        <w:t xml:space="preserve"> [Ændring 141]</w:t>
      </w:r>
    </w:p>
    <w:p w14:paraId="2F1251CF" w14:textId="734C9399" w:rsidR="008A5B47" w:rsidRPr="00393250" w:rsidRDefault="000A2EE6" w:rsidP="008A5B47">
      <w:pPr>
        <w:spacing w:before="120" w:after="120" w:line="360" w:lineRule="auto"/>
        <w:ind w:left="850" w:hanging="850"/>
        <w:rPr>
          <w:szCs w:val="24"/>
          <w:lang w:eastAsia="en-US"/>
        </w:rPr>
      </w:pPr>
      <w:r w:rsidRPr="00393250">
        <w:rPr>
          <w:szCs w:val="24"/>
          <w:lang w:eastAsia="en-US"/>
        </w:rPr>
        <w:t>(</w:t>
      </w:r>
      <w:r w:rsidR="008A5B47" w:rsidRPr="00393250">
        <w:rPr>
          <w:szCs w:val="24"/>
          <w:lang w:eastAsia="en-US"/>
        </w:rPr>
        <w:t>2)</w:t>
      </w:r>
      <w:r w:rsidR="008A5B47" w:rsidRPr="00393250">
        <w:rPr>
          <w:szCs w:val="24"/>
          <w:lang w:eastAsia="en-US"/>
        </w:rPr>
        <w:tab/>
        <w:t>Som nr. 13 tilføjes:</w:t>
      </w:r>
    </w:p>
    <w:p w14:paraId="6CD92D51" w14:textId="5BC7571B" w:rsidR="008A5B47" w:rsidRPr="00393250" w:rsidRDefault="008A5B47" w:rsidP="008A5B47">
      <w:pPr>
        <w:spacing w:before="120" w:after="120" w:line="360" w:lineRule="auto"/>
        <w:ind w:left="1416" w:hanging="566"/>
        <w:rPr>
          <w:szCs w:val="24"/>
          <w:lang w:eastAsia="en-US"/>
        </w:rPr>
      </w:pPr>
      <w:r w:rsidRPr="00393250">
        <w:rPr>
          <w:szCs w:val="24"/>
          <w:lang w:eastAsia="en-US"/>
        </w:rPr>
        <w:t>"13.</w:t>
      </w:r>
      <w:r w:rsidRPr="00393250">
        <w:rPr>
          <w:szCs w:val="24"/>
          <w:lang w:eastAsia="en-US"/>
        </w:rPr>
        <w:tab/>
        <w:t>Mikroorganismer, gener eller genetisk materiale, der afspejler tilstedeværelsen af mikroorganismer, der er resistente over for antimikrobielle stoffer, navnlig mikroorganismer, der er patogene for mennesker eller husdyr."</w:t>
      </w:r>
    </w:p>
    <w:p w14:paraId="62AC6254" w14:textId="77777777" w:rsidR="008A5B47" w:rsidRPr="00393250" w:rsidRDefault="008A5B47" w:rsidP="008A5B47">
      <w:pPr>
        <w:spacing w:before="120" w:after="120" w:line="360" w:lineRule="auto"/>
        <w:rPr>
          <w:szCs w:val="24"/>
          <w:lang w:eastAsia="en-US"/>
        </w:rPr>
        <w:sectPr w:rsidR="008A5B47" w:rsidRPr="00393250">
          <w:footnotePr>
            <w:numRestart w:val="eachSect"/>
          </w:footnotePr>
          <w:endnotePr>
            <w:numFmt w:val="decimal"/>
          </w:endnotePr>
          <w:pgSz w:w="11909" w:h="16834"/>
          <w:pgMar w:top="1134" w:right="1417" w:bottom="1417" w:left="1417" w:header="1134" w:footer="567" w:gutter="0"/>
          <w:cols w:space="720"/>
        </w:sectPr>
      </w:pPr>
    </w:p>
    <w:p w14:paraId="15D914AA" w14:textId="7221D507" w:rsidR="008A5B47" w:rsidRPr="00393250" w:rsidRDefault="0096482C" w:rsidP="008A5B47">
      <w:pPr>
        <w:spacing w:before="120" w:after="120" w:line="360" w:lineRule="auto"/>
        <w:jc w:val="center"/>
        <w:rPr>
          <w:lang w:eastAsia="en-US"/>
        </w:rPr>
      </w:pPr>
      <w:r w:rsidRPr="00393250">
        <w:rPr>
          <w:lang w:eastAsia="en-US"/>
        </w:rPr>
        <w:lastRenderedPageBreak/>
        <w:t>Bilag</w:t>
      </w:r>
      <w:r w:rsidR="008A5B47" w:rsidRPr="00393250">
        <w:rPr>
          <w:lang w:eastAsia="en-US"/>
        </w:rPr>
        <w:t xml:space="preserve"> III</w:t>
      </w:r>
    </w:p>
    <w:p w14:paraId="7B638A9E" w14:textId="0DDE66D8" w:rsidR="008A5B47" w:rsidRPr="00393250" w:rsidRDefault="0096482C" w:rsidP="008A5B47">
      <w:pPr>
        <w:spacing w:before="120" w:after="120" w:line="360" w:lineRule="auto"/>
        <w:ind w:left="850"/>
        <w:rPr>
          <w:szCs w:val="24"/>
          <w:lang w:eastAsia="en-US"/>
        </w:rPr>
      </w:pPr>
      <w:r w:rsidRPr="00393250">
        <w:rPr>
          <w:szCs w:val="24"/>
          <w:lang w:eastAsia="en-US"/>
        </w:rPr>
        <w:t>"</w:t>
      </w:r>
      <w:r w:rsidR="008A5B47" w:rsidRPr="00393250">
        <w:rPr>
          <w:szCs w:val="24"/>
          <w:lang w:eastAsia="en-US"/>
        </w:rPr>
        <w:t>BILAG I</w:t>
      </w:r>
    </w:p>
    <w:p w14:paraId="34C9D5E5" w14:textId="77777777" w:rsidR="008A5B47" w:rsidRPr="00393250" w:rsidRDefault="008A5B47" w:rsidP="008A5B47">
      <w:pPr>
        <w:spacing w:before="120" w:after="120" w:line="360" w:lineRule="auto"/>
        <w:ind w:left="850"/>
        <w:rPr>
          <w:szCs w:val="24"/>
          <w:lang w:eastAsia="en-US"/>
        </w:rPr>
      </w:pPr>
      <w:r w:rsidRPr="00393250">
        <w:rPr>
          <w:szCs w:val="24"/>
          <w:lang w:eastAsia="en-US"/>
        </w:rPr>
        <w:t>KVALITETSKRAV FOR GRUNDVAND</w:t>
      </w:r>
    </w:p>
    <w:p w14:paraId="3E1F8DD4" w14:textId="6A187CE1" w:rsidR="008A5B47" w:rsidRPr="00393250" w:rsidRDefault="008A5B47" w:rsidP="008A5B47">
      <w:pPr>
        <w:spacing w:before="120" w:after="120" w:line="360" w:lineRule="auto"/>
        <w:ind w:left="850"/>
        <w:rPr>
          <w:b/>
          <w:szCs w:val="24"/>
          <w:lang w:eastAsia="en-US"/>
        </w:rPr>
      </w:pPr>
      <w:r w:rsidRPr="00393250">
        <w:rPr>
          <w:szCs w:val="24"/>
          <w:lang w:eastAsia="en-US"/>
        </w:rPr>
        <w:t xml:space="preserve">Bemærkning 1: Kvalitetskravene for de forurenende stoffer, der er anført under nummer 3-7 finder anvendelse fra den … [OP: indsæt datoen = den første dag i måneden efter </w:t>
      </w:r>
      <w:r w:rsidRPr="00393250">
        <w:rPr>
          <w:strike/>
          <w:szCs w:val="24"/>
          <w:lang w:eastAsia="en-US"/>
        </w:rPr>
        <w:t>18</w:t>
      </w:r>
      <w:r w:rsidRPr="00393250">
        <w:rPr>
          <w:b/>
          <w:i/>
          <w:szCs w:val="24"/>
          <w:lang w:eastAsia="en-US"/>
        </w:rPr>
        <w:t>seks</w:t>
      </w:r>
      <w:r w:rsidRPr="00393250">
        <w:rPr>
          <w:szCs w:val="24"/>
          <w:lang w:eastAsia="en-US"/>
        </w:rPr>
        <w:t xml:space="preserve"> måneder efter dette ændringsdirektivs ikrafttræden] med henblik på at opnå god kemisk vandtilstand senest den 22. december 2033.</w:t>
      </w:r>
      <w:r w:rsidR="0096482C" w:rsidRPr="00393250">
        <w:rPr>
          <w:b/>
          <w:szCs w:val="24"/>
          <w:lang w:eastAsia="en-US"/>
        </w:rPr>
        <w:t xml:space="preserve"> [Ændring 14</w:t>
      </w:r>
      <w:r w:rsidR="00E03C75" w:rsidRPr="00393250">
        <w:rPr>
          <w:b/>
          <w:szCs w:val="24"/>
          <w:lang w:eastAsia="en-US"/>
        </w:rPr>
        <w:t>2</w:t>
      </w:r>
      <w:r w:rsidR="0096482C" w:rsidRPr="00393250">
        <w:rPr>
          <w:b/>
          <w:szCs w:val="24"/>
          <w:lang w:eastAsia="en-US"/>
        </w:rPr>
        <w:t>]</w:t>
      </w:r>
    </w:p>
    <w:p w14:paraId="1F429F3F" w14:textId="59E3EC4E" w:rsidR="00282B72" w:rsidRPr="00393250" w:rsidRDefault="008A5B47" w:rsidP="008A5B47">
      <w:pPr>
        <w:spacing w:before="120" w:after="120" w:line="360" w:lineRule="auto"/>
        <w:ind w:left="850"/>
        <w:rPr>
          <w:b/>
          <w:szCs w:val="24"/>
          <w:lang w:eastAsia="en-US"/>
        </w:rPr>
      </w:pPr>
      <w:r w:rsidRPr="00393250">
        <w:rPr>
          <w:b/>
          <w:i/>
          <w:szCs w:val="24"/>
          <w:lang w:eastAsia="en-US"/>
        </w:rPr>
        <w:t>Hvis det for en given grundvandsforekomst, navnlig en grundvandsforekomst, der er beliggende i det økologiske net af særlige bevaringsområder i henhold til Rådets direktiv 92/43/EØF, skønnes, at grundvandskvalitetskravene kan føre til, at miljømålene i artikel 4 i direktiv 2000/60/EF for tilknyttede overfladevandområder ikke nås, eller til en væsentlig forringelse af sådanne forekomsters økologiske eller kemiske kvalitet eller til en væsentlig skade på grundvandsøkosystemer eller terrestriske økosystemer, der er direkte afhængige af grundvandsforekomsten, fastsættes der strengere tærskelværdier i overensstemmelse med artikel 3 og bilag II til nærværende direktiv. De programmer og foranstaltninger, der er påkrævet i forbindelse med sådanne tærskelværdier, finder også anvendelse på de aktiviteter, der er omfattet af anvendelsesområdet for direktiv 91/676/EØF.</w:t>
      </w:r>
      <w:r w:rsidR="0096482C" w:rsidRPr="00393250">
        <w:rPr>
          <w:b/>
          <w:szCs w:val="24"/>
          <w:lang w:eastAsia="en-US"/>
        </w:rPr>
        <w:t xml:space="preserve"> [Ændring 143]</w:t>
      </w:r>
    </w:p>
    <w:p w14:paraId="17ED63ED" w14:textId="091F2AAE" w:rsidR="00282B72" w:rsidRPr="00393250" w:rsidRDefault="00282B72" w:rsidP="008A5B47">
      <w:pPr>
        <w:spacing w:before="120" w:after="120" w:line="360" w:lineRule="auto"/>
        <w:ind w:left="850"/>
        <w:rPr>
          <w:b/>
          <w:szCs w:val="24"/>
          <w:lang w:eastAsia="en-US"/>
        </w:rPr>
      </w:pPr>
    </w:p>
    <w:p w14:paraId="0BB515CD" w14:textId="77777777" w:rsidR="00282B72" w:rsidRPr="00393250" w:rsidRDefault="00282B72" w:rsidP="008A5B47">
      <w:pPr>
        <w:spacing w:before="120" w:after="120" w:line="360" w:lineRule="auto"/>
        <w:ind w:left="850"/>
        <w:rPr>
          <w:b/>
          <w:szCs w:val="24"/>
          <w:lang w:eastAsia="en-US"/>
        </w:rPr>
        <w:sectPr w:rsidR="00282B72" w:rsidRPr="00393250">
          <w:footnotePr>
            <w:numRestart w:val="eachSect"/>
          </w:footnotePr>
          <w:endnotePr>
            <w:numFmt w:val="decimal"/>
          </w:endnotePr>
          <w:pgSz w:w="11909" w:h="16834"/>
          <w:pgMar w:top="1134" w:right="1417" w:bottom="1417" w:left="1417" w:header="1134" w:footer="567" w:gutter="0"/>
          <w:cols w:space="720"/>
        </w:sectPr>
      </w:pPr>
    </w:p>
    <w:p w14:paraId="5B90DD79" w14:textId="611289F0" w:rsidR="008A5B47" w:rsidRPr="00393250" w:rsidRDefault="008A5B47" w:rsidP="008A5B47">
      <w:pPr>
        <w:spacing w:before="120" w:after="120" w:line="360" w:lineRule="auto"/>
        <w:ind w:left="850"/>
        <w:rPr>
          <w:b/>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403"/>
        <w:gridCol w:w="3620"/>
        <w:gridCol w:w="2166"/>
        <w:gridCol w:w="1741"/>
        <w:gridCol w:w="1722"/>
        <w:gridCol w:w="2621"/>
      </w:tblGrid>
      <w:tr w:rsidR="008A5B47" w:rsidRPr="00393250" w14:paraId="6A12F462" w14:textId="77777777" w:rsidTr="00E03C75">
        <w:trPr>
          <w:tblHeader/>
        </w:trPr>
        <w:tc>
          <w:tcPr>
            <w:tcW w:w="842" w:type="pct"/>
          </w:tcPr>
          <w:p w14:paraId="5F8D5488" w14:textId="77777777" w:rsidR="008A5B47" w:rsidRPr="00393250" w:rsidRDefault="008A5B47" w:rsidP="008A5B47">
            <w:pPr>
              <w:spacing w:before="120" w:after="120" w:line="360" w:lineRule="auto"/>
              <w:rPr>
                <w:szCs w:val="24"/>
                <w:lang w:val="en-GB" w:eastAsia="en-US"/>
              </w:rPr>
            </w:pPr>
            <w:r w:rsidRPr="00393250">
              <w:rPr>
                <w:szCs w:val="24"/>
                <w:lang w:val="en-GB" w:eastAsia="en-US"/>
              </w:rPr>
              <w:t>(1)</w:t>
            </w:r>
          </w:p>
        </w:tc>
        <w:tc>
          <w:tcPr>
            <w:tcW w:w="1268" w:type="pct"/>
          </w:tcPr>
          <w:p w14:paraId="4BF0BC9F" w14:textId="77777777" w:rsidR="008A5B47" w:rsidRPr="00393250" w:rsidRDefault="008A5B47" w:rsidP="008A5B47">
            <w:pPr>
              <w:spacing w:before="120" w:after="120" w:line="360" w:lineRule="auto"/>
              <w:rPr>
                <w:szCs w:val="24"/>
                <w:lang w:val="en-GB" w:eastAsia="en-US"/>
              </w:rPr>
            </w:pPr>
            <w:r w:rsidRPr="00393250">
              <w:rPr>
                <w:szCs w:val="24"/>
                <w:lang w:val="en-GB" w:eastAsia="en-US"/>
              </w:rPr>
              <w:t>(2)</w:t>
            </w:r>
          </w:p>
        </w:tc>
        <w:tc>
          <w:tcPr>
            <w:tcW w:w="0" w:type="auto"/>
          </w:tcPr>
          <w:p w14:paraId="6D810A15" w14:textId="77777777" w:rsidR="008A5B47" w:rsidRPr="00393250" w:rsidRDefault="008A5B47" w:rsidP="008A5B47">
            <w:pPr>
              <w:spacing w:before="120" w:after="120" w:line="360" w:lineRule="auto"/>
              <w:rPr>
                <w:szCs w:val="24"/>
                <w:lang w:val="en-GB" w:eastAsia="en-US"/>
              </w:rPr>
            </w:pPr>
            <w:r w:rsidRPr="00393250">
              <w:rPr>
                <w:szCs w:val="24"/>
                <w:lang w:val="en-GB" w:eastAsia="en-US"/>
              </w:rPr>
              <w:t>(3)</w:t>
            </w:r>
          </w:p>
        </w:tc>
        <w:tc>
          <w:tcPr>
            <w:tcW w:w="0" w:type="auto"/>
          </w:tcPr>
          <w:p w14:paraId="0A6CBE2B" w14:textId="77777777" w:rsidR="008A5B47" w:rsidRPr="00393250" w:rsidRDefault="008A5B47" w:rsidP="008A5B47">
            <w:pPr>
              <w:spacing w:before="120" w:after="120" w:line="360" w:lineRule="auto"/>
              <w:rPr>
                <w:szCs w:val="24"/>
                <w:lang w:val="en-GB" w:eastAsia="en-US"/>
              </w:rPr>
            </w:pPr>
            <w:r w:rsidRPr="00393250">
              <w:rPr>
                <w:szCs w:val="24"/>
                <w:lang w:val="en-GB" w:eastAsia="en-US"/>
              </w:rPr>
              <w:t>(4)</w:t>
            </w:r>
          </w:p>
        </w:tc>
        <w:tc>
          <w:tcPr>
            <w:tcW w:w="0" w:type="auto"/>
          </w:tcPr>
          <w:p w14:paraId="08C838E3" w14:textId="77777777" w:rsidR="008A5B47" w:rsidRPr="00393250" w:rsidRDefault="008A5B47" w:rsidP="008A5B47">
            <w:pPr>
              <w:spacing w:before="120" w:after="120" w:line="360" w:lineRule="auto"/>
              <w:rPr>
                <w:szCs w:val="24"/>
                <w:lang w:val="en-GB" w:eastAsia="en-US"/>
              </w:rPr>
            </w:pPr>
            <w:r w:rsidRPr="00393250">
              <w:rPr>
                <w:szCs w:val="24"/>
                <w:lang w:val="en-GB" w:eastAsia="en-US"/>
              </w:rPr>
              <w:t>(5)</w:t>
            </w:r>
          </w:p>
        </w:tc>
        <w:tc>
          <w:tcPr>
            <w:tcW w:w="0" w:type="auto"/>
          </w:tcPr>
          <w:p w14:paraId="043B17F6" w14:textId="77777777" w:rsidR="008A5B47" w:rsidRPr="00393250" w:rsidRDefault="008A5B47" w:rsidP="008A5B47">
            <w:pPr>
              <w:spacing w:before="120" w:after="120" w:line="360" w:lineRule="auto"/>
              <w:rPr>
                <w:szCs w:val="24"/>
                <w:lang w:val="en-GB" w:eastAsia="en-US"/>
              </w:rPr>
            </w:pPr>
            <w:r w:rsidRPr="00393250">
              <w:rPr>
                <w:szCs w:val="24"/>
                <w:lang w:val="en-GB" w:eastAsia="en-US"/>
              </w:rPr>
              <w:t>(6)</w:t>
            </w:r>
          </w:p>
        </w:tc>
      </w:tr>
      <w:tr w:rsidR="008A5B47" w:rsidRPr="00393250" w14:paraId="5BE3E699" w14:textId="77777777" w:rsidTr="00E03C75">
        <w:tc>
          <w:tcPr>
            <w:tcW w:w="842" w:type="pct"/>
          </w:tcPr>
          <w:p w14:paraId="74364065" w14:textId="77777777" w:rsidR="008A5B47" w:rsidRPr="00393250" w:rsidRDefault="008A5B47" w:rsidP="008A5B47">
            <w:pPr>
              <w:spacing w:before="120" w:after="120" w:line="360" w:lineRule="auto"/>
              <w:rPr>
                <w:szCs w:val="24"/>
                <w:lang w:val="en-GB" w:eastAsia="en-US"/>
              </w:rPr>
            </w:pPr>
            <w:r w:rsidRPr="00393250">
              <w:rPr>
                <w:szCs w:val="24"/>
                <w:lang w:val="en-GB" w:eastAsia="en-US"/>
              </w:rPr>
              <w:t>Nr.</w:t>
            </w:r>
          </w:p>
        </w:tc>
        <w:tc>
          <w:tcPr>
            <w:tcW w:w="1268" w:type="pct"/>
          </w:tcPr>
          <w:p w14:paraId="60515900" w14:textId="77777777" w:rsidR="008A5B47" w:rsidRPr="00393250" w:rsidRDefault="008A5B47" w:rsidP="008A5B47">
            <w:pPr>
              <w:spacing w:before="120" w:after="120" w:line="360" w:lineRule="auto"/>
              <w:rPr>
                <w:szCs w:val="24"/>
                <w:lang w:val="en-GB" w:eastAsia="en-US"/>
              </w:rPr>
            </w:pPr>
            <w:r w:rsidRPr="00393250">
              <w:rPr>
                <w:szCs w:val="24"/>
                <w:lang w:val="en-GB" w:eastAsia="en-US"/>
              </w:rPr>
              <w:t>Stoffets navn</w:t>
            </w:r>
          </w:p>
        </w:tc>
        <w:tc>
          <w:tcPr>
            <w:tcW w:w="0" w:type="auto"/>
          </w:tcPr>
          <w:p w14:paraId="2BD04E03" w14:textId="77777777" w:rsidR="008A5B47" w:rsidRPr="00393250" w:rsidRDefault="008A5B47" w:rsidP="008A5B47">
            <w:pPr>
              <w:spacing w:before="120" w:after="120" w:line="360" w:lineRule="auto"/>
              <w:rPr>
                <w:szCs w:val="24"/>
                <w:lang w:val="en-GB" w:eastAsia="en-US"/>
              </w:rPr>
            </w:pPr>
            <w:r w:rsidRPr="00393250">
              <w:rPr>
                <w:szCs w:val="24"/>
                <w:lang w:val="en-GB" w:eastAsia="en-US"/>
              </w:rPr>
              <w:t>Kategori af stoffer</w:t>
            </w:r>
          </w:p>
        </w:tc>
        <w:tc>
          <w:tcPr>
            <w:tcW w:w="0" w:type="auto"/>
          </w:tcPr>
          <w:p w14:paraId="714D89FA" w14:textId="77777777" w:rsidR="008A5B47" w:rsidRPr="00393250" w:rsidRDefault="008A5B47" w:rsidP="008A5B47">
            <w:pPr>
              <w:spacing w:before="120" w:after="120" w:line="360" w:lineRule="auto"/>
              <w:rPr>
                <w:szCs w:val="24"/>
                <w:lang w:val="en-GB" w:eastAsia="en-US"/>
              </w:rPr>
            </w:pPr>
            <w:r w:rsidRPr="00393250">
              <w:rPr>
                <w:szCs w:val="24"/>
                <w:lang w:val="en-GB" w:eastAsia="en-US"/>
              </w:rPr>
              <w:t>CAS-nummer</w:t>
            </w:r>
            <w:r w:rsidRPr="00393250">
              <w:rPr>
                <w:szCs w:val="24"/>
                <w:vertAlign w:val="superscript"/>
                <w:lang w:val="en-GB" w:eastAsia="en-US"/>
              </w:rPr>
              <w:t>(1)</w:t>
            </w:r>
          </w:p>
        </w:tc>
        <w:tc>
          <w:tcPr>
            <w:tcW w:w="0" w:type="auto"/>
          </w:tcPr>
          <w:p w14:paraId="46B32133" w14:textId="77777777" w:rsidR="008A5B47" w:rsidRPr="00393250" w:rsidRDefault="008A5B47" w:rsidP="008A5B47">
            <w:pPr>
              <w:spacing w:before="120" w:after="120" w:line="360" w:lineRule="auto"/>
              <w:rPr>
                <w:szCs w:val="24"/>
                <w:lang w:val="en-GB" w:eastAsia="en-US"/>
              </w:rPr>
            </w:pPr>
            <w:r w:rsidRPr="00393250">
              <w:rPr>
                <w:szCs w:val="24"/>
                <w:lang w:val="en-GB" w:eastAsia="en-US"/>
              </w:rPr>
              <w:t>EU-nummer</w:t>
            </w:r>
            <w:r w:rsidRPr="00393250">
              <w:rPr>
                <w:szCs w:val="24"/>
                <w:vertAlign w:val="superscript"/>
                <w:lang w:val="en-GB" w:eastAsia="en-US"/>
              </w:rPr>
              <w:t>(2)</w:t>
            </w:r>
          </w:p>
        </w:tc>
        <w:tc>
          <w:tcPr>
            <w:tcW w:w="0" w:type="auto"/>
          </w:tcPr>
          <w:p w14:paraId="610D7239" w14:textId="77777777" w:rsidR="008A5B47" w:rsidRPr="00393250" w:rsidRDefault="008A5B47" w:rsidP="008A5B47">
            <w:pPr>
              <w:spacing w:before="120" w:after="120" w:line="360" w:lineRule="auto"/>
              <w:rPr>
                <w:szCs w:val="24"/>
                <w:lang w:eastAsia="en-US"/>
              </w:rPr>
            </w:pPr>
            <w:r w:rsidRPr="00393250">
              <w:rPr>
                <w:szCs w:val="24"/>
                <w:lang w:eastAsia="en-US"/>
              </w:rPr>
              <w:t>Kvalitetskrav</w:t>
            </w:r>
            <w:r w:rsidRPr="00393250">
              <w:rPr>
                <w:szCs w:val="24"/>
                <w:vertAlign w:val="superscript"/>
                <w:lang w:eastAsia="en-US"/>
              </w:rPr>
              <w:t>(3)</w:t>
            </w:r>
            <w:r w:rsidRPr="00393250">
              <w:rPr>
                <w:szCs w:val="24"/>
                <w:lang w:eastAsia="en-US"/>
              </w:rPr>
              <w:t xml:space="preserve"> [µg/l, medmindre andet er angivet]</w:t>
            </w:r>
          </w:p>
        </w:tc>
      </w:tr>
      <w:tr w:rsidR="008A5B47" w:rsidRPr="00393250" w14:paraId="0105275C" w14:textId="77777777" w:rsidTr="00E03C75">
        <w:tc>
          <w:tcPr>
            <w:tcW w:w="842" w:type="pct"/>
          </w:tcPr>
          <w:p w14:paraId="51125904" w14:textId="77777777" w:rsidR="008A5B47" w:rsidRPr="00393250" w:rsidRDefault="008A5B47" w:rsidP="008A5B47">
            <w:pPr>
              <w:spacing w:before="120" w:after="120" w:line="360" w:lineRule="auto"/>
              <w:rPr>
                <w:szCs w:val="24"/>
                <w:lang w:val="en-GB" w:eastAsia="en-US"/>
              </w:rPr>
            </w:pPr>
            <w:r w:rsidRPr="00393250">
              <w:rPr>
                <w:szCs w:val="24"/>
                <w:lang w:val="en-GB" w:eastAsia="en-US"/>
              </w:rPr>
              <w:t>1</w:t>
            </w:r>
          </w:p>
        </w:tc>
        <w:tc>
          <w:tcPr>
            <w:tcW w:w="1268" w:type="pct"/>
          </w:tcPr>
          <w:p w14:paraId="47EDDBB3" w14:textId="77777777" w:rsidR="008A5B47" w:rsidRPr="00393250" w:rsidRDefault="008A5B47" w:rsidP="008A5B47">
            <w:pPr>
              <w:spacing w:before="120" w:after="120" w:line="360" w:lineRule="auto"/>
              <w:rPr>
                <w:szCs w:val="24"/>
                <w:lang w:val="en-GB" w:eastAsia="en-US"/>
              </w:rPr>
            </w:pPr>
            <w:r w:rsidRPr="00393250">
              <w:rPr>
                <w:szCs w:val="24"/>
                <w:lang w:val="en-GB" w:eastAsia="en-US"/>
              </w:rPr>
              <w:t>Nitrater</w:t>
            </w:r>
          </w:p>
        </w:tc>
        <w:tc>
          <w:tcPr>
            <w:tcW w:w="0" w:type="auto"/>
          </w:tcPr>
          <w:p w14:paraId="0B12356D" w14:textId="77777777" w:rsidR="008A5B47" w:rsidRPr="00393250" w:rsidRDefault="008A5B47" w:rsidP="008A5B47">
            <w:pPr>
              <w:spacing w:before="120" w:after="120" w:line="360" w:lineRule="auto"/>
              <w:rPr>
                <w:szCs w:val="24"/>
                <w:lang w:val="en-GB" w:eastAsia="en-US"/>
              </w:rPr>
            </w:pPr>
            <w:r w:rsidRPr="00393250">
              <w:rPr>
                <w:szCs w:val="24"/>
                <w:lang w:val="en-GB" w:eastAsia="en-US"/>
              </w:rPr>
              <w:t>Næringsstoffer</w:t>
            </w:r>
          </w:p>
        </w:tc>
        <w:tc>
          <w:tcPr>
            <w:tcW w:w="0" w:type="auto"/>
          </w:tcPr>
          <w:p w14:paraId="54985071" w14:textId="77777777" w:rsidR="008A5B47" w:rsidRPr="00393250" w:rsidRDefault="008A5B47" w:rsidP="008A5B47">
            <w:pPr>
              <w:spacing w:before="120" w:after="120" w:line="360" w:lineRule="auto"/>
              <w:rPr>
                <w:szCs w:val="24"/>
                <w:lang w:val="en-GB" w:eastAsia="en-US"/>
              </w:rPr>
            </w:pPr>
            <w:r w:rsidRPr="00393250">
              <w:rPr>
                <w:szCs w:val="24"/>
                <w:lang w:val="en-GB" w:eastAsia="en-US"/>
              </w:rPr>
              <w:t>anvendes ikke</w:t>
            </w:r>
          </w:p>
        </w:tc>
        <w:tc>
          <w:tcPr>
            <w:tcW w:w="0" w:type="auto"/>
          </w:tcPr>
          <w:p w14:paraId="7252E194" w14:textId="77777777" w:rsidR="008A5B47" w:rsidRPr="00393250" w:rsidRDefault="008A5B47" w:rsidP="008A5B47">
            <w:pPr>
              <w:spacing w:before="120" w:after="120" w:line="360" w:lineRule="auto"/>
              <w:rPr>
                <w:szCs w:val="24"/>
                <w:lang w:val="en-GB" w:eastAsia="en-US"/>
              </w:rPr>
            </w:pPr>
            <w:r w:rsidRPr="00393250">
              <w:rPr>
                <w:szCs w:val="24"/>
                <w:lang w:val="en-GB" w:eastAsia="en-US"/>
              </w:rPr>
              <w:t>anvendes ikke</w:t>
            </w:r>
          </w:p>
        </w:tc>
        <w:tc>
          <w:tcPr>
            <w:tcW w:w="0" w:type="auto"/>
          </w:tcPr>
          <w:p w14:paraId="70A4E57F" w14:textId="77777777" w:rsidR="008A5B47" w:rsidRPr="00393250" w:rsidRDefault="008A5B47" w:rsidP="008A5B47">
            <w:pPr>
              <w:spacing w:before="120" w:after="120" w:line="360" w:lineRule="auto"/>
              <w:rPr>
                <w:szCs w:val="24"/>
                <w:lang w:val="en-GB" w:eastAsia="en-US"/>
              </w:rPr>
            </w:pPr>
            <w:r w:rsidRPr="00393250">
              <w:rPr>
                <w:szCs w:val="24"/>
                <w:lang w:val="en-GB" w:eastAsia="en-US"/>
              </w:rPr>
              <w:t>50 mg/l.</w:t>
            </w:r>
          </w:p>
        </w:tc>
      </w:tr>
      <w:tr w:rsidR="008A5B47" w:rsidRPr="00393250" w14:paraId="2C0A766C" w14:textId="77777777" w:rsidTr="00E03C75">
        <w:tc>
          <w:tcPr>
            <w:tcW w:w="842" w:type="pct"/>
            <w:vMerge w:val="restart"/>
          </w:tcPr>
          <w:p w14:paraId="3DC3AF64" w14:textId="66F1ACB9" w:rsidR="008A5B47" w:rsidRPr="00393250" w:rsidRDefault="008A5B47" w:rsidP="008A5B47">
            <w:pPr>
              <w:spacing w:before="120" w:after="120" w:line="360" w:lineRule="auto"/>
              <w:rPr>
                <w:b/>
                <w:szCs w:val="24"/>
                <w:lang w:val="en-GB" w:eastAsia="en-US"/>
              </w:rPr>
            </w:pPr>
            <w:r w:rsidRPr="00393250">
              <w:rPr>
                <w:szCs w:val="24"/>
                <w:lang w:val="en-GB" w:eastAsia="en-US"/>
              </w:rPr>
              <w:t>2</w:t>
            </w:r>
            <w:r w:rsidR="00E03C75" w:rsidRPr="00393250">
              <w:rPr>
                <w:b/>
                <w:szCs w:val="24"/>
                <w:lang w:val="en-GB" w:eastAsia="en-US"/>
              </w:rPr>
              <w:t xml:space="preserve"> [Ændring 144]</w:t>
            </w:r>
          </w:p>
        </w:tc>
        <w:tc>
          <w:tcPr>
            <w:tcW w:w="1268" w:type="pct"/>
            <w:vMerge w:val="restart"/>
          </w:tcPr>
          <w:p w14:paraId="172C674C" w14:textId="77777777" w:rsidR="008A5B47" w:rsidRPr="00393250" w:rsidRDefault="008A5B47" w:rsidP="008A5B47">
            <w:pPr>
              <w:spacing w:before="120" w:after="120" w:line="360" w:lineRule="auto"/>
              <w:rPr>
                <w:szCs w:val="24"/>
                <w:lang w:eastAsia="en-US"/>
              </w:rPr>
            </w:pPr>
            <w:r w:rsidRPr="00393250">
              <w:rPr>
                <w:szCs w:val="24"/>
                <w:lang w:eastAsia="en-US"/>
              </w:rPr>
              <w:t>Aktive stoffer i pesticider, herunder deres relevante omdannelses-, nedbrydnings- og reaktions-produkter</w:t>
            </w:r>
            <w:r w:rsidRPr="00393250">
              <w:rPr>
                <w:szCs w:val="24"/>
                <w:vertAlign w:val="superscript"/>
                <w:lang w:eastAsia="en-US"/>
              </w:rPr>
              <w:t>(4)</w:t>
            </w:r>
          </w:p>
        </w:tc>
        <w:tc>
          <w:tcPr>
            <w:tcW w:w="0" w:type="auto"/>
            <w:vMerge w:val="restart"/>
          </w:tcPr>
          <w:p w14:paraId="1D8396FE" w14:textId="77777777" w:rsidR="008A5B47" w:rsidRPr="00393250" w:rsidRDefault="008A5B47" w:rsidP="008A5B47">
            <w:pPr>
              <w:spacing w:before="120" w:after="120" w:line="360" w:lineRule="auto"/>
              <w:rPr>
                <w:szCs w:val="24"/>
                <w:lang w:val="en-GB" w:eastAsia="en-US"/>
              </w:rPr>
            </w:pPr>
            <w:r w:rsidRPr="00393250">
              <w:rPr>
                <w:szCs w:val="24"/>
                <w:lang w:val="en-GB" w:eastAsia="en-US"/>
              </w:rPr>
              <w:t>Pesticider</w:t>
            </w:r>
          </w:p>
        </w:tc>
        <w:tc>
          <w:tcPr>
            <w:tcW w:w="0" w:type="auto"/>
            <w:vMerge w:val="restart"/>
          </w:tcPr>
          <w:p w14:paraId="5C445395" w14:textId="77777777" w:rsidR="008A5B47" w:rsidRPr="00393250" w:rsidRDefault="008A5B47" w:rsidP="008A5B47">
            <w:pPr>
              <w:spacing w:before="120" w:after="120" w:line="360" w:lineRule="auto"/>
              <w:rPr>
                <w:szCs w:val="24"/>
                <w:lang w:val="en-GB" w:eastAsia="en-US"/>
              </w:rPr>
            </w:pPr>
            <w:r w:rsidRPr="00393250">
              <w:rPr>
                <w:szCs w:val="24"/>
                <w:lang w:val="en-GB" w:eastAsia="en-US"/>
              </w:rPr>
              <w:t>anvendes ikke</w:t>
            </w:r>
          </w:p>
        </w:tc>
        <w:tc>
          <w:tcPr>
            <w:tcW w:w="0" w:type="auto"/>
            <w:vMerge w:val="restart"/>
          </w:tcPr>
          <w:p w14:paraId="444755A4" w14:textId="77777777" w:rsidR="008A5B47" w:rsidRPr="00393250" w:rsidRDefault="008A5B47" w:rsidP="008A5B47">
            <w:pPr>
              <w:spacing w:before="120" w:after="120" w:line="360" w:lineRule="auto"/>
              <w:rPr>
                <w:szCs w:val="24"/>
                <w:lang w:val="en-GB" w:eastAsia="en-US"/>
              </w:rPr>
            </w:pPr>
            <w:r w:rsidRPr="00393250">
              <w:rPr>
                <w:szCs w:val="24"/>
                <w:lang w:val="en-GB" w:eastAsia="en-US"/>
              </w:rPr>
              <w:t>anvendes ikke</w:t>
            </w:r>
          </w:p>
        </w:tc>
        <w:tc>
          <w:tcPr>
            <w:tcW w:w="0" w:type="auto"/>
          </w:tcPr>
          <w:p w14:paraId="3913149C" w14:textId="2997D7A5" w:rsidR="008A5B47" w:rsidRPr="00393250" w:rsidRDefault="008A5B47" w:rsidP="00E03C75">
            <w:pPr>
              <w:spacing w:before="120" w:after="120" w:line="360" w:lineRule="auto"/>
              <w:rPr>
                <w:szCs w:val="24"/>
                <w:lang w:eastAsia="en-US"/>
              </w:rPr>
            </w:pPr>
            <w:r w:rsidRPr="00393250">
              <w:rPr>
                <w:strike/>
                <w:szCs w:val="24"/>
                <w:lang w:eastAsia="en-US"/>
              </w:rPr>
              <w:t>0,1</w:t>
            </w:r>
            <w:r w:rsidRPr="00393250">
              <w:rPr>
                <w:b/>
                <w:i/>
                <w:szCs w:val="24"/>
                <w:lang w:eastAsia="en-US"/>
              </w:rPr>
              <w:t>0,05</w:t>
            </w:r>
            <w:r w:rsidRPr="00393250">
              <w:rPr>
                <w:szCs w:val="24"/>
                <w:lang w:eastAsia="en-US"/>
              </w:rPr>
              <w:t xml:space="preserve"> (individuelt)</w:t>
            </w:r>
            <w:r w:rsidR="00E03C75" w:rsidRPr="00393250">
              <w:rPr>
                <w:b/>
                <w:i/>
                <w:szCs w:val="24"/>
                <w:vertAlign w:val="superscript"/>
                <w:lang w:eastAsia="en-US"/>
              </w:rPr>
              <w:t>4a</w:t>
            </w:r>
          </w:p>
        </w:tc>
      </w:tr>
      <w:tr w:rsidR="008A5B47" w:rsidRPr="00393250" w14:paraId="34007159" w14:textId="77777777" w:rsidTr="00E03C75">
        <w:tc>
          <w:tcPr>
            <w:tcW w:w="842" w:type="pct"/>
            <w:vMerge/>
          </w:tcPr>
          <w:p w14:paraId="286DC73B" w14:textId="77777777" w:rsidR="008A5B47" w:rsidRPr="00393250" w:rsidRDefault="008A5B47" w:rsidP="008A5B47">
            <w:pPr>
              <w:spacing w:before="120" w:after="120" w:line="360" w:lineRule="auto"/>
              <w:rPr>
                <w:szCs w:val="24"/>
                <w:lang w:eastAsia="en-US"/>
              </w:rPr>
            </w:pPr>
          </w:p>
        </w:tc>
        <w:tc>
          <w:tcPr>
            <w:tcW w:w="1268" w:type="pct"/>
            <w:vMerge/>
          </w:tcPr>
          <w:p w14:paraId="1680EC8A" w14:textId="77777777" w:rsidR="008A5B47" w:rsidRPr="00393250" w:rsidRDefault="008A5B47" w:rsidP="008A5B47">
            <w:pPr>
              <w:spacing w:before="120" w:after="120" w:line="360" w:lineRule="auto"/>
              <w:rPr>
                <w:szCs w:val="24"/>
                <w:lang w:eastAsia="en-US"/>
              </w:rPr>
            </w:pPr>
          </w:p>
        </w:tc>
        <w:tc>
          <w:tcPr>
            <w:tcW w:w="0" w:type="auto"/>
            <w:vMerge/>
          </w:tcPr>
          <w:p w14:paraId="6AFF3642" w14:textId="77777777" w:rsidR="008A5B47" w:rsidRPr="00393250" w:rsidRDefault="008A5B47" w:rsidP="008A5B47">
            <w:pPr>
              <w:spacing w:before="120" w:after="120" w:line="360" w:lineRule="auto"/>
              <w:rPr>
                <w:szCs w:val="24"/>
                <w:lang w:eastAsia="en-US"/>
              </w:rPr>
            </w:pPr>
          </w:p>
        </w:tc>
        <w:tc>
          <w:tcPr>
            <w:tcW w:w="0" w:type="auto"/>
            <w:vMerge/>
          </w:tcPr>
          <w:p w14:paraId="5BD170CB" w14:textId="77777777" w:rsidR="008A5B47" w:rsidRPr="00393250" w:rsidRDefault="008A5B47" w:rsidP="008A5B47">
            <w:pPr>
              <w:spacing w:before="120" w:after="120" w:line="360" w:lineRule="auto"/>
              <w:rPr>
                <w:szCs w:val="24"/>
                <w:lang w:eastAsia="en-US"/>
              </w:rPr>
            </w:pPr>
          </w:p>
        </w:tc>
        <w:tc>
          <w:tcPr>
            <w:tcW w:w="0" w:type="auto"/>
            <w:vMerge/>
          </w:tcPr>
          <w:p w14:paraId="0CE10E77" w14:textId="77777777" w:rsidR="008A5B47" w:rsidRPr="00393250" w:rsidRDefault="008A5B47" w:rsidP="008A5B47">
            <w:pPr>
              <w:spacing w:before="120" w:after="120" w:line="360" w:lineRule="auto"/>
              <w:rPr>
                <w:szCs w:val="24"/>
                <w:lang w:eastAsia="en-US"/>
              </w:rPr>
            </w:pPr>
          </w:p>
        </w:tc>
        <w:tc>
          <w:tcPr>
            <w:tcW w:w="0" w:type="auto"/>
          </w:tcPr>
          <w:p w14:paraId="30F4A23B" w14:textId="77777777" w:rsidR="008A5B47" w:rsidRPr="00393250" w:rsidRDefault="008A5B47" w:rsidP="008A5B47">
            <w:pPr>
              <w:spacing w:before="120" w:after="120" w:line="360" w:lineRule="auto"/>
              <w:rPr>
                <w:szCs w:val="24"/>
                <w:lang w:val="en-GB" w:eastAsia="en-US"/>
              </w:rPr>
            </w:pPr>
            <w:r w:rsidRPr="00393250">
              <w:rPr>
                <w:strike/>
                <w:szCs w:val="24"/>
                <w:lang w:val="en-GB" w:eastAsia="en-US"/>
              </w:rPr>
              <w:t>0,5</w:t>
            </w:r>
            <w:r w:rsidRPr="00393250">
              <w:rPr>
                <w:b/>
                <w:i/>
                <w:szCs w:val="24"/>
                <w:lang w:val="en-GB" w:eastAsia="en-US"/>
              </w:rPr>
              <w:t>0,25</w:t>
            </w:r>
            <w:r w:rsidRPr="00393250">
              <w:rPr>
                <w:szCs w:val="24"/>
                <w:lang w:val="en-GB" w:eastAsia="en-US"/>
              </w:rPr>
              <w:t xml:space="preserve"> (i alt)</w:t>
            </w:r>
            <w:r w:rsidRPr="00393250">
              <w:rPr>
                <w:szCs w:val="24"/>
                <w:vertAlign w:val="superscript"/>
                <w:lang w:val="en-GB" w:eastAsia="en-US"/>
              </w:rPr>
              <w:t>(5)</w:t>
            </w:r>
          </w:p>
        </w:tc>
      </w:tr>
      <w:tr w:rsidR="008A5B47" w:rsidRPr="00393250" w14:paraId="2EC67CD5" w14:textId="77777777" w:rsidTr="00E03C75">
        <w:tc>
          <w:tcPr>
            <w:tcW w:w="842" w:type="pct"/>
          </w:tcPr>
          <w:p w14:paraId="10093ADA" w14:textId="77777777" w:rsidR="008A5B47" w:rsidRPr="00393250" w:rsidRDefault="008A5B47" w:rsidP="008A5B47">
            <w:pPr>
              <w:spacing w:before="120" w:after="120" w:line="360" w:lineRule="auto"/>
              <w:rPr>
                <w:szCs w:val="24"/>
                <w:lang w:val="en-GB" w:eastAsia="en-US"/>
              </w:rPr>
            </w:pPr>
            <w:r w:rsidRPr="00393250">
              <w:rPr>
                <w:szCs w:val="24"/>
                <w:lang w:val="en-GB" w:eastAsia="en-US"/>
              </w:rPr>
              <w:t>3</w:t>
            </w:r>
          </w:p>
        </w:tc>
        <w:tc>
          <w:tcPr>
            <w:tcW w:w="1268" w:type="pct"/>
          </w:tcPr>
          <w:p w14:paraId="4D2376AA" w14:textId="77777777" w:rsidR="008A5B47" w:rsidRPr="00393250" w:rsidRDefault="008A5B47" w:rsidP="008A5B47">
            <w:pPr>
              <w:spacing w:before="120" w:after="120" w:line="360" w:lineRule="auto"/>
              <w:rPr>
                <w:szCs w:val="24"/>
                <w:lang w:eastAsia="en-US"/>
              </w:rPr>
            </w:pPr>
            <w:r w:rsidRPr="00393250">
              <w:rPr>
                <w:szCs w:val="24"/>
                <w:lang w:eastAsia="en-US"/>
              </w:rPr>
              <w:t>Per- og polyfluoralkylstoffer (PFAS) — sum af 24</w:t>
            </w:r>
            <w:r w:rsidRPr="00393250">
              <w:rPr>
                <w:szCs w:val="24"/>
                <w:vertAlign w:val="superscript"/>
                <w:lang w:eastAsia="en-US"/>
              </w:rPr>
              <w:t>(6)</w:t>
            </w:r>
          </w:p>
        </w:tc>
        <w:tc>
          <w:tcPr>
            <w:tcW w:w="0" w:type="auto"/>
          </w:tcPr>
          <w:p w14:paraId="648C3DCF" w14:textId="77777777" w:rsidR="008A5B47" w:rsidRPr="00393250" w:rsidRDefault="008A5B47" w:rsidP="008A5B47">
            <w:pPr>
              <w:spacing w:before="120" w:after="120" w:line="360" w:lineRule="auto"/>
              <w:rPr>
                <w:szCs w:val="24"/>
                <w:lang w:val="en-GB" w:eastAsia="en-US"/>
              </w:rPr>
            </w:pPr>
            <w:r w:rsidRPr="00393250">
              <w:rPr>
                <w:szCs w:val="24"/>
                <w:lang w:val="en-GB" w:eastAsia="en-US"/>
              </w:rPr>
              <w:t>Industristoffer</w:t>
            </w:r>
          </w:p>
        </w:tc>
        <w:tc>
          <w:tcPr>
            <w:tcW w:w="0" w:type="auto"/>
          </w:tcPr>
          <w:p w14:paraId="732C172C" w14:textId="77777777" w:rsidR="008A5B47" w:rsidRPr="00393250" w:rsidRDefault="008A5B47" w:rsidP="008A5B47">
            <w:pPr>
              <w:spacing w:before="120" w:after="120" w:line="360" w:lineRule="auto"/>
              <w:rPr>
                <w:szCs w:val="24"/>
                <w:lang w:val="en-GB" w:eastAsia="en-US"/>
              </w:rPr>
            </w:pPr>
            <w:r w:rsidRPr="00393250">
              <w:rPr>
                <w:szCs w:val="24"/>
                <w:lang w:val="en-GB" w:eastAsia="en-US"/>
              </w:rPr>
              <w:t>Se tabelnote 6</w:t>
            </w:r>
          </w:p>
        </w:tc>
        <w:tc>
          <w:tcPr>
            <w:tcW w:w="0" w:type="auto"/>
          </w:tcPr>
          <w:p w14:paraId="7D81DF2D" w14:textId="77777777" w:rsidR="008A5B47" w:rsidRPr="00393250" w:rsidRDefault="008A5B47" w:rsidP="008A5B47">
            <w:pPr>
              <w:spacing w:before="120" w:after="120" w:line="360" w:lineRule="auto"/>
              <w:rPr>
                <w:szCs w:val="24"/>
                <w:lang w:val="en-GB" w:eastAsia="en-US"/>
              </w:rPr>
            </w:pPr>
            <w:r w:rsidRPr="00393250">
              <w:rPr>
                <w:szCs w:val="24"/>
                <w:lang w:val="en-GB" w:eastAsia="en-US"/>
              </w:rPr>
              <w:t>Se tabelnote 6</w:t>
            </w:r>
          </w:p>
        </w:tc>
        <w:tc>
          <w:tcPr>
            <w:tcW w:w="0" w:type="auto"/>
          </w:tcPr>
          <w:p w14:paraId="7A5BCCA3" w14:textId="77777777" w:rsidR="008A5B47" w:rsidRPr="00393250" w:rsidRDefault="008A5B47" w:rsidP="008A5B47">
            <w:pPr>
              <w:spacing w:before="120" w:after="120" w:line="360" w:lineRule="auto"/>
              <w:rPr>
                <w:szCs w:val="24"/>
                <w:lang w:val="en-GB" w:eastAsia="en-US"/>
              </w:rPr>
            </w:pPr>
            <w:r w:rsidRPr="00393250">
              <w:rPr>
                <w:szCs w:val="24"/>
                <w:lang w:val="en-GB" w:eastAsia="en-US"/>
              </w:rPr>
              <w:t>0,0044</w:t>
            </w:r>
            <w:r w:rsidRPr="00393250">
              <w:rPr>
                <w:szCs w:val="24"/>
                <w:vertAlign w:val="superscript"/>
                <w:lang w:val="en-GB" w:eastAsia="en-US"/>
              </w:rPr>
              <w:t>(7)</w:t>
            </w:r>
          </w:p>
        </w:tc>
      </w:tr>
      <w:tr w:rsidR="00E03C75" w:rsidRPr="00393250" w14:paraId="64A91F7D" w14:textId="77777777" w:rsidTr="00E03C75">
        <w:tc>
          <w:tcPr>
            <w:tcW w:w="842" w:type="pct"/>
          </w:tcPr>
          <w:p w14:paraId="14FA974F" w14:textId="2D8AD1B9" w:rsidR="00E03C75" w:rsidRPr="00393250" w:rsidRDefault="00E03C75" w:rsidP="00E03C75">
            <w:pPr>
              <w:spacing w:before="120" w:after="120" w:line="360" w:lineRule="auto"/>
              <w:rPr>
                <w:b/>
                <w:szCs w:val="24"/>
                <w:lang w:val="en-GB" w:eastAsia="en-US"/>
              </w:rPr>
            </w:pPr>
            <w:r w:rsidRPr="00393250">
              <w:rPr>
                <w:b/>
                <w:i/>
                <w:szCs w:val="24"/>
              </w:rPr>
              <w:t>3a</w:t>
            </w:r>
            <w:r w:rsidRPr="00393250">
              <w:rPr>
                <w:b/>
                <w:szCs w:val="24"/>
              </w:rPr>
              <w:t xml:space="preserve"> [Ændring 145]</w:t>
            </w:r>
          </w:p>
        </w:tc>
        <w:tc>
          <w:tcPr>
            <w:tcW w:w="1268" w:type="pct"/>
          </w:tcPr>
          <w:p w14:paraId="6C8B6D1D" w14:textId="222546DF" w:rsidR="00E03C75" w:rsidRPr="00393250" w:rsidRDefault="00E03C75" w:rsidP="00E03C75">
            <w:pPr>
              <w:spacing w:before="120" w:after="120" w:line="360" w:lineRule="auto"/>
              <w:rPr>
                <w:szCs w:val="24"/>
                <w:lang w:eastAsia="en-US"/>
              </w:rPr>
            </w:pPr>
            <w:r w:rsidRPr="00393250">
              <w:rPr>
                <w:b/>
                <w:i/>
                <w:szCs w:val="24"/>
              </w:rPr>
              <w:t>PFAS – i alt</w:t>
            </w:r>
          </w:p>
        </w:tc>
        <w:tc>
          <w:tcPr>
            <w:tcW w:w="0" w:type="auto"/>
          </w:tcPr>
          <w:p w14:paraId="3BE5F350" w14:textId="59280F5B" w:rsidR="00E03C75" w:rsidRPr="00393250" w:rsidRDefault="00E03C75" w:rsidP="00E03C75">
            <w:pPr>
              <w:spacing w:before="120" w:after="120" w:line="360" w:lineRule="auto"/>
              <w:rPr>
                <w:szCs w:val="24"/>
                <w:lang w:val="en-GB" w:eastAsia="en-US"/>
              </w:rPr>
            </w:pPr>
            <w:r w:rsidRPr="00393250">
              <w:rPr>
                <w:b/>
                <w:i/>
                <w:szCs w:val="24"/>
              </w:rPr>
              <w:t>Industristoffer</w:t>
            </w:r>
          </w:p>
        </w:tc>
        <w:tc>
          <w:tcPr>
            <w:tcW w:w="0" w:type="auto"/>
          </w:tcPr>
          <w:p w14:paraId="7FB40E9D" w14:textId="7F45A3E0" w:rsidR="00E03C75" w:rsidRPr="00393250" w:rsidRDefault="00E03C75" w:rsidP="00E03C75">
            <w:pPr>
              <w:spacing w:before="120" w:after="120" w:line="360" w:lineRule="auto"/>
              <w:rPr>
                <w:szCs w:val="24"/>
                <w:lang w:val="en-GB" w:eastAsia="en-US"/>
              </w:rPr>
            </w:pPr>
            <w:r w:rsidRPr="00393250">
              <w:rPr>
                <w:b/>
                <w:i/>
                <w:szCs w:val="24"/>
              </w:rPr>
              <w:t>anvendes ikke</w:t>
            </w:r>
          </w:p>
        </w:tc>
        <w:tc>
          <w:tcPr>
            <w:tcW w:w="0" w:type="auto"/>
          </w:tcPr>
          <w:p w14:paraId="39A192F9" w14:textId="2499F9EB" w:rsidR="00E03C75" w:rsidRPr="00393250" w:rsidRDefault="00E03C75" w:rsidP="00E03C75">
            <w:pPr>
              <w:spacing w:before="120" w:after="120" w:line="360" w:lineRule="auto"/>
              <w:rPr>
                <w:szCs w:val="24"/>
                <w:lang w:val="en-GB" w:eastAsia="en-US"/>
              </w:rPr>
            </w:pPr>
            <w:r w:rsidRPr="00393250">
              <w:rPr>
                <w:b/>
                <w:i/>
                <w:szCs w:val="24"/>
              </w:rPr>
              <w:t>anvendes ikke</w:t>
            </w:r>
          </w:p>
        </w:tc>
        <w:tc>
          <w:tcPr>
            <w:tcW w:w="0" w:type="auto"/>
          </w:tcPr>
          <w:p w14:paraId="069030B4" w14:textId="7B6F73B8" w:rsidR="00E03C75" w:rsidRPr="00393250" w:rsidRDefault="00E03C75" w:rsidP="00E03C75">
            <w:pPr>
              <w:spacing w:before="120" w:after="120" w:line="360" w:lineRule="auto"/>
              <w:rPr>
                <w:szCs w:val="24"/>
                <w:vertAlign w:val="superscript"/>
                <w:lang w:val="en-GB" w:eastAsia="en-US"/>
              </w:rPr>
            </w:pPr>
            <w:r w:rsidRPr="00393250">
              <w:rPr>
                <w:b/>
                <w:i/>
                <w:szCs w:val="24"/>
                <w:vertAlign w:val="superscript"/>
              </w:rPr>
              <w:t>(7a)</w:t>
            </w:r>
          </w:p>
        </w:tc>
      </w:tr>
      <w:tr w:rsidR="00E03C75" w:rsidRPr="00393250" w14:paraId="05ECBD43" w14:textId="77777777" w:rsidTr="00E03C75">
        <w:tc>
          <w:tcPr>
            <w:tcW w:w="842" w:type="pct"/>
          </w:tcPr>
          <w:p w14:paraId="0FAFB559" w14:textId="3ABAFF0D" w:rsidR="00E03C75" w:rsidRPr="00393250" w:rsidRDefault="00E03C75" w:rsidP="00E03C75">
            <w:pPr>
              <w:spacing w:before="120" w:after="120" w:line="360" w:lineRule="auto"/>
              <w:rPr>
                <w:b/>
                <w:szCs w:val="24"/>
                <w:lang w:val="en-GB" w:eastAsia="en-US"/>
              </w:rPr>
            </w:pPr>
            <w:r w:rsidRPr="00393250">
              <w:rPr>
                <w:szCs w:val="24"/>
                <w:lang w:val="en-GB" w:eastAsia="en-US"/>
              </w:rPr>
              <w:t>4</w:t>
            </w:r>
            <w:r w:rsidRPr="00393250">
              <w:rPr>
                <w:b/>
                <w:szCs w:val="24"/>
                <w:lang w:val="en-GB" w:eastAsia="en-US"/>
              </w:rPr>
              <w:t xml:space="preserve"> [Ændring 146]</w:t>
            </w:r>
          </w:p>
        </w:tc>
        <w:tc>
          <w:tcPr>
            <w:tcW w:w="1268" w:type="pct"/>
          </w:tcPr>
          <w:p w14:paraId="62CCD31F" w14:textId="77777777" w:rsidR="00E03C75" w:rsidRPr="00393250" w:rsidRDefault="00E03C75" w:rsidP="00E03C75">
            <w:pPr>
              <w:spacing w:before="120" w:after="120" w:line="360" w:lineRule="auto"/>
              <w:rPr>
                <w:szCs w:val="24"/>
                <w:lang w:val="en-GB" w:eastAsia="en-US"/>
              </w:rPr>
            </w:pPr>
            <w:r w:rsidRPr="00393250">
              <w:rPr>
                <w:szCs w:val="24"/>
                <w:lang w:val="en-GB" w:eastAsia="en-US"/>
              </w:rPr>
              <w:t>Carbamazepin</w:t>
            </w:r>
          </w:p>
        </w:tc>
        <w:tc>
          <w:tcPr>
            <w:tcW w:w="0" w:type="auto"/>
          </w:tcPr>
          <w:p w14:paraId="66CC4A84" w14:textId="77777777" w:rsidR="00E03C75" w:rsidRPr="00393250" w:rsidRDefault="00E03C75" w:rsidP="00E03C75">
            <w:pPr>
              <w:spacing w:before="120" w:after="120" w:line="360" w:lineRule="auto"/>
              <w:rPr>
                <w:szCs w:val="24"/>
                <w:lang w:val="en-GB" w:eastAsia="en-US"/>
              </w:rPr>
            </w:pPr>
            <w:r w:rsidRPr="00393250">
              <w:rPr>
                <w:szCs w:val="24"/>
                <w:lang w:val="en-GB" w:eastAsia="en-US"/>
              </w:rPr>
              <w:t>Lægemidler</w:t>
            </w:r>
          </w:p>
        </w:tc>
        <w:tc>
          <w:tcPr>
            <w:tcW w:w="0" w:type="auto"/>
          </w:tcPr>
          <w:p w14:paraId="46538644" w14:textId="77777777" w:rsidR="00E03C75" w:rsidRPr="00393250" w:rsidRDefault="00E03C75" w:rsidP="00E03C75">
            <w:pPr>
              <w:spacing w:before="120" w:after="120" w:line="360" w:lineRule="auto"/>
              <w:rPr>
                <w:szCs w:val="24"/>
                <w:lang w:val="en-GB" w:eastAsia="en-US"/>
              </w:rPr>
            </w:pPr>
            <w:r w:rsidRPr="00393250">
              <w:rPr>
                <w:szCs w:val="24"/>
                <w:lang w:val="en-GB" w:eastAsia="en-US"/>
              </w:rPr>
              <w:t>298-46-4</w:t>
            </w:r>
          </w:p>
        </w:tc>
        <w:tc>
          <w:tcPr>
            <w:tcW w:w="0" w:type="auto"/>
          </w:tcPr>
          <w:p w14:paraId="0D52B027" w14:textId="77777777" w:rsidR="00E03C75" w:rsidRPr="00393250" w:rsidRDefault="00E03C75" w:rsidP="00E03C75">
            <w:pPr>
              <w:spacing w:before="120" w:after="120" w:line="360" w:lineRule="auto"/>
              <w:rPr>
                <w:szCs w:val="24"/>
                <w:lang w:val="en-GB" w:eastAsia="en-US"/>
              </w:rPr>
            </w:pPr>
            <w:r w:rsidRPr="00393250">
              <w:rPr>
                <w:szCs w:val="24"/>
                <w:lang w:val="en-GB" w:eastAsia="en-US"/>
              </w:rPr>
              <w:t>anvendes ikke</w:t>
            </w:r>
          </w:p>
        </w:tc>
        <w:tc>
          <w:tcPr>
            <w:tcW w:w="0" w:type="auto"/>
          </w:tcPr>
          <w:p w14:paraId="383C8CA7" w14:textId="77777777" w:rsidR="00E03C75" w:rsidRPr="00393250" w:rsidRDefault="00E03C75" w:rsidP="00E03C75">
            <w:pPr>
              <w:spacing w:before="120" w:after="120" w:line="360" w:lineRule="auto"/>
              <w:rPr>
                <w:szCs w:val="24"/>
                <w:lang w:val="en-GB" w:eastAsia="en-US"/>
              </w:rPr>
            </w:pPr>
            <w:r w:rsidRPr="00393250">
              <w:rPr>
                <w:strike/>
                <w:szCs w:val="24"/>
                <w:lang w:val="en-GB" w:eastAsia="en-US"/>
              </w:rPr>
              <w:t>0,25</w:t>
            </w:r>
            <w:r w:rsidRPr="00393250">
              <w:rPr>
                <w:b/>
                <w:i/>
                <w:szCs w:val="24"/>
                <w:lang w:val="en-GB" w:eastAsia="en-US"/>
              </w:rPr>
              <w:t>0,025</w:t>
            </w:r>
          </w:p>
        </w:tc>
      </w:tr>
      <w:tr w:rsidR="00E03C75" w:rsidRPr="00393250" w14:paraId="546DCD10" w14:textId="77777777" w:rsidTr="00E03C75">
        <w:tc>
          <w:tcPr>
            <w:tcW w:w="842" w:type="pct"/>
          </w:tcPr>
          <w:p w14:paraId="6625579A" w14:textId="77777777" w:rsidR="00E03C75" w:rsidRPr="00393250" w:rsidRDefault="00E03C75" w:rsidP="00E03C75">
            <w:pPr>
              <w:spacing w:before="120" w:after="120" w:line="360" w:lineRule="auto"/>
              <w:rPr>
                <w:szCs w:val="24"/>
                <w:lang w:val="en-GB" w:eastAsia="en-US"/>
              </w:rPr>
            </w:pPr>
            <w:r w:rsidRPr="00393250">
              <w:rPr>
                <w:szCs w:val="24"/>
                <w:lang w:val="en-GB" w:eastAsia="en-US"/>
              </w:rPr>
              <w:t>5</w:t>
            </w:r>
          </w:p>
        </w:tc>
        <w:tc>
          <w:tcPr>
            <w:tcW w:w="1268" w:type="pct"/>
          </w:tcPr>
          <w:p w14:paraId="419EABDA" w14:textId="77777777" w:rsidR="00E03C75" w:rsidRPr="00393250" w:rsidRDefault="00E03C75" w:rsidP="00E03C75">
            <w:pPr>
              <w:spacing w:before="120" w:after="120" w:line="360" w:lineRule="auto"/>
              <w:rPr>
                <w:szCs w:val="24"/>
                <w:lang w:val="en-GB" w:eastAsia="en-US"/>
              </w:rPr>
            </w:pPr>
            <w:r w:rsidRPr="00393250">
              <w:rPr>
                <w:szCs w:val="24"/>
                <w:lang w:val="en-GB" w:eastAsia="en-US"/>
              </w:rPr>
              <w:t>Sulfame-thoxazol</w:t>
            </w:r>
          </w:p>
        </w:tc>
        <w:tc>
          <w:tcPr>
            <w:tcW w:w="0" w:type="auto"/>
          </w:tcPr>
          <w:p w14:paraId="7F339C2A" w14:textId="77777777" w:rsidR="00E03C75" w:rsidRPr="00393250" w:rsidRDefault="00E03C75" w:rsidP="00E03C75">
            <w:pPr>
              <w:spacing w:before="120" w:after="120" w:line="360" w:lineRule="auto"/>
              <w:rPr>
                <w:szCs w:val="24"/>
                <w:lang w:val="en-GB" w:eastAsia="en-US"/>
              </w:rPr>
            </w:pPr>
            <w:r w:rsidRPr="00393250">
              <w:rPr>
                <w:szCs w:val="24"/>
                <w:lang w:val="en-GB" w:eastAsia="en-US"/>
              </w:rPr>
              <w:t>Lægemidler</w:t>
            </w:r>
          </w:p>
        </w:tc>
        <w:tc>
          <w:tcPr>
            <w:tcW w:w="0" w:type="auto"/>
          </w:tcPr>
          <w:p w14:paraId="79FAEC84" w14:textId="77777777" w:rsidR="00E03C75" w:rsidRPr="00393250" w:rsidRDefault="00E03C75" w:rsidP="00E03C75">
            <w:pPr>
              <w:spacing w:before="120" w:after="120" w:line="360" w:lineRule="auto"/>
              <w:rPr>
                <w:szCs w:val="24"/>
                <w:lang w:val="en-GB" w:eastAsia="en-US"/>
              </w:rPr>
            </w:pPr>
            <w:r w:rsidRPr="00393250">
              <w:rPr>
                <w:szCs w:val="24"/>
                <w:lang w:val="en-GB" w:eastAsia="en-US"/>
              </w:rPr>
              <w:t>723-46-6</w:t>
            </w:r>
          </w:p>
        </w:tc>
        <w:tc>
          <w:tcPr>
            <w:tcW w:w="0" w:type="auto"/>
          </w:tcPr>
          <w:p w14:paraId="2A508E7F" w14:textId="77777777" w:rsidR="00E03C75" w:rsidRPr="00393250" w:rsidRDefault="00E03C75" w:rsidP="00E03C75">
            <w:pPr>
              <w:spacing w:before="120" w:after="120" w:line="360" w:lineRule="auto"/>
              <w:rPr>
                <w:szCs w:val="24"/>
                <w:lang w:val="en-GB" w:eastAsia="en-US"/>
              </w:rPr>
            </w:pPr>
            <w:r w:rsidRPr="00393250">
              <w:rPr>
                <w:szCs w:val="24"/>
                <w:lang w:val="en-GB" w:eastAsia="en-US"/>
              </w:rPr>
              <w:t>anvendes ikke</w:t>
            </w:r>
          </w:p>
        </w:tc>
        <w:tc>
          <w:tcPr>
            <w:tcW w:w="0" w:type="auto"/>
          </w:tcPr>
          <w:p w14:paraId="6F77726E" w14:textId="77777777" w:rsidR="00E03C75" w:rsidRPr="00393250" w:rsidRDefault="00E03C75" w:rsidP="00E03C75">
            <w:pPr>
              <w:spacing w:before="120" w:after="120" w:line="360" w:lineRule="auto"/>
              <w:rPr>
                <w:szCs w:val="24"/>
                <w:lang w:val="en-GB" w:eastAsia="en-US"/>
              </w:rPr>
            </w:pPr>
            <w:r w:rsidRPr="00393250">
              <w:rPr>
                <w:szCs w:val="24"/>
                <w:lang w:val="en-GB" w:eastAsia="en-US"/>
              </w:rPr>
              <w:t>0,01</w:t>
            </w:r>
          </w:p>
        </w:tc>
      </w:tr>
      <w:tr w:rsidR="00E03C75" w:rsidRPr="00393250" w14:paraId="7B47269E" w14:textId="77777777" w:rsidTr="00E03C75">
        <w:tc>
          <w:tcPr>
            <w:tcW w:w="842" w:type="pct"/>
          </w:tcPr>
          <w:p w14:paraId="1360B642" w14:textId="6BEC62AE" w:rsidR="00E03C75" w:rsidRPr="00393250" w:rsidRDefault="00E03C75" w:rsidP="00E03C75">
            <w:pPr>
              <w:spacing w:before="120" w:after="120" w:line="360" w:lineRule="auto"/>
              <w:rPr>
                <w:b/>
                <w:szCs w:val="24"/>
                <w:lang w:val="en-GB" w:eastAsia="en-US"/>
              </w:rPr>
            </w:pPr>
            <w:r w:rsidRPr="00393250">
              <w:rPr>
                <w:szCs w:val="24"/>
                <w:lang w:val="en-GB" w:eastAsia="en-US"/>
              </w:rPr>
              <w:t>6</w:t>
            </w:r>
            <w:r w:rsidRPr="00393250">
              <w:rPr>
                <w:b/>
                <w:szCs w:val="24"/>
                <w:lang w:val="en-GB" w:eastAsia="en-US"/>
              </w:rPr>
              <w:t xml:space="preserve"> [Ændring 147]</w:t>
            </w:r>
          </w:p>
        </w:tc>
        <w:tc>
          <w:tcPr>
            <w:tcW w:w="1268" w:type="pct"/>
          </w:tcPr>
          <w:p w14:paraId="003CB47C" w14:textId="77777777" w:rsidR="00E03C75" w:rsidRPr="00393250" w:rsidRDefault="00E03C75" w:rsidP="00E03C75">
            <w:pPr>
              <w:spacing w:before="120" w:after="120" w:line="360" w:lineRule="auto"/>
              <w:rPr>
                <w:szCs w:val="24"/>
                <w:lang w:eastAsia="en-US"/>
              </w:rPr>
            </w:pPr>
            <w:r w:rsidRPr="00393250">
              <w:rPr>
                <w:szCs w:val="24"/>
                <w:lang w:eastAsia="en-US"/>
              </w:rPr>
              <w:t>Farmakologisk virksomme stoffer — i alt(8)</w:t>
            </w:r>
          </w:p>
        </w:tc>
        <w:tc>
          <w:tcPr>
            <w:tcW w:w="0" w:type="auto"/>
          </w:tcPr>
          <w:p w14:paraId="33E4967F" w14:textId="77777777" w:rsidR="00E03C75" w:rsidRPr="00393250" w:rsidRDefault="00E03C75" w:rsidP="00E03C75">
            <w:pPr>
              <w:spacing w:before="120" w:after="120" w:line="360" w:lineRule="auto"/>
              <w:rPr>
                <w:szCs w:val="24"/>
                <w:lang w:val="en-GB" w:eastAsia="en-US"/>
              </w:rPr>
            </w:pPr>
            <w:r w:rsidRPr="00393250">
              <w:rPr>
                <w:szCs w:val="24"/>
                <w:lang w:val="en-GB" w:eastAsia="en-US"/>
              </w:rPr>
              <w:t>Lægemidler</w:t>
            </w:r>
          </w:p>
        </w:tc>
        <w:tc>
          <w:tcPr>
            <w:tcW w:w="0" w:type="auto"/>
          </w:tcPr>
          <w:p w14:paraId="636E485F" w14:textId="77777777" w:rsidR="00E03C75" w:rsidRPr="00393250" w:rsidRDefault="00E03C75" w:rsidP="00E03C75">
            <w:pPr>
              <w:spacing w:before="120" w:after="120" w:line="360" w:lineRule="auto"/>
              <w:rPr>
                <w:szCs w:val="24"/>
                <w:lang w:val="en-GB" w:eastAsia="en-US"/>
              </w:rPr>
            </w:pPr>
            <w:r w:rsidRPr="00393250">
              <w:rPr>
                <w:szCs w:val="24"/>
                <w:lang w:val="en-GB" w:eastAsia="en-US"/>
              </w:rPr>
              <w:t>anvendes ikke</w:t>
            </w:r>
          </w:p>
        </w:tc>
        <w:tc>
          <w:tcPr>
            <w:tcW w:w="0" w:type="auto"/>
          </w:tcPr>
          <w:p w14:paraId="18DB629E" w14:textId="77777777" w:rsidR="00E03C75" w:rsidRPr="00393250" w:rsidRDefault="00E03C75" w:rsidP="00E03C75">
            <w:pPr>
              <w:spacing w:before="120" w:after="120" w:line="360" w:lineRule="auto"/>
              <w:rPr>
                <w:szCs w:val="24"/>
                <w:lang w:val="en-GB" w:eastAsia="en-US"/>
              </w:rPr>
            </w:pPr>
            <w:r w:rsidRPr="00393250">
              <w:rPr>
                <w:szCs w:val="24"/>
                <w:lang w:val="en-GB" w:eastAsia="en-US"/>
              </w:rPr>
              <w:t>anvendes ikke</w:t>
            </w:r>
          </w:p>
        </w:tc>
        <w:tc>
          <w:tcPr>
            <w:tcW w:w="0" w:type="auto"/>
          </w:tcPr>
          <w:p w14:paraId="336315C6" w14:textId="77777777" w:rsidR="00E03C75" w:rsidRPr="00393250" w:rsidRDefault="00E03C75" w:rsidP="00E03C75">
            <w:pPr>
              <w:spacing w:before="120" w:after="120" w:line="360" w:lineRule="auto"/>
              <w:rPr>
                <w:szCs w:val="24"/>
                <w:lang w:val="en-GB" w:eastAsia="en-US"/>
              </w:rPr>
            </w:pPr>
            <w:r w:rsidRPr="00393250">
              <w:rPr>
                <w:strike/>
                <w:szCs w:val="24"/>
                <w:lang w:val="en-GB" w:eastAsia="en-US"/>
              </w:rPr>
              <w:t>0,25</w:t>
            </w:r>
            <w:r w:rsidRPr="00393250">
              <w:rPr>
                <w:b/>
                <w:i/>
                <w:szCs w:val="24"/>
                <w:lang w:val="en-GB" w:eastAsia="en-US"/>
              </w:rPr>
              <w:t>0,025</w:t>
            </w:r>
          </w:p>
        </w:tc>
      </w:tr>
      <w:tr w:rsidR="00E03C75" w:rsidRPr="00393250" w14:paraId="284B7806" w14:textId="77777777" w:rsidTr="00E03C75">
        <w:tc>
          <w:tcPr>
            <w:tcW w:w="842" w:type="pct"/>
            <w:vMerge w:val="restart"/>
          </w:tcPr>
          <w:p w14:paraId="73A1657E" w14:textId="35A2AAD5" w:rsidR="00E03C75" w:rsidRPr="00393250" w:rsidRDefault="00E03C75" w:rsidP="00E03C75">
            <w:pPr>
              <w:spacing w:before="120" w:after="120" w:line="360" w:lineRule="auto"/>
              <w:rPr>
                <w:b/>
                <w:szCs w:val="24"/>
                <w:lang w:val="en-GB" w:eastAsia="en-US"/>
              </w:rPr>
            </w:pPr>
            <w:r w:rsidRPr="00393250">
              <w:rPr>
                <w:szCs w:val="24"/>
                <w:lang w:val="en-GB" w:eastAsia="en-US"/>
              </w:rPr>
              <w:t>7</w:t>
            </w:r>
            <w:r w:rsidRPr="00393250">
              <w:rPr>
                <w:b/>
                <w:szCs w:val="24"/>
                <w:lang w:val="en-GB" w:eastAsia="en-US"/>
              </w:rPr>
              <w:t xml:space="preserve"> [Ændring 148]</w:t>
            </w:r>
          </w:p>
        </w:tc>
        <w:tc>
          <w:tcPr>
            <w:tcW w:w="1268" w:type="pct"/>
            <w:vMerge w:val="restart"/>
          </w:tcPr>
          <w:p w14:paraId="11BF9AC5" w14:textId="77777777" w:rsidR="00E03C75" w:rsidRPr="00393250" w:rsidRDefault="00E03C75" w:rsidP="00E03C75">
            <w:pPr>
              <w:spacing w:before="120" w:after="120" w:line="360" w:lineRule="auto"/>
              <w:rPr>
                <w:szCs w:val="24"/>
                <w:lang w:val="en-GB" w:eastAsia="en-US"/>
              </w:rPr>
            </w:pPr>
            <w:r w:rsidRPr="00393250">
              <w:rPr>
                <w:szCs w:val="24"/>
                <w:lang w:val="en-GB" w:eastAsia="en-US"/>
              </w:rPr>
              <w:t>Ikkerelevante metabolitter af pesticider</w:t>
            </w:r>
          </w:p>
        </w:tc>
        <w:tc>
          <w:tcPr>
            <w:tcW w:w="0" w:type="auto"/>
            <w:vMerge w:val="restart"/>
          </w:tcPr>
          <w:p w14:paraId="7EA1451D" w14:textId="77777777" w:rsidR="00E03C75" w:rsidRPr="00393250" w:rsidRDefault="00E03C75" w:rsidP="00E03C75">
            <w:pPr>
              <w:spacing w:before="120" w:after="120" w:line="360" w:lineRule="auto"/>
              <w:rPr>
                <w:szCs w:val="24"/>
                <w:lang w:val="en-GB" w:eastAsia="en-US"/>
              </w:rPr>
            </w:pPr>
            <w:r w:rsidRPr="00393250">
              <w:rPr>
                <w:szCs w:val="24"/>
                <w:lang w:val="en-GB" w:eastAsia="en-US"/>
              </w:rPr>
              <w:t>Pesticider</w:t>
            </w:r>
          </w:p>
        </w:tc>
        <w:tc>
          <w:tcPr>
            <w:tcW w:w="0" w:type="auto"/>
            <w:vMerge w:val="restart"/>
          </w:tcPr>
          <w:p w14:paraId="0BE569AB" w14:textId="77777777" w:rsidR="00E03C75" w:rsidRPr="00393250" w:rsidRDefault="00E03C75" w:rsidP="00E03C75">
            <w:pPr>
              <w:spacing w:before="120" w:after="120" w:line="360" w:lineRule="auto"/>
              <w:rPr>
                <w:szCs w:val="24"/>
                <w:lang w:val="en-GB" w:eastAsia="en-US"/>
              </w:rPr>
            </w:pPr>
            <w:r w:rsidRPr="00393250">
              <w:rPr>
                <w:szCs w:val="24"/>
                <w:lang w:val="en-GB" w:eastAsia="en-US"/>
              </w:rPr>
              <w:t>anvendes ikke</w:t>
            </w:r>
          </w:p>
        </w:tc>
        <w:tc>
          <w:tcPr>
            <w:tcW w:w="0" w:type="auto"/>
            <w:vMerge w:val="restart"/>
          </w:tcPr>
          <w:p w14:paraId="7B13699C" w14:textId="77777777" w:rsidR="00E03C75" w:rsidRPr="00393250" w:rsidRDefault="00E03C75" w:rsidP="00E03C75">
            <w:pPr>
              <w:spacing w:before="120" w:after="120" w:line="360" w:lineRule="auto"/>
              <w:rPr>
                <w:szCs w:val="24"/>
                <w:lang w:val="en-GB" w:eastAsia="en-US"/>
              </w:rPr>
            </w:pPr>
            <w:r w:rsidRPr="00393250">
              <w:rPr>
                <w:szCs w:val="24"/>
                <w:lang w:val="en-GB" w:eastAsia="en-US"/>
              </w:rPr>
              <w:t>anvendes ikke</w:t>
            </w:r>
          </w:p>
        </w:tc>
        <w:tc>
          <w:tcPr>
            <w:tcW w:w="0" w:type="auto"/>
          </w:tcPr>
          <w:p w14:paraId="32C7711F" w14:textId="77777777" w:rsidR="00E03C75" w:rsidRPr="00393250" w:rsidRDefault="00E03C75" w:rsidP="00E03C75">
            <w:pPr>
              <w:spacing w:before="120" w:after="120" w:line="360" w:lineRule="auto"/>
              <w:rPr>
                <w:szCs w:val="24"/>
                <w:lang w:val="en-GB" w:eastAsia="en-US"/>
              </w:rPr>
            </w:pPr>
            <w:r w:rsidRPr="00393250">
              <w:rPr>
                <w:szCs w:val="24"/>
                <w:lang w:val="en-GB" w:eastAsia="en-US"/>
              </w:rPr>
              <w:t>0,1</w:t>
            </w:r>
            <w:r w:rsidRPr="00393250">
              <w:rPr>
                <w:strike/>
                <w:szCs w:val="24"/>
                <w:vertAlign w:val="superscript"/>
                <w:lang w:val="en-GB" w:eastAsia="en-US"/>
              </w:rPr>
              <w:t>(9)</w:t>
            </w:r>
            <w:r w:rsidRPr="00393250">
              <w:rPr>
                <w:strike/>
                <w:szCs w:val="24"/>
                <w:lang w:val="en-GB" w:eastAsia="en-US"/>
              </w:rPr>
              <w:t xml:space="preserve"> eller 1</w:t>
            </w:r>
            <w:r w:rsidRPr="00393250">
              <w:rPr>
                <w:strike/>
                <w:szCs w:val="24"/>
                <w:vertAlign w:val="superscript"/>
                <w:lang w:val="en-GB" w:eastAsia="en-US"/>
              </w:rPr>
              <w:t>(10)</w:t>
            </w:r>
            <w:r w:rsidRPr="00393250">
              <w:rPr>
                <w:strike/>
                <w:szCs w:val="24"/>
                <w:lang w:val="en-GB" w:eastAsia="en-US"/>
              </w:rPr>
              <w:t xml:space="preserve"> eller 2,5 eller 5</w:t>
            </w:r>
            <w:r w:rsidRPr="00393250">
              <w:rPr>
                <w:strike/>
                <w:szCs w:val="24"/>
                <w:vertAlign w:val="superscript"/>
                <w:lang w:val="en-GB" w:eastAsia="en-US"/>
              </w:rPr>
              <w:t>(11)</w:t>
            </w:r>
            <w:r w:rsidRPr="00393250">
              <w:rPr>
                <w:szCs w:val="24"/>
                <w:lang w:val="en-GB" w:eastAsia="en-US"/>
              </w:rPr>
              <w:t xml:space="preserve"> (individuelt)</w:t>
            </w:r>
          </w:p>
        </w:tc>
      </w:tr>
      <w:tr w:rsidR="00E03C75" w:rsidRPr="00393250" w14:paraId="21996164" w14:textId="77777777" w:rsidTr="00E03C75">
        <w:tc>
          <w:tcPr>
            <w:tcW w:w="842" w:type="pct"/>
            <w:vMerge/>
          </w:tcPr>
          <w:p w14:paraId="724835C6" w14:textId="77777777" w:rsidR="00E03C75" w:rsidRPr="00393250" w:rsidRDefault="00E03C75" w:rsidP="00E03C75">
            <w:pPr>
              <w:spacing w:before="120" w:after="120" w:line="360" w:lineRule="auto"/>
              <w:rPr>
                <w:szCs w:val="24"/>
                <w:lang w:val="en-GB" w:eastAsia="en-US"/>
              </w:rPr>
            </w:pPr>
          </w:p>
        </w:tc>
        <w:tc>
          <w:tcPr>
            <w:tcW w:w="1268" w:type="pct"/>
            <w:vMerge/>
          </w:tcPr>
          <w:p w14:paraId="5743E497" w14:textId="77777777" w:rsidR="00E03C75" w:rsidRPr="00393250" w:rsidRDefault="00E03C75" w:rsidP="00E03C75">
            <w:pPr>
              <w:spacing w:before="120" w:after="120" w:line="360" w:lineRule="auto"/>
              <w:rPr>
                <w:szCs w:val="24"/>
                <w:lang w:val="en-GB" w:eastAsia="en-US"/>
              </w:rPr>
            </w:pPr>
          </w:p>
        </w:tc>
        <w:tc>
          <w:tcPr>
            <w:tcW w:w="0" w:type="auto"/>
            <w:vMerge/>
          </w:tcPr>
          <w:p w14:paraId="62A551D7" w14:textId="77777777" w:rsidR="00E03C75" w:rsidRPr="00393250" w:rsidRDefault="00E03C75" w:rsidP="00E03C75">
            <w:pPr>
              <w:spacing w:before="120" w:after="120" w:line="360" w:lineRule="auto"/>
              <w:rPr>
                <w:szCs w:val="24"/>
                <w:lang w:val="en-GB" w:eastAsia="en-US"/>
              </w:rPr>
            </w:pPr>
          </w:p>
        </w:tc>
        <w:tc>
          <w:tcPr>
            <w:tcW w:w="0" w:type="auto"/>
            <w:vMerge/>
          </w:tcPr>
          <w:p w14:paraId="7B418EE7" w14:textId="77777777" w:rsidR="00E03C75" w:rsidRPr="00393250" w:rsidRDefault="00E03C75" w:rsidP="00E03C75">
            <w:pPr>
              <w:spacing w:before="120" w:after="120" w:line="360" w:lineRule="auto"/>
              <w:rPr>
                <w:szCs w:val="24"/>
                <w:lang w:val="en-GB" w:eastAsia="en-US"/>
              </w:rPr>
            </w:pPr>
          </w:p>
        </w:tc>
        <w:tc>
          <w:tcPr>
            <w:tcW w:w="0" w:type="auto"/>
            <w:vMerge/>
          </w:tcPr>
          <w:p w14:paraId="1D14200B" w14:textId="77777777" w:rsidR="00E03C75" w:rsidRPr="00393250" w:rsidRDefault="00E03C75" w:rsidP="00E03C75">
            <w:pPr>
              <w:spacing w:before="120" w:after="120" w:line="360" w:lineRule="auto"/>
              <w:rPr>
                <w:szCs w:val="24"/>
                <w:lang w:val="en-GB" w:eastAsia="en-US"/>
              </w:rPr>
            </w:pPr>
          </w:p>
        </w:tc>
        <w:tc>
          <w:tcPr>
            <w:tcW w:w="0" w:type="auto"/>
          </w:tcPr>
          <w:p w14:paraId="281DFDAB" w14:textId="77777777" w:rsidR="00E03C75" w:rsidRPr="00393250" w:rsidRDefault="00E03C75" w:rsidP="00E03C75">
            <w:pPr>
              <w:spacing w:before="120" w:after="120" w:line="360" w:lineRule="auto"/>
              <w:rPr>
                <w:szCs w:val="24"/>
                <w:lang w:val="en-GB" w:eastAsia="en-US"/>
              </w:rPr>
            </w:pPr>
            <w:r w:rsidRPr="00393250">
              <w:rPr>
                <w:szCs w:val="24"/>
                <w:lang w:val="en-GB" w:eastAsia="en-US"/>
              </w:rPr>
              <w:t>0,5</w:t>
            </w:r>
            <w:r w:rsidRPr="00393250">
              <w:rPr>
                <w:strike/>
                <w:szCs w:val="24"/>
                <w:vertAlign w:val="superscript"/>
                <w:lang w:val="en-GB" w:eastAsia="en-US"/>
              </w:rPr>
              <w:t>(9)</w:t>
            </w:r>
            <w:r w:rsidRPr="00393250">
              <w:rPr>
                <w:strike/>
                <w:szCs w:val="24"/>
                <w:lang w:val="en-GB" w:eastAsia="en-US"/>
              </w:rPr>
              <w:t xml:space="preserve"> eller 5</w:t>
            </w:r>
            <w:r w:rsidRPr="00393250">
              <w:rPr>
                <w:strike/>
                <w:szCs w:val="24"/>
                <w:vertAlign w:val="superscript"/>
                <w:lang w:val="en-GB" w:eastAsia="en-US"/>
              </w:rPr>
              <w:t>(10)</w:t>
            </w:r>
            <w:r w:rsidRPr="00393250">
              <w:rPr>
                <w:strike/>
                <w:szCs w:val="24"/>
                <w:lang w:val="en-GB" w:eastAsia="en-US"/>
              </w:rPr>
              <w:t xml:space="preserve"> eller 12,5</w:t>
            </w:r>
            <w:r w:rsidRPr="00393250">
              <w:rPr>
                <w:strike/>
                <w:szCs w:val="24"/>
                <w:vertAlign w:val="superscript"/>
                <w:lang w:val="en-GB" w:eastAsia="en-US"/>
              </w:rPr>
              <w:t>(11)</w:t>
            </w:r>
            <w:r w:rsidRPr="00393250">
              <w:rPr>
                <w:szCs w:val="24"/>
                <w:lang w:val="en-GB" w:eastAsia="en-US"/>
              </w:rPr>
              <w:t xml:space="preserve"> (i alt)</w:t>
            </w:r>
            <w:r w:rsidRPr="00393250">
              <w:rPr>
                <w:szCs w:val="24"/>
                <w:vertAlign w:val="superscript"/>
                <w:lang w:val="en-GB" w:eastAsia="en-US"/>
              </w:rPr>
              <w:t>(12)</w:t>
            </w:r>
          </w:p>
        </w:tc>
      </w:tr>
    </w:tbl>
    <w:p w14:paraId="7BD4B1ED" w14:textId="77777777" w:rsidR="00282B72" w:rsidRPr="00393250" w:rsidRDefault="00282B72" w:rsidP="008A5B47">
      <w:pPr>
        <w:spacing w:before="120" w:after="120" w:line="360" w:lineRule="auto"/>
        <w:ind w:left="1416" w:hanging="566"/>
        <w:rPr>
          <w:szCs w:val="24"/>
          <w:lang w:val="en-GB" w:eastAsia="en-US"/>
        </w:rPr>
        <w:sectPr w:rsidR="00282B72" w:rsidRPr="00393250" w:rsidSect="00282B72">
          <w:footnotePr>
            <w:numRestart w:val="eachSect"/>
          </w:footnotePr>
          <w:endnotePr>
            <w:numFmt w:val="decimal"/>
          </w:endnotePr>
          <w:pgSz w:w="16834" w:h="11909" w:orient="landscape"/>
          <w:pgMar w:top="1417" w:right="1134" w:bottom="1417" w:left="1417" w:header="1134" w:footer="567" w:gutter="0"/>
          <w:cols w:space="720"/>
          <w:docGrid w:linePitch="326"/>
        </w:sectPr>
      </w:pPr>
    </w:p>
    <w:p w14:paraId="1439EBC2" w14:textId="3D1222FA" w:rsidR="008A5B47" w:rsidRPr="00393250" w:rsidRDefault="008A5B47" w:rsidP="008A5B47">
      <w:pPr>
        <w:spacing w:before="120" w:after="120" w:line="360" w:lineRule="auto"/>
        <w:ind w:left="1416" w:hanging="566"/>
        <w:rPr>
          <w:szCs w:val="24"/>
          <w:lang w:val="en-GB" w:eastAsia="en-US"/>
        </w:rPr>
      </w:pPr>
      <w:r w:rsidRPr="00393250">
        <w:rPr>
          <w:szCs w:val="24"/>
          <w:vertAlign w:val="superscript"/>
          <w:lang w:val="en-GB" w:eastAsia="en-US"/>
        </w:rPr>
        <w:t>(1)</w:t>
      </w:r>
      <w:r w:rsidRPr="00393250">
        <w:rPr>
          <w:szCs w:val="24"/>
          <w:lang w:val="en-GB" w:eastAsia="en-US"/>
        </w:rPr>
        <w:tab/>
        <w:t>CAS: Chemical Abstracts Service</w:t>
      </w:r>
    </w:p>
    <w:p w14:paraId="0D162E52"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(2)</w:t>
      </w:r>
      <w:r w:rsidRPr="00393250">
        <w:rPr>
          <w:szCs w:val="24"/>
          <w:lang w:eastAsia="en-US"/>
        </w:rPr>
        <w:tab/>
        <w:t>EU-nummer: Den Europæiske Fortegnelse over Markedsførte Kemiske Stoffer (Einecs) eller Den Europæiske Liste over Anmeldte Kemiske Stoffer (Elincs).</w:t>
      </w:r>
    </w:p>
    <w:p w14:paraId="26FBC626"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(3)</w:t>
      </w:r>
      <w:r w:rsidRPr="00393250">
        <w:rPr>
          <w:szCs w:val="24"/>
          <w:lang w:eastAsia="en-US"/>
        </w:rPr>
        <w:tab/>
        <w:t>Denne parameter er kvalitetskravet udtrykt som årsgennemsnit. Medmindre andet er angivet, gælder det for den samlede koncentration af alle stoffer og isomerer.</w:t>
      </w:r>
    </w:p>
    <w:p w14:paraId="23ED68C9"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(4)</w:t>
      </w:r>
      <w:r w:rsidRPr="00393250">
        <w:rPr>
          <w:szCs w:val="24"/>
          <w:lang w:eastAsia="en-US"/>
        </w:rPr>
        <w:tab/>
        <w:t>Ved "pesticider" forstås: plantebeskyttelsesmidler og biocidholdige produkter omhandlet i henholdsvis artikel 2 i Europa-Parlamentets og Rådets forordning (EF) nr. 1107/2009 af 21. oktober 2009 om markedsføring af plantebeskyttelsesmidler og artikel 3 Europa-Parlamentets og Rådets forordning (EU) nr. 528/2012 af 22. maj 2012 om tilgængeliggørelse på markedet og anvendelse af biocidholdige produkter.</w:t>
      </w:r>
    </w:p>
    <w:p w14:paraId="65D9BDB6" w14:textId="4560A72A" w:rsidR="008A5B47" w:rsidRPr="00393250" w:rsidRDefault="005B0954" w:rsidP="008A5B47">
      <w:pPr>
        <w:spacing w:before="120" w:after="120" w:line="360" w:lineRule="auto"/>
        <w:ind w:left="1416" w:hanging="566"/>
        <w:rPr>
          <w:szCs w:val="24"/>
          <w:lang w:eastAsia="en-US"/>
        </w:rPr>
      </w:pPr>
      <w:r w:rsidRPr="00393250">
        <w:rPr>
          <w:szCs w:val="24"/>
          <w:vertAlign w:val="superscript"/>
          <w:lang w:eastAsia="en-US"/>
        </w:rPr>
        <w:t>(</w:t>
      </w:r>
      <w:r w:rsidR="008A5B47" w:rsidRPr="00393250">
        <w:rPr>
          <w:szCs w:val="24"/>
          <w:vertAlign w:val="superscript"/>
          <w:lang w:eastAsia="en-US"/>
        </w:rPr>
        <w:t>4a</w:t>
      </w:r>
      <w:r w:rsidRPr="00393250">
        <w:rPr>
          <w:szCs w:val="24"/>
          <w:vertAlign w:val="superscript"/>
          <w:lang w:eastAsia="en-US"/>
        </w:rPr>
        <w:t>)</w:t>
      </w:r>
      <w:r w:rsidR="008A5B47" w:rsidRPr="00393250">
        <w:rPr>
          <w:szCs w:val="24"/>
          <w:lang w:eastAsia="en-US"/>
        </w:rPr>
        <w:tab/>
      </w:r>
      <w:r w:rsidR="008A5B47" w:rsidRPr="00393250">
        <w:rPr>
          <w:b/>
          <w:i/>
          <w:szCs w:val="24"/>
          <w:lang w:eastAsia="en-US"/>
        </w:rPr>
        <w:t>Denne tærskelværdi finder kun anvendelse i afventning af Kommissionens gennemgang.</w:t>
      </w:r>
    </w:p>
    <w:p w14:paraId="6D4FCF06"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(5)</w:t>
      </w:r>
      <w:r w:rsidRPr="00393250">
        <w:rPr>
          <w:szCs w:val="24"/>
          <w:lang w:eastAsia="en-US"/>
        </w:rPr>
        <w:tab/>
        <w:t>"I alt": summen af alle individuelle pesticider, som påvises og kvantificeres under overvågningsproceduren, herunder relevante omdannelses-, nedbrydnings- og reaktionsprodukter.</w:t>
      </w:r>
      <w:r w:rsidRPr="00393250">
        <w:rPr>
          <w:b/>
          <w:i/>
          <w:szCs w:val="24"/>
          <w:lang w:eastAsia="en-US"/>
        </w:rPr>
        <w:t xml:space="preserve"> Den tærskelværdi, der er fastsat for summen af alle individuelle pesticider, finder kun anvendelse i afventning af Kommissionens gennemgang.</w:t>
      </w:r>
    </w:p>
    <w:p w14:paraId="7993A2B4" w14:textId="77777777" w:rsidR="00DF51F1" w:rsidRPr="00393250" w:rsidRDefault="00DF51F1">
      <w:pPr>
        <w:widowControl/>
        <w:rPr>
          <w:szCs w:val="24"/>
          <w:vertAlign w:val="superscript"/>
          <w:lang w:eastAsia="en-US"/>
        </w:rPr>
      </w:pPr>
      <w:r w:rsidRPr="00393250">
        <w:rPr>
          <w:szCs w:val="24"/>
          <w:vertAlign w:val="superscript"/>
          <w:lang w:eastAsia="en-US"/>
        </w:rPr>
        <w:br w:type="page"/>
      </w:r>
    </w:p>
    <w:p w14:paraId="29C60634" w14:textId="53442D88"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(6)</w:t>
      </w:r>
      <w:r w:rsidRPr="00393250">
        <w:rPr>
          <w:szCs w:val="24"/>
          <w:lang w:eastAsia="en-US"/>
        </w:rPr>
        <w:tab/>
        <w:t>Dette henviser til følgende forbindelser, der er opført med deres CAS-nummer, EU-nummer og Relative Potency Factor (RPF): perfluoroctansyre (PFOA) (CAS 335-67-1, EU 206-397-9) (RPF 1), perfluoroctansulfonsyre (PFOS) (CAS 1763-23-1, EU 217-179-8) (RPF 2), perfluorhexansulfonsyre (PFHxS) (CAS 355-46-4, EU 206-587-1) (RPF 0,6), perfluornonansyre (PFNA) (CAS 375-95-1, EU 206-801-3) (RPF 10), perfluorbutansulfonsyre (PFBS) (CAS 375-73-5, EU 206-793-1) (RPF 0,001), perfluorohexansyre (PFHxA) (CAS 307-24-4, EU 206-196-6) (RPF 0,01), perfluorbutansyre (PFBA) (CAS 375-22-4, EU 206-786-3) (RPF 0,05), perfluorpentansyre (PFPeA) (CAS 2706-90-3, EU 220-300-7) (RPF 0,03), perfluorpentansulfonsyre (PFPeS) (CAS 2706-91-4, EU 220-301-2) (RPF 0,3005), perfluordecansyre (PFDA) (CAS 335-76-2, EU 206-400-3) (RPF 7), perfluordodecansyre (PFDoDA eller PFDoA) (CAS 307-55-1, EU 206-203-2) (RPF 3), perfluorundecansyre (PFUnDA eller PFUnA) (CAS 2058-94-8, EU 218-165-4) (RPF 4), perfluorheptansyre (PFHpA) (CAS 375-85-9, EU 206-798-9) (RPF 0,505), perfluortridecansyre (PFTrDA) (CAS 72629-94-8, EU 276-745-2) (RPF 1,65), perfluorheptansulfonsyre (PFHpS) (CAS 375-92-8, EU 206-800-8) (RPF 1,3), perfluordecansulfonsyre (PFDS) (CAS 335-77-3, EU 206-401-9) (RPF 2), perfluorotetradecansyre (PFTeDA) (CAS 376-06-7, EU 206-803-4) (RPF 0,3), perfluorohexadecansyre (PFHxDA) (CAS 67905-19-5, EU 267-638-1) (RPF 0,02), perfluorooctadecansyre (PFODA) (CAS 16517-11-6, EU 240-582-5) (RPF 0,02), ammonium perfluoro (2-methyl-3-oxahexanoate) (HFPO-DA eller Gen X) (CAS 62037-80-3) (RPF 0,06), propionsyre/ammonium 2,2,3-trifluoro-3-(1,1,2,2,3,3-hexafluoro-3-(trifluoromethoxy)propoxy)propanoat (ADONA) (CAS 958445-44-8) (RPF 0,03), 2- (perfluorohexyl)ethylalkohol (6:2 FTOH) (CAS 647-42-7, EU 211-477-1) (RPF 0,02), 2-(perfluorooctyl)ethanol (8:2 FTOH) (CAS 678-39-7, EU 211-648-0) (RPF 0,04) og eddikesyre/2,2-difluoro-2-((2,2,4,5-tetrafluoro-5-(trifluoromethoxy)-1,3-dioxolan-4-yl)oxy)- (C6O4) (CAS 1190931-41-9) (RPF 0,06).</w:t>
      </w:r>
    </w:p>
    <w:p w14:paraId="383D4A50" w14:textId="77777777" w:rsidR="00DF51F1" w:rsidRPr="00393250" w:rsidRDefault="00DF51F1">
      <w:pPr>
        <w:widowControl/>
        <w:rPr>
          <w:szCs w:val="24"/>
          <w:vertAlign w:val="superscript"/>
          <w:lang w:eastAsia="en-US"/>
        </w:rPr>
      </w:pPr>
      <w:r w:rsidRPr="00393250">
        <w:rPr>
          <w:szCs w:val="24"/>
          <w:vertAlign w:val="superscript"/>
          <w:lang w:eastAsia="en-US"/>
        </w:rPr>
        <w:br w:type="page"/>
      </w:r>
    </w:p>
    <w:p w14:paraId="2CE8B775" w14:textId="2FD5CD9A"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(7)</w:t>
      </w:r>
      <w:r w:rsidRPr="00393250">
        <w:rPr>
          <w:szCs w:val="24"/>
          <w:lang w:eastAsia="en-US"/>
        </w:rPr>
        <w:tab/>
        <w:t>Kvalitetskravet henviser til summen af de 24 PFAS, der er opført i fodnote 6, udtrykt som PFOA-ækvivalenter baseret på stoffernes styrke i forhold til PFOA, dvs. RPF'erne i fodnote 6.</w:t>
      </w:r>
    </w:p>
    <w:p w14:paraId="76D2D0AD" w14:textId="463291C7" w:rsidR="008A5B47" w:rsidRPr="00393250" w:rsidRDefault="005B0954" w:rsidP="008A5B47">
      <w:pPr>
        <w:spacing w:before="120" w:after="120" w:line="360" w:lineRule="auto"/>
        <w:ind w:left="1416" w:hanging="566"/>
        <w:rPr>
          <w:szCs w:val="24"/>
          <w:lang w:eastAsia="en-US"/>
        </w:rPr>
      </w:pPr>
      <w:r w:rsidRPr="00393250">
        <w:rPr>
          <w:szCs w:val="24"/>
          <w:vertAlign w:val="superscript"/>
          <w:lang w:eastAsia="en-US"/>
        </w:rPr>
        <w:t>(</w:t>
      </w:r>
      <w:r w:rsidR="008A5B47" w:rsidRPr="00393250">
        <w:rPr>
          <w:szCs w:val="24"/>
          <w:vertAlign w:val="superscript"/>
          <w:lang w:eastAsia="en-US"/>
        </w:rPr>
        <w:t>7a</w:t>
      </w:r>
      <w:r w:rsidRPr="00393250">
        <w:rPr>
          <w:szCs w:val="24"/>
          <w:vertAlign w:val="superscript"/>
          <w:lang w:eastAsia="en-US"/>
        </w:rPr>
        <w:t>)</w:t>
      </w:r>
      <w:r w:rsidR="008A5B47" w:rsidRPr="00393250">
        <w:rPr>
          <w:szCs w:val="24"/>
          <w:lang w:eastAsia="en-US"/>
        </w:rPr>
        <w:tab/>
      </w:r>
      <w:r w:rsidR="008A5B47" w:rsidRPr="00393250">
        <w:rPr>
          <w:b/>
          <w:i/>
          <w:szCs w:val="24"/>
          <w:lang w:eastAsia="en-US"/>
        </w:rPr>
        <w:t>Kvalitetskravet fastsættes af Kommissionen ved en delegeret retsakt.</w:t>
      </w:r>
    </w:p>
    <w:p w14:paraId="109C8080"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(8)</w:t>
      </w:r>
      <w:r w:rsidRPr="00393250">
        <w:rPr>
          <w:szCs w:val="24"/>
          <w:lang w:eastAsia="en-US"/>
        </w:rPr>
        <w:tab/>
        <w:t>"I alt": summen af alle individuelle lægemidler, som påvises og kvantificeres under overvågningsproceduren, herunder relevante metabolitter og nedbrydningsprodukter.</w:t>
      </w:r>
    </w:p>
    <w:p w14:paraId="5EFA6785" w14:textId="77777777" w:rsidR="008A5B47" w:rsidRPr="00393250" w:rsidRDefault="008A5B47" w:rsidP="008A5B47">
      <w:pPr>
        <w:spacing w:before="120" w:after="120" w:line="360" w:lineRule="auto"/>
        <w:ind w:left="1416" w:hanging="566"/>
        <w:rPr>
          <w:szCs w:val="24"/>
          <w:lang w:eastAsia="en-US"/>
        </w:rPr>
      </w:pPr>
      <w:r w:rsidRPr="00393250">
        <w:rPr>
          <w:strike/>
          <w:szCs w:val="24"/>
          <w:vertAlign w:val="superscript"/>
          <w:lang w:eastAsia="en-US"/>
        </w:rPr>
        <w:t>(9)</w:t>
      </w:r>
      <w:r w:rsidRPr="00393250">
        <w:rPr>
          <w:strike/>
          <w:szCs w:val="24"/>
          <w:lang w:eastAsia="en-US"/>
        </w:rPr>
        <w:tab/>
        <w:t>Gælder for ikkerelevante metabolitter af pesticider med "ringe data", dvs. ikkerelevante metabolitter af pesticider, for hvilke der ikke foreligger pålidelige data om de kroniske eller akutte virkninger af den ikkerelevante metabolit for den taksonomiske gruppe, der med sikkerhed forventes at være den mest følsomme.</w:t>
      </w:r>
    </w:p>
    <w:p w14:paraId="47623BEC" w14:textId="77777777" w:rsidR="008A5B47" w:rsidRPr="00393250" w:rsidRDefault="008A5B47" w:rsidP="008A5B47">
      <w:pPr>
        <w:spacing w:before="120" w:after="120" w:line="360" w:lineRule="auto"/>
        <w:ind w:left="1416" w:hanging="566"/>
        <w:rPr>
          <w:szCs w:val="24"/>
          <w:lang w:eastAsia="en-US"/>
        </w:rPr>
      </w:pPr>
      <w:r w:rsidRPr="00393250">
        <w:rPr>
          <w:strike/>
          <w:szCs w:val="24"/>
          <w:vertAlign w:val="superscript"/>
          <w:lang w:eastAsia="en-US"/>
        </w:rPr>
        <w:t>(10)</w:t>
      </w:r>
      <w:r w:rsidRPr="00393250">
        <w:rPr>
          <w:strike/>
          <w:szCs w:val="24"/>
          <w:lang w:eastAsia="en-US"/>
        </w:rPr>
        <w:tab/>
        <w:t>Gælder for ikkerelevante metabolitter af pesticider med "rimelige data", dvs. ikkerelevante metabolitter af pesticider, for hvilke der kun foreligger pålidelige data om de kroniske eller akutte virkninger af den ikkerelevante metabolit for den taksonomiske gruppe, der med sikkerhed forventes at være den mest følsomme, men hvor dataene er utilstrækkelige til at kvalificere stoffet som "rigt på data".</w:t>
      </w:r>
    </w:p>
    <w:p w14:paraId="3F5E773D" w14:textId="77777777" w:rsidR="00DF51F1" w:rsidRPr="00393250" w:rsidRDefault="00DF51F1">
      <w:pPr>
        <w:widowControl/>
        <w:rPr>
          <w:szCs w:val="24"/>
          <w:vertAlign w:val="superscript"/>
          <w:lang w:eastAsia="en-US"/>
        </w:rPr>
      </w:pPr>
      <w:r w:rsidRPr="00393250">
        <w:rPr>
          <w:szCs w:val="24"/>
          <w:vertAlign w:val="superscript"/>
          <w:lang w:eastAsia="en-US"/>
        </w:rPr>
        <w:br w:type="page"/>
      </w:r>
    </w:p>
    <w:p w14:paraId="1EA1A813" w14:textId="2258AFD6" w:rsidR="008A5B47" w:rsidRPr="00393250" w:rsidRDefault="008A5B47" w:rsidP="008A5B47">
      <w:pPr>
        <w:spacing w:before="120" w:after="120" w:line="360" w:lineRule="auto"/>
        <w:ind w:left="1416" w:hanging="566"/>
        <w:rPr>
          <w:szCs w:val="24"/>
          <w:lang w:eastAsia="en-US"/>
        </w:rPr>
      </w:pPr>
      <w:r w:rsidRPr="00393250">
        <w:rPr>
          <w:strike/>
          <w:szCs w:val="24"/>
          <w:vertAlign w:val="superscript"/>
          <w:lang w:eastAsia="en-US"/>
        </w:rPr>
        <w:t>(11)</w:t>
      </w:r>
      <w:r w:rsidRPr="00393250">
        <w:rPr>
          <w:strike/>
          <w:szCs w:val="24"/>
          <w:lang w:eastAsia="en-US"/>
        </w:rPr>
        <w:tab/>
        <w:t>Gælder for ikkerelevante metabolitter af pesticider, der er rige på data, dvs. ikkerelevante metabolitter af pesticider, for hvilke der foreligger pålidelige forsøgsdata eller lige så pålidelige data, der er opnået ved hjælp af alternative videnskabeligt validerede metoder, om kroniske eller akutte virkninger af den ikkerelevante metabolit på mindst én art af alger, hvirvelløse dyr og fisk, hvilket gør det muligt med sikkerhed at bekræfte den mest følsomme taksonomiske gruppe, og for hvilken der kan beregnes et kvalitetskrav ved hjælp af en deterministisk tilgang baseret på pålidelige kroniske eksperimentelle toksicitetsdata for den pågældende taksonomiske gruppe. Medlemsstaterne kan til dette formål anvende de seneste retningslinjer, der er udarbejdet inden for rammerne af den fælles gennemførelsesstrategi for direktiv 2000/60/EF (vejledning nr. 27, som ajourført). Kvalitetskravet 2,5 for individuelle ikkerelevante metabolitter af pesticider finder anvendelse, medmindre kvalitetskravet beregnet ved den deterministiske tilgang er højere. I det tilfælde finder kvalitetskravet 5 anvendelse.</w:t>
      </w:r>
    </w:p>
    <w:p w14:paraId="3AB9A47D" w14:textId="738268A3"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(12)</w:t>
      </w:r>
      <w:r w:rsidRPr="00393250">
        <w:rPr>
          <w:szCs w:val="24"/>
          <w:lang w:eastAsia="en-US"/>
        </w:rPr>
        <w:tab/>
        <w:t>"I alt" er lig med summen af alle individuelle ikkerelevante metabolitter i hver datakategori, som påvises og kvantificeres under overvågningsproceduren.</w:t>
      </w:r>
      <w:r w:rsidR="00DF51F1" w:rsidRPr="00393250">
        <w:rPr>
          <w:szCs w:val="24"/>
          <w:lang w:eastAsia="en-US"/>
        </w:rPr>
        <w:t>"</w:t>
      </w:r>
    </w:p>
    <w:p w14:paraId="7EE8231A" w14:textId="77777777" w:rsidR="008A5B47" w:rsidRPr="00393250" w:rsidRDefault="008A5B47" w:rsidP="008A5B47">
      <w:pPr>
        <w:spacing w:before="120" w:after="120" w:line="360" w:lineRule="auto"/>
        <w:rPr>
          <w:szCs w:val="24"/>
          <w:lang w:eastAsia="en-US"/>
        </w:rPr>
        <w:sectPr w:rsidR="008A5B47" w:rsidRPr="00393250" w:rsidSect="00282B72">
          <w:footnotePr>
            <w:numRestart w:val="eachSect"/>
          </w:footnotePr>
          <w:endnotePr>
            <w:numFmt w:val="decimal"/>
          </w:endnotePr>
          <w:pgSz w:w="11909" w:h="16834"/>
          <w:pgMar w:top="1134" w:right="1417" w:bottom="1417" w:left="1417" w:header="1134" w:footer="567" w:gutter="0"/>
          <w:cols w:space="720"/>
          <w:docGrid w:linePitch="326"/>
        </w:sectPr>
      </w:pPr>
    </w:p>
    <w:p w14:paraId="14C34518" w14:textId="3172D85F" w:rsidR="008A5B47" w:rsidRPr="00393250" w:rsidRDefault="00B551B3" w:rsidP="008A5B47">
      <w:pPr>
        <w:spacing w:before="120" w:after="120" w:line="360" w:lineRule="auto"/>
        <w:jc w:val="center"/>
        <w:rPr>
          <w:lang w:eastAsia="en-US"/>
        </w:rPr>
      </w:pPr>
      <w:r w:rsidRPr="00393250">
        <w:rPr>
          <w:lang w:eastAsia="en-US"/>
        </w:rPr>
        <w:t>Bilag</w:t>
      </w:r>
      <w:r w:rsidR="008A5B47" w:rsidRPr="00393250">
        <w:rPr>
          <w:lang w:eastAsia="en-US"/>
        </w:rPr>
        <w:t xml:space="preserve"> IV</w:t>
      </w:r>
    </w:p>
    <w:p w14:paraId="223E593A" w14:textId="77777777" w:rsidR="008A5B47" w:rsidRPr="00393250" w:rsidRDefault="008A5B47" w:rsidP="008A5B47">
      <w:pPr>
        <w:spacing w:before="120" w:after="120" w:line="360" w:lineRule="auto"/>
        <w:rPr>
          <w:szCs w:val="24"/>
          <w:lang w:eastAsia="en-US"/>
        </w:rPr>
      </w:pPr>
      <w:r w:rsidRPr="00393250">
        <w:rPr>
          <w:szCs w:val="24"/>
          <w:lang w:eastAsia="en-US"/>
        </w:rPr>
        <w:t>Bilag II til direktiv 2006/118/EF ændres således:</w:t>
      </w:r>
    </w:p>
    <w:p w14:paraId="4CF1BFB1"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(1)</w:t>
      </w:r>
      <w:r w:rsidRPr="00393250">
        <w:rPr>
          <w:szCs w:val="24"/>
          <w:lang w:eastAsia="en-US"/>
        </w:rPr>
        <w:tab/>
        <w:t>I del A indsættes følgende afsnit efter første afsnit:</w:t>
      </w:r>
    </w:p>
    <w:p w14:paraId="7153B6EC" w14:textId="3B5788C7" w:rsidR="008A5B47" w:rsidRPr="00393250" w:rsidRDefault="008A5B47" w:rsidP="008A5B47">
      <w:pPr>
        <w:spacing w:before="120" w:after="120" w:line="360" w:lineRule="auto"/>
        <w:ind w:left="850"/>
        <w:rPr>
          <w:szCs w:val="24"/>
          <w:lang w:eastAsia="en-US"/>
        </w:rPr>
      </w:pPr>
      <w:r w:rsidRPr="00393250">
        <w:rPr>
          <w:szCs w:val="24"/>
          <w:lang w:eastAsia="en-US"/>
        </w:rPr>
        <w:t>"Medlemsstaterne sikrer, at de kompetente myndigheder underretter Det Europæiske Kemikalieagentur (ECHA) om tærskelværdier for forurenende stoffer og forureningsindikatorer. ECHA offentliggør straks disse oplysninger."</w:t>
      </w:r>
    </w:p>
    <w:p w14:paraId="339D82D5" w14:textId="77777777" w:rsidR="008A5B47" w:rsidRPr="00393250" w:rsidRDefault="008A5B47" w:rsidP="008A5B47">
      <w:pPr>
        <w:spacing w:before="120" w:after="120" w:line="360" w:lineRule="auto"/>
        <w:ind w:left="850" w:hanging="850"/>
        <w:rPr>
          <w:szCs w:val="24"/>
          <w:lang w:eastAsia="en-US"/>
        </w:rPr>
      </w:pPr>
      <w:r w:rsidRPr="00393250">
        <w:rPr>
          <w:b/>
          <w:i/>
          <w:szCs w:val="24"/>
          <w:lang w:eastAsia="en-US"/>
        </w:rPr>
        <w:t>(1a)</w:t>
      </w:r>
      <w:r w:rsidRPr="00393250">
        <w:rPr>
          <w:szCs w:val="24"/>
          <w:lang w:eastAsia="en-US"/>
        </w:rPr>
        <w:tab/>
      </w:r>
      <w:r w:rsidRPr="00393250">
        <w:rPr>
          <w:b/>
          <w:i/>
          <w:szCs w:val="24"/>
          <w:lang w:eastAsia="en-US"/>
        </w:rPr>
        <w:t>Overskriften på del B affattes således:</w:t>
      </w:r>
    </w:p>
    <w:p w14:paraId="3CB0EC09" w14:textId="0B0A0318" w:rsidR="008A5B47" w:rsidRPr="00393250" w:rsidRDefault="008A5B47" w:rsidP="008A5B47">
      <w:pPr>
        <w:spacing w:before="120" w:after="120" w:line="360" w:lineRule="auto"/>
        <w:ind w:left="850"/>
        <w:rPr>
          <w:b/>
          <w:szCs w:val="24"/>
          <w:lang w:eastAsia="en-US"/>
        </w:rPr>
      </w:pPr>
      <w:r w:rsidRPr="00393250">
        <w:rPr>
          <w:b/>
          <w:i/>
          <w:szCs w:val="24"/>
          <w:lang w:eastAsia="en-US"/>
        </w:rPr>
        <w:t>"Minimumsliste over forurenende stoffer og indikatorer, for hvilke medlemsstaterne skal fastsætte tærskelværdier i overensstemmelse med artikel 3"</w:t>
      </w:r>
      <w:r w:rsidR="00EC1622" w:rsidRPr="00393250">
        <w:rPr>
          <w:b/>
          <w:szCs w:val="24"/>
          <w:lang w:eastAsia="en-US"/>
        </w:rPr>
        <w:t xml:space="preserve"> [Ændring 149]</w:t>
      </w:r>
    </w:p>
    <w:p w14:paraId="266CB192" w14:textId="77777777" w:rsidR="00EC1622" w:rsidRPr="00393250" w:rsidRDefault="00EC1622">
      <w:pPr>
        <w:widowControl/>
        <w:rPr>
          <w:szCs w:val="24"/>
          <w:lang w:eastAsia="en-US"/>
        </w:rPr>
      </w:pPr>
      <w:r w:rsidRPr="00393250">
        <w:rPr>
          <w:szCs w:val="24"/>
          <w:lang w:eastAsia="en-US"/>
        </w:rPr>
        <w:br w:type="page"/>
      </w:r>
    </w:p>
    <w:p w14:paraId="6A5BFA1F" w14:textId="1A255CFA" w:rsidR="008A5B47" w:rsidRPr="00393250" w:rsidRDefault="008A5B47" w:rsidP="008A5B47">
      <w:pPr>
        <w:spacing w:before="120" w:after="120" w:line="360" w:lineRule="auto"/>
        <w:ind w:left="850" w:hanging="850"/>
        <w:rPr>
          <w:szCs w:val="24"/>
          <w:lang w:eastAsia="en-US"/>
        </w:rPr>
      </w:pPr>
      <w:r w:rsidRPr="00393250">
        <w:rPr>
          <w:szCs w:val="24"/>
          <w:lang w:eastAsia="en-US"/>
        </w:rPr>
        <w:t>(2)</w:t>
      </w:r>
      <w:r w:rsidRPr="00393250">
        <w:rPr>
          <w:szCs w:val="24"/>
          <w:lang w:eastAsia="en-US"/>
        </w:rPr>
        <w:tab/>
        <w:t>Del B, punkt 2, affattes således:</w:t>
      </w:r>
    </w:p>
    <w:p w14:paraId="659763D5"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"2.</w:t>
      </w:r>
      <w:r w:rsidRPr="00393250">
        <w:rPr>
          <w:szCs w:val="24"/>
          <w:lang w:eastAsia="en-US"/>
        </w:rPr>
        <w:tab/>
        <w:t>Menneskeskabte syntetiske stoffer</w:t>
      </w:r>
    </w:p>
    <w:p w14:paraId="7BDDC3C8" w14:textId="77777777" w:rsidR="008A5B47" w:rsidRPr="00393250" w:rsidRDefault="008A5B47" w:rsidP="008A5B47">
      <w:pPr>
        <w:spacing w:before="120" w:after="120" w:line="360" w:lineRule="auto"/>
        <w:ind w:left="1416"/>
        <w:rPr>
          <w:szCs w:val="24"/>
          <w:lang w:eastAsia="en-US"/>
        </w:rPr>
      </w:pPr>
      <w:r w:rsidRPr="00393250">
        <w:rPr>
          <w:szCs w:val="24"/>
          <w:lang w:eastAsia="en-US"/>
        </w:rPr>
        <w:t>Primidon</w:t>
      </w:r>
    </w:p>
    <w:p w14:paraId="05ACD4F5" w14:textId="77777777" w:rsidR="008A5B47" w:rsidRPr="00393250" w:rsidRDefault="008A5B47" w:rsidP="008A5B47">
      <w:pPr>
        <w:spacing w:before="120" w:after="120" w:line="360" w:lineRule="auto"/>
        <w:ind w:left="1416"/>
        <w:rPr>
          <w:szCs w:val="24"/>
          <w:lang w:eastAsia="en-US"/>
        </w:rPr>
      </w:pPr>
      <w:r w:rsidRPr="00393250">
        <w:rPr>
          <w:szCs w:val="24"/>
          <w:lang w:eastAsia="en-US"/>
        </w:rPr>
        <w:t>Trichlorethylen</w:t>
      </w:r>
    </w:p>
    <w:p w14:paraId="527273E0" w14:textId="77777777" w:rsidR="008A5B47" w:rsidRPr="00393250" w:rsidRDefault="008A5B47" w:rsidP="008A5B47">
      <w:pPr>
        <w:spacing w:before="120" w:after="120" w:line="360" w:lineRule="auto"/>
        <w:ind w:left="1416"/>
        <w:rPr>
          <w:szCs w:val="24"/>
          <w:lang w:eastAsia="en-US"/>
        </w:rPr>
      </w:pPr>
      <w:r w:rsidRPr="00393250">
        <w:rPr>
          <w:szCs w:val="24"/>
          <w:lang w:eastAsia="en-US"/>
        </w:rPr>
        <w:t>tetrachlorethylen."</w:t>
      </w:r>
    </w:p>
    <w:p w14:paraId="0BD42D0C"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(3)</w:t>
      </w:r>
      <w:r w:rsidRPr="00393250">
        <w:rPr>
          <w:szCs w:val="24"/>
          <w:lang w:eastAsia="en-US"/>
        </w:rPr>
        <w:tab/>
        <w:t>Overskriften for del C affattes således:</w:t>
      </w:r>
    </w:p>
    <w:p w14:paraId="65D0E293" w14:textId="77777777" w:rsidR="008A5B47" w:rsidRPr="00393250" w:rsidRDefault="008A5B47" w:rsidP="008A5B47">
      <w:pPr>
        <w:spacing w:before="120" w:after="120" w:line="360" w:lineRule="auto"/>
        <w:ind w:left="850"/>
        <w:rPr>
          <w:szCs w:val="24"/>
          <w:lang w:eastAsia="en-US"/>
        </w:rPr>
      </w:pPr>
      <w:r w:rsidRPr="00393250">
        <w:rPr>
          <w:szCs w:val="24"/>
          <w:lang w:eastAsia="en-US"/>
        </w:rPr>
        <w:t>"Oplysninger, som medlemsstaterne skal forelægge vedrørende forurenende stoffer og indikatorer, for hvilke medlemsstaterne har fastsat tærskelværdier."</w:t>
      </w:r>
    </w:p>
    <w:p w14:paraId="4FA828A1" w14:textId="77777777" w:rsidR="00EC1622" w:rsidRPr="00393250" w:rsidRDefault="00EC1622">
      <w:pPr>
        <w:widowControl/>
        <w:rPr>
          <w:szCs w:val="24"/>
          <w:lang w:eastAsia="en-US"/>
        </w:rPr>
        <w:sectPr w:rsidR="00EC1622" w:rsidRPr="00393250">
          <w:footnotePr>
            <w:numRestart w:val="eachSect"/>
          </w:footnotePr>
          <w:endnotePr>
            <w:numFmt w:val="decimal"/>
          </w:endnotePr>
          <w:pgSz w:w="11909" w:h="16834"/>
          <w:pgMar w:top="1134" w:right="1417" w:bottom="1417" w:left="1417" w:header="1134" w:footer="567" w:gutter="0"/>
          <w:cols w:space="720"/>
        </w:sectPr>
      </w:pPr>
    </w:p>
    <w:p w14:paraId="19910A9B" w14:textId="0CDD94E5" w:rsidR="008A5B47" w:rsidRPr="00393250" w:rsidRDefault="008A5B47" w:rsidP="008A5B47">
      <w:pPr>
        <w:spacing w:before="120" w:after="120" w:line="360" w:lineRule="auto"/>
        <w:ind w:left="850" w:hanging="850"/>
        <w:rPr>
          <w:szCs w:val="24"/>
          <w:lang w:eastAsia="en-US"/>
        </w:rPr>
      </w:pPr>
      <w:r w:rsidRPr="00393250">
        <w:rPr>
          <w:szCs w:val="24"/>
          <w:lang w:eastAsia="en-US"/>
        </w:rPr>
        <w:t>(4)</w:t>
      </w:r>
      <w:r w:rsidRPr="00393250">
        <w:rPr>
          <w:szCs w:val="24"/>
          <w:lang w:eastAsia="en-US"/>
        </w:rPr>
        <w:tab/>
        <w:t>Følgende indsættes som del D:</w:t>
      </w:r>
    </w:p>
    <w:p w14:paraId="6C5090AE" w14:textId="4D88ADE4" w:rsidR="008A5B47" w:rsidRPr="00393250" w:rsidRDefault="00EC1622" w:rsidP="008A5B47">
      <w:pPr>
        <w:spacing w:before="120" w:after="120" w:line="360" w:lineRule="auto"/>
        <w:ind w:left="850"/>
        <w:rPr>
          <w:szCs w:val="24"/>
          <w:lang w:eastAsia="en-US"/>
        </w:rPr>
      </w:pPr>
      <w:r w:rsidRPr="00393250">
        <w:rPr>
          <w:szCs w:val="24"/>
          <w:lang w:eastAsia="en-US"/>
        </w:rPr>
        <w:t>"</w:t>
      </w:r>
      <w:r w:rsidR="008A5B47" w:rsidRPr="00393250">
        <w:rPr>
          <w:szCs w:val="24"/>
          <w:lang w:eastAsia="en-US"/>
        </w:rPr>
        <w:t>Del D</w:t>
      </w:r>
    </w:p>
    <w:p w14:paraId="69CB6223" w14:textId="77777777" w:rsidR="008A5B47" w:rsidRPr="00393250" w:rsidRDefault="008A5B47" w:rsidP="008A5B47">
      <w:pPr>
        <w:spacing w:before="120" w:after="120" w:line="360" w:lineRule="auto"/>
        <w:ind w:left="850"/>
        <w:rPr>
          <w:szCs w:val="24"/>
          <w:lang w:eastAsia="en-US"/>
        </w:rPr>
      </w:pPr>
      <w:r w:rsidRPr="00393250">
        <w:rPr>
          <w:szCs w:val="24"/>
          <w:lang w:eastAsia="en-US"/>
        </w:rPr>
        <w:t>Register over harmoniserede tærskelværdier for forurenende stoffer i grundvand af national, regional eller lokal betydning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994"/>
        <w:gridCol w:w="3565"/>
        <w:gridCol w:w="1916"/>
        <w:gridCol w:w="2097"/>
        <w:gridCol w:w="2250"/>
        <w:gridCol w:w="3451"/>
      </w:tblGrid>
      <w:tr w:rsidR="008A5B47" w:rsidRPr="00393250" w14:paraId="77B85FEB" w14:textId="77777777" w:rsidTr="00946C35">
        <w:trPr>
          <w:tblHeader/>
        </w:trPr>
        <w:tc>
          <w:tcPr>
            <w:tcW w:w="0" w:type="auto"/>
          </w:tcPr>
          <w:p w14:paraId="3A80CD87" w14:textId="77777777" w:rsidR="008A5B47" w:rsidRPr="00393250" w:rsidRDefault="008A5B47" w:rsidP="008A5B47">
            <w:pPr>
              <w:spacing w:before="120" w:after="120" w:line="360" w:lineRule="auto"/>
              <w:rPr>
                <w:szCs w:val="24"/>
                <w:lang w:val="en-GB" w:eastAsia="en-US"/>
              </w:rPr>
            </w:pPr>
            <w:r w:rsidRPr="00393250">
              <w:rPr>
                <w:szCs w:val="24"/>
                <w:lang w:val="en-GB" w:eastAsia="en-US"/>
              </w:rPr>
              <w:t>(1)</w:t>
            </w:r>
          </w:p>
        </w:tc>
        <w:tc>
          <w:tcPr>
            <w:tcW w:w="0" w:type="auto"/>
          </w:tcPr>
          <w:p w14:paraId="7A5994B2" w14:textId="77777777" w:rsidR="008A5B47" w:rsidRPr="00393250" w:rsidRDefault="008A5B47" w:rsidP="008A5B47">
            <w:pPr>
              <w:spacing w:before="120" w:after="120" w:line="360" w:lineRule="auto"/>
              <w:rPr>
                <w:szCs w:val="24"/>
                <w:lang w:val="en-GB" w:eastAsia="en-US"/>
              </w:rPr>
            </w:pPr>
            <w:r w:rsidRPr="00393250">
              <w:rPr>
                <w:szCs w:val="24"/>
                <w:lang w:val="en-GB" w:eastAsia="en-US"/>
              </w:rPr>
              <w:t>(2)</w:t>
            </w:r>
          </w:p>
        </w:tc>
        <w:tc>
          <w:tcPr>
            <w:tcW w:w="0" w:type="auto"/>
          </w:tcPr>
          <w:p w14:paraId="59AA7D01" w14:textId="77777777" w:rsidR="008A5B47" w:rsidRPr="00393250" w:rsidRDefault="008A5B47" w:rsidP="008A5B47">
            <w:pPr>
              <w:spacing w:before="120" w:after="120" w:line="360" w:lineRule="auto"/>
              <w:rPr>
                <w:szCs w:val="24"/>
                <w:lang w:val="en-GB" w:eastAsia="en-US"/>
              </w:rPr>
            </w:pPr>
            <w:r w:rsidRPr="00393250">
              <w:rPr>
                <w:szCs w:val="24"/>
                <w:lang w:val="en-GB" w:eastAsia="en-US"/>
              </w:rPr>
              <w:t>(3)</w:t>
            </w:r>
          </w:p>
        </w:tc>
        <w:tc>
          <w:tcPr>
            <w:tcW w:w="0" w:type="auto"/>
          </w:tcPr>
          <w:p w14:paraId="7C8A7171" w14:textId="77777777" w:rsidR="008A5B47" w:rsidRPr="00393250" w:rsidRDefault="008A5B47" w:rsidP="008A5B47">
            <w:pPr>
              <w:spacing w:before="120" w:after="120" w:line="360" w:lineRule="auto"/>
              <w:rPr>
                <w:szCs w:val="24"/>
                <w:lang w:val="en-GB" w:eastAsia="en-US"/>
              </w:rPr>
            </w:pPr>
            <w:r w:rsidRPr="00393250">
              <w:rPr>
                <w:szCs w:val="24"/>
                <w:lang w:val="en-GB" w:eastAsia="en-US"/>
              </w:rPr>
              <w:t>(4)</w:t>
            </w:r>
          </w:p>
        </w:tc>
        <w:tc>
          <w:tcPr>
            <w:tcW w:w="0" w:type="auto"/>
          </w:tcPr>
          <w:p w14:paraId="662EF356" w14:textId="77777777" w:rsidR="008A5B47" w:rsidRPr="00393250" w:rsidRDefault="008A5B47" w:rsidP="008A5B47">
            <w:pPr>
              <w:spacing w:before="120" w:after="120" w:line="360" w:lineRule="auto"/>
              <w:rPr>
                <w:szCs w:val="24"/>
                <w:lang w:val="en-GB" w:eastAsia="en-US"/>
              </w:rPr>
            </w:pPr>
            <w:r w:rsidRPr="00393250">
              <w:rPr>
                <w:szCs w:val="24"/>
                <w:lang w:val="en-GB" w:eastAsia="en-US"/>
              </w:rPr>
              <w:t>(5)</w:t>
            </w:r>
          </w:p>
        </w:tc>
        <w:tc>
          <w:tcPr>
            <w:tcW w:w="0" w:type="auto"/>
          </w:tcPr>
          <w:p w14:paraId="323A0AAD" w14:textId="77777777" w:rsidR="008A5B47" w:rsidRPr="00393250" w:rsidRDefault="008A5B47" w:rsidP="008A5B47">
            <w:pPr>
              <w:spacing w:before="120" w:after="120" w:line="360" w:lineRule="auto"/>
              <w:rPr>
                <w:szCs w:val="24"/>
                <w:lang w:val="en-GB" w:eastAsia="en-US"/>
              </w:rPr>
            </w:pPr>
            <w:r w:rsidRPr="00393250">
              <w:rPr>
                <w:szCs w:val="24"/>
                <w:lang w:val="en-GB" w:eastAsia="en-US"/>
              </w:rPr>
              <w:t>(6)</w:t>
            </w:r>
          </w:p>
        </w:tc>
      </w:tr>
      <w:tr w:rsidR="008A5B47" w:rsidRPr="00393250" w14:paraId="1D3C261E" w14:textId="77777777" w:rsidTr="00946C35">
        <w:tc>
          <w:tcPr>
            <w:tcW w:w="0" w:type="auto"/>
          </w:tcPr>
          <w:p w14:paraId="7744A8BD" w14:textId="77777777" w:rsidR="008A5B47" w:rsidRPr="00393250" w:rsidRDefault="008A5B47" w:rsidP="008A5B47">
            <w:pPr>
              <w:spacing w:before="120" w:after="120" w:line="360" w:lineRule="auto"/>
              <w:rPr>
                <w:szCs w:val="24"/>
                <w:lang w:val="en-GB" w:eastAsia="en-US"/>
              </w:rPr>
            </w:pPr>
            <w:r w:rsidRPr="00393250">
              <w:rPr>
                <w:szCs w:val="24"/>
                <w:lang w:val="en-GB" w:eastAsia="en-US"/>
              </w:rPr>
              <w:t>Nr.</w:t>
            </w:r>
          </w:p>
        </w:tc>
        <w:tc>
          <w:tcPr>
            <w:tcW w:w="0" w:type="auto"/>
          </w:tcPr>
          <w:p w14:paraId="200A49EE" w14:textId="77777777" w:rsidR="008A5B47" w:rsidRPr="00393250" w:rsidRDefault="008A5B47" w:rsidP="008A5B47">
            <w:pPr>
              <w:spacing w:before="120" w:after="120" w:line="360" w:lineRule="auto"/>
              <w:rPr>
                <w:szCs w:val="24"/>
                <w:lang w:val="en-GB" w:eastAsia="en-US"/>
              </w:rPr>
            </w:pPr>
            <w:r w:rsidRPr="00393250">
              <w:rPr>
                <w:szCs w:val="24"/>
                <w:lang w:val="en-GB" w:eastAsia="en-US"/>
              </w:rPr>
              <w:t>Stoffets navn</w:t>
            </w:r>
          </w:p>
        </w:tc>
        <w:tc>
          <w:tcPr>
            <w:tcW w:w="0" w:type="auto"/>
          </w:tcPr>
          <w:p w14:paraId="45C2FF42" w14:textId="77777777" w:rsidR="008A5B47" w:rsidRPr="00393250" w:rsidRDefault="008A5B47" w:rsidP="008A5B47">
            <w:pPr>
              <w:spacing w:before="120" w:after="120" w:line="360" w:lineRule="auto"/>
              <w:rPr>
                <w:szCs w:val="24"/>
                <w:lang w:val="en-GB" w:eastAsia="en-US"/>
              </w:rPr>
            </w:pPr>
            <w:r w:rsidRPr="00393250">
              <w:rPr>
                <w:szCs w:val="24"/>
                <w:lang w:val="en-GB" w:eastAsia="en-US"/>
              </w:rPr>
              <w:t>Kategori af stoffer</w:t>
            </w:r>
          </w:p>
        </w:tc>
        <w:tc>
          <w:tcPr>
            <w:tcW w:w="0" w:type="auto"/>
          </w:tcPr>
          <w:p w14:paraId="64C771F9" w14:textId="77777777" w:rsidR="008A5B47" w:rsidRPr="00393250" w:rsidRDefault="008A5B47" w:rsidP="008A5B47">
            <w:pPr>
              <w:spacing w:before="120" w:after="120" w:line="360" w:lineRule="auto"/>
              <w:rPr>
                <w:szCs w:val="24"/>
                <w:lang w:val="en-GB" w:eastAsia="en-US"/>
              </w:rPr>
            </w:pPr>
            <w:r w:rsidRPr="00393250">
              <w:rPr>
                <w:szCs w:val="24"/>
                <w:lang w:val="en-GB" w:eastAsia="en-US"/>
              </w:rPr>
              <w:t>CAS-nummer</w:t>
            </w:r>
            <w:r w:rsidRPr="00393250">
              <w:rPr>
                <w:szCs w:val="24"/>
                <w:vertAlign w:val="superscript"/>
                <w:lang w:val="en-GB" w:eastAsia="en-US"/>
              </w:rPr>
              <w:t>(1)</w:t>
            </w:r>
          </w:p>
        </w:tc>
        <w:tc>
          <w:tcPr>
            <w:tcW w:w="0" w:type="auto"/>
          </w:tcPr>
          <w:p w14:paraId="526C45FB" w14:textId="77777777" w:rsidR="008A5B47" w:rsidRPr="00393250" w:rsidRDefault="008A5B47" w:rsidP="008A5B47">
            <w:pPr>
              <w:spacing w:before="120" w:after="120" w:line="360" w:lineRule="auto"/>
              <w:rPr>
                <w:szCs w:val="24"/>
                <w:lang w:val="en-GB" w:eastAsia="en-US"/>
              </w:rPr>
            </w:pPr>
            <w:r w:rsidRPr="00393250">
              <w:rPr>
                <w:szCs w:val="24"/>
                <w:lang w:val="en-GB" w:eastAsia="en-US"/>
              </w:rPr>
              <w:t>EU-nummer</w:t>
            </w:r>
            <w:r w:rsidRPr="00393250">
              <w:rPr>
                <w:szCs w:val="24"/>
                <w:vertAlign w:val="superscript"/>
                <w:lang w:val="en-GB" w:eastAsia="en-US"/>
              </w:rPr>
              <w:t>(2)</w:t>
            </w:r>
          </w:p>
        </w:tc>
        <w:tc>
          <w:tcPr>
            <w:tcW w:w="0" w:type="auto"/>
          </w:tcPr>
          <w:p w14:paraId="1EC596F0" w14:textId="77777777" w:rsidR="008A5B47" w:rsidRPr="00393250" w:rsidRDefault="008A5B47" w:rsidP="008A5B47">
            <w:pPr>
              <w:spacing w:before="120" w:after="120" w:line="360" w:lineRule="auto"/>
              <w:rPr>
                <w:szCs w:val="24"/>
                <w:lang w:eastAsia="en-US"/>
              </w:rPr>
            </w:pPr>
            <w:r w:rsidRPr="00393250">
              <w:rPr>
                <w:szCs w:val="24"/>
                <w:lang w:eastAsia="en-US"/>
              </w:rPr>
              <w:t>Tærskelværdi [µg/l, medmindre andet er angivet]</w:t>
            </w:r>
          </w:p>
        </w:tc>
      </w:tr>
      <w:tr w:rsidR="008A5B47" w:rsidRPr="00393250" w14:paraId="559D6BDB" w14:textId="77777777" w:rsidTr="00946C35">
        <w:tc>
          <w:tcPr>
            <w:tcW w:w="0" w:type="auto"/>
          </w:tcPr>
          <w:p w14:paraId="278F17D4" w14:textId="77777777" w:rsidR="008A5B47" w:rsidRPr="00393250" w:rsidRDefault="008A5B47" w:rsidP="008A5B47">
            <w:pPr>
              <w:spacing w:before="120" w:after="120" w:line="360" w:lineRule="auto"/>
              <w:rPr>
                <w:szCs w:val="24"/>
                <w:lang w:val="en-GB" w:eastAsia="en-US"/>
              </w:rPr>
            </w:pPr>
            <w:r w:rsidRPr="00393250">
              <w:rPr>
                <w:szCs w:val="24"/>
                <w:lang w:val="en-GB" w:eastAsia="en-US"/>
              </w:rPr>
              <w:t>1</w:t>
            </w:r>
          </w:p>
        </w:tc>
        <w:tc>
          <w:tcPr>
            <w:tcW w:w="0" w:type="auto"/>
          </w:tcPr>
          <w:p w14:paraId="3791EC12" w14:textId="77777777" w:rsidR="008A5B47" w:rsidRPr="00393250" w:rsidRDefault="008A5B47" w:rsidP="008A5B47">
            <w:pPr>
              <w:spacing w:before="120" w:after="120" w:line="360" w:lineRule="auto"/>
              <w:rPr>
                <w:szCs w:val="24"/>
                <w:lang w:eastAsia="en-US"/>
              </w:rPr>
            </w:pPr>
            <w:r w:rsidRPr="00393250">
              <w:rPr>
                <w:szCs w:val="24"/>
                <w:lang w:eastAsia="en-US"/>
              </w:rPr>
              <w:t>Trichlorethylen og tetrachlorethylen (sum af to)</w:t>
            </w:r>
          </w:p>
        </w:tc>
        <w:tc>
          <w:tcPr>
            <w:tcW w:w="0" w:type="auto"/>
          </w:tcPr>
          <w:p w14:paraId="741A3006" w14:textId="77777777" w:rsidR="008A5B47" w:rsidRPr="00393250" w:rsidRDefault="008A5B47" w:rsidP="008A5B47">
            <w:pPr>
              <w:spacing w:before="120" w:after="120" w:line="360" w:lineRule="auto"/>
              <w:rPr>
                <w:szCs w:val="24"/>
                <w:lang w:val="en-GB" w:eastAsia="en-US"/>
              </w:rPr>
            </w:pPr>
            <w:r w:rsidRPr="00393250">
              <w:rPr>
                <w:szCs w:val="24"/>
                <w:lang w:val="en-GB" w:eastAsia="en-US"/>
              </w:rPr>
              <w:t>Industri-stoffer</w:t>
            </w:r>
          </w:p>
        </w:tc>
        <w:tc>
          <w:tcPr>
            <w:tcW w:w="0" w:type="auto"/>
          </w:tcPr>
          <w:p w14:paraId="2BB14CF1" w14:textId="77777777" w:rsidR="008A5B47" w:rsidRPr="00393250" w:rsidRDefault="008A5B47" w:rsidP="008A5B47">
            <w:pPr>
              <w:spacing w:before="120" w:after="120" w:line="360" w:lineRule="auto"/>
              <w:rPr>
                <w:szCs w:val="24"/>
                <w:lang w:val="en-GB" w:eastAsia="en-US"/>
              </w:rPr>
            </w:pPr>
            <w:r w:rsidRPr="00393250">
              <w:rPr>
                <w:szCs w:val="24"/>
                <w:lang w:val="en-GB" w:eastAsia="en-US"/>
              </w:rPr>
              <w:t>79-01-6 og 127-18-4</w:t>
            </w:r>
          </w:p>
        </w:tc>
        <w:tc>
          <w:tcPr>
            <w:tcW w:w="0" w:type="auto"/>
          </w:tcPr>
          <w:p w14:paraId="4BE18FA5" w14:textId="77777777" w:rsidR="008A5B47" w:rsidRPr="00393250" w:rsidRDefault="008A5B47" w:rsidP="008A5B47">
            <w:pPr>
              <w:spacing w:before="120" w:after="120" w:line="360" w:lineRule="auto"/>
              <w:rPr>
                <w:szCs w:val="24"/>
                <w:lang w:val="en-GB" w:eastAsia="en-US"/>
              </w:rPr>
            </w:pPr>
            <w:r w:rsidRPr="00393250">
              <w:rPr>
                <w:szCs w:val="24"/>
                <w:lang w:val="en-GB" w:eastAsia="en-US"/>
              </w:rPr>
              <w:t>201-167-4 og 204-825-9</w:t>
            </w:r>
          </w:p>
        </w:tc>
        <w:tc>
          <w:tcPr>
            <w:tcW w:w="0" w:type="auto"/>
          </w:tcPr>
          <w:p w14:paraId="27507B78" w14:textId="77777777" w:rsidR="008A5B47" w:rsidRPr="00393250" w:rsidRDefault="008A5B47" w:rsidP="008A5B47">
            <w:pPr>
              <w:spacing w:before="120" w:after="120" w:line="360" w:lineRule="auto"/>
              <w:rPr>
                <w:szCs w:val="24"/>
                <w:lang w:val="en-GB" w:eastAsia="en-US"/>
              </w:rPr>
            </w:pPr>
            <w:r w:rsidRPr="00393250">
              <w:rPr>
                <w:szCs w:val="24"/>
                <w:lang w:val="en-GB" w:eastAsia="en-US"/>
              </w:rPr>
              <w:t>10 (i alt )</w:t>
            </w:r>
            <w:r w:rsidRPr="00393250">
              <w:rPr>
                <w:szCs w:val="24"/>
                <w:vertAlign w:val="superscript"/>
                <w:lang w:val="en-GB" w:eastAsia="en-US"/>
              </w:rPr>
              <w:t>(3)</w:t>
            </w:r>
          </w:p>
        </w:tc>
      </w:tr>
    </w:tbl>
    <w:p w14:paraId="133F926B" w14:textId="77777777" w:rsidR="008A5B47" w:rsidRPr="00393250" w:rsidRDefault="008A5B47" w:rsidP="008A5B47">
      <w:pPr>
        <w:spacing w:before="120" w:after="120" w:line="360" w:lineRule="auto"/>
        <w:ind w:left="1416" w:hanging="566"/>
        <w:rPr>
          <w:szCs w:val="24"/>
          <w:lang w:val="en-GB" w:eastAsia="en-US"/>
        </w:rPr>
      </w:pPr>
      <w:r w:rsidRPr="00393250">
        <w:rPr>
          <w:szCs w:val="24"/>
          <w:vertAlign w:val="superscript"/>
          <w:lang w:val="en-GB" w:eastAsia="en-US"/>
        </w:rPr>
        <w:t>(1)</w:t>
      </w:r>
      <w:r w:rsidRPr="00393250">
        <w:rPr>
          <w:szCs w:val="24"/>
          <w:lang w:val="en-GB" w:eastAsia="en-US"/>
        </w:rPr>
        <w:tab/>
        <w:t>CAS: Chemical Abstracts Service</w:t>
      </w:r>
    </w:p>
    <w:p w14:paraId="08E0CEE4"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(2)</w:t>
      </w:r>
      <w:r w:rsidRPr="00393250">
        <w:rPr>
          <w:szCs w:val="24"/>
          <w:lang w:eastAsia="en-US"/>
        </w:rPr>
        <w:tab/>
        <w:t>EU-nummer: Den Europæiske Fortegnelse over Markedsførte Kemiske Stoffer (Einecs) eller Den Europæiske Liste over Anmeldte Kemiske Stoffer (Elincs).</w:t>
      </w:r>
    </w:p>
    <w:p w14:paraId="336DC743" w14:textId="0588A7D4"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(3)</w:t>
      </w:r>
      <w:r w:rsidRPr="00393250">
        <w:rPr>
          <w:szCs w:val="24"/>
          <w:lang w:eastAsia="en-US"/>
        </w:rPr>
        <w:tab/>
        <w:t>"I alt": summen af koncentrationerne af trichlorethylen og tetrachlorethylen.</w:t>
      </w:r>
      <w:r w:rsidR="00B551B3" w:rsidRPr="00393250">
        <w:rPr>
          <w:szCs w:val="24"/>
          <w:lang w:eastAsia="en-US"/>
        </w:rPr>
        <w:t>"</w:t>
      </w:r>
    </w:p>
    <w:p w14:paraId="1582254B" w14:textId="77777777" w:rsidR="008A5B47" w:rsidRPr="00393250" w:rsidRDefault="008A5B47" w:rsidP="008A5B47">
      <w:pPr>
        <w:spacing w:before="120" w:after="120" w:line="360" w:lineRule="auto"/>
        <w:rPr>
          <w:szCs w:val="24"/>
          <w:lang w:eastAsia="en-US"/>
        </w:rPr>
        <w:sectPr w:rsidR="008A5B47" w:rsidRPr="00393250" w:rsidSect="00EC1622">
          <w:footnotePr>
            <w:numRestart w:val="eachSect"/>
          </w:footnotePr>
          <w:endnotePr>
            <w:numFmt w:val="decimal"/>
          </w:endnotePr>
          <w:pgSz w:w="16834" w:h="11909" w:orient="landscape"/>
          <w:pgMar w:top="1417" w:right="1134" w:bottom="1417" w:left="1417" w:header="1134" w:footer="567" w:gutter="0"/>
          <w:cols w:space="720"/>
          <w:docGrid w:linePitch="326"/>
        </w:sectPr>
      </w:pPr>
    </w:p>
    <w:p w14:paraId="12E3F46D" w14:textId="6F4A9CE5" w:rsidR="008A5B47" w:rsidRPr="00393250" w:rsidRDefault="00B551B3" w:rsidP="00B551B3">
      <w:pPr>
        <w:spacing w:after="120" w:line="360" w:lineRule="auto"/>
        <w:jc w:val="center"/>
        <w:rPr>
          <w:lang w:eastAsia="en-US"/>
        </w:rPr>
      </w:pPr>
      <w:r w:rsidRPr="00393250">
        <w:rPr>
          <w:lang w:eastAsia="en-US"/>
        </w:rPr>
        <w:t>Bilag</w:t>
      </w:r>
      <w:r w:rsidR="008A5B47" w:rsidRPr="00393250">
        <w:rPr>
          <w:lang w:eastAsia="en-US"/>
        </w:rPr>
        <w:t xml:space="preserve"> V</w:t>
      </w:r>
    </w:p>
    <w:p w14:paraId="4E24BCBC" w14:textId="77777777" w:rsidR="008A5B47" w:rsidRPr="00393250" w:rsidRDefault="008A5B47" w:rsidP="008A5B47">
      <w:pPr>
        <w:spacing w:before="120" w:after="120" w:line="360" w:lineRule="auto"/>
        <w:rPr>
          <w:szCs w:val="24"/>
          <w:lang w:eastAsia="en-US"/>
        </w:rPr>
      </w:pPr>
      <w:r w:rsidRPr="00393250">
        <w:rPr>
          <w:szCs w:val="24"/>
          <w:lang w:eastAsia="en-US"/>
        </w:rPr>
        <w:t>Bilag I til direktiv 2008/105/EF ændres således:</w:t>
      </w:r>
    </w:p>
    <w:p w14:paraId="7269488B"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(1)</w:t>
      </w:r>
      <w:r w:rsidRPr="00393250">
        <w:rPr>
          <w:szCs w:val="24"/>
          <w:lang w:eastAsia="en-US"/>
        </w:rPr>
        <w:tab/>
        <w:t>Titlen affattes således:</w:t>
      </w:r>
    </w:p>
    <w:p w14:paraId="4C10EAF1" w14:textId="77777777" w:rsidR="008A5B47" w:rsidRPr="00393250" w:rsidRDefault="008A5B47" w:rsidP="008A5B47">
      <w:pPr>
        <w:spacing w:before="120" w:after="120" w:line="360" w:lineRule="auto"/>
        <w:ind w:left="850"/>
        <w:rPr>
          <w:szCs w:val="24"/>
          <w:lang w:eastAsia="en-US"/>
        </w:rPr>
      </w:pPr>
      <w:r w:rsidRPr="00393250">
        <w:rPr>
          <w:szCs w:val="24"/>
          <w:lang w:eastAsia="en-US"/>
        </w:rPr>
        <w:t>"MILJØKVALITETSKRAV FOR PRIORITEREDE STOFFER I OVERFLADEVAND"</w:t>
      </w:r>
    </w:p>
    <w:p w14:paraId="4011EF80" w14:textId="77777777" w:rsidR="008A5B47" w:rsidRPr="00393250" w:rsidRDefault="008A5B47" w:rsidP="008A5B47">
      <w:pPr>
        <w:spacing w:before="120" w:after="120" w:line="360" w:lineRule="auto"/>
        <w:ind w:left="850" w:hanging="850"/>
        <w:rPr>
          <w:szCs w:val="24"/>
          <w:lang w:eastAsia="en-US"/>
        </w:rPr>
      </w:pPr>
      <w:r w:rsidRPr="00393250">
        <w:rPr>
          <w:szCs w:val="24"/>
          <w:lang w:eastAsia="en-US"/>
        </w:rPr>
        <w:t>(2)</w:t>
      </w:r>
      <w:r w:rsidRPr="00393250">
        <w:rPr>
          <w:szCs w:val="24"/>
          <w:lang w:eastAsia="en-US"/>
        </w:rPr>
        <w:tab/>
        <w:t>Del A affattes således:</w:t>
      </w:r>
    </w:p>
    <w:p w14:paraId="0B1DD413" w14:textId="77777777" w:rsidR="008A5B47" w:rsidRPr="00393250" w:rsidRDefault="008A5B47" w:rsidP="008A5B47">
      <w:pPr>
        <w:spacing w:before="120" w:after="120" w:line="360" w:lineRule="auto"/>
        <w:ind w:left="850"/>
        <w:rPr>
          <w:szCs w:val="24"/>
          <w:lang w:eastAsia="en-US"/>
        </w:rPr>
      </w:pPr>
      <w:r w:rsidRPr="00393250">
        <w:rPr>
          <w:szCs w:val="24"/>
          <w:lang w:eastAsia="en-US"/>
        </w:rPr>
        <w:t>"DEL A: MILJØKVALITETSKRAV (EQS)</w:t>
      </w:r>
    </w:p>
    <w:p w14:paraId="125D96D3" w14:textId="77777777" w:rsidR="008A5B47" w:rsidRPr="00393250" w:rsidRDefault="008A5B47" w:rsidP="00B551B3">
      <w:pPr>
        <w:spacing w:before="120" w:line="360" w:lineRule="auto"/>
        <w:ind w:left="851"/>
        <w:rPr>
          <w:szCs w:val="24"/>
          <w:lang w:eastAsia="en-US"/>
        </w:rPr>
      </w:pPr>
      <w:r w:rsidRPr="00393250">
        <w:rPr>
          <w:szCs w:val="24"/>
          <w:lang w:eastAsia="en-US"/>
        </w:rPr>
        <w:t>Bemærkning 1: Hvis et miljøkvalitetskrav (EQS) er anført i [], skal denne værdi bekræftes i lyset af den udtalelse, som Den Videnskabelige Komité for Sundheds- og Miljørisici og Nye Risici har anmodet om.</w:t>
      </w:r>
    </w:p>
    <w:tbl>
      <w:tblPr>
        <w:tblW w:w="16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4"/>
        <w:gridCol w:w="2079"/>
        <w:gridCol w:w="24"/>
        <w:gridCol w:w="1157"/>
        <w:gridCol w:w="172"/>
        <w:gridCol w:w="962"/>
        <w:gridCol w:w="30"/>
        <w:gridCol w:w="1134"/>
        <w:gridCol w:w="71"/>
        <w:gridCol w:w="1208"/>
        <w:gridCol w:w="49"/>
        <w:gridCol w:w="1230"/>
        <w:gridCol w:w="121"/>
        <w:gridCol w:w="1157"/>
        <w:gridCol w:w="89"/>
        <w:gridCol w:w="1188"/>
        <w:gridCol w:w="49"/>
        <w:gridCol w:w="1087"/>
        <w:gridCol w:w="1262"/>
        <w:gridCol w:w="1153"/>
        <w:gridCol w:w="970"/>
      </w:tblGrid>
      <w:tr w:rsidR="00B551B3" w:rsidRPr="00393250" w14:paraId="6D78610C" w14:textId="77777777" w:rsidTr="00B551B3">
        <w:trPr>
          <w:trHeight w:val="309"/>
          <w:tblHeader/>
          <w:jc w:val="center"/>
        </w:trPr>
        <w:tc>
          <w:tcPr>
            <w:tcW w:w="834" w:type="dxa"/>
            <w:tcMar>
              <w:left w:w="28" w:type="dxa"/>
              <w:right w:w="28" w:type="dxa"/>
            </w:tcMar>
          </w:tcPr>
          <w:p w14:paraId="3F830CD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w:t>
            </w:r>
          </w:p>
        </w:tc>
        <w:tc>
          <w:tcPr>
            <w:tcW w:w="2079" w:type="dxa"/>
            <w:tcMar>
              <w:left w:w="28" w:type="dxa"/>
              <w:right w:w="28" w:type="dxa"/>
            </w:tcMar>
          </w:tcPr>
          <w:p w14:paraId="2190979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w:t>
            </w:r>
          </w:p>
        </w:tc>
        <w:tc>
          <w:tcPr>
            <w:tcW w:w="1181" w:type="dxa"/>
            <w:gridSpan w:val="2"/>
            <w:tcMar>
              <w:left w:w="28" w:type="dxa"/>
              <w:right w:w="28" w:type="dxa"/>
            </w:tcMar>
          </w:tcPr>
          <w:p w14:paraId="4314E6A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(3)</w:t>
            </w:r>
          </w:p>
        </w:tc>
        <w:tc>
          <w:tcPr>
            <w:tcW w:w="1134" w:type="dxa"/>
            <w:gridSpan w:val="2"/>
            <w:tcMar>
              <w:left w:w="28" w:type="dxa"/>
              <w:right w:w="28" w:type="dxa"/>
            </w:tcMar>
          </w:tcPr>
          <w:p w14:paraId="13E2851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(4)</w:t>
            </w:r>
          </w:p>
        </w:tc>
        <w:tc>
          <w:tcPr>
            <w:tcW w:w="1235" w:type="dxa"/>
            <w:gridSpan w:val="3"/>
          </w:tcPr>
          <w:p w14:paraId="7418A21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(5)</w:t>
            </w:r>
          </w:p>
        </w:tc>
        <w:tc>
          <w:tcPr>
            <w:tcW w:w="1257" w:type="dxa"/>
            <w:gridSpan w:val="2"/>
            <w:tcMar>
              <w:left w:w="28" w:type="dxa"/>
              <w:right w:w="28" w:type="dxa"/>
            </w:tcMar>
          </w:tcPr>
          <w:p w14:paraId="700E306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(6)</w:t>
            </w:r>
          </w:p>
        </w:tc>
        <w:tc>
          <w:tcPr>
            <w:tcW w:w="1351" w:type="dxa"/>
            <w:gridSpan w:val="2"/>
            <w:tcMar>
              <w:left w:w="28" w:type="dxa"/>
              <w:right w:w="28" w:type="dxa"/>
            </w:tcMar>
          </w:tcPr>
          <w:p w14:paraId="6B64C61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(7)</w:t>
            </w:r>
          </w:p>
        </w:tc>
        <w:tc>
          <w:tcPr>
            <w:tcW w:w="1246" w:type="dxa"/>
            <w:gridSpan w:val="2"/>
            <w:tcMar>
              <w:left w:w="28" w:type="dxa"/>
              <w:right w:w="28" w:type="dxa"/>
            </w:tcMar>
          </w:tcPr>
          <w:p w14:paraId="14109AB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(8)</w:t>
            </w:r>
          </w:p>
        </w:tc>
        <w:tc>
          <w:tcPr>
            <w:tcW w:w="1237" w:type="dxa"/>
            <w:gridSpan w:val="2"/>
            <w:tcMar>
              <w:left w:w="28" w:type="dxa"/>
              <w:right w:w="28" w:type="dxa"/>
            </w:tcMar>
          </w:tcPr>
          <w:p w14:paraId="5C0BBB5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(9)</w:t>
            </w:r>
          </w:p>
        </w:tc>
        <w:tc>
          <w:tcPr>
            <w:tcW w:w="1087" w:type="dxa"/>
            <w:tcMar>
              <w:left w:w="28" w:type="dxa"/>
              <w:right w:w="28" w:type="dxa"/>
            </w:tcMar>
          </w:tcPr>
          <w:p w14:paraId="491ECB2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(10)</w:t>
            </w:r>
          </w:p>
        </w:tc>
        <w:tc>
          <w:tcPr>
            <w:tcW w:w="1262" w:type="dxa"/>
            <w:tcMar>
              <w:left w:w="28" w:type="dxa"/>
              <w:right w:w="28" w:type="dxa"/>
            </w:tcMar>
          </w:tcPr>
          <w:p w14:paraId="3D655DA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(11)</w:t>
            </w:r>
          </w:p>
        </w:tc>
        <w:tc>
          <w:tcPr>
            <w:tcW w:w="1153" w:type="dxa"/>
            <w:tcMar>
              <w:left w:w="28" w:type="dxa"/>
              <w:right w:w="28" w:type="dxa"/>
            </w:tcMar>
          </w:tcPr>
          <w:p w14:paraId="74C5D2F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(12)</w:t>
            </w:r>
          </w:p>
        </w:tc>
        <w:tc>
          <w:tcPr>
            <w:tcW w:w="970" w:type="dxa"/>
            <w:tcMar>
              <w:left w:w="28" w:type="dxa"/>
              <w:right w:w="28" w:type="dxa"/>
            </w:tcMar>
          </w:tcPr>
          <w:p w14:paraId="643C042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(13)</w:t>
            </w:r>
          </w:p>
        </w:tc>
      </w:tr>
      <w:tr w:rsidR="00B551B3" w:rsidRPr="00393250" w14:paraId="394C572F" w14:textId="77777777" w:rsidTr="00B551B3">
        <w:trPr>
          <w:trHeight w:val="1020"/>
          <w:tblHeader/>
          <w:jc w:val="center"/>
        </w:trPr>
        <w:tc>
          <w:tcPr>
            <w:tcW w:w="834" w:type="dxa"/>
            <w:tcMar>
              <w:left w:w="28" w:type="dxa"/>
              <w:right w:w="28" w:type="dxa"/>
            </w:tcMar>
          </w:tcPr>
          <w:p w14:paraId="3E30067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Nr.</w:t>
            </w:r>
          </w:p>
        </w:tc>
        <w:tc>
          <w:tcPr>
            <w:tcW w:w="2079" w:type="dxa"/>
            <w:tcMar>
              <w:left w:w="28" w:type="dxa"/>
              <w:right w:w="28" w:type="dxa"/>
            </w:tcMar>
          </w:tcPr>
          <w:p w14:paraId="5375D07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Stoffets navn</w:t>
            </w:r>
          </w:p>
        </w:tc>
        <w:tc>
          <w:tcPr>
            <w:tcW w:w="1181" w:type="dxa"/>
            <w:gridSpan w:val="2"/>
            <w:shd w:val="clear" w:color="auto" w:fill="auto"/>
            <w:tcMar>
              <w:left w:w="28" w:type="dxa"/>
              <w:right w:w="28" w:type="dxa"/>
            </w:tcMar>
          </w:tcPr>
          <w:p w14:paraId="69CA292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Kategori af stoffer</w:t>
            </w:r>
          </w:p>
        </w:tc>
        <w:tc>
          <w:tcPr>
            <w:tcW w:w="1134" w:type="dxa"/>
            <w:gridSpan w:val="2"/>
            <w:tcMar>
              <w:left w:w="28" w:type="dxa"/>
              <w:right w:w="28" w:type="dxa"/>
            </w:tcMar>
          </w:tcPr>
          <w:p w14:paraId="0B99E6E2" w14:textId="77777777" w:rsidR="00B551B3" w:rsidRPr="00393250" w:rsidRDefault="00B551B3" w:rsidP="00B551B3">
            <w:pPr>
              <w:widowControl/>
              <w:spacing w:before="40" w:after="40"/>
              <w:rPr>
                <w:rFonts w:eastAsia="Calibri"/>
                <w:noProof/>
                <w:sz w:val="22"/>
                <w:szCs w:val="22"/>
                <w:vertAlign w:val="superscript"/>
                <w:lang w:eastAsia="en-US"/>
              </w:rPr>
            </w:pPr>
            <w:r w:rsidRPr="00393250">
              <w:rPr>
                <w:rFonts w:eastAsia="Calibri"/>
                <w:noProof/>
                <w:sz w:val="22"/>
                <w:szCs w:val="22"/>
                <w:lang w:eastAsia="en-US"/>
              </w:rPr>
              <w:t>CAS-nummer (</w:t>
            </w:r>
            <w:r w:rsidRPr="00393250">
              <w:rPr>
                <w:rFonts w:eastAsia="Calibri"/>
                <w:noProof/>
                <w:sz w:val="22"/>
                <w:szCs w:val="22"/>
                <w:vertAlign w:val="superscript"/>
                <w:lang w:eastAsia="en-US"/>
              </w:rPr>
              <w:t>1</w:t>
            </w:r>
            <w:r w:rsidRPr="00393250">
              <w:rPr>
                <w:rFonts w:eastAsia="Calibri"/>
                <w:noProof/>
                <w:sz w:val="22"/>
                <w:szCs w:val="22"/>
                <w:lang w:eastAsia="en-US"/>
              </w:rPr>
              <w:t>)</w:t>
            </w:r>
            <w:bookmarkStart w:id="9" w:name="_DV_M292"/>
            <w:bookmarkEnd w:id="9"/>
          </w:p>
        </w:tc>
        <w:tc>
          <w:tcPr>
            <w:tcW w:w="1235" w:type="dxa"/>
            <w:gridSpan w:val="3"/>
          </w:tcPr>
          <w:p w14:paraId="2A3B2F8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EU-nummer (</w:t>
            </w:r>
            <w:r w:rsidRPr="00393250">
              <w:rPr>
                <w:rFonts w:eastAsia="Calibri"/>
                <w:noProof/>
                <w:sz w:val="22"/>
                <w:szCs w:val="22"/>
                <w:vertAlign w:val="superscript"/>
                <w:lang w:eastAsia="en-US"/>
              </w:rPr>
              <w:t>2</w:t>
            </w:r>
            <w:r w:rsidRPr="00393250">
              <w:rPr>
                <w:rFonts w:eastAsia="Calibri"/>
                <w:noProof/>
                <w:sz w:val="22"/>
                <w:szCs w:val="22"/>
                <w:lang w:eastAsia="en-US"/>
              </w:rPr>
              <w:t>)</w:t>
            </w:r>
          </w:p>
        </w:tc>
        <w:tc>
          <w:tcPr>
            <w:tcW w:w="1257" w:type="dxa"/>
            <w:gridSpan w:val="2"/>
            <w:tcMar>
              <w:left w:w="28" w:type="dxa"/>
              <w:right w:w="28" w:type="dxa"/>
            </w:tcMar>
          </w:tcPr>
          <w:p w14:paraId="3B9B86E4" w14:textId="77777777" w:rsidR="00B551B3" w:rsidRPr="00393250" w:rsidRDefault="00B551B3" w:rsidP="00B551B3">
            <w:pPr>
              <w:widowControl/>
              <w:spacing w:before="40" w:after="40"/>
              <w:rPr>
                <w:rFonts w:eastAsia="Calibri"/>
                <w:noProof/>
                <w:sz w:val="22"/>
                <w:szCs w:val="22"/>
                <w:vertAlign w:val="superscript"/>
                <w:lang w:eastAsia="en-US"/>
              </w:rPr>
            </w:pPr>
            <w:bookmarkStart w:id="10" w:name="_Hlk115349616"/>
            <w:bookmarkStart w:id="11" w:name="_Hlk115803578"/>
            <w:r w:rsidRPr="00393250">
              <w:rPr>
                <w:rFonts w:eastAsia="Calibri"/>
                <w:noProof/>
                <w:sz w:val="22"/>
                <w:szCs w:val="22"/>
                <w:lang w:eastAsia="en-US"/>
              </w:rPr>
              <w:t xml:space="preserve">AA-EQS </w:t>
            </w:r>
            <w:bookmarkEnd w:id="10"/>
            <w:r w:rsidRPr="00393250">
              <w:rPr>
                <w:rFonts w:eastAsia="Calibri"/>
                <w:noProof/>
                <w:sz w:val="22"/>
                <w:szCs w:val="22"/>
                <w:lang w:eastAsia="en-US"/>
              </w:rPr>
              <w:t>(</w:t>
            </w:r>
            <w:r w:rsidRPr="00393250">
              <w:rPr>
                <w:rFonts w:eastAsia="Calibri"/>
                <w:noProof/>
                <w:sz w:val="22"/>
                <w:szCs w:val="22"/>
                <w:vertAlign w:val="superscript"/>
                <w:lang w:eastAsia="en-US"/>
              </w:rPr>
              <w:t>3</w:t>
            </w:r>
            <w:r w:rsidRPr="00393250">
              <w:rPr>
                <w:rFonts w:eastAsia="Calibri"/>
                <w:noProof/>
                <w:sz w:val="22"/>
                <w:szCs w:val="22"/>
                <w:lang w:eastAsia="en-US"/>
              </w:rPr>
              <w:t xml:space="preserve">) </w:t>
            </w:r>
            <w:bookmarkStart w:id="12" w:name="_DV_M293"/>
            <w:bookmarkEnd w:id="12"/>
            <w:r w:rsidRPr="00393250">
              <w:rPr>
                <w:rFonts w:eastAsia="Calibri"/>
                <w:noProof/>
                <w:sz w:val="22"/>
                <w:szCs w:val="22"/>
                <w:lang w:eastAsia="en-US"/>
              </w:rPr>
              <w:t xml:space="preserve">Indvand </w:t>
            </w:r>
            <w:bookmarkEnd w:id="11"/>
            <w:r w:rsidRPr="00393250">
              <w:rPr>
                <w:rFonts w:eastAsia="Calibri"/>
                <w:noProof/>
                <w:sz w:val="22"/>
                <w:szCs w:val="22"/>
                <w:lang w:eastAsia="en-US"/>
              </w:rPr>
              <w:t>(</w:t>
            </w:r>
            <w:r w:rsidRPr="00393250">
              <w:rPr>
                <w:rFonts w:eastAsia="Calibri"/>
                <w:noProof/>
                <w:sz w:val="22"/>
                <w:szCs w:val="22"/>
                <w:vertAlign w:val="superscript"/>
                <w:lang w:eastAsia="en-US"/>
              </w:rPr>
              <w:t>4</w:t>
            </w:r>
            <w:r w:rsidRPr="00393250">
              <w:rPr>
                <w:rFonts w:eastAsia="Calibri"/>
                <w:noProof/>
                <w:sz w:val="22"/>
                <w:szCs w:val="22"/>
                <w:lang w:eastAsia="en-US"/>
              </w:rPr>
              <w:t>)</w:t>
            </w:r>
            <w:bookmarkStart w:id="13" w:name="_DV_M294"/>
            <w:bookmarkEnd w:id="13"/>
          </w:p>
          <w:p w14:paraId="5892B6C9" w14:textId="77777777" w:rsidR="00B551B3" w:rsidRPr="00393250" w:rsidRDefault="00B551B3" w:rsidP="00B551B3">
            <w:pPr>
              <w:widowControl/>
              <w:spacing w:before="40" w:after="40"/>
              <w:rPr>
                <w:rFonts w:eastAsia="Calibri"/>
                <w:noProof/>
                <w:sz w:val="22"/>
                <w:szCs w:val="22"/>
                <w:lang w:eastAsia="en-US"/>
              </w:rPr>
            </w:pPr>
          </w:p>
          <w:p w14:paraId="0F7B34A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[µg/l]</w:t>
            </w:r>
          </w:p>
        </w:tc>
        <w:tc>
          <w:tcPr>
            <w:tcW w:w="1351" w:type="dxa"/>
            <w:gridSpan w:val="2"/>
            <w:tcMar>
              <w:left w:w="28" w:type="dxa"/>
              <w:right w:w="28" w:type="dxa"/>
            </w:tcMar>
          </w:tcPr>
          <w:p w14:paraId="04A0D42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AA-EQS</w:t>
            </w:r>
            <w:bookmarkStart w:id="14" w:name="_DV_M295"/>
            <w:bookmarkEnd w:id="14"/>
            <w:r w:rsidRPr="00393250">
              <w:rPr>
                <w:rFonts w:eastAsia="Calibri"/>
                <w:noProof/>
                <w:sz w:val="22"/>
                <w:szCs w:val="22"/>
                <w:lang w:eastAsia="en-US"/>
              </w:rPr>
              <w:t xml:space="preserve"> (</w:t>
            </w:r>
            <w:r w:rsidRPr="00393250">
              <w:rPr>
                <w:rFonts w:eastAsia="Calibri"/>
                <w:noProof/>
                <w:sz w:val="22"/>
                <w:szCs w:val="22"/>
                <w:vertAlign w:val="superscript"/>
                <w:lang w:eastAsia="en-US"/>
              </w:rPr>
              <w:t>3</w:t>
            </w:r>
            <w:r w:rsidRPr="00393250">
              <w:rPr>
                <w:rFonts w:eastAsia="Calibri"/>
                <w:noProof/>
                <w:sz w:val="22"/>
                <w:szCs w:val="22"/>
                <w:lang w:eastAsia="en-US"/>
              </w:rPr>
              <w:t>)</w:t>
            </w:r>
          </w:p>
          <w:p w14:paraId="28F68C1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Andet overfladevand</w:t>
            </w:r>
          </w:p>
          <w:p w14:paraId="15693E9A" w14:textId="77777777" w:rsidR="00B551B3" w:rsidRPr="00393250" w:rsidRDefault="00B551B3" w:rsidP="00B551B3">
            <w:pPr>
              <w:widowControl/>
              <w:spacing w:before="40" w:after="40"/>
              <w:rPr>
                <w:rFonts w:eastAsia="Calibri"/>
                <w:noProof/>
                <w:sz w:val="22"/>
                <w:szCs w:val="22"/>
                <w:lang w:eastAsia="en-US"/>
              </w:rPr>
            </w:pPr>
          </w:p>
          <w:p w14:paraId="0193512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[µg/l]</w:t>
            </w:r>
          </w:p>
        </w:tc>
        <w:tc>
          <w:tcPr>
            <w:tcW w:w="1246" w:type="dxa"/>
            <w:gridSpan w:val="2"/>
            <w:tcMar>
              <w:left w:w="28" w:type="dxa"/>
              <w:right w:w="28" w:type="dxa"/>
            </w:tcMar>
          </w:tcPr>
          <w:p w14:paraId="0B9DB372" w14:textId="77777777" w:rsidR="00B551B3" w:rsidRPr="00393250" w:rsidRDefault="00B551B3" w:rsidP="00B551B3">
            <w:pPr>
              <w:widowControl/>
              <w:spacing w:before="40" w:after="40"/>
              <w:rPr>
                <w:rFonts w:eastAsia="Calibri"/>
                <w:noProof/>
                <w:sz w:val="22"/>
                <w:szCs w:val="22"/>
                <w:lang w:eastAsia="en-US"/>
              </w:rPr>
            </w:pPr>
            <w:bookmarkStart w:id="15" w:name="_Hlk115349625"/>
            <w:r w:rsidRPr="00393250">
              <w:rPr>
                <w:rFonts w:eastAsia="Calibri"/>
                <w:noProof/>
                <w:sz w:val="22"/>
                <w:szCs w:val="22"/>
                <w:lang w:eastAsia="en-US"/>
              </w:rPr>
              <w:t xml:space="preserve">MAC-EQS </w:t>
            </w:r>
            <w:bookmarkEnd w:id="15"/>
            <w:r w:rsidRPr="00393250">
              <w:rPr>
                <w:rFonts w:eastAsia="Calibri"/>
                <w:noProof/>
                <w:sz w:val="22"/>
                <w:szCs w:val="22"/>
                <w:lang w:eastAsia="en-US"/>
              </w:rPr>
              <w:t>(</w:t>
            </w:r>
            <w:r w:rsidRPr="00393250">
              <w:rPr>
                <w:rFonts w:eastAsia="Calibri"/>
                <w:noProof/>
                <w:sz w:val="22"/>
                <w:szCs w:val="22"/>
                <w:vertAlign w:val="superscript"/>
                <w:lang w:eastAsia="en-US"/>
              </w:rPr>
              <w:t>5</w:t>
            </w:r>
            <w:r w:rsidRPr="00393250">
              <w:rPr>
                <w:rFonts w:eastAsia="Calibri"/>
                <w:noProof/>
                <w:sz w:val="22"/>
                <w:szCs w:val="22"/>
                <w:lang w:eastAsia="en-US"/>
              </w:rPr>
              <w:t>)</w:t>
            </w:r>
            <w:bookmarkStart w:id="16" w:name="_DV_M296"/>
            <w:bookmarkEnd w:id="16"/>
          </w:p>
          <w:p w14:paraId="3BF9C135" w14:textId="77777777" w:rsidR="00B551B3" w:rsidRPr="00393250" w:rsidRDefault="00B551B3" w:rsidP="00B551B3">
            <w:pPr>
              <w:widowControl/>
              <w:spacing w:before="40" w:after="40"/>
              <w:rPr>
                <w:rFonts w:eastAsia="Calibri"/>
                <w:noProof/>
                <w:sz w:val="22"/>
                <w:szCs w:val="22"/>
                <w:vertAlign w:val="superscript"/>
                <w:lang w:eastAsia="en-US"/>
              </w:rPr>
            </w:pPr>
            <w:r w:rsidRPr="00393250">
              <w:rPr>
                <w:rFonts w:eastAsia="Calibri"/>
                <w:noProof/>
                <w:szCs w:val="22"/>
                <w:lang w:eastAsia="en-US"/>
              </w:rPr>
              <w:t xml:space="preserve">Indvand </w:t>
            </w:r>
            <w:bookmarkStart w:id="17" w:name="_DV_M297"/>
            <w:bookmarkEnd w:id="17"/>
            <w:r w:rsidRPr="00393250">
              <w:rPr>
                <w:rFonts w:eastAsia="Calibri"/>
                <w:noProof/>
                <w:sz w:val="22"/>
                <w:szCs w:val="22"/>
                <w:lang w:eastAsia="en-US"/>
              </w:rPr>
              <w:t>(</w:t>
            </w:r>
            <w:r w:rsidRPr="00393250">
              <w:rPr>
                <w:rFonts w:eastAsia="Calibri"/>
                <w:noProof/>
                <w:sz w:val="22"/>
                <w:szCs w:val="22"/>
                <w:vertAlign w:val="superscript"/>
                <w:lang w:eastAsia="en-US"/>
              </w:rPr>
              <w:t>4</w:t>
            </w:r>
            <w:r w:rsidRPr="00393250">
              <w:rPr>
                <w:rFonts w:eastAsia="Calibri"/>
                <w:noProof/>
                <w:sz w:val="22"/>
                <w:szCs w:val="22"/>
                <w:lang w:eastAsia="en-US"/>
              </w:rPr>
              <w:t>)</w:t>
            </w:r>
          </w:p>
          <w:p w14:paraId="7775D459" w14:textId="77777777" w:rsidR="00B551B3" w:rsidRPr="00393250" w:rsidRDefault="00B551B3" w:rsidP="00B551B3">
            <w:pPr>
              <w:widowControl/>
              <w:spacing w:before="40" w:after="40"/>
              <w:rPr>
                <w:rFonts w:eastAsia="Calibri"/>
                <w:noProof/>
                <w:sz w:val="22"/>
                <w:szCs w:val="22"/>
                <w:lang w:eastAsia="en-US"/>
              </w:rPr>
            </w:pPr>
          </w:p>
          <w:p w14:paraId="7E60446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[µg/l]</w:t>
            </w:r>
          </w:p>
        </w:tc>
        <w:tc>
          <w:tcPr>
            <w:tcW w:w="1237" w:type="dxa"/>
            <w:gridSpan w:val="2"/>
            <w:tcMar>
              <w:left w:w="28" w:type="dxa"/>
              <w:right w:w="28" w:type="dxa"/>
            </w:tcMar>
          </w:tcPr>
          <w:p w14:paraId="4E2E119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MAC-EQS (</w:t>
            </w:r>
            <w:r w:rsidRPr="00393250">
              <w:rPr>
                <w:rFonts w:eastAsia="Calibri"/>
                <w:noProof/>
                <w:sz w:val="22"/>
                <w:szCs w:val="22"/>
                <w:vertAlign w:val="superscript"/>
                <w:lang w:eastAsia="en-US"/>
              </w:rPr>
              <w:t>5</w:t>
            </w:r>
            <w:r w:rsidRPr="00393250">
              <w:rPr>
                <w:rFonts w:eastAsia="Calibri"/>
                <w:noProof/>
                <w:sz w:val="22"/>
                <w:szCs w:val="22"/>
                <w:lang w:eastAsia="en-US"/>
              </w:rPr>
              <w:t>)</w:t>
            </w:r>
            <w:bookmarkStart w:id="18" w:name="_DV_M298"/>
            <w:bookmarkEnd w:id="18"/>
          </w:p>
          <w:p w14:paraId="5865C1C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Andet overfladevand</w:t>
            </w:r>
          </w:p>
          <w:p w14:paraId="52C77C54" w14:textId="77777777" w:rsidR="00B551B3" w:rsidRPr="00393250" w:rsidRDefault="00B551B3" w:rsidP="00B551B3">
            <w:pPr>
              <w:widowControl/>
              <w:spacing w:before="40" w:after="40"/>
              <w:rPr>
                <w:rFonts w:eastAsia="Calibri"/>
                <w:noProof/>
                <w:sz w:val="22"/>
                <w:szCs w:val="22"/>
                <w:lang w:eastAsia="en-US"/>
              </w:rPr>
            </w:pPr>
          </w:p>
          <w:p w14:paraId="49F9939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[µg/l]</w:t>
            </w:r>
          </w:p>
        </w:tc>
        <w:tc>
          <w:tcPr>
            <w:tcW w:w="1087" w:type="dxa"/>
            <w:tcMar>
              <w:left w:w="28" w:type="dxa"/>
              <w:right w:w="28" w:type="dxa"/>
            </w:tcMar>
          </w:tcPr>
          <w:p w14:paraId="069F98A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EQS</w:t>
            </w:r>
          </w:p>
          <w:p w14:paraId="33AF996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 xml:space="preserve">Biota </w:t>
            </w:r>
            <w:bookmarkStart w:id="19" w:name="_DV_M299"/>
            <w:bookmarkEnd w:id="19"/>
            <w:r w:rsidRPr="00393250">
              <w:rPr>
                <w:rFonts w:eastAsia="Calibri"/>
                <w:noProof/>
                <w:sz w:val="22"/>
                <w:szCs w:val="22"/>
                <w:lang w:eastAsia="en-US"/>
              </w:rPr>
              <w:t>(</w:t>
            </w:r>
            <w:r w:rsidRPr="00393250">
              <w:rPr>
                <w:rFonts w:eastAsia="Calibri"/>
                <w:noProof/>
                <w:sz w:val="22"/>
                <w:szCs w:val="22"/>
                <w:vertAlign w:val="superscript"/>
                <w:lang w:eastAsia="en-US"/>
              </w:rPr>
              <w:t>6</w:t>
            </w:r>
            <w:r w:rsidRPr="00393250">
              <w:rPr>
                <w:rFonts w:eastAsia="Calibri"/>
                <w:noProof/>
                <w:sz w:val="22"/>
                <w:szCs w:val="22"/>
                <w:lang w:eastAsia="en-US"/>
              </w:rPr>
              <w:t>)</w:t>
            </w:r>
          </w:p>
          <w:p w14:paraId="729DE03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 xml:space="preserve">[µg/kg våd vægt] </w:t>
            </w:r>
          </w:p>
          <w:p w14:paraId="2DB03E6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eller EQS Sediment [µg/kg tør vægt], hvis dette er angivet</w:t>
            </w:r>
          </w:p>
        </w:tc>
        <w:tc>
          <w:tcPr>
            <w:tcW w:w="1262" w:type="dxa"/>
            <w:tcMar>
              <w:left w:w="28" w:type="dxa"/>
              <w:right w:w="28" w:type="dxa"/>
            </w:tcMar>
          </w:tcPr>
          <w:p w14:paraId="5D55EE5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 xml:space="preserve">Identificeret som et prioriteret farligt stof </w:t>
            </w:r>
          </w:p>
        </w:tc>
        <w:tc>
          <w:tcPr>
            <w:tcW w:w="1153" w:type="dxa"/>
            <w:tcMar>
              <w:left w:w="28" w:type="dxa"/>
              <w:right w:w="28" w:type="dxa"/>
            </w:tcMar>
          </w:tcPr>
          <w:p w14:paraId="44A4ACE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Identificeret som et allestedsnærværende persistent, bioakkumulerende og toksisk (uPBT) stof</w:t>
            </w:r>
          </w:p>
        </w:tc>
        <w:tc>
          <w:tcPr>
            <w:tcW w:w="970" w:type="dxa"/>
            <w:tcMar>
              <w:left w:w="28" w:type="dxa"/>
              <w:right w:w="28" w:type="dxa"/>
            </w:tcMar>
          </w:tcPr>
          <w:p w14:paraId="7C8945E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 xml:space="preserve">Identificeret som et stof, der har tendens til at blive akkumuleret i sediment og/eller biota </w:t>
            </w:r>
          </w:p>
        </w:tc>
      </w:tr>
      <w:tr w:rsidR="00B551B3" w:rsidRPr="00393250" w14:paraId="223469CB" w14:textId="77777777" w:rsidTr="00B551B3">
        <w:trPr>
          <w:tblHeader/>
          <w:jc w:val="center"/>
        </w:trPr>
        <w:tc>
          <w:tcPr>
            <w:tcW w:w="834" w:type="dxa"/>
            <w:tcMar>
              <w:left w:w="28" w:type="dxa"/>
              <w:right w:w="28" w:type="dxa"/>
            </w:tcMar>
          </w:tcPr>
          <w:p w14:paraId="40B98801"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(1)</w:t>
            </w:r>
          </w:p>
        </w:tc>
        <w:tc>
          <w:tcPr>
            <w:tcW w:w="15192" w:type="dxa"/>
            <w:gridSpan w:val="20"/>
            <w:tcMar>
              <w:left w:w="28" w:type="dxa"/>
              <w:right w:w="28" w:type="dxa"/>
            </w:tcMar>
          </w:tcPr>
          <w:p w14:paraId="28A377B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 xml:space="preserve">Stoffet alachlor er blevet flyttet til del C i bilag II </w:t>
            </w:r>
          </w:p>
        </w:tc>
      </w:tr>
      <w:tr w:rsidR="00B551B3" w:rsidRPr="00393250" w14:paraId="30DF7BA3" w14:textId="77777777" w:rsidTr="00B551B3">
        <w:trPr>
          <w:tblHeader/>
          <w:jc w:val="center"/>
        </w:trPr>
        <w:tc>
          <w:tcPr>
            <w:tcW w:w="834" w:type="dxa"/>
            <w:tcMar>
              <w:left w:w="28" w:type="dxa"/>
              <w:right w:w="28" w:type="dxa"/>
            </w:tcMar>
          </w:tcPr>
          <w:p w14:paraId="4FCB6112"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(2)</w:t>
            </w:r>
          </w:p>
        </w:tc>
        <w:tc>
          <w:tcPr>
            <w:tcW w:w="2103" w:type="dxa"/>
            <w:gridSpan w:val="2"/>
            <w:tcMar>
              <w:left w:w="28" w:type="dxa"/>
              <w:right w:w="28" w:type="dxa"/>
            </w:tcMar>
          </w:tcPr>
          <w:p w14:paraId="4857BE9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Anthracen</w:t>
            </w:r>
          </w:p>
        </w:tc>
        <w:tc>
          <w:tcPr>
            <w:tcW w:w="1329" w:type="dxa"/>
            <w:gridSpan w:val="2"/>
            <w:tcMar>
              <w:left w:w="28" w:type="dxa"/>
              <w:right w:w="28" w:type="dxa"/>
            </w:tcMar>
          </w:tcPr>
          <w:p w14:paraId="6937728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 xml:space="preserve">Industristoffer </w:t>
            </w:r>
          </w:p>
        </w:tc>
        <w:tc>
          <w:tcPr>
            <w:tcW w:w="992" w:type="dxa"/>
            <w:gridSpan w:val="2"/>
            <w:tcMar>
              <w:left w:w="28" w:type="dxa"/>
              <w:right w:w="28" w:type="dxa"/>
            </w:tcMar>
          </w:tcPr>
          <w:p w14:paraId="0F31B6C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120-12-7</w:t>
            </w:r>
          </w:p>
        </w:tc>
        <w:tc>
          <w:tcPr>
            <w:tcW w:w="1134" w:type="dxa"/>
          </w:tcPr>
          <w:p w14:paraId="013DD54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204-371-1</w:t>
            </w:r>
          </w:p>
        </w:tc>
        <w:tc>
          <w:tcPr>
            <w:tcW w:w="1279" w:type="dxa"/>
            <w:gridSpan w:val="2"/>
            <w:tcMar>
              <w:left w:w="28" w:type="dxa"/>
              <w:right w:w="28" w:type="dxa"/>
            </w:tcMar>
          </w:tcPr>
          <w:p w14:paraId="3C2C98C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0,1</w:t>
            </w:r>
          </w:p>
        </w:tc>
        <w:tc>
          <w:tcPr>
            <w:tcW w:w="1279" w:type="dxa"/>
            <w:gridSpan w:val="2"/>
            <w:tcMar>
              <w:left w:w="28" w:type="dxa"/>
              <w:right w:w="28" w:type="dxa"/>
            </w:tcMar>
          </w:tcPr>
          <w:p w14:paraId="15ECFD4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0,1</w:t>
            </w:r>
          </w:p>
        </w:tc>
        <w:tc>
          <w:tcPr>
            <w:tcW w:w="1278" w:type="dxa"/>
            <w:gridSpan w:val="2"/>
            <w:tcMar>
              <w:left w:w="28" w:type="dxa"/>
              <w:right w:w="28" w:type="dxa"/>
            </w:tcMar>
          </w:tcPr>
          <w:p w14:paraId="3FBD77F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0,1</w:t>
            </w:r>
          </w:p>
        </w:tc>
        <w:tc>
          <w:tcPr>
            <w:tcW w:w="1277" w:type="dxa"/>
            <w:gridSpan w:val="2"/>
            <w:tcMar>
              <w:left w:w="28" w:type="dxa"/>
              <w:right w:w="28" w:type="dxa"/>
            </w:tcMar>
          </w:tcPr>
          <w:p w14:paraId="62AF28A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0,1</w:t>
            </w:r>
          </w:p>
        </w:tc>
        <w:tc>
          <w:tcPr>
            <w:tcW w:w="1136" w:type="dxa"/>
            <w:gridSpan w:val="2"/>
            <w:tcMar>
              <w:left w:w="28" w:type="dxa"/>
              <w:right w:w="28" w:type="dxa"/>
            </w:tcMar>
          </w:tcPr>
          <w:p w14:paraId="74B748CF"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36712B9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1153" w:type="dxa"/>
            <w:tcMar>
              <w:left w:w="28" w:type="dxa"/>
              <w:right w:w="28" w:type="dxa"/>
            </w:tcMar>
          </w:tcPr>
          <w:p w14:paraId="2EA29D45"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2F78303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24C3835B" w14:textId="77777777" w:rsidTr="00B551B3">
        <w:trPr>
          <w:tblHeader/>
          <w:jc w:val="center"/>
        </w:trPr>
        <w:tc>
          <w:tcPr>
            <w:tcW w:w="834" w:type="dxa"/>
            <w:tcMar>
              <w:left w:w="28" w:type="dxa"/>
              <w:right w:w="28" w:type="dxa"/>
            </w:tcMar>
          </w:tcPr>
          <w:p w14:paraId="0896F023" w14:textId="2311630D" w:rsidR="00B551B3" w:rsidRPr="00393250" w:rsidRDefault="00B551B3" w:rsidP="00B551B3">
            <w:pPr>
              <w:widowControl/>
              <w:spacing w:before="40" w:after="40"/>
              <w:jc w:val="both"/>
              <w:rPr>
                <w:rFonts w:eastAsia="Calibri"/>
                <w:b/>
                <w:noProof/>
                <w:sz w:val="22"/>
                <w:szCs w:val="22"/>
                <w:lang w:eastAsia="en-US"/>
              </w:rPr>
            </w:pPr>
            <w:r w:rsidRPr="00393250">
              <w:rPr>
                <w:rFonts w:eastAsia="Calibri"/>
                <w:noProof/>
                <w:sz w:val="22"/>
                <w:szCs w:val="22"/>
                <w:lang w:eastAsia="en-US"/>
              </w:rPr>
              <w:t>(3)</w:t>
            </w:r>
            <w:r w:rsidRPr="00393250">
              <w:rPr>
                <w:rFonts w:eastAsia="Calibri"/>
                <w:b/>
                <w:noProof/>
                <w:sz w:val="22"/>
                <w:szCs w:val="22"/>
                <w:lang w:eastAsia="en-US"/>
              </w:rPr>
              <w:t xml:space="preserve"> [Ændring 150]</w:t>
            </w:r>
          </w:p>
        </w:tc>
        <w:tc>
          <w:tcPr>
            <w:tcW w:w="2103" w:type="dxa"/>
            <w:gridSpan w:val="2"/>
            <w:tcMar>
              <w:left w:w="28" w:type="dxa"/>
              <w:right w:w="28" w:type="dxa"/>
            </w:tcMar>
          </w:tcPr>
          <w:p w14:paraId="218732F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Atrazin</w:t>
            </w:r>
          </w:p>
        </w:tc>
        <w:tc>
          <w:tcPr>
            <w:tcW w:w="1329" w:type="dxa"/>
            <w:gridSpan w:val="2"/>
            <w:tcMar>
              <w:left w:w="28" w:type="dxa"/>
              <w:right w:w="28" w:type="dxa"/>
            </w:tcMar>
          </w:tcPr>
          <w:p w14:paraId="5ABB668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Herbicider</w:t>
            </w:r>
          </w:p>
        </w:tc>
        <w:tc>
          <w:tcPr>
            <w:tcW w:w="992" w:type="dxa"/>
            <w:gridSpan w:val="2"/>
            <w:tcMar>
              <w:left w:w="28" w:type="dxa"/>
              <w:right w:w="28" w:type="dxa"/>
            </w:tcMar>
          </w:tcPr>
          <w:p w14:paraId="625839D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1912-24-9</w:t>
            </w:r>
          </w:p>
        </w:tc>
        <w:tc>
          <w:tcPr>
            <w:tcW w:w="1134" w:type="dxa"/>
          </w:tcPr>
          <w:p w14:paraId="6DB05BF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217-617-8</w:t>
            </w:r>
          </w:p>
        </w:tc>
        <w:tc>
          <w:tcPr>
            <w:tcW w:w="1279" w:type="dxa"/>
            <w:gridSpan w:val="2"/>
            <w:tcMar>
              <w:left w:w="28" w:type="dxa"/>
              <w:right w:w="28" w:type="dxa"/>
            </w:tcMar>
          </w:tcPr>
          <w:p w14:paraId="21C5625C" w14:textId="4DE33EBA" w:rsidR="00B551B3" w:rsidRPr="00393250" w:rsidRDefault="00B551B3" w:rsidP="00B551B3">
            <w:pPr>
              <w:widowControl/>
              <w:spacing w:before="40" w:after="40"/>
              <w:rPr>
                <w:rFonts w:eastAsia="Calibri"/>
                <w:noProof/>
                <w:sz w:val="22"/>
                <w:szCs w:val="22"/>
                <w:lang w:eastAsia="en-US"/>
              </w:rPr>
            </w:pPr>
            <w:r w:rsidRPr="00393250">
              <w:rPr>
                <w:rFonts w:eastAsia="Calibri"/>
                <w:strike/>
                <w:noProof/>
                <w:sz w:val="22"/>
                <w:szCs w:val="22"/>
                <w:lang w:eastAsia="en-US"/>
              </w:rPr>
              <w:t>0,6</w:t>
            </w:r>
            <w:r w:rsidR="00D1606C" w:rsidRPr="00393250">
              <w:rPr>
                <w:rFonts w:eastAsia="Calibri"/>
                <w:noProof/>
                <w:sz w:val="22"/>
                <w:szCs w:val="22"/>
                <w:lang w:eastAsia="en-US"/>
              </w:rPr>
              <w:t xml:space="preserve"> </w:t>
            </w:r>
            <w:r w:rsidRPr="00393250">
              <w:rPr>
                <w:b/>
                <w:i/>
                <w:sz w:val="22"/>
                <w:szCs w:val="22"/>
              </w:rPr>
              <w:t>0,1</w:t>
            </w:r>
          </w:p>
        </w:tc>
        <w:tc>
          <w:tcPr>
            <w:tcW w:w="1279" w:type="dxa"/>
            <w:gridSpan w:val="2"/>
            <w:tcMar>
              <w:left w:w="28" w:type="dxa"/>
              <w:right w:w="28" w:type="dxa"/>
            </w:tcMar>
          </w:tcPr>
          <w:p w14:paraId="2C5B237D" w14:textId="2CB7C95E" w:rsidR="00B551B3" w:rsidRPr="00393250" w:rsidRDefault="00D1606C" w:rsidP="00B551B3">
            <w:pPr>
              <w:widowControl/>
              <w:spacing w:before="40" w:after="40"/>
              <w:rPr>
                <w:rFonts w:eastAsia="Calibri"/>
                <w:noProof/>
                <w:sz w:val="22"/>
                <w:szCs w:val="22"/>
                <w:lang w:eastAsia="en-US"/>
              </w:rPr>
            </w:pPr>
            <w:r w:rsidRPr="00393250">
              <w:rPr>
                <w:rFonts w:eastAsia="Calibri"/>
                <w:strike/>
                <w:noProof/>
                <w:sz w:val="22"/>
                <w:szCs w:val="22"/>
                <w:lang w:eastAsia="en-US"/>
              </w:rPr>
              <w:t>0,6</w:t>
            </w:r>
            <w:r w:rsidRPr="00393250">
              <w:rPr>
                <w:rFonts w:eastAsia="Calibri"/>
                <w:noProof/>
                <w:sz w:val="22"/>
                <w:szCs w:val="22"/>
                <w:lang w:eastAsia="en-US"/>
              </w:rPr>
              <w:t xml:space="preserve"> </w:t>
            </w:r>
            <w:r w:rsidRPr="00393250">
              <w:rPr>
                <w:b/>
                <w:i/>
                <w:sz w:val="22"/>
                <w:szCs w:val="22"/>
              </w:rPr>
              <w:t>0,01</w:t>
            </w:r>
          </w:p>
        </w:tc>
        <w:tc>
          <w:tcPr>
            <w:tcW w:w="1278" w:type="dxa"/>
            <w:gridSpan w:val="2"/>
            <w:tcMar>
              <w:left w:w="28" w:type="dxa"/>
              <w:right w:w="28" w:type="dxa"/>
            </w:tcMar>
          </w:tcPr>
          <w:p w14:paraId="3F6D318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w:t>
            </w:r>
          </w:p>
        </w:tc>
        <w:tc>
          <w:tcPr>
            <w:tcW w:w="1277" w:type="dxa"/>
            <w:gridSpan w:val="2"/>
            <w:tcMar>
              <w:left w:w="28" w:type="dxa"/>
              <w:right w:w="28" w:type="dxa"/>
            </w:tcMar>
          </w:tcPr>
          <w:p w14:paraId="5B10D31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w:t>
            </w:r>
          </w:p>
        </w:tc>
        <w:tc>
          <w:tcPr>
            <w:tcW w:w="1136" w:type="dxa"/>
            <w:gridSpan w:val="2"/>
            <w:tcMar>
              <w:left w:w="28" w:type="dxa"/>
              <w:right w:w="28" w:type="dxa"/>
            </w:tcMar>
          </w:tcPr>
          <w:p w14:paraId="2F7F0029"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3635E077" w14:textId="77777777" w:rsidR="00B551B3" w:rsidRPr="00393250" w:rsidRDefault="00B551B3" w:rsidP="00B551B3">
            <w:pPr>
              <w:widowControl/>
              <w:spacing w:before="40" w:after="40"/>
              <w:rPr>
                <w:rFonts w:eastAsia="Calibri"/>
                <w:noProof/>
                <w:sz w:val="22"/>
                <w:szCs w:val="22"/>
                <w:lang w:eastAsia="en-US"/>
              </w:rPr>
            </w:pPr>
          </w:p>
        </w:tc>
        <w:tc>
          <w:tcPr>
            <w:tcW w:w="1153" w:type="dxa"/>
            <w:tcMar>
              <w:left w:w="28" w:type="dxa"/>
              <w:right w:w="28" w:type="dxa"/>
            </w:tcMar>
          </w:tcPr>
          <w:p w14:paraId="4BF0F837"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766F3EA7" w14:textId="77777777" w:rsidR="00B551B3" w:rsidRPr="00393250" w:rsidRDefault="00B551B3" w:rsidP="00B551B3">
            <w:pPr>
              <w:widowControl/>
              <w:spacing w:before="40" w:after="40"/>
              <w:rPr>
                <w:rFonts w:eastAsia="Calibri"/>
                <w:noProof/>
                <w:sz w:val="22"/>
                <w:szCs w:val="22"/>
                <w:lang w:eastAsia="en-US"/>
              </w:rPr>
            </w:pPr>
          </w:p>
        </w:tc>
      </w:tr>
    </w:tbl>
    <w:p w14:paraId="630222C2" w14:textId="77777777" w:rsidR="00B551B3" w:rsidRPr="00393250" w:rsidRDefault="00B551B3">
      <w:r w:rsidRPr="00393250">
        <w:br w:type="page"/>
      </w:r>
    </w:p>
    <w:tbl>
      <w:tblPr>
        <w:tblW w:w="16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
        <w:gridCol w:w="834"/>
        <w:gridCol w:w="2010"/>
        <w:gridCol w:w="93"/>
        <w:gridCol w:w="1329"/>
        <w:gridCol w:w="992"/>
        <w:gridCol w:w="1134"/>
        <w:gridCol w:w="1279"/>
        <w:gridCol w:w="1279"/>
        <w:gridCol w:w="1278"/>
        <w:gridCol w:w="1277"/>
        <w:gridCol w:w="1136"/>
        <w:gridCol w:w="1262"/>
        <w:gridCol w:w="1153"/>
        <w:gridCol w:w="970"/>
      </w:tblGrid>
      <w:tr w:rsidR="00B551B3" w:rsidRPr="00393250" w14:paraId="3022EE94" w14:textId="77777777" w:rsidTr="00B551B3">
        <w:trPr>
          <w:gridBefore w:val="1"/>
          <w:wBefore w:w="12" w:type="dxa"/>
          <w:tblHeader/>
          <w:jc w:val="center"/>
        </w:trPr>
        <w:tc>
          <w:tcPr>
            <w:tcW w:w="834" w:type="dxa"/>
            <w:tcMar>
              <w:left w:w="28" w:type="dxa"/>
              <w:right w:w="28" w:type="dxa"/>
            </w:tcMar>
          </w:tcPr>
          <w:p w14:paraId="7B93091B" w14:textId="1BD55A9E"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(4)</w:t>
            </w:r>
          </w:p>
        </w:tc>
        <w:tc>
          <w:tcPr>
            <w:tcW w:w="2103" w:type="dxa"/>
            <w:gridSpan w:val="2"/>
            <w:tcMar>
              <w:left w:w="28" w:type="dxa"/>
              <w:right w:w="28" w:type="dxa"/>
            </w:tcMar>
          </w:tcPr>
          <w:p w14:paraId="52D142D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Benzen</w:t>
            </w:r>
          </w:p>
        </w:tc>
        <w:tc>
          <w:tcPr>
            <w:tcW w:w="1329" w:type="dxa"/>
            <w:tcMar>
              <w:left w:w="28" w:type="dxa"/>
              <w:right w:w="28" w:type="dxa"/>
            </w:tcMar>
          </w:tcPr>
          <w:p w14:paraId="40FE6A5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Industristoffer</w:t>
            </w:r>
          </w:p>
        </w:tc>
        <w:tc>
          <w:tcPr>
            <w:tcW w:w="992" w:type="dxa"/>
            <w:tcMar>
              <w:left w:w="28" w:type="dxa"/>
              <w:right w:w="28" w:type="dxa"/>
            </w:tcMar>
          </w:tcPr>
          <w:p w14:paraId="7B42F1A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71-43-2</w:t>
            </w:r>
          </w:p>
        </w:tc>
        <w:tc>
          <w:tcPr>
            <w:tcW w:w="1134" w:type="dxa"/>
          </w:tcPr>
          <w:p w14:paraId="523CC61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200-753-7</w:t>
            </w:r>
          </w:p>
        </w:tc>
        <w:tc>
          <w:tcPr>
            <w:tcW w:w="1279" w:type="dxa"/>
            <w:tcMar>
              <w:left w:w="28" w:type="dxa"/>
              <w:right w:w="28" w:type="dxa"/>
            </w:tcMar>
          </w:tcPr>
          <w:p w14:paraId="008946E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10</w:t>
            </w:r>
          </w:p>
        </w:tc>
        <w:tc>
          <w:tcPr>
            <w:tcW w:w="1279" w:type="dxa"/>
            <w:tcMar>
              <w:left w:w="28" w:type="dxa"/>
              <w:right w:w="28" w:type="dxa"/>
            </w:tcMar>
          </w:tcPr>
          <w:p w14:paraId="2D71521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8</w:t>
            </w:r>
          </w:p>
        </w:tc>
        <w:tc>
          <w:tcPr>
            <w:tcW w:w="1278" w:type="dxa"/>
            <w:tcMar>
              <w:left w:w="28" w:type="dxa"/>
              <w:right w:w="28" w:type="dxa"/>
            </w:tcMar>
          </w:tcPr>
          <w:p w14:paraId="6F66740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50</w:t>
            </w:r>
          </w:p>
        </w:tc>
        <w:tc>
          <w:tcPr>
            <w:tcW w:w="1277" w:type="dxa"/>
            <w:tcMar>
              <w:left w:w="28" w:type="dxa"/>
              <w:right w:w="28" w:type="dxa"/>
            </w:tcMar>
          </w:tcPr>
          <w:p w14:paraId="487EF13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50</w:t>
            </w:r>
          </w:p>
        </w:tc>
        <w:tc>
          <w:tcPr>
            <w:tcW w:w="1136" w:type="dxa"/>
            <w:tcMar>
              <w:left w:w="28" w:type="dxa"/>
              <w:right w:w="28" w:type="dxa"/>
            </w:tcMar>
          </w:tcPr>
          <w:p w14:paraId="48F804EC"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6DE1B1F1" w14:textId="77777777" w:rsidR="00B551B3" w:rsidRPr="00393250" w:rsidRDefault="00B551B3" w:rsidP="00B551B3">
            <w:pPr>
              <w:widowControl/>
              <w:spacing w:before="40" w:after="40"/>
              <w:rPr>
                <w:rFonts w:eastAsia="Calibri"/>
                <w:noProof/>
                <w:sz w:val="22"/>
                <w:szCs w:val="22"/>
                <w:lang w:eastAsia="en-US"/>
              </w:rPr>
            </w:pPr>
          </w:p>
        </w:tc>
        <w:tc>
          <w:tcPr>
            <w:tcW w:w="1153" w:type="dxa"/>
            <w:tcMar>
              <w:left w:w="28" w:type="dxa"/>
              <w:right w:w="28" w:type="dxa"/>
            </w:tcMar>
          </w:tcPr>
          <w:p w14:paraId="06744D16"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36BDF313"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2DD2587C" w14:textId="77777777" w:rsidTr="00B551B3">
        <w:trPr>
          <w:gridBefore w:val="1"/>
          <w:wBefore w:w="12" w:type="dxa"/>
          <w:trHeight w:val="567"/>
          <w:tblHeader/>
          <w:jc w:val="center"/>
        </w:trPr>
        <w:tc>
          <w:tcPr>
            <w:tcW w:w="834" w:type="dxa"/>
            <w:tcMar>
              <w:left w:w="28" w:type="dxa"/>
              <w:right w:w="28" w:type="dxa"/>
            </w:tcMar>
          </w:tcPr>
          <w:p w14:paraId="472772F7"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(5)</w:t>
            </w:r>
          </w:p>
        </w:tc>
        <w:tc>
          <w:tcPr>
            <w:tcW w:w="2103" w:type="dxa"/>
            <w:gridSpan w:val="2"/>
            <w:tcMar>
              <w:left w:w="28" w:type="dxa"/>
              <w:right w:w="28" w:type="dxa"/>
            </w:tcMar>
          </w:tcPr>
          <w:p w14:paraId="4F724758" w14:textId="77777777" w:rsidR="00B551B3" w:rsidRPr="00393250" w:rsidRDefault="00B551B3" w:rsidP="00B551B3">
            <w:pPr>
              <w:widowControl/>
              <w:spacing w:before="40" w:after="40"/>
              <w:rPr>
                <w:rFonts w:eastAsia="Calibri"/>
                <w:noProof/>
                <w:sz w:val="22"/>
                <w:szCs w:val="22"/>
                <w:vertAlign w:val="superscript"/>
                <w:lang w:eastAsia="en-US"/>
              </w:rPr>
            </w:pPr>
            <w:r w:rsidRPr="00393250">
              <w:rPr>
                <w:rFonts w:eastAsia="Calibri"/>
                <w:noProof/>
                <w:sz w:val="22"/>
                <w:szCs w:val="22"/>
                <w:lang w:eastAsia="en-US"/>
              </w:rPr>
              <w:t>bromerede diphenylethere</w:t>
            </w:r>
            <w:bookmarkStart w:id="20" w:name="_DV_M300"/>
            <w:bookmarkEnd w:id="20"/>
          </w:p>
        </w:tc>
        <w:tc>
          <w:tcPr>
            <w:tcW w:w="1329" w:type="dxa"/>
            <w:tcMar>
              <w:left w:w="28" w:type="dxa"/>
              <w:right w:w="28" w:type="dxa"/>
            </w:tcMar>
          </w:tcPr>
          <w:p w14:paraId="6E27DE1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Industristoffer</w:t>
            </w:r>
          </w:p>
        </w:tc>
        <w:tc>
          <w:tcPr>
            <w:tcW w:w="992" w:type="dxa"/>
            <w:tcMar>
              <w:left w:w="28" w:type="dxa"/>
              <w:right w:w="28" w:type="dxa"/>
            </w:tcMar>
          </w:tcPr>
          <w:p w14:paraId="0A804AD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134" w:type="dxa"/>
          </w:tcPr>
          <w:p w14:paraId="76C3C0F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279" w:type="dxa"/>
            <w:tcMar>
              <w:left w:w="28" w:type="dxa"/>
              <w:right w:w="28" w:type="dxa"/>
            </w:tcMar>
          </w:tcPr>
          <w:p w14:paraId="4ECFB487" w14:textId="77777777" w:rsidR="00B551B3" w:rsidRPr="00393250" w:rsidRDefault="00B551B3" w:rsidP="00B551B3">
            <w:pPr>
              <w:widowControl/>
              <w:spacing w:before="40" w:after="40"/>
              <w:rPr>
                <w:rFonts w:eastAsia="Calibri"/>
                <w:noProof/>
                <w:sz w:val="22"/>
                <w:szCs w:val="22"/>
                <w:lang w:eastAsia="en-US"/>
              </w:rPr>
            </w:pPr>
          </w:p>
        </w:tc>
        <w:tc>
          <w:tcPr>
            <w:tcW w:w="1279" w:type="dxa"/>
            <w:tcMar>
              <w:left w:w="28" w:type="dxa"/>
              <w:right w:w="28" w:type="dxa"/>
            </w:tcMar>
          </w:tcPr>
          <w:p w14:paraId="114D7A62" w14:textId="77777777" w:rsidR="00B551B3" w:rsidRPr="00393250" w:rsidRDefault="00B551B3" w:rsidP="00B551B3">
            <w:pPr>
              <w:widowControl/>
              <w:spacing w:before="40" w:after="40"/>
              <w:rPr>
                <w:rFonts w:eastAsia="Calibri"/>
                <w:noProof/>
                <w:sz w:val="22"/>
                <w:szCs w:val="22"/>
                <w:lang w:eastAsia="en-US"/>
              </w:rPr>
            </w:pPr>
          </w:p>
        </w:tc>
        <w:tc>
          <w:tcPr>
            <w:tcW w:w="1278" w:type="dxa"/>
            <w:tcMar>
              <w:left w:w="28" w:type="dxa"/>
              <w:right w:w="28" w:type="dxa"/>
            </w:tcMar>
          </w:tcPr>
          <w:p w14:paraId="645CC52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0,14 (</w:t>
            </w:r>
            <w:r w:rsidRPr="00393250">
              <w:rPr>
                <w:rFonts w:eastAsia="Calibri"/>
                <w:noProof/>
                <w:sz w:val="22"/>
                <w:szCs w:val="22"/>
                <w:vertAlign w:val="superscript"/>
                <w:lang w:eastAsia="en-US"/>
              </w:rPr>
              <w:t>7</w:t>
            </w:r>
            <w:r w:rsidRPr="00393250">
              <w:rPr>
                <w:rFonts w:eastAsia="Calibri"/>
                <w:noProof/>
                <w:sz w:val="22"/>
                <w:szCs w:val="22"/>
                <w:lang w:eastAsia="en-US"/>
              </w:rPr>
              <w:t>)</w:t>
            </w:r>
          </w:p>
        </w:tc>
        <w:tc>
          <w:tcPr>
            <w:tcW w:w="1277" w:type="dxa"/>
            <w:tcMar>
              <w:left w:w="28" w:type="dxa"/>
              <w:right w:w="28" w:type="dxa"/>
            </w:tcMar>
          </w:tcPr>
          <w:p w14:paraId="5605962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0,014 (</w:t>
            </w:r>
            <w:r w:rsidRPr="00393250">
              <w:rPr>
                <w:rFonts w:eastAsia="Calibri"/>
                <w:noProof/>
                <w:sz w:val="22"/>
                <w:szCs w:val="22"/>
                <w:vertAlign w:val="superscript"/>
                <w:lang w:eastAsia="en-US"/>
              </w:rPr>
              <w:t>7</w:t>
            </w:r>
            <w:r w:rsidRPr="00393250">
              <w:rPr>
                <w:rFonts w:eastAsia="Calibri"/>
                <w:noProof/>
                <w:sz w:val="22"/>
                <w:szCs w:val="22"/>
                <w:lang w:eastAsia="en-US"/>
              </w:rPr>
              <w:t>)</w:t>
            </w:r>
          </w:p>
        </w:tc>
        <w:tc>
          <w:tcPr>
            <w:tcW w:w="1136" w:type="dxa"/>
            <w:tcMar>
              <w:left w:w="28" w:type="dxa"/>
              <w:right w:w="28" w:type="dxa"/>
            </w:tcMar>
          </w:tcPr>
          <w:p w14:paraId="2F5D6C1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[0,00028] (</w:t>
            </w:r>
            <w:r w:rsidRPr="00393250">
              <w:rPr>
                <w:rFonts w:eastAsia="Calibri"/>
                <w:noProof/>
                <w:sz w:val="22"/>
                <w:szCs w:val="22"/>
                <w:vertAlign w:val="superscript"/>
                <w:lang w:eastAsia="en-US"/>
              </w:rPr>
              <w:t>7</w:t>
            </w:r>
            <w:r w:rsidRPr="00393250">
              <w:rPr>
                <w:rFonts w:eastAsia="Calibri"/>
                <w:noProof/>
                <w:sz w:val="22"/>
                <w:szCs w:val="22"/>
                <w:lang w:eastAsia="en-US"/>
              </w:rPr>
              <w:t>)</w:t>
            </w:r>
          </w:p>
        </w:tc>
        <w:tc>
          <w:tcPr>
            <w:tcW w:w="1262" w:type="dxa"/>
            <w:tcMar>
              <w:left w:w="28" w:type="dxa"/>
              <w:right w:w="28" w:type="dxa"/>
            </w:tcMar>
          </w:tcPr>
          <w:p w14:paraId="2E07C09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 (</w:t>
            </w:r>
            <w:r w:rsidRPr="00393250">
              <w:rPr>
                <w:rFonts w:eastAsia="Calibri"/>
                <w:noProof/>
                <w:sz w:val="22"/>
                <w:szCs w:val="22"/>
                <w:vertAlign w:val="superscript"/>
                <w:lang w:eastAsia="en-US"/>
              </w:rPr>
              <w:t>8</w:t>
            </w:r>
            <w:r w:rsidRPr="00393250">
              <w:rPr>
                <w:rFonts w:eastAsia="Calibri"/>
                <w:noProof/>
                <w:sz w:val="22"/>
                <w:szCs w:val="22"/>
                <w:lang w:eastAsia="en-US"/>
              </w:rPr>
              <w:t>)</w:t>
            </w:r>
          </w:p>
        </w:tc>
        <w:tc>
          <w:tcPr>
            <w:tcW w:w="1153" w:type="dxa"/>
            <w:tcMar>
              <w:left w:w="28" w:type="dxa"/>
              <w:right w:w="28" w:type="dxa"/>
            </w:tcMar>
          </w:tcPr>
          <w:p w14:paraId="7A74105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970" w:type="dxa"/>
            <w:tcMar>
              <w:left w:w="28" w:type="dxa"/>
              <w:right w:w="28" w:type="dxa"/>
            </w:tcMar>
          </w:tcPr>
          <w:p w14:paraId="51A4796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5FF13094" w14:textId="77777777" w:rsidTr="00B551B3">
        <w:trPr>
          <w:gridBefore w:val="1"/>
          <w:wBefore w:w="12" w:type="dxa"/>
          <w:tblHeader/>
          <w:jc w:val="center"/>
        </w:trPr>
        <w:tc>
          <w:tcPr>
            <w:tcW w:w="834" w:type="dxa"/>
            <w:tcMar>
              <w:left w:w="28" w:type="dxa"/>
              <w:right w:w="28" w:type="dxa"/>
            </w:tcMar>
          </w:tcPr>
          <w:p w14:paraId="79994E62" w14:textId="77777777" w:rsidR="00B551B3" w:rsidRPr="00393250" w:rsidRDefault="00B551B3" w:rsidP="00B551B3">
            <w:pPr>
              <w:keepNext/>
              <w:widowControl/>
              <w:spacing w:before="40" w:after="40"/>
              <w:jc w:val="both"/>
              <w:rPr>
                <w:rFonts w:eastAsia="Calibri"/>
                <w:noProof/>
                <w:sz w:val="22"/>
                <w:szCs w:val="22"/>
                <w:lang w:eastAsia="en-US"/>
              </w:rPr>
            </w:pPr>
            <w:r w:rsidRPr="00393250">
              <w:rPr>
                <w:rFonts w:eastAsia="Calibri"/>
                <w:noProof/>
                <w:sz w:val="22"/>
                <w:szCs w:val="22"/>
                <w:lang w:eastAsia="en-US"/>
              </w:rPr>
              <w:t>(6)</w:t>
            </w:r>
          </w:p>
        </w:tc>
        <w:tc>
          <w:tcPr>
            <w:tcW w:w="2103" w:type="dxa"/>
            <w:gridSpan w:val="2"/>
            <w:tcMar>
              <w:left w:w="28" w:type="dxa"/>
              <w:right w:w="28" w:type="dxa"/>
            </w:tcMar>
          </w:tcPr>
          <w:p w14:paraId="0960EE6E"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Cadmium og forbindelser heraf</w:t>
            </w:r>
          </w:p>
          <w:p w14:paraId="66A7A9EE" w14:textId="77777777" w:rsidR="00B551B3" w:rsidRPr="00393250" w:rsidRDefault="00B551B3" w:rsidP="00B551B3">
            <w:pPr>
              <w:keepNext/>
              <w:widowControl/>
              <w:spacing w:before="40" w:after="40"/>
              <w:rPr>
                <w:rFonts w:eastAsia="Calibri"/>
                <w:noProof/>
                <w:sz w:val="22"/>
                <w:szCs w:val="22"/>
                <w:vertAlign w:val="superscript"/>
                <w:lang w:eastAsia="en-US"/>
              </w:rPr>
            </w:pPr>
            <w:r w:rsidRPr="00393250">
              <w:rPr>
                <w:rFonts w:eastAsia="Calibri"/>
                <w:noProof/>
                <w:sz w:val="22"/>
                <w:szCs w:val="22"/>
                <w:lang w:eastAsia="en-US"/>
              </w:rPr>
              <w:t>(afhængigt af vandets hårdhedsgrad) (</w:t>
            </w:r>
            <w:r w:rsidRPr="00393250">
              <w:rPr>
                <w:rFonts w:eastAsia="Calibri"/>
                <w:noProof/>
                <w:sz w:val="22"/>
                <w:szCs w:val="22"/>
                <w:vertAlign w:val="superscript"/>
                <w:lang w:eastAsia="en-US"/>
              </w:rPr>
              <w:t>9</w:t>
            </w:r>
            <w:r w:rsidRPr="00393250">
              <w:rPr>
                <w:rFonts w:eastAsia="Calibri"/>
                <w:noProof/>
                <w:sz w:val="22"/>
                <w:szCs w:val="22"/>
                <w:lang w:eastAsia="en-US"/>
              </w:rPr>
              <w:t>)</w:t>
            </w:r>
          </w:p>
        </w:tc>
        <w:tc>
          <w:tcPr>
            <w:tcW w:w="1329" w:type="dxa"/>
            <w:tcMar>
              <w:left w:w="28" w:type="dxa"/>
              <w:right w:w="28" w:type="dxa"/>
            </w:tcMar>
          </w:tcPr>
          <w:p w14:paraId="492F0399"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Metaller</w:t>
            </w:r>
          </w:p>
        </w:tc>
        <w:tc>
          <w:tcPr>
            <w:tcW w:w="992" w:type="dxa"/>
            <w:tcMar>
              <w:left w:w="28" w:type="dxa"/>
              <w:right w:w="28" w:type="dxa"/>
            </w:tcMar>
          </w:tcPr>
          <w:p w14:paraId="2BA9F341"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7440-43-9</w:t>
            </w:r>
          </w:p>
        </w:tc>
        <w:tc>
          <w:tcPr>
            <w:tcW w:w="1134" w:type="dxa"/>
          </w:tcPr>
          <w:p w14:paraId="31E5C2F4"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231-152-8</w:t>
            </w:r>
          </w:p>
        </w:tc>
        <w:tc>
          <w:tcPr>
            <w:tcW w:w="1279" w:type="dxa"/>
            <w:tcMar>
              <w:left w:w="28" w:type="dxa"/>
              <w:right w:w="28" w:type="dxa"/>
            </w:tcMar>
          </w:tcPr>
          <w:p w14:paraId="5674E946"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 0,08 (klasse 1)</w:t>
            </w:r>
          </w:p>
          <w:p w14:paraId="5E260C14"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0,08 (klasse 2)</w:t>
            </w:r>
          </w:p>
          <w:p w14:paraId="74AA3973"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0,09 (klasse 3)</w:t>
            </w:r>
          </w:p>
          <w:p w14:paraId="416AD6FB"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0,15 (klasse 4)</w:t>
            </w:r>
          </w:p>
          <w:p w14:paraId="3AC62BBB"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0,25 (klasse 5)</w:t>
            </w:r>
          </w:p>
        </w:tc>
        <w:tc>
          <w:tcPr>
            <w:tcW w:w="1279" w:type="dxa"/>
            <w:tcMar>
              <w:left w:w="28" w:type="dxa"/>
              <w:right w:w="28" w:type="dxa"/>
            </w:tcMar>
          </w:tcPr>
          <w:p w14:paraId="5F8888E3"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0,2</w:t>
            </w:r>
          </w:p>
        </w:tc>
        <w:tc>
          <w:tcPr>
            <w:tcW w:w="1278" w:type="dxa"/>
            <w:tcMar>
              <w:left w:w="28" w:type="dxa"/>
              <w:right w:w="28" w:type="dxa"/>
            </w:tcMar>
          </w:tcPr>
          <w:p w14:paraId="13F85225"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 0,45 (klasse 1)</w:t>
            </w:r>
          </w:p>
          <w:p w14:paraId="38741B93"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0,45 (klasse 2)</w:t>
            </w:r>
          </w:p>
          <w:p w14:paraId="5952B0D7"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0,6 (klasse 3)</w:t>
            </w:r>
          </w:p>
          <w:p w14:paraId="54570B29"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0,9 (klasse 4)</w:t>
            </w:r>
          </w:p>
          <w:p w14:paraId="2A5402AE"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1,5 (klasse 5)</w:t>
            </w:r>
          </w:p>
        </w:tc>
        <w:tc>
          <w:tcPr>
            <w:tcW w:w="1277" w:type="dxa"/>
            <w:tcMar>
              <w:left w:w="28" w:type="dxa"/>
              <w:right w:w="28" w:type="dxa"/>
            </w:tcMar>
          </w:tcPr>
          <w:p w14:paraId="73F79E6E"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 0,45 (klasse 1)</w:t>
            </w:r>
          </w:p>
          <w:p w14:paraId="7D85DE43"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0,45 (klasse 2)</w:t>
            </w:r>
          </w:p>
          <w:p w14:paraId="13ACBDBC"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0,6 (klasse 3)</w:t>
            </w:r>
          </w:p>
          <w:p w14:paraId="64F77F7B"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0,9 (klasse 4)</w:t>
            </w:r>
          </w:p>
          <w:p w14:paraId="05E275A4"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1,5 (klasse 5)</w:t>
            </w:r>
          </w:p>
        </w:tc>
        <w:tc>
          <w:tcPr>
            <w:tcW w:w="1136" w:type="dxa"/>
            <w:tcMar>
              <w:left w:w="28" w:type="dxa"/>
              <w:right w:w="28" w:type="dxa"/>
            </w:tcMar>
          </w:tcPr>
          <w:p w14:paraId="5BC7D3E4" w14:textId="77777777" w:rsidR="00B551B3" w:rsidRPr="00393250" w:rsidRDefault="00B551B3" w:rsidP="00B551B3">
            <w:pPr>
              <w:keepNext/>
              <w:widowControl/>
              <w:spacing w:before="40" w:after="40"/>
              <w:rPr>
                <w:rFonts w:eastAsia="Calibri"/>
                <w:noProof/>
                <w:sz w:val="22"/>
                <w:szCs w:val="22"/>
                <w:lang w:eastAsia="en-US"/>
              </w:rPr>
            </w:pPr>
          </w:p>
        </w:tc>
        <w:tc>
          <w:tcPr>
            <w:tcW w:w="1262" w:type="dxa"/>
            <w:tcMar>
              <w:left w:w="28" w:type="dxa"/>
              <w:right w:w="28" w:type="dxa"/>
            </w:tcMar>
          </w:tcPr>
          <w:p w14:paraId="1C18BE54"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X</w:t>
            </w:r>
          </w:p>
        </w:tc>
        <w:tc>
          <w:tcPr>
            <w:tcW w:w="1153" w:type="dxa"/>
            <w:tcMar>
              <w:left w:w="28" w:type="dxa"/>
              <w:right w:w="28" w:type="dxa"/>
            </w:tcMar>
          </w:tcPr>
          <w:p w14:paraId="7C4A5096" w14:textId="77777777" w:rsidR="00B551B3" w:rsidRPr="00393250" w:rsidRDefault="00B551B3" w:rsidP="00B551B3">
            <w:pPr>
              <w:keepNext/>
              <w:widowControl/>
              <w:spacing w:before="40" w:after="40"/>
              <w:rPr>
                <w:rFonts w:eastAsia="Calibri"/>
                <w:noProof/>
                <w:sz w:val="22"/>
                <w:szCs w:val="22"/>
                <w:lang w:eastAsia="en-US"/>
              </w:rPr>
            </w:pPr>
          </w:p>
        </w:tc>
        <w:tc>
          <w:tcPr>
            <w:tcW w:w="970" w:type="dxa"/>
            <w:tcMar>
              <w:left w:w="28" w:type="dxa"/>
              <w:right w:w="28" w:type="dxa"/>
            </w:tcMar>
          </w:tcPr>
          <w:p w14:paraId="4A0293E9"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275542D0" w14:textId="77777777" w:rsidTr="00B551B3">
        <w:trPr>
          <w:gridBefore w:val="1"/>
          <w:wBefore w:w="12" w:type="dxa"/>
          <w:tblHeader/>
          <w:jc w:val="center"/>
        </w:trPr>
        <w:tc>
          <w:tcPr>
            <w:tcW w:w="834" w:type="dxa"/>
            <w:tcMar>
              <w:left w:w="28" w:type="dxa"/>
              <w:right w:w="28" w:type="dxa"/>
            </w:tcMar>
          </w:tcPr>
          <w:p w14:paraId="42E17CED"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(6a)</w:t>
            </w:r>
          </w:p>
        </w:tc>
        <w:tc>
          <w:tcPr>
            <w:tcW w:w="15192" w:type="dxa"/>
            <w:gridSpan w:val="13"/>
            <w:tcMar>
              <w:left w:w="28" w:type="dxa"/>
              <w:right w:w="28" w:type="dxa"/>
            </w:tcMar>
          </w:tcPr>
          <w:p w14:paraId="5F825DC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 xml:space="preserve">Stoffet carbontetraklorid er blevet flyttet til del C i bilag II </w:t>
            </w:r>
          </w:p>
        </w:tc>
      </w:tr>
      <w:tr w:rsidR="00B551B3" w:rsidRPr="00393250" w14:paraId="02833C35" w14:textId="77777777" w:rsidTr="00B551B3">
        <w:trPr>
          <w:gridBefore w:val="1"/>
          <w:wBefore w:w="12" w:type="dxa"/>
          <w:tblHeader/>
          <w:jc w:val="center"/>
        </w:trPr>
        <w:tc>
          <w:tcPr>
            <w:tcW w:w="834" w:type="dxa"/>
            <w:tcMar>
              <w:left w:w="28" w:type="dxa"/>
              <w:right w:w="28" w:type="dxa"/>
            </w:tcMar>
          </w:tcPr>
          <w:p w14:paraId="0CF0E807"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(7)</w:t>
            </w:r>
          </w:p>
        </w:tc>
        <w:tc>
          <w:tcPr>
            <w:tcW w:w="2103" w:type="dxa"/>
            <w:gridSpan w:val="2"/>
            <w:tcMar>
              <w:left w:w="28" w:type="dxa"/>
              <w:right w:w="28" w:type="dxa"/>
            </w:tcMar>
          </w:tcPr>
          <w:p w14:paraId="11020C71" w14:textId="77777777" w:rsidR="00B551B3" w:rsidRPr="00393250" w:rsidRDefault="00B551B3" w:rsidP="00B551B3">
            <w:pPr>
              <w:widowControl/>
              <w:spacing w:before="40" w:after="40"/>
              <w:rPr>
                <w:rFonts w:eastAsia="Calibri"/>
                <w:noProof/>
                <w:sz w:val="22"/>
                <w:szCs w:val="22"/>
                <w:vertAlign w:val="superscript"/>
                <w:lang w:eastAsia="en-US"/>
              </w:rPr>
            </w:pPr>
            <w:r w:rsidRPr="00393250">
              <w:rPr>
                <w:rFonts w:eastAsia="Calibri"/>
                <w:noProof/>
                <w:sz w:val="22"/>
                <w:szCs w:val="22"/>
                <w:lang w:eastAsia="en-US"/>
              </w:rPr>
              <w:t>C</w:t>
            </w:r>
            <w:r w:rsidRPr="00393250">
              <w:rPr>
                <w:rFonts w:eastAsia="Calibri"/>
                <w:noProof/>
                <w:sz w:val="22"/>
                <w:szCs w:val="22"/>
                <w:vertAlign w:val="subscript"/>
                <w:lang w:eastAsia="en-US"/>
              </w:rPr>
              <w:t xml:space="preserve">10-13 </w:t>
            </w:r>
            <w:r w:rsidRPr="00393250">
              <w:rPr>
                <w:rFonts w:eastAsia="Calibri"/>
                <w:noProof/>
                <w:sz w:val="22"/>
                <w:szCs w:val="22"/>
                <w:lang w:eastAsia="en-US"/>
              </w:rPr>
              <w:t>chloralkaner (</w:t>
            </w:r>
            <w:r w:rsidRPr="00393250">
              <w:rPr>
                <w:rFonts w:eastAsia="Calibri"/>
                <w:noProof/>
                <w:sz w:val="22"/>
                <w:szCs w:val="22"/>
                <w:vertAlign w:val="superscript"/>
                <w:lang w:eastAsia="en-US"/>
              </w:rPr>
              <w:t>10</w:t>
            </w:r>
            <w:r w:rsidRPr="00393250">
              <w:rPr>
                <w:rFonts w:eastAsia="Calibri"/>
                <w:noProof/>
                <w:sz w:val="22"/>
                <w:szCs w:val="22"/>
                <w:lang w:eastAsia="en-US"/>
              </w:rPr>
              <w:t>)</w:t>
            </w:r>
          </w:p>
        </w:tc>
        <w:tc>
          <w:tcPr>
            <w:tcW w:w="1329" w:type="dxa"/>
            <w:tcMar>
              <w:left w:w="28" w:type="dxa"/>
              <w:right w:w="28" w:type="dxa"/>
            </w:tcMar>
          </w:tcPr>
          <w:p w14:paraId="16A411D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Industristoffer</w:t>
            </w:r>
          </w:p>
        </w:tc>
        <w:tc>
          <w:tcPr>
            <w:tcW w:w="992" w:type="dxa"/>
            <w:tcMar>
              <w:left w:w="28" w:type="dxa"/>
              <w:right w:w="28" w:type="dxa"/>
            </w:tcMar>
          </w:tcPr>
          <w:p w14:paraId="2F4DF15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85535-84-8</w:t>
            </w:r>
          </w:p>
        </w:tc>
        <w:tc>
          <w:tcPr>
            <w:tcW w:w="1134" w:type="dxa"/>
          </w:tcPr>
          <w:p w14:paraId="5C30C7A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287-476-5</w:t>
            </w:r>
          </w:p>
        </w:tc>
        <w:tc>
          <w:tcPr>
            <w:tcW w:w="1279" w:type="dxa"/>
            <w:tcMar>
              <w:left w:w="28" w:type="dxa"/>
              <w:right w:w="28" w:type="dxa"/>
            </w:tcMar>
          </w:tcPr>
          <w:p w14:paraId="5668808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 xml:space="preserve">0,4 </w:t>
            </w:r>
          </w:p>
        </w:tc>
        <w:tc>
          <w:tcPr>
            <w:tcW w:w="1279" w:type="dxa"/>
            <w:tcMar>
              <w:left w:w="28" w:type="dxa"/>
              <w:right w:w="28" w:type="dxa"/>
            </w:tcMar>
          </w:tcPr>
          <w:p w14:paraId="0218791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0,4</w:t>
            </w:r>
          </w:p>
        </w:tc>
        <w:tc>
          <w:tcPr>
            <w:tcW w:w="1278" w:type="dxa"/>
            <w:tcMar>
              <w:left w:w="28" w:type="dxa"/>
              <w:right w:w="28" w:type="dxa"/>
            </w:tcMar>
          </w:tcPr>
          <w:p w14:paraId="7FEB29D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1,4</w:t>
            </w:r>
          </w:p>
        </w:tc>
        <w:tc>
          <w:tcPr>
            <w:tcW w:w="1277" w:type="dxa"/>
            <w:tcMar>
              <w:left w:w="28" w:type="dxa"/>
              <w:right w:w="28" w:type="dxa"/>
            </w:tcMar>
          </w:tcPr>
          <w:p w14:paraId="7BB13B4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1,4</w:t>
            </w:r>
          </w:p>
        </w:tc>
        <w:tc>
          <w:tcPr>
            <w:tcW w:w="1136" w:type="dxa"/>
            <w:tcMar>
              <w:left w:w="28" w:type="dxa"/>
              <w:right w:w="28" w:type="dxa"/>
            </w:tcMar>
          </w:tcPr>
          <w:p w14:paraId="593C14A4"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70F0CF8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1153" w:type="dxa"/>
            <w:tcMar>
              <w:left w:w="28" w:type="dxa"/>
              <w:right w:w="28" w:type="dxa"/>
            </w:tcMar>
          </w:tcPr>
          <w:p w14:paraId="6156B38D"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563320E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7AA820DC" w14:textId="77777777" w:rsidTr="00B551B3">
        <w:trPr>
          <w:gridBefore w:val="1"/>
          <w:wBefore w:w="12" w:type="dxa"/>
          <w:tblHeader/>
          <w:jc w:val="center"/>
        </w:trPr>
        <w:tc>
          <w:tcPr>
            <w:tcW w:w="834" w:type="dxa"/>
            <w:tcMar>
              <w:left w:w="28" w:type="dxa"/>
              <w:right w:w="28" w:type="dxa"/>
            </w:tcMar>
          </w:tcPr>
          <w:p w14:paraId="7FA96663"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(8)</w:t>
            </w:r>
          </w:p>
        </w:tc>
        <w:tc>
          <w:tcPr>
            <w:tcW w:w="15192" w:type="dxa"/>
            <w:gridSpan w:val="13"/>
            <w:tcMar>
              <w:left w:w="28" w:type="dxa"/>
              <w:right w:w="28" w:type="dxa"/>
            </w:tcMar>
          </w:tcPr>
          <w:p w14:paraId="20C9D97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 xml:space="preserve">Stoffet chlorfenvinfos er blevet flyttet til del C i bilag II </w:t>
            </w:r>
          </w:p>
        </w:tc>
      </w:tr>
      <w:tr w:rsidR="00B551B3" w:rsidRPr="00393250" w14:paraId="2B329B9E" w14:textId="77777777" w:rsidTr="00B551B3">
        <w:trPr>
          <w:gridBefore w:val="1"/>
          <w:wBefore w:w="12" w:type="dxa"/>
          <w:tblHeader/>
          <w:jc w:val="center"/>
        </w:trPr>
        <w:tc>
          <w:tcPr>
            <w:tcW w:w="834" w:type="dxa"/>
            <w:tcMar>
              <w:left w:w="28" w:type="dxa"/>
              <w:right w:w="28" w:type="dxa"/>
            </w:tcMar>
          </w:tcPr>
          <w:p w14:paraId="1F01A371"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(9)</w:t>
            </w:r>
          </w:p>
        </w:tc>
        <w:tc>
          <w:tcPr>
            <w:tcW w:w="2103" w:type="dxa"/>
            <w:gridSpan w:val="2"/>
            <w:tcMar>
              <w:left w:w="28" w:type="dxa"/>
              <w:right w:w="28" w:type="dxa"/>
            </w:tcMar>
          </w:tcPr>
          <w:p w14:paraId="1CE7E1E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Chlorpyrifos (chlorpyrifosethyl)</w:t>
            </w:r>
          </w:p>
        </w:tc>
        <w:tc>
          <w:tcPr>
            <w:tcW w:w="1329" w:type="dxa"/>
            <w:tcMar>
              <w:left w:w="28" w:type="dxa"/>
              <w:right w:w="28" w:type="dxa"/>
            </w:tcMar>
          </w:tcPr>
          <w:p w14:paraId="06D2D33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Organiske fosfatholdige pesticider</w:t>
            </w:r>
          </w:p>
        </w:tc>
        <w:tc>
          <w:tcPr>
            <w:tcW w:w="992" w:type="dxa"/>
            <w:tcMar>
              <w:left w:w="28" w:type="dxa"/>
              <w:right w:w="28" w:type="dxa"/>
            </w:tcMar>
          </w:tcPr>
          <w:p w14:paraId="60FE569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2921-88-2</w:t>
            </w:r>
          </w:p>
        </w:tc>
        <w:tc>
          <w:tcPr>
            <w:tcW w:w="1134" w:type="dxa"/>
          </w:tcPr>
          <w:p w14:paraId="184E09F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220-864-4</w:t>
            </w:r>
          </w:p>
        </w:tc>
        <w:tc>
          <w:tcPr>
            <w:tcW w:w="1279" w:type="dxa"/>
            <w:tcMar>
              <w:left w:w="28" w:type="dxa"/>
              <w:right w:w="28" w:type="dxa"/>
            </w:tcMar>
          </w:tcPr>
          <w:p w14:paraId="04E0703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4,6 × 10</w:t>
            </w:r>
            <w:r w:rsidRPr="00393250">
              <w:rPr>
                <w:rFonts w:eastAsia="Calibri"/>
                <w:noProof/>
                <w:sz w:val="22"/>
                <w:szCs w:val="22"/>
                <w:vertAlign w:val="superscript"/>
                <w:lang w:eastAsia="en-US"/>
              </w:rPr>
              <w:t>-4</w:t>
            </w:r>
          </w:p>
        </w:tc>
        <w:tc>
          <w:tcPr>
            <w:tcW w:w="1279" w:type="dxa"/>
            <w:tcMar>
              <w:left w:w="28" w:type="dxa"/>
              <w:right w:w="28" w:type="dxa"/>
            </w:tcMar>
          </w:tcPr>
          <w:p w14:paraId="313EC08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4,6 × 10</w:t>
            </w:r>
            <w:r w:rsidRPr="00393250">
              <w:rPr>
                <w:rFonts w:eastAsia="Calibri"/>
                <w:noProof/>
                <w:sz w:val="22"/>
                <w:szCs w:val="22"/>
                <w:vertAlign w:val="superscript"/>
                <w:lang w:eastAsia="en-US"/>
              </w:rPr>
              <w:t>-5</w:t>
            </w:r>
          </w:p>
        </w:tc>
        <w:tc>
          <w:tcPr>
            <w:tcW w:w="1278" w:type="dxa"/>
            <w:tcMar>
              <w:left w:w="28" w:type="dxa"/>
              <w:right w:w="28" w:type="dxa"/>
            </w:tcMar>
          </w:tcPr>
          <w:p w14:paraId="4F6C07B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0,0026</w:t>
            </w:r>
          </w:p>
        </w:tc>
        <w:tc>
          <w:tcPr>
            <w:tcW w:w="1277" w:type="dxa"/>
            <w:tcMar>
              <w:left w:w="28" w:type="dxa"/>
              <w:right w:w="28" w:type="dxa"/>
            </w:tcMar>
          </w:tcPr>
          <w:p w14:paraId="7E7155D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5,2 × 10</w:t>
            </w:r>
            <w:r w:rsidRPr="00393250">
              <w:rPr>
                <w:rFonts w:eastAsia="Calibri"/>
                <w:noProof/>
                <w:sz w:val="22"/>
                <w:szCs w:val="22"/>
                <w:vertAlign w:val="superscript"/>
                <w:lang w:eastAsia="en-US"/>
              </w:rPr>
              <w:t>-4</w:t>
            </w:r>
          </w:p>
        </w:tc>
        <w:tc>
          <w:tcPr>
            <w:tcW w:w="1136" w:type="dxa"/>
            <w:tcMar>
              <w:left w:w="28" w:type="dxa"/>
              <w:right w:w="28" w:type="dxa"/>
            </w:tcMar>
          </w:tcPr>
          <w:p w14:paraId="5CF803AF"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31B228E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1153" w:type="dxa"/>
            <w:tcMar>
              <w:left w:w="28" w:type="dxa"/>
              <w:right w:w="28" w:type="dxa"/>
            </w:tcMar>
          </w:tcPr>
          <w:p w14:paraId="1AD878C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970" w:type="dxa"/>
            <w:tcMar>
              <w:left w:w="28" w:type="dxa"/>
              <w:right w:w="28" w:type="dxa"/>
            </w:tcMar>
          </w:tcPr>
          <w:p w14:paraId="7D9DD64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4F4BC2AE" w14:textId="77777777" w:rsidTr="00B551B3">
        <w:trPr>
          <w:gridBefore w:val="1"/>
          <w:wBefore w:w="12" w:type="dxa"/>
          <w:tblHeader/>
          <w:jc w:val="center"/>
        </w:trPr>
        <w:tc>
          <w:tcPr>
            <w:tcW w:w="834" w:type="dxa"/>
            <w:tcMar>
              <w:left w:w="28" w:type="dxa"/>
              <w:right w:w="28" w:type="dxa"/>
            </w:tcMar>
          </w:tcPr>
          <w:p w14:paraId="4F88C1DB"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br w:type="page"/>
              <w:t>(9a)</w:t>
            </w:r>
          </w:p>
        </w:tc>
        <w:tc>
          <w:tcPr>
            <w:tcW w:w="2103" w:type="dxa"/>
            <w:gridSpan w:val="2"/>
            <w:tcMar>
              <w:left w:w="28" w:type="dxa"/>
              <w:right w:w="28" w:type="dxa"/>
            </w:tcMar>
          </w:tcPr>
          <w:p w14:paraId="4C81D70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Cyclodien-pesticider:</w:t>
            </w:r>
          </w:p>
          <w:p w14:paraId="2C22498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 xml:space="preserve">Aldrin </w:t>
            </w:r>
            <w:bookmarkStart w:id="21" w:name="_DV_M301"/>
            <w:bookmarkEnd w:id="21"/>
          </w:p>
          <w:p w14:paraId="3A6ADBA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 xml:space="preserve">Dieldrin </w:t>
            </w:r>
            <w:bookmarkStart w:id="22" w:name="_DV_M302"/>
            <w:bookmarkEnd w:id="22"/>
          </w:p>
          <w:p w14:paraId="3078ED2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 xml:space="preserve">Endrin </w:t>
            </w:r>
            <w:bookmarkStart w:id="23" w:name="_DV_M303"/>
            <w:bookmarkEnd w:id="23"/>
          </w:p>
          <w:p w14:paraId="2A2E00ED" w14:textId="77777777" w:rsidR="00B551B3" w:rsidRPr="00393250" w:rsidRDefault="00B551B3" w:rsidP="00B551B3">
            <w:pPr>
              <w:widowControl/>
              <w:spacing w:before="40" w:after="40"/>
              <w:rPr>
                <w:rFonts w:eastAsia="Calibri"/>
                <w:noProof/>
                <w:sz w:val="22"/>
                <w:szCs w:val="22"/>
                <w:vertAlign w:val="superscript"/>
                <w:lang w:eastAsia="en-US"/>
              </w:rPr>
            </w:pPr>
            <w:r w:rsidRPr="00393250">
              <w:rPr>
                <w:rFonts w:eastAsia="Calibri"/>
                <w:noProof/>
                <w:sz w:val="22"/>
                <w:szCs w:val="22"/>
                <w:lang w:eastAsia="en-US"/>
              </w:rPr>
              <w:t xml:space="preserve">Isodrin </w:t>
            </w:r>
            <w:bookmarkStart w:id="24" w:name="_DV_M304"/>
            <w:bookmarkEnd w:id="24"/>
          </w:p>
        </w:tc>
        <w:tc>
          <w:tcPr>
            <w:tcW w:w="1329" w:type="dxa"/>
            <w:tcMar>
              <w:left w:w="28" w:type="dxa"/>
              <w:right w:w="28" w:type="dxa"/>
            </w:tcMar>
          </w:tcPr>
          <w:p w14:paraId="41E65A3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Organiske klorerede pesticider</w:t>
            </w:r>
          </w:p>
        </w:tc>
        <w:tc>
          <w:tcPr>
            <w:tcW w:w="992" w:type="dxa"/>
            <w:tcMar>
              <w:left w:w="28" w:type="dxa"/>
              <w:right w:w="28" w:type="dxa"/>
            </w:tcMar>
          </w:tcPr>
          <w:p w14:paraId="3D1ED853" w14:textId="77777777" w:rsidR="00B551B3" w:rsidRPr="00393250" w:rsidRDefault="00B551B3" w:rsidP="00B551B3">
            <w:pPr>
              <w:widowControl/>
              <w:spacing w:before="40" w:after="40"/>
              <w:rPr>
                <w:rFonts w:eastAsia="Calibri"/>
                <w:noProof/>
                <w:sz w:val="22"/>
                <w:szCs w:val="22"/>
                <w:lang w:eastAsia="en-US"/>
              </w:rPr>
            </w:pPr>
          </w:p>
          <w:p w14:paraId="635DCFC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309-00-2</w:t>
            </w:r>
          </w:p>
          <w:p w14:paraId="20F8E72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60-57-1</w:t>
            </w:r>
          </w:p>
          <w:p w14:paraId="07C87F3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72-20-8</w:t>
            </w:r>
          </w:p>
          <w:p w14:paraId="31C41AD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465-73-6</w:t>
            </w:r>
          </w:p>
        </w:tc>
        <w:tc>
          <w:tcPr>
            <w:tcW w:w="1134" w:type="dxa"/>
          </w:tcPr>
          <w:p w14:paraId="4B47ACF6" w14:textId="77777777" w:rsidR="00B551B3" w:rsidRPr="00393250" w:rsidRDefault="00B551B3" w:rsidP="00B551B3">
            <w:pPr>
              <w:widowControl/>
              <w:spacing w:before="40" w:after="40"/>
              <w:rPr>
                <w:rFonts w:eastAsia="Calibri"/>
                <w:noProof/>
                <w:sz w:val="22"/>
                <w:szCs w:val="22"/>
                <w:lang w:eastAsia="en-US"/>
              </w:rPr>
            </w:pPr>
          </w:p>
          <w:p w14:paraId="17C32BF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206-215-8</w:t>
            </w:r>
          </w:p>
          <w:p w14:paraId="3579767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200-484-5</w:t>
            </w:r>
          </w:p>
          <w:p w14:paraId="0FC2C31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200-775-7</w:t>
            </w:r>
          </w:p>
          <w:p w14:paraId="3DC33FF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207-366-2</w:t>
            </w:r>
          </w:p>
        </w:tc>
        <w:tc>
          <w:tcPr>
            <w:tcW w:w="1279" w:type="dxa"/>
            <w:tcMar>
              <w:left w:w="28" w:type="dxa"/>
              <w:right w:w="28" w:type="dxa"/>
            </w:tcMar>
          </w:tcPr>
          <w:p w14:paraId="0679D52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Σ = 0,01</w:t>
            </w:r>
          </w:p>
        </w:tc>
        <w:tc>
          <w:tcPr>
            <w:tcW w:w="1279" w:type="dxa"/>
            <w:tcMar>
              <w:left w:w="28" w:type="dxa"/>
              <w:right w:w="28" w:type="dxa"/>
            </w:tcMar>
          </w:tcPr>
          <w:p w14:paraId="0AF3EF2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Σ = 0,005</w:t>
            </w:r>
          </w:p>
        </w:tc>
        <w:tc>
          <w:tcPr>
            <w:tcW w:w="1278" w:type="dxa"/>
            <w:tcMar>
              <w:left w:w="28" w:type="dxa"/>
              <w:right w:w="28" w:type="dxa"/>
            </w:tcMar>
          </w:tcPr>
          <w:p w14:paraId="4B2A497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277" w:type="dxa"/>
            <w:tcMar>
              <w:left w:w="28" w:type="dxa"/>
              <w:right w:w="28" w:type="dxa"/>
            </w:tcMar>
          </w:tcPr>
          <w:p w14:paraId="3050363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136" w:type="dxa"/>
            <w:tcMar>
              <w:left w:w="28" w:type="dxa"/>
              <w:right w:w="28" w:type="dxa"/>
            </w:tcMar>
          </w:tcPr>
          <w:p w14:paraId="103C9E5F"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0094537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1153" w:type="dxa"/>
            <w:tcMar>
              <w:left w:w="28" w:type="dxa"/>
              <w:right w:w="28" w:type="dxa"/>
            </w:tcMar>
          </w:tcPr>
          <w:p w14:paraId="5551E0FA"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4130C93D" w14:textId="77777777" w:rsidR="00B551B3" w:rsidRPr="00393250" w:rsidRDefault="00B551B3" w:rsidP="00B551B3">
            <w:pPr>
              <w:widowControl/>
              <w:spacing w:before="40" w:after="40"/>
              <w:rPr>
                <w:rFonts w:eastAsia="Calibri"/>
                <w:noProof/>
                <w:sz w:val="22"/>
                <w:szCs w:val="22"/>
                <w:lang w:eastAsia="en-US"/>
              </w:rPr>
            </w:pPr>
          </w:p>
          <w:p w14:paraId="07A4F61E" w14:textId="77777777" w:rsidR="00B551B3" w:rsidRPr="00393250" w:rsidRDefault="00B551B3" w:rsidP="00B551B3">
            <w:pPr>
              <w:widowControl/>
              <w:spacing w:before="40" w:after="40"/>
              <w:rPr>
                <w:rFonts w:eastAsia="Calibri"/>
                <w:noProof/>
                <w:sz w:val="22"/>
                <w:szCs w:val="22"/>
                <w:lang w:eastAsia="en-US"/>
              </w:rPr>
            </w:pPr>
          </w:p>
          <w:p w14:paraId="5E827EEA"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42045DE2" w14:textId="77777777" w:rsidTr="00B551B3">
        <w:trPr>
          <w:gridBefore w:val="1"/>
          <w:wBefore w:w="12" w:type="dxa"/>
          <w:tblHeader/>
          <w:jc w:val="center"/>
        </w:trPr>
        <w:tc>
          <w:tcPr>
            <w:tcW w:w="834" w:type="dxa"/>
            <w:tcMar>
              <w:left w:w="28" w:type="dxa"/>
              <w:right w:w="28" w:type="dxa"/>
            </w:tcMar>
          </w:tcPr>
          <w:p w14:paraId="287867BA"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(9b)</w:t>
            </w:r>
          </w:p>
        </w:tc>
        <w:tc>
          <w:tcPr>
            <w:tcW w:w="2103" w:type="dxa"/>
            <w:gridSpan w:val="2"/>
            <w:tcMar>
              <w:left w:w="28" w:type="dxa"/>
              <w:right w:w="28" w:type="dxa"/>
            </w:tcMar>
          </w:tcPr>
          <w:p w14:paraId="2E300E3B" w14:textId="77777777" w:rsidR="00B551B3" w:rsidRPr="00393250" w:rsidRDefault="00B551B3" w:rsidP="00B551B3">
            <w:pPr>
              <w:widowControl/>
              <w:spacing w:before="40" w:after="40"/>
              <w:rPr>
                <w:rFonts w:eastAsia="Calibri"/>
                <w:noProof/>
                <w:sz w:val="22"/>
                <w:szCs w:val="22"/>
                <w:vertAlign w:val="superscript"/>
                <w:lang w:eastAsia="en-US"/>
              </w:rPr>
            </w:pPr>
            <w:r w:rsidRPr="00393250">
              <w:rPr>
                <w:rFonts w:eastAsia="Calibri"/>
                <w:noProof/>
                <w:sz w:val="22"/>
                <w:szCs w:val="22"/>
                <w:lang w:eastAsia="en-US"/>
              </w:rPr>
              <w:t>DDT i alt (</w:t>
            </w:r>
            <w:r w:rsidRPr="00393250">
              <w:rPr>
                <w:rFonts w:eastAsia="Calibri"/>
                <w:noProof/>
                <w:sz w:val="22"/>
                <w:szCs w:val="22"/>
                <w:vertAlign w:val="superscript"/>
                <w:lang w:eastAsia="en-US"/>
              </w:rPr>
              <w:t>11</w:t>
            </w:r>
            <w:r w:rsidRPr="00393250">
              <w:rPr>
                <w:rFonts w:eastAsia="Calibri"/>
                <w:noProof/>
                <w:sz w:val="22"/>
                <w:szCs w:val="22"/>
                <w:lang w:eastAsia="en-US"/>
              </w:rPr>
              <w:t>)</w:t>
            </w:r>
          </w:p>
        </w:tc>
        <w:tc>
          <w:tcPr>
            <w:tcW w:w="1329" w:type="dxa"/>
            <w:tcMar>
              <w:left w:w="28" w:type="dxa"/>
              <w:right w:w="28" w:type="dxa"/>
            </w:tcMar>
          </w:tcPr>
          <w:p w14:paraId="049EC81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Organiske klorerede pesticider</w:t>
            </w:r>
          </w:p>
        </w:tc>
        <w:tc>
          <w:tcPr>
            <w:tcW w:w="992" w:type="dxa"/>
            <w:tcMar>
              <w:left w:w="28" w:type="dxa"/>
              <w:right w:w="28" w:type="dxa"/>
            </w:tcMar>
          </w:tcPr>
          <w:p w14:paraId="5A6F38A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134" w:type="dxa"/>
          </w:tcPr>
          <w:p w14:paraId="77DE3DA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279" w:type="dxa"/>
            <w:tcMar>
              <w:left w:w="28" w:type="dxa"/>
              <w:right w:w="28" w:type="dxa"/>
            </w:tcMar>
          </w:tcPr>
          <w:p w14:paraId="23EF423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0,025</w:t>
            </w:r>
          </w:p>
        </w:tc>
        <w:tc>
          <w:tcPr>
            <w:tcW w:w="1279" w:type="dxa"/>
            <w:tcMar>
              <w:left w:w="28" w:type="dxa"/>
              <w:right w:w="28" w:type="dxa"/>
            </w:tcMar>
          </w:tcPr>
          <w:p w14:paraId="2CCB69F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0,025</w:t>
            </w:r>
          </w:p>
        </w:tc>
        <w:tc>
          <w:tcPr>
            <w:tcW w:w="1278" w:type="dxa"/>
            <w:tcMar>
              <w:left w:w="28" w:type="dxa"/>
              <w:right w:w="28" w:type="dxa"/>
            </w:tcMar>
          </w:tcPr>
          <w:p w14:paraId="12AD98A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277" w:type="dxa"/>
            <w:tcMar>
              <w:left w:w="28" w:type="dxa"/>
              <w:right w:w="28" w:type="dxa"/>
            </w:tcMar>
          </w:tcPr>
          <w:p w14:paraId="28C609A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136" w:type="dxa"/>
            <w:tcMar>
              <w:left w:w="28" w:type="dxa"/>
              <w:right w:w="28" w:type="dxa"/>
            </w:tcMar>
          </w:tcPr>
          <w:p w14:paraId="506DDE81"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21FDDE9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1153" w:type="dxa"/>
            <w:tcMar>
              <w:left w:w="28" w:type="dxa"/>
              <w:right w:w="28" w:type="dxa"/>
            </w:tcMar>
          </w:tcPr>
          <w:p w14:paraId="23513DFE"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7EC40BC4"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099552B2" w14:textId="77777777" w:rsidTr="00B551B3">
        <w:trPr>
          <w:gridBefore w:val="1"/>
          <w:wBefore w:w="12" w:type="dxa"/>
          <w:tblHeader/>
          <w:jc w:val="center"/>
        </w:trPr>
        <w:tc>
          <w:tcPr>
            <w:tcW w:w="834" w:type="dxa"/>
            <w:tcMar>
              <w:left w:w="28" w:type="dxa"/>
              <w:right w:w="28" w:type="dxa"/>
            </w:tcMar>
          </w:tcPr>
          <w:p w14:paraId="3C926E5C" w14:textId="77777777" w:rsidR="00B551B3" w:rsidRPr="00393250" w:rsidRDefault="00B551B3" w:rsidP="00B551B3">
            <w:pPr>
              <w:widowControl/>
              <w:spacing w:before="40" w:after="40"/>
              <w:jc w:val="both"/>
              <w:rPr>
                <w:rFonts w:eastAsia="Calibri"/>
                <w:noProof/>
                <w:sz w:val="22"/>
                <w:szCs w:val="22"/>
                <w:lang w:eastAsia="en-US"/>
              </w:rPr>
            </w:pPr>
          </w:p>
        </w:tc>
        <w:tc>
          <w:tcPr>
            <w:tcW w:w="2103" w:type="dxa"/>
            <w:gridSpan w:val="2"/>
            <w:tcMar>
              <w:left w:w="28" w:type="dxa"/>
              <w:right w:w="28" w:type="dxa"/>
            </w:tcMar>
          </w:tcPr>
          <w:p w14:paraId="58A08F4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para-para-DDT</w:t>
            </w:r>
          </w:p>
        </w:tc>
        <w:tc>
          <w:tcPr>
            <w:tcW w:w="1329" w:type="dxa"/>
            <w:tcMar>
              <w:left w:w="28" w:type="dxa"/>
              <w:right w:w="28" w:type="dxa"/>
            </w:tcMar>
          </w:tcPr>
          <w:p w14:paraId="22A62237" w14:textId="77777777" w:rsidR="00B551B3" w:rsidRPr="00393250" w:rsidRDefault="00B551B3" w:rsidP="00B551B3">
            <w:pPr>
              <w:widowControl/>
              <w:spacing w:before="40" w:after="40"/>
              <w:rPr>
                <w:rFonts w:eastAsia="Calibri"/>
                <w:noProof/>
                <w:sz w:val="22"/>
                <w:szCs w:val="22"/>
                <w:lang w:eastAsia="en-US"/>
              </w:rPr>
            </w:pPr>
          </w:p>
        </w:tc>
        <w:tc>
          <w:tcPr>
            <w:tcW w:w="992" w:type="dxa"/>
            <w:tcMar>
              <w:left w:w="28" w:type="dxa"/>
              <w:right w:w="28" w:type="dxa"/>
            </w:tcMar>
          </w:tcPr>
          <w:p w14:paraId="5A7B560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50-29-3</w:t>
            </w:r>
          </w:p>
        </w:tc>
        <w:tc>
          <w:tcPr>
            <w:tcW w:w="1134" w:type="dxa"/>
          </w:tcPr>
          <w:p w14:paraId="489FE6F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200-024-3</w:t>
            </w:r>
          </w:p>
        </w:tc>
        <w:tc>
          <w:tcPr>
            <w:tcW w:w="1279" w:type="dxa"/>
            <w:tcMar>
              <w:left w:w="28" w:type="dxa"/>
              <w:right w:w="28" w:type="dxa"/>
            </w:tcMar>
          </w:tcPr>
          <w:p w14:paraId="396B7F5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0,01</w:t>
            </w:r>
          </w:p>
        </w:tc>
        <w:tc>
          <w:tcPr>
            <w:tcW w:w="1279" w:type="dxa"/>
            <w:tcMar>
              <w:left w:w="28" w:type="dxa"/>
              <w:right w:w="28" w:type="dxa"/>
            </w:tcMar>
          </w:tcPr>
          <w:p w14:paraId="6C00497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0,01</w:t>
            </w:r>
          </w:p>
        </w:tc>
        <w:tc>
          <w:tcPr>
            <w:tcW w:w="1278" w:type="dxa"/>
            <w:tcMar>
              <w:left w:w="28" w:type="dxa"/>
              <w:right w:w="28" w:type="dxa"/>
            </w:tcMar>
          </w:tcPr>
          <w:p w14:paraId="620F9B3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277" w:type="dxa"/>
            <w:tcMar>
              <w:left w:w="28" w:type="dxa"/>
              <w:right w:w="28" w:type="dxa"/>
            </w:tcMar>
          </w:tcPr>
          <w:p w14:paraId="0BC3962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136" w:type="dxa"/>
            <w:tcMar>
              <w:left w:w="28" w:type="dxa"/>
              <w:right w:w="28" w:type="dxa"/>
            </w:tcMar>
          </w:tcPr>
          <w:p w14:paraId="69634C73"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2178B72A" w14:textId="77777777" w:rsidR="00B551B3" w:rsidRPr="00393250" w:rsidDel="004E5B33"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1153" w:type="dxa"/>
            <w:tcMar>
              <w:left w:w="28" w:type="dxa"/>
              <w:right w:w="28" w:type="dxa"/>
            </w:tcMar>
          </w:tcPr>
          <w:p w14:paraId="2F178280"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33F643D7"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08FC06A4" w14:textId="77777777" w:rsidTr="00B551B3">
        <w:trPr>
          <w:gridBefore w:val="1"/>
          <w:wBefore w:w="12" w:type="dxa"/>
          <w:tblHeader/>
          <w:jc w:val="center"/>
        </w:trPr>
        <w:tc>
          <w:tcPr>
            <w:tcW w:w="834" w:type="dxa"/>
            <w:tcMar>
              <w:left w:w="28" w:type="dxa"/>
              <w:right w:w="28" w:type="dxa"/>
            </w:tcMar>
          </w:tcPr>
          <w:p w14:paraId="409223FF"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(10)</w:t>
            </w:r>
          </w:p>
        </w:tc>
        <w:tc>
          <w:tcPr>
            <w:tcW w:w="2103" w:type="dxa"/>
            <w:gridSpan w:val="2"/>
            <w:tcMar>
              <w:left w:w="28" w:type="dxa"/>
              <w:right w:w="28" w:type="dxa"/>
            </w:tcMar>
          </w:tcPr>
          <w:p w14:paraId="417BC35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1,2-dichlorethan</w:t>
            </w:r>
          </w:p>
        </w:tc>
        <w:tc>
          <w:tcPr>
            <w:tcW w:w="1329" w:type="dxa"/>
            <w:tcMar>
              <w:left w:w="28" w:type="dxa"/>
              <w:right w:w="28" w:type="dxa"/>
            </w:tcMar>
          </w:tcPr>
          <w:p w14:paraId="44024C1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Industristoffer</w:t>
            </w:r>
          </w:p>
        </w:tc>
        <w:tc>
          <w:tcPr>
            <w:tcW w:w="992" w:type="dxa"/>
            <w:tcMar>
              <w:left w:w="28" w:type="dxa"/>
              <w:right w:w="28" w:type="dxa"/>
            </w:tcMar>
          </w:tcPr>
          <w:p w14:paraId="272E7DA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107-06-2</w:t>
            </w:r>
          </w:p>
        </w:tc>
        <w:tc>
          <w:tcPr>
            <w:tcW w:w="1134" w:type="dxa"/>
          </w:tcPr>
          <w:p w14:paraId="3D9835D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203-458-1</w:t>
            </w:r>
          </w:p>
        </w:tc>
        <w:tc>
          <w:tcPr>
            <w:tcW w:w="1279" w:type="dxa"/>
            <w:tcMar>
              <w:left w:w="28" w:type="dxa"/>
              <w:right w:w="28" w:type="dxa"/>
            </w:tcMar>
          </w:tcPr>
          <w:p w14:paraId="1355FA0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 xml:space="preserve">10 </w:t>
            </w:r>
          </w:p>
        </w:tc>
        <w:tc>
          <w:tcPr>
            <w:tcW w:w="1279" w:type="dxa"/>
            <w:tcMar>
              <w:left w:w="28" w:type="dxa"/>
              <w:right w:w="28" w:type="dxa"/>
            </w:tcMar>
          </w:tcPr>
          <w:p w14:paraId="6464D91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 xml:space="preserve">10 </w:t>
            </w:r>
          </w:p>
        </w:tc>
        <w:tc>
          <w:tcPr>
            <w:tcW w:w="1278" w:type="dxa"/>
            <w:tcMar>
              <w:left w:w="28" w:type="dxa"/>
              <w:right w:w="28" w:type="dxa"/>
            </w:tcMar>
          </w:tcPr>
          <w:p w14:paraId="0BE95AA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277" w:type="dxa"/>
            <w:tcMar>
              <w:left w:w="28" w:type="dxa"/>
              <w:right w:w="28" w:type="dxa"/>
            </w:tcMar>
          </w:tcPr>
          <w:p w14:paraId="124809A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136" w:type="dxa"/>
            <w:tcMar>
              <w:left w:w="28" w:type="dxa"/>
              <w:right w:w="28" w:type="dxa"/>
            </w:tcMar>
          </w:tcPr>
          <w:p w14:paraId="70A6C945"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49843D1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1153" w:type="dxa"/>
            <w:tcMar>
              <w:left w:w="28" w:type="dxa"/>
              <w:right w:w="28" w:type="dxa"/>
            </w:tcMar>
          </w:tcPr>
          <w:p w14:paraId="7128CA9C"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44F1BD68"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5DC9D075" w14:textId="77777777" w:rsidTr="00B551B3">
        <w:trPr>
          <w:gridBefore w:val="1"/>
          <w:wBefore w:w="12" w:type="dxa"/>
          <w:tblHeader/>
          <w:jc w:val="center"/>
        </w:trPr>
        <w:tc>
          <w:tcPr>
            <w:tcW w:w="834" w:type="dxa"/>
            <w:tcMar>
              <w:left w:w="28" w:type="dxa"/>
              <w:right w:w="28" w:type="dxa"/>
            </w:tcMar>
          </w:tcPr>
          <w:p w14:paraId="47977C79" w14:textId="77777777" w:rsidR="00B551B3" w:rsidRPr="00393250" w:rsidRDefault="00B551B3" w:rsidP="00B551B3">
            <w:pPr>
              <w:keepNext/>
              <w:widowControl/>
              <w:spacing w:before="40" w:after="40"/>
              <w:jc w:val="both"/>
              <w:rPr>
                <w:rFonts w:eastAsia="Calibri"/>
                <w:noProof/>
                <w:sz w:val="22"/>
                <w:szCs w:val="22"/>
                <w:lang w:eastAsia="en-US"/>
              </w:rPr>
            </w:pPr>
            <w:r w:rsidRPr="00393250">
              <w:rPr>
                <w:rFonts w:eastAsia="Calibri"/>
                <w:noProof/>
                <w:sz w:val="22"/>
                <w:szCs w:val="22"/>
                <w:lang w:eastAsia="en-US"/>
              </w:rPr>
              <w:t>(11)</w:t>
            </w:r>
          </w:p>
        </w:tc>
        <w:tc>
          <w:tcPr>
            <w:tcW w:w="2103" w:type="dxa"/>
            <w:gridSpan w:val="2"/>
            <w:tcMar>
              <w:left w:w="28" w:type="dxa"/>
              <w:right w:w="28" w:type="dxa"/>
            </w:tcMar>
          </w:tcPr>
          <w:p w14:paraId="198EFEF5"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Dichlormethan</w:t>
            </w:r>
          </w:p>
        </w:tc>
        <w:tc>
          <w:tcPr>
            <w:tcW w:w="1329" w:type="dxa"/>
            <w:tcMar>
              <w:left w:w="28" w:type="dxa"/>
              <w:right w:w="28" w:type="dxa"/>
            </w:tcMar>
          </w:tcPr>
          <w:p w14:paraId="1DD7BE0B"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Industristoffer</w:t>
            </w:r>
          </w:p>
        </w:tc>
        <w:tc>
          <w:tcPr>
            <w:tcW w:w="992" w:type="dxa"/>
            <w:tcMar>
              <w:left w:w="28" w:type="dxa"/>
              <w:right w:w="28" w:type="dxa"/>
            </w:tcMar>
          </w:tcPr>
          <w:p w14:paraId="78A278F2"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75-09-2</w:t>
            </w:r>
          </w:p>
        </w:tc>
        <w:tc>
          <w:tcPr>
            <w:tcW w:w="1134" w:type="dxa"/>
          </w:tcPr>
          <w:p w14:paraId="0C06CAA9"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200-838-9</w:t>
            </w:r>
          </w:p>
        </w:tc>
        <w:tc>
          <w:tcPr>
            <w:tcW w:w="1279" w:type="dxa"/>
            <w:tcMar>
              <w:left w:w="28" w:type="dxa"/>
              <w:right w:w="28" w:type="dxa"/>
            </w:tcMar>
          </w:tcPr>
          <w:p w14:paraId="7B997ADA"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20</w:t>
            </w:r>
          </w:p>
        </w:tc>
        <w:tc>
          <w:tcPr>
            <w:tcW w:w="1279" w:type="dxa"/>
            <w:tcMar>
              <w:left w:w="28" w:type="dxa"/>
              <w:right w:w="28" w:type="dxa"/>
            </w:tcMar>
          </w:tcPr>
          <w:p w14:paraId="4A0AE5A5"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20</w:t>
            </w:r>
          </w:p>
        </w:tc>
        <w:tc>
          <w:tcPr>
            <w:tcW w:w="1278" w:type="dxa"/>
            <w:tcMar>
              <w:left w:w="28" w:type="dxa"/>
              <w:right w:w="28" w:type="dxa"/>
            </w:tcMar>
          </w:tcPr>
          <w:p w14:paraId="1F18CCE0"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277" w:type="dxa"/>
            <w:tcMar>
              <w:left w:w="28" w:type="dxa"/>
              <w:right w:w="28" w:type="dxa"/>
            </w:tcMar>
          </w:tcPr>
          <w:p w14:paraId="1578705D"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136" w:type="dxa"/>
            <w:tcMar>
              <w:left w:w="28" w:type="dxa"/>
              <w:right w:w="28" w:type="dxa"/>
            </w:tcMar>
          </w:tcPr>
          <w:p w14:paraId="487B6219" w14:textId="77777777" w:rsidR="00B551B3" w:rsidRPr="00393250" w:rsidRDefault="00B551B3" w:rsidP="00B551B3">
            <w:pPr>
              <w:keepNext/>
              <w:widowControl/>
              <w:spacing w:before="40" w:after="40"/>
              <w:rPr>
                <w:rFonts w:eastAsia="Calibri"/>
                <w:noProof/>
                <w:sz w:val="22"/>
                <w:szCs w:val="22"/>
                <w:lang w:eastAsia="en-US"/>
              </w:rPr>
            </w:pPr>
          </w:p>
        </w:tc>
        <w:tc>
          <w:tcPr>
            <w:tcW w:w="1262" w:type="dxa"/>
            <w:tcMar>
              <w:left w:w="28" w:type="dxa"/>
              <w:right w:w="28" w:type="dxa"/>
            </w:tcMar>
          </w:tcPr>
          <w:p w14:paraId="406F2968" w14:textId="77777777" w:rsidR="00B551B3" w:rsidRPr="00393250" w:rsidRDefault="00B551B3" w:rsidP="00B551B3">
            <w:pPr>
              <w:keepNext/>
              <w:widowControl/>
              <w:spacing w:before="40" w:after="40"/>
              <w:rPr>
                <w:rFonts w:eastAsia="Calibri"/>
                <w:noProof/>
                <w:sz w:val="22"/>
                <w:szCs w:val="22"/>
                <w:lang w:eastAsia="en-US"/>
              </w:rPr>
            </w:pPr>
          </w:p>
        </w:tc>
        <w:tc>
          <w:tcPr>
            <w:tcW w:w="1153" w:type="dxa"/>
            <w:tcMar>
              <w:left w:w="28" w:type="dxa"/>
              <w:right w:w="28" w:type="dxa"/>
            </w:tcMar>
          </w:tcPr>
          <w:p w14:paraId="039449D6" w14:textId="77777777" w:rsidR="00B551B3" w:rsidRPr="00393250" w:rsidRDefault="00B551B3" w:rsidP="00B551B3">
            <w:pPr>
              <w:keepNext/>
              <w:widowControl/>
              <w:spacing w:before="40" w:after="40"/>
              <w:rPr>
                <w:rFonts w:eastAsia="Calibri"/>
                <w:noProof/>
                <w:sz w:val="22"/>
                <w:szCs w:val="22"/>
                <w:lang w:eastAsia="en-US"/>
              </w:rPr>
            </w:pPr>
          </w:p>
        </w:tc>
        <w:tc>
          <w:tcPr>
            <w:tcW w:w="970" w:type="dxa"/>
            <w:tcMar>
              <w:left w:w="28" w:type="dxa"/>
              <w:right w:w="28" w:type="dxa"/>
            </w:tcMar>
          </w:tcPr>
          <w:p w14:paraId="6AE13C0E" w14:textId="77777777" w:rsidR="00B551B3" w:rsidRPr="00393250" w:rsidRDefault="00B551B3" w:rsidP="00B551B3">
            <w:pPr>
              <w:keepNext/>
              <w:widowControl/>
              <w:spacing w:before="40" w:after="40"/>
              <w:rPr>
                <w:rFonts w:eastAsia="Calibri"/>
                <w:noProof/>
                <w:sz w:val="22"/>
                <w:szCs w:val="22"/>
                <w:lang w:eastAsia="en-US"/>
              </w:rPr>
            </w:pPr>
          </w:p>
        </w:tc>
      </w:tr>
      <w:tr w:rsidR="00B551B3" w:rsidRPr="00393250" w14:paraId="5ABB0235" w14:textId="77777777" w:rsidTr="00B551B3">
        <w:trPr>
          <w:gridBefore w:val="1"/>
          <w:wBefore w:w="12" w:type="dxa"/>
          <w:tblHeader/>
          <w:jc w:val="center"/>
        </w:trPr>
        <w:tc>
          <w:tcPr>
            <w:tcW w:w="834" w:type="dxa"/>
            <w:tcMar>
              <w:left w:w="28" w:type="dxa"/>
              <w:right w:w="28" w:type="dxa"/>
            </w:tcMar>
          </w:tcPr>
          <w:p w14:paraId="224EFD96"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(12)</w:t>
            </w:r>
          </w:p>
        </w:tc>
        <w:tc>
          <w:tcPr>
            <w:tcW w:w="2103" w:type="dxa"/>
            <w:gridSpan w:val="2"/>
            <w:tcMar>
              <w:left w:w="28" w:type="dxa"/>
              <w:right w:w="28" w:type="dxa"/>
            </w:tcMar>
          </w:tcPr>
          <w:p w14:paraId="4B63183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di(2-ethylhexyl)phthalat (DEHP)</w:t>
            </w:r>
          </w:p>
        </w:tc>
        <w:tc>
          <w:tcPr>
            <w:tcW w:w="1329" w:type="dxa"/>
            <w:tcMar>
              <w:left w:w="28" w:type="dxa"/>
              <w:right w:w="28" w:type="dxa"/>
            </w:tcMar>
          </w:tcPr>
          <w:p w14:paraId="33A5D79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Industristoffer</w:t>
            </w:r>
          </w:p>
        </w:tc>
        <w:tc>
          <w:tcPr>
            <w:tcW w:w="992" w:type="dxa"/>
            <w:tcMar>
              <w:left w:w="28" w:type="dxa"/>
              <w:right w:w="28" w:type="dxa"/>
            </w:tcMar>
          </w:tcPr>
          <w:p w14:paraId="7C4BB5B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117-81-7</w:t>
            </w:r>
          </w:p>
        </w:tc>
        <w:tc>
          <w:tcPr>
            <w:tcW w:w="1134" w:type="dxa"/>
          </w:tcPr>
          <w:p w14:paraId="7F87C1E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204-211-0</w:t>
            </w:r>
          </w:p>
        </w:tc>
        <w:tc>
          <w:tcPr>
            <w:tcW w:w="1279" w:type="dxa"/>
            <w:tcMar>
              <w:left w:w="28" w:type="dxa"/>
              <w:right w:w="28" w:type="dxa"/>
            </w:tcMar>
          </w:tcPr>
          <w:p w14:paraId="1626248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1,3</w:t>
            </w:r>
          </w:p>
        </w:tc>
        <w:tc>
          <w:tcPr>
            <w:tcW w:w="1279" w:type="dxa"/>
            <w:tcMar>
              <w:left w:w="28" w:type="dxa"/>
              <w:right w:w="28" w:type="dxa"/>
            </w:tcMar>
          </w:tcPr>
          <w:p w14:paraId="5053A9F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1,3</w:t>
            </w:r>
          </w:p>
        </w:tc>
        <w:tc>
          <w:tcPr>
            <w:tcW w:w="1278" w:type="dxa"/>
            <w:tcMar>
              <w:left w:w="28" w:type="dxa"/>
              <w:right w:w="28" w:type="dxa"/>
            </w:tcMar>
          </w:tcPr>
          <w:p w14:paraId="34ABD2D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277" w:type="dxa"/>
            <w:tcMar>
              <w:left w:w="28" w:type="dxa"/>
              <w:right w:w="28" w:type="dxa"/>
            </w:tcMar>
          </w:tcPr>
          <w:p w14:paraId="3EC4CD8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136" w:type="dxa"/>
            <w:tcMar>
              <w:left w:w="28" w:type="dxa"/>
              <w:right w:w="28" w:type="dxa"/>
            </w:tcMar>
          </w:tcPr>
          <w:p w14:paraId="1F0DE088"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726B7A2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1153" w:type="dxa"/>
            <w:tcMar>
              <w:left w:w="28" w:type="dxa"/>
              <w:right w:w="28" w:type="dxa"/>
            </w:tcMar>
          </w:tcPr>
          <w:p w14:paraId="20390AB9"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475D20A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6BAA01D4" w14:textId="77777777" w:rsidTr="00B551B3">
        <w:trPr>
          <w:gridBefore w:val="1"/>
          <w:wBefore w:w="12" w:type="dxa"/>
          <w:tblHeader/>
          <w:jc w:val="center"/>
        </w:trPr>
        <w:tc>
          <w:tcPr>
            <w:tcW w:w="834" w:type="dxa"/>
            <w:tcMar>
              <w:left w:w="28" w:type="dxa"/>
              <w:right w:w="28" w:type="dxa"/>
            </w:tcMar>
          </w:tcPr>
          <w:p w14:paraId="53508D09"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(13)</w:t>
            </w:r>
          </w:p>
        </w:tc>
        <w:tc>
          <w:tcPr>
            <w:tcW w:w="2103" w:type="dxa"/>
            <w:gridSpan w:val="2"/>
            <w:tcMar>
              <w:left w:w="28" w:type="dxa"/>
              <w:right w:w="28" w:type="dxa"/>
            </w:tcMar>
          </w:tcPr>
          <w:p w14:paraId="543F6DA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Diuron</w:t>
            </w:r>
          </w:p>
        </w:tc>
        <w:tc>
          <w:tcPr>
            <w:tcW w:w="1329" w:type="dxa"/>
            <w:tcMar>
              <w:left w:w="28" w:type="dxa"/>
              <w:right w:w="28" w:type="dxa"/>
            </w:tcMar>
          </w:tcPr>
          <w:p w14:paraId="205F9D2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Herbicider</w:t>
            </w:r>
          </w:p>
        </w:tc>
        <w:tc>
          <w:tcPr>
            <w:tcW w:w="992" w:type="dxa"/>
            <w:tcMar>
              <w:left w:w="28" w:type="dxa"/>
              <w:right w:w="28" w:type="dxa"/>
            </w:tcMar>
          </w:tcPr>
          <w:p w14:paraId="0F1BCA9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330-54-1</w:t>
            </w:r>
          </w:p>
        </w:tc>
        <w:tc>
          <w:tcPr>
            <w:tcW w:w="1134" w:type="dxa"/>
          </w:tcPr>
          <w:p w14:paraId="3836CC68" w14:textId="77777777" w:rsidR="00B551B3" w:rsidRPr="00393250" w:rsidRDefault="00B551B3" w:rsidP="00B551B3">
            <w:pPr>
              <w:widowControl/>
              <w:spacing w:before="40" w:after="40"/>
              <w:rPr>
                <w:rFonts w:eastAsia="Calibri"/>
                <w:strike/>
                <w:noProof/>
                <w:sz w:val="22"/>
                <w:szCs w:val="22"/>
                <w:lang w:eastAsia="en-US"/>
              </w:rPr>
            </w:pPr>
            <w:r w:rsidRPr="00393250">
              <w:rPr>
                <w:rFonts w:eastAsia="Calibri"/>
                <w:noProof/>
                <w:sz w:val="22"/>
                <w:szCs w:val="22"/>
                <w:lang w:eastAsia="en-US"/>
              </w:rPr>
              <w:t>206-354-4</w:t>
            </w:r>
          </w:p>
        </w:tc>
        <w:tc>
          <w:tcPr>
            <w:tcW w:w="1279" w:type="dxa"/>
            <w:tcMar>
              <w:left w:w="28" w:type="dxa"/>
              <w:right w:w="28" w:type="dxa"/>
            </w:tcMar>
          </w:tcPr>
          <w:p w14:paraId="294C804F" w14:textId="77777777" w:rsidR="00B551B3" w:rsidRPr="00393250" w:rsidRDefault="00B551B3" w:rsidP="00B551B3">
            <w:pPr>
              <w:widowControl/>
              <w:spacing w:before="40" w:after="40"/>
              <w:rPr>
                <w:rFonts w:eastAsia="Calibri"/>
                <w:strike/>
                <w:noProof/>
                <w:sz w:val="22"/>
                <w:szCs w:val="22"/>
                <w:lang w:eastAsia="en-US"/>
              </w:rPr>
            </w:pPr>
            <w:r w:rsidRPr="00393250">
              <w:rPr>
                <w:rFonts w:eastAsia="Calibri"/>
                <w:noProof/>
                <w:sz w:val="22"/>
                <w:szCs w:val="22"/>
                <w:lang w:eastAsia="en-US"/>
              </w:rPr>
              <w:t>0,049</w:t>
            </w:r>
          </w:p>
        </w:tc>
        <w:tc>
          <w:tcPr>
            <w:tcW w:w="1279" w:type="dxa"/>
            <w:tcMar>
              <w:left w:w="28" w:type="dxa"/>
              <w:right w:w="28" w:type="dxa"/>
            </w:tcMar>
          </w:tcPr>
          <w:p w14:paraId="76E317F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0,0049</w:t>
            </w:r>
          </w:p>
        </w:tc>
        <w:tc>
          <w:tcPr>
            <w:tcW w:w="1278" w:type="dxa"/>
            <w:tcMar>
              <w:left w:w="28" w:type="dxa"/>
              <w:right w:w="28" w:type="dxa"/>
            </w:tcMar>
          </w:tcPr>
          <w:p w14:paraId="011B1A3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0,27</w:t>
            </w:r>
          </w:p>
        </w:tc>
        <w:tc>
          <w:tcPr>
            <w:tcW w:w="1277" w:type="dxa"/>
            <w:tcMar>
              <w:left w:w="28" w:type="dxa"/>
              <w:right w:w="28" w:type="dxa"/>
            </w:tcMar>
          </w:tcPr>
          <w:p w14:paraId="07C9DF3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0,054</w:t>
            </w:r>
          </w:p>
        </w:tc>
        <w:tc>
          <w:tcPr>
            <w:tcW w:w="1136" w:type="dxa"/>
            <w:tcMar>
              <w:left w:w="28" w:type="dxa"/>
              <w:right w:w="28" w:type="dxa"/>
            </w:tcMar>
          </w:tcPr>
          <w:p w14:paraId="6685FB87"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3D0F639D" w14:textId="77777777" w:rsidR="00B551B3" w:rsidRPr="00393250" w:rsidRDefault="00B551B3" w:rsidP="00B551B3">
            <w:pPr>
              <w:widowControl/>
              <w:spacing w:before="40" w:after="40"/>
              <w:rPr>
                <w:rFonts w:eastAsia="Calibri"/>
                <w:noProof/>
                <w:sz w:val="22"/>
                <w:szCs w:val="22"/>
                <w:lang w:eastAsia="en-US"/>
              </w:rPr>
            </w:pPr>
          </w:p>
        </w:tc>
        <w:tc>
          <w:tcPr>
            <w:tcW w:w="1153" w:type="dxa"/>
            <w:tcMar>
              <w:left w:w="28" w:type="dxa"/>
              <w:right w:w="28" w:type="dxa"/>
            </w:tcMar>
          </w:tcPr>
          <w:p w14:paraId="126D600B"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090A4FF4"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047473B6" w14:textId="77777777" w:rsidTr="00B551B3">
        <w:trPr>
          <w:gridBefore w:val="1"/>
          <w:wBefore w:w="12" w:type="dxa"/>
          <w:tblHeader/>
          <w:jc w:val="center"/>
        </w:trPr>
        <w:tc>
          <w:tcPr>
            <w:tcW w:w="834" w:type="dxa"/>
            <w:tcMar>
              <w:left w:w="28" w:type="dxa"/>
              <w:right w:w="28" w:type="dxa"/>
            </w:tcMar>
          </w:tcPr>
          <w:p w14:paraId="74151913"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(14)</w:t>
            </w:r>
          </w:p>
        </w:tc>
        <w:tc>
          <w:tcPr>
            <w:tcW w:w="2103" w:type="dxa"/>
            <w:gridSpan w:val="2"/>
            <w:tcMar>
              <w:left w:w="28" w:type="dxa"/>
              <w:right w:w="28" w:type="dxa"/>
            </w:tcMar>
          </w:tcPr>
          <w:p w14:paraId="686FDFD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Endosulfan</w:t>
            </w:r>
          </w:p>
        </w:tc>
        <w:tc>
          <w:tcPr>
            <w:tcW w:w="1329" w:type="dxa"/>
            <w:tcMar>
              <w:left w:w="28" w:type="dxa"/>
              <w:right w:w="28" w:type="dxa"/>
            </w:tcMar>
          </w:tcPr>
          <w:p w14:paraId="26EC2C2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Organiske klorerede pesticider</w:t>
            </w:r>
          </w:p>
        </w:tc>
        <w:tc>
          <w:tcPr>
            <w:tcW w:w="992" w:type="dxa"/>
            <w:tcMar>
              <w:left w:w="28" w:type="dxa"/>
              <w:right w:w="28" w:type="dxa"/>
            </w:tcMar>
          </w:tcPr>
          <w:p w14:paraId="4D65B7B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115-29-7</w:t>
            </w:r>
          </w:p>
        </w:tc>
        <w:tc>
          <w:tcPr>
            <w:tcW w:w="1134" w:type="dxa"/>
          </w:tcPr>
          <w:p w14:paraId="5245DD7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204-079-4</w:t>
            </w:r>
          </w:p>
        </w:tc>
        <w:tc>
          <w:tcPr>
            <w:tcW w:w="1279" w:type="dxa"/>
            <w:tcMar>
              <w:left w:w="28" w:type="dxa"/>
              <w:right w:w="28" w:type="dxa"/>
            </w:tcMar>
          </w:tcPr>
          <w:p w14:paraId="5D4F07D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0,005</w:t>
            </w:r>
          </w:p>
        </w:tc>
        <w:tc>
          <w:tcPr>
            <w:tcW w:w="1279" w:type="dxa"/>
            <w:tcMar>
              <w:left w:w="28" w:type="dxa"/>
              <w:right w:w="28" w:type="dxa"/>
            </w:tcMar>
          </w:tcPr>
          <w:p w14:paraId="3BEC672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0,0005</w:t>
            </w:r>
          </w:p>
        </w:tc>
        <w:tc>
          <w:tcPr>
            <w:tcW w:w="1278" w:type="dxa"/>
            <w:tcMar>
              <w:left w:w="28" w:type="dxa"/>
              <w:right w:w="28" w:type="dxa"/>
            </w:tcMar>
          </w:tcPr>
          <w:p w14:paraId="773DDE7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0,01</w:t>
            </w:r>
          </w:p>
        </w:tc>
        <w:tc>
          <w:tcPr>
            <w:tcW w:w="1277" w:type="dxa"/>
            <w:tcMar>
              <w:left w:w="28" w:type="dxa"/>
              <w:right w:w="28" w:type="dxa"/>
            </w:tcMar>
          </w:tcPr>
          <w:p w14:paraId="1B8B736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0,004</w:t>
            </w:r>
          </w:p>
        </w:tc>
        <w:tc>
          <w:tcPr>
            <w:tcW w:w="1136" w:type="dxa"/>
            <w:tcMar>
              <w:left w:w="28" w:type="dxa"/>
              <w:right w:w="28" w:type="dxa"/>
            </w:tcMar>
          </w:tcPr>
          <w:p w14:paraId="4FD66AD1"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6FCCA33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1153" w:type="dxa"/>
            <w:tcMar>
              <w:left w:w="28" w:type="dxa"/>
              <w:right w:w="28" w:type="dxa"/>
            </w:tcMar>
          </w:tcPr>
          <w:p w14:paraId="189DBC1D"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76465D41"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4CA33A2B" w14:textId="77777777" w:rsidTr="00B551B3">
        <w:trPr>
          <w:gridBefore w:val="1"/>
          <w:wBefore w:w="12" w:type="dxa"/>
          <w:tblHeader/>
          <w:jc w:val="center"/>
        </w:trPr>
        <w:tc>
          <w:tcPr>
            <w:tcW w:w="834" w:type="dxa"/>
            <w:tcMar>
              <w:left w:w="28" w:type="dxa"/>
              <w:right w:w="28" w:type="dxa"/>
            </w:tcMar>
          </w:tcPr>
          <w:p w14:paraId="0287D294"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(15)</w:t>
            </w:r>
          </w:p>
        </w:tc>
        <w:tc>
          <w:tcPr>
            <w:tcW w:w="2103" w:type="dxa"/>
            <w:gridSpan w:val="2"/>
            <w:tcMar>
              <w:left w:w="28" w:type="dxa"/>
              <w:right w:w="28" w:type="dxa"/>
            </w:tcMar>
          </w:tcPr>
          <w:p w14:paraId="2FA639D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Fluoranthen</w:t>
            </w:r>
          </w:p>
        </w:tc>
        <w:tc>
          <w:tcPr>
            <w:tcW w:w="1329" w:type="dxa"/>
            <w:tcMar>
              <w:left w:w="28" w:type="dxa"/>
              <w:right w:w="28" w:type="dxa"/>
            </w:tcMar>
          </w:tcPr>
          <w:p w14:paraId="170641F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 xml:space="preserve">Industristoffer </w:t>
            </w:r>
          </w:p>
        </w:tc>
        <w:tc>
          <w:tcPr>
            <w:tcW w:w="992" w:type="dxa"/>
            <w:tcMar>
              <w:left w:w="28" w:type="dxa"/>
              <w:right w:w="28" w:type="dxa"/>
            </w:tcMar>
          </w:tcPr>
          <w:p w14:paraId="661E063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206-44-0</w:t>
            </w:r>
          </w:p>
        </w:tc>
        <w:tc>
          <w:tcPr>
            <w:tcW w:w="1134" w:type="dxa"/>
          </w:tcPr>
          <w:p w14:paraId="28E213A6" w14:textId="77777777" w:rsidR="00B551B3" w:rsidRPr="00393250" w:rsidRDefault="00B551B3" w:rsidP="00B551B3">
            <w:pPr>
              <w:widowControl/>
              <w:spacing w:before="40" w:after="40"/>
              <w:rPr>
                <w:rFonts w:eastAsia="Calibri"/>
                <w:strike/>
                <w:noProof/>
                <w:sz w:val="22"/>
                <w:szCs w:val="22"/>
                <w:lang w:eastAsia="en-US"/>
              </w:rPr>
            </w:pPr>
            <w:r w:rsidRPr="00393250">
              <w:rPr>
                <w:rFonts w:eastAsia="Calibri"/>
                <w:noProof/>
                <w:sz w:val="22"/>
                <w:szCs w:val="22"/>
                <w:lang w:eastAsia="en-US"/>
              </w:rPr>
              <w:t>205-912-4</w:t>
            </w:r>
          </w:p>
        </w:tc>
        <w:tc>
          <w:tcPr>
            <w:tcW w:w="1279" w:type="dxa"/>
            <w:tcMar>
              <w:left w:w="28" w:type="dxa"/>
              <w:right w:w="28" w:type="dxa"/>
            </w:tcMar>
          </w:tcPr>
          <w:p w14:paraId="041897B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7,62 × 10</w:t>
            </w:r>
            <w:r w:rsidRPr="00393250">
              <w:rPr>
                <w:rFonts w:eastAsia="Calibri"/>
                <w:noProof/>
                <w:sz w:val="22"/>
                <w:szCs w:val="22"/>
                <w:vertAlign w:val="superscript"/>
                <w:lang w:eastAsia="en-US"/>
              </w:rPr>
              <w:t>-4</w:t>
            </w:r>
          </w:p>
        </w:tc>
        <w:tc>
          <w:tcPr>
            <w:tcW w:w="1279" w:type="dxa"/>
            <w:tcMar>
              <w:left w:w="28" w:type="dxa"/>
              <w:right w:w="28" w:type="dxa"/>
            </w:tcMar>
          </w:tcPr>
          <w:p w14:paraId="3E80AA6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7,62 × 10</w:t>
            </w:r>
            <w:r w:rsidRPr="00393250">
              <w:rPr>
                <w:rFonts w:eastAsia="Calibri"/>
                <w:noProof/>
                <w:sz w:val="22"/>
                <w:szCs w:val="22"/>
                <w:vertAlign w:val="superscript"/>
                <w:lang w:eastAsia="en-US"/>
              </w:rPr>
              <w:t>-4</w:t>
            </w:r>
          </w:p>
        </w:tc>
        <w:tc>
          <w:tcPr>
            <w:tcW w:w="1278" w:type="dxa"/>
            <w:tcMar>
              <w:left w:w="28" w:type="dxa"/>
              <w:right w:w="28" w:type="dxa"/>
            </w:tcMar>
          </w:tcPr>
          <w:p w14:paraId="691645B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0,12</w:t>
            </w:r>
          </w:p>
        </w:tc>
        <w:tc>
          <w:tcPr>
            <w:tcW w:w="1277" w:type="dxa"/>
            <w:tcMar>
              <w:left w:w="28" w:type="dxa"/>
              <w:right w:w="28" w:type="dxa"/>
            </w:tcMar>
          </w:tcPr>
          <w:p w14:paraId="167CCFC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0,012</w:t>
            </w:r>
          </w:p>
        </w:tc>
        <w:tc>
          <w:tcPr>
            <w:tcW w:w="1136" w:type="dxa"/>
            <w:tcMar>
              <w:left w:w="28" w:type="dxa"/>
              <w:right w:w="28" w:type="dxa"/>
            </w:tcMar>
          </w:tcPr>
          <w:p w14:paraId="4D3BC06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6,1</w:t>
            </w:r>
          </w:p>
        </w:tc>
        <w:tc>
          <w:tcPr>
            <w:tcW w:w="1262" w:type="dxa"/>
            <w:tcMar>
              <w:left w:w="28" w:type="dxa"/>
              <w:right w:w="28" w:type="dxa"/>
            </w:tcMar>
          </w:tcPr>
          <w:p w14:paraId="0851620D" w14:textId="77777777" w:rsidR="00B551B3" w:rsidRPr="00393250" w:rsidRDefault="00B551B3" w:rsidP="00B551B3">
            <w:pPr>
              <w:widowControl/>
              <w:spacing w:before="40" w:after="40"/>
              <w:rPr>
                <w:rFonts w:eastAsia="Calibri"/>
                <w:strike/>
                <w:noProof/>
                <w:sz w:val="22"/>
                <w:szCs w:val="22"/>
                <w:lang w:eastAsia="en-US"/>
              </w:rPr>
            </w:pPr>
            <w:r w:rsidRPr="00393250">
              <w:rPr>
                <w:rFonts w:eastAsia="Calibri"/>
                <w:noProof/>
                <w:sz w:val="22"/>
                <w:szCs w:val="22"/>
                <w:lang w:eastAsia="en-US"/>
              </w:rPr>
              <w:t>X</w:t>
            </w:r>
          </w:p>
        </w:tc>
        <w:tc>
          <w:tcPr>
            <w:tcW w:w="1153" w:type="dxa"/>
            <w:tcMar>
              <w:left w:w="28" w:type="dxa"/>
              <w:right w:w="28" w:type="dxa"/>
            </w:tcMar>
          </w:tcPr>
          <w:p w14:paraId="352B416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970" w:type="dxa"/>
            <w:tcMar>
              <w:left w:w="28" w:type="dxa"/>
              <w:right w:w="28" w:type="dxa"/>
            </w:tcMar>
          </w:tcPr>
          <w:p w14:paraId="5778B42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42906720" w14:textId="77777777" w:rsidTr="00B551B3">
        <w:trPr>
          <w:gridBefore w:val="1"/>
          <w:wBefore w:w="12" w:type="dxa"/>
          <w:tblHeader/>
          <w:jc w:val="center"/>
        </w:trPr>
        <w:tc>
          <w:tcPr>
            <w:tcW w:w="834" w:type="dxa"/>
            <w:tcMar>
              <w:left w:w="28" w:type="dxa"/>
              <w:right w:w="28" w:type="dxa"/>
            </w:tcMar>
          </w:tcPr>
          <w:p w14:paraId="2CFB57D8"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(16)</w:t>
            </w:r>
          </w:p>
        </w:tc>
        <w:tc>
          <w:tcPr>
            <w:tcW w:w="2103" w:type="dxa"/>
            <w:gridSpan w:val="2"/>
            <w:tcMar>
              <w:left w:w="28" w:type="dxa"/>
              <w:right w:w="28" w:type="dxa"/>
            </w:tcMar>
          </w:tcPr>
          <w:p w14:paraId="4165B33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Hexachlorbenzen</w:t>
            </w:r>
          </w:p>
        </w:tc>
        <w:tc>
          <w:tcPr>
            <w:tcW w:w="1329" w:type="dxa"/>
            <w:tcMar>
              <w:left w:w="28" w:type="dxa"/>
              <w:right w:w="28" w:type="dxa"/>
            </w:tcMar>
          </w:tcPr>
          <w:p w14:paraId="759A06B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Organiske klorerede pesticider</w:t>
            </w:r>
          </w:p>
        </w:tc>
        <w:tc>
          <w:tcPr>
            <w:tcW w:w="992" w:type="dxa"/>
            <w:tcMar>
              <w:left w:w="28" w:type="dxa"/>
              <w:right w:w="28" w:type="dxa"/>
            </w:tcMar>
          </w:tcPr>
          <w:p w14:paraId="3100BFB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118-74-1</w:t>
            </w:r>
          </w:p>
        </w:tc>
        <w:tc>
          <w:tcPr>
            <w:tcW w:w="1134" w:type="dxa"/>
          </w:tcPr>
          <w:p w14:paraId="04C6FD7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204-273-9</w:t>
            </w:r>
          </w:p>
        </w:tc>
        <w:tc>
          <w:tcPr>
            <w:tcW w:w="1279" w:type="dxa"/>
            <w:tcMar>
              <w:left w:w="28" w:type="dxa"/>
              <w:right w:w="28" w:type="dxa"/>
            </w:tcMar>
          </w:tcPr>
          <w:p w14:paraId="60F56922" w14:textId="77777777" w:rsidR="00B551B3" w:rsidRPr="00393250" w:rsidRDefault="00B551B3" w:rsidP="00B551B3">
            <w:pPr>
              <w:widowControl/>
              <w:spacing w:before="40" w:after="40"/>
              <w:rPr>
                <w:rFonts w:eastAsia="Calibri"/>
                <w:noProof/>
                <w:sz w:val="22"/>
                <w:szCs w:val="22"/>
                <w:lang w:eastAsia="en-US"/>
              </w:rPr>
            </w:pPr>
          </w:p>
        </w:tc>
        <w:tc>
          <w:tcPr>
            <w:tcW w:w="1279" w:type="dxa"/>
            <w:tcMar>
              <w:left w:w="28" w:type="dxa"/>
              <w:right w:w="28" w:type="dxa"/>
            </w:tcMar>
          </w:tcPr>
          <w:p w14:paraId="41CF2713" w14:textId="77777777" w:rsidR="00B551B3" w:rsidRPr="00393250" w:rsidRDefault="00B551B3" w:rsidP="00B551B3">
            <w:pPr>
              <w:widowControl/>
              <w:spacing w:before="40" w:after="40"/>
              <w:rPr>
                <w:rFonts w:eastAsia="Calibri"/>
                <w:noProof/>
                <w:sz w:val="22"/>
                <w:szCs w:val="22"/>
                <w:lang w:eastAsia="en-US"/>
              </w:rPr>
            </w:pPr>
          </w:p>
        </w:tc>
        <w:tc>
          <w:tcPr>
            <w:tcW w:w="1278" w:type="dxa"/>
            <w:tcMar>
              <w:left w:w="28" w:type="dxa"/>
              <w:right w:w="28" w:type="dxa"/>
            </w:tcMar>
          </w:tcPr>
          <w:p w14:paraId="431AE90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0,5</w:t>
            </w:r>
          </w:p>
        </w:tc>
        <w:tc>
          <w:tcPr>
            <w:tcW w:w="1277" w:type="dxa"/>
            <w:tcMar>
              <w:left w:w="28" w:type="dxa"/>
              <w:right w:w="28" w:type="dxa"/>
            </w:tcMar>
          </w:tcPr>
          <w:p w14:paraId="7A6BA02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0,05</w:t>
            </w:r>
          </w:p>
        </w:tc>
        <w:tc>
          <w:tcPr>
            <w:tcW w:w="1136" w:type="dxa"/>
            <w:tcMar>
              <w:left w:w="28" w:type="dxa"/>
              <w:right w:w="28" w:type="dxa"/>
            </w:tcMar>
          </w:tcPr>
          <w:p w14:paraId="0DEC628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w:t>
            </w:r>
          </w:p>
        </w:tc>
        <w:tc>
          <w:tcPr>
            <w:tcW w:w="1262" w:type="dxa"/>
            <w:tcMar>
              <w:left w:w="28" w:type="dxa"/>
              <w:right w:w="28" w:type="dxa"/>
            </w:tcMar>
          </w:tcPr>
          <w:p w14:paraId="408D4EE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1153" w:type="dxa"/>
            <w:tcMar>
              <w:left w:w="28" w:type="dxa"/>
              <w:right w:w="28" w:type="dxa"/>
            </w:tcMar>
          </w:tcPr>
          <w:p w14:paraId="0819D189"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61883CC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391A80B7" w14:textId="77777777" w:rsidTr="00B551B3">
        <w:trPr>
          <w:gridBefore w:val="1"/>
          <w:wBefore w:w="12" w:type="dxa"/>
          <w:tblHeader/>
          <w:jc w:val="center"/>
        </w:trPr>
        <w:tc>
          <w:tcPr>
            <w:tcW w:w="834" w:type="dxa"/>
            <w:tcMar>
              <w:left w:w="28" w:type="dxa"/>
              <w:right w:w="28" w:type="dxa"/>
            </w:tcMar>
          </w:tcPr>
          <w:p w14:paraId="38D0FF62"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(17)</w:t>
            </w:r>
          </w:p>
        </w:tc>
        <w:tc>
          <w:tcPr>
            <w:tcW w:w="2103" w:type="dxa"/>
            <w:gridSpan w:val="2"/>
            <w:tcMar>
              <w:left w:w="28" w:type="dxa"/>
              <w:right w:w="28" w:type="dxa"/>
            </w:tcMar>
          </w:tcPr>
          <w:p w14:paraId="44E2146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Hexachlorobutadien EF-nr.</w:t>
            </w:r>
          </w:p>
        </w:tc>
        <w:tc>
          <w:tcPr>
            <w:tcW w:w="1329" w:type="dxa"/>
            <w:tcMar>
              <w:left w:w="28" w:type="dxa"/>
              <w:right w:w="28" w:type="dxa"/>
            </w:tcMar>
          </w:tcPr>
          <w:p w14:paraId="3035063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Industristoffer (opløsningsmidler)</w:t>
            </w:r>
          </w:p>
        </w:tc>
        <w:tc>
          <w:tcPr>
            <w:tcW w:w="992" w:type="dxa"/>
            <w:tcMar>
              <w:left w:w="28" w:type="dxa"/>
              <w:right w:w="28" w:type="dxa"/>
            </w:tcMar>
          </w:tcPr>
          <w:p w14:paraId="7D3D17B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87-68-3</w:t>
            </w:r>
          </w:p>
        </w:tc>
        <w:tc>
          <w:tcPr>
            <w:tcW w:w="1134" w:type="dxa"/>
          </w:tcPr>
          <w:p w14:paraId="2BC2D0B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201-765-5</w:t>
            </w:r>
          </w:p>
        </w:tc>
        <w:tc>
          <w:tcPr>
            <w:tcW w:w="1279" w:type="dxa"/>
            <w:tcMar>
              <w:left w:w="28" w:type="dxa"/>
              <w:right w:w="28" w:type="dxa"/>
            </w:tcMar>
          </w:tcPr>
          <w:p w14:paraId="6BCE009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9 × 10</w:t>
            </w:r>
            <w:r w:rsidRPr="00393250">
              <w:rPr>
                <w:rFonts w:eastAsia="Calibri"/>
                <w:noProof/>
                <w:sz w:val="22"/>
                <w:szCs w:val="22"/>
                <w:vertAlign w:val="superscript"/>
                <w:lang w:eastAsia="en-US"/>
              </w:rPr>
              <w:t>-4</w:t>
            </w:r>
          </w:p>
        </w:tc>
        <w:tc>
          <w:tcPr>
            <w:tcW w:w="1279" w:type="dxa"/>
            <w:tcMar>
              <w:left w:w="28" w:type="dxa"/>
              <w:right w:w="28" w:type="dxa"/>
            </w:tcMar>
          </w:tcPr>
          <w:p w14:paraId="58F91085" w14:textId="77777777" w:rsidR="00B551B3" w:rsidRPr="00393250" w:rsidRDefault="00B551B3" w:rsidP="00B551B3">
            <w:pPr>
              <w:widowControl/>
              <w:spacing w:before="40" w:after="40"/>
              <w:rPr>
                <w:rFonts w:eastAsia="Calibri"/>
                <w:noProof/>
                <w:sz w:val="22"/>
                <w:szCs w:val="22"/>
                <w:lang w:eastAsia="en-US"/>
              </w:rPr>
            </w:pPr>
          </w:p>
        </w:tc>
        <w:tc>
          <w:tcPr>
            <w:tcW w:w="1278" w:type="dxa"/>
            <w:tcMar>
              <w:left w:w="28" w:type="dxa"/>
              <w:right w:w="28" w:type="dxa"/>
            </w:tcMar>
          </w:tcPr>
          <w:p w14:paraId="65FBA7B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0,6</w:t>
            </w:r>
          </w:p>
        </w:tc>
        <w:tc>
          <w:tcPr>
            <w:tcW w:w="1277" w:type="dxa"/>
            <w:tcMar>
              <w:left w:w="28" w:type="dxa"/>
              <w:right w:w="28" w:type="dxa"/>
            </w:tcMar>
          </w:tcPr>
          <w:p w14:paraId="025EED4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0,6</w:t>
            </w:r>
          </w:p>
        </w:tc>
        <w:tc>
          <w:tcPr>
            <w:tcW w:w="1136" w:type="dxa"/>
            <w:tcMar>
              <w:left w:w="28" w:type="dxa"/>
              <w:right w:w="28" w:type="dxa"/>
            </w:tcMar>
          </w:tcPr>
          <w:p w14:paraId="0EC2958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21</w:t>
            </w:r>
          </w:p>
        </w:tc>
        <w:tc>
          <w:tcPr>
            <w:tcW w:w="1262" w:type="dxa"/>
            <w:tcMar>
              <w:left w:w="28" w:type="dxa"/>
              <w:right w:w="28" w:type="dxa"/>
            </w:tcMar>
          </w:tcPr>
          <w:p w14:paraId="59EF9E8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1153" w:type="dxa"/>
            <w:tcMar>
              <w:left w:w="28" w:type="dxa"/>
              <w:right w:w="28" w:type="dxa"/>
            </w:tcMar>
          </w:tcPr>
          <w:p w14:paraId="58A2B31B"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74BE06D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7EF342A6" w14:textId="77777777" w:rsidTr="00B551B3">
        <w:trPr>
          <w:gridBefore w:val="1"/>
          <w:wBefore w:w="12" w:type="dxa"/>
          <w:tblHeader/>
          <w:jc w:val="center"/>
        </w:trPr>
        <w:tc>
          <w:tcPr>
            <w:tcW w:w="834" w:type="dxa"/>
            <w:tcMar>
              <w:left w:w="28" w:type="dxa"/>
              <w:right w:w="28" w:type="dxa"/>
            </w:tcMar>
          </w:tcPr>
          <w:p w14:paraId="48C8AEF1"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(18)</w:t>
            </w:r>
          </w:p>
        </w:tc>
        <w:tc>
          <w:tcPr>
            <w:tcW w:w="2103" w:type="dxa"/>
            <w:gridSpan w:val="2"/>
            <w:tcMar>
              <w:left w:w="28" w:type="dxa"/>
              <w:right w:w="28" w:type="dxa"/>
            </w:tcMar>
          </w:tcPr>
          <w:p w14:paraId="55EC31C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Hexachlorcyclohexan</w:t>
            </w:r>
          </w:p>
        </w:tc>
        <w:tc>
          <w:tcPr>
            <w:tcW w:w="1329" w:type="dxa"/>
            <w:tcMar>
              <w:left w:w="28" w:type="dxa"/>
              <w:right w:w="28" w:type="dxa"/>
            </w:tcMar>
          </w:tcPr>
          <w:p w14:paraId="613FBF5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Insekticider</w:t>
            </w:r>
          </w:p>
        </w:tc>
        <w:tc>
          <w:tcPr>
            <w:tcW w:w="992" w:type="dxa"/>
            <w:tcMar>
              <w:left w:w="28" w:type="dxa"/>
              <w:right w:w="28" w:type="dxa"/>
            </w:tcMar>
          </w:tcPr>
          <w:p w14:paraId="659D6BF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608-73-1</w:t>
            </w:r>
          </w:p>
        </w:tc>
        <w:tc>
          <w:tcPr>
            <w:tcW w:w="1134" w:type="dxa"/>
          </w:tcPr>
          <w:p w14:paraId="6342BA8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210-168-9</w:t>
            </w:r>
          </w:p>
        </w:tc>
        <w:tc>
          <w:tcPr>
            <w:tcW w:w="1279" w:type="dxa"/>
            <w:tcMar>
              <w:left w:w="28" w:type="dxa"/>
              <w:right w:w="28" w:type="dxa"/>
            </w:tcMar>
          </w:tcPr>
          <w:p w14:paraId="11FA3C1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0,02</w:t>
            </w:r>
          </w:p>
        </w:tc>
        <w:tc>
          <w:tcPr>
            <w:tcW w:w="1279" w:type="dxa"/>
            <w:tcMar>
              <w:left w:w="28" w:type="dxa"/>
              <w:right w:w="28" w:type="dxa"/>
            </w:tcMar>
          </w:tcPr>
          <w:p w14:paraId="47E0D61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0,002</w:t>
            </w:r>
          </w:p>
        </w:tc>
        <w:tc>
          <w:tcPr>
            <w:tcW w:w="1278" w:type="dxa"/>
            <w:tcMar>
              <w:left w:w="28" w:type="dxa"/>
              <w:right w:w="28" w:type="dxa"/>
            </w:tcMar>
          </w:tcPr>
          <w:p w14:paraId="1781002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0,04</w:t>
            </w:r>
          </w:p>
        </w:tc>
        <w:tc>
          <w:tcPr>
            <w:tcW w:w="1277" w:type="dxa"/>
            <w:tcMar>
              <w:left w:w="28" w:type="dxa"/>
              <w:right w:w="28" w:type="dxa"/>
            </w:tcMar>
          </w:tcPr>
          <w:p w14:paraId="4AEE9D1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0,02</w:t>
            </w:r>
          </w:p>
        </w:tc>
        <w:tc>
          <w:tcPr>
            <w:tcW w:w="1136" w:type="dxa"/>
            <w:tcMar>
              <w:left w:w="28" w:type="dxa"/>
              <w:right w:w="28" w:type="dxa"/>
            </w:tcMar>
          </w:tcPr>
          <w:p w14:paraId="3F0CA663"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6357FE8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1153" w:type="dxa"/>
            <w:tcMar>
              <w:left w:w="28" w:type="dxa"/>
              <w:right w:w="28" w:type="dxa"/>
            </w:tcMar>
          </w:tcPr>
          <w:p w14:paraId="41CD5837"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7DBE0C8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3372BB33" w14:textId="77777777" w:rsidTr="00B551B3">
        <w:trPr>
          <w:gridBefore w:val="1"/>
          <w:wBefore w:w="12" w:type="dxa"/>
          <w:tblHeader/>
          <w:jc w:val="center"/>
        </w:trPr>
        <w:tc>
          <w:tcPr>
            <w:tcW w:w="834" w:type="dxa"/>
            <w:tcMar>
              <w:left w:w="28" w:type="dxa"/>
              <w:right w:w="28" w:type="dxa"/>
            </w:tcMar>
          </w:tcPr>
          <w:p w14:paraId="5550CFB7"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(19)</w:t>
            </w:r>
          </w:p>
        </w:tc>
        <w:tc>
          <w:tcPr>
            <w:tcW w:w="2103" w:type="dxa"/>
            <w:gridSpan w:val="2"/>
            <w:tcMar>
              <w:left w:w="28" w:type="dxa"/>
              <w:right w:w="28" w:type="dxa"/>
            </w:tcMar>
          </w:tcPr>
          <w:p w14:paraId="183D919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Isoproturon</w:t>
            </w:r>
          </w:p>
        </w:tc>
        <w:tc>
          <w:tcPr>
            <w:tcW w:w="1329" w:type="dxa"/>
            <w:tcMar>
              <w:left w:w="28" w:type="dxa"/>
              <w:right w:w="28" w:type="dxa"/>
            </w:tcMar>
          </w:tcPr>
          <w:p w14:paraId="0D07669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Herbicider</w:t>
            </w:r>
          </w:p>
        </w:tc>
        <w:tc>
          <w:tcPr>
            <w:tcW w:w="992" w:type="dxa"/>
            <w:tcMar>
              <w:left w:w="28" w:type="dxa"/>
              <w:right w:w="28" w:type="dxa"/>
            </w:tcMar>
          </w:tcPr>
          <w:p w14:paraId="6FF65CD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34123-59-6</w:t>
            </w:r>
          </w:p>
        </w:tc>
        <w:tc>
          <w:tcPr>
            <w:tcW w:w="1134" w:type="dxa"/>
          </w:tcPr>
          <w:p w14:paraId="59542BE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251-835-4</w:t>
            </w:r>
          </w:p>
        </w:tc>
        <w:tc>
          <w:tcPr>
            <w:tcW w:w="1279" w:type="dxa"/>
            <w:tcMar>
              <w:left w:w="28" w:type="dxa"/>
              <w:right w:w="28" w:type="dxa"/>
            </w:tcMar>
          </w:tcPr>
          <w:p w14:paraId="0D24EC3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0,3</w:t>
            </w:r>
          </w:p>
        </w:tc>
        <w:tc>
          <w:tcPr>
            <w:tcW w:w="1279" w:type="dxa"/>
            <w:tcMar>
              <w:left w:w="28" w:type="dxa"/>
              <w:right w:w="28" w:type="dxa"/>
            </w:tcMar>
          </w:tcPr>
          <w:p w14:paraId="5C862B9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0,3</w:t>
            </w:r>
          </w:p>
        </w:tc>
        <w:tc>
          <w:tcPr>
            <w:tcW w:w="1278" w:type="dxa"/>
            <w:tcMar>
              <w:left w:w="28" w:type="dxa"/>
              <w:right w:w="28" w:type="dxa"/>
            </w:tcMar>
          </w:tcPr>
          <w:p w14:paraId="2243B34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1,0</w:t>
            </w:r>
          </w:p>
        </w:tc>
        <w:tc>
          <w:tcPr>
            <w:tcW w:w="1277" w:type="dxa"/>
            <w:tcMar>
              <w:left w:w="28" w:type="dxa"/>
              <w:right w:w="28" w:type="dxa"/>
            </w:tcMar>
          </w:tcPr>
          <w:p w14:paraId="1A424A3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1,0</w:t>
            </w:r>
          </w:p>
        </w:tc>
        <w:tc>
          <w:tcPr>
            <w:tcW w:w="1136" w:type="dxa"/>
            <w:tcMar>
              <w:left w:w="28" w:type="dxa"/>
              <w:right w:w="28" w:type="dxa"/>
            </w:tcMar>
          </w:tcPr>
          <w:p w14:paraId="7C26177D"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5C600BBF" w14:textId="77777777" w:rsidR="00B551B3" w:rsidRPr="00393250" w:rsidRDefault="00B551B3" w:rsidP="00B551B3">
            <w:pPr>
              <w:widowControl/>
              <w:spacing w:before="40" w:after="40"/>
              <w:rPr>
                <w:rFonts w:eastAsia="Calibri"/>
                <w:noProof/>
                <w:sz w:val="22"/>
                <w:szCs w:val="22"/>
                <w:lang w:eastAsia="en-US"/>
              </w:rPr>
            </w:pPr>
          </w:p>
        </w:tc>
        <w:tc>
          <w:tcPr>
            <w:tcW w:w="1153" w:type="dxa"/>
            <w:tcMar>
              <w:left w:w="28" w:type="dxa"/>
              <w:right w:w="28" w:type="dxa"/>
            </w:tcMar>
          </w:tcPr>
          <w:p w14:paraId="6BAF899B"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483EFCBD"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79606044" w14:textId="77777777" w:rsidTr="00B551B3">
        <w:trPr>
          <w:gridBefore w:val="1"/>
          <w:wBefore w:w="12" w:type="dxa"/>
          <w:tblHeader/>
          <w:jc w:val="center"/>
        </w:trPr>
        <w:tc>
          <w:tcPr>
            <w:tcW w:w="834" w:type="dxa"/>
            <w:tcMar>
              <w:left w:w="28" w:type="dxa"/>
              <w:right w:w="28" w:type="dxa"/>
            </w:tcMar>
          </w:tcPr>
          <w:p w14:paraId="53845384"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(20)</w:t>
            </w:r>
          </w:p>
        </w:tc>
        <w:tc>
          <w:tcPr>
            <w:tcW w:w="2103" w:type="dxa"/>
            <w:gridSpan w:val="2"/>
            <w:tcMar>
              <w:left w:w="28" w:type="dxa"/>
              <w:right w:w="28" w:type="dxa"/>
            </w:tcMar>
          </w:tcPr>
          <w:p w14:paraId="1684CD7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Bly og blyforbindelser</w:t>
            </w:r>
          </w:p>
        </w:tc>
        <w:tc>
          <w:tcPr>
            <w:tcW w:w="1329" w:type="dxa"/>
            <w:tcMar>
              <w:left w:w="28" w:type="dxa"/>
              <w:right w:w="28" w:type="dxa"/>
            </w:tcMar>
          </w:tcPr>
          <w:p w14:paraId="7FCA1D6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Metaller</w:t>
            </w:r>
          </w:p>
        </w:tc>
        <w:tc>
          <w:tcPr>
            <w:tcW w:w="992" w:type="dxa"/>
            <w:tcMar>
              <w:left w:w="28" w:type="dxa"/>
              <w:right w:w="28" w:type="dxa"/>
            </w:tcMar>
          </w:tcPr>
          <w:p w14:paraId="07D6B87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7439-92-1</w:t>
            </w:r>
          </w:p>
        </w:tc>
        <w:tc>
          <w:tcPr>
            <w:tcW w:w="1134" w:type="dxa"/>
          </w:tcPr>
          <w:p w14:paraId="53702C3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231-100-4</w:t>
            </w:r>
          </w:p>
        </w:tc>
        <w:tc>
          <w:tcPr>
            <w:tcW w:w="1279" w:type="dxa"/>
            <w:tcMar>
              <w:left w:w="28" w:type="dxa"/>
              <w:right w:w="28" w:type="dxa"/>
            </w:tcMar>
          </w:tcPr>
          <w:p w14:paraId="115CF22E" w14:textId="77777777" w:rsidR="00B551B3" w:rsidRPr="00393250" w:rsidRDefault="00B551B3" w:rsidP="00B551B3">
            <w:pPr>
              <w:widowControl/>
              <w:spacing w:before="40" w:after="40"/>
              <w:rPr>
                <w:rFonts w:eastAsia="Calibri"/>
                <w:i/>
                <w:noProof/>
                <w:sz w:val="22"/>
                <w:szCs w:val="22"/>
                <w:vertAlign w:val="superscript"/>
                <w:lang w:eastAsia="en-US"/>
              </w:rPr>
            </w:pPr>
            <w:bookmarkStart w:id="25" w:name="_DV_C331"/>
            <w:r w:rsidRPr="00393250">
              <w:rPr>
                <w:rFonts w:eastAsia="Calibri"/>
                <w:noProof/>
                <w:sz w:val="22"/>
                <w:szCs w:val="22"/>
                <w:lang w:eastAsia="en-US"/>
              </w:rPr>
              <w:t xml:space="preserve">1,2 </w:t>
            </w:r>
            <w:r w:rsidRPr="00393250">
              <w:rPr>
                <w:rFonts w:eastAsia="Calibri"/>
                <w:noProof/>
                <w:sz w:val="22"/>
                <w:szCs w:val="22"/>
                <w:vertAlign w:val="superscript"/>
                <w:lang w:eastAsia="en-US"/>
              </w:rPr>
              <w:t>[12]</w:t>
            </w:r>
            <w:bookmarkEnd w:id="25"/>
          </w:p>
        </w:tc>
        <w:tc>
          <w:tcPr>
            <w:tcW w:w="1279" w:type="dxa"/>
            <w:tcMar>
              <w:left w:w="28" w:type="dxa"/>
              <w:right w:w="28" w:type="dxa"/>
            </w:tcMar>
          </w:tcPr>
          <w:p w14:paraId="35C38B0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1,3</w:t>
            </w:r>
          </w:p>
        </w:tc>
        <w:tc>
          <w:tcPr>
            <w:tcW w:w="1278" w:type="dxa"/>
            <w:tcMar>
              <w:left w:w="28" w:type="dxa"/>
              <w:right w:w="28" w:type="dxa"/>
            </w:tcMar>
          </w:tcPr>
          <w:p w14:paraId="29B96DD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14</w:t>
            </w:r>
          </w:p>
        </w:tc>
        <w:tc>
          <w:tcPr>
            <w:tcW w:w="1277" w:type="dxa"/>
            <w:tcMar>
              <w:left w:w="28" w:type="dxa"/>
              <w:right w:w="28" w:type="dxa"/>
            </w:tcMar>
          </w:tcPr>
          <w:p w14:paraId="49B803A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14</w:t>
            </w:r>
          </w:p>
        </w:tc>
        <w:tc>
          <w:tcPr>
            <w:tcW w:w="1136" w:type="dxa"/>
            <w:tcMar>
              <w:left w:w="28" w:type="dxa"/>
              <w:right w:w="28" w:type="dxa"/>
            </w:tcMar>
          </w:tcPr>
          <w:p w14:paraId="33713E77"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1A762D6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1153" w:type="dxa"/>
            <w:tcMar>
              <w:left w:w="28" w:type="dxa"/>
              <w:right w:w="28" w:type="dxa"/>
            </w:tcMar>
          </w:tcPr>
          <w:p w14:paraId="42B99267"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6432512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123C8E50" w14:textId="77777777" w:rsidTr="00B551B3">
        <w:trPr>
          <w:gridBefore w:val="1"/>
          <w:wBefore w:w="12" w:type="dxa"/>
          <w:tblHeader/>
          <w:jc w:val="center"/>
        </w:trPr>
        <w:tc>
          <w:tcPr>
            <w:tcW w:w="834" w:type="dxa"/>
            <w:tcMar>
              <w:left w:w="28" w:type="dxa"/>
              <w:right w:w="28" w:type="dxa"/>
            </w:tcMar>
          </w:tcPr>
          <w:p w14:paraId="015A10C2"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(21)</w:t>
            </w:r>
          </w:p>
        </w:tc>
        <w:tc>
          <w:tcPr>
            <w:tcW w:w="2103" w:type="dxa"/>
            <w:gridSpan w:val="2"/>
            <w:tcMar>
              <w:left w:w="28" w:type="dxa"/>
              <w:right w:w="28" w:type="dxa"/>
            </w:tcMar>
          </w:tcPr>
          <w:p w14:paraId="7741A64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Kviksølv og kviksølvforbindelser</w:t>
            </w:r>
          </w:p>
        </w:tc>
        <w:tc>
          <w:tcPr>
            <w:tcW w:w="1329" w:type="dxa"/>
            <w:tcMar>
              <w:left w:w="28" w:type="dxa"/>
              <w:right w:w="28" w:type="dxa"/>
            </w:tcMar>
          </w:tcPr>
          <w:p w14:paraId="2C95271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Metaller</w:t>
            </w:r>
          </w:p>
        </w:tc>
        <w:tc>
          <w:tcPr>
            <w:tcW w:w="992" w:type="dxa"/>
            <w:tcMar>
              <w:left w:w="28" w:type="dxa"/>
              <w:right w:w="28" w:type="dxa"/>
            </w:tcMar>
          </w:tcPr>
          <w:p w14:paraId="710AA52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7439-97-6</w:t>
            </w:r>
          </w:p>
        </w:tc>
        <w:tc>
          <w:tcPr>
            <w:tcW w:w="1134" w:type="dxa"/>
          </w:tcPr>
          <w:p w14:paraId="406EC1A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231-106-7</w:t>
            </w:r>
          </w:p>
        </w:tc>
        <w:tc>
          <w:tcPr>
            <w:tcW w:w="1279" w:type="dxa"/>
            <w:tcMar>
              <w:left w:w="28" w:type="dxa"/>
              <w:right w:w="28" w:type="dxa"/>
            </w:tcMar>
          </w:tcPr>
          <w:p w14:paraId="74080080" w14:textId="77777777" w:rsidR="00B551B3" w:rsidRPr="00393250" w:rsidRDefault="00B551B3" w:rsidP="00B551B3">
            <w:pPr>
              <w:widowControl/>
              <w:spacing w:before="40" w:after="40"/>
              <w:rPr>
                <w:rFonts w:eastAsia="Calibri"/>
                <w:noProof/>
                <w:sz w:val="22"/>
                <w:szCs w:val="22"/>
                <w:lang w:eastAsia="en-US"/>
              </w:rPr>
            </w:pPr>
          </w:p>
        </w:tc>
        <w:tc>
          <w:tcPr>
            <w:tcW w:w="1279" w:type="dxa"/>
            <w:tcMar>
              <w:left w:w="28" w:type="dxa"/>
              <w:right w:w="28" w:type="dxa"/>
            </w:tcMar>
          </w:tcPr>
          <w:p w14:paraId="720830B9" w14:textId="77777777" w:rsidR="00B551B3" w:rsidRPr="00393250" w:rsidRDefault="00B551B3" w:rsidP="00B551B3">
            <w:pPr>
              <w:widowControl/>
              <w:spacing w:before="40" w:after="40"/>
              <w:rPr>
                <w:rFonts w:eastAsia="Calibri"/>
                <w:noProof/>
                <w:sz w:val="22"/>
                <w:szCs w:val="22"/>
                <w:lang w:eastAsia="en-US"/>
              </w:rPr>
            </w:pPr>
          </w:p>
        </w:tc>
        <w:tc>
          <w:tcPr>
            <w:tcW w:w="1278" w:type="dxa"/>
            <w:tcMar>
              <w:left w:w="28" w:type="dxa"/>
              <w:right w:w="28" w:type="dxa"/>
            </w:tcMar>
          </w:tcPr>
          <w:p w14:paraId="3F421DB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0,07</w:t>
            </w:r>
          </w:p>
        </w:tc>
        <w:tc>
          <w:tcPr>
            <w:tcW w:w="1277" w:type="dxa"/>
            <w:tcMar>
              <w:left w:w="28" w:type="dxa"/>
              <w:right w:w="28" w:type="dxa"/>
            </w:tcMar>
          </w:tcPr>
          <w:p w14:paraId="667B071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0,07</w:t>
            </w:r>
          </w:p>
        </w:tc>
        <w:tc>
          <w:tcPr>
            <w:tcW w:w="1136" w:type="dxa"/>
            <w:tcMar>
              <w:left w:w="28" w:type="dxa"/>
              <w:right w:w="28" w:type="dxa"/>
            </w:tcMar>
          </w:tcPr>
          <w:p w14:paraId="18CAEE3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[10] (</w:t>
            </w:r>
            <w:r w:rsidRPr="00393250">
              <w:rPr>
                <w:rFonts w:eastAsia="Calibri"/>
                <w:noProof/>
                <w:sz w:val="22"/>
                <w:szCs w:val="22"/>
                <w:vertAlign w:val="superscript"/>
                <w:lang w:eastAsia="en-US"/>
              </w:rPr>
              <w:t>13</w:t>
            </w:r>
            <w:r w:rsidRPr="00393250">
              <w:rPr>
                <w:rFonts w:eastAsia="Calibri"/>
                <w:noProof/>
                <w:sz w:val="22"/>
                <w:szCs w:val="22"/>
                <w:lang w:eastAsia="en-US"/>
              </w:rPr>
              <w:t>)</w:t>
            </w:r>
          </w:p>
        </w:tc>
        <w:tc>
          <w:tcPr>
            <w:tcW w:w="1262" w:type="dxa"/>
            <w:tcMar>
              <w:left w:w="28" w:type="dxa"/>
              <w:right w:w="28" w:type="dxa"/>
            </w:tcMar>
          </w:tcPr>
          <w:p w14:paraId="3C229CE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1153" w:type="dxa"/>
            <w:tcMar>
              <w:left w:w="28" w:type="dxa"/>
              <w:right w:w="28" w:type="dxa"/>
            </w:tcMar>
          </w:tcPr>
          <w:p w14:paraId="16EA6F1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970" w:type="dxa"/>
            <w:tcMar>
              <w:left w:w="28" w:type="dxa"/>
              <w:right w:w="28" w:type="dxa"/>
            </w:tcMar>
          </w:tcPr>
          <w:p w14:paraId="3AB3792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13CEE5EC" w14:textId="77777777" w:rsidTr="00B551B3">
        <w:trPr>
          <w:gridBefore w:val="1"/>
          <w:wBefore w:w="12" w:type="dxa"/>
          <w:tblHeader/>
          <w:jc w:val="center"/>
        </w:trPr>
        <w:tc>
          <w:tcPr>
            <w:tcW w:w="834" w:type="dxa"/>
            <w:tcMar>
              <w:left w:w="28" w:type="dxa"/>
              <w:right w:w="28" w:type="dxa"/>
            </w:tcMar>
          </w:tcPr>
          <w:p w14:paraId="382C5A2C"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(22)</w:t>
            </w:r>
          </w:p>
        </w:tc>
        <w:tc>
          <w:tcPr>
            <w:tcW w:w="2103" w:type="dxa"/>
            <w:gridSpan w:val="2"/>
            <w:tcMar>
              <w:left w:w="28" w:type="dxa"/>
              <w:right w:w="28" w:type="dxa"/>
            </w:tcMar>
          </w:tcPr>
          <w:p w14:paraId="188C0BE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Naphthalen</w:t>
            </w:r>
          </w:p>
        </w:tc>
        <w:tc>
          <w:tcPr>
            <w:tcW w:w="1329" w:type="dxa"/>
            <w:tcMar>
              <w:left w:w="28" w:type="dxa"/>
              <w:right w:w="28" w:type="dxa"/>
            </w:tcMar>
          </w:tcPr>
          <w:p w14:paraId="4FB2309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 xml:space="preserve">Industristoffer </w:t>
            </w:r>
          </w:p>
        </w:tc>
        <w:tc>
          <w:tcPr>
            <w:tcW w:w="992" w:type="dxa"/>
            <w:tcMar>
              <w:left w:w="28" w:type="dxa"/>
              <w:right w:w="28" w:type="dxa"/>
            </w:tcMar>
          </w:tcPr>
          <w:p w14:paraId="01FE816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91-20-3</w:t>
            </w:r>
          </w:p>
        </w:tc>
        <w:tc>
          <w:tcPr>
            <w:tcW w:w="1134" w:type="dxa"/>
          </w:tcPr>
          <w:p w14:paraId="1BB7D60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202-049-5</w:t>
            </w:r>
          </w:p>
        </w:tc>
        <w:tc>
          <w:tcPr>
            <w:tcW w:w="1279" w:type="dxa"/>
            <w:tcMar>
              <w:left w:w="28" w:type="dxa"/>
              <w:right w:w="28" w:type="dxa"/>
            </w:tcMar>
          </w:tcPr>
          <w:p w14:paraId="769B144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w:t>
            </w:r>
          </w:p>
        </w:tc>
        <w:tc>
          <w:tcPr>
            <w:tcW w:w="1279" w:type="dxa"/>
            <w:tcMar>
              <w:left w:w="28" w:type="dxa"/>
              <w:right w:w="28" w:type="dxa"/>
            </w:tcMar>
          </w:tcPr>
          <w:p w14:paraId="3664CB3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w:t>
            </w:r>
          </w:p>
        </w:tc>
        <w:tc>
          <w:tcPr>
            <w:tcW w:w="1278" w:type="dxa"/>
            <w:tcMar>
              <w:left w:w="28" w:type="dxa"/>
              <w:right w:w="28" w:type="dxa"/>
            </w:tcMar>
          </w:tcPr>
          <w:p w14:paraId="53D3FF0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130</w:t>
            </w:r>
          </w:p>
        </w:tc>
        <w:tc>
          <w:tcPr>
            <w:tcW w:w="1277" w:type="dxa"/>
            <w:tcMar>
              <w:left w:w="28" w:type="dxa"/>
              <w:right w:w="28" w:type="dxa"/>
            </w:tcMar>
          </w:tcPr>
          <w:p w14:paraId="06EB7C6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130</w:t>
            </w:r>
          </w:p>
        </w:tc>
        <w:tc>
          <w:tcPr>
            <w:tcW w:w="1136" w:type="dxa"/>
            <w:tcMar>
              <w:left w:w="28" w:type="dxa"/>
              <w:right w:w="28" w:type="dxa"/>
            </w:tcMar>
          </w:tcPr>
          <w:p w14:paraId="1310FCA6"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0DB935BD" w14:textId="77777777" w:rsidR="00B551B3" w:rsidRPr="00393250" w:rsidRDefault="00B551B3" w:rsidP="00B551B3">
            <w:pPr>
              <w:widowControl/>
              <w:spacing w:before="40" w:after="40"/>
              <w:rPr>
                <w:rFonts w:eastAsia="Calibri"/>
                <w:noProof/>
                <w:sz w:val="22"/>
                <w:szCs w:val="22"/>
                <w:lang w:eastAsia="en-US"/>
              </w:rPr>
            </w:pPr>
          </w:p>
        </w:tc>
        <w:tc>
          <w:tcPr>
            <w:tcW w:w="1153" w:type="dxa"/>
            <w:tcMar>
              <w:left w:w="28" w:type="dxa"/>
              <w:right w:w="28" w:type="dxa"/>
            </w:tcMar>
          </w:tcPr>
          <w:p w14:paraId="154F4770"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1D745ADF"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5C015846" w14:textId="77777777" w:rsidTr="00B551B3">
        <w:trPr>
          <w:gridBefore w:val="1"/>
          <w:wBefore w:w="12" w:type="dxa"/>
          <w:tblHeader/>
          <w:jc w:val="center"/>
        </w:trPr>
        <w:tc>
          <w:tcPr>
            <w:tcW w:w="834" w:type="dxa"/>
            <w:tcMar>
              <w:left w:w="28" w:type="dxa"/>
              <w:right w:w="28" w:type="dxa"/>
            </w:tcMar>
          </w:tcPr>
          <w:p w14:paraId="03573819"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(23)</w:t>
            </w:r>
          </w:p>
        </w:tc>
        <w:tc>
          <w:tcPr>
            <w:tcW w:w="2103" w:type="dxa"/>
            <w:gridSpan w:val="2"/>
            <w:tcMar>
              <w:left w:w="28" w:type="dxa"/>
              <w:right w:w="28" w:type="dxa"/>
            </w:tcMar>
          </w:tcPr>
          <w:p w14:paraId="440FD4C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Nikkel og nikkelforbindelser</w:t>
            </w:r>
          </w:p>
        </w:tc>
        <w:tc>
          <w:tcPr>
            <w:tcW w:w="1329" w:type="dxa"/>
            <w:tcMar>
              <w:left w:w="28" w:type="dxa"/>
              <w:right w:w="28" w:type="dxa"/>
            </w:tcMar>
          </w:tcPr>
          <w:p w14:paraId="2E61900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Metaller</w:t>
            </w:r>
          </w:p>
        </w:tc>
        <w:tc>
          <w:tcPr>
            <w:tcW w:w="992" w:type="dxa"/>
            <w:tcMar>
              <w:left w:w="28" w:type="dxa"/>
              <w:right w:w="28" w:type="dxa"/>
            </w:tcMar>
          </w:tcPr>
          <w:p w14:paraId="6FDF6B4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7440-02-0</w:t>
            </w:r>
          </w:p>
        </w:tc>
        <w:tc>
          <w:tcPr>
            <w:tcW w:w="1134" w:type="dxa"/>
          </w:tcPr>
          <w:p w14:paraId="692383F8" w14:textId="77777777" w:rsidR="00B551B3" w:rsidRPr="00393250" w:rsidDel="00EC120E" w:rsidRDefault="00B551B3" w:rsidP="00B551B3">
            <w:pPr>
              <w:widowControl/>
              <w:spacing w:before="40" w:after="40"/>
              <w:rPr>
                <w:rFonts w:eastAsia="Calibri"/>
                <w:strike/>
                <w:noProof/>
                <w:sz w:val="22"/>
                <w:szCs w:val="22"/>
                <w:lang w:eastAsia="en-US"/>
              </w:rPr>
            </w:pPr>
            <w:r w:rsidRPr="00393250">
              <w:rPr>
                <w:rFonts w:eastAsia="Calibri"/>
                <w:noProof/>
                <w:sz w:val="22"/>
                <w:szCs w:val="22"/>
                <w:lang w:eastAsia="en-US"/>
              </w:rPr>
              <w:t>231-111-4</w:t>
            </w:r>
          </w:p>
        </w:tc>
        <w:tc>
          <w:tcPr>
            <w:tcW w:w="1279" w:type="dxa"/>
            <w:tcMar>
              <w:left w:w="28" w:type="dxa"/>
              <w:right w:w="28" w:type="dxa"/>
            </w:tcMar>
          </w:tcPr>
          <w:p w14:paraId="128AA0A1" w14:textId="77777777" w:rsidR="00B551B3" w:rsidRPr="00393250" w:rsidRDefault="00B551B3" w:rsidP="00B551B3">
            <w:pPr>
              <w:widowControl/>
              <w:spacing w:before="40" w:after="40"/>
              <w:rPr>
                <w:rFonts w:eastAsia="Calibri"/>
                <w:noProof/>
                <w:sz w:val="22"/>
                <w:szCs w:val="22"/>
                <w:vertAlign w:val="superscript"/>
                <w:lang w:eastAsia="en-US"/>
              </w:rPr>
            </w:pPr>
            <w:r w:rsidRPr="00393250">
              <w:rPr>
                <w:rFonts w:eastAsia="Calibri"/>
                <w:noProof/>
                <w:sz w:val="22"/>
                <w:szCs w:val="22"/>
                <w:lang w:eastAsia="en-US"/>
              </w:rPr>
              <w:t>2 (</w:t>
            </w:r>
            <w:r w:rsidRPr="00393250">
              <w:rPr>
                <w:rFonts w:eastAsia="Calibri"/>
                <w:noProof/>
                <w:sz w:val="22"/>
                <w:szCs w:val="22"/>
                <w:vertAlign w:val="superscript"/>
                <w:lang w:eastAsia="en-US"/>
              </w:rPr>
              <w:t>12</w:t>
            </w:r>
            <w:r w:rsidRPr="00393250">
              <w:rPr>
                <w:rFonts w:eastAsia="Calibri"/>
                <w:noProof/>
                <w:sz w:val="22"/>
                <w:szCs w:val="22"/>
                <w:lang w:eastAsia="en-US"/>
              </w:rPr>
              <w:t>)</w:t>
            </w:r>
          </w:p>
        </w:tc>
        <w:tc>
          <w:tcPr>
            <w:tcW w:w="1279" w:type="dxa"/>
            <w:tcMar>
              <w:left w:w="28" w:type="dxa"/>
              <w:right w:w="28" w:type="dxa"/>
            </w:tcMar>
          </w:tcPr>
          <w:p w14:paraId="6B410AA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3,1</w:t>
            </w:r>
          </w:p>
        </w:tc>
        <w:tc>
          <w:tcPr>
            <w:tcW w:w="1278" w:type="dxa"/>
            <w:tcMar>
              <w:left w:w="28" w:type="dxa"/>
              <w:right w:w="28" w:type="dxa"/>
            </w:tcMar>
          </w:tcPr>
          <w:p w14:paraId="3943153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8,2</w:t>
            </w:r>
          </w:p>
        </w:tc>
        <w:tc>
          <w:tcPr>
            <w:tcW w:w="1277" w:type="dxa"/>
            <w:tcMar>
              <w:left w:w="28" w:type="dxa"/>
              <w:right w:w="28" w:type="dxa"/>
            </w:tcMar>
          </w:tcPr>
          <w:p w14:paraId="5D91C9C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8,2</w:t>
            </w:r>
          </w:p>
        </w:tc>
        <w:tc>
          <w:tcPr>
            <w:tcW w:w="1136" w:type="dxa"/>
            <w:tcMar>
              <w:left w:w="28" w:type="dxa"/>
              <w:right w:w="28" w:type="dxa"/>
            </w:tcMar>
          </w:tcPr>
          <w:p w14:paraId="3CF5C4BC"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3B892F0C" w14:textId="77777777" w:rsidR="00B551B3" w:rsidRPr="00393250" w:rsidRDefault="00B551B3" w:rsidP="00B551B3">
            <w:pPr>
              <w:widowControl/>
              <w:spacing w:before="40" w:after="40"/>
              <w:rPr>
                <w:rFonts w:eastAsia="Calibri"/>
                <w:noProof/>
                <w:sz w:val="22"/>
                <w:szCs w:val="22"/>
                <w:vertAlign w:val="superscript"/>
                <w:lang w:eastAsia="en-US"/>
              </w:rPr>
            </w:pPr>
          </w:p>
        </w:tc>
        <w:tc>
          <w:tcPr>
            <w:tcW w:w="1153" w:type="dxa"/>
            <w:tcMar>
              <w:left w:w="28" w:type="dxa"/>
              <w:right w:w="28" w:type="dxa"/>
            </w:tcMar>
          </w:tcPr>
          <w:p w14:paraId="18DEB588" w14:textId="77777777" w:rsidR="00B551B3" w:rsidRPr="00393250" w:rsidRDefault="00B551B3" w:rsidP="00B551B3">
            <w:pPr>
              <w:widowControl/>
              <w:spacing w:before="40" w:after="40"/>
              <w:rPr>
                <w:rFonts w:eastAsia="Calibri"/>
                <w:noProof/>
                <w:sz w:val="22"/>
                <w:szCs w:val="22"/>
                <w:vertAlign w:val="superscript"/>
                <w:lang w:eastAsia="en-US"/>
              </w:rPr>
            </w:pPr>
          </w:p>
        </w:tc>
        <w:tc>
          <w:tcPr>
            <w:tcW w:w="970" w:type="dxa"/>
            <w:tcMar>
              <w:left w:w="28" w:type="dxa"/>
              <w:right w:w="28" w:type="dxa"/>
            </w:tcMar>
          </w:tcPr>
          <w:p w14:paraId="32E6D18A" w14:textId="77777777" w:rsidR="00B551B3" w:rsidRPr="00393250" w:rsidRDefault="00B551B3" w:rsidP="00B551B3">
            <w:pPr>
              <w:widowControl/>
              <w:spacing w:before="40" w:after="40"/>
              <w:rPr>
                <w:rFonts w:eastAsia="Calibri"/>
                <w:noProof/>
                <w:sz w:val="22"/>
                <w:szCs w:val="22"/>
                <w:vertAlign w:val="superscript"/>
                <w:lang w:eastAsia="en-US"/>
              </w:rPr>
            </w:pPr>
          </w:p>
        </w:tc>
      </w:tr>
      <w:tr w:rsidR="00B551B3" w:rsidRPr="00393250" w14:paraId="2E4A1323" w14:textId="77777777" w:rsidTr="00B551B3">
        <w:trPr>
          <w:gridBefore w:val="1"/>
          <w:wBefore w:w="12" w:type="dxa"/>
          <w:tblHeader/>
          <w:jc w:val="center"/>
        </w:trPr>
        <w:tc>
          <w:tcPr>
            <w:tcW w:w="834" w:type="dxa"/>
            <w:tcMar>
              <w:left w:w="28" w:type="dxa"/>
              <w:right w:w="28" w:type="dxa"/>
            </w:tcMar>
          </w:tcPr>
          <w:p w14:paraId="3AA457A9"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(24)</w:t>
            </w:r>
          </w:p>
        </w:tc>
        <w:tc>
          <w:tcPr>
            <w:tcW w:w="2103" w:type="dxa"/>
            <w:gridSpan w:val="2"/>
            <w:tcMar>
              <w:left w:w="28" w:type="dxa"/>
              <w:right w:w="28" w:type="dxa"/>
            </w:tcMar>
          </w:tcPr>
          <w:p w14:paraId="4DC3CD4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Nonylphenoler (</w:t>
            </w:r>
            <w:r w:rsidRPr="00393250">
              <w:rPr>
                <w:rFonts w:eastAsia="Calibri"/>
                <w:noProof/>
                <w:sz w:val="22"/>
                <w:szCs w:val="22"/>
                <w:vertAlign w:val="superscript"/>
                <w:lang w:eastAsia="en-US"/>
              </w:rPr>
              <w:t>14</w:t>
            </w:r>
            <w:r w:rsidRPr="00393250">
              <w:rPr>
                <w:rFonts w:eastAsia="Calibri"/>
                <w:noProof/>
                <w:sz w:val="22"/>
                <w:szCs w:val="22"/>
                <w:lang w:eastAsia="en-US"/>
              </w:rPr>
              <w:t>)</w:t>
            </w:r>
            <w:r w:rsidRPr="00393250">
              <w:rPr>
                <w:rFonts w:eastAsia="Calibri"/>
                <w:noProof/>
                <w:szCs w:val="22"/>
                <w:lang w:eastAsia="en-US"/>
              </w:rPr>
              <w:t xml:space="preserve"> </w:t>
            </w:r>
            <w:r w:rsidRPr="00393250">
              <w:rPr>
                <w:rFonts w:eastAsia="Calibri"/>
                <w:noProof/>
                <w:szCs w:val="22"/>
                <w:lang w:eastAsia="en-US"/>
              </w:rPr>
              <w:br/>
            </w:r>
            <w:r w:rsidRPr="00393250">
              <w:rPr>
                <w:rFonts w:eastAsia="Calibri"/>
                <w:noProof/>
                <w:sz w:val="22"/>
                <w:szCs w:val="22"/>
                <w:lang w:eastAsia="en-US"/>
              </w:rPr>
              <w:t>(4-nonylfenol)</w:t>
            </w:r>
          </w:p>
        </w:tc>
        <w:tc>
          <w:tcPr>
            <w:tcW w:w="1329" w:type="dxa"/>
            <w:tcMar>
              <w:left w:w="28" w:type="dxa"/>
              <w:right w:w="28" w:type="dxa"/>
            </w:tcMar>
          </w:tcPr>
          <w:p w14:paraId="6BA60EC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Industristoffer</w:t>
            </w:r>
          </w:p>
        </w:tc>
        <w:tc>
          <w:tcPr>
            <w:tcW w:w="992" w:type="dxa"/>
            <w:tcMar>
              <w:left w:w="28" w:type="dxa"/>
              <w:right w:w="28" w:type="dxa"/>
            </w:tcMar>
          </w:tcPr>
          <w:p w14:paraId="5C92C6A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84852-15-3</w:t>
            </w:r>
          </w:p>
        </w:tc>
        <w:tc>
          <w:tcPr>
            <w:tcW w:w="1134" w:type="dxa"/>
          </w:tcPr>
          <w:p w14:paraId="05DC025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284-325-5</w:t>
            </w:r>
          </w:p>
        </w:tc>
        <w:tc>
          <w:tcPr>
            <w:tcW w:w="1279" w:type="dxa"/>
            <w:tcMar>
              <w:left w:w="28" w:type="dxa"/>
              <w:right w:w="28" w:type="dxa"/>
            </w:tcMar>
          </w:tcPr>
          <w:p w14:paraId="6453496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0,037</w:t>
            </w:r>
          </w:p>
        </w:tc>
        <w:tc>
          <w:tcPr>
            <w:tcW w:w="1279" w:type="dxa"/>
            <w:tcMar>
              <w:left w:w="28" w:type="dxa"/>
              <w:right w:w="28" w:type="dxa"/>
            </w:tcMar>
          </w:tcPr>
          <w:p w14:paraId="6A33E74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0,0018</w:t>
            </w:r>
          </w:p>
        </w:tc>
        <w:tc>
          <w:tcPr>
            <w:tcW w:w="1278" w:type="dxa"/>
            <w:tcMar>
              <w:left w:w="28" w:type="dxa"/>
              <w:right w:w="28" w:type="dxa"/>
            </w:tcMar>
          </w:tcPr>
          <w:p w14:paraId="643CA07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2,1</w:t>
            </w:r>
          </w:p>
        </w:tc>
        <w:tc>
          <w:tcPr>
            <w:tcW w:w="1277" w:type="dxa"/>
            <w:tcMar>
              <w:left w:w="28" w:type="dxa"/>
              <w:right w:w="28" w:type="dxa"/>
            </w:tcMar>
          </w:tcPr>
          <w:p w14:paraId="04E4602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0,17</w:t>
            </w:r>
          </w:p>
        </w:tc>
        <w:tc>
          <w:tcPr>
            <w:tcW w:w="1136" w:type="dxa"/>
            <w:tcMar>
              <w:left w:w="28" w:type="dxa"/>
              <w:right w:w="28" w:type="dxa"/>
            </w:tcMar>
          </w:tcPr>
          <w:p w14:paraId="484A769D"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6BB53DD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1153" w:type="dxa"/>
            <w:tcMar>
              <w:left w:w="28" w:type="dxa"/>
              <w:right w:w="28" w:type="dxa"/>
            </w:tcMar>
          </w:tcPr>
          <w:p w14:paraId="2311AADC"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77D48047"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0D43D4F0" w14:textId="77777777" w:rsidTr="00B551B3">
        <w:trPr>
          <w:gridBefore w:val="1"/>
          <w:wBefore w:w="12" w:type="dxa"/>
          <w:tblHeader/>
          <w:jc w:val="center"/>
        </w:trPr>
        <w:tc>
          <w:tcPr>
            <w:tcW w:w="834" w:type="dxa"/>
            <w:tcMar>
              <w:left w:w="28" w:type="dxa"/>
              <w:right w:w="28" w:type="dxa"/>
            </w:tcMar>
          </w:tcPr>
          <w:p w14:paraId="6ACCFC8E" w14:textId="77777777" w:rsidR="00B551B3" w:rsidRPr="00393250" w:rsidRDefault="00B551B3" w:rsidP="00B551B3">
            <w:pPr>
              <w:keepNext/>
              <w:widowControl/>
              <w:spacing w:before="40" w:after="40"/>
              <w:jc w:val="both"/>
              <w:rPr>
                <w:rFonts w:eastAsia="Calibri"/>
                <w:noProof/>
                <w:sz w:val="22"/>
                <w:szCs w:val="22"/>
                <w:lang w:eastAsia="en-US"/>
              </w:rPr>
            </w:pPr>
            <w:r w:rsidRPr="00393250">
              <w:rPr>
                <w:rFonts w:eastAsia="Calibri"/>
                <w:noProof/>
                <w:sz w:val="22"/>
                <w:szCs w:val="22"/>
                <w:lang w:eastAsia="en-US"/>
              </w:rPr>
              <w:t>(25)</w:t>
            </w:r>
          </w:p>
        </w:tc>
        <w:tc>
          <w:tcPr>
            <w:tcW w:w="2103" w:type="dxa"/>
            <w:gridSpan w:val="2"/>
            <w:tcMar>
              <w:left w:w="28" w:type="dxa"/>
              <w:right w:w="28" w:type="dxa"/>
            </w:tcMar>
          </w:tcPr>
          <w:p w14:paraId="5501C16E"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Octylphenoler (</w:t>
            </w:r>
            <w:r w:rsidRPr="00393250">
              <w:rPr>
                <w:rFonts w:eastAsia="Calibri"/>
                <w:noProof/>
                <w:sz w:val="22"/>
                <w:szCs w:val="22"/>
                <w:vertAlign w:val="superscript"/>
                <w:lang w:eastAsia="en-US"/>
              </w:rPr>
              <w:t>15</w:t>
            </w:r>
            <w:r w:rsidRPr="00393250">
              <w:rPr>
                <w:rFonts w:eastAsia="Calibri"/>
                <w:noProof/>
                <w:sz w:val="22"/>
                <w:szCs w:val="22"/>
                <w:lang w:eastAsia="en-US"/>
              </w:rPr>
              <w:t>)</w:t>
            </w:r>
            <w:r w:rsidRPr="00393250">
              <w:rPr>
                <w:rFonts w:eastAsia="Calibri"/>
                <w:noProof/>
                <w:szCs w:val="22"/>
                <w:lang w:eastAsia="en-US"/>
              </w:rPr>
              <w:br/>
            </w:r>
            <w:r w:rsidRPr="00393250">
              <w:rPr>
                <w:rFonts w:eastAsia="Calibri"/>
                <w:noProof/>
                <w:sz w:val="22"/>
                <w:szCs w:val="22"/>
                <w:lang w:eastAsia="en-US"/>
              </w:rPr>
              <w:t>((4-(1,1',3,3'-tetramethylbutyl)-phenol))</w:t>
            </w:r>
          </w:p>
        </w:tc>
        <w:tc>
          <w:tcPr>
            <w:tcW w:w="1329" w:type="dxa"/>
            <w:tcMar>
              <w:left w:w="28" w:type="dxa"/>
              <w:right w:w="28" w:type="dxa"/>
            </w:tcMar>
          </w:tcPr>
          <w:p w14:paraId="3F667DE4"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Industristoffer</w:t>
            </w:r>
          </w:p>
        </w:tc>
        <w:tc>
          <w:tcPr>
            <w:tcW w:w="992" w:type="dxa"/>
            <w:tcMar>
              <w:left w:w="28" w:type="dxa"/>
              <w:right w:w="28" w:type="dxa"/>
            </w:tcMar>
          </w:tcPr>
          <w:p w14:paraId="59F86101"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140-66-9</w:t>
            </w:r>
          </w:p>
        </w:tc>
        <w:tc>
          <w:tcPr>
            <w:tcW w:w="1134" w:type="dxa"/>
          </w:tcPr>
          <w:p w14:paraId="28AE40A7"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205-426-2</w:t>
            </w:r>
          </w:p>
        </w:tc>
        <w:tc>
          <w:tcPr>
            <w:tcW w:w="1279" w:type="dxa"/>
            <w:tcMar>
              <w:left w:w="28" w:type="dxa"/>
              <w:right w:w="28" w:type="dxa"/>
            </w:tcMar>
          </w:tcPr>
          <w:p w14:paraId="3FF2FF9D"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0,1</w:t>
            </w:r>
          </w:p>
        </w:tc>
        <w:tc>
          <w:tcPr>
            <w:tcW w:w="1279" w:type="dxa"/>
            <w:tcMar>
              <w:left w:w="28" w:type="dxa"/>
              <w:right w:w="28" w:type="dxa"/>
            </w:tcMar>
          </w:tcPr>
          <w:p w14:paraId="684505AC"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0,01</w:t>
            </w:r>
          </w:p>
        </w:tc>
        <w:tc>
          <w:tcPr>
            <w:tcW w:w="1278" w:type="dxa"/>
            <w:tcMar>
              <w:left w:w="28" w:type="dxa"/>
              <w:right w:w="28" w:type="dxa"/>
            </w:tcMar>
          </w:tcPr>
          <w:p w14:paraId="3AF776F2"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277" w:type="dxa"/>
            <w:tcMar>
              <w:left w:w="28" w:type="dxa"/>
              <w:right w:w="28" w:type="dxa"/>
            </w:tcMar>
          </w:tcPr>
          <w:p w14:paraId="429AE520"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136" w:type="dxa"/>
            <w:tcMar>
              <w:left w:w="28" w:type="dxa"/>
              <w:right w:w="28" w:type="dxa"/>
            </w:tcMar>
          </w:tcPr>
          <w:p w14:paraId="4B54D3D7" w14:textId="77777777" w:rsidR="00B551B3" w:rsidRPr="00393250" w:rsidRDefault="00B551B3" w:rsidP="00B551B3">
            <w:pPr>
              <w:keepNext/>
              <w:widowControl/>
              <w:spacing w:before="40" w:after="40"/>
              <w:rPr>
                <w:rFonts w:eastAsia="Calibri"/>
                <w:noProof/>
                <w:sz w:val="22"/>
                <w:szCs w:val="22"/>
                <w:lang w:eastAsia="en-US"/>
              </w:rPr>
            </w:pPr>
          </w:p>
        </w:tc>
        <w:tc>
          <w:tcPr>
            <w:tcW w:w="1262" w:type="dxa"/>
            <w:tcMar>
              <w:left w:w="28" w:type="dxa"/>
              <w:right w:w="28" w:type="dxa"/>
            </w:tcMar>
          </w:tcPr>
          <w:p w14:paraId="104FC96F"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X</w:t>
            </w:r>
          </w:p>
        </w:tc>
        <w:tc>
          <w:tcPr>
            <w:tcW w:w="1153" w:type="dxa"/>
            <w:tcMar>
              <w:left w:w="28" w:type="dxa"/>
              <w:right w:w="28" w:type="dxa"/>
            </w:tcMar>
          </w:tcPr>
          <w:p w14:paraId="5FEF5122" w14:textId="77777777" w:rsidR="00B551B3" w:rsidRPr="00393250" w:rsidRDefault="00B551B3" w:rsidP="00B551B3">
            <w:pPr>
              <w:keepNext/>
              <w:widowControl/>
              <w:spacing w:before="40" w:after="40"/>
              <w:rPr>
                <w:rFonts w:eastAsia="Calibri"/>
                <w:noProof/>
                <w:sz w:val="22"/>
                <w:szCs w:val="22"/>
                <w:lang w:eastAsia="en-US"/>
              </w:rPr>
            </w:pPr>
          </w:p>
        </w:tc>
        <w:tc>
          <w:tcPr>
            <w:tcW w:w="970" w:type="dxa"/>
            <w:tcMar>
              <w:left w:w="28" w:type="dxa"/>
              <w:right w:w="28" w:type="dxa"/>
            </w:tcMar>
          </w:tcPr>
          <w:p w14:paraId="7B086CD3" w14:textId="77777777" w:rsidR="00B551B3" w:rsidRPr="00393250" w:rsidRDefault="00B551B3" w:rsidP="00B551B3">
            <w:pPr>
              <w:keepNext/>
              <w:widowControl/>
              <w:spacing w:before="40" w:after="40"/>
              <w:rPr>
                <w:rFonts w:eastAsia="Calibri"/>
                <w:noProof/>
                <w:sz w:val="22"/>
                <w:szCs w:val="22"/>
                <w:lang w:eastAsia="en-US"/>
              </w:rPr>
            </w:pPr>
          </w:p>
        </w:tc>
      </w:tr>
      <w:tr w:rsidR="00B551B3" w:rsidRPr="00393250" w14:paraId="34ED6917" w14:textId="77777777" w:rsidTr="00B551B3">
        <w:trPr>
          <w:gridBefore w:val="1"/>
          <w:wBefore w:w="12" w:type="dxa"/>
          <w:tblHeader/>
          <w:jc w:val="center"/>
        </w:trPr>
        <w:tc>
          <w:tcPr>
            <w:tcW w:w="834" w:type="dxa"/>
            <w:tcMar>
              <w:left w:w="28" w:type="dxa"/>
              <w:right w:w="28" w:type="dxa"/>
            </w:tcMar>
          </w:tcPr>
          <w:p w14:paraId="7E4CBF72"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(26)</w:t>
            </w:r>
          </w:p>
        </w:tc>
        <w:tc>
          <w:tcPr>
            <w:tcW w:w="2103" w:type="dxa"/>
            <w:gridSpan w:val="2"/>
            <w:tcMar>
              <w:left w:w="28" w:type="dxa"/>
              <w:right w:w="28" w:type="dxa"/>
            </w:tcMar>
          </w:tcPr>
          <w:p w14:paraId="6159647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Pentachlorbenzen</w:t>
            </w:r>
          </w:p>
        </w:tc>
        <w:tc>
          <w:tcPr>
            <w:tcW w:w="1329" w:type="dxa"/>
            <w:tcMar>
              <w:left w:w="28" w:type="dxa"/>
              <w:right w:w="28" w:type="dxa"/>
            </w:tcMar>
          </w:tcPr>
          <w:p w14:paraId="3D6FDA0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Industristoffer</w:t>
            </w:r>
          </w:p>
        </w:tc>
        <w:tc>
          <w:tcPr>
            <w:tcW w:w="992" w:type="dxa"/>
            <w:tcMar>
              <w:left w:w="28" w:type="dxa"/>
              <w:right w:w="28" w:type="dxa"/>
            </w:tcMar>
          </w:tcPr>
          <w:p w14:paraId="070B621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608-93-5</w:t>
            </w:r>
          </w:p>
        </w:tc>
        <w:tc>
          <w:tcPr>
            <w:tcW w:w="1134" w:type="dxa"/>
          </w:tcPr>
          <w:p w14:paraId="5ABE93E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210-172-0</w:t>
            </w:r>
          </w:p>
        </w:tc>
        <w:tc>
          <w:tcPr>
            <w:tcW w:w="1279" w:type="dxa"/>
            <w:tcMar>
              <w:left w:w="28" w:type="dxa"/>
              <w:right w:w="28" w:type="dxa"/>
            </w:tcMar>
          </w:tcPr>
          <w:p w14:paraId="5C3DABD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0,007</w:t>
            </w:r>
          </w:p>
        </w:tc>
        <w:tc>
          <w:tcPr>
            <w:tcW w:w="1279" w:type="dxa"/>
            <w:tcMar>
              <w:left w:w="28" w:type="dxa"/>
              <w:right w:w="28" w:type="dxa"/>
            </w:tcMar>
          </w:tcPr>
          <w:p w14:paraId="44F6082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0,0007</w:t>
            </w:r>
          </w:p>
        </w:tc>
        <w:tc>
          <w:tcPr>
            <w:tcW w:w="1278" w:type="dxa"/>
            <w:tcMar>
              <w:left w:w="28" w:type="dxa"/>
              <w:right w:w="28" w:type="dxa"/>
            </w:tcMar>
          </w:tcPr>
          <w:p w14:paraId="2DA4CBF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277" w:type="dxa"/>
            <w:tcMar>
              <w:left w:w="28" w:type="dxa"/>
              <w:right w:w="28" w:type="dxa"/>
            </w:tcMar>
          </w:tcPr>
          <w:p w14:paraId="2630A05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136" w:type="dxa"/>
            <w:tcMar>
              <w:left w:w="28" w:type="dxa"/>
              <w:right w:w="28" w:type="dxa"/>
            </w:tcMar>
          </w:tcPr>
          <w:p w14:paraId="3284D206"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2C79F98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1153" w:type="dxa"/>
            <w:tcMar>
              <w:left w:w="28" w:type="dxa"/>
              <w:right w:w="28" w:type="dxa"/>
            </w:tcMar>
          </w:tcPr>
          <w:p w14:paraId="5E66CFF0"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29441BD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1A5B2268" w14:textId="77777777" w:rsidTr="00B551B3">
        <w:trPr>
          <w:gridBefore w:val="1"/>
          <w:wBefore w:w="12" w:type="dxa"/>
          <w:tblHeader/>
          <w:jc w:val="center"/>
        </w:trPr>
        <w:tc>
          <w:tcPr>
            <w:tcW w:w="834" w:type="dxa"/>
            <w:tcMar>
              <w:left w:w="28" w:type="dxa"/>
              <w:right w:w="28" w:type="dxa"/>
            </w:tcMar>
          </w:tcPr>
          <w:p w14:paraId="12E56A9B"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(27)</w:t>
            </w:r>
          </w:p>
        </w:tc>
        <w:tc>
          <w:tcPr>
            <w:tcW w:w="2103" w:type="dxa"/>
            <w:gridSpan w:val="2"/>
            <w:tcMar>
              <w:left w:w="28" w:type="dxa"/>
              <w:right w:w="28" w:type="dxa"/>
            </w:tcMar>
          </w:tcPr>
          <w:p w14:paraId="0637683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Pentachlorphenol</w:t>
            </w:r>
          </w:p>
        </w:tc>
        <w:tc>
          <w:tcPr>
            <w:tcW w:w="1329" w:type="dxa"/>
            <w:tcMar>
              <w:left w:w="28" w:type="dxa"/>
              <w:right w:w="28" w:type="dxa"/>
            </w:tcMar>
          </w:tcPr>
          <w:p w14:paraId="16A5F0C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Organiske klorerede pesticider</w:t>
            </w:r>
          </w:p>
        </w:tc>
        <w:tc>
          <w:tcPr>
            <w:tcW w:w="992" w:type="dxa"/>
            <w:tcMar>
              <w:left w:w="28" w:type="dxa"/>
              <w:right w:w="28" w:type="dxa"/>
            </w:tcMar>
          </w:tcPr>
          <w:p w14:paraId="7711EFB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87-86-5</w:t>
            </w:r>
          </w:p>
        </w:tc>
        <w:tc>
          <w:tcPr>
            <w:tcW w:w="1134" w:type="dxa"/>
          </w:tcPr>
          <w:p w14:paraId="0626CE0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201-778-6</w:t>
            </w:r>
          </w:p>
        </w:tc>
        <w:tc>
          <w:tcPr>
            <w:tcW w:w="1279" w:type="dxa"/>
            <w:tcMar>
              <w:left w:w="28" w:type="dxa"/>
              <w:right w:w="28" w:type="dxa"/>
            </w:tcMar>
          </w:tcPr>
          <w:p w14:paraId="19BB789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0,4</w:t>
            </w:r>
          </w:p>
        </w:tc>
        <w:tc>
          <w:tcPr>
            <w:tcW w:w="1279" w:type="dxa"/>
            <w:tcMar>
              <w:left w:w="28" w:type="dxa"/>
              <w:right w:w="28" w:type="dxa"/>
            </w:tcMar>
          </w:tcPr>
          <w:p w14:paraId="480E886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0,4</w:t>
            </w:r>
          </w:p>
        </w:tc>
        <w:tc>
          <w:tcPr>
            <w:tcW w:w="1278" w:type="dxa"/>
            <w:tcMar>
              <w:left w:w="28" w:type="dxa"/>
              <w:right w:w="28" w:type="dxa"/>
            </w:tcMar>
          </w:tcPr>
          <w:p w14:paraId="7093DD2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w:t>
            </w:r>
          </w:p>
        </w:tc>
        <w:tc>
          <w:tcPr>
            <w:tcW w:w="1277" w:type="dxa"/>
            <w:tcMar>
              <w:left w:w="28" w:type="dxa"/>
              <w:right w:w="28" w:type="dxa"/>
            </w:tcMar>
          </w:tcPr>
          <w:p w14:paraId="739876D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w:t>
            </w:r>
          </w:p>
        </w:tc>
        <w:tc>
          <w:tcPr>
            <w:tcW w:w="1136" w:type="dxa"/>
            <w:tcMar>
              <w:left w:w="28" w:type="dxa"/>
              <w:right w:w="28" w:type="dxa"/>
            </w:tcMar>
          </w:tcPr>
          <w:p w14:paraId="3B14D7A0"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29A0D8C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1153" w:type="dxa"/>
            <w:tcMar>
              <w:left w:w="28" w:type="dxa"/>
              <w:right w:w="28" w:type="dxa"/>
            </w:tcMar>
          </w:tcPr>
          <w:p w14:paraId="1AA971AF"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717B182B"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2E730B8A" w14:textId="77777777" w:rsidTr="00B551B3">
        <w:trPr>
          <w:gridBefore w:val="1"/>
          <w:wBefore w:w="12" w:type="dxa"/>
          <w:tblHeader/>
          <w:jc w:val="center"/>
        </w:trPr>
        <w:tc>
          <w:tcPr>
            <w:tcW w:w="834" w:type="dxa"/>
            <w:tcMar>
              <w:left w:w="28" w:type="dxa"/>
              <w:right w:w="28" w:type="dxa"/>
            </w:tcMar>
          </w:tcPr>
          <w:p w14:paraId="3543C221"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(28)</w:t>
            </w:r>
          </w:p>
        </w:tc>
        <w:tc>
          <w:tcPr>
            <w:tcW w:w="2103" w:type="dxa"/>
            <w:gridSpan w:val="2"/>
            <w:tcMar>
              <w:left w:w="28" w:type="dxa"/>
              <w:right w:w="28" w:type="dxa"/>
            </w:tcMar>
          </w:tcPr>
          <w:p w14:paraId="037B375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Polyaromatiske kulbrinter (PAH) (16)</w:t>
            </w:r>
          </w:p>
        </w:tc>
        <w:tc>
          <w:tcPr>
            <w:tcW w:w="1329" w:type="dxa"/>
            <w:tcMar>
              <w:left w:w="28" w:type="dxa"/>
              <w:right w:w="28" w:type="dxa"/>
            </w:tcMar>
          </w:tcPr>
          <w:p w14:paraId="2907E0A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Forbrændingsprodukter</w:t>
            </w:r>
          </w:p>
        </w:tc>
        <w:tc>
          <w:tcPr>
            <w:tcW w:w="992" w:type="dxa"/>
            <w:tcMar>
              <w:left w:w="28" w:type="dxa"/>
              <w:right w:w="28" w:type="dxa"/>
            </w:tcMar>
          </w:tcPr>
          <w:p w14:paraId="2E420F6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134" w:type="dxa"/>
          </w:tcPr>
          <w:p w14:paraId="3756C19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279" w:type="dxa"/>
            <w:tcMar>
              <w:left w:w="28" w:type="dxa"/>
              <w:right w:w="28" w:type="dxa"/>
            </w:tcMar>
          </w:tcPr>
          <w:p w14:paraId="164E3E9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279" w:type="dxa"/>
            <w:tcMar>
              <w:left w:w="28" w:type="dxa"/>
              <w:right w:w="28" w:type="dxa"/>
            </w:tcMar>
          </w:tcPr>
          <w:p w14:paraId="52C2D95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278" w:type="dxa"/>
            <w:tcMar>
              <w:left w:w="28" w:type="dxa"/>
              <w:right w:w="28" w:type="dxa"/>
            </w:tcMar>
          </w:tcPr>
          <w:p w14:paraId="18183C2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277" w:type="dxa"/>
            <w:tcMar>
              <w:left w:w="28" w:type="dxa"/>
              <w:right w:w="28" w:type="dxa"/>
            </w:tcMar>
          </w:tcPr>
          <w:p w14:paraId="74C7F5A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136" w:type="dxa"/>
            <w:tcMar>
              <w:left w:w="28" w:type="dxa"/>
              <w:right w:w="28" w:type="dxa"/>
            </w:tcMar>
          </w:tcPr>
          <w:p w14:paraId="36274FC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Sum af benzo(a)pyrenækvivalenter [0,6]</w:t>
            </w:r>
            <w:r w:rsidRPr="00393250">
              <w:rPr>
                <w:rFonts w:eastAsia="Calibri"/>
                <w:noProof/>
                <w:sz w:val="22"/>
                <w:szCs w:val="22"/>
                <w:vertAlign w:val="superscript"/>
                <w:lang w:eastAsia="en-US"/>
              </w:rPr>
              <w:t xml:space="preserve"> </w:t>
            </w:r>
            <w:r w:rsidRPr="00393250">
              <w:rPr>
                <w:rFonts w:eastAsia="Calibri"/>
                <w:noProof/>
                <w:sz w:val="22"/>
                <w:szCs w:val="22"/>
                <w:lang w:eastAsia="en-US"/>
              </w:rPr>
              <w:t>(</w:t>
            </w:r>
            <w:r w:rsidRPr="00393250">
              <w:rPr>
                <w:rFonts w:eastAsia="Calibri"/>
                <w:noProof/>
                <w:sz w:val="22"/>
                <w:szCs w:val="22"/>
                <w:vertAlign w:val="superscript"/>
                <w:lang w:eastAsia="en-US"/>
              </w:rPr>
              <w:t>17</w:t>
            </w:r>
            <w:r w:rsidRPr="00393250">
              <w:rPr>
                <w:rFonts w:eastAsia="Calibri"/>
                <w:noProof/>
                <w:sz w:val="22"/>
                <w:szCs w:val="22"/>
                <w:lang w:eastAsia="en-US"/>
              </w:rPr>
              <w:t>)</w:t>
            </w:r>
          </w:p>
        </w:tc>
        <w:tc>
          <w:tcPr>
            <w:tcW w:w="1262" w:type="dxa"/>
            <w:tcMar>
              <w:left w:w="28" w:type="dxa"/>
              <w:right w:w="28" w:type="dxa"/>
            </w:tcMar>
          </w:tcPr>
          <w:p w14:paraId="1D2C259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 xml:space="preserve">X </w:t>
            </w:r>
          </w:p>
        </w:tc>
        <w:tc>
          <w:tcPr>
            <w:tcW w:w="1153" w:type="dxa"/>
            <w:tcMar>
              <w:left w:w="28" w:type="dxa"/>
              <w:right w:w="28" w:type="dxa"/>
            </w:tcMar>
          </w:tcPr>
          <w:p w14:paraId="41AAD05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970" w:type="dxa"/>
            <w:tcMar>
              <w:left w:w="28" w:type="dxa"/>
              <w:right w:w="28" w:type="dxa"/>
            </w:tcMar>
          </w:tcPr>
          <w:p w14:paraId="5107AC8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287BC811" w14:textId="77777777" w:rsidTr="00B551B3">
        <w:trPr>
          <w:gridBefore w:val="1"/>
          <w:wBefore w:w="12" w:type="dxa"/>
          <w:tblHeader/>
          <w:jc w:val="center"/>
        </w:trPr>
        <w:tc>
          <w:tcPr>
            <w:tcW w:w="834" w:type="dxa"/>
            <w:vMerge w:val="restart"/>
            <w:tcMar>
              <w:left w:w="28" w:type="dxa"/>
              <w:right w:w="28" w:type="dxa"/>
            </w:tcMar>
          </w:tcPr>
          <w:p w14:paraId="0E8E8C12" w14:textId="77777777" w:rsidR="00B551B3" w:rsidRPr="00393250" w:rsidRDefault="00B551B3" w:rsidP="00B551B3">
            <w:pPr>
              <w:widowControl/>
              <w:spacing w:before="40" w:after="40"/>
              <w:jc w:val="both"/>
              <w:rPr>
                <w:rFonts w:eastAsia="Calibri"/>
                <w:noProof/>
                <w:sz w:val="22"/>
                <w:szCs w:val="22"/>
                <w:lang w:eastAsia="en-US"/>
              </w:rPr>
            </w:pPr>
          </w:p>
        </w:tc>
        <w:tc>
          <w:tcPr>
            <w:tcW w:w="2103" w:type="dxa"/>
            <w:gridSpan w:val="2"/>
            <w:tcMar>
              <w:left w:w="28" w:type="dxa"/>
              <w:right w:w="28" w:type="dxa"/>
            </w:tcMar>
          </w:tcPr>
          <w:p w14:paraId="0DA0475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Benzo(a)pyren</w:t>
            </w:r>
          </w:p>
        </w:tc>
        <w:tc>
          <w:tcPr>
            <w:tcW w:w="1329" w:type="dxa"/>
            <w:tcMar>
              <w:left w:w="28" w:type="dxa"/>
              <w:right w:w="28" w:type="dxa"/>
            </w:tcMar>
          </w:tcPr>
          <w:p w14:paraId="58DD7BF1" w14:textId="77777777" w:rsidR="00B551B3" w:rsidRPr="00393250" w:rsidRDefault="00B551B3" w:rsidP="00B551B3">
            <w:pPr>
              <w:widowControl/>
              <w:spacing w:before="40" w:after="40"/>
              <w:rPr>
                <w:rFonts w:eastAsia="Calibri"/>
                <w:noProof/>
                <w:sz w:val="22"/>
                <w:szCs w:val="22"/>
                <w:lang w:eastAsia="en-US"/>
              </w:rPr>
            </w:pPr>
          </w:p>
        </w:tc>
        <w:tc>
          <w:tcPr>
            <w:tcW w:w="992" w:type="dxa"/>
            <w:tcMar>
              <w:left w:w="28" w:type="dxa"/>
              <w:right w:w="28" w:type="dxa"/>
            </w:tcMar>
          </w:tcPr>
          <w:p w14:paraId="43E8B44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50-32-8</w:t>
            </w:r>
          </w:p>
        </w:tc>
        <w:tc>
          <w:tcPr>
            <w:tcW w:w="1134" w:type="dxa"/>
            <w:shd w:val="clear" w:color="auto" w:fill="auto"/>
          </w:tcPr>
          <w:p w14:paraId="5157E41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200-028-5</w:t>
            </w:r>
          </w:p>
        </w:tc>
        <w:tc>
          <w:tcPr>
            <w:tcW w:w="1279" w:type="dxa"/>
            <w:shd w:val="clear" w:color="auto" w:fill="auto"/>
            <w:tcMar>
              <w:left w:w="28" w:type="dxa"/>
              <w:right w:w="28" w:type="dxa"/>
            </w:tcMar>
          </w:tcPr>
          <w:p w14:paraId="33D58B2A" w14:textId="77777777" w:rsidR="00B551B3" w:rsidRPr="00393250" w:rsidRDefault="00B551B3" w:rsidP="00B551B3">
            <w:pPr>
              <w:widowControl/>
              <w:spacing w:before="40" w:after="40"/>
              <w:rPr>
                <w:rFonts w:eastAsia="Calibri"/>
                <w:noProof/>
                <w:sz w:val="22"/>
                <w:szCs w:val="22"/>
                <w:vertAlign w:val="superscript"/>
                <w:lang w:eastAsia="en-US"/>
              </w:rPr>
            </w:pPr>
          </w:p>
        </w:tc>
        <w:tc>
          <w:tcPr>
            <w:tcW w:w="1279" w:type="dxa"/>
            <w:shd w:val="clear" w:color="auto" w:fill="auto"/>
            <w:tcMar>
              <w:left w:w="28" w:type="dxa"/>
              <w:right w:w="28" w:type="dxa"/>
            </w:tcMar>
          </w:tcPr>
          <w:p w14:paraId="22489111" w14:textId="77777777" w:rsidR="00B551B3" w:rsidRPr="00393250" w:rsidRDefault="00B551B3" w:rsidP="00B551B3">
            <w:pPr>
              <w:widowControl/>
              <w:spacing w:before="40" w:after="40"/>
              <w:rPr>
                <w:rFonts w:eastAsia="Calibri"/>
                <w:noProof/>
                <w:sz w:val="22"/>
                <w:szCs w:val="22"/>
                <w:lang w:eastAsia="en-US"/>
              </w:rPr>
            </w:pPr>
          </w:p>
        </w:tc>
        <w:tc>
          <w:tcPr>
            <w:tcW w:w="1278" w:type="dxa"/>
            <w:tcMar>
              <w:left w:w="28" w:type="dxa"/>
              <w:right w:w="28" w:type="dxa"/>
            </w:tcMar>
          </w:tcPr>
          <w:p w14:paraId="54F2059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0,27</w:t>
            </w:r>
          </w:p>
        </w:tc>
        <w:tc>
          <w:tcPr>
            <w:tcW w:w="1277" w:type="dxa"/>
            <w:tcMar>
              <w:left w:w="28" w:type="dxa"/>
              <w:right w:w="28" w:type="dxa"/>
            </w:tcMar>
          </w:tcPr>
          <w:p w14:paraId="63CDC94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0,027</w:t>
            </w:r>
          </w:p>
        </w:tc>
        <w:tc>
          <w:tcPr>
            <w:tcW w:w="1136" w:type="dxa"/>
            <w:tcMar>
              <w:left w:w="28" w:type="dxa"/>
              <w:right w:w="28" w:type="dxa"/>
            </w:tcMar>
          </w:tcPr>
          <w:p w14:paraId="68AF6495" w14:textId="77777777" w:rsidR="00B551B3" w:rsidRPr="00393250" w:rsidRDefault="00B551B3" w:rsidP="00B551B3">
            <w:pPr>
              <w:widowControl/>
              <w:spacing w:before="40" w:after="40"/>
              <w:rPr>
                <w:rFonts w:eastAsia="Calibri"/>
                <w:b/>
                <w:i/>
                <w:noProof/>
                <w:sz w:val="22"/>
                <w:szCs w:val="22"/>
                <w:lang w:eastAsia="en-US"/>
              </w:rPr>
            </w:pPr>
            <w:bookmarkStart w:id="26" w:name="_DV_C335"/>
            <w:r w:rsidRPr="00393250">
              <w:rPr>
                <w:rFonts w:eastAsia="Calibri"/>
                <w:noProof/>
                <w:sz w:val="22"/>
                <w:szCs w:val="22"/>
                <w:lang w:eastAsia="en-US"/>
              </w:rPr>
              <w:t>[0,6</w:t>
            </w:r>
            <w:bookmarkEnd w:id="26"/>
            <w:r w:rsidRPr="00393250">
              <w:rPr>
                <w:rFonts w:eastAsia="Calibri"/>
                <w:noProof/>
                <w:sz w:val="22"/>
                <w:szCs w:val="22"/>
                <w:lang w:eastAsia="en-US"/>
              </w:rPr>
              <w:t>]</w:t>
            </w:r>
          </w:p>
        </w:tc>
        <w:tc>
          <w:tcPr>
            <w:tcW w:w="1262" w:type="dxa"/>
            <w:tcMar>
              <w:left w:w="28" w:type="dxa"/>
              <w:right w:w="28" w:type="dxa"/>
            </w:tcMar>
          </w:tcPr>
          <w:p w14:paraId="2BB2A662" w14:textId="77777777" w:rsidR="00B551B3" w:rsidRPr="00393250" w:rsidRDefault="00B551B3" w:rsidP="00B551B3">
            <w:pPr>
              <w:widowControl/>
              <w:spacing w:before="40" w:after="40"/>
              <w:rPr>
                <w:rFonts w:eastAsia="Calibri"/>
                <w:noProof/>
                <w:sz w:val="22"/>
                <w:szCs w:val="22"/>
                <w:lang w:eastAsia="en-US"/>
              </w:rPr>
            </w:pPr>
          </w:p>
        </w:tc>
        <w:tc>
          <w:tcPr>
            <w:tcW w:w="1153" w:type="dxa"/>
            <w:tcMar>
              <w:left w:w="28" w:type="dxa"/>
              <w:right w:w="28" w:type="dxa"/>
            </w:tcMar>
          </w:tcPr>
          <w:p w14:paraId="7FA5D9E9" w14:textId="77777777" w:rsidR="00B551B3" w:rsidRPr="00393250" w:rsidRDefault="00B551B3" w:rsidP="00B551B3">
            <w:pPr>
              <w:widowControl/>
              <w:spacing w:before="40" w:after="40"/>
              <w:rPr>
                <w:rFonts w:eastAsia="Calibri"/>
                <w:strike/>
                <w:noProof/>
                <w:sz w:val="22"/>
                <w:szCs w:val="22"/>
                <w:lang w:eastAsia="en-US"/>
              </w:rPr>
            </w:pPr>
          </w:p>
        </w:tc>
        <w:tc>
          <w:tcPr>
            <w:tcW w:w="970" w:type="dxa"/>
            <w:tcMar>
              <w:left w:w="28" w:type="dxa"/>
              <w:right w:w="28" w:type="dxa"/>
            </w:tcMar>
          </w:tcPr>
          <w:p w14:paraId="18A5B775" w14:textId="77777777" w:rsidR="00B551B3" w:rsidRPr="00393250" w:rsidRDefault="00B551B3" w:rsidP="00B551B3">
            <w:pPr>
              <w:widowControl/>
              <w:spacing w:before="40" w:after="40"/>
              <w:rPr>
                <w:rFonts w:eastAsia="Calibri"/>
                <w:strike/>
                <w:noProof/>
                <w:sz w:val="22"/>
                <w:szCs w:val="22"/>
                <w:lang w:eastAsia="en-US"/>
              </w:rPr>
            </w:pPr>
          </w:p>
        </w:tc>
      </w:tr>
      <w:tr w:rsidR="00B551B3" w:rsidRPr="00393250" w14:paraId="01530200" w14:textId="77777777" w:rsidTr="00B551B3">
        <w:trPr>
          <w:gridBefore w:val="1"/>
          <w:wBefore w:w="12" w:type="dxa"/>
          <w:tblHeader/>
          <w:jc w:val="center"/>
        </w:trPr>
        <w:tc>
          <w:tcPr>
            <w:tcW w:w="834" w:type="dxa"/>
            <w:vMerge/>
            <w:tcMar>
              <w:left w:w="28" w:type="dxa"/>
              <w:right w:w="28" w:type="dxa"/>
            </w:tcMar>
          </w:tcPr>
          <w:p w14:paraId="2FB6EF5F" w14:textId="77777777" w:rsidR="00B551B3" w:rsidRPr="00393250" w:rsidRDefault="00B551B3" w:rsidP="00B551B3">
            <w:pPr>
              <w:widowControl/>
              <w:spacing w:before="40" w:after="40"/>
              <w:jc w:val="both"/>
              <w:rPr>
                <w:rFonts w:eastAsia="Calibri"/>
                <w:noProof/>
                <w:sz w:val="22"/>
                <w:szCs w:val="22"/>
                <w:lang w:eastAsia="en-US"/>
              </w:rPr>
            </w:pPr>
          </w:p>
        </w:tc>
        <w:tc>
          <w:tcPr>
            <w:tcW w:w="2103" w:type="dxa"/>
            <w:gridSpan w:val="2"/>
            <w:tcMar>
              <w:left w:w="28" w:type="dxa"/>
              <w:right w:w="28" w:type="dxa"/>
            </w:tcMar>
          </w:tcPr>
          <w:p w14:paraId="1809D60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Benzo(b)fluoranthen</w:t>
            </w:r>
          </w:p>
        </w:tc>
        <w:tc>
          <w:tcPr>
            <w:tcW w:w="1329" w:type="dxa"/>
            <w:tcMar>
              <w:left w:w="28" w:type="dxa"/>
              <w:right w:w="28" w:type="dxa"/>
            </w:tcMar>
          </w:tcPr>
          <w:p w14:paraId="4C6454BC" w14:textId="77777777" w:rsidR="00B551B3" w:rsidRPr="00393250" w:rsidRDefault="00B551B3" w:rsidP="00B551B3">
            <w:pPr>
              <w:widowControl/>
              <w:spacing w:before="40" w:after="40"/>
              <w:rPr>
                <w:rFonts w:eastAsia="Calibri"/>
                <w:noProof/>
                <w:sz w:val="22"/>
                <w:szCs w:val="22"/>
                <w:lang w:eastAsia="en-US"/>
              </w:rPr>
            </w:pPr>
          </w:p>
        </w:tc>
        <w:tc>
          <w:tcPr>
            <w:tcW w:w="992" w:type="dxa"/>
            <w:tcMar>
              <w:left w:w="28" w:type="dxa"/>
              <w:right w:w="28" w:type="dxa"/>
            </w:tcMar>
          </w:tcPr>
          <w:p w14:paraId="40137EB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205-99-2</w:t>
            </w:r>
          </w:p>
        </w:tc>
        <w:tc>
          <w:tcPr>
            <w:tcW w:w="1134" w:type="dxa"/>
          </w:tcPr>
          <w:p w14:paraId="46F2460B" w14:textId="77777777" w:rsidR="00B551B3" w:rsidRPr="00393250" w:rsidDel="00BD2DD7"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205-911-9</w:t>
            </w:r>
          </w:p>
        </w:tc>
        <w:tc>
          <w:tcPr>
            <w:tcW w:w="1279" w:type="dxa"/>
            <w:tcMar>
              <w:left w:w="28" w:type="dxa"/>
              <w:right w:w="28" w:type="dxa"/>
            </w:tcMar>
          </w:tcPr>
          <w:p w14:paraId="5775F9F9" w14:textId="77777777" w:rsidR="00B551B3" w:rsidRPr="00393250" w:rsidRDefault="00B551B3" w:rsidP="00B551B3">
            <w:pPr>
              <w:widowControl/>
              <w:spacing w:before="40" w:after="40"/>
              <w:rPr>
                <w:rFonts w:eastAsia="Calibri"/>
                <w:b/>
                <w:i/>
                <w:noProof/>
                <w:sz w:val="22"/>
                <w:szCs w:val="22"/>
                <w:lang w:eastAsia="en-US"/>
              </w:rPr>
            </w:pPr>
          </w:p>
        </w:tc>
        <w:tc>
          <w:tcPr>
            <w:tcW w:w="1279" w:type="dxa"/>
            <w:tcMar>
              <w:left w:w="28" w:type="dxa"/>
              <w:right w:w="28" w:type="dxa"/>
            </w:tcMar>
          </w:tcPr>
          <w:p w14:paraId="6403A776" w14:textId="77777777" w:rsidR="00B551B3" w:rsidRPr="00393250" w:rsidRDefault="00B551B3" w:rsidP="00B551B3">
            <w:pPr>
              <w:widowControl/>
              <w:spacing w:before="40" w:after="40"/>
              <w:rPr>
                <w:rFonts w:eastAsia="Calibri"/>
                <w:b/>
                <w:i/>
                <w:noProof/>
                <w:sz w:val="22"/>
                <w:szCs w:val="22"/>
                <w:lang w:eastAsia="en-US"/>
              </w:rPr>
            </w:pPr>
          </w:p>
        </w:tc>
        <w:tc>
          <w:tcPr>
            <w:tcW w:w="1278" w:type="dxa"/>
            <w:tcMar>
              <w:left w:w="28" w:type="dxa"/>
              <w:right w:w="28" w:type="dxa"/>
            </w:tcMar>
          </w:tcPr>
          <w:p w14:paraId="7B3C4A2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0,017</w:t>
            </w:r>
          </w:p>
        </w:tc>
        <w:tc>
          <w:tcPr>
            <w:tcW w:w="1277" w:type="dxa"/>
            <w:tcMar>
              <w:left w:w="28" w:type="dxa"/>
              <w:right w:w="28" w:type="dxa"/>
            </w:tcMar>
          </w:tcPr>
          <w:p w14:paraId="52F6D1A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0,017</w:t>
            </w:r>
          </w:p>
        </w:tc>
        <w:tc>
          <w:tcPr>
            <w:tcW w:w="1136" w:type="dxa"/>
            <w:tcMar>
              <w:left w:w="28" w:type="dxa"/>
              <w:right w:w="28" w:type="dxa"/>
            </w:tcMar>
          </w:tcPr>
          <w:p w14:paraId="61D4DE56" w14:textId="77777777" w:rsidR="00B551B3" w:rsidRPr="00393250" w:rsidRDefault="00B551B3" w:rsidP="00B551B3">
            <w:pPr>
              <w:widowControl/>
              <w:spacing w:before="40" w:after="40"/>
              <w:rPr>
                <w:rFonts w:eastAsia="Calibri"/>
                <w:b/>
                <w:noProof/>
                <w:sz w:val="22"/>
                <w:szCs w:val="22"/>
                <w:lang w:eastAsia="en-US"/>
              </w:rPr>
            </w:pPr>
            <w:bookmarkStart w:id="27" w:name="_DV_C338"/>
            <w:r w:rsidRPr="00393250">
              <w:rPr>
                <w:rFonts w:eastAsia="Calibri"/>
                <w:noProof/>
                <w:sz w:val="22"/>
                <w:szCs w:val="22"/>
                <w:lang w:eastAsia="en-US"/>
              </w:rPr>
              <w:t xml:space="preserve">se fodnote </w:t>
            </w:r>
            <w:bookmarkEnd w:id="27"/>
            <w:r w:rsidRPr="00393250">
              <w:rPr>
                <w:rFonts w:eastAsia="Calibri"/>
                <w:noProof/>
                <w:sz w:val="22"/>
                <w:szCs w:val="22"/>
                <w:lang w:eastAsia="en-US"/>
              </w:rPr>
              <w:t>17</w:t>
            </w:r>
          </w:p>
        </w:tc>
        <w:tc>
          <w:tcPr>
            <w:tcW w:w="1262" w:type="dxa"/>
            <w:tcMar>
              <w:left w:w="28" w:type="dxa"/>
              <w:right w:w="28" w:type="dxa"/>
            </w:tcMar>
          </w:tcPr>
          <w:p w14:paraId="3E6262B5" w14:textId="77777777" w:rsidR="00B551B3" w:rsidRPr="00393250" w:rsidRDefault="00B551B3" w:rsidP="00B551B3">
            <w:pPr>
              <w:widowControl/>
              <w:spacing w:before="40" w:after="40"/>
              <w:rPr>
                <w:rFonts w:eastAsia="Calibri"/>
                <w:noProof/>
                <w:sz w:val="22"/>
                <w:szCs w:val="22"/>
                <w:lang w:eastAsia="en-US"/>
              </w:rPr>
            </w:pPr>
          </w:p>
        </w:tc>
        <w:tc>
          <w:tcPr>
            <w:tcW w:w="1153" w:type="dxa"/>
            <w:tcMar>
              <w:left w:w="28" w:type="dxa"/>
              <w:right w:w="28" w:type="dxa"/>
            </w:tcMar>
          </w:tcPr>
          <w:p w14:paraId="5F718EF2" w14:textId="77777777" w:rsidR="00B551B3" w:rsidRPr="00393250" w:rsidRDefault="00B551B3" w:rsidP="00B551B3">
            <w:pPr>
              <w:widowControl/>
              <w:spacing w:before="40" w:after="40"/>
              <w:rPr>
                <w:rFonts w:eastAsia="Calibri"/>
                <w:i/>
                <w:noProof/>
                <w:sz w:val="22"/>
                <w:szCs w:val="22"/>
                <w:lang w:eastAsia="en-US"/>
              </w:rPr>
            </w:pPr>
          </w:p>
        </w:tc>
        <w:tc>
          <w:tcPr>
            <w:tcW w:w="970" w:type="dxa"/>
            <w:tcMar>
              <w:left w:w="28" w:type="dxa"/>
              <w:right w:w="28" w:type="dxa"/>
            </w:tcMar>
          </w:tcPr>
          <w:p w14:paraId="2285C7E9" w14:textId="77777777" w:rsidR="00B551B3" w:rsidRPr="00393250" w:rsidRDefault="00B551B3" w:rsidP="00B551B3">
            <w:pPr>
              <w:widowControl/>
              <w:spacing w:before="40" w:after="40"/>
              <w:rPr>
                <w:rFonts w:eastAsia="Calibri"/>
                <w:i/>
                <w:noProof/>
                <w:sz w:val="22"/>
                <w:szCs w:val="22"/>
                <w:lang w:eastAsia="en-US"/>
              </w:rPr>
            </w:pPr>
          </w:p>
        </w:tc>
      </w:tr>
      <w:tr w:rsidR="00B551B3" w:rsidRPr="00393250" w14:paraId="5EC9104C" w14:textId="77777777" w:rsidTr="00B551B3">
        <w:trPr>
          <w:gridBefore w:val="1"/>
          <w:wBefore w:w="12" w:type="dxa"/>
          <w:tblHeader/>
          <w:jc w:val="center"/>
        </w:trPr>
        <w:tc>
          <w:tcPr>
            <w:tcW w:w="834" w:type="dxa"/>
            <w:vMerge/>
            <w:tcMar>
              <w:left w:w="28" w:type="dxa"/>
              <w:right w:w="28" w:type="dxa"/>
            </w:tcMar>
          </w:tcPr>
          <w:p w14:paraId="688070FF" w14:textId="77777777" w:rsidR="00B551B3" w:rsidRPr="00393250" w:rsidRDefault="00B551B3" w:rsidP="00B551B3">
            <w:pPr>
              <w:widowControl/>
              <w:spacing w:before="40" w:after="40"/>
              <w:jc w:val="both"/>
              <w:rPr>
                <w:rFonts w:eastAsia="Calibri"/>
                <w:noProof/>
                <w:sz w:val="22"/>
                <w:szCs w:val="22"/>
                <w:lang w:eastAsia="en-US"/>
              </w:rPr>
            </w:pPr>
          </w:p>
        </w:tc>
        <w:tc>
          <w:tcPr>
            <w:tcW w:w="2103" w:type="dxa"/>
            <w:gridSpan w:val="2"/>
            <w:tcMar>
              <w:left w:w="28" w:type="dxa"/>
              <w:right w:w="28" w:type="dxa"/>
            </w:tcMar>
          </w:tcPr>
          <w:p w14:paraId="227BCCE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Benzo(k)fluoranthen</w:t>
            </w:r>
          </w:p>
        </w:tc>
        <w:tc>
          <w:tcPr>
            <w:tcW w:w="1329" w:type="dxa"/>
            <w:tcMar>
              <w:left w:w="28" w:type="dxa"/>
              <w:right w:w="28" w:type="dxa"/>
            </w:tcMar>
          </w:tcPr>
          <w:p w14:paraId="02710FFE" w14:textId="77777777" w:rsidR="00B551B3" w:rsidRPr="00393250" w:rsidRDefault="00B551B3" w:rsidP="00B551B3">
            <w:pPr>
              <w:widowControl/>
              <w:spacing w:before="40" w:after="40"/>
              <w:rPr>
                <w:rFonts w:eastAsia="Calibri"/>
                <w:noProof/>
                <w:sz w:val="22"/>
                <w:szCs w:val="22"/>
                <w:lang w:eastAsia="en-US"/>
              </w:rPr>
            </w:pPr>
          </w:p>
        </w:tc>
        <w:tc>
          <w:tcPr>
            <w:tcW w:w="992" w:type="dxa"/>
            <w:tcMar>
              <w:left w:w="28" w:type="dxa"/>
              <w:right w:w="28" w:type="dxa"/>
            </w:tcMar>
          </w:tcPr>
          <w:p w14:paraId="467F34B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207-08-9</w:t>
            </w:r>
          </w:p>
        </w:tc>
        <w:tc>
          <w:tcPr>
            <w:tcW w:w="1134" w:type="dxa"/>
          </w:tcPr>
          <w:p w14:paraId="191698EB" w14:textId="77777777" w:rsidR="00B551B3" w:rsidRPr="00393250" w:rsidDel="00BD2DD7"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205-916-6</w:t>
            </w:r>
          </w:p>
        </w:tc>
        <w:tc>
          <w:tcPr>
            <w:tcW w:w="1279" w:type="dxa"/>
            <w:tcMar>
              <w:left w:w="28" w:type="dxa"/>
              <w:right w:w="28" w:type="dxa"/>
            </w:tcMar>
          </w:tcPr>
          <w:p w14:paraId="12F53595" w14:textId="77777777" w:rsidR="00B551B3" w:rsidRPr="00393250" w:rsidRDefault="00B551B3" w:rsidP="00B551B3">
            <w:pPr>
              <w:widowControl/>
              <w:spacing w:before="40" w:after="40"/>
              <w:rPr>
                <w:rFonts w:eastAsia="Calibri"/>
                <w:b/>
                <w:i/>
                <w:noProof/>
                <w:sz w:val="22"/>
                <w:szCs w:val="22"/>
                <w:lang w:eastAsia="en-US"/>
              </w:rPr>
            </w:pPr>
          </w:p>
        </w:tc>
        <w:tc>
          <w:tcPr>
            <w:tcW w:w="1279" w:type="dxa"/>
            <w:tcMar>
              <w:left w:w="28" w:type="dxa"/>
              <w:right w:w="28" w:type="dxa"/>
            </w:tcMar>
          </w:tcPr>
          <w:p w14:paraId="6415502C" w14:textId="77777777" w:rsidR="00B551B3" w:rsidRPr="00393250" w:rsidRDefault="00B551B3" w:rsidP="00B551B3">
            <w:pPr>
              <w:widowControl/>
              <w:spacing w:before="40" w:after="40"/>
              <w:rPr>
                <w:rFonts w:eastAsia="Calibri"/>
                <w:b/>
                <w:i/>
                <w:noProof/>
                <w:sz w:val="22"/>
                <w:szCs w:val="22"/>
                <w:lang w:eastAsia="en-US"/>
              </w:rPr>
            </w:pPr>
          </w:p>
        </w:tc>
        <w:tc>
          <w:tcPr>
            <w:tcW w:w="1278" w:type="dxa"/>
            <w:tcMar>
              <w:left w:w="28" w:type="dxa"/>
              <w:right w:w="28" w:type="dxa"/>
            </w:tcMar>
          </w:tcPr>
          <w:p w14:paraId="20B186E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0,017</w:t>
            </w:r>
          </w:p>
        </w:tc>
        <w:tc>
          <w:tcPr>
            <w:tcW w:w="1277" w:type="dxa"/>
            <w:tcMar>
              <w:left w:w="28" w:type="dxa"/>
              <w:right w:w="28" w:type="dxa"/>
            </w:tcMar>
          </w:tcPr>
          <w:p w14:paraId="5591C48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0,017</w:t>
            </w:r>
          </w:p>
        </w:tc>
        <w:tc>
          <w:tcPr>
            <w:tcW w:w="1136" w:type="dxa"/>
            <w:tcMar>
              <w:left w:w="28" w:type="dxa"/>
              <w:right w:w="28" w:type="dxa"/>
            </w:tcMar>
          </w:tcPr>
          <w:p w14:paraId="542D631B" w14:textId="77777777" w:rsidR="00B551B3" w:rsidRPr="00393250" w:rsidRDefault="00B551B3" w:rsidP="00B551B3">
            <w:pPr>
              <w:widowControl/>
              <w:spacing w:before="40" w:after="40"/>
              <w:rPr>
                <w:rFonts w:eastAsia="Calibri"/>
                <w:b/>
                <w:noProof/>
                <w:sz w:val="22"/>
                <w:szCs w:val="22"/>
                <w:lang w:eastAsia="en-US"/>
              </w:rPr>
            </w:pPr>
            <w:bookmarkStart w:id="28" w:name="_DV_C341"/>
            <w:r w:rsidRPr="00393250">
              <w:rPr>
                <w:rFonts w:eastAsia="Calibri"/>
                <w:noProof/>
                <w:sz w:val="22"/>
                <w:szCs w:val="22"/>
                <w:lang w:eastAsia="en-US"/>
              </w:rPr>
              <w:t xml:space="preserve">se fodnote </w:t>
            </w:r>
            <w:bookmarkEnd w:id="28"/>
            <w:r w:rsidRPr="00393250">
              <w:rPr>
                <w:rFonts w:eastAsia="Calibri"/>
                <w:noProof/>
                <w:sz w:val="22"/>
                <w:szCs w:val="22"/>
                <w:lang w:eastAsia="en-US"/>
              </w:rPr>
              <w:t>17</w:t>
            </w:r>
          </w:p>
        </w:tc>
        <w:tc>
          <w:tcPr>
            <w:tcW w:w="1262" w:type="dxa"/>
            <w:tcMar>
              <w:left w:w="28" w:type="dxa"/>
              <w:right w:w="28" w:type="dxa"/>
            </w:tcMar>
          </w:tcPr>
          <w:p w14:paraId="6C3FEA82" w14:textId="77777777" w:rsidR="00B551B3" w:rsidRPr="00393250" w:rsidRDefault="00B551B3" w:rsidP="00B551B3">
            <w:pPr>
              <w:widowControl/>
              <w:spacing w:before="40" w:after="40"/>
              <w:rPr>
                <w:rFonts w:eastAsia="Calibri"/>
                <w:noProof/>
                <w:sz w:val="22"/>
                <w:szCs w:val="22"/>
                <w:lang w:eastAsia="en-US"/>
              </w:rPr>
            </w:pPr>
          </w:p>
        </w:tc>
        <w:tc>
          <w:tcPr>
            <w:tcW w:w="1153" w:type="dxa"/>
            <w:tcMar>
              <w:left w:w="28" w:type="dxa"/>
              <w:right w:w="28" w:type="dxa"/>
            </w:tcMar>
          </w:tcPr>
          <w:p w14:paraId="6B14660D" w14:textId="77777777" w:rsidR="00B551B3" w:rsidRPr="00393250" w:rsidRDefault="00B551B3" w:rsidP="00B551B3">
            <w:pPr>
              <w:widowControl/>
              <w:spacing w:before="40" w:after="40"/>
              <w:rPr>
                <w:rFonts w:eastAsia="Calibri"/>
                <w:i/>
                <w:noProof/>
                <w:sz w:val="22"/>
                <w:szCs w:val="22"/>
                <w:lang w:eastAsia="en-US"/>
              </w:rPr>
            </w:pPr>
          </w:p>
        </w:tc>
        <w:tc>
          <w:tcPr>
            <w:tcW w:w="970" w:type="dxa"/>
            <w:tcMar>
              <w:left w:w="28" w:type="dxa"/>
              <w:right w:w="28" w:type="dxa"/>
            </w:tcMar>
          </w:tcPr>
          <w:p w14:paraId="089BDF10" w14:textId="77777777" w:rsidR="00B551B3" w:rsidRPr="00393250" w:rsidRDefault="00B551B3" w:rsidP="00B551B3">
            <w:pPr>
              <w:widowControl/>
              <w:spacing w:before="40" w:after="40"/>
              <w:rPr>
                <w:rFonts w:eastAsia="Calibri"/>
                <w:i/>
                <w:noProof/>
                <w:sz w:val="22"/>
                <w:szCs w:val="22"/>
                <w:lang w:eastAsia="en-US"/>
              </w:rPr>
            </w:pPr>
          </w:p>
        </w:tc>
      </w:tr>
      <w:tr w:rsidR="00B551B3" w:rsidRPr="00393250" w14:paraId="1B4BFA4A" w14:textId="77777777" w:rsidTr="00B551B3">
        <w:trPr>
          <w:gridBefore w:val="1"/>
          <w:wBefore w:w="12" w:type="dxa"/>
          <w:tblHeader/>
          <w:jc w:val="center"/>
        </w:trPr>
        <w:tc>
          <w:tcPr>
            <w:tcW w:w="834" w:type="dxa"/>
            <w:vMerge/>
            <w:tcMar>
              <w:left w:w="28" w:type="dxa"/>
              <w:right w:w="28" w:type="dxa"/>
            </w:tcMar>
          </w:tcPr>
          <w:p w14:paraId="6283293F" w14:textId="77777777" w:rsidR="00B551B3" w:rsidRPr="00393250" w:rsidRDefault="00B551B3" w:rsidP="00B551B3">
            <w:pPr>
              <w:widowControl/>
              <w:spacing w:before="40" w:after="40"/>
              <w:jc w:val="both"/>
              <w:rPr>
                <w:rFonts w:eastAsia="Calibri"/>
                <w:noProof/>
                <w:sz w:val="22"/>
                <w:szCs w:val="22"/>
                <w:lang w:eastAsia="en-US"/>
              </w:rPr>
            </w:pPr>
          </w:p>
        </w:tc>
        <w:tc>
          <w:tcPr>
            <w:tcW w:w="2103" w:type="dxa"/>
            <w:gridSpan w:val="2"/>
            <w:tcMar>
              <w:left w:w="28" w:type="dxa"/>
              <w:right w:w="28" w:type="dxa"/>
            </w:tcMar>
          </w:tcPr>
          <w:p w14:paraId="5CD2367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Benzo(g,h,i)perylen</w:t>
            </w:r>
          </w:p>
        </w:tc>
        <w:tc>
          <w:tcPr>
            <w:tcW w:w="1329" w:type="dxa"/>
            <w:tcMar>
              <w:left w:w="28" w:type="dxa"/>
              <w:right w:w="28" w:type="dxa"/>
            </w:tcMar>
          </w:tcPr>
          <w:p w14:paraId="0780789B" w14:textId="77777777" w:rsidR="00B551B3" w:rsidRPr="00393250" w:rsidRDefault="00B551B3" w:rsidP="00B551B3">
            <w:pPr>
              <w:widowControl/>
              <w:spacing w:before="40" w:after="40"/>
              <w:rPr>
                <w:rFonts w:eastAsia="Calibri"/>
                <w:noProof/>
                <w:sz w:val="22"/>
                <w:szCs w:val="22"/>
                <w:lang w:eastAsia="en-US"/>
              </w:rPr>
            </w:pPr>
          </w:p>
        </w:tc>
        <w:tc>
          <w:tcPr>
            <w:tcW w:w="992" w:type="dxa"/>
            <w:tcMar>
              <w:left w:w="28" w:type="dxa"/>
              <w:right w:w="28" w:type="dxa"/>
            </w:tcMar>
          </w:tcPr>
          <w:p w14:paraId="669F921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191-24-2</w:t>
            </w:r>
          </w:p>
        </w:tc>
        <w:tc>
          <w:tcPr>
            <w:tcW w:w="1134" w:type="dxa"/>
          </w:tcPr>
          <w:p w14:paraId="12B3AC7C" w14:textId="77777777" w:rsidR="00B551B3" w:rsidRPr="00393250" w:rsidDel="00BD2DD7"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205-883-8</w:t>
            </w:r>
          </w:p>
        </w:tc>
        <w:tc>
          <w:tcPr>
            <w:tcW w:w="1279" w:type="dxa"/>
            <w:tcMar>
              <w:left w:w="28" w:type="dxa"/>
              <w:right w:w="28" w:type="dxa"/>
            </w:tcMar>
          </w:tcPr>
          <w:p w14:paraId="11ECD2C3" w14:textId="77777777" w:rsidR="00B551B3" w:rsidRPr="00393250" w:rsidRDefault="00B551B3" w:rsidP="00B551B3">
            <w:pPr>
              <w:widowControl/>
              <w:spacing w:before="40" w:after="40"/>
              <w:rPr>
                <w:rFonts w:eastAsia="Calibri"/>
                <w:b/>
                <w:i/>
                <w:noProof/>
                <w:sz w:val="22"/>
                <w:szCs w:val="22"/>
                <w:lang w:eastAsia="en-US"/>
              </w:rPr>
            </w:pPr>
          </w:p>
        </w:tc>
        <w:tc>
          <w:tcPr>
            <w:tcW w:w="1279" w:type="dxa"/>
            <w:tcMar>
              <w:left w:w="28" w:type="dxa"/>
              <w:right w:w="28" w:type="dxa"/>
            </w:tcMar>
          </w:tcPr>
          <w:p w14:paraId="455E41C8" w14:textId="77777777" w:rsidR="00B551B3" w:rsidRPr="00393250" w:rsidRDefault="00B551B3" w:rsidP="00B551B3">
            <w:pPr>
              <w:widowControl/>
              <w:spacing w:before="40" w:after="40"/>
              <w:rPr>
                <w:rFonts w:eastAsia="Calibri"/>
                <w:b/>
                <w:i/>
                <w:noProof/>
                <w:sz w:val="22"/>
                <w:szCs w:val="22"/>
                <w:lang w:eastAsia="en-US"/>
              </w:rPr>
            </w:pPr>
          </w:p>
        </w:tc>
        <w:tc>
          <w:tcPr>
            <w:tcW w:w="1278" w:type="dxa"/>
            <w:tcMar>
              <w:left w:w="28" w:type="dxa"/>
              <w:right w:w="28" w:type="dxa"/>
            </w:tcMar>
          </w:tcPr>
          <w:p w14:paraId="4C0E5F4F" w14:textId="77777777" w:rsidR="00B551B3" w:rsidRPr="00393250" w:rsidRDefault="00B551B3" w:rsidP="00B551B3">
            <w:pPr>
              <w:widowControl/>
              <w:spacing w:before="40" w:after="40"/>
              <w:rPr>
                <w:rFonts w:eastAsia="Calibri"/>
                <w:noProof/>
                <w:sz w:val="22"/>
                <w:szCs w:val="22"/>
                <w:vertAlign w:val="superscript"/>
                <w:lang w:eastAsia="en-US"/>
              </w:rPr>
            </w:pPr>
            <w:r w:rsidRPr="00393250">
              <w:rPr>
                <w:rFonts w:eastAsia="Calibri"/>
                <w:noProof/>
                <w:sz w:val="22"/>
                <w:szCs w:val="22"/>
                <w:lang w:eastAsia="en-US"/>
              </w:rPr>
              <w:t>8,2 × 10</w:t>
            </w:r>
            <w:r w:rsidRPr="00393250">
              <w:rPr>
                <w:rFonts w:eastAsia="Calibri"/>
                <w:noProof/>
                <w:sz w:val="22"/>
                <w:szCs w:val="22"/>
                <w:vertAlign w:val="superscript"/>
                <w:lang w:eastAsia="en-US"/>
              </w:rPr>
              <w:t>-3</w:t>
            </w:r>
          </w:p>
        </w:tc>
        <w:tc>
          <w:tcPr>
            <w:tcW w:w="1277" w:type="dxa"/>
            <w:tcMar>
              <w:left w:w="28" w:type="dxa"/>
              <w:right w:w="28" w:type="dxa"/>
            </w:tcMar>
          </w:tcPr>
          <w:p w14:paraId="5E6B48BE" w14:textId="77777777" w:rsidR="00B551B3" w:rsidRPr="00393250" w:rsidRDefault="00B551B3" w:rsidP="00B551B3">
            <w:pPr>
              <w:widowControl/>
              <w:spacing w:before="40" w:after="40"/>
              <w:rPr>
                <w:rFonts w:eastAsia="Calibri"/>
                <w:noProof/>
                <w:sz w:val="22"/>
                <w:szCs w:val="22"/>
                <w:vertAlign w:val="superscript"/>
                <w:lang w:eastAsia="en-US"/>
              </w:rPr>
            </w:pPr>
            <w:r w:rsidRPr="00393250">
              <w:rPr>
                <w:rFonts w:eastAsia="Calibri"/>
                <w:noProof/>
                <w:sz w:val="22"/>
                <w:szCs w:val="22"/>
                <w:lang w:eastAsia="en-US"/>
              </w:rPr>
              <w:t>8,2 × 10</w:t>
            </w:r>
            <w:r w:rsidRPr="00393250">
              <w:rPr>
                <w:rFonts w:eastAsia="Calibri"/>
                <w:noProof/>
                <w:sz w:val="22"/>
                <w:szCs w:val="22"/>
                <w:vertAlign w:val="superscript"/>
                <w:lang w:eastAsia="en-US"/>
              </w:rPr>
              <w:t>-4</w:t>
            </w:r>
          </w:p>
        </w:tc>
        <w:tc>
          <w:tcPr>
            <w:tcW w:w="1136" w:type="dxa"/>
            <w:tcMar>
              <w:left w:w="28" w:type="dxa"/>
              <w:right w:w="28" w:type="dxa"/>
            </w:tcMar>
          </w:tcPr>
          <w:p w14:paraId="54D28234" w14:textId="77777777" w:rsidR="00B551B3" w:rsidRPr="00393250" w:rsidRDefault="00B551B3" w:rsidP="00B551B3">
            <w:pPr>
              <w:widowControl/>
              <w:spacing w:before="40" w:after="40"/>
              <w:rPr>
                <w:rFonts w:eastAsia="Calibri"/>
                <w:b/>
                <w:noProof/>
                <w:sz w:val="22"/>
                <w:szCs w:val="22"/>
                <w:lang w:eastAsia="en-US"/>
              </w:rPr>
            </w:pPr>
            <w:bookmarkStart w:id="29" w:name="_DV_C344"/>
            <w:r w:rsidRPr="00393250">
              <w:rPr>
                <w:rFonts w:eastAsia="Calibri"/>
                <w:noProof/>
                <w:sz w:val="22"/>
                <w:szCs w:val="22"/>
                <w:lang w:eastAsia="en-US"/>
              </w:rPr>
              <w:t xml:space="preserve">se fodnote </w:t>
            </w:r>
            <w:bookmarkEnd w:id="29"/>
            <w:r w:rsidRPr="00393250">
              <w:rPr>
                <w:rFonts w:eastAsia="Calibri"/>
                <w:noProof/>
                <w:sz w:val="22"/>
                <w:szCs w:val="22"/>
                <w:lang w:eastAsia="en-US"/>
              </w:rPr>
              <w:t>17</w:t>
            </w:r>
          </w:p>
        </w:tc>
        <w:tc>
          <w:tcPr>
            <w:tcW w:w="1262" w:type="dxa"/>
            <w:tcMar>
              <w:left w:w="28" w:type="dxa"/>
              <w:right w:w="28" w:type="dxa"/>
            </w:tcMar>
          </w:tcPr>
          <w:p w14:paraId="2AD9F549" w14:textId="77777777" w:rsidR="00B551B3" w:rsidRPr="00393250" w:rsidRDefault="00B551B3" w:rsidP="00B551B3">
            <w:pPr>
              <w:widowControl/>
              <w:spacing w:before="40" w:after="40"/>
              <w:rPr>
                <w:rFonts w:eastAsia="Calibri"/>
                <w:noProof/>
                <w:sz w:val="22"/>
                <w:szCs w:val="22"/>
                <w:lang w:eastAsia="en-US"/>
              </w:rPr>
            </w:pPr>
          </w:p>
        </w:tc>
        <w:tc>
          <w:tcPr>
            <w:tcW w:w="1153" w:type="dxa"/>
            <w:tcMar>
              <w:left w:w="28" w:type="dxa"/>
              <w:right w:w="28" w:type="dxa"/>
            </w:tcMar>
          </w:tcPr>
          <w:p w14:paraId="06A3B6AF" w14:textId="77777777" w:rsidR="00B551B3" w:rsidRPr="00393250" w:rsidRDefault="00B551B3" w:rsidP="00B551B3">
            <w:pPr>
              <w:widowControl/>
              <w:spacing w:before="40" w:after="40"/>
              <w:rPr>
                <w:rFonts w:eastAsia="Calibri"/>
                <w:i/>
                <w:noProof/>
                <w:sz w:val="22"/>
                <w:szCs w:val="22"/>
                <w:lang w:eastAsia="en-US"/>
              </w:rPr>
            </w:pPr>
          </w:p>
        </w:tc>
        <w:tc>
          <w:tcPr>
            <w:tcW w:w="970" w:type="dxa"/>
            <w:tcMar>
              <w:left w:w="28" w:type="dxa"/>
              <w:right w:w="28" w:type="dxa"/>
            </w:tcMar>
          </w:tcPr>
          <w:p w14:paraId="51A3FDC9" w14:textId="77777777" w:rsidR="00B551B3" w:rsidRPr="00393250" w:rsidRDefault="00B551B3" w:rsidP="00B551B3">
            <w:pPr>
              <w:widowControl/>
              <w:spacing w:before="40" w:after="40"/>
              <w:rPr>
                <w:rFonts w:eastAsia="Calibri"/>
                <w:i/>
                <w:noProof/>
                <w:sz w:val="22"/>
                <w:szCs w:val="22"/>
                <w:lang w:eastAsia="en-US"/>
              </w:rPr>
            </w:pPr>
          </w:p>
        </w:tc>
      </w:tr>
      <w:tr w:rsidR="00B551B3" w:rsidRPr="00393250" w14:paraId="6E346205" w14:textId="77777777" w:rsidTr="00B551B3">
        <w:trPr>
          <w:gridBefore w:val="1"/>
          <w:wBefore w:w="12" w:type="dxa"/>
          <w:tblHeader/>
          <w:jc w:val="center"/>
        </w:trPr>
        <w:tc>
          <w:tcPr>
            <w:tcW w:w="834" w:type="dxa"/>
            <w:vMerge/>
            <w:tcMar>
              <w:left w:w="28" w:type="dxa"/>
              <w:right w:w="28" w:type="dxa"/>
            </w:tcMar>
          </w:tcPr>
          <w:p w14:paraId="4CCD9C6F" w14:textId="77777777" w:rsidR="00B551B3" w:rsidRPr="00393250" w:rsidRDefault="00B551B3" w:rsidP="00B551B3">
            <w:pPr>
              <w:widowControl/>
              <w:spacing w:before="40" w:after="40"/>
              <w:jc w:val="both"/>
              <w:rPr>
                <w:rFonts w:eastAsia="Calibri"/>
                <w:noProof/>
                <w:sz w:val="22"/>
                <w:szCs w:val="22"/>
                <w:lang w:eastAsia="en-US"/>
              </w:rPr>
            </w:pPr>
          </w:p>
        </w:tc>
        <w:tc>
          <w:tcPr>
            <w:tcW w:w="2103" w:type="dxa"/>
            <w:gridSpan w:val="2"/>
            <w:tcMar>
              <w:left w:w="28" w:type="dxa"/>
              <w:right w:w="28" w:type="dxa"/>
            </w:tcMar>
          </w:tcPr>
          <w:p w14:paraId="06F726F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Indeno[1,2,3-cd]pyren</w:t>
            </w:r>
          </w:p>
        </w:tc>
        <w:tc>
          <w:tcPr>
            <w:tcW w:w="1329" w:type="dxa"/>
            <w:tcMar>
              <w:left w:w="28" w:type="dxa"/>
              <w:right w:w="28" w:type="dxa"/>
            </w:tcMar>
          </w:tcPr>
          <w:p w14:paraId="529EA700" w14:textId="77777777" w:rsidR="00B551B3" w:rsidRPr="00393250" w:rsidRDefault="00B551B3" w:rsidP="00B551B3">
            <w:pPr>
              <w:widowControl/>
              <w:spacing w:before="40" w:after="40"/>
              <w:rPr>
                <w:rFonts w:eastAsia="Calibri"/>
                <w:noProof/>
                <w:sz w:val="22"/>
                <w:szCs w:val="22"/>
                <w:lang w:eastAsia="en-US"/>
              </w:rPr>
            </w:pPr>
          </w:p>
        </w:tc>
        <w:tc>
          <w:tcPr>
            <w:tcW w:w="992" w:type="dxa"/>
            <w:tcMar>
              <w:left w:w="28" w:type="dxa"/>
              <w:right w:w="28" w:type="dxa"/>
            </w:tcMar>
          </w:tcPr>
          <w:p w14:paraId="2B79799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193-39-5</w:t>
            </w:r>
          </w:p>
        </w:tc>
        <w:tc>
          <w:tcPr>
            <w:tcW w:w="1134" w:type="dxa"/>
          </w:tcPr>
          <w:p w14:paraId="6E3AD12C" w14:textId="77777777" w:rsidR="00B551B3" w:rsidRPr="00393250" w:rsidDel="00BD2DD7"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205-893-2</w:t>
            </w:r>
          </w:p>
        </w:tc>
        <w:tc>
          <w:tcPr>
            <w:tcW w:w="1279" w:type="dxa"/>
            <w:tcMar>
              <w:left w:w="28" w:type="dxa"/>
              <w:right w:w="28" w:type="dxa"/>
            </w:tcMar>
          </w:tcPr>
          <w:p w14:paraId="61778915" w14:textId="77777777" w:rsidR="00B551B3" w:rsidRPr="00393250" w:rsidRDefault="00B551B3" w:rsidP="00B551B3">
            <w:pPr>
              <w:widowControl/>
              <w:spacing w:before="40" w:after="40"/>
              <w:rPr>
                <w:rFonts w:eastAsia="Calibri"/>
                <w:b/>
                <w:i/>
                <w:noProof/>
                <w:sz w:val="22"/>
                <w:szCs w:val="22"/>
                <w:lang w:eastAsia="en-US"/>
              </w:rPr>
            </w:pPr>
          </w:p>
        </w:tc>
        <w:tc>
          <w:tcPr>
            <w:tcW w:w="1279" w:type="dxa"/>
            <w:tcMar>
              <w:left w:w="28" w:type="dxa"/>
              <w:right w:w="28" w:type="dxa"/>
            </w:tcMar>
          </w:tcPr>
          <w:p w14:paraId="41D2CD76" w14:textId="77777777" w:rsidR="00B551B3" w:rsidRPr="00393250" w:rsidRDefault="00B551B3" w:rsidP="00B551B3">
            <w:pPr>
              <w:widowControl/>
              <w:spacing w:before="40" w:after="40"/>
              <w:rPr>
                <w:rFonts w:eastAsia="Calibri"/>
                <w:b/>
                <w:i/>
                <w:noProof/>
                <w:sz w:val="22"/>
                <w:szCs w:val="22"/>
                <w:lang w:eastAsia="en-US"/>
              </w:rPr>
            </w:pPr>
          </w:p>
        </w:tc>
        <w:tc>
          <w:tcPr>
            <w:tcW w:w="1278" w:type="dxa"/>
            <w:tcMar>
              <w:left w:w="28" w:type="dxa"/>
              <w:right w:w="28" w:type="dxa"/>
            </w:tcMar>
          </w:tcPr>
          <w:p w14:paraId="4F20F1BF" w14:textId="77777777" w:rsidR="00B551B3" w:rsidRPr="00393250" w:rsidRDefault="00B551B3" w:rsidP="00B551B3">
            <w:pPr>
              <w:widowControl/>
              <w:spacing w:before="40" w:after="40"/>
              <w:rPr>
                <w:rFonts w:eastAsia="Calibri"/>
                <w:b/>
                <w:i/>
                <w:noProof/>
                <w:sz w:val="22"/>
                <w:szCs w:val="22"/>
                <w:lang w:eastAsia="en-US"/>
              </w:rPr>
            </w:pPr>
            <w:bookmarkStart w:id="30" w:name="_DV_C347"/>
            <w:r w:rsidRPr="00393250">
              <w:rPr>
                <w:rFonts w:eastAsia="Calibri"/>
                <w:noProof/>
                <w:sz w:val="22"/>
                <w:szCs w:val="22"/>
                <w:lang w:eastAsia="en-US"/>
              </w:rPr>
              <w:t>anvendes ikke</w:t>
            </w:r>
            <w:bookmarkEnd w:id="30"/>
          </w:p>
        </w:tc>
        <w:tc>
          <w:tcPr>
            <w:tcW w:w="1277" w:type="dxa"/>
            <w:tcMar>
              <w:left w:w="28" w:type="dxa"/>
              <w:right w:w="28" w:type="dxa"/>
            </w:tcMar>
          </w:tcPr>
          <w:p w14:paraId="3DE709F9" w14:textId="77777777" w:rsidR="00B551B3" w:rsidRPr="00393250" w:rsidRDefault="00B551B3" w:rsidP="00B551B3">
            <w:pPr>
              <w:widowControl/>
              <w:spacing w:before="40" w:after="40"/>
              <w:rPr>
                <w:rFonts w:eastAsia="Calibri"/>
                <w:b/>
                <w:i/>
                <w:noProof/>
                <w:sz w:val="22"/>
                <w:szCs w:val="22"/>
                <w:lang w:eastAsia="en-US"/>
              </w:rPr>
            </w:pPr>
            <w:bookmarkStart w:id="31" w:name="_DV_C348"/>
            <w:r w:rsidRPr="00393250">
              <w:rPr>
                <w:rFonts w:eastAsia="Calibri"/>
                <w:noProof/>
                <w:sz w:val="22"/>
                <w:szCs w:val="22"/>
                <w:lang w:eastAsia="en-US"/>
              </w:rPr>
              <w:t>anvendes ikke</w:t>
            </w:r>
            <w:bookmarkEnd w:id="31"/>
          </w:p>
        </w:tc>
        <w:tc>
          <w:tcPr>
            <w:tcW w:w="1136" w:type="dxa"/>
            <w:tcMar>
              <w:left w:w="28" w:type="dxa"/>
              <w:right w:w="28" w:type="dxa"/>
            </w:tcMar>
          </w:tcPr>
          <w:p w14:paraId="63766A46" w14:textId="77777777" w:rsidR="00B551B3" w:rsidRPr="00393250" w:rsidRDefault="00B551B3" w:rsidP="00B551B3">
            <w:pPr>
              <w:widowControl/>
              <w:spacing w:before="40" w:after="40"/>
              <w:rPr>
                <w:rFonts w:eastAsia="Calibri"/>
                <w:b/>
                <w:noProof/>
                <w:sz w:val="22"/>
                <w:szCs w:val="22"/>
                <w:lang w:eastAsia="en-US"/>
              </w:rPr>
            </w:pPr>
            <w:bookmarkStart w:id="32" w:name="_DV_C349"/>
            <w:r w:rsidRPr="00393250">
              <w:rPr>
                <w:rFonts w:eastAsia="Calibri"/>
                <w:noProof/>
                <w:sz w:val="22"/>
                <w:szCs w:val="22"/>
                <w:lang w:eastAsia="en-US"/>
              </w:rPr>
              <w:t xml:space="preserve">se fodnote </w:t>
            </w:r>
            <w:bookmarkEnd w:id="32"/>
            <w:r w:rsidRPr="00393250">
              <w:rPr>
                <w:rFonts w:eastAsia="Calibri"/>
                <w:noProof/>
                <w:sz w:val="22"/>
                <w:szCs w:val="22"/>
                <w:lang w:eastAsia="en-US"/>
              </w:rPr>
              <w:t>17</w:t>
            </w:r>
          </w:p>
        </w:tc>
        <w:tc>
          <w:tcPr>
            <w:tcW w:w="1262" w:type="dxa"/>
            <w:tcMar>
              <w:left w:w="28" w:type="dxa"/>
              <w:right w:w="28" w:type="dxa"/>
            </w:tcMar>
          </w:tcPr>
          <w:p w14:paraId="50D7F0F2" w14:textId="77777777" w:rsidR="00B551B3" w:rsidRPr="00393250" w:rsidRDefault="00B551B3" w:rsidP="00B551B3">
            <w:pPr>
              <w:widowControl/>
              <w:spacing w:before="40" w:after="40"/>
              <w:rPr>
                <w:rFonts w:eastAsia="Calibri"/>
                <w:noProof/>
                <w:sz w:val="22"/>
                <w:szCs w:val="22"/>
                <w:lang w:eastAsia="en-US"/>
              </w:rPr>
            </w:pPr>
          </w:p>
        </w:tc>
        <w:tc>
          <w:tcPr>
            <w:tcW w:w="1153" w:type="dxa"/>
            <w:tcMar>
              <w:left w:w="28" w:type="dxa"/>
              <w:right w:w="28" w:type="dxa"/>
            </w:tcMar>
          </w:tcPr>
          <w:p w14:paraId="074354E0" w14:textId="77777777" w:rsidR="00B551B3" w:rsidRPr="00393250" w:rsidRDefault="00B551B3" w:rsidP="00B551B3">
            <w:pPr>
              <w:widowControl/>
              <w:spacing w:before="40" w:after="40"/>
              <w:rPr>
                <w:rFonts w:eastAsia="Calibri"/>
                <w:i/>
                <w:noProof/>
                <w:sz w:val="22"/>
                <w:szCs w:val="22"/>
                <w:lang w:eastAsia="en-US"/>
              </w:rPr>
            </w:pPr>
          </w:p>
        </w:tc>
        <w:tc>
          <w:tcPr>
            <w:tcW w:w="970" w:type="dxa"/>
            <w:tcMar>
              <w:left w:w="28" w:type="dxa"/>
              <w:right w:w="28" w:type="dxa"/>
            </w:tcMar>
          </w:tcPr>
          <w:p w14:paraId="3D1BCA80" w14:textId="77777777" w:rsidR="00B551B3" w:rsidRPr="00393250" w:rsidRDefault="00B551B3" w:rsidP="00B551B3">
            <w:pPr>
              <w:widowControl/>
              <w:spacing w:before="40" w:after="40"/>
              <w:rPr>
                <w:rFonts w:eastAsia="Calibri"/>
                <w:i/>
                <w:noProof/>
                <w:sz w:val="22"/>
                <w:szCs w:val="22"/>
                <w:lang w:eastAsia="en-US"/>
              </w:rPr>
            </w:pPr>
          </w:p>
        </w:tc>
      </w:tr>
      <w:tr w:rsidR="00B551B3" w:rsidRPr="00393250" w14:paraId="28FAECB2" w14:textId="77777777" w:rsidTr="00B551B3">
        <w:trPr>
          <w:gridBefore w:val="1"/>
          <w:wBefore w:w="12" w:type="dxa"/>
          <w:tblHeader/>
          <w:jc w:val="center"/>
        </w:trPr>
        <w:tc>
          <w:tcPr>
            <w:tcW w:w="834" w:type="dxa"/>
            <w:vMerge/>
            <w:tcMar>
              <w:left w:w="28" w:type="dxa"/>
              <w:right w:w="28" w:type="dxa"/>
            </w:tcMar>
          </w:tcPr>
          <w:p w14:paraId="6AA14BA1" w14:textId="77777777" w:rsidR="00B551B3" w:rsidRPr="00393250" w:rsidRDefault="00B551B3" w:rsidP="00B551B3">
            <w:pPr>
              <w:widowControl/>
              <w:spacing w:before="40" w:after="40"/>
              <w:jc w:val="both"/>
              <w:rPr>
                <w:rFonts w:eastAsia="Calibri"/>
                <w:noProof/>
                <w:sz w:val="22"/>
                <w:szCs w:val="22"/>
                <w:lang w:eastAsia="en-US"/>
              </w:rPr>
            </w:pPr>
            <w:bookmarkStart w:id="33" w:name="_Hlk115700632"/>
          </w:p>
        </w:tc>
        <w:tc>
          <w:tcPr>
            <w:tcW w:w="2103" w:type="dxa"/>
            <w:gridSpan w:val="2"/>
            <w:tcMar>
              <w:left w:w="28" w:type="dxa"/>
              <w:right w:w="28" w:type="dxa"/>
            </w:tcMar>
          </w:tcPr>
          <w:p w14:paraId="48DF5C6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Chrysen</w:t>
            </w:r>
          </w:p>
        </w:tc>
        <w:tc>
          <w:tcPr>
            <w:tcW w:w="1329" w:type="dxa"/>
            <w:tcMar>
              <w:left w:w="28" w:type="dxa"/>
              <w:right w:w="28" w:type="dxa"/>
            </w:tcMar>
          </w:tcPr>
          <w:p w14:paraId="3BE860AA" w14:textId="77777777" w:rsidR="00B551B3" w:rsidRPr="00393250" w:rsidRDefault="00B551B3" w:rsidP="00B551B3">
            <w:pPr>
              <w:widowControl/>
              <w:spacing w:before="40" w:after="40"/>
              <w:rPr>
                <w:rFonts w:eastAsia="Calibri"/>
                <w:noProof/>
                <w:sz w:val="22"/>
                <w:szCs w:val="22"/>
                <w:lang w:eastAsia="en-US"/>
              </w:rPr>
            </w:pPr>
          </w:p>
        </w:tc>
        <w:tc>
          <w:tcPr>
            <w:tcW w:w="992" w:type="dxa"/>
            <w:tcMar>
              <w:left w:w="28" w:type="dxa"/>
              <w:right w:w="28" w:type="dxa"/>
            </w:tcMar>
          </w:tcPr>
          <w:p w14:paraId="5CD128A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218-01-9</w:t>
            </w:r>
          </w:p>
        </w:tc>
        <w:tc>
          <w:tcPr>
            <w:tcW w:w="1134" w:type="dxa"/>
          </w:tcPr>
          <w:p w14:paraId="5F11992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205-923-4</w:t>
            </w:r>
          </w:p>
        </w:tc>
        <w:tc>
          <w:tcPr>
            <w:tcW w:w="1279" w:type="dxa"/>
            <w:tcMar>
              <w:left w:w="28" w:type="dxa"/>
              <w:right w:w="28" w:type="dxa"/>
            </w:tcMar>
          </w:tcPr>
          <w:p w14:paraId="412CA0F7" w14:textId="77777777" w:rsidR="00B551B3" w:rsidRPr="00393250" w:rsidRDefault="00B551B3" w:rsidP="00B551B3">
            <w:pPr>
              <w:widowControl/>
              <w:spacing w:before="40" w:after="40"/>
              <w:rPr>
                <w:rFonts w:eastAsia="Calibri"/>
                <w:i/>
                <w:noProof/>
                <w:sz w:val="22"/>
                <w:szCs w:val="22"/>
                <w:lang w:eastAsia="en-US"/>
              </w:rPr>
            </w:pPr>
          </w:p>
        </w:tc>
        <w:tc>
          <w:tcPr>
            <w:tcW w:w="1279" w:type="dxa"/>
            <w:tcMar>
              <w:left w:w="28" w:type="dxa"/>
              <w:right w:w="28" w:type="dxa"/>
            </w:tcMar>
          </w:tcPr>
          <w:p w14:paraId="682807FB" w14:textId="77777777" w:rsidR="00B551B3" w:rsidRPr="00393250" w:rsidRDefault="00B551B3" w:rsidP="00B551B3">
            <w:pPr>
              <w:widowControl/>
              <w:spacing w:before="40" w:after="40"/>
              <w:rPr>
                <w:rFonts w:eastAsia="Calibri"/>
                <w:i/>
                <w:noProof/>
                <w:sz w:val="22"/>
                <w:szCs w:val="22"/>
                <w:lang w:eastAsia="en-US"/>
              </w:rPr>
            </w:pPr>
          </w:p>
        </w:tc>
        <w:tc>
          <w:tcPr>
            <w:tcW w:w="1278" w:type="dxa"/>
            <w:tcMar>
              <w:left w:w="28" w:type="dxa"/>
              <w:right w:w="28" w:type="dxa"/>
            </w:tcMar>
          </w:tcPr>
          <w:p w14:paraId="62C729B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0,07</w:t>
            </w:r>
          </w:p>
        </w:tc>
        <w:tc>
          <w:tcPr>
            <w:tcW w:w="1277" w:type="dxa"/>
            <w:tcMar>
              <w:left w:w="28" w:type="dxa"/>
              <w:right w:w="28" w:type="dxa"/>
            </w:tcMar>
          </w:tcPr>
          <w:p w14:paraId="0D98ED5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0,007</w:t>
            </w:r>
          </w:p>
        </w:tc>
        <w:tc>
          <w:tcPr>
            <w:tcW w:w="1136" w:type="dxa"/>
            <w:tcMar>
              <w:left w:w="28" w:type="dxa"/>
              <w:right w:w="28" w:type="dxa"/>
            </w:tcMar>
          </w:tcPr>
          <w:p w14:paraId="3ED4CBA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se fodnote 17</w:t>
            </w:r>
          </w:p>
        </w:tc>
        <w:tc>
          <w:tcPr>
            <w:tcW w:w="1262" w:type="dxa"/>
            <w:tcMar>
              <w:left w:w="28" w:type="dxa"/>
              <w:right w:w="28" w:type="dxa"/>
            </w:tcMar>
          </w:tcPr>
          <w:p w14:paraId="04950130" w14:textId="77777777" w:rsidR="00B551B3" w:rsidRPr="00393250" w:rsidRDefault="00B551B3" w:rsidP="00B551B3">
            <w:pPr>
              <w:widowControl/>
              <w:spacing w:before="40" w:after="40"/>
              <w:rPr>
                <w:rFonts w:eastAsia="Calibri"/>
                <w:i/>
                <w:noProof/>
                <w:sz w:val="22"/>
                <w:szCs w:val="22"/>
                <w:lang w:eastAsia="en-US"/>
              </w:rPr>
            </w:pPr>
          </w:p>
        </w:tc>
        <w:tc>
          <w:tcPr>
            <w:tcW w:w="1153" w:type="dxa"/>
            <w:tcMar>
              <w:left w:w="28" w:type="dxa"/>
              <w:right w:w="28" w:type="dxa"/>
            </w:tcMar>
          </w:tcPr>
          <w:p w14:paraId="635B412A" w14:textId="77777777" w:rsidR="00B551B3" w:rsidRPr="00393250" w:rsidRDefault="00B551B3" w:rsidP="00B551B3">
            <w:pPr>
              <w:widowControl/>
              <w:spacing w:before="40" w:after="40"/>
              <w:rPr>
                <w:rFonts w:eastAsia="Calibri"/>
                <w:i/>
                <w:noProof/>
                <w:sz w:val="22"/>
                <w:szCs w:val="22"/>
                <w:lang w:eastAsia="en-US"/>
              </w:rPr>
            </w:pPr>
          </w:p>
        </w:tc>
        <w:tc>
          <w:tcPr>
            <w:tcW w:w="970" w:type="dxa"/>
            <w:tcMar>
              <w:left w:w="28" w:type="dxa"/>
              <w:right w:w="28" w:type="dxa"/>
            </w:tcMar>
          </w:tcPr>
          <w:p w14:paraId="3EDFC0F9" w14:textId="77777777" w:rsidR="00B551B3" w:rsidRPr="00393250" w:rsidRDefault="00B551B3" w:rsidP="00B551B3">
            <w:pPr>
              <w:widowControl/>
              <w:spacing w:before="40" w:after="40"/>
              <w:rPr>
                <w:rFonts w:eastAsia="Calibri"/>
                <w:i/>
                <w:noProof/>
                <w:sz w:val="22"/>
                <w:szCs w:val="22"/>
                <w:lang w:eastAsia="en-US"/>
              </w:rPr>
            </w:pPr>
          </w:p>
        </w:tc>
      </w:tr>
      <w:tr w:rsidR="00B551B3" w:rsidRPr="00393250" w14:paraId="02C6BEE8" w14:textId="77777777" w:rsidTr="00B551B3">
        <w:trPr>
          <w:gridBefore w:val="1"/>
          <w:wBefore w:w="12" w:type="dxa"/>
          <w:tblHeader/>
          <w:jc w:val="center"/>
        </w:trPr>
        <w:tc>
          <w:tcPr>
            <w:tcW w:w="834" w:type="dxa"/>
            <w:vMerge/>
            <w:tcMar>
              <w:left w:w="28" w:type="dxa"/>
              <w:right w:w="28" w:type="dxa"/>
            </w:tcMar>
          </w:tcPr>
          <w:p w14:paraId="3D573325" w14:textId="77777777" w:rsidR="00B551B3" w:rsidRPr="00393250" w:rsidRDefault="00B551B3" w:rsidP="00B551B3">
            <w:pPr>
              <w:widowControl/>
              <w:spacing w:before="40" w:after="40"/>
              <w:jc w:val="both"/>
              <w:rPr>
                <w:rFonts w:eastAsia="Calibri"/>
                <w:noProof/>
                <w:sz w:val="22"/>
                <w:szCs w:val="22"/>
                <w:lang w:eastAsia="en-US"/>
              </w:rPr>
            </w:pPr>
          </w:p>
        </w:tc>
        <w:tc>
          <w:tcPr>
            <w:tcW w:w="2103" w:type="dxa"/>
            <w:gridSpan w:val="2"/>
            <w:tcMar>
              <w:left w:w="28" w:type="dxa"/>
              <w:right w:w="28" w:type="dxa"/>
            </w:tcMar>
          </w:tcPr>
          <w:p w14:paraId="5551DB0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Benzo(a)anthracen</w:t>
            </w:r>
          </w:p>
        </w:tc>
        <w:tc>
          <w:tcPr>
            <w:tcW w:w="1329" w:type="dxa"/>
            <w:vMerge w:val="restart"/>
            <w:tcMar>
              <w:left w:w="28" w:type="dxa"/>
              <w:right w:w="28" w:type="dxa"/>
            </w:tcMar>
          </w:tcPr>
          <w:p w14:paraId="404D3593" w14:textId="77777777" w:rsidR="00B551B3" w:rsidRPr="00393250" w:rsidRDefault="00B551B3" w:rsidP="00B551B3">
            <w:pPr>
              <w:widowControl/>
              <w:spacing w:before="40" w:after="40"/>
              <w:rPr>
                <w:rFonts w:eastAsia="Calibri"/>
                <w:noProof/>
                <w:sz w:val="22"/>
                <w:szCs w:val="22"/>
                <w:lang w:eastAsia="en-US"/>
              </w:rPr>
            </w:pPr>
          </w:p>
        </w:tc>
        <w:tc>
          <w:tcPr>
            <w:tcW w:w="992" w:type="dxa"/>
            <w:tcMar>
              <w:left w:w="28" w:type="dxa"/>
              <w:right w:w="28" w:type="dxa"/>
            </w:tcMar>
          </w:tcPr>
          <w:p w14:paraId="6D0D168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56-55-3</w:t>
            </w:r>
          </w:p>
        </w:tc>
        <w:tc>
          <w:tcPr>
            <w:tcW w:w="1134" w:type="dxa"/>
          </w:tcPr>
          <w:p w14:paraId="2A270A5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200-280-6</w:t>
            </w:r>
          </w:p>
        </w:tc>
        <w:tc>
          <w:tcPr>
            <w:tcW w:w="1279" w:type="dxa"/>
            <w:tcMar>
              <w:left w:w="28" w:type="dxa"/>
              <w:right w:w="28" w:type="dxa"/>
            </w:tcMar>
          </w:tcPr>
          <w:p w14:paraId="36C5AEC3" w14:textId="77777777" w:rsidR="00B551B3" w:rsidRPr="00393250" w:rsidRDefault="00B551B3" w:rsidP="00B551B3">
            <w:pPr>
              <w:widowControl/>
              <w:spacing w:before="40" w:after="40"/>
              <w:rPr>
                <w:rFonts w:eastAsia="Calibri"/>
                <w:i/>
                <w:noProof/>
                <w:sz w:val="22"/>
                <w:szCs w:val="22"/>
                <w:lang w:eastAsia="en-US"/>
              </w:rPr>
            </w:pPr>
          </w:p>
        </w:tc>
        <w:tc>
          <w:tcPr>
            <w:tcW w:w="1279" w:type="dxa"/>
            <w:tcMar>
              <w:left w:w="28" w:type="dxa"/>
              <w:right w:w="28" w:type="dxa"/>
            </w:tcMar>
          </w:tcPr>
          <w:p w14:paraId="58CE36EB" w14:textId="77777777" w:rsidR="00B551B3" w:rsidRPr="00393250" w:rsidRDefault="00B551B3" w:rsidP="00B551B3">
            <w:pPr>
              <w:widowControl/>
              <w:spacing w:before="40" w:after="40"/>
              <w:rPr>
                <w:rFonts w:eastAsia="Calibri"/>
                <w:i/>
                <w:noProof/>
                <w:sz w:val="22"/>
                <w:szCs w:val="22"/>
                <w:lang w:eastAsia="en-US"/>
              </w:rPr>
            </w:pPr>
          </w:p>
        </w:tc>
        <w:tc>
          <w:tcPr>
            <w:tcW w:w="1278" w:type="dxa"/>
            <w:tcMar>
              <w:left w:w="28" w:type="dxa"/>
              <w:right w:w="28" w:type="dxa"/>
            </w:tcMar>
          </w:tcPr>
          <w:p w14:paraId="7A1DCB8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0,1</w:t>
            </w:r>
          </w:p>
        </w:tc>
        <w:tc>
          <w:tcPr>
            <w:tcW w:w="1277" w:type="dxa"/>
            <w:tcMar>
              <w:left w:w="28" w:type="dxa"/>
              <w:right w:w="28" w:type="dxa"/>
            </w:tcMar>
          </w:tcPr>
          <w:p w14:paraId="64160B6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0,01</w:t>
            </w:r>
          </w:p>
        </w:tc>
        <w:tc>
          <w:tcPr>
            <w:tcW w:w="1136" w:type="dxa"/>
            <w:tcMar>
              <w:left w:w="28" w:type="dxa"/>
              <w:right w:w="28" w:type="dxa"/>
            </w:tcMar>
          </w:tcPr>
          <w:p w14:paraId="3CC056F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se fodnote 17</w:t>
            </w:r>
          </w:p>
        </w:tc>
        <w:tc>
          <w:tcPr>
            <w:tcW w:w="1262" w:type="dxa"/>
            <w:tcMar>
              <w:left w:w="28" w:type="dxa"/>
              <w:right w:w="28" w:type="dxa"/>
            </w:tcMar>
          </w:tcPr>
          <w:p w14:paraId="39D4444D" w14:textId="77777777" w:rsidR="00B551B3" w:rsidRPr="00393250" w:rsidRDefault="00B551B3" w:rsidP="00B551B3">
            <w:pPr>
              <w:widowControl/>
              <w:spacing w:before="40" w:after="40"/>
              <w:rPr>
                <w:rFonts w:eastAsia="Calibri"/>
                <w:i/>
                <w:noProof/>
                <w:sz w:val="22"/>
                <w:szCs w:val="22"/>
                <w:lang w:eastAsia="en-US"/>
              </w:rPr>
            </w:pPr>
          </w:p>
        </w:tc>
        <w:tc>
          <w:tcPr>
            <w:tcW w:w="1153" w:type="dxa"/>
            <w:tcMar>
              <w:left w:w="28" w:type="dxa"/>
              <w:right w:w="28" w:type="dxa"/>
            </w:tcMar>
          </w:tcPr>
          <w:p w14:paraId="1F4D1544" w14:textId="77777777" w:rsidR="00B551B3" w:rsidRPr="00393250" w:rsidRDefault="00B551B3" w:rsidP="00B551B3">
            <w:pPr>
              <w:widowControl/>
              <w:spacing w:before="40" w:after="40"/>
              <w:rPr>
                <w:rFonts w:eastAsia="Calibri"/>
                <w:i/>
                <w:noProof/>
                <w:sz w:val="22"/>
                <w:szCs w:val="22"/>
                <w:lang w:eastAsia="en-US"/>
              </w:rPr>
            </w:pPr>
          </w:p>
        </w:tc>
        <w:tc>
          <w:tcPr>
            <w:tcW w:w="970" w:type="dxa"/>
            <w:tcMar>
              <w:left w:w="28" w:type="dxa"/>
              <w:right w:w="28" w:type="dxa"/>
            </w:tcMar>
          </w:tcPr>
          <w:p w14:paraId="6B359CA1" w14:textId="77777777" w:rsidR="00B551B3" w:rsidRPr="00393250" w:rsidRDefault="00B551B3" w:rsidP="00B551B3">
            <w:pPr>
              <w:widowControl/>
              <w:spacing w:before="40" w:after="40"/>
              <w:rPr>
                <w:rFonts w:eastAsia="Calibri"/>
                <w:i/>
                <w:noProof/>
                <w:sz w:val="22"/>
                <w:szCs w:val="22"/>
                <w:lang w:eastAsia="en-US"/>
              </w:rPr>
            </w:pPr>
          </w:p>
        </w:tc>
      </w:tr>
      <w:tr w:rsidR="00B551B3" w:rsidRPr="00393250" w14:paraId="7C932BCE" w14:textId="77777777" w:rsidTr="00B551B3">
        <w:trPr>
          <w:gridBefore w:val="1"/>
          <w:wBefore w:w="12" w:type="dxa"/>
          <w:tblHeader/>
          <w:jc w:val="center"/>
        </w:trPr>
        <w:tc>
          <w:tcPr>
            <w:tcW w:w="834" w:type="dxa"/>
            <w:vMerge/>
            <w:tcMar>
              <w:left w:w="28" w:type="dxa"/>
              <w:right w:w="28" w:type="dxa"/>
            </w:tcMar>
          </w:tcPr>
          <w:p w14:paraId="1D968BD9" w14:textId="77777777" w:rsidR="00B551B3" w:rsidRPr="00393250" w:rsidRDefault="00B551B3" w:rsidP="00B551B3">
            <w:pPr>
              <w:widowControl/>
              <w:spacing w:before="40" w:after="40"/>
              <w:jc w:val="both"/>
              <w:rPr>
                <w:rFonts w:eastAsia="Calibri"/>
                <w:noProof/>
                <w:sz w:val="22"/>
                <w:szCs w:val="22"/>
                <w:lang w:eastAsia="en-US"/>
              </w:rPr>
            </w:pPr>
          </w:p>
        </w:tc>
        <w:tc>
          <w:tcPr>
            <w:tcW w:w="2103" w:type="dxa"/>
            <w:gridSpan w:val="2"/>
            <w:tcMar>
              <w:left w:w="28" w:type="dxa"/>
              <w:right w:w="28" w:type="dxa"/>
            </w:tcMar>
          </w:tcPr>
          <w:p w14:paraId="337FB4D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Dibenz[a,h]anthracen</w:t>
            </w:r>
          </w:p>
        </w:tc>
        <w:tc>
          <w:tcPr>
            <w:tcW w:w="1329" w:type="dxa"/>
            <w:vMerge/>
            <w:tcMar>
              <w:left w:w="28" w:type="dxa"/>
              <w:right w:w="28" w:type="dxa"/>
            </w:tcMar>
          </w:tcPr>
          <w:p w14:paraId="45495EA4" w14:textId="77777777" w:rsidR="00B551B3" w:rsidRPr="00393250" w:rsidRDefault="00B551B3" w:rsidP="00B551B3">
            <w:pPr>
              <w:widowControl/>
              <w:spacing w:before="40" w:after="40"/>
              <w:rPr>
                <w:rFonts w:eastAsia="Calibri"/>
                <w:noProof/>
                <w:sz w:val="22"/>
                <w:szCs w:val="22"/>
                <w:lang w:eastAsia="en-US"/>
              </w:rPr>
            </w:pPr>
          </w:p>
        </w:tc>
        <w:tc>
          <w:tcPr>
            <w:tcW w:w="992" w:type="dxa"/>
            <w:tcMar>
              <w:left w:w="28" w:type="dxa"/>
              <w:right w:w="28" w:type="dxa"/>
            </w:tcMar>
          </w:tcPr>
          <w:p w14:paraId="2AC09EC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53-70-3</w:t>
            </w:r>
          </w:p>
        </w:tc>
        <w:tc>
          <w:tcPr>
            <w:tcW w:w="1134" w:type="dxa"/>
          </w:tcPr>
          <w:p w14:paraId="3A992DE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200-181-8</w:t>
            </w:r>
          </w:p>
        </w:tc>
        <w:tc>
          <w:tcPr>
            <w:tcW w:w="1279" w:type="dxa"/>
            <w:tcMar>
              <w:left w:w="28" w:type="dxa"/>
              <w:right w:w="28" w:type="dxa"/>
            </w:tcMar>
          </w:tcPr>
          <w:p w14:paraId="21822A45" w14:textId="77777777" w:rsidR="00B551B3" w:rsidRPr="00393250" w:rsidRDefault="00B551B3" w:rsidP="00B551B3">
            <w:pPr>
              <w:widowControl/>
              <w:spacing w:before="40" w:after="40"/>
              <w:rPr>
                <w:rFonts w:eastAsia="Calibri"/>
                <w:i/>
                <w:noProof/>
                <w:sz w:val="22"/>
                <w:szCs w:val="22"/>
                <w:lang w:eastAsia="en-US"/>
              </w:rPr>
            </w:pPr>
          </w:p>
        </w:tc>
        <w:tc>
          <w:tcPr>
            <w:tcW w:w="1279" w:type="dxa"/>
            <w:tcMar>
              <w:left w:w="28" w:type="dxa"/>
              <w:right w:w="28" w:type="dxa"/>
            </w:tcMar>
          </w:tcPr>
          <w:p w14:paraId="199C5383" w14:textId="77777777" w:rsidR="00B551B3" w:rsidRPr="00393250" w:rsidRDefault="00B551B3" w:rsidP="00B551B3">
            <w:pPr>
              <w:widowControl/>
              <w:spacing w:before="40" w:after="40"/>
              <w:rPr>
                <w:rFonts w:eastAsia="Calibri"/>
                <w:i/>
                <w:noProof/>
                <w:sz w:val="22"/>
                <w:szCs w:val="22"/>
                <w:lang w:eastAsia="en-US"/>
              </w:rPr>
            </w:pPr>
          </w:p>
        </w:tc>
        <w:tc>
          <w:tcPr>
            <w:tcW w:w="1278" w:type="dxa"/>
            <w:tcMar>
              <w:left w:w="28" w:type="dxa"/>
              <w:right w:w="28" w:type="dxa"/>
            </w:tcMar>
          </w:tcPr>
          <w:p w14:paraId="1D3C962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0,014</w:t>
            </w:r>
          </w:p>
        </w:tc>
        <w:tc>
          <w:tcPr>
            <w:tcW w:w="1277" w:type="dxa"/>
            <w:tcMar>
              <w:left w:w="28" w:type="dxa"/>
              <w:right w:w="28" w:type="dxa"/>
            </w:tcMar>
          </w:tcPr>
          <w:p w14:paraId="3858BCD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0,0014</w:t>
            </w:r>
          </w:p>
        </w:tc>
        <w:tc>
          <w:tcPr>
            <w:tcW w:w="1136" w:type="dxa"/>
            <w:tcMar>
              <w:left w:w="28" w:type="dxa"/>
              <w:right w:w="28" w:type="dxa"/>
            </w:tcMar>
          </w:tcPr>
          <w:p w14:paraId="3F51752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se fodnote 17</w:t>
            </w:r>
          </w:p>
        </w:tc>
        <w:tc>
          <w:tcPr>
            <w:tcW w:w="1262" w:type="dxa"/>
            <w:tcMar>
              <w:left w:w="28" w:type="dxa"/>
              <w:right w:w="28" w:type="dxa"/>
            </w:tcMar>
          </w:tcPr>
          <w:p w14:paraId="3308F67F" w14:textId="77777777" w:rsidR="00B551B3" w:rsidRPr="00393250" w:rsidRDefault="00B551B3" w:rsidP="00B551B3">
            <w:pPr>
              <w:widowControl/>
              <w:spacing w:before="40" w:after="40"/>
              <w:rPr>
                <w:rFonts w:eastAsia="Calibri"/>
                <w:i/>
                <w:noProof/>
                <w:sz w:val="22"/>
                <w:szCs w:val="22"/>
                <w:lang w:eastAsia="en-US"/>
              </w:rPr>
            </w:pPr>
          </w:p>
        </w:tc>
        <w:tc>
          <w:tcPr>
            <w:tcW w:w="1153" w:type="dxa"/>
            <w:tcMar>
              <w:left w:w="28" w:type="dxa"/>
              <w:right w:w="28" w:type="dxa"/>
            </w:tcMar>
          </w:tcPr>
          <w:p w14:paraId="79E533FC" w14:textId="77777777" w:rsidR="00B551B3" w:rsidRPr="00393250" w:rsidRDefault="00B551B3" w:rsidP="00B551B3">
            <w:pPr>
              <w:widowControl/>
              <w:spacing w:before="40" w:after="40"/>
              <w:rPr>
                <w:rFonts w:eastAsia="Calibri"/>
                <w:i/>
                <w:noProof/>
                <w:sz w:val="22"/>
                <w:szCs w:val="22"/>
                <w:lang w:eastAsia="en-US"/>
              </w:rPr>
            </w:pPr>
          </w:p>
        </w:tc>
        <w:tc>
          <w:tcPr>
            <w:tcW w:w="970" w:type="dxa"/>
            <w:tcMar>
              <w:left w:w="28" w:type="dxa"/>
              <w:right w:w="28" w:type="dxa"/>
            </w:tcMar>
          </w:tcPr>
          <w:p w14:paraId="6908402F" w14:textId="77777777" w:rsidR="00B551B3" w:rsidRPr="00393250" w:rsidRDefault="00B551B3" w:rsidP="00B551B3">
            <w:pPr>
              <w:widowControl/>
              <w:spacing w:before="40" w:after="40"/>
              <w:rPr>
                <w:rFonts w:eastAsia="Calibri"/>
                <w:i/>
                <w:noProof/>
                <w:sz w:val="22"/>
                <w:szCs w:val="22"/>
                <w:lang w:eastAsia="en-US"/>
              </w:rPr>
            </w:pPr>
          </w:p>
        </w:tc>
      </w:tr>
      <w:tr w:rsidR="00B551B3" w:rsidRPr="00393250" w14:paraId="4E345691" w14:textId="77777777" w:rsidTr="00B551B3">
        <w:trPr>
          <w:gridBefore w:val="1"/>
          <w:wBefore w:w="12" w:type="dxa"/>
          <w:tblHeader/>
          <w:jc w:val="center"/>
        </w:trPr>
        <w:tc>
          <w:tcPr>
            <w:tcW w:w="834" w:type="dxa"/>
            <w:tcMar>
              <w:left w:w="28" w:type="dxa"/>
              <w:right w:w="28" w:type="dxa"/>
            </w:tcMar>
          </w:tcPr>
          <w:p w14:paraId="35046AC8"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(29)</w:t>
            </w:r>
          </w:p>
        </w:tc>
        <w:tc>
          <w:tcPr>
            <w:tcW w:w="15192" w:type="dxa"/>
            <w:gridSpan w:val="13"/>
            <w:tcMar>
              <w:left w:w="28" w:type="dxa"/>
              <w:right w:w="28" w:type="dxa"/>
            </w:tcMar>
          </w:tcPr>
          <w:p w14:paraId="058158B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 xml:space="preserve">Stoffet simazin er blevet flyttet til del C i bilag II </w:t>
            </w:r>
          </w:p>
        </w:tc>
      </w:tr>
      <w:bookmarkEnd w:id="33"/>
      <w:tr w:rsidR="00B551B3" w:rsidRPr="00393250" w14:paraId="7EDB9685" w14:textId="77777777" w:rsidTr="00B551B3">
        <w:trPr>
          <w:gridBefore w:val="1"/>
          <w:wBefore w:w="12" w:type="dxa"/>
          <w:tblHeader/>
          <w:jc w:val="center"/>
        </w:trPr>
        <w:tc>
          <w:tcPr>
            <w:tcW w:w="834" w:type="dxa"/>
            <w:tcMar>
              <w:left w:w="28" w:type="dxa"/>
              <w:right w:w="28" w:type="dxa"/>
            </w:tcMar>
          </w:tcPr>
          <w:p w14:paraId="48E9D177"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(29a)</w:t>
            </w:r>
          </w:p>
        </w:tc>
        <w:tc>
          <w:tcPr>
            <w:tcW w:w="2103" w:type="dxa"/>
            <w:gridSpan w:val="2"/>
            <w:tcMar>
              <w:left w:w="28" w:type="dxa"/>
              <w:right w:w="28" w:type="dxa"/>
            </w:tcMar>
          </w:tcPr>
          <w:p w14:paraId="4D15A56F" w14:textId="77777777" w:rsidR="00B551B3" w:rsidRPr="00393250" w:rsidRDefault="00B551B3" w:rsidP="00B551B3">
            <w:pPr>
              <w:widowControl/>
              <w:spacing w:before="40" w:after="40"/>
              <w:rPr>
                <w:rFonts w:eastAsia="Calibri"/>
                <w:noProof/>
                <w:sz w:val="22"/>
                <w:szCs w:val="22"/>
                <w:vertAlign w:val="superscript"/>
                <w:lang w:eastAsia="en-US"/>
              </w:rPr>
            </w:pPr>
            <w:r w:rsidRPr="00393250">
              <w:rPr>
                <w:rFonts w:eastAsia="Calibri"/>
                <w:noProof/>
                <w:sz w:val="22"/>
                <w:szCs w:val="22"/>
                <w:lang w:eastAsia="en-US"/>
              </w:rPr>
              <w:t xml:space="preserve">Tetrachlorethylen </w:t>
            </w:r>
            <w:bookmarkStart w:id="34" w:name="_DV_M305"/>
            <w:bookmarkEnd w:id="34"/>
          </w:p>
        </w:tc>
        <w:tc>
          <w:tcPr>
            <w:tcW w:w="1329" w:type="dxa"/>
            <w:tcMar>
              <w:left w:w="28" w:type="dxa"/>
              <w:right w:w="28" w:type="dxa"/>
            </w:tcMar>
          </w:tcPr>
          <w:p w14:paraId="5278800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Industristoffer</w:t>
            </w:r>
          </w:p>
        </w:tc>
        <w:tc>
          <w:tcPr>
            <w:tcW w:w="992" w:type="dxa"/>
            <w:tcMar>
              <w:left w:w="28" w:type="dxa"/>
              <w:right w:w="28" w:type="dxa"/>
            </w:tcMar>
          </w:tcPr>
          <w:p w14:paraId="73D5155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127-18-4</w:t>
            </w:r>
          </w:p>
        </w:tc>
        <w:tc>
          <w:tcPr>
            <w:tcW w:w="1134" w:type="dxa"/>
          </w:tcPr>
          <w:p w14:paraId="50A0814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204-825-9</w:t>
            </w:r>
          </w:p>
        </w:tc>
        <w:tc>
          <w:tcPr>
            <w:tcW w:w="1279" w:type="dxa"/>
            <w:tcMar>
              <w:left w:w="28" w:type="dxa"/>
              <w:right w:w="28" w:type="dxa"/>
            </w:tcMar>
          </w:tcPr>
          <w:p w14:paraId="388D209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10</w:t>
            </w:r>
          </w:p>
        </w:tc>
        <w:tc>
          <w:tcPr>
            <w:tcW w:w="1279" w:type="dxa"/>
            <w:tcMar>
              <w:left w:w="28" w:type="dxa"/>
              <w:right w:w="28" w:type="dxa"/>
            </w:tcMar>
          </w:tcPr>
          <w:p w14:paraId="192834D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10</w:t>
            </w:r>
          </w:p>
        </w:tc>
        <w:tc>
          <w:tcPr>
            <w:tcW w:w="1278" w:type="dxa"/>
            <w:tcMar>
              <w:left w:w="28" w:type="dxa"/>
              <w:right w:w="28" w:type="dxa"/>
            </w:tcMar>
          </w:tcPr>
          <w:p w14:paraId="3680233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277" w:type="dxa"/>
            <w:tcMar>
              <w:left w:w="28" w:type="dxa"/>
              <w:right w:w="28" w:type="dxa"/>
            </w:tcMar>
          </w:tcPr>
          <w:p w14:paraId="6CD3487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136" w:type="dxa"/>
            <w:tcMar>
              <w:left w:w="28" w:type="dxa"/>
              <w:right w:w="28" w:type="dxa"/>
            </w:tcMar>
          </w:tcPr>
          <w:p w14:paraId="009027D9"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355553E0" w14:textId="77777777" w:rsidR="00B551B3" w:rsidRPr="00393250" w:rsidRDefault="00B551B3" w:rsidP="00B551B3">
            <w:pPr>
              <w:widowControl/>
              <w:spacing w:before="40" w:after="40"/>
              <w:rPr>
                <w:rFonts w:eastAsia="Calibri"/>
                <w:noProof/>
                <w:sz w:val="22"/>
                <w:szCs w:val="22"/>
                <w:lang w:eastAsia="en-US"/>
              </w:rPr>
            </w:pPr>
          </w:p>
        </w:tc>
        <w:tc>
          <w:tcPr>
            <w:tcW w:w="1153" w:type="dxa"/>
            <w:tcMar>
              <w:left w:w="28" w:type="dxa"/>
              <w:right w:w="28" w:type="dxa"/>
            </w:tcMar>
          </w:tcPr>
          <w:p w14:paraId="257F7A04"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2678AEEE"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7F016177" w14:textId="77777777" w:rsidTr="00B551B3">
        <w:trPr>
          <w:gridBefore w:val="1"/>
          <w:wBefore w:w="12" w:type="dxa"/>
          <w:tblHeader/>
          <w:jc w:val="center"/>
        </w:trPr>
        <w:tc>
          <w:tcPr>
            <w:tcW w:w="834" w:type="dxa"/>
            <w:tcMar>
              <w:left w:w="28" w:type="dxa"/>
              <w:right w:w="28" w:type="dxa"/>
            </w:tcMar>
          </w:tcPr>
          <w:p w14:paraId="492A5B66" w14:textId="77777777" w:rsidR="00B551B3" w:rsidRPr="00393250" w:rsidRDefault="00B551B3" w:rsidP="00B551B3">
            <w:pPr>
              <w:keepNext/>
              <w:widowControl/>
              <w:spacing w:before="40" w:after="40"/>
              <w:jc w:val="both"/>
              <w:rPr>
                <w:rFonts w:eastAsia="Calibri"/>
                <w:noProof/>
                <w:sz w:val="22"/>
                <w:szCs w:val="22"/>
                <w:lang w:eastAsia="en-US"/>
              </w:rPr>
            </w:pPr>
            <w:r w:rsidRPr="00393250">
              <w:rPr>
                <w:rFonts w:eastAsia="Calibri"/>
                <w:noProof/>
                <w:sz w:val="22"/>
                <w:szCs w:val="22"/>
                <w:lang w:eastAsia="en-US"/>
              </w:rPr>
              <w:t>(29b)</w:t>
            </w:r>
          </w:p>
        </w:tc>
        <w:tc>
          <w:tcPr>
            <w:tcW w:w="2103" w:type="dxa"/>
            <w:gridSpan w:val="2"/>
            <w:tcMar>
              <w:left w:w="28" w:type="dxa"/>
              <w:right w:w="28" w:type="dxa"/>
            </w:tcMar>
          </w:tcPr>
          <w:p w14:paraId="790129A6" w14:textId="77777777" w:rsidR="00B551B3" w:rsidRPr="00393250" w:rsidRDefault="00B551B3" w:rsidP="00B551B3">
            <w:pPr>
              <w:keepNext/>
              <w:widowControl/>
              <w:spacing w:before="40" w:after="40"/>
              <w:rPr>
                <w:rFonts w:eastAsia="Calibri"/>
                <w:noProof/>
                <w:sz w:val="22"/>
                <w:szCs w:val="22"/>
                <w:vertAlign w:val="superscript"/>
                <w:lang w:eastAsia="en-US"/>
              </w:rPr>
            </w:pPr>
            <w:r w:rsidRPr="00393250">
              <w:rPr>
                <w:rFonts w:eastAsia="Calibri"/>
                <w:noProof/>
                <w:sz w:val="22"/>
                <w:szCs w:val="22"/>
                <w:lang w:eastAsia="en-US"/>
              </w:rPr>
              <w:t xml:space="preserve">Trichlorethylen </w:t>
            </w:r>
            <w:bookmarkStart w:id="35" w:name="_DV_M306"/>
            <w:bookmarkEnd w:id="35"/>
          </w:p>
        </w:tc>
        <w:tc>
          <w:tcPr>
            <w:tcW w:w="1329" w:type="dxa"/>
            <w:tcMar>
              <w:left w:w="28" w:type="dxa"/>
              <w:right w:w="28" w:type="dxa"/>
            </w:tcMar>
          </w:tcPr>
          <w:p w14:paraId="3CA7BE17"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Industristoffer</w:t>
            </w:r>
          </w:p>
        </w:tc>
        <w:tc>
          <w:tcPr>
            <w:tcW w:w="992" w:type="dxa"/>
            <w:tcMar>
              <w:left w:w="28" w:type="dxa"/>
              <w:right w:w="28" w:type="dxa"/>
            </w:tcMar>
          </w:tcPr>
          <w:p w14:paraId="0A344AB5"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79-01-6</w:t>
            </w:r>
          </w:p>
        </w:tc>
        <w:tc>
          <w:tcPr>
            <w:tcW w:w="1134" w:type="dxa"/>
          </w:tcPr>
          <w:p w14:paraId="1322A6C6"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201-167-4</w:t>
            </w:r>
          </w:p>
        </w:tc>
        <w:tc>
          <w:tcPr>
            <w:tcW w:w="1279" w:type="dxa"/>
            <w:tcMar>
              <w:left w:w="28" w:type="dxa"/>
              <w:right w:w="28" w:type="dxa"/>
            </w:tcMar>
          </w:tcPr>
          <w:p w14:paraId="3364A311"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10</w:t>
            </w:r>
          </w:p>
        </w:tc>
        <w:tc>
          <w:tcPr>
            <w:tcW w:w="1279" w:type="dxa"/>
            <w:tcMar>
              <w:left w:w="28" w:type="dxa"/>
              <w:right w:w="28" w:type="dxa"/>
            </w:tcMar>
          </w:tcPr>
          <w:p w14:paraId="36D0924D"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10</w:t>
            </w:r>
          </w:p>
        </w:tc>
        <w:tc>
          <w:tcPr>
            <w:tcW w:w="1278" w:type="dxa"/>
            <w:tcMar>
              <w:left w:w="28" w:type="dxa"/>
              <w:right w:w="28" w:type="dxa"/>
            </w:tcMar>
          </w:tcPr>
          <w:p w14:paraId="7A89669E"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277" w:type="dxa"/>
            <w:tcMar>
              <w:left w:w="28" w:type="dxa"/>
              <w:right w:w="28" w:type="dxa"/>
            </w:tcMar>
          </w:tcPr>
          <w:p w14:paraId="0432A2A7"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136" w:type="dxa"/>
            <w:tcMar>
              <w:left w:w="28" w:type="dxa"/>
              <w:right w:w="28" w:type="dxa"/>
            </w:tcMar>
          </w:tcPr>
          <w:p w14:paraId="25969FD6" w14:textId="77777777" w:rsidR="00B551B3" w:rsidRPr="00393250" w:rsidRDefault="00B551B3" w:rsidP="00B551B3">
            <w:pPr>
              <w:keepNext/>
              <w:widowControl/>
              <w:spacing w:before="40" w:after="40"/>
              <w:rPr>
                <w:rFonts w:eastAsia="Calibri"/>
                <w:noProof/>
                <w:sz w:val="22"/>
                <w:szCs w:val="22"/>
                <w:lang w:eastAsia="en-US"/>
              </w:rPr>
            </w:pPr>
          </w:p>
        </w:tc>
        <w:tc>
          <w:tcPr>
            <w:tcW w:w="1262" w:type="dxa"/>
            <w:tcMar>
              <w:left w:w="28" w:type="dxa"/>
              <w:right w:w="28" w:type="dxa"/>
            </w:tcMar>
          </w:tcPr>
          <w:p w14:paraId="1E7E8CF1"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X</w:t>
            </w:r>
          </w:p>
        </w:tc>
        <w:tc>
          <w:tcPr>
            <w:tcW w:w="1153" w:type="dxa"/>
            <w:tcMar>
              <w:left w:w="28" w:type="dxa"/>
              <w:right w:w="28" w:type="dxa"/>
            </w:tcMar>
          </w:tcPr>
          <w:p w14:paraId="77F1B5DD" w14:textId="77777777" w:rsidR="00B551B3" w:rsidRPr="00393250" w:rsidRDefault="00B551B3" w:rsidP="00B551B3">
            <w:pPr>
              <w:keepNext/>
              <w:widowControl/>
              <w:spacing w:before="40" w:after="40"/>
              <w:rPr>
                <w:rFonts w:eastAsia="Calibri"/>
                <w:noProof/>
                <w:sz w:val="22"/>
                <w:szCs w:val="22"/>
                <w:lang w:eastAsia="en-US"/>
              </w:rPr>
            </w:pPr>
          </w:p>
        </w:tc>
        <w:tc>
          <w:tcPr>
            <w:tcW w:w="970" w:type="dxa"/>
            <w:tcMar>
              <w:left w:w="28" w:type="dxa"/>
              <w:right w:w="28" w:type="dxa"/>
            </w:tcMar>
          </w:tcPr>
          <w:p w14:paraId="0EDAE7F5" w14:textId="77777777" w:rsidR="00B551B3" w:rsidRPr="00393250" w:rsidRDefault="00B551B3" w:rsidP="00B551B3">
            <w:pPr>
              <w:keepNext/>
              <w:widowControl/>
              <w:spacing w:before="40" w:after="40"/>
              <w:rPr>
                <w:rFonts w:eastAsia="Calibri"/>
                <w:noProof/>
                <w:sz w:val="22"/>
                <w:szCs w:val="22"/>
                <w:lang w:eastAsia="en-US"/>
              </w:rPr>
            </w:pPr>
          </w:p>
        </w:tc>
      </w:tr>
      <w:tr w:rsidR="00B551B3" w:rsidRPr="00393250" w14:paraId="3089216E" w14:textId="77777777" w:rsidTr="00B551B3">
        <w:trPr>
          <w:gridBefore w:val="1"/>
          <w:wBefore w:w="12" w:type="dxa"/>
          <w:tblHeader/>
          <w:jc w:val="center"/>
        </w:trPr>
        <w:tc>
          <w:tcPr>
            <w:tcW w:w="834" w:type="dxa"/>
            <w:tcMar>
              <w:left w:w="28" w:type="dxa"/>
              <w:right w:w="28" w:type="dxa"/>
            </w:tcMar>
          </w:tcPr>
          <w:p w14:paraId="73050CA9"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(30)</w:t>
            </w:r>
          </w:p>
        </w:tc>
        <w:tc>
          <w:tcPr>
            <w:tcW w:w="2103" w:type="dxa"/>
            <w:gridSpan w:val="2"/>
            <w:tcMar>
              <w:left w:w="28" w:type="dxa"/>
              <w:right w:w="28" w:type="dxa"/>
            </w:tcMar>
          </w:tcPr>
          <w:p w14:paraId="23C3A81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Cs w:val="22"/>
                <w:lang w:eastAsia="en-US"/>
              </w:rPr>
              <w:t xml:space="preserve">Tributyltinforbindelser </w:t>
            </w:r>
            <w:r w:rsidRPr="00393250">
              <w:rPr>
                <w:rFonts w:eastAsia="Calibri"/>
                <w:noProof/>
                <w:sz w:val="22"/>
                <w:szCs w:val="22"/>
                <w:lang w:eastAsia="en-US"/>
              </w:rPr>
              <w:t>(</w:t>
            </w:r>
            <w:r w:rsidRPr="00393250">
              <w:rPr>
                <w:rFonts w:eastAsia="Calibri"/>
                <w:noProof/>
                <w:sz w:val="22"/>
                <w:szCs w:val="22"/>
                <w:vertAlign w:val="superscript"/>
                <w:lang w:eastAsia="en-US"/>
              </w:rPr>
              <w:t>18</w:t>
            </w:r>
            <w:r w:rsidRPr="00393250">
              <w:rPr>
                <w:rFonts w:eastAsia="Calibri"/>
                <w:noProof/>
                <w:sz w:val="22"/>
                <w:szCs w:val="22"/>
                <w:lang w:eastAsia="en-US"/>
              </w:rPr>
              <w:t>) (</w:t>
            </w:r>
            <w:bookmarkStart w:id="36" w:name="_DV_C351"/>
            <w:r w:rsidRPr="00393250">
              <w:rPr>
                <w:rFonts w:eastAsia="Calibri"/>
                <w:noProof/>
                <w:sz w:val="22"/>
                <w:szCs w:val="22"/>
                <w:lang w:eastAsia="en-US"/>
              </w:rPr>
              <w:t>tributyltinkation</w:t>
            </w:r>
            <w:bookmarkStart w:id="37" w:name="_DV_M307"/>
            <w:bookmarkEnd w:id="36"/>
            <w:bookmarkEnd w:id="37"/>
            <w:r w:rsidRPr="00393250">
              <w:rPr>
                <w:rFonts w:eastAsia="Calibri"/>
                <w:noProof/>
                <w:sz w:val="22"/>
                <w:szCs w:val="22"/>
                <w:lang w:eastAsia="en-US"/>
              </w:rPr>
              <w:t>)</w:t>
            </w:r>
          </w:p>
        </w:tc>
        <w:tc>
          <w:tcPr>
            <w:tcW w:w="1329" w:type="dxa"/>
            <w:tcMar>
              <w:left w:w="28" w:type="dxa"/>
              <w:right w:w="28" w:type="dxa"/>
            </w:tcMar>
          </w:tcPr>
          <w:p w14:paraId="2414DF4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Biocider</w:t>
            </w:r>
          </w:p>
        </w:tc>
        <w:tc>
          <w:tcPr>
            <w:tcW w:w="992" w:type="dxa"/>
            <w:tcMar>
              <w:left w:w="28" w:type="dxa"/>
              <w:right w:w="28" w:type="dxa"/>
            </w:tcMar>
          </w:tcPr>
          <w:p w14:paraId="4FC5E3C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36643-28-4</w:t>
            </w:r>
          </w:p>
        </w:tc>
        <w:tc>
          <w:tcPr>
            <w:tcW w:w="1134" w:type="dxa"/>
          </w:tcPr>
          <w:p w14:paraId="75C1473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279" w:type="dxa"/>
            <w:tcMar>
              <w:left w:w="28" w:type="dxa"/>
              <w:right w:w="28" w:type="dxa"/>
            </w:tcMar>
          </w:tcPr>
          <w:p w14:paraId="12D568E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0,0002</w:t>
            </w:r>
          </w:p>
        </w:tc>
        <w:tc>
          <w:tcPr>
            <w:tcW w:w="1279" w:type="dxa"/>
            <w:tcMar>
              <w:left w:w="28" w:type="dxa"/>
              <w:right w:w="28" w:type="dxa"/>
            </w:tcMar>
          </w:tcPr>
          <w:p w14:paraId="2026966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0,0002</w:t>
            </w:r>
          </w:p>
        </w:tc>
        <w:tc>
          <w:tcPr>
            <w:tcW w:w="1278" w:type="dxa"/>
            <w:tcMar>
              <w:left w:w="28" w:type="dxa"/>
              <w:right w:w="28" w:type="dxa"/>
            </w:tcMar>
          </w:tcPr>
          <w:p w14:paraId="0363B1A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0,0015</w:t>
            </w:r>
          </w:p>
        </w:tc>
        <w:tc>
          <w:tcPr>
            <w:tcW w:w="1277" w:type="dxa"/>
            <w:tcMar>
              <w:left w:w="28" w:type="dxa"/>
              <w:right w:w="28" w:type="dxa"/>
            </w:tcMar>
          </w:tcPr>
          <w:p w14:paraId="22A2FFC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0,0015</w:t>
            </w:r>
          </w:p>
        </w:tc>
        <w:tc>
          <w:tcPr>
            <w:tcW w:w="1136" w:type="dxa"/>
            <w:tcMar>
              <w:left w:w="28" w:type="dxa"/>
              <w:right w:w="28" w:type="dxa"/>
            </w:tcMar>
          </w:tcPr>
          <w:p w14:paraId="623C34C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[1,3] (</w:t>
            </w:r>
            <w:r w:rsidRPr="00393250">
              <w:rPr>
                <w:rFonts w:eastAsia="Calibri"/>
                <w:noProof/>
                <w:sz w:val="22"/>
                <w:szCs w:val="22"/>
                <w:vertAlign w:val="superscript"/>
                <w:lang w:eastAsia="en-US"/>
              </w:rPr>
              <w:t>19</w:t>
            </w:r>
            <w:r w:rsidRPr="00393250">
              <w:rPr>
                <w:rFonts w:eastAsia="Calibri"/>
                <w:noProof/>
                <w:sz w:val="22"/>
                <w:szCs w:val="22"/>
                <w:lang w:eastAsia="en-US"/>
              </w:rPr>
              <w:t>)</w:t>
            </w:r>
          </w:p>
        </w:tc>
        <w:tc>
          <w:tcPr>
            <w:tcW w:w="1262" w:type="dxa"/>
            <w:tcMar>
              <w:left w:w="28" w:type="dxa"/>
              <w:right w:w="28" w:type="dxa"/>
            </w:tcMar>
          </w:tcPr>
          <w:p w14:paraId="3AC1F0A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 xml:space="preserve">X </w:t>
            </w:r>
          </w:p>
        </w:tc>
        <w:tc>
          <w:tcPr>
            <w:tcW w:w="1153" w:type="dxa"/>
            <w:tcMar>
              <w:left w:w="28" w:type="dxa"/>
              <w:right w:w="28" w:type="dxa"/>
            </w:tcMar>
          </w:tcPr>
          <w:p w14:paraId="3D39937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970" w:type="dxa"/>
            <w:tcMar>
              <w:left w:w="28" w:type="dxa"/>
              <w:right w:w="28" w:type="dxa"/>
            </w:tcMar>
          </w:tcPr>
          <w:p w14:paraId="64DA94B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426DEA17" w14:textId="77777777" w:rsidTr="00B551B3">
        <w:trPr>
          <w:gridBefore w:val="1"/>
          <w:wBefore w:w="12" w:type="dxa"/>
          <w:tblHeader/>
          <w:jc w:val="center"/>
        </w:trPr>
        <w:tc>
          <w:tcPr>
            <w:tcW w:w="834" w:type="dxa"/>
            <w:tcMar>
              <w:left w:w="28" w:type="dxa"/>
              <w:right w:w="28" w:type="dxa"/>
            </w:tcMar>
          </w:tcPr>
          <w:p w14:paraId="17D43BBA"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(31)</w:t>
            </w:r>
          </w:p>
        </w:tc>
        <w:tc>
          <w:tcPr>
            <w:tcW w:w="2103" w:type="dxa"/>
            <w:gridSpan w:val="2"/>
            <w:tcMar>
              <w:left w:w="28" w:type="dxa"/>
              <w:right w:w="28" w:type="dxa"/>
            </w:tcMar>
          </w:tcPr>
          <w:p w14:paraId="4403FBF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Trichlorbenzener</w:t>
            </w:r>
          </w:p>
        </w:tc>
        <w:tc>
          <w:tcPr>
            <w:tcW w:w="1329" w:type="dxa"/>
            <w:tcMar>
              <w:left w:w="28" w:type="dxa"/>
              <w:right w:w="28" w:type="dxa"/>
            </w:tcMar>
          </w:tcPr>
          <w:p w14:paraId="67E6828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Industristoffer (opløsningsmidler)</w:t>
            </w:r>
          </w:p>
        </w:tc>
        <w:tc>
          <w:tcPr>
            <w:tcW w:w="992" w:type="dxa"/>
            <w:tcMar>
              <w:left w:w="28" w:type="dxa"/>
              <w:right w:w="28" w:type="dxa"/>
            </w:tcMar>
          </w:tcPr>
          <w:p w14:paraId="1129832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12002-48-1</w:t>
            </w:r>
          </w:p>
        </w:tc>
        <w:tc>
          <w:tcPr>
            <w:tcW w:w="1134" w:type="dxa"/>
          </w:tcPr>
          <w:p w14:paraId="0099456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234-413-4</w:t>
            </w:r>
          </w:p>
        </w:tc>
        <w:tc>
          <w:tcPr>
            <w:tcW w:w="1279" w:type="dxa"/>
            <w:tcMar>
              <w:left w:w="28" w:type="dxa"/>
              <w:right w:w="28" w:type="dxa"/>
            </w:tcMar>
          </w:tcPr>
          <w:p w14:paraId="1308A99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 xml:space="preserve">0,4 </w:t>
            </w:r>
          </w:p>
        </w:tc>
        <w:tc>
          <w:tcPr>
            <w:tcW w:w="1279" w:type="dxa"/>
            <w:tcMar>
              <w:left w:w="28" w:type="dxa"/>
              <w:right w:w="28" w:type="dxa"/>
            </w:tcMar>
          </w:tcPr>
          <w:p w14:paraId="4E5F7EB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0,4</w:t>
            </w:r>
          </w:p>
        </w:tc>
        <w:tc>
          <w:tcPr>
            <w:tcW w:w="1278" w:type="dxa"/>
            <w:tcMar>
              <w:left w:w="28" w:type="dxa"/>
              <w:right w:w="28" w:type="dxa"/>
            </w:tcMar>
          </w:tcPr>
          <w:p w14:paraId="408C3A6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277" w:type="dxa"/>
            <w:tcMar>
              <w:left w:w="28" w:type="dxa"/>
              <w:right w:w="28" w:type="dxa"/>
            </w:tcMar>
          </w:tcPr>
          <w:p w14:paraId="5EA991B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136" w:type="dxa"/>
            <w:tcMar>
              <w:left w:w="28" w:type="dxa"/>
              <w:right w:w="28" w:type="dxa"/>
            </w:tcMar>
          </w:tcPr>
          <w:p w14:paraId="2A4886A1"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3B61A435" w14:textId="77777777" w:rsidR="00B551B3" w:rsidRPr="00393250" w:rsidRDefault="00B551B3" w:rsidP="00B551B3">
            <w:pPr>
              <w:widowControl/>
              <w:spacing w:before="40" w:after="40"/>
              <w:rPr>
                <w:rFonts w:eastAsia="Calibri"/>
                <w:noProof/>
                <w:sz w:val="22"/>
                <w:szCs w:val="22"/>
                <w:lang w:eastAsia="en-US"/>
              </w:rPr>
            </w:pPr>
          </w:p>
        </w:tc>
        <w:tc>
          <w:tcPr>
            <w:tcW w:w="1153" w:type="dxa"/>
            <w:tcMar>
              <w:left w:w="28" w:type="dxa"/>
              <w:right w:w="28" w:type="dxa"/>
            </w:tcMar>
          </w:tcPr>
          <w:p w14:paraId="2BE5574D"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1852FAD8"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760B8C43" w14:textId="77777777" w:rsidTr="00B551B3">
        <w:trPr>
          <w:gridBefore w:val="1"/>
          <w:wBefore w:w="12" w:type="dxa"/>
          <w:tblHeader/>
          <w:jc w:val="center"/>
        </w:trPr>
        <w:tc>
          <w:tcPr>
            <w:tcW w:w="834" w:type="dxa"/>
            <w:tcMar>
              <w:left w:w="28" w:type="dxa"/>
              <w:right w:w="28" w:type="dxa"/>
            </w:tcMar>
          </w:tcPr>
          <w:p w14:paraId="0DBA41FC"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(32)</w:t>
            </w:r>
          </w:p>
        </w:tc>
        <w:tc>
          <w:tcPr>
            <w:tcW w:w="2103" w:type="dxa"/>
            <w:gridSpan w:val="2"/>
            <w:tcMar>
              <w:left w:w="28" w:type="dxa"/>
              <w:right w:w="28" w:type="dxa"/>
            </w:tcMar>
          </w:tcPr>
          <w:p w14:paraId="3D821AE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Trichlormethan</w:t>
            </w:r>
          </w:p>
        </w:tc>
        <w:tc>
          <w:tcPr>
            <w:tcW w:w="1329" w:type="dxa"/>
            <w:tcMar>
              <w:left w:w="28" w:type="dxa"/>
              <w:right w:w="28" w:type="dxa"/>
            </w:tcMar>
          </w:tcPr>
          <w:p w14:paraId="434F6FF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Industristoffer</w:t>
            </w:r>
          </w:p>
        </w:tc>
        <w:tc>
          <w:tcPr>
            <w:tcW w:w="992" w:type="dxa"/>
            <w:tcMar>
              <w:left w:w="28" w:type="dxa"/>
              <w:right w:w="28" w:type="dxa"/>
            </w:tcMar>
          </w:tcPr>
          <w:p w14:paraId="5986C18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67-66-3</w:t>
            </w:r>
          </w:p>
        </w:tc>
        <w:tc>
          <w:tcPr>
            <w:tcW w:w="1134" w:type="dxa"/>
          </w:tcPr>
          <w:p w14:paraId="21BB226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200-663-8</w:t>
            </w:r>
          </w:p>
        </w:tc>
        <w:tc>
          <w:tcPr>
            <w:tcW w:w="1279" w:type="dxa"/>
            <w:tcMar>
              <w:left w:w="28" w:type="dxa"/>
              <w:right w:w="28" w:type="dxa"/>
            </w:tcMar>
          </w:tcPr>
          <w:p w14:paraId="2322778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 xml:space="preserve">2,5 </w:t>
            </w:r>
          </w:p>
        </w:tc>
        <w:tc>
          <w:tcPr>
            <w:tcW w:w="1279" w:type="dxa"/>
            <w:tcMar>
              <w:left w:w="28" w:type="dxa"/>
              <w:right w:w="28" w:type="dxa"/>
            </w:tcMar>
          </w:tcPr>
          <w:p w14:paraId="7C50F1F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 xml:space="preserve">2,5 </w:t>
            </w:r>
          </w:p>
        </w:tc>
        <w:tc>
          <w:tcPr>
            <w:tcW w:w="1278" w:type="dxa"/>
            <w:tcMar>
              <w:left w:w="28" w:type="dxa"/>
              <w:right w:w="28" w:type="dxa"/>
            </w:tcMar>
          </w:tcPr>
          <w:p w14:paraId="485EEB0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277" w:type="dxa"/>
            <w:tcMar>
              <w:left w:w="28" w:type="dxa"/>
              <w:right w:w="28" w:type="dxa"/>
            </w:tcMar>
          </w:tcPr>
          <w:p w14:paraId="7C6BD0E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136" w:type="dxa"/>
            <w:tcMar>
              <w:left w:w="28" w:type="dxa"/>
              <w:right w:w="28" w:type="dxa"/>
            </w:tcMar>
          </w:tcPr>
          <w:p w14:paraId="4F39E178"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7A8B913B" w14:textId="77777777" w:rsidR="00B551B3" w:rsidRPr="00393250" w:rsidRDefault="00B551B3" w:rsidP="00B551B3">
            <w:pPr>
              <w:widowControl/>
              <w:spacing w:before="40" w:after="40"/>
              <w:rPr>
                <w:rFonts w:eastAsia="Calibri"/>
                <w:noProof/>
                <w:sz w:val="22"/>
                <w:szCs w:val="22"/>
                <w:lang w:eastAsia="en-US"/>
              </w:rPr>
            </w:pPr>
          </w:p>
        </w:tc>
        <w:tc>
          <w:tcPr>
            <w:tcW w:w="1153" w:type="dxa"/>
            <w:tcMar>
              <w:left w:w="28" w:type="dxa"/>
              <w:right w:w="28" w:type="dxa"/>
            </w:tcMar>
          </w:tcPr>
          <w:p w14:paraId="574F8010"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1FF0DAED"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790DD9CE" w14:textId="77777777" w:rsidTr="00B551B3">
        <w:trPr>
          <w:gridBefore w:val="1"/>
          <w:wBefore w:w="12" w:type="dxa"/>
          <w:tblHeader/>
          <w:jc w:val="center"/>
        </w:trPr>
        <w:tc>
          <w:tcPr>
            <w:tcW w:w="834" w:type="dxa"/>
            <w:tcMar>
              <w:left w:w="28" w:type="dxa"/>
              <w:right w:w="28" w:type="dxa"/>
            </w:tcMar>
          </w:tcPr>
          <w:p w14:paraId="3410E233"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(33)</w:t>
            </w:r>
          </w:p>
        </w:tc>
        <w:tc>
          <w:tcPr>
            <w:tcW w:w="2103" w:type="dxa"/>
            <w:gridSpan w:val="2"/>
            <w:tcMar>
              <w:left w:w="28" w:type="dxa"/>
              <w:right w:w="28" w:type="dxa"/>
            </w:tcMar>
          </w:tcPr>
          <w:p w14:paraId="06C27BB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Trifluralin</w:t>
            </w:r>
          </w:p>
        </w:tc>
        <w:tc>
          <w:tcPr>
            <w:tcW w:w="1329" w:type="dxa"/>
            <w:tcMar>
              <w:left w:w="28" w:type="dxa"/>
              <w:right w:w="28" w:type="dxa"/>
            </w:tcMar>
          </w:tcPr>
          <w:p w14:paraId="6E12113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Herbicider</w:t>
            </w:r>
          </w:p>
        </w:tc>
        <w:tc>
          <w:tcPr>
            <w:tcW w:w="992" w:type="dxa"/>
            <w:tcMar>
              <w:left w:w="28" w:type="dxa"/>
              <w:right w:w="28" w:type="dxa"/>
            </w:tcMar>
          </w:tcPr>
          <w:p w14:paraId="462B927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1582-09-8</w:t>
            </w:r>
          </w:p>
        </w:tc>
        <w:tc>
          <w:tcPr>
            <w:tcW w:w="1134" w:type="dxa"/>
          </w:tcPr>
          <w:p w14:paraId="109DF80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216-428-8</w:t>
            </w:r>
          </w:p>
        </w:tc>
        <w:tc>
          <w:tcPr>
            <w:tcW w:w="1279" w:type="dxa"/>
            <w:tcMar>
              <w:left w:w="28" w:type="dxa"/>
              <w:right w:w="28" w:type="dxa"/>
            </w:tcMar>
          </w:tcPr>
          <w:p w14:paraId="1742065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0,03</w:t>
            </w:r>
          </w:p>
        </w:tc>
        <w:tc>
          <w:tcPr>
            <w:tcW w:w="1279" w:type="dxa"/>
            <w:tcMar>
              <w:left w:w="28" w:type="dxa"/>
              <w:right w:w="28" w:type="dxa"/>
            </w:tcMar>
          </w:tcPr>
          <w:p w14:paraId="5AFA9FA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0,03</w:t>
            </w:r>
          </w:p>
        </w:tc>
        <w:tc>
          <w:tcPr>
            <w:tcW w:w="1278" w:type="dxa"/>
            <w:tcMar>
              <w:left w:w="28" w:type="dxa"/>
              <w:right w:w="28" w:type="dxa"/>
            </w:tcMar>
          </w:tcPr>
          <w:p w14:paraId="5BCBDEA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277" w:type="dxa"/>
            <w:tcMar>
              <w:left w:w="28" w:type="dxa"/>
              <w:right w:w="28" w:type="dxa"/>
            </w:tcMar>
          </w:tcPr>
          <w:p w14:paraId="37287DD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136" w:type="dxa"/>
            <w:tcMar>
              <w:left w:w="28" w:type="dxa"/>
              <w:right w:w="28" w:type="dxa"/>
            </w:tcMar>
          </w:tcPr>
          <w:p w14:paraId="277143AE"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3F3E2D1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1153" w:type="dxa"/>
            <w:tcMar>
              <w:left w:w="28" w:type="dxa"/>
              <w:right w:w="28" w:type="dxa"/>
            </w:tcMar>
          </w:tcPr>
          <w:p w14:paraId="4F55DFF8"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2C7E018A"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2176E33C" w14:textId="77777777" w:rsidTr="00B551B3">
        <w:trPr>
          <w:gridBefore w:val="1"/>
          <w:wBefore w:w="12" w:type="dxa"/>
          <w:tblHeader/>
          <w:jc w:val="center"/>
        </w:trPr>
        <w:tc>
          <w:tcPr>
            <w:tcW w:w="834" w:type="dxa"/>
            <w:tcMar>
              <w:left w:w="28" w:type="dxa"/>
              <w:right w:w="28" w:type="dxa"/>
            </w:tcMar>
          </w:tcPr>
          <w:p w14:paraId="2369A967"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(34)</w:t>
            </w:r>
          </w:p>
        </w:tc>
        <w:tc>
          <w:tcPr>
            <w:tcW w:w="2103" w:type="dxa"/>
            <w:gridSpan w:val="2"/>
            <w:tcMar>
              <w:left w:w="28" w:type="dxa"/>
              <w:right w:w="28" w:type="dxa"/>
            </w:tcMar>
          </w:tcPr>
          <w:p w14:paraId="279487B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Dicofol</w:t>
            </w:r>
          </w:p>
        </w:tc>
        <w:tc>
          <w:tcPr>
            <w:tcW w:w="1329" w:type="dxa"/>
            <w:tcMar>
              <w:left w:w="28" w:type="dxa"/>
              <w:right w:w="28" w:type="dxa"/>
            </w:tcMar>
          </w:tcPr>
          <w:p w14:paraId="08286E2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Organiske klorerede pesticider</w:t>
            </w:r>
          </w:p>
        </w:tc>
        <w:tc>
          <w:tcPr>
            <w:tcW w:w="992" w:type="dxa"/>
            <w:tcMar>
              <w:left w:w="28" w:type="dxa"/>
              <w:right w:w="28" w:type="dxa"/>
            </w:tcMar>
          </w:tcPr>
          <w:p w14:paraId="12157CE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115-32-2</w:t>
            </w:r>
          </w:p>
        </w:tc>
        <w:tc>
          <w:tcPr>
            <w:tcW w:w="1134" w:type="dxa"/>
          </w:tcPr>
          <w:p w14:paraId="5D652AAA" w14:textId="77777777" w:rsidR="00B551B3" w:rsidRPr="00393250" w:rsidRDefault="00B551B3" w:rsidP="00B551B3">
            <w:pPr>
              <w:widowControl/>
              <w:spacing w:before="40" w:after="40"/>
              <w:rPr>
                <w:rFonts w:eastAsia="Calibri"/>
                <w:strike/>
                <w:noProof/>
                <w:sz w:val="22"/>
                <w:szCs w:val="22"/>
                <w:lang w:eastAsia="en-US"/>
              </w:rPr>
            </w:pPr>
            <w:r w:rsidRPr="00393250">
              <w:rPr>
                <w:rFonts w:eastAsia="Calibri"/>
                <w:noProof/>
                <w:sz w:val="22"/>
                <w:szCs w:val="22"/>
                <w:lang w:eastAsia="en-US"/>
              </w:rPr>
              <w:t>204-082-0</w:t>
            </w:r>
          </w:p>
        </w:tc>
        <w:tc>
          <w:tcPr>
            <w:tcW w:w="1279" w:type="dxa"/>
            <w:tcMar>
              <w:left w:w="28" w:type="dxa"/>
              <w:right w:w="28" w:type="dxa"/>
            </w:tcMar>
          </w:tcPr>
          <w:p w14:paraId="0D22B4EC" w14:textId="77777777" w:rsidR="00B551B3" w:rsidRPr="00393250" w:rsidRDefault="00B551B3" w:rsidP="00B551B3">
            <w:pPr>
              <w:widowControl/>
              <w:spacing w:before="40" w:after="40"/>
              <w:rPr>
                <w:rFonts w:eastAsia="Calibri"/>
                <w:noProof/>
                <w:sz w:val="22"/>
                <w:szCs w:val="22"/>
                <w:vertAlign w:val="superscript"/>
                <w:lang w:eastAsia="en-US"/>
              </w:rPr>
            </w:pPr>
            <w:r w:rsidRPr="00393250">
              <w:rPr>
                <w:rFonts w:eastAsia="Calibri"/>
                <w:noProof/>
                <w:sz w:val="22"/>
                <w:szCs w:val="22"/>
                <w:lang w:eastAsia="en-US"/>
              </w:rPr>
              <w:t>[4,45 × 10</w:t>
            </w:r>
            <w:r w:rsidRPr="00393250">
              <w:rPr>
                <w:rFonts w:eastAsia="Calibri"/>
                <w:noProof/>
                <w:sz w:val="22"/>
                <w:szCs w:val="22"/>
                <w:vertAlign w:val="superscript"/>
                <w:lang w:eastAsia="en-US"/>
              </w:rPr>
              <w:t>-3</w:t>
            </w:r>
            <w:r w:rsidRPr="00393250">
              <w:rPr>
                <w:rFonts w:eastAsia="Calibri"/>
                <w:noProof/>
                <w:sz w:val="22"/>
                <w:szCs w:val="22"/>
                <w:lang w:eastAsia="en-US"/>
              </w:rPr>
              <w:t>]</w:t>
            </w:r>
          </w:p>
        </w:tc>
        <w:tc>
          <w:tcPr>
            <w:tcW w:w="1279" w:type="dxa"/>
            <w:tcMar>
              <w:left w:w="28" w:type="dxa"/>
              <w:right w:w="28" w:type="dxa"/>
            </w:tcMar>
          </w:tcPr>
          <w:p w14:paraId="07836A3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[0,185 × 10</w:t>
            </w:r>
            <w:r w:rsidRPr="00393250">
              <w:rPr>
                <w:rFonts w:eastAsia="Calibri"/>
                <w:noProof/>
                <w:sz w:val="22"/>
                <w:szCs w:val="22"/>
                <w:vertAlign w:val="superscript"/>
                <w:lang w:eastAsia="en-US"/>
              </w:rPr>
              <w:t>-3</w:t>
            </w:r>
            <w:r w:rsidRPr="00393250">
              <w:rPr>
                <w:rFonts w:eastAsia="Calibri"/>
                <w:noProof/>
                <w:sz w:val="22"/>
                <w:szCs w:val="22"/>
                <w:lang w:eastAsia="en-US"/>
              </w:rPr>
              <w:t>]</w:t>
            </w:r>
          </w:p>
        </w:tc>
        <w:tc>
          <w:tcPr>
            <w:tcW w:w="1278" w:type="dxa"/>
            <w:tcMar>
              <w:left w:w="28" w:type="dxa"/>
              <w:right w:w="28" w:type="dxa"/>
            </w:tcMar>
          </w:tcPr>
          <w:p w14:paraId="578DDD4C" w14:textId="77777777" w:rsidR="00B551B3" w:rsidRPr="00393250" w:rsidRDefault="00B551B3" w:rsidP="00B551B3">
            <w:pPr>
              <w:widowControl/>
              <w:spacing w:before="40" w:after="40"/>
              <w:rPr>
                <w:rFonts w:eastAsia="Calibri"/>
                <w:noProof/>
                <w:sz w:val="22"/>
                <w:szCs w:val="22"/>
                <w:vertAlign w:val="superscript"/>
                <w:lang w:eastAsia="en-US"/>
              </w:rPr>
            </w:pPr>
            <w:r w:rsidRPr="00393250">
              <w:rPr>
                <w:rFonts w:eastAsia="Calibri"/>
                <w:noProof/>
                <w:szCs w:val="22"/>
                <w:lang w:eastAsia="en-US"/>
              </w:rPr>
              <w:t>anvendes ikke</w:t>
            </w:r>
            <w:r w:rsidRPr="00393250">
              <w:rPr>
                <w:rFonts w:eastAsia="Calibri"/>
                <w:noProof/>
                <w:sz w:val="22"/>
                <w:szCs w:val="22"/>
                <w:lang w:eastAsia="en-US"/>
              </w:rPr>
              <w:t xml:space="preserve"> </w:t>
            </w:r>
            <w:bookmarkStart w:id="38" w:name="_DV_M308"/>
            <w:bookmarkStart w:id="39" w:name="_Ref101447957"/>
            <w:bookmarkEnd w:id="38"/>
            <w:r w:rsidRPr="00393250">
              <w:rPr>
                <w:rFonts w:eastAsia="Calibri"/>
                <w:noProof/>
                <w:sz w:val="22"/>
                <w:szCs w:val="22"/>
                <w:lang w:eastAsia="en-US"/>
              </w:rPr>
              <w:t>(</w:t>
            </w:r>
            <w:r w:rsidRPr="00393250">
              <w:rPr>
                <w:rFonts w:eastAsia="Calibri"/>
                <w:noProof/>
                <w:sz w:val="22"/>
                <w:szCs w:val="22"/>
                <w:vertAlign w:val="superscript"/>
                <w:lang w:eastAsia="en-US"/>
              </w:rPr>
              <w:t>20</w:t>
            </w:r>
            <w:r w:rsidRPr="00393250">
              <w:rPr>
                <w:rFonts w:eastAsia="Calibri"/>
                <w:noProof/>
                <w:sz w:val="22"/>
                <w:szCs w:val="22"/>
                <w:lang w:eastAsia="en-US"/>
              </w:rPr>
              <w:t>)</w:t>
            </w:r>
            <w:bookmarkEnd w:id="39"/>
          </w:p>
        </w:tc>
        <w:tc>
          <w:tcPr>
            <w:tcW w:w="1277" w:type="dxa"/>
            <w:tcMar>
              <w:left w:w="28" w:type="dxa"/>
              <w:right w:w="28" w:type="dxa"/>
            </w:tcMar>
          </w:tcPr>
          <w:p w14:paraId="786FA457" w14:textId="77777777" w:rsidR="00B551B3" w:rsidRPr="00393250" w:rsidRDefault="00B551B3" w:rsidP="00B551B3">
            <w:pPr>
              <w:widowControl/>
              <w:spacing w:before="40" w:after="40"/>
              <w:rPr>
                <w:rFonts w:eastAsia="Calibri"/>
                <w:noProof/>
                <w:sz w:val="22"/>
                <w:szCs w:val="22"/>
                <w:vertAlign w:val="superscript"/>
                <w:lang w:eastAsia="en-US"/>
              </w:rPr>
            </w:pPr>
            <w:r w:rsidRPr="00393250">
              <w:rPr>
                <w:rFonts w:eastAsia="Calibri"/>
                <w:noProof/>
                <w:sz w:val="22"/>
                <w:szCs w:val="22"/>
                <w:lang w:eastAsia="en-US"/>
              </w:rPr>
              <w:t>anvendes ikke (</w:t>
            </w:r>
            <w:r w:rsidRPr="00393250">
              <w:rPr>
                <w:rFonts w:eastAsia="Calibri"/>
                <w:noProof/>
                <w:sz w:val="22"/>
                <w:szCs w:val="22"/>
                <w:vertAlign w:val="superscript"/>
                <w:lang w:eastAsia="en-US"/>
              </w:rPr>
              <w:t>20</w:t>
            </w:r>
            <w:r w:rsidRPr="00393250">
              <w:rPr>
                <w:rFonts w:eastAsia="Calibri"/>
                <w:noProof/>
                <w:sz w:val="22"/>
                <w:szCs w:val="22"/>
                <w:lang w:eastAsia="en-US"/>
              </w:rPr>
              <w:t>)</w:t>
            </w:r>
            <w:bookmarkStart w:id="40" w:name="_DV_M309"/>
            <w:bookmarkEnd w:id="40"/>
          </w:p>
        </w:tc>
        <w:tc>
          <w:tcPr>
            <w:tcW w:w="1136" w:type="dxa"/>
            <w:tcMar>
              <w:left w:w="28" w:type="dxa"/>
              <w:right w:w="28" w:type="dxa"/>
            </w:tcMar>
          </w:tcPr>
          <w:p w14:paraId="6E00A7D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[5,45]</w:t>
            </w:r>
          </w:p>
        </w:tc>
        <w:tc>
          <w:tcPr>
            <w:tcW w:w="1262" w:type="dxa"/>
            <w:tcMar>
              <w:left w:w="28" w:type="dxa"/>
              <w:right w:w="28" w:type="dxa"/>
            </w:tcMar>
          </w:tcPr>
          <w:p w14:paraId="2A340E9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1153" w:type="dxa"/>
            <w:tcMar>
              <w:left w:w="28" w:type="dxa"/>
              <w:right w:w="28" w:type="dxa"/>
            </w:tcMar>
          </w:tcPr>
          <w:p w14:paraId="2A2194B3"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65524D9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02624545" w14:textId="77777777" w:rsidTr="00B551B3">
        <w:trPr>
          <w:gridBefore w:val="1"/>
          <w:wBefore w:w="12" w:type="dxa"/>
          <w:tblHeader/>
          <w:jc w:val="center"/>
        </w:trPr>
        <w:tc>
          <w:tcPr>
            <w:tcW w:w="834" w:type="dxa"/>
            <w:tcMar>
              <w:left w:w="28" w:type="dxa"/>
              <w:right w:w="28" w:type="dxa"/>
            </w:tcMar>
          </w:tcPr>
          <w:p w14:paraId="68F83EAD"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(35)</w:t>
            </w:r>
          </w:p>
        </w:tc>
        <w:tc>
          <w:tcPr>
            <w:tcW w:w="2103" w:type="dxa"/>
            <w:gridSpan w:val="2"/>
            <w:tcMar>
              <w:left w:w="28" w:type="dxa"/>
              <w:right w:w="28" w:type="dxa"/>
            </w:tcMar>
          </w:tcPr>
          <w:p w14:paraId="16895070" w14:textId="77777777" w:rsidR="00B551B3" w:rsidRPr="00393250" w:rsidRDefault="00B551B3" w:rsidP="00B551B3">
            <w:pPr>
              <w:pageBreakBefore/>
              <w:widowControl/>
              <w:spacing w:before="40" w:after="40"/>
              <w:rPr>
                <w:rFonts w:eastAsia="Calibri"/>
                <w:noProof/>
                <w:sz w:val="22"/>
                <w:szCs w:val="22"/>
                <w:lang w:eastAsia="en-US"/>
              </w:rPr>
            </w:pPr>
            <w:r w:rsidRPr="00393250">
              <w:rPr>
                <w:rFonts w:eastAsia="Calibri"/>
                <w:noProof/>
                <w:sz w:val="22"/>
                <w:szCs w:val="22"/>
                <w:lang w:eastAsia="en-US"/>
              </w:rPr>
              <w:t>Perfluoroctansulfonsyre og derivater heraf (PFOS)</w:t>
            </w:r>
          </w:p>
        </w:tc>
        <w:tc>
          <w:tcPr>
            <w:tcW w:w="1329" w:type="dxa"/>
            <w:tcMar>
              <w:left w:w="28" w:type="dxa"/>
              <w:right w:w="28" w:type="dxa"/>
            </w:tcMar>
          </w:tcPr>
          <w:p w14:paraId="2CDF872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Industristoffer</w:t>
            </w:r>
          </w:p>
        </w:tc>
        <w:tc>
          <w:tcPr>
            <w:tcW w:w="992" w:type="dxa"/>
            <w:tcMar>
              <w:left w:w="28" w:type="dxa"/>
              <w:right w:w="28" w:type="dxa"/>
            </w:tcMar>
          </w:tcPr>
          <w:p w14:paraId="1650619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1763-23-1</w:t>
            </w:r>
          </w:p>
        </w:tc>
        <w:tc>
          <w:tcPr>
            <w:tcW w:w="1134" w:type="dxa"/>
          </w:tcPr>
          <w:p w14:paraId="24BCE52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217-179-8</w:t>
            </w:r>
          </w:p>
        </w:tc>
        <w:tc>
          <w:tcPr>
            <w:tcW w:w="9634" w:type="dxa"/>
            <w:gridSpan w:val="8"/>
            <w:tcMar>
              <w:left w:w="28" w:type="dxa"/>
              <w:right w:w="28" w:type="dxa"/>
            </w:tcMar>
          </w:tcPr>
          <w:p w14:paraId="7DB0CAD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Omfattet af stofgruppe 65 (Per- og polyfluoralkylstoffer (PFAS) — sum af 24)</w:t>
            </w:r>
          </w:p>
        </w:tc>
      </w:tr>
      <w:tr w:rsidR="00B551B3" w:rsidRPr="00393250" w14:paraId="446F4552" w14:textId="77777777" w:rsidTr="00B551B3">
        <w:trPr>
          <w:gridBefore w:val="1"/>
          <w:wBefore w:w="12" w:type="dxa"/>
          <w:tblHeader/>
          <w:jc w:val="center"/>
        </w:trPr>
        <w:tc>
          <w:tcPr>
            <w:tcW w:w="834" w:type="dxa"/>
            <w:tcMar>
              <w:left w:w="28" w:type="dxa"/>
              <w:right w:w="28" w:type="dxa"/>
            </w:tcMar>
          </w:tcPr>
          <w:p w14:paraId="0F080D29"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(36)</w:t>
            </w:r>
          </w:p>
        </w:tc>
        <w:tc>
          <w:tcPr>
            <w:tcW w:w="2103" w:type="dxa"/>
            <w:gridSpan w:val="2"/>
            <w:tcMar>
              <w:left w:w="28" w:type="dxa"/>
              <w:right w:w="28" w:type="dxa"/>
            </w:tcMar>
          </w:tcPr>
          <w:p w14:paraId="42ED8E00" w14:textId="77777777" w:rsidR="00B551B3" w:rsidRPr="00393250" w:rsidRDefault="00B551B3" w:rsidP="00B551B3">
            <w:pPr>
              <w:pageBreakBefore/>
              <w:widowControl/>
              <w:spacing w:before="40" w:after="40"/>
              <w:rPr>
                <w:rFonts w:eastAsia="Calibri"/>
                <w:noProof/>
                <w:sz w:val="22"/>
                <w:szCs w:val="22"/>
                <w:lang w:eastAsia="en-US"/>
              </w:rPr>
            </w:pPr>
            <w:r w:rsidRPr="00393250">
              <w:rPr>
                <w:rFonts w:eastAsia="Calibri"/>
                <w:noProof/>
                <w:sz w:val="22"/>
                <w:szCs w:val="22"/>
                <w:lang w:eastAsia="en-US"/>
              </w:rPr>
              <w:t>Quinoxyfen</w:t>
            </w:r>
          </w:p>
        </w:tc>
        <w:tc>
          <w:tcPr>
            <w:tcW w:w="1329" w:type="dxa"/>
            <w:tcMar>
              <w:left w:w="28" w:type="dxa"/>
              <w:right w:w="28" w:type="dxa"/>
            </w:tcMar>
          </w:tcPr>
          <w:p w14:paraId="2E6D780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Plantebeskyttelsesmidler</w:t>
            </w:r>
          </w:p>
        </w:tc>
        <w:tc>
          <w:tcPr>
            <w:tcW w:w="992" w:type="dxa"/>
            <w:tcMar>
              <w:left w:w="28" w:type="dxa"/>
              <w:right w:w="28" w:type="dxa"/>
            </w:tcMar>
          </w:tcPr>
          <w:p w14:paraId="38A1AEA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124495-18-7</w:t>
            </w:r>
          </w:p>
        </w:tc>
        <w:tc>
          <w:tcPr>
            <w:tcW w:w="1134" w:type="dxa"/>
          </w:tcPr>
          <w:p w14:paraId="2DB72DC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279" w:type="dxa"/>
            <w:tcMar>
              <w:left w:w="28" w:type="dxa"/>
              <w:right w:w="28" w:type="dxa"/>
            </w:tcMar>
          </w:tcPr>
          <w:p w14:paraId="676388E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0,15</w:t>
            </w:r>
          </w:p>
        </w:tc>
        <w:tc>
          <w:tcPr>
            <w:tcW w:w="1279" w:type="dxa"/>
            <w:tcMar>
              <w:left w:w="28" w:type="dxa"/>
              <w:right w:w="28" w:type="dxa"/>
            </w:tcMar>
          </w:tcPr>
          <w:p w14:paraId="7087D17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0,015</w:t>
            </w:r>
          </w:p>
        </w:tc>
        <w:tc>
          <w:tcPr>
            <w:tcW w:w="1278" w:type="dxa"/>
            <w:tcMar>
              <w:left w:w="28" w:type="dxa"/>
              <w:right w:w="28" w:type="dxa"/>
            </w:tcMar>
          </w:tcPr>
          <w:p w14:paraId="257ADFD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2,7</w:t>
            </w:r>
          </w:p>
        </w:tc>
        <w:tc>
          <w:tcPr>
            <w:tcW w:w="1277" w:type="dxa"/>
            <w:tcMar>
              <w:left w:w="28" w:type="dxa"/>
              <w:right w:w="28" w:type="dxa"/>
            </w:tcMar>
          </w:tcPr>
          <w:p w14:paraId="75EA752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0,54</w:t>
            </w:r>
          </w:p>
        </w:tc>
        <w:tc>
          <w:tcPr>
            <w:tcW w:w="1136" w:type="dxa"/>
            <w:tcMar>
              <w:left w:w="28" w:type="dxa"/>
              <w:right w:w="28" w:type="dxa"/>
            </w:tcMar>
          </w:tcPr>
          <w:p w14:paraId="3E9D3388"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2FCEC4A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1153" w:type="dxa"/>
            <w:tcMar>
              <w:left w:w="28" w:type="dxa"/>
              <w:right w:w="28" w:type="dxa"/>
            </w:tcMar>
          </w:tcPr>
          <w:p w14:paraId="2A5AB86C"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7561CFD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1A79A4DA" w14:textId="77777777" w:rsidTr="00B551B3">
        <w:trPr>
          <w:tblHeader/>
          <w:jc w:val="center"/>
        </w:trPr>
        <w:tc>
          <w:tcPr>
            <w:tcW w:w="846" w:type="dxa"/>
            <w:gridSpan w:val="2"/>
            <w:tcMar>
              <w:left w:w="28" w:type="dxa"/>
              <w:right w:w="28" w:type="dxa"/>
            </w:tcMar>
          </w:tcPr>
          <w:p w14:paraId="7BC328F0"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(37)</w:t>
            </w:r>
          </w:p>
        </w:tc>
        <w:tc>
          <w:tcPr>
            <w:tcW w:w="2010" w:type="dxa"/>
            <w:tcMar>
              <w:left w:w="28" w:type="dxa"/>
              <w:right w:w="28" w:type="dxa"/>
            </w:tcMar>
          </w:tcPr>
          <w:p w14:paraId="09066A57" w14:textId="77777777" w:rsidR="00B551B3" w:rsidRPr="00393250" w:rsidRDefault="00B551B3" w:rsidP="00B551B3">
            <w:pPr>
              <w:widowControl/>
              <w:spacing w:before="40" w:after="40"/>
              <w:rPr>
                <w:rFonts w:eastAsia="Calibri"/>
                <w:noProof/>
                <w:color w:val="F79646"/>
                <w:sz w:val="22"/>
                <w:szCs w:val="22"/>
                <w:lang w:eastAsia="en-US"/>
              </w:rPr>
            </w:pPr>
            <w:r w:rsidRPr="00393250">
              <w:rPr>
                <w:rFonts w:eastAsia="Calibri"/>
                <w:noProof/>
                <w:sz w:val="22"/>
                <w:szCs w:val="22"/>
                <w:lang w:eastAsia="en-US"/>
              </w:rPr>
              <w:t>Dioxiner og dioxinlignende forbindelser (</w:t>
            </w:r>
            <w:r w:rsidRPr="00393250">
              <w:rPr>
                <w:rFonts w:eastAsia="Calibri"/>
                <w:noProof/>
                <w:sz w:val="22"/>
                <w:szCs w:val="22"/>
                <w:vertAlign w:val="superscript"/>
                <w:lang w:eastAsia="en-US"/>
              </w:rPr>
              <w:t>21</w:t>
            </w:r>
            <w:r w:rsidRPr="00393250">
              <w:rPr>
                <w:rFonts w:eastAsia="Calibri"/>
                <w:noProof/>
                <w:sz w:val="22"/>
                <w:szCs w:val="22"/>
                <w:lang w:eastAsia="en-US"/>
              </w:rPr>
              <w:t>)</w:t>
            </w:r>
          </w:p>
        </w:tc>
        <w:tc>
          <w:tcPr>
            <w:tcW w:w="1422" w:type="dxa"/>
            <w:gridSpan w:val="2"/>
            <w:tcMar>
              <w:left w:w="28" w:type="dxa"/>
              <w:right w:w="28" w:type="dxa"/>
            </w:tcMar>
          </w:tcPr>
          <w:p w14:paraId="562A357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Industrielle biprodukter</w:t>
            </w:r>
          </w:p>
        </w:tc>
        <w:tc>
          <w:tcPr>
            <w:tcW w:w="992" w:type="dxa"/>
            <w:tcMar>
              <w:left w:w="28" w:type="dxa"/>
              <w:right w:w="28" w:type="dxa"/>
            </w:tcMar>
          </w:tcPr>
          <w:p w14:paraId="2C52EAD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134" w:type="dxa"/>
          </w:tcPr>
          <w:p w14:paraId="0408A35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279" w:type="dxa"/>
            <w:tcMar>
              <w:left w:w="28" w:type="dxa"/>
              <w:right w:w="28" w:type="dxa"/>
            </w:tcMar>
          </w:tcPr>
          <w:p w14:paraId="5A6FC50E" w14:textId="77777777" w:rsidR="00B551B3" w:rsidRPr="00393250" w:rsidRDefault="00B551B3" w:rsidP="00B551B3">
            <w:pPr>
              <w:widowControl/>
              <w:spacing w:before="40" w:after="40"/>
              <w:rPr>
                <w:rFonts w:eastAsia="Calibri"/>
                <w:noProof/>
                <w:sz w:val="22"/>
                <w:szCs w:val="22"/>
                <w:lang w:eastAsia="en-US"/>
              </w:rPr>
            </w:pPr>
          </w:p>
        </w:tc>
        <w:tc>
          <w:tcPr>
            <w:tcW w:w="1279" w:type="dxa"/>
            <w:tcMar>
              <w:left w:w="28" w:type="dxa"/>
              <w:right w:w="28" w:type="dxa"/>
            </w:tcMar>
          </w:tcPr>
          <w:p w14:paraId="0CE7929D" w14:textId="77777777" w:rsidR="00B551B3" w:rsidRPr="00393250" w:rsidRDefault="00B551B3" w:rsidP="00B551B3">
            <w:pPr>
              <w:widowControl/>
              <w:spacing w:before="40" w:after="40"/>
              <w:rPr>
                <w:rFonts w:eastAsia="Calibri"/>
                <w:noProof/>
                <w:sz w:val="22"/>
                <w:szCs w:val="22"/>
                <w:lang w:eastAsia="en-US"/>
              </w:rPr>
            </w:pPr>
          </w:p>
        </w:tc>
        <w:tc>
          <w:tcPr>
            <w:tcW w:w="1278" w:type="dxa"/>
            <w:tcMar>
              <w:left w:w="28" w:type="dxa"/>
              <w:right w:w="28" w:type="dxa"/>
            </w:tcMar>
          </w:tcPr>
          <w:p w14:paraId="2AF0536C" w14:textId="77777777" w:rsidR="00B551B3" w:rsidRPr="00393250" w:rsidRDefault="00B551B3" w:rsidP="00B551B3">
            <w:pPr>
              <w:widowControl/>
              <w:spacing w:before="40" w:after="40"/>
              <w:rPr>
                <w:rFonts w:eastAsia="Calibri"/>
                <w:b/>
                <w:i/>
                <w:noProof/>
                <w:sz w:val="22"/>
                <w:szCs w:val="22"/>
                <w:lang w:eastAsia="en-US"/>
              </w:rPr>
            </w:pPr>
            <w:bookmarkStart w:id="41" w:name="_DV_C352"/>
            <w:r w:rsidRPr="00393250">
              <w:rPr>
                <w:rFonts w:eastAsia="Calibri"/>
                <w:noProof/>
                <w:sz w:val="22"/>
                <w:szCs w:val="22"/>
                <w:lang w:eastAsia="en-US"/>
              </w:rPr>
              <w:t>anvendes ikke</w:t>
            </w:r>
            <w:bookmarkEnd w:id="41"/>
          </w:p>
        </w:tc>
        <w:tc>
          <w:tcPr>
            <w:tcW w:w="1277" w:type="dxa"/>
            <w:tcMar>
              <w:left w:w="28" w:type="dxa"/>
              <w:right w:w="28" w:type="dxa"/>
            </w:tcMar>
          </w:tcPr>
          <w:p w14:paraId="60BD2D86" w14:textId="77777777" w:rsidR="00B551B3" w:rsidRPr="00393250" w:rsidRDefault="00B551B3" w:rsidP="00B551B3">
            <w:pPr>
              <w:widowControl/>
              <w:spacing w:before="40" w:after="40"/>
              <w:rPr>
                <w:rFonts w:eastAsia="Calibri"/>
                <w:b/>
                <w:i/>
                <w:noProof/>
                <w:sz w:val="22"/>
                <w:szCs w:val="22"/>
                <w:lang w:eastAsia="en-US"/>
              </w:rPr>
            </w:pPr>
            <w:bookmarkStart w:id="42" w:name="_DV_C353"/>
            <w:r w:rsidRPr="00393250">
              <w:rPr>
                <w:rFonts w:eastAsia="Calibri"/>
                <w:noProof/>
                <w:sz w:val="22"/>
                <w:szCs w:val="22"/>
                <w:lang w:eastAsia="en-US"/>
              </w:rPr>
              <w:t>anvendes ikke</w:t>
            </w:r>
            <w:bookmarkEnd w:id="42"/>
          </w:p>
        </w:tc>
        <w:tc>
          <w:tcPr>
            <w:tcW w:w="1136" w:type="dxa"/>
            <w:tcMar>
              <w:left w:w="28" w:type="dxa"/>
              <w:right w:w="28" w:type="dxa"/>
            </w:tcMar>
          </w:tcPr>
          <w:p w14:paraId="54885EF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Sum af PCDD+ PCDF+ PCB-DL</w:t>
            </w:r>
          </w:p>
          <w:p w14:paraId="0EB04283" w14:textId="77777777" w:rsidR="00B551B3" w:rsidRPr="00393250" w:rsidRDefault="00B551B3" w:rsidP="00B551B3">
            <w:pPr>
              <w:widowControl/>
              <w:spacing w:before="40" w:after="40"/>
              <w:rPr>
                <w:rFonts w:eastAsia="Calibri"/>
                <w:noProof/>
                <w:sz w:val="22"/>
                <w:szCs w:val="22"/>
                <w:vertAlign w:val="superscript"/>
                <w:lang w:eastAsia="en-US"/>
              </w:rPr>
            </w:pPr>
            <w:r w:rsidRPr="00393250">
              <w:rPr>
                <w:rFonts w:eastAsia="Calibri"/>
                <w:noProof/>
                <w:sz w:val="22"/>
                <w:szCs w:val="22"/>
                <w:lang w:eastAsia="en-US"/>
              </w:rPr>
              <w:t>ækvivalenter [3,5 10</w:t>
            </w:r>
            <w:r w:rsidRPr="00393250">
              <w:rPr>
                <w:rFonts w:eastAsia="Calibri"/>
                <w:noProof/>
                <w:sz w:val="22"/>
                <w:szCs w:val="22"/>
                <w:vertAlign w:val="superscript"/>
                <w:lang w:eastAsia="en-US"/>
              </w:rPr>
              <w:t>-5</w:t>
            </w:r>
            <w:r w:rsidRPr="00393250">
              <w:rPr>
                <w:rFonts w:eastAsia="Calibri"/>
                <w:noProof/>
                <w:sz w:val="22"/>
                <w:szCs w:val="22"/>
                <w:lang w:eastAsia="en-US"/>
              </w:rPr>
              <w:t>] (</w:t>
            </w:r>
            <w:r w:rsidRPr="00393250">
              <w:rPr>
                <w:rFonts w:eastAsia="Calibri"/>
                <w:noProof/>
                <w:sz w:val="22"/>
                <w:szCs w:val="22"/>
                <w:vertAlign w:val="superscript"/>
                <w:lang w:eastAsia="en-US"/>
              </w:rPr>
              <w:t>22</w:t>
            </w:r>
            <w:r w:rsidRPr="00393250">
              <w:rPr>
                <w:rFonts w:eastAsia="Calibri"/>
                <w:noProof/>
                <w:sz w:val="22"/>
                <w:szCs w:val="22"/>
                <w:lang w:eastAsia="en-US"/>
              </w:rPr>
              <w:t>)</w:t>
            </w:r>
          </w:p>
        </w:tc>
        <w:tc>
          <w:tcPr>
            <w:tcW w:w="1262" w:type="dxa"/>
            <w:tcMar>
              <w:left w:w="28" w:type="dxa"/>
              <w:right w:w="28" w:type="dxa"/>
            </w:tcMar>
          </w:tcPr>
          <w:p w14:paraId="1AF45D1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1153" w:type="dxa"/>
            <w:tcMar>
              <w:left w:w="28" w:type="dxa"/>
              <w:right w:w="28" w:type="dxa"/>
            </w:tcMar>
          </w:tcPr>
          <w:p w14:paraId="2BA398A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970" w:type="dxa"/>
            <w:tcMar>
              <w:left w:w="28" w:type="dxa"/>
              <w:right w:w="28" w:type="dxa"/>
            </w:tcMar>
          </w:tcPr>
          <w:p w14:paraId="3E2487C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102CBF69" w14:textId="77777777" w:rsidTr="00B551B3">
        <w:trPr>
          <w:gridBefore w:val="1"/>
          <w:wBefore w:w="12" w:type="dxa"/>
          <w:tblHeader/>
          <w:jc w:val="center"/>
        </w:trPr>
        <w:tc>
          <w:tcPr>
            <w:tcW w:w="834" w:type="dxa"/>
            <w:tcMar>
              <w:left w:w="28" w:type="dxa"/>
              <w:right w:w="28" w:type="dxa"/>
            </w:tcMar>
          </w:tcPr>
          <w:p w14:paraId="47B60494"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(38)</w:t>
            </w:r>
          </w:p>
        </w:tc>
        <w:tc>
          <w:tcPr>
            <w:tcW w:w="2103" w:type="dxa"/>
            <w:gridSpan w:val="2"/>
            <w:tcMar>
              <w:left w:w="28" w:type="dxa"/>
              <w:right w:w="28" w:type="dxa"/>
            </w:tcMar>
          </w:tcPr>
          <w:p w14:paraId="2CDA834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Aclonifen</w:t>
            </w:r>
          </w:p>
        </w:tc>
        <w:tc>
          <w:tcPr>
            <w:tcW w:w="1329" w:type="dxa"/>
            <w:tcMar>
              <w:left w:w="28" w:type="dxa"/>
              <w:right w:w="28" w:type="dxa"/>
            </w:tcMar>
          </w:tcPr>
          <w:p w14:paraId="55E9EDC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Herbicider</w:t>
            </w:r>
          </w:p>
        </w:tc>
        <w:tc>
          <w:tcPr>
            <w:tcW w:w="992" w:type="dxa"/>
            <w:tcMar>
              <w:left w:w="28" w:type="dxa"/>
              <w:right w:w="28" w:type="dxa"/>
            </w:tcMar>
          </w:tcPr>
          <w:p w14:paraId="0A54396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74070-46-5</w:t>
            </w:r>
          </w:p>
        </w:tc>
        <w:tc>
          <w:tcPr>
            <w:tcW w:w="1134" w:type="dxa"/>
          </w:tcPr>
          <w:p w14:paraId="5C2BB24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277-704-1</w:t>
            </w:r>
          </w:p>
        </w:tc>
        <w:tc>
          <w:tcPr>
            <w:tcW w:w="1279" w:type="dxa"/>
            <w:tcMar>
              <w:left w:w="28" w:type="dxa"/>
              <w:right w:w="28" w:type="dxa"/>
            </w:tcMar>
          </w:tcPr>
          <w:p w14:paraId="136464E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0,12</w:t>
            </w:r>
          </w:p>
        </w:tc>
        <w:tc>
          <w:tcPr>
            <w:tcW w:w="1279" w:type="dxa"/>
            <w:tcMar>
              <w:left w:w="28" w:type="dxa"/>
              <w:right w:w="28" w:type="dxa"/>
            </w:tcMar>
          </w:tcPr>
          <w:p w14:paraId="0D7EDFF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0,012</w:t>
            </w:r>
          </w:p>
        </w:tc>
        <w:tc>
          <w:tcPr>
            <w:tcW w:w="1278" w:type="dxa"/>
            <w:tcMar>
              <w:left w:w="28" w:type="dxa"/>
              <w:right w:w="28" w:type="dxa"/>
            </w:tcMar>
          </w:tcPr>
          <w:p w14:paraId="57629A2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0,12</w:t>
            </w:r>
          </w:p>
        </w:tc>
        <w:tc>
          <w:tcPr>
            <w:tcW w:w="1277" w:type="dxa"/>
            <w:tcMar>
              <w:left w:w="28" w:type="dxa"/>
              <w:right w:w="28" w:type="dxa"/>
            </w:tcMar>
          </w:tcPr>
          <w:p w14:paraId="7CC00C4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0,012</w:t>
            </w:r>
          </w:p>
        </w:tc>
        <w:tc>
          <w:tcPr>
            <w:tcW w:w="1136" w:type="dxa"/>
            <w:tcMar>
              <w:left w:w="28" w:type="dxa"/>
              <w:right w:w="28" w:type="dxa"/>
            </w:tcMar>
          </w:tcPr>
          <w:p w14:paraId="6EA3D848"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1EAD2FEE" w14:textId="77777777" w:rsidR="00B551B3" w:rsidRPr="00393250" w:rsidRDefault="00B551B3" w:rsidP="00B551B3">
            <w:pPr>
              <w:widowControl/>
              <w:spacing w:before="40" w:after="40"/>
              <w:rPr>
                <w:rFonts w:eastAsia="Calibri"/>
                <w:noProof/>
                <w:sz w:val="22"/>
                <w:szCs w:val="22"/>
                <w:lang w:eastAsia="en-US"/>
              </w:rPr>
            </w:pPr>
          </w:p>
        </w:tc>
        <w:tc>
          <w:tcPr>
            <w:tcW w:w="1153" w:type="dxa"/>
            <w:tcMar>
              <w:left w:w="28" w:type="dxa"/>
              <w:right w:w="28" w:type="dxa"/>
            </w:tcMar>
          </w:tcPr>
          <w:p w14:paraId="751474FB"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2CD8B1E1"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68E5654A" w14:textId="77777777" w:rsidTr="00B551B3">
        <w:trPr>
          <w:gridBefore w:val="1"/>
          <w:wBefore w:w="12" w:type="dxa"/>
          <w:tblHeader/>
          <w:jc w:val="center"/>
        </w:trPr>
        <w:tc>
          <w:tcPr>
            <w:tcW w:w="834" w:type="dxa"/>
            <w:tcMar>
              <w:left w:w="28" w:type="dxa"/>
              <w:right w:w="28" w:type="dxa"/>
            </w:tcMar>
          </w:tcPr>
          <w:p w14:paraId="1FB7DB3D"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(39)</w:t>
            </w:r>
          </w:p>
        </w:tc>
        <w:tc>
          <w:tcPr>
            <w:tcW w:w="2103" w:type="dxa"/>
            <w:gridSpan w:val="2"/>
            <w:tcMar>
              <w:left w:w="28" w:type="dxa"/>
              <w:right w:w="28" w:type="dxa"/>
            </w:tcMar>
          </w:tcPr>
          <w:p w14:paraId="6B62808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Bifenox</w:t>
            </w:r>
          </w:p>
        </w:tc>
        <w:tc>
          <w:tcPr>
            <w:tcW w:w="1329" w:type="dxa"/>
            <w:tcMar>
              <w:left w:w="28" w:type="dxa"/>
              <w:right w:w="28" w:type="dxa"/>
            </w:tcMar>
          </w:tcPr>
          <w:p w14:paraId="3CEAE02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Herbicider</w:t>
            </w:r>
          </w:p>
        </w:tc>
        <w:tc>
          <w:tcPr>
            <w:tcW w:w="992" w:type="dxa"/>
            <w:tcMar>
              <w:left w:w="28" w:type="dxa"/>
              <w:right w:w="28" w:type="dxa"/>
            </w:tcMar>
          </w:tcPr>
          <w:p w14:paraId="19A5980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42576-02-3</w:t>
            </w:r>
          </w:p>
        </w:tc>
        <w:tc>
          <w:tcPr>
            <w:tcW w:w="1134" w:type="dxa"/>
          </w:tcPr>
          <w:p w14:paraId="00C5FAF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255-894-7</w:t>
            </w:r>
          </w:p>
        </w:tc>
        <w:tc>
          <w:tcPr>
            <w:tcW w:w="1279" w:type="dxa"/>
            <w:tcMar>
              <w:left w:w="28" w:type="dxa"/>
              <w:right w:w="28" w:type="dxa"/>
            </w:tcMar>
          </w:tcPr>
          <w:p w14:paraId="4638C47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0,012</w:t>
            </w:r>
          </w:p>
        </w:tc>
        <w:tc>
          <w:tcPr>
            <w:tcW w:w="1279" w:type="dxa"/>
            <w:tcMar>
              <w:left w:w="28" w:type="dxa"/>
              <w:right w:w="28" w:type="dxa"/>
            </w:tcMar>
          </w:tcPr>
          <w:p w14:paraId="0AD51B8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0,0012</w:t>
            </w:r>
          </w:p>
        </w:tc>
        <w:tc>
          <w:tcPr>
            <w:tcW w:w="1278" w:type="dxa"/>
            <w:tcMar>
              <w:left w:w="28" w:type="dxa"/>
              <w:right w:w="28" w:type="dxa"/>
            </w:tcMar>
          </w:tcPr>
          <w:p w14:paraId="2C8E3F1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0,04</w:t>
            </w:r>
          </w:p>
        </w:tc>
        <w:tc>
          <w:tcPr>
            <w:tcW w:w="1277" w:type="dxa"/>
            <w:tcMar>
              <w:left w:w="28" w:type="dxa"/>
              <w:right w:w="28" w:type="dxa"/>
            </w:tcMar>
          </w:tcPr>
          <w:p w14:paraId="6816696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0,004</w:t>
            </w:r>
          </w:p>
        </w:tc>
        <w:tc>
          <w:tcPr>
            <w:tcW w:w="1136" w:type="dxa"/>
            <w:tcMar>
              <w:left w:w="28" w:type="dxa"/>
              <w:right w:w="28" w:type="dxa"/>
            </w:tcMar>
          </w:tcPr>
          <w:p w14:paraId="3ED5B842"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280A85C8" w14:textId="77777777" w:rsidR="00B551B3" w:rsidRPr="00393250" w:rsidRDefault="00B551B3" w:rsidP="00B551B3">
            <w:pPr>
              <w:widowControl/>
              <w:spacing w:before="40" w:after="40"/>
              <w:rPr>
                <w:rFonts w:eastAsia="Calibri"/>
                <w:noProof/>
                <w:sz w:val="22"/>
                <w:szCs w:val="22"/>
                <w:lang w:eastAsia="en-US"/>
              </w:rPr>
            </w:pPr>
          </w:p>
        </w:tc>
        <w:tc>
          <w:tcPr>
            <w:tcW w:w="1153" w:type="dxa"/>
            <w:tcMar>
              <w:left w:w="28" w:type="dxa"/>
              <w:right w:w="28" w:type="dxa"/>
            </w:tcMar>
          </w:tcPr>
          <w:p w14:paraId="36BB2046"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43D1F65F"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3DB64E5B" w14:textId="77777777" w:rsidTr="00B551B3">
        <w:trPr>
          <w:gridBefore w:val="1"/>
          <w:wBefore w:w="12" w:type="dxa"/>
          <w:tblHeader/>
          <w:jc w:val="center"/>
        </w:trPr>
        <w:tc>
          <w:tcPr>
            <w:tcW w:w="834" w:type="dxa"/>
            <w:tcMar>
              <w:left w:w="28" w:type="dxa"/>
              <w:right w:w="28" w:type="dxa"/>
            </w:tcMar>
          </w:tcPr>
          <w:p w14:paraId="436BAC5D"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(40)</w:t>
            </w:r>
          </w:p>
        </w:tc>
        <w:tc>
          <w:tcPr>
            <w:tcW w:w="2103" w:type="dxa"/>
            <w:gridSpan w:val="2"/>
            <w:tcMar>
              <w:left w:w="28" w:type="dxa"/>
              <w:right w:w="28" w:type="dxa"/>
            </w:tcMar>
          </w:tcPr>
          <w:p w14:paraId="14C0358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Cybutryn</w:t>
            </w:r>
          </w:p>
        </w:tc>
        <w:tc>
          <w:tcPr>
            <w:tcW w:w="1329" w:type="dxa"/>
            <w:tcMar>
              <w:left w:w="28" w:type="dxa"/>
              <w:right w:w="28" w:type="dxa"/>
            </w:tcMar>
          </w:tcPr>
          <w:p w14:paraId="2CD1D89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Biocider</w:t>
            </w:r>
          </w:p>
        </w:tc>
        <w:tc>
          <w:tcPr>
            <w:tcW w:w="992" w:type="dxa"/>
            <w:tcMar>
              <w:left w:w="28" w:type="dxa"/>
              <w:right w:w="28" w:type="dxa"/>
            </w:tcMar>
          </w:tcPr>
          <w:p w14:paraId="096F690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28159-98-0</w:t>
            </w:r>
          </w:p>
        </w:tc>
        <w:tc>
          <w:tcPr>
            <w:tcW w:w="1134" w:type="dxa"/>
          </w:tcPr>
          <w:p w14:paraId="121C3C2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248-872-3</w:t>
            </w:r>
          </w:p>
        </w:tc>
        <w:tc>
          <w:tcPr>
            <w:tcW w:w="1279" w:type="dxa"/>
            <w:tcMar>
              <w:left w:w="28" w:type="dxa"/>
              <w:right w:w="28" w:type="dxa"/>
            </w:tcMar>
          </w:tcPr>
          <w:p w14:paraId="603BA5F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0,0025</w:t>
            </w:r>
          </w:p>
        </w:tc>
        <w:tc>
          <w:tcPr>
            <w:tcW w:w="1279" w:type="dxa"/>
            <w:tcMar>
              <w:left w:w="28" w:type="dxa"/>
              <w:right w:w="28" w:type="dxa"/>
            </w:tcMar>
          </w:tcPr>
          <w:p w14:paraId="6B5BB93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0,0025</w:t>
            </w:r>
          </w:p>
        </w:tc>
        <w:tc>
          <w:tcPr>
            <w:tcW w:w="1278" w:type="dxa"/>
            <w:tcMar>
              <w:left w:w="28" w:type="dxa"/>
              <w:right w:w="28" w:type="dxa"/>
            </w:tcMar>
          </w:tcPr>
          <w:p w14:paraId="38DE73A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0,016</w:t>
            </w:r>
          </w:p>
        </w:tc>
        <w:tc>
          <w:tcPr>
            <w:tcW w:w="1277" w:type="dxa"/>
            <w:tcMar>
              <w:left w:w="28" w:type="dxa"/>
              <w:right w:w="28" w:type="dxa"/>
            </w:tcMar>
          </w:tcPr>
          <w:p w14:paraId="4908093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0,016</w:t>
            </w:r>
          </w:p>
        </w:tc>
        <w:tc>
          <w:tcPr>
            <w:tcW w:w="1136" w:type="dxa"/>
            <w:tcMar>
              <w:left w:w="28" w:type="dxa"/>
              <w:right w:w="28" w:type="dxa"/>
            </w:tcMar>
          </w:tcPr>
          <w:p w14:paraId="54564F42"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0E2B6D5F" w14:textId="77777777" w:rsidR="00B551B3" w:rsidRPr="00393250" w:rsidRDefault="00B551B3" w:rsidP="00B551B3">
            <w:pPr>
              <w:widowControl/>
              <w:spacing w:before="40" w:after="40"/>
              <w:rPr>
                <w:rFonts w:eastAsia="Calibri"/>
                <w:noProof/>
                <w:sz w:val="22"/>
                <w:szCs w:val="22"/>
                <w:lang w:eastAsia="en-US"/>
              </w:rPr>
            </w:pPr>
          </w:p>
        </w:tc>
        <w:tc>
          <w:tcPr>
            <w:tcW w:w="1153" w:type="dxa"/>
            <w:tcMar>
              <w:left w:w="28" w:type="dxa"/>
              <w:right w:w="28" w:type="dxa"/>
            </w:tcMar>
          </w:tcPr>
          <w:p w14:paraId="330F998C"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788266FF"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6A789CA8" w14:textId="77777777" w:rsidTr="00B551B3">
        <w:trPr>
          <w:gridBefore w:val="1"/>
          <w:wBefore w:w="12" w:type="dxa"/>
          <w:tblHeader/>
          <w:jc w:val="center"/>
        </w:trPr>
        <w:tc>
          <w:tcPr>
            <w:tcW w:w="834" w:type="dxa"/>
            <w:tcMar>
              <w:left w:w="28" w:type="dxa"/>
              <w:right w:w="28" w:type="dxa"/>
            </w:tcMar>
          </w:tcPr>
          <w:p w14:paraId="15E8CD81"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(41)</w:t>
            </w:r>
          </w:p>
        </w:tc>
        <w:tc>
          <w:tcPr>
            <w:tcW w:w="2103" w:type="dxa"/>
            <w:gridSpan w:val="2"/>
            <w:tcMar>
              <w:left w:w="28" w:type="dxa"/>
              <w:right w:w="28" w:type="dxa"/>
            </w:tcMar>
          </w:tcPr>
          <w:p w14:paraId="1F209C8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Cypermethrin (</w:t>
            </w:r>
            <w:r w:rsidRPr="00393250">
              <w:rPr>
                <w:rFonts w:eastAsia="Calibri"/>
                <w:noProof/>
                <w:sz w:val="22"/>
                <w:szCs w:val="22"/>
                <w:vertAlign w:val="superscript"/>
                <w:lang w:eastAsia="en-US"/>
              </w:rPr>
              <w:t>23</w:t>
            </w:r>
            <w:r w:rsidRPr="00393250">
              <w:rPr>
                <w:rFonts w:eastAsia="Calibri"/>
                <w:noProof/>
                <w:sz w:val="22"/>
                <w:szCs w:val="22"/>
                <w:lang w:eastAsia="en-US"/>
              </w:rPr>
              <w:t>)</w:t>
            </w:r>
          </w:p>
        </w:tc>
        <w:tc>
          <w:tcPr>
            <w:tcW w:w="1329" w:type="dxa"/>
            <w:tcMar>
              <w:left w:w="28" w:type="dxa"/>
              <w:right w:w="28" w:type="dxa"/>
            </w:tcMar>
          </w:tcPr>
          <w:p w14:paraId="4122295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Pyrethroidpesticider</w:t>
            </w:r>
          </w:p>
        </w:tc>
        <w:tc>
          <w:tcPr>
            <w:tcW w:w="992" w:type="dxa"/>
            <w:tcMar>
              <w:left w:w="28" w:type="dxa"/>
              <w:right w:w="28" w:type="dxa"/>
            </w:tcMar>
          </w:tcPr>
          <w:p w14:paraId="56987B7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52315-07-8</w:t>
            </w:r>
          </w:p>
        </w:tc>
        <w:tc>
          <w:tcPr>
            <w:tcW w:w="1134" w:type="dxa"/>
          </w:tcPr>
          <w:p w14:paraId="32C673E8" w14:textId="77777777" w:rsidR="00B551B3" w:rsidRPr="00393250" w:rsidRDefault="00B551B3" w:rsidP="00B551B3">
            <w:pPr>
              <w:widowControl/>
              <w:spacing w:before="40" w:after="40"/>
              <w:rPr>
                <w:rFonts w:eastAsia="Calibri"/>
                <w:strike/>
                <w:noProof/>
                <w:sz w:val="22"/>
                <w:szCs w:val="22"/>
                <w:lang w:eastAsia="en-US"/>
              </w:rPr>
            </w:pPr>
            <w:r w:rsidRPr="00393250">
              <w:rPr>
                <w:rFonts w:eastAsia="Calibri"/>
                <w:noProof/>
                <w:sz w:val="22"/>
                <w:szCs w:val="22"/>
                <w:lang w:eastAsia="en-US"/>
              </w:rPr>
              <w:t>257-842-9</w:t>
            </w:r>
          </w:p>
        </w:tc>
        <w:tc>
          <w:tcPr>
            <w:tcW w:w="1279" w:type="dxa"/>
            <w:tcMar>
              <w:left w:w="28" w:type="dxa"/>
              <w:right w:w="28" w:type="dxa"/>
            </w:tcMar>
          </w:tcPr>
          <w:p w14:paraId="02594AA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3 × 10</w:t>
            </w:r>
            <w:r w:rsidRPr="00393250">
              <w:rPr>
                <w:rFonts w:eastAsia="Calibri"/>
                <w:noProof/>
                <w:sz w:val="22"/>
                <w:szCs w:val="22"/>
                <w:vertAlign w:val="superscript"/>
                <w:lang w:eastAsia="en-US"/>
              </w:rPr>
              <w:t>-5</w:t>
            </w:r>
          </w:p>
        </w:tc>
        <w:tc>
          <w:tcPr>
            <w:tcW w:w="1279" w:type="dxa"/>
            <w:tcMar>
              <w:left w:w="28" w:type="dxa"/>
              <w:right w:w="28" w:type="dxa"/>
            </w:tcMar>
          </w:tcPr>
          <w:p w14:paraId="3692759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3 × 10</w:t>
            </w:r>
            <w:r w:rsidRPr="00393250">
              <w:rPr>
                <w:rFonts w:eastAsia="Calibri"/>
                <w:noProof/>
                <w:sz w:val="22"/>
                <w:szCs w:val="22"/>
                <w:vertAlign w:val="superscript"/>
                <w:lang w:eastAsia="en-US"/>
              </w:rPr>
              <w:t>-6</w:t>
            </w:r>
          </w:p>
        </w:tc>
        <w:tc>
          <w:tcPr>
            <w:tcW w:w="1278" w:type="dxa"/>
            <w:tcMar>
              <w:left w:w="28" w:type="dxa"/>
              <w:right w:w="28" w:type="dxa"/>
            </w:tcMar>
          </w:tcPr>
          <w:p w14:paraId="2BB5D1D0" w14:textId="77777777" w:rsidR="00B551B3" w:rsidRPr="00393250" w:rsidRDefault="00B551B3" w:rsidP="00B551B3">
            <w:pPr>
              <w:widowControl/>
              <w:spacing w:before="40" w:after="40"/>
              <w:rPr>
                <w:rFonts w:eastAsia="Calibri"/>
                <w:noProof/>
                <w:sz w:val="22"/>
                <w:szCs w:val="22"/>
                <w:vertAlign w:val="superscript"/>
                <w:lang w:eastAsia="en-US"/>
              </w:rPr>
            </w:pPr>
            <w:r w:rsidRPr="00393250">
              <w:rPr>
                <w:rFonts w:eastAsia="Calibri"/>
                <w:noProof/>
                <w:sz w:val="22"/>
                <w:szCs w:val="22"/>
                <w:lang w:eastAsia="en-US"/>
              </w:rPr>
              <w:t>6 × 10</w:t>
            </w:r>
            <w:r w:rsidRPr="00393250">
              <w:rPr>
                <w:rFonts w:eastAsia="Calibri"/>
                <w:noProof/>
                <w:sz w:val="22"/>
                <w:szCs w:val="22"/>
                <w:vertAlign w:val="superscript"/>
                <w:lang w:eastAsia="en-US"/>
              </w:rPr>
              <w:t>-4</w:t>
            </w:r>
          </w:p>
        </w:tc>
        <w:tc>
          <w:tcPr>
            <w:tcW w:w="1277" w:type="dxa"/>
            <w:tcMar>
              <w:left w:w="28" w:type="dxa"/>
              <w:right w:w="28" w:type="dxa"/>
            </w:tcMar>
          </w:tcPr>
          <w:p w14:paraId="793EECA1" w14:textId="77777777" w:rsidR="00B551B3" w:rsidRPr="00393250" w:rsidRDefault="00B551B3" w:rsidP="00B551B3">
            <w:pPr>
              <w:widowControl/>
              <w:spacing w:before="40" w:after="40"/>
              <w:rPr>
                <w:rFonts w:eastAsia="Calibri"/>
                <w:noProof/>
                <w:sz w:val="22"/>
                <w:szCs w:val="22"/>
                <w:vertAlign w:val="superscript"/>
                <w:lang w:eastAsia="en-US"/>
              </w:rPr>
            </w:pPr>
            <w:r w:rsidRPr="00393250">
              <w:rPr>
                <w:rFonts w:eastAsia="Calibri"/>
                <w:noProof/>
                <w:sz w:val="22"/>
                <w:szCs w:val="22"/>
                <w:lang w:eastAsia="en-US"/>
              </w:rPr>
              <w:t>6 × 10</w:t>
            </w:r>
            <w:r w:rsidRPr="00393250">
              <w:rPr>
                <w:rFonts w:eastAsia="Calibri"/>
                <w:noProof/>
                <w:sz w:val="22"/>
                <w:szCs w:val="22"/>
                <w:vertAlign w:val="superscript"/>
                <w:lang w:eastAsia="en-US"/>
              </w:rPr>
              <w:t>-5</w:t>
            </w:r>
          </w:p>
        </w:tc>
        <w:tc>
          <w:tcPr>
            <w:tcW w:w="1136" w:type="dxa"/>
            <w:tcMar>
              <w:left w:w="28" w:type="dxa"/>
              <w:right w:w="28" w:type="dxa"/>
            </w:tcMar>
          </w:tcPr>
          <w:p w14:paraId="7E08D50B"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33E2113D" w14:textId="77777777" w:rsidR="00B551B3" w:rsidRPr="00393250" w:rsidRDefault="00B551B3" w:rsidP="00B551B3">
            <w:pPr>
              <w:widowControl/>
              <w:spacing w:before="40" w:after="40"/>
              <w:rPr>
                <w:rFonts w:eastAsia="Calibri"/>
                <w:noProof/>
                <w:sz w:val="22"/>
                <w:szCs w:val="22"/>
                <w:vertAlign w:val="superscript"/>
                <w:lang w:eastAsia="en-US"/>
              </w:rPr>
            </w:pPr>
          </w:p>
        </w:tc>
        <w:tc>
          <w:tcPr>
            <w:tcW w:w="1153" w:type="dxa"/>
            <w:tcMar>
              <w:left w:w="28" w:type="dxa"/>
              <w:right w:w="28" w:type="dxa"/>
            </w:tcMar>
          </w:tcPr>
          <w:p w14:paraId="02BC2FF3" w14:textId="77777777" w:rsidR="00B551B3" w:rsidRPr="00393250" w:rsidRDefault="00B551B3" w:rsidP="00B551B3">
            <w:pPr>
              <w:widowControl/>
              <w:spacing w:before="40" w:after="40"/>
              <w:rPr>
                <w:rFonts w:eastAsia="Calibri"/>
                <w:noProof/>
                <w:sz w:val="22"/>
                <w:szCs w:val="22"/>
                <w:vertAlign w:val="superscript"/>
                <w:lang w:eastAsia="en-US"/>
              </w:rPr>
            </w:pPr>
          </w:p>
        </w:tc>
        <w:tc>
          <w:tcPr>
            <w:tcW w:w="970" w:type="dxa"/>
            <w:tcMar>
              <w:left w:w="28" w:type="dxa"/>
              <w:right w:w="28" w:type="dxa"/>
            </w:tcMar>
          </w:tcPr>
          <w:p w14:paraId="08882824" w14:textId="77777777" w:rsidR="00B551B3" w:rsidRPr="00393250" w:rsidRDefault="00B551B3" w:rsidP="00B551B3">
            <w:pPr>
              <w:widowControl/>
              <w:spacing w:before="40" w:after="40"/>
              <w:rPr>
                <w:rFonts w:eastAsia="Calibri"/>
                <w:noProof/>
                <w:sz w:val="22"/>
                <w:szCs w:val="22"/>
                <w:vertAlign w:val="superscript"/>
                <w:lang w:eastAsia="en-US"/>
              </w:rPr>
            </w:pPr>
            <w:r w:rsidRPr="00393250">
              <w:rPr>
                <w:rFonts w:eastAsia="Calibri"/>
                <w:noProof/>
                <w:sz w:val="22"/>
                <w:szCs w:val="22"/>
                <w:lang w:eastAsia="en-US"/>
              </w:rPr>
              <w:t>X</w:t>
            </w:r>
          </w:p>
        </w:tc>
      </w:tr>
      <w:tr w:rsidR="00B551B3" w:rsidRPr="00393250" w14:paraId="63691BC4" w14:textId="77777777" w:rsidTr="00B551B3">
        <w:trPr>
          <w:gridBefore w:val="1"/>
          <w:wBefore w:w="12" w:type="dxa"/>
          <w:tblHeader/>
          <w:jc w:val="center"/>
        </w:trPr>
        <w:tc>
          <w:tcPr>
            <w:tcW w:w="834" w:type="dxa"/>
            <w:tcMar>
              <w:left w:w="28" w:type="dxa"/>
              <w:right w:w="28" w:type="dxa"/>
            </w:tcMar>
          </w:tcPr>
          <w:p w14:paraId="301ED6FA"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(42)</w:t>
            </w:r>
          </w:p>
        </w:tc>
        <w:tc>
          <w:tcPr>
            <w:tcW w:w="2103" w:type="dxa"/>
            <w:gridSpan w:val="2"/>
            <w:tcMar>
              <w:left w:w="28" w:type="dxa"/>
              <w:right w:w="28" w:type="dxa"/>
            </w:tcMar>
          </w:tcPr>
          <w:p w14:paraId="2A2A0C5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Dichlorvos</w:t>
            </w:r>
          </w:p>
        </w:tc>
        <w:tc>
          <w:tcPr>
            <w:tcW w:w="1329" w:type="dxa"/>
            <w:tcMar>
              <w:left w:w="28" w:type="dxa"/>
              <w:right w:w="28" w:type="dxa"/>
            </w:tcMar>
          </w:tcPr>
          <w:p w14:paraId="2A281F1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Organiske fosfatholdige pesticider</w:t>
            </w:r>
          </w:p>
        </w:tc>
        <w:tc>
          <w:tcPr>
            <w:tcW w:w="992" w:type="dxa"/>
            <w:tcMar>
              <w:left w:w="28" w:type="dxa"/>
              <w:right w:w="28" w:type="dxa"/>
            </w:tcMar>
          </w:tcPr>
          <w:p w14:paraId="603D01F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62-73-7</w:t>
            </w:r>
          </w:p>
        </w:tc>
        <w:tc>
          <w:tcPr>
            <w:tcW w:w="1134" w:type="dxa"/>
          </w:tcPr>
          <w:p w14:paraId="1F80D69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200-547-7</w:t>
            </w:r>
          </w:p>
        </w:tc>
        <w:tc>
          <w:tcPr>
            <w:tcW w:w="1279" w:type="dxa"/>
            <w:tcMar>
              <w:left w:w="28" w:type="dxa"/>
              <w:right w:w="28" w:type="dxa"/>
            </w:tcMar>
          </w:tcPr>
          <w:p w14:paraId="2CB6313C" w14:textId="77777777" w:rsidR="00B551B3" w:rsidRPr="00393250" w:rsidRDefault="00B551B3" w:rsidP="00B551B3">
            <w:pPr>
              <w:widowControl/>
              <w:spacing w:before="40" w:after="40"/>
              <w:rPr>
                <w:rFonts w:eastAsia="Calibri"/>
                <w:noProof/>
                <w:sz w:val="22"/>
                <w:szCs w:val="22"/>
                <w:vertAlign w:val="superscript"/>
                <w:lang w:eastAsia="en-US"/>
              </w:rPr>
            </w:pPr>
            <w:r w:rsidRPr="00393250">
              <w:rPr>
                <w:rFonts w:eastAsia="Calibri"/>
                <w:noProof/>
                <w:sz w:val="22"/>
                <w:szCs w:val="22"/>
                <w:lang w:eastAsia="en-US"/>
              </w:rPr>
              <w:t>6 × 10</w:t>
            </w:r>
            <w:r w:rsidRPr="00393250">
              <w:rPr>
                <w:rFonts w:eastAsia="Calibri"/>
                <w:noProof/>
                <w:sz w:val="22"/>
                <w:szCs w:val="22"/>
                <w:vertAlign w:val="superscript"/>
                <w:lang w:eastAsia="en-US"/>
              </w:rPr>
              <w:t>-4</w:t>
            </w:r>
          </w:p>
        </w:tc>
        <w:tc>
          <w:tcPr>
            <w:tcW w:w="1279" w:type="dxa"/>
            <w:tcMar>
              <w:left w:w="28" w:type="dxa"/>
              <w:right w:w="28" w:type="dxa"/>
            </w:tcMar>
          </w:tcPr>
          <w:p w14:paraId="648B895C" w14:textId="77777777" w:rsidR="00B551B3" w:rsidRPr="00393250" w:rsidRDefault="00B551B3" w:rsidP="00B551B3">
            <w:pPr>
              <w:widowControl/>
              <w:spacing w:before="40" w:after="40"/>
              <w:rPr>
                <w:rFonts w:eastAsia="Calibri"/>
                <w:noProof/>
                <w:sz w:val="22"/>
                <w:szCs w:val="22"/>
                <w:vertAlign w:val="superscript"/>
                <w:lang w:eastAsia="en-US"/>
              </w:rPr>
            </w:pPr>
            <w:r w:rsidRPr="00393250">
              <w:rPr>
                <w:rFonts w:eastAsia="Calibri"/>
                <w:noProof/>
                <w:sz w:val="22"/>
                <w:szCs w:val="22"/>
                <w:lang w:eastAsia="en-US"/>
              </w:rPr>
              <w:t>6 × 10</w:t>
            </w:r>
            <w:r w:rsidRPr="00393250">
              <w:rPr>
                <w:rFonts w:eastAsia="Calibri"/>
                <w:noProof/>
                <w:sz w:val="22"/>
                <w:szCs w:val="22"/>
                <w:vertAlign w:val="superscript"/>
                <w:lang w:eastAsia="en-US"/>
              </w:rPr>
              <w:t>-5</w:t>
            </w:r>
          </w:p>
        </w:tc>
        <w:tc>
          <w:tcPr>
            <w:tcW w:w="1278" w:type="dxa"/>
            <w:tcMar>
              <w:left w:w="28" w:type="dxa"/>
              <w:right w:w="28" w:type="dxa"/>
            </w:tcMar>
          </w:tcPr>
          <w:p w14:paraId="582181F6" w14:textId="77777777" w:rsidR="00B551B3" w:rsidRPr="00393250" w:rsidRDefault="00B551B3" w:rsidP="00B551B3">
            <w:pPr>
              <w:widowControl/>
              <w:spacing w:before="40" w:after="40"/>
              <w:rPr>
                <w:rFonts w:eastAsia="Calibri"/>
                <w:noProof/>
                <w:sz w:val="22"/>
                <w:szCs w:val="22"/>
                <w:vertAlign w:val="superscript"/>
                <w:lang w:eastAsia="en-US"/>
              </w:rPr>
            </w:pPr>
            <w:r w:rsidRPr="00393250">
              <w:rPr>
                <w:rFonts w:eastAsia="Calibri"/>
                <w:noProof/>
                <w:sz w:val="22"/>
                <w:szCs w:val="22"/>
                <w:lang w:eastAsia="en-US"/>
              </w:rPr>
              <w:t>7 × 10</w:t>
            </w:r>
            <w:r w:rsidRPr="00393250">
              <w:rPr>
                <w:rFonts w:eastAsia="Calibri"/>
                <w:noProof/>
                <w:sz w:val="22"/>
                <w:szCs w:val="22"/>
                <w:vertAlign w:val="superscript"/>
                <w:lang w:eastAsia="en-US"/>
              </w:rPr>
              <w:t>-4</w:t>
            </w:r>
          </w:p>
        </w:tc>
        <w:tc>
          <w:tcPr>
            <w:tcW w:w="1277" w:type="dxa"/>
            <w:tcMar>
              <w:left w:w="28" w:type="dxa"/>
              <w:right w:w="28" w:type="dxa"/>
            </w:tcMar>
          </w:tcPr>
          <w:p w14:paraId="188397A8" w14:textId="77777777" w:rsidR="00B551B3" w:rsidRPr="00393250" w:rsidRDefault="00B551B3" w:rsidP="00B551B3">
            <w:pPr>
              <w:widowControl/>
              <w:spacing w:before="40" w:after="40"/>
              <w:rPr>
                <w:rFonts w:eastAsia="Calibri"/>
                <w:noProof/>
                <w:sz w:val="22"/>
                <w:szCs w:val="22"/>
                <w:vertAlign w:val="superscript"/>
                <w:lang w:eastAsia="en-US"/>
              </w:rPr>
            </w:pPr>
            <w:r w:rsidRPr="00393250">
              <w:rPr>
                <w:rFonts w:eastAsia="Calibri"/>
                <w:noProof/>
                <w:sz w:val="22"/>
                <w:szCs w:val="22"/>
                <w:lang w:eastAsia="en-US"/>
              </w:rPr>
              <w:t>7 × 10</w:t>
            </w:r>
            <w:r w:rsidRPr="00393250">
              <w:rPr>
                <w:rFonts w:eastAsia="Calibri"/>
                <w:noProof/>
                <w:sz w:val="22"/>
                <w:szCs w:val="22"/>
                <w:vertAlign w:val="superscript"/>
                <w:lang w:eastAsia="en-US"/>
              </w:rPr>
              <w:t>-5</w:t>
            </w:r>
          </w:p>
        </w:tc>
        <w:tc>
          <w:tcPr>
            <w:tcW w:w="1136" w:type="dxa"/>
            <w:tcMar>
              <w:left w:w="28" w:type="dxa"/>
              <w:right w:w="28" w:type="dxa"/>
            </w:tcMar>
          </w:tcPr>
          <w:p w14:paraId="0B5DC0FB" w14:textId="77777777" w:rsidR="00B551B3" w:rsidRPr="00393250" w:rsidRDefault="00B551B3" w:rsidP="00B551B3">
            <w:pPr>
              <w:widowControl/>
              <w:spacing w:before="40" w:after="40"/>
              <w:rPr>
                <w:rFonts w:eastAsia="Calibri"/>
                <w:noProof/>
                <w:sz w:val="22"/>
                <w:szCs w:val="22"/>
                <w:vertAlign w:val="superscript"/>
                <w:lang w:eastAsia="en-US"/>
              </w:rPr>
            </w:pPr>
          </w:p>
        </w:tc>
        <w:tc>
          <w:tcPr>
            <w:tcW w:w="1262" w:type="dxa"/>
            <w:tcMar>
              <w:left w:w="28" w:type="dxa"/>
              <w:right w:w="28" w:type="dxa"/>
            </w:tcMar>
          </w:tcPr>
          <w:p w14:paraId="26C11276" w14:textId="77777777" w:rsidR="00B551B3" w:rsidRPr="00393250" w:rsidRDefault="00B551B3" w:rsidP="00B551B3">
            <w:pPr>
              <w:widowControl/>
              <w:spacing w:before="40" w:after="40"/>
              <w:rPr>
                <w:rFonts w:eastAsia="Calibri"/>
                <w:noProof/>
                <w:sz w:val="22"/>
                <w:szCs w:val="22"/>
                <w:vertAlign w:val="superscript"/>
                <w:lang w:eastAsia="en-US"/>
              </w:rPr>
            </w:pPr>
          </w:p>
        </w:tc>
        <w:tc>
          <w:tcPr>
            <w:tcW w:w="1153" w:type="dxa"/>
            <w:tcMar>
              <w:left w:w="28" w:type="dxa"/>
              <w:right w:w="28" w:type="dxa"/>
            </w:tcMar>
          </w:tcPr>
          <w:p w14:paraId="57EDF1F6" w14:textId="77777777" w:rsidR="00B551B3" w:rsidRPr="00393250" w:rsidRDefault="00B551B3" w:rsidP="00B551B3">
            <w:pPr>
              <w:widowControl/>
              <w:spacing w:before="40" w:after="40"/>
              <w:rPr>
                <w:rFonts w:eastAsia="Calibri"/>
                <w:noProof/>
                <w:sz w:val="22"/>
                <w:szCs w:val="22"/>
                <w:vertAlign w:val="superscript"/>
                <w:lang w:eastAsia="en-US"/>
              </w:rPr>
            </w:pPr>
          </w:p>
        </w:tc>
        <w:tc>
          <w:tcPr>
            <w:tcW w:w="970" w:type="dxa"/>
            <w:tcMar>
              <w:left w:w="28" w:type="dxa"/>
              <w:right w:w="28" w:type="dxa"/>
            </w:tcMar>
          </w:tcPr>
          <w:p w14:paraId="5E6853F1" w14:textId="77777777" w:rsidR="00B551B3" w:rsidRPr="00393250" w:rsidRDefault="00B551B3" w:rsidP="00B551B3">
            <w:pPr>
              <w:widowControl/>
              <w:spacing w:before="40" w:after="40"/>
              <w:rPr>
                <w:rFonts w:eastAsia="Calibri"/>
                <w:noProof/>
                <w:sz w:val="22"/>
                <w:szCs w:val="22"/>
                <w:vertAlign w:val="superscript"/>
                <w:lang w:eastAsia="en-US"/>
              </w:rPr>
            </w:pPr>
          </w:p>
        </w:tc>
      </w:tr>
      <w:tr w:rsidR="00B551B3" w:rsidRPr="00393250" w14:paraId="0A70DD9A" w14:textId="77777777" w:rsidTr="00B551B3">
        <w:trPr>
          <w:gridBefore w:val="1"/>
          <w:wBefore w:w="12" w:type="dxa"/>
          <w:tblHeader/>
          <w:jc w:val="center"/>
        </w:trPr>
        <w:tc>
          <w:tcPr>
            <w:tcW w:w="834" w:type="dxa"/>
            <w:tcMar>
              <w:left w:w="28" w:type="dxa"/>
              <w:right w:w="28" w:type="dxa"/>
            </w:tcMar>
          </w:tcPr>
          <w:p w14:paraId="525B1887"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(43)</w:t>
            </w:r>
          </w:p>
        </w:tc>
        <w:tc>
          <w:tcPr>
            <w:tcW w:w="2103" w:type="dxa"/>
            <w:gridSpan w:val="2"/>
            <w:tcMar>
              <w:left w:w="28" w:type="dxa"/>
              <w:right w:w="28" w:type="dxa"/>
            </w:tcMar>
          </w:tcPr>
          <w:p w14:paraId="0BC8C33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Hexabromocyclododecan (HBCDD) (</w:t>
            </w:r>
            <w:r w:rsidRPr="00393250">
              <w:rPr>
                <w:rFonts w:eastAsia="Calibri"/>
                <w:noProof/>
                <w:sz w:val="22"/>
                <w:szCs w:val="22"/>
                <w:vertAlign w:val="superscript"/>
                <w:lang w:eastAsia="en-US"/>
              </w:rPr>
              <w:t>24</w:t>
            </w:r>
            <w:r w:rsidRPr="00393250">
              <w:rPr>
                <w:rFonts w:eastAsia="Calibri"/>
                <w:noProof/>
                <w:sz w:val="22"/>
                <w:szCs w:val="22"/>
                <w:lang w:eastAsia="en-US"/>
              </w:rPr>
              <w:t>)</w:t>
            </w:r>
            <w:r w:rsidRPr="00393250">
              <w:rPr>
                <w:rFonts w:eastAsia="Calibri"/>
                <w:noProof/>
                <w:szCs w:val="22"/>
                <w:u w:val="single"/>
                <w:lang w:eastAsia="en-US"/>
              </w:rPr>
              <w:t xml:space="preserve"> </w:t>
            </w:r>
          </w:p>
        </w:tc>
        <w:tc>
          <w:tcPr>
            <w:tcW w:w="1329" w:type="dxa"/>
            <w:tcMar>
              <w:left w:w="28" w:type="dxa"/>
              <w:right w:w="28" w:type="dxa"/>
            </w:tcMar>
          </w:tcPr>
          <w:p w14:paraId="2FF5FC7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Industristoffer</w:t>
            </w:r>
          </w:p>
        </w:tc>
        <w:tc>
          <w:tcPr>
            <w:tcW w:w="992" w:type="dxa"/>
            <w:tcMar>
              <w:left w:w="28" w:type="dxa"/>
              <w:right w:w="28" w:type="dxa"/>
            </w:tcMar>
          </w:tcPr>
          <w:p w14:paraId="0AE2E86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Se fodnote 24.</w:t>
            </w:r>
          </w:p>
        </w:tc>
        <w:tc>
          <w:tcPr>
            <w:tcW w:w="1134" w:type="dxa"/>
          </w:tcPr>
          <w:p w14:paraId="3DFB61D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Se fodnote 24.</w:t>
            </w:r>
          </w:p>
        </w:tc>
        <w:tc>
          <w:tcPr>
            <w:tcW w:w="1279" w:type="dxa"/>
            <w:tcMar>
              <w:left w:w="28" w:type="dxa"/>
              <w:right w:w="28" w:type="dxa"/>
            </w:tcMar>
          </w:tcPr>
          <w:p w14:paraId="6FE5FA9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[4,6 × 10</w:t>
            </w:r>
            <w:r w:rsidRPr="00393250">
              <w:rPr>
                <w:rFonts w:eastAsia="Calibri"/>
                <w:noProof/>
                <w:sz w:val="22"/>
                <w:szCs w:val="22"/>
                <w:vertAlign w:val="superscript"/>
                <w:lang w:eastAsia="en-US"/>
              </w:rPr>
              <w:t>-4</w:t>
            </w:r>
            <w:r w:rsidRPr="00393250">
              <w:rPr>
                <w:rFonts w:eastAsia="Calibri"/>
                <w:noProof/>
                <w:sz w:val="22"/>
                <w:szCs w:val="22"/>
                <w:lang w:eastAsia="en-US"/>
              </w:rPr>
              <w:t>]</w:t>
            </w:r>
          </w:p>
        </w:tc>
        <w:tc>
          <w:tcPr>
            <w:tcW w:w="1279" w:type="dxa"/>
            <w:tcMar>
              <w:left w:w="28" w:type="dxa"/>
              <w:right w:w="28" w:type="dxa"/>
            </w:tcMar>
          </w:tcPr>
          <w:p w14:paraId="64CBE34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 × 10</w:t>
            </w:r>
            <w:r w:rsidRPr="00393250">
              <w:rPr>
                <w:rFonts w:eastAsia="Calibri"/>
                <w:noProof/>
                <w:sz w:val="22"/>
                <w:szCs w:val="22"/>
                <w:vertAlign w:val="superscript"/>
                <w:lang w:eastAsia="en-US"/>
              </w:rPr>
              <w:t>-5</w:t>
            </w:r>
            <w:r w:rsidRPr="00393250">
              <w:rPr>
                <w:rFonts w:eastAsia="Calibri"/>
                <w:noProof/>
                <w:sz w:val="22"/>
                <w:szCs w:val="22"/>
                <w:lang w:eastAsia="en-US"/>
              </w:rPr>
              <w:t>]</w:t>
            </w:r>
          </w:p>
        </w:tc>
        <w:tc>
          <w:tcPr>
            <w:tcW w:w="1278" w:type="dxa"/>
            <w:tcMar>
              <w:left w:w="28" w:type="dxa"/>
              <w:right w:w="28" w:type="dxa"/>
            </w:tcMar>
          </w:tcPr>
          <w:p w14:paraId="7CDBD67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0,5</w:t>
            </w:r>
          </w:p>
        </w:tc>
        <w:tc>
          <w:tcPr>
            <w:tcW w:w="1277" w:type="dxa"/>
            <w:tcMar>
              <w:left w:w="28" w:type="dxa"/>
              <w:right w:w="28" w:type="dxa"/>
            </w:tcMar>
          </w:tcPr>
          <w:p w14:paraId="18BF76B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0,05</w:t>
            </w:r>
          </w:p>
        </w:tc>
        <w:tc>
          <w:tcPr>
            <w:tcW w:w="1136" w:type="dxa"/>
            <w:tcMar>
              <w:left w:w="28" w:type="dxa"/>
              <w:right w:w="28" w:type="dxa"/>
            </w:tcMar>
          </w:tcPr>
          <w:p w14:paraId="043AEC8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[3,5]</w:t>
            </w:r>
          </w:p>
        </w:tc>
        <w:tc>
          <w:tcPr>
            <w:tcW w:w="1262" w:type="dxa"/>
            <w:tcMar>
              <w:left w:w="28" w:type="dxa"/>
              <w:right w:w="28" w:type="dxa"/>
            </w:tcMar>
          </w:tcPr>
          <w:p w14:paraId="6390D5E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1153" w:type="dxa"/>
            <w:tcMar>
              <w:left w:w="28" w:type="dxa"/>
              <w:right w:w="28" w:type="dxa"/>
            </w:tcMar>
          </w:tcPr>
          <w:p w14:paraId="466AD71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970" w:type="dxa"/>
            <w:tcMar>
              <w:left w:w="28" w:type="dxa"/>
              <w:right w:w="28" w:type="dxa"/>
            </w:tcMar>
          </w:tcPr>
          <w:p w14:paraId="0BCB1EF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72810E82" w14:textId="77777777" w:rsidTr="00B551B3">
        <w:trPr>
          <w:gridBefore w:val="1"/>
          <w:wBefore w:w="12" w:type="dxa"/>
          <w:tblHeader/>
          <w:jc w:val="center"/>
        </w:trPr>
        <w:tc>
          <w:tcPr>
            <w:tcW w:w="834" w:type="dxa"/>
            <w:tcMar>
              <w:left w:w="28" w:type="dxa"/>
              <w:right w:w="28" w:type="dxa"/>
            </w:tcMar>
          </w:tcPr>
          <w:p w14:paraId="26F222EE"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(44)</w:t>
            </w:r>
          </w:p>
        </w:tc>
        <w:tc>
          <w:tcPr>
            <w:tcW w:w="2103" w:type="dxa"/>
            <w:gridSpan w:val="2"/>
            <w:tcMar>
              <w:left w:w="28" w:type="dxa"/>
              <w:right w:w="28" w:type="dxa"/>
            </w:tcMar>
          </w:tcPr>
          <w:p w14:paraId="3232D0F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Heptachlor og heptachlorepoxid</w:t>
            </w:r>
          </w:p>
        </w:tc>
        <w:tc>
          <w:tcPr>
            <w:tcW w:w="1329" w:type="dxa"/>
            <w:tcMar>
              <w:left w:w="28" w:type="dxa"/>
              <w:right w:w="28" w:type="dxa"/>
            </w:tcMar>
          </w:tcPr>
          <w:p w14:paraId="628758A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Organiske klorerede pesticider</w:t>
            </w:r>
          </w:p>
        </w:tc>
        <w:tc>
          <w:tcPr>
            <w:tcW w:w="992" w:type="dxa"/>
            <w:tcMar>
              <w:left w:w="28" w:type="dxa"/>
              <w:right w:w="28" w:type="dxa"/>
            </w:tcMar>
          </w:tcPr>
          <w:p w14:paraId="7D614FC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76-44-8/1024-57-3</w:t>
            </w:r>
          </w:p>
        </w:tc>
        <w:tc>
          <w:tcPr>
            <w:tcW w:w="1134" w:type="dxa"/>
          </w:tcPr>
          <w:p w14:paraId="193EF704" w14:textId="77777777" w:rsidR="00B551B3" w:rsidRPr="00393250" w:rsidRDefault="00B551B3" w:rsidP="00B551B3">
            <w:pPr>
              <w:widowControl/>
              <w:spacing w:before="40" w:after="40"/>
              <w:rPr>
                <w:rFonts w:eastAsia="Calibri"/>
                <w:strike/>
                <w:noProof/>
                <w:sz w:val="22"/>
                <w:szCs w:val="22"/>
                <w:lang w:eastAsia="en-US"/>
              </w:rPr>
            </w:pPr>
            <w:r w:rsidRPr="00393250">
              <w:rPr>
                <w:rFonts w:eastAsia="Calibri"/>
                <w:noProof/>
                <w:sz w:val="22"/>
                <w:szCs w:val="22"/>
                <w:lang w:eastAsia="en-US"/>
              </w:rPr>
              <w:t>200-962-3/213-831-0</w:t>
            </w:r>
          </w:p>
        </w:tc>
        <w:tc>
          <w:tcPr>
            <w:tcW w:w="1279" w:type="dxa"/>
            <w:tcMar>
              <w:left w:w="28" w:type="dxa"/>
              <w:right w:w="28" w:type="dxa"/>
            </w:tcMar>
          </w:tcPr>
          <w:p w14:paraId="1F97070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[1,7 × 10</w:t>
            </w:r>
            <w:r w:rsidRPr="00393250">
              <w:rPr>
                <w:rFonts w:eastAsia="Calibri"/>
                <w:noProof/>
                <w:sz w:val="22"/>
                <w:szCs w:val="22"/>
                <w:vertAlign w:val="superscript"/>
                <w:lang w:eastAsia="en-US"/>
              </w:rPr>
              <w:t>-7</w:t>
            </w:r>
            <w:r w:rsidRPr="00393250">
              <w:rPr>
                <w:rFonts w:eastAsia="Calibri"/>
                <w:noProof/>
                <w:sz w:val="22"/>
                <w:szCs w:val="22"/>
                <w:lang w:eastAsia="en-US"/>
              </w:rPr>
              <w:t>]</w:t>
            </w:r>
          </w:p>
        </w:tc>
        <w:tc>
          <w:tcPr>
            <w:tcW w:w="1279" w:type="dxa"/>
            <w:tcMar>
              <w:left w:w="28" w:type="dxa"/>
              <w:right w:w="28" w:type="dxa"/>
            </w:tcMar>
          </w:tcPr>
          <w:p w14:paraId="7FF588A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[1,7 × 10</w:t>
            </w:r>
            <w:r w:rsidRPr="00393250">
              <w:rPr>
                <w:rFonts w:eastAsia="Calibri"/>
                <w:noProof/>
                <w:sz w:val="22"/>
                <w:szCs w:val="22"/>
                <w:vertAlign w:val="superscript"/>
                <w:lang w:eastAsia="en-US"/>
              </w:rPr>
              <w:t>-7</w:t>
            </w:r>
            <w:r w:rsidRPr="00393250">
              <w:rPr>
                <w:rFonts w:eastAsia="Calibri"/>
                <w:noProof/>
                <w:sz w:val="22"/>
                <w:szCs w:val="22"/>
                <w:lang w:eastAsia="en-US"/>
              </w:rPr>
              <w:t>]</w:t>
            </w:r>
          </w:p>
        </w:tc>
        <w:tc>
          <w:tcPr>
            <w:tcW w:w="1278" w:type="dxa"/>
            <w:tcMar>
              <w:left w:w="28" w:type="dxa"/>
              <w:right w:w="28" w:type="dxa"/>
            </w:tcMar>
          </w:tcPr>
          <w:p w14:paraId="0989860F" w14:textId="77777777" w:rsidR="00B551B3" w:rsidRPr="00393250" w:rsidRDefault="00B551B3" w:rsidP="00B551B3">
            <w:pPr>
              <w:widowControl/>
              <w:spacing w:before="40" w:after="40"/>
              <w:rPr>
                <w:rFonts w:eastAsia="Calibri"/>
                <w:noProof/>
                <w:sz w:val="22"/>
                <w:szCs w:val="22"/>
                <w:vertAlign w:val="superscript"/>
                <w:lang w:eastAsia="en-US"/>
              </w:rPr>
            </w:pPr>
            <w:r w:rsidRPr="00393250">
              <w:rPr>
                <w:rFonts w:eastAsia="Calibri"/>
                <w:noProof/>
                <w:sz w:val="22"/>
                <w:szCs w:val="22"/>
                <w:lang w:eastAsia="en-US"/>
              </w:rPr>
              <w:t>3 × 10</w:t>
            </w:r>
            <w:r w:rsidRPr="00393250">
              <w:rPr>
                <w:rFonts w:eastAsia="Calibri"/>
                <w:noProof/>
                <w:sz w:val="22"/>
                <w:szCs w:val="22"/>
                <w:vertAlign w:val="superscript"/>
                <w:lang w:eastAsia="en-US"/>
              </w:rPr>
              <w:t>-4</w:t>
            </w:r>
          </w:p>
        </w:tc>
        <w:tc>
          <w:tcPr>
            <w:tcW w:w="1277" w:type="dxa"/>
            <w:tcMar>
              <w:left w:w="28" w:type="dxa"/>
              <w:right w:w="28" w:type="dxa"/>
            </w:tcMar>
          </w:tcPr>
          <w:p w14:paraId="7BE890E3" w14:textId="77777777" w:rsidR="00B551B3" w:rsidRPr="00393250" w:rsidRDefault="00B551B3" w:rsidP="00B551B3">
            <w:pPr>
              <w:widowControl/>
              <w:spacing w:before="40" w:after="40"/>
              <w:rPr>
                <w:rFonts w:eastAsia="Calibri"/>
                <w:noProof/>
                <w:sz w:val="22"/>
                <w:szCs w:val="22"/>
                <w:vertAlign w:val="superscript"/>
                <w:lang w:eastAsia="en-US"/>
              </w:rPr>
            </w:pPr>
            <w:r w:rsidRPr="00393250">
              <w:rPr>
                <w:rFonts w:eastAsia="Calibri"/>
                <w:noProof/>
                <w:sz w:val="22"/>
                <w:szCs w:val="22"/>
                <w:lang w:eastAsia="en-US"/>
              </w:rPr>
              <w:t>3 × 10</w:t>
            </w:r>
            <w:r w:rsidRPr="00393250">
              <w:rPr>
                <w:rFonts w:eastAsia="Calibri"/>
                <w:noProof/>
                <w:sz w:val="22"/>
                <w:szCs w:val="22"/>
                <w:vertAlign w:val="superscript"/>
                <w:lang w:eastAsia="en-US"/>
              </w:rPr>
              <w:t>-5</w:t>
            </w:r>
          </w:p>
        </w:tc>
        <w:tc>
          <w:tcPr>
            <w:tcW w:w="1136" w:type="dxa"/>
            <w:tcMar>
              <w:left w:w="28" w:type="dxa"/>
              <w:right w:w="28" w:type="dxa"/>
            </w:tcMar>
          </w:tcPr>
          <w:p w14:paraId="240B5172" w14:textId="77777777" w:rsidR="00B551B3" w:rsidRPr="00393250" w:rsidRDefault="00B551B3" w:rsidP="00B551B3">
            <w:pPr>
              <w:widowControl/>
              <w:spacing w:before="40" w:after="40"/>
              <w:rPr>
                <w:rFonts w:eastAsia="Calibri"/>
                <w:noProof/>
                <w:sz w:val="22"/>
                <w:szCs w:val="22"/>
                <w:vertAlign w:val="superscript"/>
                <w:lang w:eastAsia="en-US"/>
              </w:rPr>
            </w:pPr>
            <w:r w:rsidRPr="00393250">
              <w:rPr>
                <w:rFonts w:eastAsia="Calibri"/>
                <w:noProof/>
                <w:sz w:val="22"/>
                <w:szCs w:val="22"/>
                <w:vertAlign w:val="superscript"/>
                <w:lang w:eastAsia="en-US"/>
              </w:rPr>
              <w:t xml:space="preserve"> </w:t>
            </w:r>
            <w:r w:rsidRPr="00393250">
              <w:rPr>
                <w:rFonts w:eastAsia="Calibri"/>
                <w:noProof/>
                <w:sz w:val="22"/>
                <w:szCs w:val="22"/>
                <w:lang w:eastAsia="en-US"/>
              </w:rPr>
              <w:t>[0.013]</w:t>
            </w:r>
          </w:p>
        </w:tc>
        <w:tc>
          <w:tcPr>
            <w:tcW w:w="1262" w:type="dxa"/>
            <w:tcMar>
              <w:left w:w="28" w:type="dxa"/>
              <w:right w:w="28" w:type="dxa"/>
            </w:tcMar>
          </w:tcPr>
          <w:p w14:paraId="61405B5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1153" w:type="dxa"/>
            <w:tcMar>
              <w:left w:w="28" w:type="dxa"/>
              <w:right w:w="28" w:type="dxa"/>
            </w:tcMar>
          </w:tcPr>
          <w:p w14:paraId="7CFD7CD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c>
          <w:tcPr>
            <w:tcW w:w="970" w:type="dxa"/>
            <w:tcMar>
              <w:left w:w="28" w:type="dxa"/>
              <w:right w:w="28" w:type="dxa"/>
            </w:tcMar>
          </w:tcPr>
          <w:p w14:paraId="23AB023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087B2804" w14:textId="77777777" w:rsidTr="00B551B3">
        <w:trPr>
          <w:gridBefore w:val="1"/>
          <w:wBefore w:w="12" w:type="dxa"/>
          <w:tblHeader/>
          <w:jc w:val="center"/>
        </w:trPr>
        <w:tc>
          <w:tcPr>
            <w:tcW w:w="834" w:type="dxa"/>
            <w:tcMar>
              <w:left w:w="28" w:type="dxa"/>
              <w:right w:w="28" w:type="dxa"/>
            </w:tcMar>
          </w:tcPr>
          <w:p w14:paraId="5C168E35"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(45)</w:t>
            </w:r>
          </w:p>
        </w:tc>
        <w:tc>
          <w:tcPr>
            <w:tcW w:w="2103" w:type="dxa"/>
            <w:gridSpan w:val="2"/>
            <w:tcMar>
              <w:left w:w="28" w:type="dxa"/>
              <w:right w:w="28" w:type="dxa"/>
            </w:tcMar>
          </w:tcPr>
          <w:p w14:paraId="685A603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Terbutryn</w:t>
            </w:r>
          </w:p>
        </w:tc>
        <w:tc>
          <w:tcPr>
            <w:tcW w:w="1329" w:type="dxa"/>
            <w:tcMar>
              <w:left w:w="28" w:type="dxa"/>
              <w:right w:w="28" w:type="dxa"/>
            </w:tcMar>
          </w:tcPr>
          <w:p w14:paraId="6E2928F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Herbicider</w:t>
            </w:r>
          </w:p>
        </w:tc>
        <w:tc>
          <w:tcPr>
            <w:tcW w:w="992" w:type="dxa"/>
            <w:tcMar>
              <w:left w:w="28" w:type="dxa"/>
              <w:right w:w="28" w:type="dxa"/>
            </w:tcMar>
          </w:tcPr>
          <w:p w14:paraId="3C148A0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886-50-0</w:t>
            </w:r>
          </w:p>
        </w:tc>
        <w:tc>
          <w:tcPr>
            <w:tcW w:w="1134" w:type="dxa"/>
          </w:tcPr>
          <w:p w14:paraId="7B001EB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212-950-5</w:t>
            </w:r>
          </w:p>
        </w:tc>
        <w:tc>
          <w:tcPr>
            <w:tcW w:w="1279" w:type="dxa"/>
            <w:tcMar>
              <w:left w:w="28" w:type="dxa"/>
              <w:right w:w="28" w:type="dxa"/>
            </w:tcMar>
          </w:tcPr>
          <w:p w14:paraId="4EA702B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0,065</w:t>
            </w:r>
          </w:p>
        </w:tc>
        <w:tc>
          <w:tcPr>
            <w:tcW w:w="1279" w:type="dxa"/>
            <w:tcMar>
              <w:left w:w="28" w:type="dxa"/>
              <w:right w:w="28" w:type="dxa"/>
            </w:tcMar>
          </w:tcPr>
          <w:p w14:paraId="7820BF3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0,0065</w:t>
            </w:r>
          </w:p>
        </w:tc>
        <w:tc>
          <w:tcPr>
            <w:tcW w:w="1278" w:type="dxa"/>
            <w:tcMar>
              <w:left w:w="28" w:type="dxa"/>
              <w:right w:w="28" w:type="dxa"/>
            </w:tcMar>
          </w:tcPr>
          <w:p w14:paraId="1B5551F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0,34</w:t>
            </w:r>
          </w:p>
        </w:tc>
        <w:tc>
          <w:tcPr>
            <w:tcW w:w="1277" w:type="dxa"/>
            <w:tcMar>
              <w:left w:w="28" w:type="dxa"/>
              <w:right w:w="28" w:type="dxa"/>
            </w:tcMar>
          </w:tcPr>
          <w:p w14:paraId="333548D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0,034</w:t>
            </w:r>
          </w:p>
        </w:tc>
        <w:tc>
          <w:tcPr>
            <w:tcW w:w="1136" w:type="dxa"/>
            <w:tcMar>
              <w:left w:w="28" w:type="dxa"/>
              <w:right w:w="28" w:type="dxa"/>
            </w:tcMar>
          </w:tcPr>
          <w:p w14:paraId="1E375198"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4B41FBA0" w14:textId="77777777" w:rsidR="00B551B3" w:rsidRPr="00393250" w:rsidRDefault="00B551B3" w:rsidP="00B551B3">
            <w:pPr>
              <w:widowControl/>
              <w:spacing w:before="40" w:after="40"/>
              <w:rPr>
                <w:rFonts w:eastAsia="Calibri"/>
                <w:noProof/>
                <w:sz w:val="22"/>
                <w:szCs w:val="22"/>
                <w:lang w:eastAsia="en-US"/>
              </w:rPr>
            </w:pPr>
          </w:p>
        </w:tc>
        <w:tc>
          <w:tcPr>
            <w:tcW w:w="1153" w:type="dxa"/>
            <w:tcMar>
              <w:left w:w="28" w:type="dxa"/>
              <w:right w:w="28" w:type="dxa"/>
            </w:tcMar>
          </w:tcPr>
          <w:p w14:paraId="3D5F06F0"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0199E88D"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00417571" w14:textId="77777777" w:rsidTr="00B551B3">
        <w:trPr>
          <w:gridBefore w:val="1"/>
          <w:wBefore w:w="12" w:type="dxa"/>
          <w:tblHeader/>
          <w:jc w:val="center"/>
        </w:trPr>
        <w:tc>
          <w:tcPr>
            <w:tcW w:w="834" w:type="dxa"/>
            <w:tcMar>
              <w:left w:w="28" w:type="dxa"/>
              <w:right w:w="28" w:type="dxa"/>
            </w:tcMar>
          </w:tcPr>
          <w:p w14:paraId="77BADD2B"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(46)</w:t>
            </w:r>
          </w:p>
        </w:tc>
        <w:tc>
          <w:tcPr>
            <w:tcW w:w="2103" w:type="dxa"/>
            <w:gridSpan w:val="2"/>
            <w:shd w:val="clear" w:color="auto" w:fill="auto"/>
            <w:tcMar>
              <w:left w:w="28" w:type="dxa"/>
              <w:right w:w="28" w:type="dxa"/>
            </w:tcMar>
          </w:tcPr>
          <w:p w14:paraId="56C3BD6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17 alpha-ethinylestradiol (EE2)</w:t>
            </w:r>
          </w:p>
        </w:tc>
        <w:tc>
          <w:tcPr>
            <w:tcW w:w="1329" w:type="dxa"/>
            <w:shd w:val="clear" w:color="auto" w:fill="auto"/>
            <w:tcMar>
              <w:left w:w="28" w:type="dxa"/>
              <w:right w:w="28" w:type="dxa"/>
            </w:tcMar>
          </w:tcPr>
          <w:p w14:paraId="2E462DE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Lægemidler (østrogene hormoner)</w:t>
            </w:r>
          </w:p>
        </w:tc>
        <w:tc>
          <w:tcPr>
            <w:tcW w:w="992" w:type="dxa"/>
            <w:shd w:val="clear" w:color="auto" w:fill="auto"/>
            <w:tcMar>
              <w:left w:w="28" w:type="dxa"/>
              <w:right w:w="28" w:type="dxa"/>
            </w:tcMar>
          </w:tcPr>
          <w:p w14:paraId="555BB8B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57-63-6</w:t>
            </w:r>
          </w:p>
        </w:tc>
        <w:tc>
          <w:tcPr>
            <w:tcW w:w="1134" w:type="dxa"/>
          </w:tcPr>
          <w:p w14:paraId="3AC9BDA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200-342-2</w:t>
            </w:r>
          </w:p>
        </w:tc>
        <w:tc>
          <w:tcPr>
            <w:tcW w:w="1279" w:type="dxa"/>
            <w:shd w:val="clear" w:color="auto" w:fill="auto"/>
            <w:tcMar>
              <w:left w:w="28" w:type="dxa"/>
              <w:right w:w="28" w:type="dxa"/>
            </w:tcMar>
          </w:tcPr>
          <w:p w14:paraId="687DE84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1,7 × 10</w:t>
            </w:r>
            <w:r w:rsidRPr="00393250">
              <w:rPr>
                <w:rFonts w:eastAsia="Calibri"/>
                <w:noProof/>
                <w:sz w:val="22"/>
                <w:szCs w:val="22"/>
                <w:vertAlign w:val="superscript"/>
                <w:lang w:eastAsia="en-US"/>
              </w:rPr>
              <w:t>-5</w:t>
            </w:r>
          </w:p>
        </w:tc>
        <w:tc>
          <w:tcPr>
            <w:tcW w:w="1279" w:type="dxa"/>
            <w:shd w:val="clear" w:color="auto" w:fill="auto"/>
            <w:tcMar>
              <w:left w:w="28" w:type="dxa"/>
              <w:right w:w="28" w:type="dxa"/>
            </w:tcMar>
          </w:tcPr>
          <w:p w14:paraId="41454E4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1,6 × 10</w:t>
            </w:r>
            <w:r w:rsidRPr="00393250">
              <w:rPr>
                <w:rFonts w:eastAsia="Calibri"/>
                <w:noProof/>
                <w:sz w:val="22"/>
                <w:szCs w:val="22"/>
                <w:vertAlign w:val="superscript"/>
                <w:lang w:eastAsia="en-US"/>
              </w:rPr>
              <w:t>-6</w:t>
            </w:r>
          </w:p>
        </w:tc>
        <w:tc>
          <w:tcPr>
            <w:tcW w:w="1278" w:type="dxa"/>
            <w:shd w:val="clear" w:color="auto" w:fill="auto"/>
            <w:tcMar>
              <w:left w:w="28" w:type="dxa"/>
              <w:right w:w="28" w:type="dxa"/>
            </w:tcMar>
          </w:tcPr>
          <w:p w14:paraId="1AD9BDA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ikke afledt</w:t>
            </w:r>
          </w:p>
        </w:tc>
        <w:tc>
          <w:tcPr>
            <w:tcW w:w="1277" w:type="dxa"/>
            <w:shd w:val="clear" w:color="auto" w:fill="auto"/>
            <w:tcMar>
              <w:left w:w="28" w:type="dxa"/>
              <w:right w:w="28" w:type="dxa"/>
            </w:tcMar>
          </w:tcPr>
          <w:p w14:paraId="2E4CCBA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ikke afledt</w:t>
            </w:r>
          </w:p>
        </w:tc>
        <w:tc>
          <w:tcPr>
            <w:tcW w:w="1136" w:type="dxa"/>
            <w:shd w:val="clear" w:color="auto" w:fill="auto"/>
            <w:tcMar>
              <w:left w:w="28" w:type="dxa"/>
              <w:right w:w="28" w:type="dxa"/>
            </w:tcMar>
          </w:tcPr>
          <w:p w14:paraId="532D199C"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043C5702" w14:textId="77777777" w:rsidR="00B551B3" w:rsidRPr="00393250" w:rsidRDefault="00B551B3" w:rsidP="00B551B3">
            <w:pPr>
              <w:widowControl/>
              <w:spacing w:before="40" w:after="40"/>
              <w:rPr>
                <w:rFonts w:eastAsia="Calibri"/>
                <w:noProof/>
                <w:sz w:val="22"/>
                <w:szCs w:val="22"/>
                <w:lang w:eastAsia="en-US"/>
              </w:rPr>
            </w:pPr>
          </w:p>
        </w:tc>
        <w:tc>
          <w:tcPr>
            <w:tcW w:w="1153" w:type="dxa"/>
            <w:tcMar>
              <w:left w:w="28" w:type="dxa"/>
              <w:right w:w="28" w:type="dxa"/>
            </w:tcMar>
          </w:tcPr>
          <w:p w14:paraId="19E29955"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25210ECC"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46A177D1" w14:textId="77777777" w:rsidTr="00B551B3">
        <w:trPr>
          <w:gridBefore w:val="1"/>
          <w:wBefore w:w="12" w:type="dxa"/>
          <w:tblHeader/>
          <w:jc w:val="center"/>
        </w:trPr>
        <w:tc>
          <w:tcPr>
            <w:tcW w:w="834" w:type="dxa"/>
            <w:tcMar>
              <w:left w:w="28" w:type="dxa"/>
              <w:right w:w="28" w:type="dxa"/>
            </w:tcMar>
          </w:tcPr>
          <w:p w14:paraId="6A430E8B"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(47)</w:t>
            </w:r>
          </w:p>
        </w:tc>
        <w:tc>
          <w:tcPr>
            <w:tcW w:w="2103" w:type="dxa"/>
            <w:gridSpan w:val="2"/>
            <w:shd w:val="clear" w:color="auto" w:fill="auto"/>
            <w:tcMar>
              <w:left w:w="28" w:type="dxa"/>
              <w:right w:w="28" w:type="dxa"/>
            </w:tcMar>
          </w:tcPr>
          <w:p w14:paraId="2991E7E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17 beta-estradiol (E2)</w:t>
            </w:r>
          </w:p>
        </w:tc>
        <w:tc>
          <w:tcPr>
            <w:tcW w:w="1329" w:type="dxa"/>
            <w:shd w:val="clear" w:color="auto" w:fill="auto"/>
            <w:tcMar>
              <w:left w:w="28" w:type="dxa"/>
              <w:right w:w="28" w:type="dxa"/>
            </w:tcMar>
          </w:tcPr>
          <w:p w14:paraId="5D7B59D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Lægemidler (østrogene hormoner)</w:t>
            </w:r>
          </w:p>
        </w:tc>
        <w:tc>
          <w:tcPr>
            <w:tcW w:w="992" w:type="dxa"/>
            <w:shd w:val="clear" w:color="auto" w:fill="auto"/>
            <w:tcMar>
              <w:left w:w="28" w:type="dxa"/>
              <w:right w:w="28" w:type="dxa"/>
            </w:tcMar>
          </w:tcPr>
          <w:p w14:paraId="603393A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50-28-2</w:t>
            </w:r>
          </w:p>
        </w:tc>
        <w:tc>
          <w:tcPr>
            <w:tcW w:w="1134" w:type="dxa"/>
          </w:tcPr>
          <w:p w14:paraId="35B37C9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200-023-8</w:t>
            </w:r>
          </w:p>
        </w:tc>
        <w:tc>
          <w:tcPr>
            <w:tcW w:w="1279" w:type="dxa"/>
            <w:shd w:val="clear" w:color="auto" w:fill="auto"/>
            <w:tcMar>
              <w:left w:w="28" w:type="dxa"/>
              <w:right w:w="28" w:type="dxa"/>
            </w:tcMar>
          </w:tcPr>
          <w:p w14:paraId="41BFF61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0,00018</w:t>
            </w:r>
          </w:p>
        </w:tc>
        <w:tc>
          <w:tcPr>
            <w:tcW w:w="1279" w:type="dxa"/>
            <w:shd w:val="clear" w:color="auto" w:fill="auto"/>
            <w:tcMar>
              <w:left w:w="28" w:type="dxa"/>
              <w:right w:w="28" w:type="dxa"/>
            </w:tcMar>
          </w:tcPr>
          <w:p w14:paraId="7C518C0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9 × 10</w:t>
            </w:r>
            <w:r w:rsidRPr="00393250">
              <w:rPr>
                <w:rFonts w:eastAsia="Calibri"/>
                <w:noProof/>
                <w:sz w:val="22"/>
                <w:szCs w:val="22"/>
                <w:vertAlign w:val="superscript"/>
                <w:lang w:eastAsia="en-US"/>
              </w:rPr>
              <w:t>-6</w:t>
            </w:r>
          </w:p>
        </w:tc>
        <w:tc>
          <w:tcPr>
            <w:tcW w:w="1278" w:type="dxa"/>
            <w:shd w:val="clear" w:color="auto" w:fill="auto"/>
            <w:tcMar>
              <w:left w:w="28" w:type="dxa"/>
              <w:right w:w="28" w:type="dxa"/>
            </w:tcMar>
          </w:tcPr>
          <w:p w14:paraId="5F75CC0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ikke afledt</w:t>
            </w:r>
          </w:p>
        </w:tc>
        <w:tc>
          <w:tcPr>
            <w:tcW w:w="1277" w:type="dxa"/>
            <w:shd w:val="clear" w:color="auto" w:fill="auto"/>
            <w:tcMar>
              <w:left w:w="28" w:type="dxa"/>
              <w:right w:w="28" w:type="dxa"/>
            </w:tcMar>
          </w:tcPr>
          <w:p w14:paraId="4521CA9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ikke afledt</w:t>
            </w:r>
          </w:p>
        </w:tc>
        <w:tc>
          <w:tcPr>
            <w:tcW w:w="1136" w:type="dxa"/>
            <w:shd w:val="clear" w:color="auto" w:fill="auto"/>
            <w:tcMar>
              <w:left w:w="28" w:type="dxa"/>
              <w:right w:w="28" w:type="dxa"/>
            </w:tcMar>
          </w:tcPr>
          <w:p w14:paraId="3C65E1B7"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2B9101AC" w14:textId="77777777" w:rsidR="00B551B3" w:rsidRPr="00393250" w:rsidRDefault="00B551B3" w:rsidP="00B551B3">
            <w:pPr>
              <w:widowControl/>
              <w:spacing w:before="40" w:after="40"/>
              <w:rPr>
                <w:rFonts w:eastAsia="Calibri"/>
                <w:noProof/>
                <w:sz w:val="22"/>
                <w:szCs w:val="22"/>
                <w:lang w:eastAsia="en-US"/>
              </w:rPr>
            </w:pPr>
          </w:p>
        </w:tc>
        <w:tc>
          <w:tcPr>
            <w:tcW w:w="1153" w:type="dxa"/>
            <w:tcMar>
              <w:left w:w="28" w:type="dxa"/>
              <w:right w:w="28" w:type="dxa"/>
            </w:tcMar>
          </w:tcPr>
          <w:p w14:paraId="74F9F54E"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344498AA"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6A22D8B1" w14:textId="77777777" w:rsidTr="00B551B3">
        <w:trPr>
          <w:gridBefore w:val="1"/>
          <w:wBefore w:w="12" w:type="dxa"/>
          <w:tblHeader/>
          <w:jc w:val="center"/>
        </w:trPr>
        <w:tc>
          <w:tcPr>
            <w:tcW w:w="834" w:type="dxa"/>
            <w:tcMar>
              <w:left w:w="28" w:type="dxa"/>
              <w:right w:w="28" w:type="dxa"/>
            </w:tcMar>
          </w:tcPr>
          <w:p w14:paraId="3B7E6066"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(48)</w:t>
            </w:r>
          </w:p>
        </w:tc>
        <w:tc>
          <w:tcPr>
            <w:tcW w:w="2103" w:type="dxa"/>
            <w:gridSpan w:val="2"/>
            <w:shd w:val="clear" w:color="auto" w:fill="auto"/>
            <w:tcMar>
              <w:left w:w="28" w:type="dxa"/>
              <w:right w:w="28" w:type="dxa"/>
            </w:tcMar>
          </w:tcPr>
          <w:p w14:paraId="7A44E9D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Acetamiprid</w:t>
            </w:r>
          </w:p>
        </w:tc>
        <w:tc>
          <w:tcPr>
            <w:tcW w:w="1329" w:type="dxa"/>
            <w:shd w:val="clear" w:color="auto" w:fill="auto"/>
            <w:tcMar>
              <w:left w:w="28" w:type="dxa"/>
              <w:right w:w="28" w:type="dxa"/>
            </w:tcMar>
          </w:tcPr>
          <w:p w14:paraId="40CCC80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Neonicotinoid-pesticider</w:t>
            </w:r>
          </w:p>
        </w:tc>
        <w:tc>
          <w:tcPr>
            <w:tcW w:w="992" w:type="dxa"/>
            <w:shd w:val="clear" w:color="auto" w:fill="auto"/>
            <w:tcMar>
              <w:left w:w="28" w:type="dxa"/>
              <w:right w:w="28" w:type="dxa"/>
            </w:tcMar>
          </w:tcPr>
          <w:p w14:paraId="0B23BC3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135410-20-7/160430-64-8</w:t>
            </w:r>
          </w:p>
        </w:tc>
        <w:tc>
          <w:tcPr>
            <w:tcW w:w="1134" w:type="dxa"/>
          </w:tcPr>
          <w:p w14:paraId="74F78E5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603-921-1</w:t>
            </w:r>
          </w:p>
        </w:tc>
        <w:tc>
          <w:tcPr>
            <w:tcW w:w="1279" w:type="dxa"/>
            <w:shd w:val="clear" w:color="auto" w:fill="auto"/>
            <w:tcMar>
              <w:left w:w="28" w:type="dxa"/>
              <w:right w:w="28" w:type="dxa"/>
            </w:tcMar>
          </w:tcPr>
          <w:p w14:paraId="581CD16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0,037</w:t>
            </w:r>
          </w:p>
        </w:tc>
        <w:tc>
          <w:tcPr>
            <w:tcW w:w="1279" w:type="dxa"/>
            <w:shd w:val="clear" w:color="auto" w:fill="auto"/>
            <w:tcMar>
              <w:left w:w="28" w:type="dxa"/>
              <w:right w:w="28" w:type="dxa"/>
            </w:tcMar>
          </w:tcPr>
          <w:p w14:paraId="649A845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0,0037</w:t>
            </w:r>
          </w:p>
        </w:tc>
        <w:tc>
          <w:tcPr>
            <w:tcW w:w="1278" w:type="dxa"/>
            <w:shd w:val="clear" w:color="auto" w:fill="auto"/>
            <w:tcMar>
              <w:left w:w="28" w:type="dxa"/>
              <w:right w:w="28" w:type="dxa"/>
            </w:tcMar>
          </w:tcPr>
          <w:p w14:paraId="16D38CE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0,16</w:t>
            </w:r>
          </w:p>
        </w:tc>
        <w:tc>
          <w:tcPr>
            <w:tcW w:w="1277" w:type="dxa"/>
            <w:shd w:val="clear" w:color="auto" w:fill="auto"/>
            <w:tcMar>
              <w:left w:w="28" w:type="dxa"/>
              <w:right w:w="28" w:type="dxa"/>
            </w:tcMar>
          </w:tcPr>
          <w:p w14:paraId="4CD0E2C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0,016</w:t>
            </w:r>
          </w:p>
        </w:tc>
        <w:tc>
          <w:tcPr>
            <w:tcW w:w="1136" w:type="dxa"/>
            <w:shd w:val="clear" w:color="auto" w:fill="auto"/>
            <w:tcMar>
              <w:left w:w="28" w:type="dxa"/>
              <w:right w:w="28" w:type="dxa"/>
            </w:tcMar>
          </w:tcPr>
          <w:p w14:paraId="04984E2D"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61FBC713" w14:textId="77777777" w:rsidR="00B551B3" w:rsidRPr="00393250" w:rsidRDefault="00B551B3" w:rsidP="00B551B3">
            <w:pPr>
              <w:widowControl/>
              <w:spacing w:before="40" w:after="40"/>
              <w:rPr>
                <w:rFonts w:eastAsia="Calibri"/>
                <w:noProof/>
                <w:sz w:val="22"/>
                <w:szCs w:val="22"/>
                <w:lang w:eastAsia="en-US"/>
              </w:rPr>
            </w:pPr>
          </w:p>
        </w:tc>
        <w:tc>
          <w:tcPr>
            <w:tcW w:w="1153" w:type="dxa"/>
            <w:tcMar>
              <w:left w:w="28" w:type="dxa"/>
              <w:right w:w="28" w:type="dxa"/>
            </w:tcMar>
          </w:tcPr>
          <w:p w14:paraId="1310FC9F"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0DB815A3" w14:textId="77777777" w:rsidR="00B551B3" w:rsidRPr="00393250" w:rsidRDefault="00B551B3" w:rsidP="00B551B3">
            <w:pPr>
              <w:widowControl/>
              <w:spacing w:before="40" w:after="40"/>
              <w:rPr>
                <w:rFonts w:eastAsia="Calibri"/>
                <w:noProof/>
                <w:sz w:val="22"/>
                <w:szCs w:val="22"/>
                <w:lang w:eastAsia="en-US"/>
              </w:rPr>
            </w:pPr>
          </w:p>
        </w:tc>
      </w:tr>
    </w:tbl>
    <w:p w14:paraId="595AB2E9" w14:textId="77777777" w:rsidR="00350DAB" w:rsidRPr="00393250" w:rsidRDefault="00350DAB">
      <w:r w:rsidRPr="00393250">
        <w:br w:type="page"/>
      </w:r>
    </w:p>
    <w:tbl>
      <w:tblPr>
        <w:tblW w:w="16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4"/>
        <w:gridCol w:w="2103"/>
        <w:gridCol w:w="1329"/>
        <w:gridCol w:w="992"/>
        <w:gridCol w:w="1134"/>
        <w:gridCol w:w="1279"/>
        <w:gridCol w:w="1279"/>
        <w:gridCol w:w="1278"/>
        <w:gridCol w:w="1277"/>
        <w:gridCol w:w="1136"/>
        <w:gridCol w:w="1262"/>
        <w:gridCol w:w="1153"/>
        <w:gridCol w:w="970"/>
      </w:tblGrid>
      <w:tr w:rsidR="00B551B3" w:rsidRPr="00393250" w14:paraId="1FCBA38E" w14:textId="77777777" w:rsidTr="00350DAB">
        <w:trPr>
          <w:tblHeader/>
          <w:jc w:val="center"/>
        </w:trPr>
        <w:tc>
          <w:tcPr>
            <w:tcW w:w="834" w:type="dxa"/>
            <w:tcMar>
              <w:left w:w="28" w:type="dxa"/>
              <w:right w:w="28" w:type="dxa"/>
            </w:tcMar>
          </w:tcPr>
          <w:p w14:paraId="55DFED45" w14:textId="40E98331"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(49)</w:t>
            </w:r>
          </w:p>
        </w:tc>
        <w:tc>
          <w:tcPr>
            <w:tcW w:w="2103" w:type="dxa"/>
            <w:shd w:val="clear" w:color="auto" w:fill="auto"/>
            <w:tcMar>
              <w:left w:w="28" w:type="dxa"/>
              <w:right w:w="28" w:type="dxa"/>
            </w:tcMar>
          </w:tcPr>
          <w:p w14:paraId="0A9E4A4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Anzithromycin</w:t>
            </w:r>
          </w:p>
        </w:tc>
        <w:tc>
          <w:tcPr>
            <w:tcW w:w="1329" w:type="dxa"/>
            <w:shd w:val="clear" w:color="auto" w:fill="auto"/>
            <w:tcMar>
              <w:left w:w="28" w:type="dxa"/>
              <w:right w:w="28" w:type="dxa"/>
            </w:tcMar>
          </w:tcPr>
          <w:p w14:paraId="75947A4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Lægemidler (makrolid-antibiotika)</w:t>
            </w:r>
          </w:p>
        </w:tc>
        <w:tc>
          <w:tcPr>
            <w:tcW w:w="992" w:type="dxa"/>
            <w:shd w:val="clear" w:color="auto" w:fill="auto"/>
            <w:tcMar>
              <w:left w:w="28" w:type="dxa"/>
              <w:right w:w="28" w:type="dxa"/>
            </w:tcMar>
          </w:tcPr>
          <w:p w14:paraId="5C24ED7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83905-01-5</w:t>
            </w:r>
          </w:p>
        </w:tc>
        <w:tc>
          <w:tcPr>
            <w:tcW w:w="1134" w:type="dxa"/>
          </w:tcPr>
          <w:p w14:paraId="0FB77E4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617-500-5</w:t>
            </w:r>
          </w:p>
        </w:tc>
        <w:tc>
          <w:tcPr>
            <w:tcW w:w="1279" w:type="dxa"/>
            <w:shd w:val="clear" w:color="auto" w:fill="auto"/>
            <w:tcMar>
              <w:left w:w="28" w:type="dxa"/>
              <w:right w:w="28" w:type="dxa"/>
            </w:tcMar>
          </w:tcPr>
          <w:p w14:paraId="0D74F1B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0,019</w:t>
            </w:r>
          </w:p>
        </w:tc>
        <w:tc>
          <w:tcPr>
            <w:tcW w:w="1279" w:type="dxa"/>
            <w:shd w:val="clear" w:color="auto" w:fill="auto"/>
            <w:tcMar>
              <w:left w:w="28" w:type="dxa"/>
              <w:right w:w="28" w:type="dxa"/>
            </w:tcMar>
          </w:tcPr>
          <w:p w14:paraId="5A68E31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0,0019</w:t>
            </w:r>
          </w:p>
        </w:tc>
        <w:tc>
          <w:tcPr>
            <w:tcW w:w="1278" w:type="dxa"/>
            <w:shd w:val="clear" w:color="auto" w:fill="auto"/>
            <w:tcMar>
              <w:left w:w="28" w:type="dxa"/>
              <w:right w:w="28" w:type="dxa"/>
            </w:tcMar>
          </w:tcPr>
          <w:p w14:paraId="04DD211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0,18</w:t>
            </w:r>
          </w:p>
        </w:tc>
        <w:tc>
          <w:tcPr>
            <w:tcW w:w="1277" w:type="dxa"/>
            <w:shd w:val="clear" w:color="auto" w:fill="auto"/>
            <w:tcMar>
              <w:left w:w="28" w:type="dxa"/>
              <w:right w:w="28" w:type="dxa"/>
            </w:tcMar>
          </w:tcPr>
          <w:p w14:paraId="324AE4C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0,018</w:t>
            </w:r>
          </w:p>
        </w:tc>
        <w:tc>
          <w:tcPr>
            <w:tcW w:w="1136" w:type="dxa"/>
            <w:shd w:val="clear" w:color="auto" w:fill="auto"/>
            <w:tcMar>
              <w:left w:w="28" w:type="dxa"/>
              <w:right w:w="28" w:type="dxa"/>
            </w:tcMar>
          </w:tcPr>
          <w:p w14:paraId="7E380221"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45B6A9A5" w14:textId="77777777" w:rsidR="00B551B3" w:rsidRPr="00393250" w:rsidRDefault="00B551B3" w:rsidP="00B551B3">
            <w:pPr>
              <w:widowControl/>
              <w:spacing w:before="40" w:after="40"/>
              <w:rPr>
                <w:rFonts w:eastAsia="Calibri"/>
                <w:noProof/>
                <w:sz w:val="22"/>
                <w:szCs w:val="22"/>
                <w:lang w:eastAsia="en-US"/>
              </w:rPr>
            </w:pPr>
          </w:p>
        </w:tc>
        <w:tc>
          <w:tcPr>
            <w:tcW w:w="1153" w:type="dxa"/>
            <w:tcMar>
              <w:left w:w="28" w:type="dxa"/>
              <w:right w:w="28" w:type="dxa"/>
            </w:tcMar>
          </w:tcPr>
          <w:p w14:paraId="0B96E9F3"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3799BBE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6AF646CE" w14:textId="77777777" w:rsidTr="00350DAB">
        <w:trPr>
          <w:tblHeader/>
          <w:jc w:val="center"/>
        </w:trPr>
        <w:tc>
          <w:tcPr>
            <w:tcW w:w="834" w:type="dxa"/>
            <w:tcMar>
              <w:left w:w="28" w:type="dxa"/>
              <w:right w:w="28" w:type="dxa"/>
            </w:tcMar>
          </w:tcPr>
          <w:p w14:paraId="624E4F5B"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(50)</w:t>
            </w:r>
          </w:p>
        </w:tc>
        <w:tc>
          <w:tcPr>
            <w:tcW w:w="2103" w:type="dxa"/>
            <w:shd w:val="clear" w:color="auto" w:fill="auto"/>
            <w:tcMar>
              <w:left w:w="28" w:type="dxa"/>
              <w:right w:w="28" w:type="dxa"/>
            </w:tcMar>
          </w:tcPr>
          <w:p w14:paraId="71474EE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Befenthrin</w:t>
            </w:r>
          </w:p>
        </w:tc>
        <w:tc>
          <w:tcPr>
            <w:tcW w:w="1329" w:type="dxa"/>
            <w:shd w:val="clear" w:color="auto" w:fill="auto"/>
            <w:tcMar>
              <w:left w:w="28" w:type="dxa"/>
              <w:right w:w="28" w:type="dxa"/>
            </w:tcMar>
          </w:tcPr>
          <w:p w14:paraId="57AB66A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Pyrethroidpesticider</w:t>
            </w:r>
          </w:p>
        </w:tc>
        <w:tc>
          <w:tcPr>
            <w:tcW w:w="992" w:type="dxa"/>
            <w:shd w:val="clear" w:color="auto" w:fill="auto"/>
            <w:tcMar>
              <w:left w:w="28" w:type="dxa"/>
              <w:right w:w="28" w:type="dxa"/>
            </w:tcMar>
          </w:tcPr>
          <w:p w14:paraId="658F353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82657-04-3</w:t>
            </w:r>
          </w:p>
        </w:tc>
        <w:tc>
          <w:tcPr>
            <w:tcW w:w="1134" w:type="dxa"/>
          </w:tcPr>
          <w:p w14:paraId="41F88F0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617-373-6</w:t>
            </w:r>
          </w:p>
        </w:tc>
        <w:tc>
          <w:tcPr>
            <w:tcW w:w="1279" w:type="dxa"/>
            <w:shd w:val="clear" w:color="auto" w:fill="auto"/>
            <w:tcMar>
              <w:left w:w="28" w:type="dxa"/>
              <w:right w:w="28" w:type="dxa"/>
            </w:tcMar>
          </w:tcPr>
          <w:p w14:paraId="77943E3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9,5 × 10</w:t>
            </w:r>
            <w:r w:rsidRPr="00393250">
              <w:rPr>
                <w:rFonts w:eastAsia="Calibri"/>
                <w:noProof/>
                <w:sz w:val="22"/>
                <w:szCs w:val="22"/>
                <w:vertAlign w:val="superscript"/>
                <w:lang w:eastAsia="en-US"/>
              </w:rPr>
              <w:t>-5</w:t>
            </w:r>
          </w:p>
        </w:tc>
        <w:tc>
          <w:tcPr>
            <w:tcW w:w="1279" w:type="dxa"/>
            <w:shd w:val="clear" w:color="auto" w:fill="auto"/>
            <w:tcMar>
              <w:left w:w="28" w:type="dxa"/>
              <w:right w:w="28" w:type="dxa"/>
            </w:tcMar>
          </w:tcPr>
          <w:p w14:paraId="0D24683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9,5 × 10</w:t>
            </w:r>
            <w:r w:rsidRPr="00393250">
              <w:rPr>
                <w:rFonts w:eastAsia="Calibri"/>
                <w:noProof/>
                <w:sz w:val="22"/>
                <w:szCs w:val="22"/>
                <w:vertAlign w:val="superscript"/>
                <w:lang w:eastAsia="en-US"/>
              </w:rPr>
              <w:t>-6</w:t>
            </w:r>
          </w:p>
        </w:tc>
        <w:tc>
          <w:tcPr>
            <w:tcW w:w="1278" w:type="dxa"/>
            <w:shd w:val="clear" w:color="auto" w:fill="auto"/>
            <w:tcMar>
              <w:left w:w="28" w:type="dxa"/>
              <w:right w:w="28" w:type="dxa"/>
            </w:tcMar>
          </w:tcPr>
          <w:p w14:paraId="48BE55A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0,011</w:t>
            </w:r>
          </w:p>
        </w:tc>
        <w:tc>
          <w:tcPr>
            <w:tcW w:w="1277" w:type="dxa"/>
            <w:shd w:val="clear" w:color="auto" w:fill="auto"/>
            <w:tcMar>
              <w:left w:w="28" w:type="dxa"/>
              <w:right w:w="28" w:type="dxa"/>
            </w:tcMar>
          </w:tcPr>
          <w:p w14:paraId="48E8BB7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0,001</w:t>
            </w:r>
          </w:p>
        </w:tc>
        <w:tc>
          <w:tcPr>
            <w:tcW w:w="1136" w:type="dxa"/>
            <w:shd w:val="clear" w:color="auto" w:fill="auto"/>
            <w:tcMar>
              <w:left w:w="28" w:type="dxa"/>
              <w:right w:w="28" w:type="dxa"/>
            </w:tcMar>
          </w:tcPr>
          <w:p w14:paraId="236B9460"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7127F4CC" w14:textId="77777777" w:rsidR="00B551B3" w:rsidRPr="00393250" w:rsidRDefault="00B551B3" w:rsidP="00B551B3">
            <w:pPr>
              <w:widowControl/>
              <w:spacing w:before="40" w:after="40"/>
              <w:rPr>
                <w:rFonts w:eastAsia="Calibri"/>
                <w:noProof/>
                <w:sz w:val="22"/>
                <w:szCs w:val="22"/>
                <w:lang w:eastAsia="en-US"/>
              </w:rPr>
            </w:pPr>
          </w:p>
        </w:tc>
        <w:tc>
          <w:tcPr>
            <w:tcW w:w="1153" w:type="dxa"/>
            <w:tcMar>
              <w:left w:w="28" w:type="dxa"/>
              <w:right w:w="28" w:type="dxa"/>
            </w:tcMar>
          </w:tcPr>
          <w:p w14:paraId="24E732B8"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5491730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49531E30" w14:textId="77777777" w:rsidTr="00350DAB">
        <w:trPr>
          <w:tblHeader/>
          <w:jc w:val="center"/>
        </w:trPr>
        <w:tc>
          <w:tcPr>
            <w:tcW w:w="834" w:type="dxa"/>
            <w:tcMar>
              <w:left w:w="28" w:type="dxa"/>
              <w:right w:w="28" w:type="dxa"/>
            </w:tcMar>
          </w:tcPr>
          <w:p w14:paraId="05072B53" w14:textId="77777777" w:rsidR="00B551B3" w:rsidRPr="00393250" w:rsidRDefault="00B551B3" w:rsidP="00B551B3">
            <w:pPr>
              <w:keepNext/>
              <w:widowControl/>
              <w:spacing w:before="40" w:after="40"/>
              <w:jc w:val="both"/>
              <w:rPr>
                <w:rFonts w:eastAsia="Calibri"/>
                <w:noProof/>
                <w:sz w:val="22"/>
                <w:szCs w:val="22"/>
                <w:lang w:eastAsia="en-US"/>
              </w:rPr>
            </w:pPr>
            <w:r w:rsidRPr="00393250">
              <w:rPr>
                <w:rFonts w:eastAsia="Calibri"/>
                <w:noProof/>
                <w:sz w:val="22"/>
                <w:szCs w:val="22"/>
                <w:lang w:eastAsia="en-US"/>
              </w:rPr>
              <w:t>(51)</w:t>
            </w:r>
          </w:p>
        </w:tc>
        <w:tc>
          <w:tcPr>
            <w:tcW w:w="2103" w:type="dxa"/>
            <w:shd w:val="clear" w:color="auto" w:fill="auto"/>
            <w:tcMar>
              <w:left w:w="28" w:type="dxa"/>
              <w:right w:w="28" w:type="dxa"/>
            </w:tcMar>
          </w:tcPr>
          <w:p w14:paraId="7F15C493"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Bisphenol-A (BPA)</w:t>
            </w:r>
          </w:p>
        </w:tc>
        <w:tc>
          <w:tcPr>
            <w:tcW w:w="1329" w:type="dxa"/>
            <w:shd w:val="clear" w:color="auto" w:fill="auto"/>
            <w:tcMar>
              <w:left w:w="28" w:type="dxa"/>
              <w:right w:w="28" w:type="dxa"/>
            </w:tcMar>
          </w:tcPr>
          <w:p w14:paraId="012328CD"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Industristoffer</w:t>
            </w:r>
          </w:p>
        </w:tc>
        <w:tc>
          <w:tcPr>
            <w:tcW w:w="992" w:type="dxa"/>
            <w:shd w:val="clear" w:color="auto" w:fill="auto"/>
            <w:tcMar>
              <w:left w:w="28" w:type="dxa"/>
              <w:right w:w="28" w:type="dxa"/>
            </w:tcMar>
          </w:tcPr>
          <w:p w14:paraId="3CE0FB71"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80-05-7</w:t>
            </w:r>
          </w:p>
        </w:tc>
        <w:tc>
          <w:tcPr>
            <w:tcW w:w="1134" w:type="dxa"/>
          </w:tcPr>
          <w:p w14:paraId="1E1AF605" w14:textId="77777777" w:rsidR="00B551B3" w:rsidRPr="00393250" w:rsidDel="00E110E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201-245-8</w:t>
            </w:r>
          </w:p>
        </w:tc>
        <w:tc>
          <w:tcPr>
            <w:tcW w:w="1279" w:type="dxa"/>
            <w:shd w:val="clear" w:color="auto" w:fill="auto"/>
            <w:tcMar>
              <w:left w:w="28" w:type="dxa"/>
              <w:right w:w="28" w:type="dxa"/>
            </w:tcMar>
          </w:tcPr>
          <w:p w14:paraId="0B5CE633"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3,4 × 10</w:t>
            </w:r>
            <w:r w:rsidRPr="00393250">
              <w:rPr>
                <w:rFonts w:eastAsia="Calibri"/>
                <w:noProof/>
                <w:sz w:val="22"/>
                <w:szCs w:val="22"/>
                <w:vertAlign w:val="superscript"/>
                <w:lang w:eastAsia="en-US"/>
              </w:rPr>
              <w:t>-5</w:t>
            </w:r>
            <w:r w:rsidRPr="00393250">
              <w:rPr>
                <w:rFonts w:eastAsia="Calibri"/>
                <w:noProof/>
                <w:sz w:val="22"/>
                <w:szCs w:val="22"/>
                <w:lang w:eastAsia="en-US"/>
              </w:rPr>
              <w:t xml:space="preserve"> </w:t>
            </w:r>
          </w:p>
        </w:tc>
        <w:tc>
          <w:tcPr>
            <w:tcW w:w="1279" w:type="dxa"/>
            <w:shd w:val="clear" w:color="auto" w:fill="auto"/>
            <w:tcMar>
              <w:left w:w="28" w:type="dxa"/>
              <w:right w:w="28" w:type="dxa"/>
            </w:tcMar>
          </w:tcPr>
          <w:p w14:paraId="05F7F7D7"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3,4 × 10</w:t>
            </w:r>
            <w:r w:rsidRPr="00393250">
              <w:rPr>
                <w:rFonts w:eastAsia="Calibri"/>
                <w:noProof/>
                <w:sz w:val="22"/>
                <w:szCs w:val="22"/>
                <w:vertAlign w:val="superscript"/>
                <w:lang w:eastAsia="en-US"/>
              </w:rPr>
              <w:t>-5</w:t>
            </w:r>
            <w:r w:rsidRPr="00393250">
              <w:rPr>
                <w:rFonts w:eastAsia="Calibri"/>
                <w:noProof/>
                <w:sz w:val="22"/>
                <w:szCs w:val="22"/>
                <w:lang w:eastAsia="en-US"/>
              </w:rPr>
              <w:t xml:space="preserve"> </w:t>
            </w:r>
          </w:p>
        </w:tc>
        <w:tc>
          <w:tcPr>
            <w:tcW w:w="1278" w:type="dxa"/>
            <w:shd w:val="clear" w:color="auto" w:fill="auto"/>
            <w:tcMar>
              <w:left w:w="28" w:type="dxa"/>
              <w:right w:w="28" w:type="dxa"/>
            </w:tcMar>
          </w:tcPr>
          <w:p w14:paraId="14EBA742"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130</w:t>
            </w:r>
          </w:p>
        </w:tc>
        <w:tc>
          <w:tcPr>
            <w:tcW w:w="1277" w:type="dxa"/>
            <w:shd w:val="clear" w:color="auto" w:fill="auto"/>
            <w:tcMar>
              <w:left w:w="28" w:type="dxa"/>
              <w:right w:w="28" w:type="dxa"/>
            </w:tcMar>
          </w:tcPr>
          <w:p w14:paraId="2F7C52A3"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51</w:t>
            </w:r>
          </w:p>
        </w:tc>
        <w:tc>
          <w:tcPr>
            <w:tcW w:w="1136" w:type="dxa"/>
            <w:shd w:val="clear" w:color="auto" w:fill="auto"/>
            <w:tcMar>
              <w:left w:w="28" w:type="dxa"/>
              <w:right w:w="28" w:type="dxa"/>
            </w:tcMar>
          </w:tcPr>
          <w:p w14:paraId="4F7B11E1"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0,005</w:t>
            </w:r>
          </w:p>
        </w:tc>
        <w:tc>
          <w:tcPr>
            <w:tcW w:w="1262" w:type="dxa"/>
            <w:tcMar>
              <w:left w:w="28" w:type="dxa"/>
              <w:right w:w="28" w:type="dxa"/>
            </w:tcMar>
          </w:tcPr>
          <w:p w14:paraId="3F69B656"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X</w:t>
            </w:r>
          </w:p>
        </w:tc>
        <w:tc>
          <w:tcPr>
            <w:tcW w:w="1153" w:type="dxa"/>
            <w:tcMar>
              <w:left w:w="28" w:type="dxa"/>
              <w:right w:w="28" w:type="dxa"/>
            </w:tcMar>
          </w:tcPr>
          <w:p w14:paraId="5584D3AA" w14:textId="77777777" w:rsidR="00B551B3" w:rsidRPr="00393250" w:rsidRDefault="00B551B3" w:rsidP="00B551B3">
            <w:pPr>
              <w:keepNext/>
              <w:widowControl/>
              <w:spacing w:before="40" w:after="40"/>
              <w:rPr>
                <w:rFonts w:eastAsia="Calibri"/>
                <w:noProof/>
                <w:sz w:val="22"/>
                <w:szCs w:val="22"/>
                <w:lang w:eastAsia="en-US"/>
              </w:rPr>
            </w:pPr>
          </w:p>
        </w:tc>
        <w:tc>
          <w:tcPr>
            <w:tcW w:w="970" w:type="dxa"/>
            <w:tcMar>
              <w:left w:w="28" w:type="dxa"/>
              <w:right w:w="28" w:type="dxa"/>
            </w:tcMar>
          </w:tcPr>
          <w:p w14:paraId="63B8F31A" w14:textId="77777777" w:rsidR="00B551B3" w:rsidRPr="00393250" w:rsidRDefault="00B551B3" w:rsidP="00B551B3">
            <w:pPr>
              <w:keepNext/>
              <w:widowControl/>
              <w:spacing w:before="40" w:after="40"/>
              <w:rPr>
                <w:rFonts w:eastAsia="Calibri"/>
                <w:noProof/>
                <w:sz w:val="22"/>
                <w:szCs w:val="22"/>
                <w:lang w:eastAsia="en-US"/>
              </w:rPr>
            </w:pPr>
          </w:p>
        </w:tc>
      </w:tr>
      <w:tr w:rsidR="00B551B3" w:rsidRPr="00393250" w14:paraId="23551314" w14:textId="77777777" w:rsidTr="00350DAB">
        <w:trPr>
          <w:tblHeader/>
          <w:jc w:val="center"/>
        </w:trPr>
        <w:tc>
          <w:tcPr>
            <w:tcW w:w="834" w:type="dxa"/>
            <w:tcMar>
              <w:left w:w="28" w:type="dxa"/>
              <w:right w:w="28" w:type="dxa"/>
            </w:tcMar>
          </w:tcPr>
          <w:p w14:paraId="14B9E6F0"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(52)</w:t>
            </w:r>
          </w:p>
        </w:tc>
        <w:tc>
          <w:tcPr>
            <w:tcW w:w="2103" w:type="dxa"/>
            <w:shd w:val="clear" w:color="auto" w:fill="auto"/>
            <w:tcMar>
              <w:left w:w="28" w:type="dxa"/>
              <w:right w:w="28" w:type="dxa"/>
            </w:tcMar>
          </w:tcPr>
          <w:p w14:paraId="3ADD545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Carbamazepin</w:t>
            </w:r>
          </w:p>
        </w:tc>
        <w:tc>
          <w:tcPr>
            <w:tcW w:w="1329" w:type="dxa"/>
            <w:shd w:val="clear" w:color="auto" w:fill="auto"/>
            <w:tcMar>
              <w:left w:w="28" w:type="dxa"/>
              <w:right w:w="28" w:type="dxa"/>
            </w:tcMar>
          </w:tcPr>
          <w:p w14:paraId="57F853B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Lægemidler</w:t>
            </w:r>
          </w:p>
        </w:tc>
        <w:tc>
          <w:tcPr>
            <w:tcW w:w="992" w:type="dxa"/>
            <w:shd w:val="clear" w:color="auto" w:fill="auto"/>
            <w:tcMar>
              <w:left w:w="28" w:type="dxa"/>
              <w:right w:w="28" w:type="dxa"/>
            </w:tcMar>
          </w:tcPr>
          <w:p w14:paraId="6CB02E0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298-46-4</w:t>
            </w:r>
          </w:p>
        </w:tc>
        <w:tc>
          <w:tcPr>
            <w:tcW w:w="1134" w:type="dxa"/>
          </w:tcPr>
          <w:p w14:paraId="3DE1C1BE" w14:textId="77777777" w:rsidR="00B551B3" w:rsidRPr="00393250" w:rsidDel="00F376D5"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206-062-7</w:t>
            </w:r>
          </w:p>
        </w:tc>
        <w:tc>
          <w:tcPr>
            <w:tcW w:w="1279" w:type="dxa"/>
            <w:shd w:val="clear" w:color="auto" w:fill="auto"/>
            <w:tcMar>
              <w:left w:w="28" w:type="dxa"/>
              <w:right w:w="28" w:type="dxa"/>
            </w:tcMar>
          </w:tcPr>
          <w:p w14:paraId="18D266B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2,5</w:t>
            </w:r>
          </w:p>
        </w:tc>
        <w:tc>
          <w:tcPr>
            <w:tcW w:w="1279" w:type="dxa"/>
            <w:shd w:val="clear" w:color="auto" w:fill="auto"/>
            <w:tcMar>
              <w:left w:w="28" w:type="dxa"/>
              <w:right w:w="28" w:type="dxa"/>
            </w:tcMar>
          </w:tcPr>
          <w:p w14:paraId="5ABB92B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0,25</w:t>
            </w:r>
          </w:p>
        </w:tc>
        <w:tc>
          <w:tcPr>
            <w:tcW w:w="1278" w:type="dxa"/>
            <w:shd w:val="clear" w:color="auto" w:fill="auto"/>
            <w:tcMar>
              <w:left w:w="28" w:type="dxa"/>
              <w:right w:w="28" w:type="dxa"/>
            </w:tcMar>
          </w:tcPr>
          <w:p w14:paraId="68F913B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1,6 × 10</w:t>
            </w:r>
            <w:r w:rsidRPr="00393250">
              <w:rPr>
                <w:rFonts w:eastAsia="Calibri"/>
                <w:noProof/>
                <w:sz w:val="22"/>
                <w:szCs w:val="22"/>
                <w:vertAlign w:val="superscript"/>
                <w:lang w:eastAsia="en-US"/>
              </w:rPr>
              <w:t>3</w:t>
            </w:r>
          </w:p>
        </w:tc>
        <w:tc>
          <w:tcPr>
            <w:tcW w:w="1277" w:type="dxa"/>
            <w:shd w:val="clear" w:color="auto" w:fill="auto"/>
            <w:tcMar>
              <w:left w:w="28" w:type="dxa"/>
              <w:right w:w="28" w:type="dxa"/>
            </w:tcMar>
          </w:tcPr>
          <w:p w14:paraId="3676DA2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160</w:t>
            </w:r>
          </w:p>
        </w:tc>
        <w:tc>
          <w:tcPr>
            <w:tcW w:w="1136" w:type="dxa"/>
            <w:shd w:val="clear" w:color="auto" w:fill="auto"/>
            <w:tcMar>
              <w:left w:w="28" w:type="dxa"/>
              <w:right w:w="28" w:type="dxa"/>
            </w:tcMar>
          </w:tcPr>
          <w:p w14:paraId="089CEA1C"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06CDEE05" w14:textId="77777777" w:rsidR="00B551B3" w:rsidRPr="00393250" w:rsidRDefault="00B551B3" w:rsidP="00B551B3">
            <w:pPr>
              <w:widowControl/>
              <w:spacing w:before="40" w:after="40"/>
              <w:rPr>
                <w:rFonts w:eastAsia="Calibri"/>
                <w:noProof/>
                <w:sz w:val="22"/>
                <w:szCs w:val="22"/>
                <w:lang w:eastAsia="en-US"/>
              </w:rPr>
            </w:pPr>
          </w:p>
        </w:tc>
        <w:tc>
          <w:tcPr>
            <w:tcW w:w="1153" w:type="dxa"/>
            <w:tcMar>
              <w:left w:w="28" w:type="dxa"/>
              <w:right w:w="28" w:type="dxa"/>
            </w:tcMar>
          </w:tcPr>
          <w:p w14:paraId="2530F1FC"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61C024EA"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78E1CC2B" w14:textId="77777777" w:rsidTr="00350DAB">
        <w:trPr>
          <w:tblHeader/>
          <w:jc w:val="center"/>
        </w:trPr>
        <w:tc>
          <w:tcPr>
            <w:tcW w:w="834" w:type="dxa"/>
            <w:tcMar>
              <w:left w:w="28" w:type="dxa"/>
              <w:right w:w="28" w:type="dxa"/>
            </w:tcMar>
          </w:tcPr>
          <w:p w14:paraId="11C9B997"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(53)</w:t>
            </w:r>
          </w:p>
        </w:tc>
        <w:tc>
          <w:tcPr>
            <w:tcW w:w="2103" w:type="dxa"/>
            <w:shd w:val="clear" w:color="auto" w:fill="auto"/>
            <w:tcMar>
              <w:left w:w="28" w:type="dxa"/>
              <w:right w:w="28" w:type="dxa"/>
            </w:tcMar>
          </w:tcPr>
          <w:p w14:paraId="02E188B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Clarithromycin</w:t>
            </w:r>
          </w:p>
        </w:tc>
        <w:tc>
          <w:tcPr>
            <w:tcW w:w="1329" w:type="dxa"/>
            <w:shd w:val="clear" w:color="auto" w:fill="auto"/>
            <w:tcMar>
              <w:left w:w="28" w:type="dxa"/>
              <w:right w:w="28" w:type="dxa"/>
            </w:tcMar>
          </w:tcPr>
          <w:p w14:paraId="2147549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Lægemidler (makrolid-antibiotika)</w:t>
            </w:r>
          </w:p>
        </w:tc>
        <w:tc>
          <w:tcPr>
            <w:tcW w:w="992" w:type="dxa"/>
            <w:shd w:val="clear" w:color="auto" w:fill="auto"/>
            <w:tcMar>
              <w:left w:w="28" w:type="dxa"/>
              <w:right w:w="28" w:type="dxa"/>
            </w:tcMar>
          </w:tcPr>
          <w:p w14:paraId="4884D27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81103-11-9</w:t>
            </w:r>
          </w:p>
        </w:tc>
        <w:tc>
          <w:tcPr>
            <w:tcW w:w="1134" w:type="dxa"/>
          </w:tcPr>
          <w:p w14:paraId="2A8BE7A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658-034-2</w:t>
            </w:r>
          </w:p>
        </w:tc>
        <w:tc>
          <w:tcPr>
            <w:tcW w:w="1279" w:type="dxa"/>
            <w:shd w:val="clear" w:color="auto" w:fill="auto"/>
            <w:tcMar>
              <w:left w:w="28" w:type="dxa"/>
              <w:right w:w="28" w:type="dxa"/>
            </w:tcMar>
          </w:tcPr>
          <w:p w14:paraId="54425D7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0,13</w:t>
            </w:r>
          </w:p>
        </w:tc>
        <w:tc>
          <w:tcPr>
            <w:tcW w:w="1279" w:type="dxa"/>
            <w:shd w:val="clear" w:color="auto" w:fill="auto"/>
            <w:tcMar>
              <w:left w:w="28" w:type="dxa"/>
              <w:right w:w="28" w:type="dxa"/>
            </w:tcMar>
          </w:tcPr>
          <w:p w14:paraId="110769E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0,013</w:t>
            </w:r>
          </w:p>
        </w:tc>
        <w:tc>
          <w:tcPr>
            <w:tcW w:w="1278" w:type="dxa"/>
            <w:shd w:val="clear" w:color="auto" w:fill="auto"/>
            <w:tcMar>
              <w:left w:w="28" w:type="dxa"/>
              <w:right w:w="28" w:type="dxa"/>
            </w:tcMar>
          </w:tcPr>
          <w:p w14:paraId="6475AE8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0,13</w:t>
            </w:r>
          </w:p>
        </w:tc>
        <w:tc>
          <w:tcPr>
            <w:tcW w:w="1277" w:type="dxa"/>
            <w:shd w:val="clear" w:color="auto" w:fill="auto"/>
            <w:tcMar>
              <w:left w:w="28" w:type="dxa"/>
              <w:right w:w="28" w:type="dxa"/>
            </w:tcMar>
          </w:tcPr>
          <w:p w14:paraId="11B68B4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0,013</w:t>
            </w:r>
          </w:p>
        </w:tc>
        <w:tc>
          <w:tcPr>
            <w:tcW w:w="1136" w:type="dxa"/>
            <w:shd w:val="clear" w:color="auto" w:fill="auto"/>
            <w:tcMar>
              <w:left w:w="28" w:type="dxa"/>
              <w:right w:w="28" w:type="dxa"/>
            </w:tcMar>
          </w:tcPr>
          <w:p w14:paraId="2309E8C7"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4E33E6CB" w14:textId="77777777" w:rsidR="00B551B3" w:rsidRPr="00393250" w:rsidRDefault="00B551B3" w:rsidP="00B551B3">
            <w:pPr>
              <w:widowControl/>
              <w:spacing w:before="40" w:after="40"/>
              <w:rPr>
                <w:rFonts w:eastAsia="Calibri"/>
                <w:noProof/>
                <w:sz w:val="22"/>
                <w:szCs w:val="22"/>
                <w:lang w:eastAsia="en-US"/>
              </w:rPr>
            </w:pPr>
          </w:p>
        </w:tc>
        <w:tc>
          <w:tcPr>
            <w:tcW w:w="1153" w:type="dxa"/>
            <w:tcMar>
              <w:left w:w="28" w:type="dxa"/>
              <w:right w:w="28" w:type="dxa"/>
            </w:tcMar>
          </w:tcPr>
          <w:p w14:paraId="3829E50B"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3A44B50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3A51B6DA" w14:textId="77777777" w:rsidTr="00350DAB">
        <w:trPr>
          <w:tblHeader/>
          <w:jc w:val="center"/>
        </w:trPr>
        <w:tc>
          <w:tcPr>
            <w:tcW w:w="834" w:type="dxa"/>
            <w:tcMar>
              <w:left w:w="28" w:type="dxa"/>
              <w:right w:w="28" w:type="dxa"/>
            </w:tcMar>
          </w:tcPr>
          <w:p w14:paraId="09628CC7"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(54)</w:t>
            </w:r>
          </w:p>
        </w:tc>
        <w:tc>
          <w:tcPr>
            <w:tcW w:w="2103" w:type="dxa"/>
            <w:shd w:val="clear" w:color="auto" w:fill="auto"/>
            <w:tcMar>
              <w:left w:w="28" w:type="dxa"/>
              <w:right w:w="28" w:type="dxa"/>
            </w:tcMar>
          </w:tcPr>
          <w:p w14:paraId="24BF6B3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Clothianidin</w:t>
            </w:r>
          </w:p>
        </w:tc>
        <w:tc>
          <w:tcPr>
            <w:tcW w:w="1329" w:type="dxa"/>
            <w:shd w:val="clear" w:color="auto" w:fill="auto"/>
            <w:tcMar>
              <w:left w:w="28" w:type="dxa"/>
              <w:right w:w="28" w:type="dxa"/>
            </w:tcMar>
          </w:tcPr>
          <w:p w14:paraId="5E80C3F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Neonicotinoid-pesticider</w:t>
            </w:r>
          </w:p>
        </w:tc>
        <w:tc>
          <w:tcPr>
            <w:tcW w:w="992" w:type="dxa"/>
            <w:shd w:val="clear" w:color="auto" w:fill="auto"/>
            <w:tcMar>
              <w:left w:w="28" w:type="dxa"/>
              <w:right w:w="28" w:type="dxa"/>
            </w:tcMar>
          </w:tcPr>
          <w:p w14:paraId="0CE9DFC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210880-92-5</w:t>
            </w:r>
          </w:p>
        </w:tc>
        <w:tc>
          <w:tcPr>
            <w:tcW w:w="1134" w:type="dxa"/>
          </w:tcPr>
          <w:p w14:paraId="033A860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433-460-1</w:t>
            </w:r>
          </w:p>
        </w:tc>
        <w:tc>
          <w:tcPr>
            <w:tcW w:w="1279" w:type="dxa"/>
            <w:shd w:val="clear" w:color="auto" w:fill="auto"/>
            <w:tcMar>
              <w:left w:w="28" w:type="dxa"/>
              <w:right w:w="28" w:type="dxa"/>
            </w:tcMar>
          </w:tcPr>
          <w:p w14:paraId="7733640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0,01</w:t>
            </w:r>
          </w:p>
        </w:tc>
        <w:tc>
          <w:tcPr>
            <w:tcW w:w="1279" w:type="dxa"/>
            <w:shd w:val="clear" w:color="auto" w:fill="auto"/>
            <w:tcMar>
              <w:left w:w="28" w:type="dxa"/>
              <w:right w:w="28" w:type="dxa"/>
            </w:tcMar>
          </w:tcPr>
          <w:p w14:paraId="0991129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0,001</w:t>
            </w:r>
          </w:p>
        </w:tc>
        <w:tc>
          <w:tcPr>
            <w:tcW w:w="1278" w:type="dxa"/>
            <w:shd w:val="clear" w:color="auto" w:fill="auto"/>
            <w:tcMar>
              <w:left w:w="28" w:type="dxa"/>
              <w:right w:w="28" w:type="dxa"/>
            </w:tcMar>
          </w:tcPr>
          <w:p w14:paraId="1D834F0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0,34</w:t>
            </w:r>
          </w:p>
        </w:tc>
        <w:tc>
          <w:tcPr>
            <w:tcW w:w="1277" w:type="dxa"/>
            <w:shd w:val="clear" w:color="auto" w:fill="auto"/>
            <w:tcMar>
              <w:left w:w="28" w:type="dxa"/>
              <w:right w:w="28" w:type="dxa"/>
            </w:tcMar>
          </w:tcPr>
          <w:p w14:paraId="517B720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0,034</w:t>
            </w:r>
          </w:p>
        </w:tc>
        <w:tc>
          <w:tcPr>
            <w:tcW w:w="1136" w:type="dxa"/>
            <w:shd w:val="clear" w:color="auto" w:fill="auto"/>
            <w:tcMar>
              <w:left w:w="28" w:type="dxa"/>
              <w:right w:w="28" w:type="dxa"/>
            </w:tcMar>
          </w:tcPr>
          <w:p w14:paraId="07D2FA2C"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43D42C39" w14:textId="77777777" w:rsidR="00B551B3" w:rsidRPr="00393250" w:rsidRDefault="00B551B3" w:rsidP="00B551B3">
            <w:pPr>
              <w:widowControl/>
              <w:spacing w:before="40" w:after="40"/>
              <w:rPr>
                <w:rFonts w:eastAsia="Calibri"/>
                <w:noProof/>
                <w:sz w:val="22"/>
                <w:szCs w:val="22"/>
                <w:lang w:eastAsia="en-US"/>
              </w:rPr>
            </w:pPr>
          </w:p>
        </w:tc>
        <w:tc>
          <w:tcPr>
            <w:tcW w:w="1153" w:type="dxa"/>
            <w:tcMar>
              <w:left w:w="28" w:type="dxa"/>
              <w:right w:w="28" w:type="dxa"/>
            </w:tcMar>
          </w:tcPr>
          <w:p w14:paraId="3DB15010"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565948FB"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1B0B5E1C" w14:textId="77777777" w:rsidTr="00350DAB">
        <w:trPr>
          <w:tblHeader/>
          <w:jc w:val="center"/>
        </w:trPr>
        <w:tc>
          <w:tcPr>
            <w:tcW w:w="834" w:type="dxa"/>
            <w:tcMar>
              <w:left w:w="28" w:type="dxa"/>
              <w:right w:w="28" w:type="dxa"/>
            </w:tcMar>
          </w:tcPr>
          <w:p w14:paraId="6BE091B9"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(55)</w:t>
            </w:r>
          </w:p>
        </w:tc>
        <w:tc>
          <w:tcPr>
            <w:tcW w:w="2103" w:type="dxa"/>
            <w:shd w:val="clear" w:color="auto" w:fill="auto"/>
            <w:tcMar>
              <w:left w:w="28" w:type="dxa"/>
              <w:right w:w="28" w:type="dxa"/>
            </w:tcMar>
          </w:tcPr>
          <w:p w14:paraId="21435FD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Deltamethrin</w:t>
            </w:r>
          </w:p>
        </w:tc>
        <w:tc>
          <w:tcPr>
            <w:tcW w:w="1329" w:type="dxa"/>
            <w:shd w:val="clear" w:color="auto" w:fill="auto"/>
            <w:tcMar>
              <w:left w:w="28" w:type="dxa"/>
              <w:right w:w="28" w:type="dxa"/>
            </w:tcMar>
          </w:tcPr>
          <w:p w14:paraId="30BFA74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Pyrethroidpesticider</w:t>
            </w:r>
          </w:p>
        </w:tc>
        <w:tc>
          <w:tcPr>
            <w:tcW w:w="992" w:type="dxa"/>
            <w:shd w:val="clear" w:color="auto" w:fill="auto"/>
            <w:tcMar>
              <w:left w:w="28" w:type="dxa"/>
              <w:right w:w="28" w:type="dxa"/>
            </w:tcMar>
          </w:tcPr>
          <w:p w14:paraId="4380F3C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52918-63-5</w:t>
            </w:r>
          </w:p>
        </w:tc>
        <w:tc>
          <w:tcPr>
            <w:tcW w:w="1134" w:type="dxa"/>
          </w:tcPr>
          <w:p w14:paraId="45161BB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258-256-6</w:t>
            </w:r>
          </w:p>
        </w:tc>
        <w:tc>
          <w:tcPr>
            <w:tcW w:w="1279" w:type="dxa"/>
            <w:shd w:val="clear" w:color="auto" w:fill="auto"/>
            <w:tcMar>
              <w:left w:w="28" w:type="dxa"/>
              <w:right w:w="28" w:type="dxa"/>
            </w:tcMar>
          </w:tcPr>
          <w:p w14:paraId="7C31712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1,7 × 10</w:t>
            </w:r>
            <w:r w:rsidRPr="00393250">
              <w:rPr>
                <w:rFonts w:eastAsia="Calibri"/>
                <w:noProof/>
                <w:sz w:val="22"/>
                <w:szCs w:val="22"/>
                <w:vertAlign w:val="superscript"/>
                <w:lang w:eastAsia="en-US"/>
              </w:rPr>
              <w:t>-6</w:t>
            </w:r>
          </w:p>
        </w:tc>
        <w:tc>
          <w:tcPr>
            <w:tcW w:w="1279" w:type="dxa"/>
            <w:shd w:val="clear" w:color="auto" w:fill="auto"/>
            <w:tcMar>
              <w:left w:w="28" w:type="dxa"/>
              <w:right w:w="28" w:type="dxa"/>
            </w:tcMar>
          </w:tcPr>
          <w:p w14:paraId="0FCEB7D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1,7 × 10</w:t>
            </w:r>
            <w:r w:rsidRPr="00393250">
              <w:rPr>
                <w:rFonts w:eastAsia="Calibri"/>
                <w:noProof/>
                <w:sz w:val="22"/>
                <w:szCs w:val="22"/>
                <w:vertAlign w:val="superscript"/>
                <w:lang w:eastAsia="en-US"/>
              </w:rPr>
              <w:t>-7</w:t>
            </w:r>
          </w:p>
        </w:tc>
        <w:tc>
          <w:tcPr>
            <w:tcW w:w="1278" w:type="dxa"/>
            <w:shd w:val="clear" w:color="auto" w:fill="auto"/>
            <w:tcMar>
              <w:left w:w="28" w:type="dxa"/>
              <w:right w:w="28" w:type="dxa"/>
            </w:tcMar>
          </w:tcPr>
          <w:p w14:paraId="086E8DE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1,7 × 10</w:t>
            </w:r>
            <w:r w:rsidRPr="00393250">
              <w:rPr>
                <w:rFonts w:eastAsia="Calibri"/>
                <w:noProof/>
                <w:sz w:val="22"/>
                <w:szCs w:val="22"/>
                <w:vertAlign w:val="superscript"/>
                <w:lang w:eastAsia="en-US"/>
              </w:rPr>
              <w:t>-5</w:t>
            </w:r>
          </w:p>
        </w:tc>
        <w:tc>
          <w:tcPr>
            <w:tcW w:w="1277" w:type="dxa"/>
            <w:shd w:val="clear" w:color="auto" w:fill="auto"/>
            <w:tcMar>
              <w:left w:w="28" w:type="dxa"/>
              <w:right w:w="28" w:type="dxa"/>
            </w:tcMar>
          </w:tcPr>
          <w:p w14:paraId="144629D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3,4 × 10</w:t>
            </w:r>
            <w:r w:rsidRPr="00393250">
              <w:rPr>
                <w:rFonts w:eastAsia="Calibri"/>
                <w:noProof/>
                <w:sz w:val="22"/>
                <w:szCs w:val="22"/>
                <w:vertAlign w:val="superscript"/>
                <w:lang w:eastAsia="en-US"/>
              </w:rPr>
              <w:t>-6</w:t>
            </w:r>
          </w:p>
        </w:tc>
        <w:tc>
          <w:tcPr>
            <w:tcW w:w="1136" w:type="dxa"/>
            <w:shd w:val="clear" w:color="auto" w:fill="auto"/>
            <w:tcMar>
              <w:left w:w="28" w:type="dxa"/>
              <w:right w:w="28" w:type="dxa"/>
            </w:tcMar>
          </w:tcPr>
          <w:p w14:paraId="62BEDD10"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4F339A1C" w14:textId="77777777" w:rsidR="00B551B3" w:rsidRPr="00393250" w:rsidRDefault="00B551B3" w:rsidP="00B551B3">
            <w:pPr>
              <w:widowControl/>
              <w:spacing w:before="40" w:after="40"/>
              <w:rPr>
                <w:rFonts w:eastAsia="Calibri"/>
                <w:noProof/>
                <w:sz w:val="22"/>
                <w:szCs w:val="22"/>
                <w:lang w:eastAsia="en-US"/>
              </w:rPr>
            </w:pPr>
          </w:p>
        </w:tc>
        <w:tc>
          <w:tcPr>
            <w:tcW w:w="1153" w:type="dxa"/>
            <w:shd w:val="clear" w:color="auto" w:fill="auto"/>
            <w:tcMar>
              <w:left w:w="28" w:type="dxa"/>
              <w:right w:w="28" w:type="dxa"/>
            </w:tcMar>
          </w:tcPr>
          <w:p w14:paraId="09AC0236" w14:textId="77777777" w:rsidR="00B551B3" w:rsidRPr="00393250" w:rsidRDefault="00B551B3" w:rsidP="00B551B3">
            <w:pPr>
              <w:widowControl/>
              <w:spacing w:before="40" w:after="40"/>
              <w:rPr>
                <w:rFonts w:eastAsia="Calibri"/>
                <w:noProof/>
                <w:sz w:val="22"/>
                <w:szCs w:val="22"/>
                <w:lang w:eastAsia="en-US"/>
              </w:rPr>
            </w:pPr>
          </w:p>
        </w:tc>
        <w:tc>
          <w:tcPr>
            <w:tcW w:w="970" w:type="dxa"/>
            <w:shd w:val="clear" w:color="auto" w:fill="auto"/>
            <w:tcMar>
              <w:left w:w="28" w:type="dxa"/>
              <w:right w:w="28" w:type="dxa"/>
            </w:tcMar>
          </w:tcPr>
          <w:p w14:paraId="26DD838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5EA61A80" w14:textId="77777777" w:rsidTr="00350DAB">
        <w:trPr>
          <w:tblHeader/>
          <w:jc w:val="center"/>
        </w:trPr>
        <w:tc>
          <w:tcPr>
            <w:tcW w:w="834" w:type="dxa"/>
            <w:tcMar>
              <w:left w:w="28" w:type="dxa"/>
              <w:right w:w="28" w:type="dxa"/>
            </w:tcMar>
          </w:tcPr>
          <w:p w14:paraId="1E261504"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(56)</w:t>
            </w:r>
          </w:p>
        </w:tc>
        <w:tc>
          <w:tcPr>
            <w:tcW w:w="2103" w:type="dxa"/>
            <w:shd w:val="clear" w:color="auto" w:fill="auto"/>
            <w:tcMar>
              <w:left w:w="28" w:type="dxa"/>
              <w:right w:w="28" w:type="dxa"/>
            </w:tcMar>
          </w:tcPr>
          <w:p w14:paraId="360100D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Diclofenac</w:t>
            </w:r>
          </w:p>
        </w:tc>
        <w:tc>
          <w:tcPr>
            <w:tcW w:w="1329" w:type="dxa"/>
            <w:shd w:val="clear" w:color="auto" w:fill="auto"/>
            <w:tcMar>
              <w:left w:w="28" w:type="dxa"/>
              <w:right w:w="28" w:type="dxa"/>
            </w:tcMar>
          </w:tcPr>
          <w:p w14:paraId="5F88F48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Lægemidler</w:t>
            </w:r>
          </w:p>
        </w:tc>
        <w:tc>
          <w:tcPr>
            <w:tcW w:w="992" w:type="dxa"/>
            <w:shd w:val="clear" w:color="auto" w:fill="auto"/>
            <w:tcMar>
              <w:left w:w="28" w:type="dxa"/>
              <w:right w:w="28" w:type="dxa"/>
            </w:tcMar>
          </w:tcPr>
          <w:p w14:paraId="241A4F3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 xml:space="preserve">15307-86-5/15307-79-6 </w:t>
            </w:r>
          </w:p>
        </w:tc>
        <w:tc>
          <w:tcPr>
            <w:tcW w:w="1134" w:type="dxa"/>
          </w:tcPr>
          <w:p w14:paraId="205CC45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239-348-5/239-346-4</w:t>
            </w:r>
          </w:p>
        </w:tc>
        <w:tc>
          <w:tcPr>
            <w:tcW w:w="1279" w:type="dxa"/>
            <w:shd w:val="clear" w:color="auto" w:fill="auto"/>
            <w:tcMar>
              <w:left w:w="28" w:type="dxa"/>
              <w:right w:w="28" w:type="dxa"/>
            </w:tcMar>
          </w:tcPr>
          <w:p w14:paraId="21E550F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0,04</w:t>
            </w:r>
          </w:p>
        </w:tc>
        <w:tc>
          <w:tcPr>
            <w:tcW w:w="1279" w:type="dxa"/>
            <w:shd w:val="clear" w:color="auto" w:fill="auto"/>
            <w:tcMar>
              <w:left w:w="28" w:type="dxa"/>
              <w:right w:w="28" w:type="dxa"/>
            </w:tcMar>
          </w:tcPr>
          <w:p w14:paraId="7560DEC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0,004</w:t>
            </w:r>
          </w:p>
        </w:tc>
        <w:tc>
          <w:tcPr>
            <w:tcW w:w="1278" w:type="dxa"/>
            <w:shd w:val="clear" w:color="auto" w:fill="auto"/>
            <w:tcMar>
              <w:left w:w="28" w:type="dxa"/>
              <w:right w:w="28" w:type="dxa"/>
            </w:tcMar>
          </w:tcPr>
          <w:p w14:paraId="204ECB6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250</w:t>
            </w:r>
          </w:p>
        </w:tc>
        <w:tc>
          <w:tcPr>
            <w:tcW w:w="1277" w:type="dxa"/>
            <w:shd w:val="clear" w:color="auto" w:fill="auto"/>
            <w:tcMar>
              <w:left w:w="28" w:type="dxa"/>
              <w:right w:w="28" w:type="dxa"/>
            </w:tcMar>
          </w:tcPr>
          <w:p w14:paraId="09DE5CA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25</w:t>
            </w:r>
          </w:p>
        </w:tc>
        <w:tc>
          <w:tcPr>
            <w:tcW w:w="1136" w:type="dxa"/>
            <w:shd w:val="clear" w:color="auto" w:fill="auto"/>
            <w:tcMar>
              <w:left w:w="28" w:type="dxa"/>
              <w:right w:w="28" w:type="dxa"/>
            </w:tcMar>
          </w:tcPr>
          <w:p w14:paraId="32944C07"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7E358394" w14:textId="77777777" w:rsidR="00B551B3" w:rsidRPr="00393250" w:rsidRDefault="00B551B3" w:rsidP="00B551B3">
            <w:pPr>
              <w:widowControl/>
              <w:spacing w:before="40" w:after="40"/>
              <w:rPr>
                <w:rFonts w:eastAsia="Calibri"/>
                <w:noProof/>
                <w:sz w:val="22"/>
                <w:szCs w:val="22"/>
                <w:lang w:eastAsia="en-US"/>
              </w:rPr>
            </w:pPr>
          </w:p>
        </w:tc>
        <w:tc>
          <w:tcPr>
            <w:tcW w:w="1153" w:type="dxa"/>
            <w:shd w:val="clear" w:color="auto" w:fill="auto"/>
            <w:tcMar>
              <w:left w:w="28" w:type="dxa"/>
              <w:right w:w="28" w:type="dxa"/>
            </w:tcMar>
          </w:tcPr>
          <w:p w14:paraId="6605B934" w14:textId="77777777" w:rsidR="00B551B3" w:rsidRPr="00393250" w:rsidRDefault="00B551B3" w:rsidP="00B551B3">
            <w:pPr>
              <w:widowControl/>
              <w:spacing w:before="40" w:after="40"/>
              <w:rPr>
                <w:rFonts w:eastAsia="Calibri"/>
                <w:noProof/>
                <w:sz w:val="22"/>
                <w:szCs w:val="22"/>
                <w:lang w:eastAsia="en-US"/>
              </w:rPr>
            </w:pPr>
          </w:p>
        </w:tc>
        <w:tc>
          <w:tcPr>
            <w:tcW w:w="970" w:type="dxa"/>
            <w:shd w:val="clear" w:color="auto" w:fill="auto"/>
            <w:tcMar>
              <w:left w:w="28" w:type="dxa"/>
              <w:right w:w="28" w:type="dxa"/>
            </w:tcMar>
          </w:tcPr>
          <w:p w14:paraId="049EE43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1E11C149" w14:textId="77777777" w:rsidTr="00350DAB">
        <w:trPr>
          <w:tblHeader/>
          <w:jc w:val="center"/>
        </w:trPr>
        <w:tc>
          <w:tcPr>
            <w:tcW w:w="834" w:type="dxa"/>
            <w:tcMar>
              <w:left w:w="28" w:type="dxa"/>
              <w:right w:w="28" w:type="dxa"/>
            </w:tcMar>
          </w:tcPr>
          <w:p w14:paraId="25537865"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(57)</w:t>
            </w:r>
          </w:p>
        </w:tc>
        <w:tc>
          <w:tcPr>
            <w:tcW w:w="2103" w:type="dxa"/>
            <w:shd w:val="clear" w:color="auto" w:fill="auto"/>
            <w:tcMar>
              <w:left w:w="28" w:type="dxa"/>
              <w:right w:w="28" w:type="dxa"/>
            </w:tcMar>
          </w:tcPr>
          <w:p w14:paraId="0E3E70A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Erythromycin</w:t>
            </w:r>
          </w:p>
        </w:tc>
        <w:tc>
          <w:tcPr>
            <w:tcW w:w="1329" w:type="dxa"/>
            <w:shd w:val="clear" w:color="auto" w:fill="auto"/>
            <w:tcMar>
              <w:left w:w="28" w:type="dxa"/>
              <w:right w:w="28" w:type="dxa"/>
            </w:tcMar>
          </w:tcPr>
          <w:p w14:paraId="0C74150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Lægemidler (makrolid-antibiotika)</w:t>
            </w:r>
          </w:p>
        </w:tc>
        <w:tc>
          <w:tcPr>
            <w:tcW w:w="992" w:type="dxa"/>
            <w:shd w:val="clear" w:color="auto" w:fill="auto"/>
            <w:tcMar>
              <w:left w:w="28" w:type="dxa"/>
              <w:right w:w="28" w:type="dxa"/>
            </w:tcMar>
          </w:tcPr>
          <w:p w14:paraId="5C57720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114-07-8</w:t>
            </w:r>
          </w:p>
        </w:tc>
        <w:tc>
          <w:tcPr>
            <w:tcW w:w="1134" w:type="dxa"/>
          </w:tcPr>
          <w:p w14:paraId="21BE512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204-040-1</w:t>
            </w:r>
          </w:p>
        </w:tc>
        <w:tc>
          <w:tcPr>
            <w:tcW w:w="1279" w:type="dxa"/>
            <w:shd w:val="clear" w:color="auto" w:fill="auto"/>
            <w:tcMar>
              <w:left w:w="28" w:type="dxa"/>
              <w:right w:w="28" w:type="dxa"/>
            </w:tcMar>
          </w:tcPr>
          <w:p w14:paraId="1D3B4FF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0,5</w:t>
            </w:r>
          </w:p>
        </w:tc>
        <w:tc>
          <w:tcPr>
            <w:tcW w:w="1279" w:type="dxa"/>
            <w:shd w:val="clear" w:color="auto" w:fill="auto"/>
            <w:tcMar>
              <w:left w:w="28" w:type="dxa"/>
              <w:right w:w="28" w:type="dxa"/>
            </w:tcMar>
          </w:tcPr>
          <w:p w14:paraId="077826B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0,05</w:t>
            </w:r>
          </w:p>
        </w:tc>
        <w:tc>
          <w:tcPr>
            <w:tcW w:w="1278" w:type="dxa"/>
            <w:shd w:val="clear" w:color="auto" w:fill="auto"/>
            <w:tcMar>
              <w:left w:w="28" w:type="dxa"/>
              <w:right w:w="28" w:type="dxa"/>
            </w:tcMar>
          </w:tcPr>
          <w:p w14:paraId="27727F8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w:t>
            </w:r>
          </w:p>
        </w:tc>
        <w:tc>
          <w:tcPr>
            <w:tcW w:w="1277" w:type="dxa"/>
            <w:shd w:val="clear" w:color="auto" w:fill="auto"/>
            <w:tcMar>
              <w:left w:w="28" w:type="dxa"/>
              <w:right w:w="28" w:type="dxa"/>
            </w:tcMar>
          </w:tcPr>
          <w:p w14:paraId="6E93C66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0,1</w:t>
            </w:r>
          </w:p>
        </w:tc>
        <w:tc>
          <w:tcPr>
            <w:tcW w:w="1136" w:type="dxa"/>
            <w:shd w:val="clear" w:color="auto" w:fill="auto"/>
            <w:tcMar>
              <w:left w:w="28" w:type="dxa"/>
              <w:right w:w="28" w:type="dxa"/>
            </w:tcMar>
          </w:tcPr>
          <w:p w14:paraId="362EF4CC"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4272035C" w14:textId="77777777" w:rsidR="00B551B3" w:rsidRPr="00393250" w:rsidRDefault="00B551B3" w:rsidP="00B551B3">
            <w:pPr>
              <w:widowControl/>
              <w:spacing w:before="40" w:after="40"/>
              <w:rPr>
                <w:rFonts w:eastAsia="Calibri"/>
                <w:noProof/>
                <w:sz w:val="22"/>
                <w:szCs w:val="22"/>
                <w:lang w:eastAsia="en-US"/>
              </w:rPr>
            </w:pPr>
          </w:p>
        </w:tc>
        <w:tc>
          <w:tcPr>
            <w:tcW w:w="1153" w:type="dxa"/>
            <w:shd w:val="clear" w:color="auto" w:fill="auto"/>
            <w:tcMar>
              <w:left w:w="28" w:type="dxa"/>
              <w:right w:w="28" w:type="dxa"/>
            </w:tcMar>
          </w:tcPr>
          <w:p w14:paraId="2AF7C4AD" w14:textId="77777777" w:rsidR="00B551B3" w:rsidRPr="00393250" w:rsidRDefault="00B551B3" w:rsidP="00B551B3">
            <w:pPr>
              <w:widowControl/>
              <w:spacing w:before="40" w:after="40"/>
              <w:rPr>
                <w:rFonts w:eastAsia="Calibri"/>
                <w:noProof/>
                <w:sz w:val="22"/>
                <w:szCs w:val="22"/>
                <w:lang w:eastAsia="en-US"/>
              </w:rPr>
            </w:pPr>
          </w:p>
        </w:tc>
        <w:tc>
          <w:tcPr>
            <w:tcW w:w="970" w:type="dxa"/>
            <w:shd w:val="clear" w:color="auto" w:fill="auto"/>
            <w:tcMar>
              <w:left w:w="28" w:type="dxa"/>
              <w:right w:w="28" w:type="dxa"/>
            </w:tcMar>
          </w:tcPr>
          <w:p w14:paraId="7E40FC0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4DBE9CAD" w14:textId="77777777" w:rsidTr="00350DAB">
        <w:trPr>
          <w:tblHeader/>
          <w:jc w:val="center"/>
        </w:trPr>
        <w:tc>
          <w:tcPr>
            <w:tcW w:w="834" w:type="dxa"/>
            <w:tcMar>
              <w:left w:w="28" w:type="dxa"/>
              <w:right w:w="28" w:type="dxa"/>
            </w:tcMar>
          </w:tcPr>
          <w:p w14:paraId="2A30C318"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(58)</w:t>
            </w:r>
          </w:p>
        </w:tc>
        <w:tc>
          <w:tcPr>
            <w:tcW w:w="2103" w:type="dxa"/>
            <w:shd w:val="clear" w:color="auto" w:fill="auto"/>
            <w:tcMar>
              <w:left w:w="28" w:type="dxa"/>
              <w:right w:w="28" w:type="dxa"/>
            </w:tcMar>
          </w:tcPr>
          <w:p w14:paraId="2BB944B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Esfenvalerat</w:t>
            </w:r>
          </w:p>
        </w:tc>
        <w:tc>
          <w:tcPr>
            <w:tcW w:w="1329" w:type="dxa"/>
            <w:shd w:val="clear" w:color="auto" w:fill="auto"/>
            <w:tcMar>
              <w:left w:w="28" w:type="dxa"/>
              <w:right w:w="28" w:type="dxa"/>
            </w:tcMar>
          </w:tcPr>
          <w:p w14:paraId="7D8CED0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Pyrethroidpesticider</w:t>
            </w:r>
          </w:p>
        </w:tc>
        <w:tc>
          <w:tcPr>
            <w:tcW w:w="992" w:type="dxa"/>
            <w:shd w:val="clear" w:color="auto" w:fill="auto"/>
            <w:tcMar>
              <w:left w:w="28" w:type="dxa"/>
              <w:right w:w="28" w:type="dxa"/>
            </w:tcMar>
          </w:tcPr>
          <w:p w14:paraId="226DFE4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66230-04-4</w:t>
            </w:r>
          </w:p>
        </w:tc>
        <w:tc>
          <w:tcPr>
            <w:tcW w:w="1134" w:type="dxa"/>
          </w:tcPr>
          <w:p w14:paraId="70C0063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613-911-9</w:t>
            </w:r>
          </w:p>
        </w:tc>
        <w:tc>
          <w:tcPr>
            <w:tcW w:w="1279" w:type="dxa"/>
            <w:shd w:val="clear" w:color="auto" w:fill="auto"/>
            <w:tcMar>
              <w:left w:w="28" w:type="dxa"/>
              <w:right w:w="28" w:type="dxa"/>
            </w:tcMar>
          </w:tcPr>
          <w:p w14:paraId="11BB367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1,7 × 10</w:t>
            </w:r>
            <w:r w:rsidRPr="00393250">
              <w:rPr>
                <w:rFonts w:eastAsia="Calibri"/>
                <w:noProof/>
                <w:sz w:val="22"/>
                <w:szCs w:val="22"/>
                <w:vertAlign w:val="superscript"/>
                <w:lang w:eastAsia="en-US"/>
              </w:rPr>
              <w:t>-5</w:t>
            </w:r>
          </w:p>
        </w:tc>
        <w:tc>
          <w:tcPr>
            <w:tcW w:w="1279" w:type="dxa"/>
            <w:shd w:val="clear" w:color="auto" w:fill="auto"/>
            <w:tcMar>
              <w:left w:w="28" w:type="dxa"/>
              <w:right w:w="28" w:type="dxa"/>
            </w:tcMar>
          </w:tcPr>
          <w:p w14:paraId="5625159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1,7 × 10</w:t>
            </w:r>
            <w:r w:rsidRPr="00393250">
              <w:rPr>
                <w:rFonts w:eastAsia="Calibri"/>
                <w:noProof/>
                <w:sz w:val="22"/>
                <w:szCs w:val="22"/>
                <w:vertAlign w:val="superscript"/>
                <w:lang w:eastAsia="en-US"/>
              </w:rPr>
              <w:t>-6</w:t>
            </w:r>
          </w:p>
        </w:tc>
        <w:tc>
          <w:tcPr>
            <w:tcW w:w="1278" w:type="dxa"/>
            <w:shd w:val="clear" w:color="auto" w:fill="auto"/>
            <w:tcMar>
              <w:left w:w="28" w:type="dxa"/>
              <w:right w:w="28" w:type="dxa"/>
            </w:tcMar>
          </w:tcPr>
          <w:p w14:paraId="67BB5CE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0,0085</w:t>
            </w:r>
          </w:p>
        </w:tc>
        <w:tc>
          <w:tcPr>
            <w:tcW w:w="1277" w:type="dxa"/>
            <w:shd w:val="clear" w:color="auto" w:fill="auto"/>
            <w:tcMar>
              <w:left w:w="28" w:type="dxa"/>
              <w:right w:w="28" w:type="dxa"/>
            </w:tcMar>
          </w:tcPr>
          <w:p w14:paraId="19E842E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0,00085</w:t>
            </w:r>
          </w:p>
        </w:tc>
        <w:tc>
          <w:tcPr>
            <w:tcW w:w="1136" w:type="dxa"/>
            <w:shd w:val="clear" w:color="auto" w:fill="auto"/>
            <w:tcMar>
              <w:left w:w="28" w:type="dxa"/>
              <w:right w:w="28" w:type="dxa"/>
            </w:tcMar>
          </w:tcPr>
          <w:p w14:paraId="7E5BF6E7"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291BEB57" w14:textId="77777777" w:rsidR="00B551B3" w:rsidRPr="00393250" w:rsidRDefault="00B551B3" w:rsidP="00B551B3">
            <w:pPr>
              <w:widowControl/>
              <w:spacing w:before="40" w:after="40"/>
              <w:rPr>
                <w:rFonts w:eastAsia="Calibri"/>
                <w:noProof/>
                <w:sz w:val="22"/>
                <w:szCs w:val="22"/>
                <w:lang w:eastAsia="en-US"/>
              </w:rPr>
            </w:pPr>
          </w:p>
        </w:tc>
        <w:tc>
          <w:tcPr>
            <w:tcW w:w="1153" w:type="dxa"/>
            <w:shd w:val="clear" w:color="auto" w:fill="auto"/>
            <w:tcMar>
              <w:left w:w="28" w:type="dxa"/>
              <w:right w:w="28" w:type="dxa"/>
            </w:tcMar>
          </w:tcPr>
          <w:p w14:paraId="2F201FFB" w14:textId="77777777" w:rsidR="00B551B3" w:rsidRPr="00393250" w:rsidRDefault="00B551B3" w:rsidP="00B551B3">
            <w:pPr>
              <w:widowControl/>
              <w:spacing w:before="40" w:after="40"/>
              <w:rPr>
                <w:rFonts w:eastAsia="Calibri"/>
                <w:noProof/>
                <w:sz w:val="22"/>
                <w:szCs w:val="22"/>
                <w:lang w:eastAsia="en-US"/>
              </w:rPr>
            </w:pPr>
          </w:p>
        </w:tc>
        <w:tc>
          <w:tcPr>
            <w:tcW w:w="970" w:type="dxa"/>
            <w:shd w:val="clear" w:color="auto" w:fill="auto"/>
            <w:tcMar>
              <w:left w:w="28" w:type="dxa"/>
              <w:right w:w="28" w:type="dxa"/>
            </w:tcMar>
          </w:tcPr>
          <w:p w14:paraId="7E779C9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0D478860" w14:textId="77777777" w:rsidTr="00350DAB">
        <w:trPr>
          <w:tblHeader/>
          <w:jc w:val="center"/>
        </w:trPr>
        <w:tc>
          <w:tcPr>
            <w:tcW w:w="834" w:type="dxa"/>
            <w:tcMar>
              <w:left w:w="28" w:type="dxa"/>
              <w:right w:w="28" w:type="dxa"/>
            </w:tcMar>
          </w:tcPr>
          <w:p w14:paraId="248D7AA2"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(59)</w:t>
            </w:r>
          </w:p>
        </w:tc>
        <w:tc>
          <w:tcPr>
            <w:tcW w:w="2103" w:type="dxa"/>
            <w:shd w:val="clear" w:color="auto" w:fill="auto"/>
            <w:tcMar>
              <w:left w:w="28" w:type="dxa"/>
              <w:right w:w="28" w:type="dxa"/>
            </w:tcMar>
          </w:tcPr>
          <w:p w14:paraId="62A64DE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Estron (E1)</w:t>
            </w:r>
          </w:p>
        </w:tc>
        <w:tc>
          <w:tcPr>
            <w:tcW w:w="1329" w:type="dxa"/>
            <w:shd w:val="clear" w:color="auto" w:fill="auto"/>
            <w:tcMar>
              <w:left w:w="28" w:type="dxa"/>
              <w:right w:w="28" w:type="dxa"/>
            </w:tcMar>
          </w:tcPr>
          <w:p w14:paraId="2107617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Lægemidler (østrogene hormoner)</w:t>
            </w:r>
          </w:p>
        </w:tc>
        <w:tc>
          <w:tcPr>
            <w:tcW w:w="992" w:type="dxa"/>
            <w:shd w:val="clear" w:color="auto" w:fill="auto"/>
            <w:tcMar>
              <w:left w:w="28" w:type="dxa"/>
              <w:right w:w="28" w:type="dxa"/>
            </w:tcMar>
          </w:tcPr>
          <w:p w14:paraId="33332E8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53-16-7</w:t>
            </w:r>
          </w:p>
        </w:tc>
        <w:tc>
          <w:tcPr>
            <w:tcW w:w="1134" w:type="dxa"/>
          </w:tcPr>
          <w:p w14:paraId="4D8CED8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200-164-5</w:t>
            </w:r>
          </w:p>
        </w:tc>
        <w:tc>
          <w:tcPr>
            <w:tcW w:w="1279" w:type="dxa"/>
            <w:shd w:val="clear" w:color="auto" w:fill="auto"/>
            <w:tcMar>
              <w:left w:w="28" w:type="dxa"/>
              <w:right w:w="28" w:type="dxa"/>
            </w:tcMar>
          </w:tcPr>
          <w:p w14:paraId="3280160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3,6 × 10</w:t>
            </w:r>
            <w:r w:rsidRPr="00393250">
              <w:rPr>
                <w:rFonts w:eastAsia="Calibri"/>
                <w:noProof/>
                <w:sz w:val="22"/>
                <w:szCs w:val="22"/>
                <w:vertAlign w:val="superscript"/>
                <w:lang w:eastAsia="en-US"/>
              </w:rPr>
              <w:t>-4</w:t>
            </w:r>
          </w:p>
        </w:tc>
        <w:tc>
          <w:tcPr>
            <w:tcW w:w="1279" w:type="dxa"/>
            <w:shd w:val="clear" w:color="auto" w:fill="auto"/>
            <w:tcMar>
              <w:left w:w="28" w:type="dxa"/>
              <w:right w:w="28" w:type="dxa"/>
            </w:tcMar>
          </w:tcPr>
          <w:p w14:paraId="76D9CBC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1,8 × 10</w:t>
            </w:r>
            <w:r w:rsidRPr="00393250">
              <w:rPr>
                <w:rFonts w:eastAsia="Calibri"/>
                <w:noProof/>
                <w:sz w:val="22"/>
                <w:szCs w:val="22"/>
                <w:vertAlign w:val="superscript"/>
                <w:lang w:eastAsia="en-US"/>
              </w:rPr>
              <w:t>-5</w:t>
            </w:r>
          </w:p>
        </w:tc>
        <w:tc>
          <w:tcPr>
            <w:tcW w:w="1278" w:type="dxa"/>
            <w:shd w:val="clear" w:color="auto" w:fill="auto"/>
            <w:tcMar>
              <w:left w:w="28" w:type="dxa"/>
              <w:right w:w="28" w:type="dxa"/>
            </w:tcMar>
          </w:tcPr>
          <w:p w14:paraId="1C6C7FB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ikke afledt</w:t>
            </w:r>
          </w:p>
        </w:tc>
        <w:tc>
          <w:tcPr>
            <w:tcW w:w="1277" w:type="dxa"/>
            <w:shd w:val="clear" w:color="auto" w:fill="auto"/>
            <w:tcMar>
              <w:left w:w="28" w:type="dxa"/>
              <w:right w:w="28" w:type="dxa"/>
            </w:tcMar>
          </w:tcPr>
          <w:p w14:paraId="096B8BD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ikke afledt</w:t>
            </w:r>
          </w:p>
        </w:tc>
        <w:tc>
          <w:tcPr>
            <w:tcW w:w="1136" w:type="dxa"/>
            <w:shd w:val="clear" w:color="auto" w:fill="auto"/>
            <w:tcMar>
              <w:left w:w="28" w:type="dxa"/>
              <w:right w:w="28" w:type="dxa"/>
            </w:tcMar>
          </w:tcPr>
          <w:p w14:paraId="7DE03EBF"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1ED41375" w14:textId="77777777" w:rsidR="00B551B3" w:rsidRPr="00393250" w:rsidRDefault="00B551B3" w:rsidP="00B551B3">
            <w:pPr>
              <w:widowControl/>
              <w:spacing w:before="40" w:after="40"/>
              <w:rPr>
                <w:rFonts w:eastAsia="Calibri"/>
                <w:noProof/>
                <w:sz w:val="22"/>
                <w:szCs w:val="22"/>
                <w:lang w:eastAsia="en-US"/>
              </w:rPr>
            </w:pPr>
          </w:p>
        </w:tc>
        <w:tc>
          <w:tcPr>
            <w:tcW w:w="1153" w:type="dxa"/>
            <w:tcMar>
              <w:left w:w="28" w:type="dxa"/>
              <w:right w:w="28" w:type="dxa"/>
            </w:tcMar>
          </w:tcPr>
          <w:p w14:paraId="48FB42E6"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6A4251C3" w14:textId="77777777" w:rsidR="00B551B3" w:rsidRPr="00393250" w:rsidRDefault="00B551B3" w:rsidP="00B551B3">
            <w:pPr>
              <w:widowControl/>
              <w:spacing w:before="40" w:after="40"/>
              <w:rPr>
                <w:rFonts w:eastAsia="Calibri"/>
                <w:noProof/>
                <w:sz w:val="22"/>
                <w:szCs w:val="22"/>
                <w:lang w:eastAsia="en-US"/>
              </w:rPr>
            </w:pPr>
          </w:p>
        </w:tc>
      </w:tr>
    </w:tbl>
    <w:p w14:paraId="7ED53558" w14:textId="77777777" w:rsidR="00350DAB" w:rsidRPr="00393250" w:rsidRDefault="00350DAB">
      <w:r w:rsidRPr="00393250">
        <w:br w:type="page"/>
      </w:r>
    </w:p>
    <w:tbl>
      <w:tblPr>
        <w:tblW w:w="16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
        <w:gridCol w:w="800"/>
        <w:gridCol w:w="2103"/>
        <w:gridCol w:w="17"/>
        <w:gridCol w:w="1312"/>
        <w:gridCol w:w="992"/>
        <w:gridCol w:w="1134"/>
        <w:gridCol w:w="1279"/>
        <w:gridCol w:w="1279"/>
        <w:gridCol w:w="1278"/>
        <w:gridCol w:w="1277"/>
        <w:gridCol w:w="1136"/>
        <w:gridCol w:w="1262"/>
        <w:gridCol w:w="17"/>
        <w:gridCol w:w="1136"/>
        <w:gridCol w:w="970"/>
      </w:tblGrid>
      <w:tr w:rsidR="00B551B3" w:rsidRPr="00393250" w14:paraId="0A340565" w14:textId="77777777" w:rsidTr="00350DAB">
        <w:trPr>
          <w:tblHeader/>
          <w:jc w:val="center"/>
        </w:trPr>
        <w:tc>
          <w:tcPr>
            <w:tcW w:w="834" w:type="dxa"/>
            <w:gridSpan w:val="2"/>
            <w:tcMar>
              <w:left w:w="28" w:type="dxa"/>
              <w:right w:w="28" w:type="dxa"/>
            </w:tcMar>
          </w:tcPr>
          <w:p w14:paraId="0C4778E2" w14:textId="078E72C2" w:rsidR="00B551B3" w:rsidRPr="00393250" w:rsidRDefault="00B551B3" w:rsidP="00B551B3">
            <w:pPr>
              <w:widowControl/>
              <w:spacing w:before="40" w:after="40"/>
              <w:jc w:val="both"/>
              <w:rPr>
                <w:rFonts w:eastAsia="Calibri"/>
                <w:b/>
                <w:noProof/>
                <w:sz w:val="22"/>
                <w:szCs w:val="22"/>
                <w:lang w:eastAsia="en-US"/>
              </w:rPr>
            </w:pPr>
            <w:r w:rsidRPr="00393250">
              <w:rPr>
                <w:rFonts w:eastAsia="Calibri"/>
                <w:noProof/>
                <w:sz w:val="22"/>
                <w:szCs w:val="22"/>
                <w:lang w:eastAsia="en-US"/>
              </w:rPr>
              <w:t>(60)</w:t>
            </w:r>
            <w:r w:rsidR="00BE3901" w:rsidRPr="00393250">
              <w:rPr>
                <w:rFonts w:eastAsia="Calibri"/>
                <w:b/>
                <w:noProof/>
                <w:sz w:val="22"/>
                <w:szCs w:val="22"/>
                <w:lang w:eastAsia="en-US"/>
              </w:rPr>
              <w:t xml:space="preserve"> [Ændring 151]</w:t>
            </w:r>
          </w:p>
        </w:tc>
        <w:tc>
          <w:tcPr>
            <w:tcW w:w="2103" w:type="dxa"/>
            <w:shd w:val="clear" w:color="auto" w:fill="auto"/>
            <w:tcMar>
              <w:left w:w="28" w:type="dxa"/>
              <w:right w:w="28" w:type="dxa"/>
            </w:tcMar>
          </w:tcPr>
          <w:p w14:paraId="2CF53DC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Glyphosat</w:t>
            </w:r>
          </w:p>
        </w:tc>
        <w:tc>
          <w:tcPr>
            <w:tcW w:w="1329" w:type="dxa"/>
            <w:gridSpan w:val="2"/>
            <w:shd w:val="clear" w:color="auto" w:fill="auto"/>
            <w:tcMar>
              <w:left w:w="28" w:type="dxa"/>
              <w:right w:w="28" w:type="dxa"/>
            </w:tcMar>
          </w:tcPr>
          <w:p w14:paraId="5751018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Herbicider</w:t>
            </w:r>
          </w:p>
        </w:tc>
        <w:tc>
          <w:tcPr>
            <w:tcW w:w="992" w:type="dxa"/>
            <w:shd w:val="clear" w:color="auto" w:fill="auto"/>
            <w:tcMar>
              <w:left w:w="28" w:type="dxa"/>
              <w:right w:w="28" w:type="dxa"/>
            </w:tcMar>
          </w:tcPr>
          <w:p w14:paraId="59B4248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1071-83-6</w:t>
            </w:r>
          </w:p>
        </w:tc>
        <w:tc>
          <w:tcPr>
            <w:tcW w:w="1134" w:type="dxa"/>
          </w:tcPr>
          <w:p w14:paraId="6EEB423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213-997-4</w:t>
            </w:r>
          </w:p>
        </w:tc>
        <w:tc>
          <w:tcPr>
            <w:tcW w:w="1279" w:type="dxa"/>
            <w:shd w:val="clear" w:color="auto" w:fill="auto"/>
            <w:tcMar>
              <w:left w:w="28" w:type="dxa"/>
              <w:right w:w="28" w:type="dxa"/>
            </w:tcMar>
          </w:tcPr>
          <w:p w14:paraId="5258F227" w14:textId="77777777" w:rsidR="00B551B3" w:rsidRPr="00393250" w:rsidRDefault="00B551B3" w:rsidP="00B551B3">
            <w:pPr>
              <w:widowControl/>
              <w:spacing w:before="40" w:after="40"/>
              <w:rPr>
                <w:rFonts w:eastAsia="Calibri"/>
                <w:strike/>
                <w:noProof/>
                <w:sz w:val="22"/>
                <w:szCs w:val="22"/>
                <w:lang w:eastAsia="en-US"/>
              </w:rPr>
            </w:pPr>
            <w:r w:rsidRPr="00393250">
              <w:rPr>
                <w:rFonts w:eastAsia="Calibri"/>
                <w:noProof/>
                <w:sz w:val="22"/>
                <w:szCs w:val="22"/>
                <w:lang w:eastAsia="en-US"/>
              </w:rPr>
              <w:t xml:space="preserve">0,1 </w:t>
            </w:r>
            <w:r w:rsidRPr="00393250">
              <w:rPr>
                <w:rFonts w:eastAsia="Calibri"/>
                <w:strike/>
                <w:noProof/>
                <w:sz w:val="22"/>
                <w:szCs w:val="22"/>
                <w:lang w:eastAsia="en-US"/>
              </w:rPr>
              <w:t>(</w:t>
            </w:r>
            <w:r w:rsidRPr="00393250">
              <w:rPr>
                <w:rFonts w:eastAsia="Calibri"/>
                <w:strike/>
                <w:noProof/>
                <w:sz w:val="22"/>
                <w:szCs w:val="22"/>
                <w:vertAlign w:val="superscript"/>
                <w:lang w:eastAsia="en-US"/>
              </w:rPr>
              <w:t>25</w:t>
            </w:r>
            <w:r w:rsidRPr="00393250">
              <w:rPr>
                <w:rFonts w:eastAsia="Calibri"/>
                <w:strike/>
                <w:noProof/>
                <w:sz w:val="22"/>
                <w:szCs w:val="22"/>
                <w:lang w:eastAsia="en-US"/>
              </w:rPr>
              <w:t>)</w:t>
            </w:r>
          </w:p>
          <w:p w14:paraId="394EB3D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strike/>
                <w:noProof/>
                <w:sz w:val="22"/>
                <w:szCs w:val="22"/>
                <w:lang w:eastAsia="en-US"/>
              </w:rPr>
              <w:t>86,7 (</w:t>
            </w:r>
            <w:r w:rsidRPr="00393250">
              <w:rPr>
                <w:rFonts w:eastAsia="Calibri"/>
                <w:strike/>
                <w:noProof/>
                <w:sz w:val="22"/>
                <w:szCs w:val="22"/>
                <w:vertAlign w:val="superscript"/>
                <w:lang w:eastAsia="en-US"/>
              </w:rPr>
              <w:t>26</w:t>
            </w:r>
            <w:r w:rsidRPr="00393250">
              <w:rPr>
                <w:rFonts w:eastAsia="Calibri"/>
                <w:strike/>
                <w:noProof/>
                <w:sz w:val="22"/>
                <w:szCs w:val="22"/>
                <w:lang w:eastAsia="en-US"/>
              </w:rPr>
              <w:t>)</w:t>
            </w:r>
          </w:p>
        </w:tc>
        <w:tc>
          <w:tcPr>
            <w:tcW w:w="1279" w:type="dxa"/>
            <w:shd w:val="clear" w:color="auto" w:fill="auto"/>
            <w:tcMar>
              <w:left w:w="28" w:type="dxa"/>
              <w:right w:w="28" w:type="dxa"/>
            </w:tcMar>
          </w:tcPr>
          <w:p w14:paraId="1B55E146" w14:textId="2F075A81" w:rsidR="00B551B3" w:rsidRPr="00393250" w:rsidRDefault="00B551B3" w:rsidP="00B551B3">
            <w:pPr>
              <w:widowControl/>
              <w:spacing w:before="40" w:after="40"/>
              <w:rPr>
                <w:rFonts w:eastAsia="Calibri"/>
                <w:noProof/>
                <w:sz w:val="22"/>
                <w:szCs w:val="22"/>
                <w:lang w:eastAsia="en-US"/>
              </w:rPr>
            </w:pPr>
            <w:r w:rsidRPr="00393250">
              <w:rPr>
                <w:rFonts w:eastAsia="Calibri"/>
                <w:strike/>
                <w:noProof/>
                <w:sz w:val="22"/>
                <w:szCs w:val="22"/>
                <w:lang w:eastAsia="en-US"/>
              </w:rPr>
              <w:t>8,67</w:t>
            </w:r>
            <w:r w:rsidRPr="00393250">
              <w:rPr>
                <w:rFonts w:eastAsia="Calibri"/>
                <w:noProof/>
                <w:sz w:val="22"/>
                <w:szCs w:val="22"/>
                <w:lang w:eastAsia="en-US"/>
              </w:rPr>
              <w:t xml:space="preserve"> </w:t>
            </w:r>
            <w:r w:rsidR="00BE3901" w:rsidRPr="00393250">
              <w:rPr>
                <w:b/>
                <w:i/>
                <w:sz w:val="22"/>
                <w:szCs w:val="22"/>
              </w:rPr>
              <w:t>0,01</w:t>
            </w:r>
          </w:p>
        </w:tc>
        <w:tc>
          <w:tcPr>
            <w:tcW w:w="1278" w:type="dxa"/>
            <w:shd w:val="clear" w:color="auto" w:fill="auto"/>
            <w:tcMar>
              <w:left w:w="28" w:type="dxa"/>
              <w:right w:w="28" w:type="dxa"/>
            </w:tcMar>
          </w:tcPr>
          <w:p w14:paraId="48B00DA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398,6</w:t>
            </w:r>
          </w:p>
        </w:tc>
        <w:tc>
          <w:tcPr>
            <w:tcW w:w="1277" w:type="dxa"/>
            <w:shd w:val="clear" w:color="auto" w:fill="auto"/>
            <w:tcMar>
              <w:left w:w="28" w:type="dxa"/>
              <w:right w:w="28" w:type="dxa"/>
            </w:tcMar>
          </w:tcPr>
          <w:p w14:paraId="2509781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39,86</w:t>
            </w:r>
          </w:p>
        </w:tc>
        <w:tc>
          <w:tcPr>
            <w:tcW w:w="1136" w:type="dxa"/>
            <w:shd w:val="clear" w:color="auto" w:fill="auto"/>
            <w:tcMar>
              <w:left w:w="28" w:type="dxa"/>
              <w:right w:w="28" w:type="dxa"/>
            </w:tcMar>
          </w:tcPr>
          <w:p w14:paraId="775201AB"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2016F71B" w14:textId="77777777" w:rsidR="00B551B3" w:rsidRPr="00393250" w:rsidRDefault="00B551B3" w:rsidP="00B551B3">
            <w:pPr>
              <w:widowControl/>
              <w:spacing w:before="40" w:after="40"/>
              <w:rPr>
                <w:rFonts w:eastAsia="Calibri"/>
                <w:noProof/>
                <w:sz w:val="22"/>
                <w:szCs w:val="22"/>
                <w:lang w:eastAsia="en-US"/>
              </w:rPr>
            </w:pPr>
          </w:p>
        </w:tc>
        <w:tc>
          <w:tcPr>
            <w:tcW w:w="1153" w:type="dxa"/>
            <w:gridSpan w:val="2"/>
            <w:tcMar>
              <w:left w:w="28" w:type="dxa"/>
              <w:right w:w="28" w:type="dxa"/>
            </w:tcMar>
          </w:tcPr>
          <w:p w14:paraId="2C12958F"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6000651D"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23C89F75" w14:textId="77777777" w:rsidTr="00350DAB">
        <w:trPr>
          <w:gridBefore w:val="1"/>
          <w:wBefore w:w="34" w:type="dxa"/>
          <w:tblHeader/>
          <w:jc w:val="center"/>
        </w:trPr>
        <w:tc>
          <w:tcPr>
            <w:tcW w:w="800" w:type="dxa"/>
            <w:tcMar>
              <w:left w:w="28" w:type="dxa"/>
              <w:right w:w="28" w:type="dxa"/>
            </w:tcMar>
          </w:tcPr>
          <w:p w14:paraId="08BFB0D6"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(61)</w:t>
            </w:r>
          </w:p>
        </w:tc>
        <w:tc>
          <w:tcPr>
            <w:tcW w:w="2120" w:type="dxa"/>
            <w:gridSpan w:val="2"/>
            <w:shd w:val="clear" w:color="auto" w:fill="auto"/>
            <w:tcMar>
              <w:left w:w="28" w:type="dxa"/>
              <w:right w:w="28" w:type="dxa"/>
            </w:tcMar>
          </w:tcPr>
          <w:p w14:paraId="3CEFBD9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Ibuprofen</w:t>
            </w:r>
          </w:p>
        </w:tc>
        <w:tc>
          <w:tcPr>
            <w:tcW w:w="1312" w:type="dxa"/>
            <w:shd w:val="clear" w:color="auto" w:fill="auto"/>
            <w:tcMar>
              <w:left w:w="28" w:type="dxa"/>
              <w:right w:w="28" w:type="dxa"/>
            </w:tcMar>
          </w:tcPr>
          <w:p w14:paraId="5449E88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Lægemidler</w:t>
            </w:r>
          </w:p>
        </w:tc>
        <w:tc>
          <w:tcPr>
            <w:tcW w:w="992" w:type="dxa"/>
            <w:shd w:val="clear" w:color="auto" w:fill="auto"/>
            <w:tcMar>
              <w:left w:w="28" w:type="dxa"/>
              <w:right w:w="28" w:type="dxa"/>
            </w:tcMar>
          </w:tcPr>
          <w:p w14:paraId="326A819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15687-27-1</w:t>
            </w:r>
          </w:p>
        </w:tc>
        <w:tc>
          <w:tcPr>
            <w:tcW w:w="1134" w:type="dxa"/>
          </w:tcPr>
          <w:p w14:paraId="3AFA9C6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239-784-6</w:t>
            </w:r>
          </w:p>
        </w:tc>
        <w:tc>
          <w:tcPr>
            <w:tcW w:w="1279" w:type="dxa"/>
            <w:shd w:val="clear" w:color="auto" w:fill="auto"/>
            <w:tcMar>
              <w:left w:w="28" w:type="dxa"/>
              <w:right w:w="28" w:type="dxa"/>
            </w:tcMar>
          </w:tcPr>
          <w:p w14:paraId="3B4F02B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0,22</w:t>
            </w:r>
          </w:p>
        </w:tc>
        <w:tc>
          <w:tcPr>
            <w:tcW w:w="1279" w:type="dxa"/>
            <w:shd w:val="clear" w:color="auto" w:fill="auto"/>
            <w:tcMar>
              <w:left w:w="28" w:type="dxa"/>
              <w:right w:w="28" w:type="dxa"/>
            </w:tcMar>
          </w:tcPr>
          <w:p w14:paraId="61291F5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0,022</w:t>
            </w:r>
          </w:p>
        </w:tc>
        <w:tc>
          <w:tcPr>
            <w:tcW w:w="1278" w:type="dxa"/>
            <w:shd w:val="clear" w:color="auto" w:fill="auto"/>
            <w:tcMar>
              <w:left w:w="28" w:type="dxa"/>
              <w:right w:w="28" w:type="dxa"/>
            </w:tcMar>
          </w:tcPr>
          <w:p w14:paraId="01A54C05" w14:textId="77777777" w:rsidR="00B551B3" w:rsidRPr="00393250" w:rsidRDefault="00B551B3" w:rsidP="00B551B3">
            <w:pPr>
              <w:widowControl/>
              <w:spacing w:before="40" w:after="40"/>
              <w:rPr>
                <w:rFonts w:eastAsia="Calibri"/>
                <w:noProof/>
                <w:sz w:val="22"/>
                <w:szCs w:val="22"/>
                <w:lang w:eastAsia="en-US"/>
              </w:rPr>
            </w:pPr>
          </w:p>
        </w:tc>
        <w:tc>
          <w:tcPr>
            <w:tcW w:w="1277" w:type="dxa"/>
            <w:shd w:val="clear" w:color="auto" w:fill="auto"/>
            <w:tcMar>
              <w:left w:w="28" w:type="dxa"/>
              <w:right w:w="28" w:type="dxa"/>
            </w:tcMar>
          </w:tcPr>
          <w:p w14:paraId="3D61FA63" w14:textId="77777777" w:rsidR="00B551B3" w:rsidRPr="00393250" w:rsidRDefault="00B551B3" w:rsidP="00B551B3">
            <w:pPr>
              <w:widowControl/>
              <w:spacing w:before="40" w:after="40"/>
              <w:rPr>
                <w:rFonts w:eastAsia="Calibri"/>
                <w:noProof/>
                <w:sz w:val="22"/>
                <w:szCs w:val="22"/>
                <w:lang w:eastAsia="en-US"/>
              </w:rPr>
            </w:pPr>
          </w:p>
        </w:tc>
        <w:tc>
          <w:tcPr>
            <w:tcW w:w="1136" w:type="dxa"/>
            <w:shd w:val="clear" w:color="auto" w:fill="auto"/>
            <w:tcMar>
              <w:left w:w="28" w:type="dxa"/>
              <w:right w:w="28" w:type="dxa"/>
            </w:tcMar>
          </w:tcPr>
          <w:p w14:paraId="72CF8600" w14:textId="77777777" w:rsidR="00B551B3" w:rsidRPr="00393250" w:rsidRDefault="00B551B3" w:rsidP="00B551B3">
            <w:pPr>
              <w:widowControl/>
              <w:spacing w:before="40" w:after="40"/>
              <w:rPr>
                <w:rFonts w:eastAsia="Calibri"/>
                <w:noProof/>
                <w:sz w:val="22"/>
                <w:szCs w:val="22"/>
                <w:lang w:eastAsia="en-US"/>
              </w:rPr>
            </w:pPr>
          </w:p>
        </w:tc>
        <w:tc>
          <w:tcPr>
            <w:tcW w:w="1279" w:type="dxa"/>
            <w:gridSpan w:val="2"/>
            <w:tcMar>
              <w:left w:w="28" w:type="dxa"/>
              <w:right w:w="28" w:type="dxa"/>
            </w:tcMar>
          </w:tcPr>
          <w:p w14:paraId="1E5491BB" w14:textId="77777777" w:rsidR="00B551B3" w:rsidRPr="00393250" w:rsidRDefault="00B551B3" w:rsidP="00B551B3">
            <w:pPr>
              <w:widowControl/>
              <w:spacing w:before="40" w:after="40"/>
              <w:rPr>
                <w:rFonts w:eastAsia="Calibri"/>
                <w:noProof/>
                <w:sz w:val="22"/>
                <w:szCs w:val="22"/>
                <w:lang w:eastAsia="en-US"/>
              </w:rPr>
            </w:pPr>
          </w:p>
        </w:tc>
        <w:tc>
          <w:tcPr>
            <w:tcW w:w="1136" w:type="dxa"/>
            <w:tcMar>
              <w:left w:w="28" w:type="dxa"/>
              <w:right w:w="28" w:type="dxa"/>
            </w:tcMar>
          </w:tcPr>
          <w:p w14:paraId="2D6783C8"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7737691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7F67678B" w14:textId="77777777" w:rsidTr="00350DAB">
        <w:trPr>
          <w:tblHeader/>
          <w:jc w:val="center"/>
        </w:trPr>
        <w:tc>
          <w:tcPr>
            <w:tcW w:w="834" w:type="dxa"/>
            <w:gridSpan w:val="2"/>
            <w:tcMar>
              <w:left w:w="28" w:type="dxa"/>
              <w:right w:w="28" w:type="dxa"/>
            </w:tcMar>
          </w:tcPr>
          <w:p w14:paraId="629A1335"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(62)</w:t>
            </w:r>
          </w:p>
        </w:tc>
        <w:tc>
          <w:tcPr>
            <w:tcW w:w="2103" w:type="dxa"/>
            <w:shd w:val="clear" w:color="auto" w:fill="auto"/>
            <w:tcMar>
              <w:left w:w="28" w:type="dxa"/>
              <w:right w:w="28" w:type="dxa"/>
            </w:tcMar>
          </w:tcPr>
          <w:p w14:paraId="4BDFD1F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Imidacloprid Isoxaben</w:t>
            </w:r>
          </w:p>
        </w:tc>
        <w:tc>
          <w:tcPr>
            <w:tcW w:w="1329" w:type="dxa"/>
            <w:gridSpan w:val="2"/>
            <w:shd w:val="clear" w:color="auto" w:fill="auto"/>
            <w:tcMar>
              <w:left w:w="28" w:type="dxa"/>
              <w:right w:w="28" w:type="dxa"/>
            </w:tcMar>
          </w:tcPr>
          <w:p w14:paraId="6485BD6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Neonicotinoid-pesticider</w:t>
            </w:r>
          </w:p>
        </w:tc>
        <w:tc>
          <w:tcPr>
            <w:tcW w:w="992" w:type="dxa"/>
            <w:shd w:val="clear" w:color="auto" w:fill="auto"/>
            <w:tcMar>
              <w:left w:w="28" w:type="dxa"/>
              <w:right w:w="28" w:type="dxa"/>
            </w:tcMar>
          </w:tcPr>
          <w:p w14:paraId="79C0E53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138261-41-3/105827-78-9</w:t>
            </w:r>
          </w:p>
        </w:tc>
        <w:tc>
          <w:tcPr>
            <w:tcW w:w="1134" w:type="dxa"/>
          </w:tcPr>
          <w:p w14:paraId="78279C3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428-040-8</w:t>
            </w:r>
          </w:p>
        </w:tc>
        <w:tc>
          <w:tcPr>
            <w:tcW w:w="1279" w:type="dxa"/>
            <w:shd w:val="clear" w:color="auto" w:fill="auto"/>
            <w:tcMar>
              <w:left w:w="28" w:type="dxa"/>
              <w:right w:w="28" w:type="dxa"/>
            </w:tcMar>
          </w:tcPr>
          <w:p w14:paraId="22A1E83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0,0068</w:t>
            </w:r>
          </w:p>
        </w:tc>
        <w:tc>
          <w:tcPr>
            <w:tcW w:w="1279" w:type="dxa"/>
            <w:shd w:val="clear" w:color="auto" w:fill="auto"/>
            <w:tcMar>
              <w:left w:w="28" w:type="dxa"/>
              <w:right w:w="28" w:type="dxa"/>
            </w:tcMar>
          </w:tcPr>
          <w:p w14:paraId="3855686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6,8 × 10</w:t>
            </w:r>
            <w:r w:rsidRPr="00393250">
              <w:rPr>
                <w:rFonts w:eastAsia="Calibri"/>
                <w:noProof/>
                <w:sz w:val="22"/>
                <w:szCs w:val="22"/>
                <w:vertAlign w:val="superscript"/>
                <w:lang w:eastAsia="en-US"/>
              </w:rPr>
              <w:t>-4</w:t>
            </w:r>
          </w:p>
        </w:tc>
        <w:tc>
          <w:tcPr>
            <w:tcW w:w="1278" w:type="dxa"/>
            <w:shd w:val="clear" w:color="auto" w:fill="auto"/>
            <w:tcMar>
              <w:left w:w="28" w:type="dxa"/>
              <w:right w:w="28" w:type="dxa"/>
            </w:tcMar>
          </w:tcPr>
          <w:p w14:paraId="3F9337FF"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0,057</w:t>
            </w:r>
          </w:p>
        </w:tc>
        <w:tc>
          <w:tcPr>
            <w:tcW w:w="1277" w:type="dxa"/>
            <w:shd w:val="clear" w:color="auto" w:fill="auto"/>
            <w:tcMar>
              <w:left w:w="28" w:type="dxa"/>
              <w:right w:w="28" w:type="dxa"/>
            </w:tcMar>
          </w:tcPr>
          <w:p w14:paraId="0DD7FFC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0,0057</w:t>
            </w:r>
          </w:p>
        </w:tc>
        <w:tc>
          <w:tcPr>
            <w:tcW w:w="1136" w:type="dxa"/>
            <w:shd w:val="clear" w:color="auto" w:fill="auto"/>
            <w:tcMar>
              <w:left w:w="28" w:type="dxa"/>
              <w:right w:w="28" w:type="dxa"/>
            </w:tcMar>
          </w:tcPr>
          <w:p w14:paraId="327CAD2B"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740C1AB7" w14:textId="77777777" w:rsidR="00B551B3" w:rsidRPr="00393250" w:rsidRDefault="00B551B3" w:rsidP="00B551B3">
            <w:pPr>
              <w:widowControl/>
              <w:spacing w:before="40" w:after="40"/>
              <w:rPr>
                <w:rFonts w:eastAsia="Calibri"/>
                <w:noProof/>
                <w:sz w:val="22"/>
                <w:szCs w:val="22"/>
                <w:lang w:eastAsia="en-US"/>
              </w:rPr>
            </w:pPr>
          </w:p>
        </w:tc>
        <w:tc>
          <w:tcPr>
            <w:tcW w:w="1153" w:type="dxa"/>
            <w:gridSpan w:val="2"/>
            <w:tcMar>
              <w:left w:w="28" w:type="dxa"/>
              <w:right w:w="28" w:type="dxa"/>
            </w:tcMar>
          </w:tcPr>
          <w:p w14:paraId="0F69E55B"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6C9085BC"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169430FC" w14:textId="77777777" w:rsidTr="00350DAB">
        <w:trPr>
          <w:tblHeader/>
          <w:jc w:val="center"/>
        </w:trPr>
        <w:tc>
          <w:tcPr>
            <w:tcW w:w="834" w:type="dxa"/>
            <w:gridSpan w:val="2"/>
            <w:tcMar>
              <w:left w:w="28" w:type="dxa"/>
              <w:right w:w="28" w:type="dxa"/>
            </w:tcMar>
          </w:tcPr>
          <w:p w14:paraId="3CFC2F37"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(63)</w:t>
            </w:r>
          </w:p>
        </w:tc>
        <w:tc>
          <w:tcPr>
            <w:tcW w:w="2103" w:type="dxa"/>
            <w:shd w:val="clear" w:color="auto" w:fill="auto"/>
            <w:tcMar>
              <w:left w:w="28" w:type="dxa"/>
              <w:right w:w="28" w:type="dxa"/>
            </w:tcMar>
          </w:tcPr>
          <w:p w14:paraId="31AC243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Nicosulfuron</w:t>
            </w:r>
          </w:p>
        </w:tc>
        <w:tc>
          <w:tcPr>
            <w:tcW w:w="1329" w:type="dxa"/>
            <w:gridSpan w:val="2"/>
            <w:shd w:val="clear" w:color="auto" w:fill="auto"/>
            <w:tcMar>
              <w:left w:w="28" w:type="dxa"/>
              <w:right w:w="28" w:type="dxa"/>
            </w:tcMar>
          </w:tcPr>
          <w:p w14:paraId="33F6975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Herbicider</w:t>
            </w:r>
          </w:p>
        </w:tc>
        <w:tc>
          <w:tcPr>
            <w:tcW w:w="992" w:type="dxa"/>
            <w:shd w:val="clear" w:color="auto" w:fill="auto"/>
            <w:tcMar>
              <w:left w:w="28" w:type="dxa"/>
              <w:right w:w="28" w:type="dxa"/>
            </w:tcMar>
          </w:tcPr>
          <w:p w14:paraId="1618CF6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111991-09-4</w:t>
            </w:r>
          </w:p>
        </w:tc>
        <w:tc>
          <w:tcPr>
            <w:tcW w:w="1134" w:type="dxa"/>
          </w:tcPr>
          <w:p w14:paraId="50D88FD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601-148-4</w:t>
            </w:r>
          </w:p>
        </w:tc>
        <w:tc>
          <w:tcPr>
            <w:tcW w:w="1279" w:type="dxa"/>
            <w:shd w:val="clear" w:color="auto" w:fill="auto"/>
            <w:tcMar>
              <w:left w:w="28" w:type="dxa"/>
              <w:right w:w="28" w:type="dxa"/>
            </w:tcMar>
          </w:tcPr>
          <w:p w14:paraId="1F13B9A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0,0087</w:t>
            </w:r>
          </w:p>
        </w:tc>
        <w:tc>
          <w:tcPr>
            <w:tcW w:w="1279" w:type="dxa"/>
            <w:shd w:val="clear" w:color="auto" w:fill="auto"/>
            <w:tcMar>
              <w:left w:w="28" w:type="dxa"/>
              <w:right w:w="28" w:type="dxa"/>
            </w:tcMar>
          </w:tcPr>
          <w:p w14:paraId="52C6D1A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8,7 × 10</w:t>
            </w:r>
            <w:r w:rsidRPr="00393250">
              <w:rPr>
                <w:rFonts w:eastAsia="Calibri"/>
                <w:noProof/>
                <w:sz w:val="22"/>
                <w:szCs w:val="22"/>
                <w:vertAlign w:val="superscript"/>
                <w:lang w:eastAsia="en-US"/>
              </w:rPr>
              <w:t>-4</w:t>
            </w:r>
          </w:p>
        </w:tc>
        <w:tc>
          <w:tcPr>
            <w:tcW w:w="1278" w:type="dxa"/>
            <w:shd w:val="clear" w:color="auto" w:fill="auto"/>
            <w:tcMar>
              <w:left w:w="28" w:type="dxa"/>
              <w:right w:w="28" w:type="dxa"/>
            </w:tcMar>
          </w:tcPr>
          <w:p w14:paraId="3065C92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0,23</w:t>
            </w:r>
          </w:p>
        </w:tc>
        <w:tc>
          <w:tcPr>
            <w:tcW w:w="1277" w:type="dxa"/>
            <w:shd w:val="clear" w:color="auto" w:fill="auto"/>
            <w:tcMar>
              <w:left w:w="28" w:type="dxa"/>
              <w:right w:w="28" w:type="dxa"/>
            </w:tcMar>
          </w:tcPr>
          <w:p w14:paraId="4BE30D6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0,023</w:t>
            </w:r>
          </w:p>
        </w:tc>
        <w:tc>
          <w:tcPr>
            <w:tcW w:w="1136" w:type="dxa"/>
            <w:shd w:val="clear" w:color="auto" w:fill="auto"/>
            <w:tcMar>
              <w:left w:w="28" w:type="dxa"/>
              <w:right w:w="28" w:type="dxa"/>
            </w:tcMar>
          </w:tcPr>
          <w:p w14:paraId="6085E449"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0B93A362" w14:textId="77777777" w:rsidR="00B551B3" w:rsidRPr="00393250" w:rsidRDefault="00B551B3" w:rsidP="00B551B3">
            <w:pPr>
              <w:widowControl/>
              <w:spacing w:before="40" w:after="40"/>
              <w:rPr>
                <w:rFonts w:eastAsia="Calibri"/>
                <w:noProof/>
                <w:sz w:val="22"/>
                <w:szCs w:val="22"/>
                <w:lang w:eastAsia="en-US"/>
              </w:rPr>
            </w:pPr>
          </w:p>
        </w:tc>
        <w:tc>
          <w:tcPr>
            <w:tcW w:w="1153" w:type="dxa"/>
            <w:gridSpan w:val="2"/>
            <w:tcMar>
              <w:left w:w="28" w:type="dxa"/>
              <w:right w:w="28" w:type="dxa"/>
            </w:tcMar>
          </w:tcPr>
          <w:p w14:paraId="39EF986E"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37B785C9"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50577E7E" w14:textId="77777777" w:rsidTr="00350DAB">
        <w:trPr>
          <w:tblHeader/>
          <w:jc w:val="center"/>
        </w:trPr>
        <w:tc>
          <w:tcPr>
            <w:tcW w:w="834" w:type="dxa"/>
            <w:gridSpan w:val="2"/>
            <w:tcMar>
              <w:left w:w="28" w:type="dxa"/>
              <w:right w:w="28" w:type="dxa"/>
            </w:tcMar>
          </w:tcPr>
          <w:p w14:paraId="4E27F988"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(64)</w:t>
            </w:r>
          </w:p>
        </w:tc>
        <w:tc>
          <w:tcPr>
            <w:tcW w:w="2103" w:type="dxa"/>
            <w:shd w:val="clear" w:color="auto" w:fill="auto"/>
            <w:tcMar>
              <w:left w:w="28" w:type="dxa"/>
              <w:right w:w="28" w:type="dxa"/>
            </w:tcMar>
          </w:tcPr>
          <w:p w14:paraId="6E9CA2E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Permethrin</w:t>
            </w:r>
          </w:p>
        </w:tc>
        <w:tc>
          <w:tcPr>
            <w:tcW w:w="1329" w:type="dxa"/>
            <w:gridSpan w:val="2"/>
            <w:shd w:val="clear" w:color="auto" w:fill="auto"/>
            <w:tcMar>
              <w:left w:w="28" w:type="dxa"/>
              <w:right w:w="28" w:type="dxa"/>
            </w:tcMar>
          </w:tcPr>
          <w:p w14:paraId="0A228995"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Pyrethroidpesticider</w:t>
            </w:r>
          </w:p>
        </w:tc>
        <w:tc>
          <w:tcPr>
            <w:tcW w:w="992" w:type="dxa"/>
            <w:shd w:val="clear" w:color="auto" w:fill="auto"/>
            <w:tcMar>
              <w:left w:w="28" w:type="dxa"/>
              <w:right w:w="28" w:type="dxa"/>
            </w:tcMar>
          </w:tcPr>
          <w:p w14:paraId="6A04D0C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52645-53-1</w:t>
            </w:r>
          </w:p>
        </w:tc>
        <w:tc>
          <w:tcPr>
            <w:tcW w:w="1134" w:type="dxa"/>
          </w:tcPr>
          <w:p w14:paraId="55CB20B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258-067-9</w:t>
            </w:r>
          </w:p>
        </w:tc>
        <w:tc>
          <w:tcPr>
            <w:tcW w:w="1279" w:type="dxa"/>
            <w:shd w:val="clear" w:color="auto" w:fill="auto"/>
            <w:tcMar>
              <w:left w:w="28" w:type="dxa"/>
              <w:right w:w="28" w:type="dxa"/>
            </w:tcMar>
          </w:tcPr>
          <w:p w14:paraId="6CB3CB7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2,7 × 10</w:t>
            </w:r>
            <w:r w:rsidRPr="00393250">
              <w:rPr>
                <w:rFonts w:eastAsia="Calibri"/>
                <w:noProof/>
                <w:sz w:val="22"/>
                <w:szCs w:val="22"/>
                <w:vertAlign w:val="superscript"/>
                <w:lang w:eastAsia="en-US"/>
              </w:rPr>
              <w:t>-4</w:t>
            </w:r>
          </w:p>
        </w:tc>
        <w:tc>
          <w:tcPr>
            <w:tcW w:w="1279" w:type="dxa"/>
            <w:shd w:val="clear" w:color="auto" w:fill="auto"/>
            <w:tcMar>
              <w:left w:w="28" w:type="dxa"/>
              <w:right w:w="28" w:type="dxa"/>
            </w:tcMar>
          </w:tcPr>
          <w:p w14:paraId="4890DDF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2,7 × 10</w:t>
            </w:r>
            <w:r w:rsidRPr="00393250">
              <w:rPr>
                <w:rFonts w:eastAsia="Calibri"/>
                <w:noProof/>
                <w:sz w:val="22"/>
                <w:szCs w:val="22"/>
                <w:vertAlign w:val="superscript"/>
                <w:lang w:eastAsia="en-US"/>
              </w:rPr>
              <w:t>-5</w:t>
            </w:r>
          </w:p>
        </w:tc>
        <w:tc>
          <w:tcPr>
            <w:tcW w:w="1278" w:type="dxa"/>
            <w:shd w:val="clear" w:color="auto" w:fill="auto"/>
            <w:tcMar>
              <w:left w:w="28" w:type="dxa"/>
              <w:right w:w="28" w:type="dxa"/>
            </w:tcMar>
          </w:tcPr>
          <w:p w14:paraId="78A0D2E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0,0025</w:t>
            </w:r>
          </w:p>
        </w:tc>
        <w:tc>
          <w:tcPr>
            <w:tcW w:w="1277" w:type="dxa"/>
            <w:shd w:val="clear" w:color="auto" w:fill="auto"/>
            <w:tcMar>
              <w:left w:w="28" w:type="dxa"/>
              <w:right w:w="28" w:type="dxa"/>
            </w:tcMar>
          </w:tcPr>
          <w:p w14:paraId="4CC7D74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2,5 × 10</w:t>
            </w:r>
            <w:r w:rsidRPr="00393250">
              <w:rPr>
                <w:rFonts w:eastAsia="Calibri"/>
                <w:noProof/>
                <w:sz w:val="22"/>
                <w:szCs w:val="22"/>
                <w:vertAlign w:val="superscript"/>
                <w:lang w:eastAsia="en-US"/>
              </w:rPr>
              <w:t>-4</w:t>
            </w:r>
          </w:p>
        </w:tc>
        <w:tc>
          <w:tcPr>
            <w:tcW w:w="1136" w:type="dxa"/>
            <w:shd w:val="clear" w:color="auto" w:fill="auto"/>
            <w:tcMar>
              <w:left w:w="28" w:type="dxa"/>
              <w:right w:w="28" w:type="dxa"/>
            </w:tcMar>
          </w:tcPr>
          <w:p w14:paraId="2999FC2F"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136C5E8F" w14:textId="77777777" w:rsidR="00B551B3" w:rsidRPr="00393250" w:rsidRDefault="00B551B3" w:rsidP="00B551B3">
            <w:pPr>
              <w:widowControl/>
              <w:spacing w:before="40" w:after="40"/>
              <w:rPr>
                <w:rFonts w:eastAsia="Calibri"/>
                <w:noProof/>
                <w:sz w:val="22"/>
                <w:szCs w:val="22"/>
                <w:lang w:eastAsia="en-US"/>
              </w:rPr>
            </w:pPr>
          </w:p>
        </w:tc>
        <w:tc>
          <w:tcPr>
            <w:tcW w:w="1153" w:type="dxa"/>
            <w:gridSpan w:val="2"/>
            <w:tcMar>
              <w:left w:w="28" w:type="dxa"/>
              <w:right w:w="28" w:type="dxa"/>
            </w:tcMar>
          </w:tcPr>
          <w:p w14:paraId="3F74525D"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6C889F6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45B0C43A" w14:textId="77777777" w:rsidTr="00350DAB">
        <w:trPr>
          <w:tblHeader/>
          <w:jc w:val="center"/>
        </w:trPr>
        <w:tc>
          <w:tcPr>
            <w:tcW w:w="834" w:type="dxa"/>
            <w:gridSpan w:val="2"/>
            <w:tcMar>
              <w:left w:w="28" w:type="dxa"/>
              <w:right w:w="28" w:type="dxa"/>
            </w:tcMar>
          </w:tcPr>
          <w:p w14:paraId="479C8668" w14:textId="77777777" w:rsidR="00B551B3" w:rsidRPr="00393250" w:rsidRDefault="00B551B3" w:rsidP="00B551B3">
            <w:pPr>
              <w:keepNext/>
              <w:widowControl/>
              <w:spacing w:before="40" w:after="40"/>
              <w:jc w:val="both"/>
              <w:rPr>
                <w:rFonts w:eastAsia="Calibri"/>
                <w:noProof/>
                <w:sz w:val="22"/>
                <w:szCs w:val="22"/>
                <w:lang w:eastAsia="en-US"/>
              </w:rPr>
            </w:pPr>
            <w:r w:rsidRPr="00393250">
              <w:rPr>
                <w:rFonts w:eastAsia="Calibri"/>
                <w:noProof/>
                <w:sz w:val="22"/>
                <w:szCs w:val="22"/>
                <w:lang w:eastAsia="en-US"/>
              </w:rPr>
              <w:t>(65)</w:t>
            </w:r>
          </w:p>
        </w:tc>
        <w:tc>
          <w:tcPr>
            <w:tcW w:w="2103" w:type="dxa"/>
            <w:shd w:val="clear" w:color="auto" w:fill="auto"/>
            <w:tcMar>
              <w:left w:w="28" w:type="dxa"/>
              <w:right w:w="28" w:type="dxa"/>
            </w:tcMar>
          </w:tcPr>
          <w:p w14:paraId="5ADD2D6E"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Cs w:val="22"/>
                <w:lang w:eastAsia="en-US"/>
              </w:rPr>
              <w:t>Per- og polyfluoralkylstoffer (PFAS) — sum af 24</w:t>
            </w:r>
            <w:r w:rsidRPr="00393250">
              <w:rPr>
                <w:rFonts w:eastAsia="Calibri"/>
                <w:noProof/>
                <w:sz w:val="22"/>
                <w:szCs w:val="22"/>
                <w:lang w:eastAsia="en-US"/>
              </w:rPr>
              <w:t xml:space="preserve"> </w:t>
            </w:r>
            <w:bookmarkStart w:id="43" w:name="_Ref101448197"/>
            <w:r w:rsidRPr="00393250">
              <w:rPr>
                <w:rFonts w:eastAsia="Calibri"/>
                <w:noProof/>
                <w:sz w:val="22"/>
                <w:szCs w:val="22"/>
                <w:lang w:eastAsia="en-US"/>
              </w:rPr>
              <w:t>(</w:t>
            </w:r>
            <w:r w:rsidRPr="00393250">
              <w:rPr>
                <w:rFonts w:eastAsia="Calibri"/>
                <w:noProof/>
                <w:sz w:val="22"/>
                <w:szCs w:val="22"/>
                <w:vertAlign w:val="superscript"/>
                <w:lang w:eastAsia="en-US"/>
              </w:rPr>
              <w:t>27</w:t>
            </w:r>
            <w:r w:rsidRPr="00393250">
              <w:rPr>
                <w:rFonts w:eastAsia="Calibri"/>
                <w:noProof/>
                <w:sz w:val="22"/>
                <w:szCs w:val="22"/>
                <w:lang w:eastAsia="en-US"/>
              </w:rPr>
              <w:t>)</w:t>
            </w:r>
            <w:bookmarkEnd w:id="43"/>
          </w:p>
        </w:tc>
        <w:tc>
          <w:tcPr>
            <w:tcW w:w="1329" w:type="dxa"/>
            <w:gridSpan w:val="2"/>
            <w:shd w:val="clear" w:color="auto" w:fill="auto"/>
            <w:tcMar>
              <w:left w:w="28" w:type="dxa"/>
              <w:right w:w="28" w:type="dxa"/>
            </w:tcMar>
          </w:tcPr>
          <w:p w14:paraId="7224B325"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Industristoffer</w:t>
            </w:r>
          </w:p>
        </w:tc>
        <w:tc>
          <w:tcPr>
            <w:tcW w:w="992" w:type="dxa"/>
            <w:shd w:val="clear" w:color="auto" w:fill="auto"/>
            <w:tcMar>
              <w:left w:w="28" w:type="dxa"/>
              <w:right w:w="28" w:type="dxa"/>
            </w:tcMar>
          </w:tcPr>
          <w:p w14:paraId="04F978A6"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134" w:type="dxa"/>
          </w:tcPr>
          <w:p w14:paraId="7196227D"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279" w:type="dxa"/>
            <w:shd w:val="clear" w:color="auto" w:fill="auto"/>
            <w:tcMar>
              <w:left w:w="28" w:type="dxa"/>
              <w:right w:w="28" w:type="dxa"/>
            </w:tcMar>
          </w:tcPr>
          <w:p w14:paraId="27B5F95E"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 xml:space="preserve">Sum af PFOA-ækvivalenter 0,0044 </w:t>
            </w:r>
            <w:bookmarkStart w:id="44" w:name="_Ref101448285"/>
            <w:r w:rsidRPr="00393250">
              <w:rPr>
                <w:rFonts w:eastAsia="Calibri"/>
                <w:noProof/>
                <w:sz w:val="22"/>
                <w:szCs w:val="22"/>
                <w:lang w:eastAsia="en-US"/>
              </w:rPr>
              <w:t>(</w:t>
            </w:r>
            <w:r w:rsidRPr="00393250">
              <w:rPr>
                <w:rFonts w:eastAsia="Calibri"/>
                <w:noProof/>
                <w:sz w:val="22"/>
                <w:szCs w:val="22"/>
                <w:vertAlign w:val="superscript"/>
                <w:lang w:eastAsia="en-US"/>
              </w:rPr>
              <w:t>28</w:t>
            </w:r>
            <w:r w:rsidRPr="00393250">
              <w:rPr>
                <w:rFonts w:eastAsia="Calibri"/>
                <w:noProof/>
                <w:sz w:val="22"/>
                <w:szCs w:val="22"/>
                <w:lang w:eastAsia="en-US"/>
              </w:rPr>
              <w:t>)</w:t>
            </w:r>
            <w:bookmarkEnd w:id="44"/>
          </w:p>
        </w:tc>
        <w:tc>
          <w:tcPr>
            <w:tcW w:w="1279" w:type="dxa"/>
            <w:shd w:val="clear" w:color="auto" w:fill="auto"/>
            <w:tcMar>
              <w:left w:w="28" w:type="dxa"/>
              <w:right w:w="28" w:type="dxa"/>
            </w:tcMar>
          </w:tcPr>
          <w:p w14:paraId="0B2C4A9E"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Sum af PFOA-ækvivalenter 0,0044 (</w:t>
            </w:r>
            <w:r w:rsidRPr="00393250">
              <w:rPr>
                <w:rFonts w:eastAsia="Calibri"/>
                <w:noProof/>
                <w:sz w:val="22"/>
                <w:szCs w:val="22"/>
                <w:vertAlign w:val="superscript"/>
                <w:lang w:eastAsia="en-US"/>
              </w:rPr>
              <w:t>28</w:t>
            </w:r>
            <w:r w:rsidRPr="00393250">
              <w:rPr>
                <w:rFonts w:eastAsia="Calibri"/>
                <w:noProof/>
                <w:sz w:val="22"/>
                <w:szCs w:val="22"/>
                <w:lang w:eastAsia="en-US"/>
              </w:rPr>
              <w:t>)</w:t>
            </w:r>
          </w:p>
        </w:tc>
        <w:tc>
          <w:tcPr>
            <w:tcW w:w="1278" w:type="dxa"/>
            <w:shd w:val="clear" w:color="auto" w:fill="auto"/>
            <w:tcMar>
              <w:left w:w="28" w:type="dxa"/>
              <w:right w:w="28" w:type="dxa"/>
            </w:tcMar>
          </w:tcPr>
          <w:p w14:paraId="3D373D1B"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277" w:type="dxa"/>
            <w:shd w:val="clear" w:color="auto" w:fill="auto"/>
            <w:tcMar>
              <w:left w:w="28" w:type="dxa"/>
              <w:right w:w="28" w:type="dxa"/>
            </w:tcMar>
          </w:tcPr>
          <w:p w14:paraId="0B300702"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anvendes ikke</w:t>
            </w:r>
          </w:p>
        </w:tc>
        <w:tc>
          <w:tcPr>
            <w:tcW w:w="1136" w:type="dxa"/>
            <w:shd w:val="clear" w:color="auto" w:fill="auto"/>
            <w:tcMar>
              <w:left w:w="28" w:type="dxa"/>
              <w:right w:w="28" w:type="dxa"/>
            </w:tcMar>
          </w:tcPr>
          <w:p w14:paraId="4C89952B"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Sum af PFOA-ækvivalenter 0.077 (</w:t>
            </w:r>
            <w:r w:rsidRPr="00393250">
              <w:rPr>
                <w:rFonts w:eastAsia="Calibri"/>
                <w:noProof/>
                <w:sz w:val="22"/>
                <w:szCs w:val="22"/>
                <w:vertAlign w:val="superscript"/>
                <w:lang w:eastAsia="en-US"/>
              </w:rPr>
              <w:t>28</w:t>
            </w:r>
            <w:r w:rsidRPr="00393250">
              <w:rPr>
                <w:rFonts w:eastAsia="Calibri"/>
                <w:noProof/>
                <w:sz w:val="22"/>
                <w:szCs w:val="22"/>
                <w:lang w:eastAsia="en-US"/>
              </w:rPr>
              <w:t xml:space="preserve">) </w:t>
            </w:r>
          </w:p>
        </w:tc>
        <w:tc>
          <w:tcPr>
            <w:tcW w:w="1262" w:type="dxa"/>
            <w:tcMar>
              <w:left w:w="28" w:type="dxa"/>
              <w:right w:w="28" w:type="dxa"/>
            </w:tcMar>
          </w:tcPr>
          <w:p w14:paraId="552C6A5C"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X</w:t>
            </w:r>
          </w:p>
        </w:tc>
        <w:tc>
          <w:tcPr>
            <w:tcW w:w="1153" w:type="dxa"/>
            <w:gridSpan w:val="2"/>
            <w:tcMar>
              <w:left w:w="28" w:type="dxa"/>
              <w:right w:w="28" w:type="dxa"/>
            </w:tcMar>
          </w:tcPr>
          <w:p w14:paraId="23F9402A"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X</w:t>
            </w:r>
          </w:p>
        </w:tc>
        <w:tc>
          <w:tcPr>
            <w:tcW w:w="970" w:type="dxa"/>
            <w:tcMar>
              <w:left w:w="28" w:type="dxa"/>
              <w:right w:w="28" w:type="dxa"/>
            </w:tcMar>
          </w:tcPr>
          <w:p w14:paraId="2C1F3E96" w14:textId="77777777" w:rsidR="00B551B3" w:rsidRPr="00393250" w:rsidRDefault="00B551B3" w:rsidP="00B551B3">
            <w:pPr>
              <w:keepNext/>
              <w:widowControl/>
              <w:spacing w:before="40" w:after="40"/>
              <w:rPr>
                <w:rFonts w:eastAsia="Calibri"/>
                <w:noProof/>
                <w:sz w:val="22"/>
                <w:szCs w:val="22"/>
                <w:lang w:eastAsia="en-US"/>
              </w:rPr>
            </w:pPr>
            <w:r w:rsidRPr="00393250">
              <w:rPr>
                <w:rFonts w:eastAsia="Calibri"/>
                <w:noProof/>
                <w:sz w:val="22"/>
                <w:szCs w:val="22"/>
                <w:lang w:eastAsia="en-US"/>
              </w:rPr>
              <w:t>X</w:t>
            </w:r>
          </w:p>
        </w:tc>
      </w:tr>
      <w:tr w:rsidR="00B551B3" w:rsidRPr="00393250" w14:paraId="2D0A2C7B" w14:textId="77777777" w:rsidTr="00350DAB">
        <w:trPr>
          <w:tblHeader/>
          <w:jc w:val="center"/>
        </w:trPr>
        <w:tc>
          <w:tcPr>
            <w:tcW w:w="834" w:type="dxa"/>
            <w:gridSpan w:val="2"/>
            <w:tcMar>
              <w:left w:w="28" w:type="dxa"/>
              <w:right w:w="28" w:type="dxa"/>
            </w:tcMar>
          </w:tcPr>
          <w:p w14:paraId="2964C6B4"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(66)</w:t>
            </w:r>
          </w:p>
        </w:tc>
        <w:tc>
          <w:tcPr>
            <w:tcW w:w="2103" w:type="dxa"/>
            <w:shd w:val="clear" w:color="auto" w:fill="auto"/>
            <w:tcMar>
              <w:left w:w="28" w:type="dxa"/>
              <w:right w:w="28" w:type="dxa"/>
            </w:tcMar>
          </w:tcPr>
          <w:p w14:paraId="1A27B4D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Sølv</w:t>
            </w:r>
          </w:p>
        </w:tc>
        <w:tc>
          <w:tcPr>
            <w:tcW w:w="1329" w:type="dxa"/>
            <w:gridSpan w:val="2"/>
            <w:shd w:val="clear" w:color="auto" w:fill="auto"/>
            <w:tcMar>
              <w:left w:w="28" w:type="dxa"/>
              <w:right w:w="28" w:type="dxa"/>
            </w:tcMar>
          </w:tcPr>
          <w:p w14:paraId="00527B7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Metaller</w:t>
            </w:r>
          </w:p>
        </w:tc>
        <w:tc>
          <w:tcPr>
            <w:tcW w:w="992" w:type="dxa"/>
            <w:shd w:val="clear" w:color="auto" w:fill="auto"/>
            <w:tcMar>
              <w:left w:w="28" w:type="dxa"/>
              <w:right w:w="28" w:type="dxa"/>
            </w:tcMar>
          </w:tcPr>
          <w:p w14:paraId="7756933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7440-22-4</w:t>
            </w:r>
          </w:p>
        </w:tc>
        <w:tc>
          <w:tcPr>
            <w:tcW w:w="1134" w:type="dxa"/>
          </w:tcPr>
          <w:p w14:paraId="4F5B684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231-131-3</w:t>
            </w:r>
          </w:p>
        </w:tc>
        <w:tc>
          <w:tcPr>
            <w:tcW w:w="1279" w:type="dxa"/>
            <w:shd w:val="clear" w:color="auto" w:fill="auto"/>
            <w:tcMar>
              <w:left w:w="28" w:type="dxa"/>
              <w:right w:w="28" w:type="dxa"/>
            </w:tcMar>
          </w:tcPr>
          <w:p w14:paraId="00BD0B7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0,01</w:t>
            </w:r>
          </w:p>
        </w:tc>
        <w:tc>
          <w:tcPr>
            <w:tcW w:w="1279" w:type="dxa"/>
            <w:shd w:val="clear" w:color="auto" w:fill="auto"/>
            <w:tcMar>
              <w:left w:w="28" w:type="dxa"/>
              <w:right w:w="28" w:type="dxa"/>
            </w:tcMar>
          </w:tcPr>
          <w:p w14:paraId="6F6CD41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0,006 (10 % saltindhold)</w:t>
            </w:r>
            <w:r w:rsidRPr="00393250">
              <w:rPr>
                <w:rFonts w:eastAsia="Calibri"/>
                <w:noProof/>
                <w:szCs w:val="22"/>
                <w:lang w:eastAsia="en-US"/>
              </w:rPr>
              <w:t xml:space="preserve"> </w:t>
            </w:r>
            <w:r w:rsidRPr="00393250">
              <w:rPr>
                <w:rFonts w:eastAsia="Calibri"/>
                <w:noProof/>
                <w:szCs w:val="22"/>
                <w:lang w:eastAsia="en-US"/>
              </w:rPr>
              <w:br/>
            </w:r>
            <w:r w:rsidRPr="00393250">
              <w:rPr>
                <w:rFonts w:eastAsia="Calibri"/>
                <w:noProof/>
                <w:sz w:val="22"/>
                <w:szCs w:val="22"/>
                <w:lang w:eastAsia="en-US"/>
              </w:rPr>
              <w:t>0,17 (30 % saltindhold)</w:t>
            </w:r>
          </w:p>
        </w:tc>
        <w:tc>
          <w:tcPr>
            <w:tcW w:w="1278" w:type="dxa"/>
            <w:shd w:val="clear" w:color="auto" w:fill="auto"/>
            <w:tcMar>
              <w:left w:w="28" w:type="dxa"/>
              <w:right w:w="28" w:type="dxa"/>
            </w:tcMar>
          </w:tcPr>
          <w:p w14:paraId="3D11D26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0,022</w:t>
            </w:r>
          </w:p>
        </w:tc>
        <w:tc>
          <w:tcPr>
            <w:tcW w:w="1277" w:type="dxa"/>
            <w:shd w:val="clear" w:color="auto" w:fill="auto"/>
            <w:tcMar>
              <w:left w:w="28" w:type="dxa"/>
              <w:right w:w="28" w:type="dxa"/>
            </w:tcMar>
          </w:tcPr>
          <w:p w14:paraId="6FC24AAE"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ikke afledt</w:t>
            </w:r>
          </w:p>
        </w:tc>
        <w:tc>
          <w:tcPr>
            <w:tcW w:w="1136" w:type="dxa"/>
            <w:shd w:val="clear" w:color="auto" w:fill="auto"/>
            <w:tcMar>
              <w:left w:w="28" w:type="dxa"/>
              <w:right w:w="28" w:type="dxa"/>
            </w:tcMar>
          </w:tcPr>
          <w:p w14:paraId="0BB7E010" w14:textId="77777777" w:rsidR="00B551B3" w:rsidRPr="00393250" w:rsidDel="00974569"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281B7A30" w14:textId="77777777" w:rsidR="00B551B3" w:rsidRPr="00393250" w:rsidRDefault="00B551B3" w:rsidP="00B551B3">
            <w:pPr>
              <w:widowControl/>
              <w:spacing w:before="40" w:after="40"/>
              <w:rPr>
                <w:rFonts w:eastAsia="Calibri"/>
                <w:noProof/>
                <w:sz w:val="22"/>
                <w:szCs w:val="22"/>
                <w:lang w:eastAsia="en-US"/>
              </w:rPr>
            </w:pPr>
          </w:p>
        </w:tc>
        <w:tc>
          <w:tcPr>
            <w:tcW w:w="1153" w:type="dxa"/>
            <w:gridSpan w:val="2"/>
            <w:tcMar>
              <w:left w:w="28" w:type="dxa"/>
              <w:right w:w="28" w:type="dxa"/>
            </w:tcMar>
          </w:tcPr>
          <w:p w14:paraId="412B5C01"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377560AA"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35AFD8EC" w14:textId="77777777" w:rsidTr="00350DAB">
        <w:trPr>
          <w:tblHeader/>
          <w:jc w:val="center"/>
        </w:trPr>
        <w:tc>
          <w:tcPr>
            <w:tcW w:w="834" w:type="dxa"/>
            <w:gridSpan w:val="2"/>
            <w:tcMar>
              <w:left w:w="28" w:type="dxa"/>
              <w:right w:w="28" w:type="dxa"/>
            </w:tcMar>
          </w:tcPr>
          <w:p w14:paraId="7A593289"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(67)</w:t>
            </w:r>
          </w:p>
        </w:tc>
        <w:tc>
          <w:tcPr>
            <w:tcW w:w="2103" w:type="dxa"/>
            <w:shd w:val="clear" w:color="auto" w:fill="auto"/>
            <w:tcMar>
              <w:left w:w="28" w:type="dxa"/>
              <w:right w:w="28" w:type="dxa"/>
            </w:tcMar>
          </w:tcPr>
          <w:p w14:paraId="4AF4B96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Thiacloprid</w:t>
            </w:r>
          </w:p>
        </w:tc>
        <w:tc>
          <w:tcPr>
            <w:tcW w:w="1329" w:type="dxa"/>
            <w:gridSpan w:val="2"/>
            <w:shd w:val="clear" w:color="auto" w:fill="auto"/>
            <w:tcMar>
              <w:left w:w="28" w:type="dxa"/>
              <w:right w:w="28" w:type="dxa"/>
            </w:tcMar>
          </w:tcPr>
          <w:p w14:paraId="2979027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Neonicotinoid-pesticider</w:t>
            </w:r>
          </w:p>
        </w:tc>
        <w:tc>
          <w:tcPr>
            <w:tcW w:w="992" w:type="dxa"/>
            <w:shd w:val="clear" w:color="auto" w:fill="auto"/>
            <w:tcMar>
              <w:left w:w="28" w:type="dxa"/>
              <w:right w:w="28" w:type="dxa"/>
            </w:tcMar>
          </w:tcPr>
          <w:p w14:paraId="2260D14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111988-49-9</w:t>
            </w:r>
          </w:p>
        </w:tc>
        <w:tc>
          <w:tcPr>
            <w:tcW w:w="1134" w:type="dxa"/>
          </w:tcPr>
          <w:p w14:paraId="774A155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601-147-9</w:t>
            </w:r>
          </w:p>
        </w:tc>
        <w:tc>
          <w:tcPr>
            <w:tcW w:w="1279" w:type="dxa"/>
            <w:shd w:val="clear" w:color="auto" w:fill="auto"/>
            <w:tcMar>
              <w:left w:w="28" w:type="dxa"/>
              <w:right w:w="28" w:type="dxa"/>
            </w:tcMar>
          </w:tcPr>
          <w:p w14:paraId="7020B3E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0,01</w:t>
            </w:r>
          </w:p>
        </w:tc>
        <w:tc>
          <w:tcPr>
            <w:tcW w:w="1279" w:type="dxa"/>
            <w:shd w:val="clear" w:color="auto" w:fill="auto"/>
            <w:tcMar>
              <w:left w:w="28" w:type="dxa"/>
              <w:right w:w="28" w:type="dxa"/>
            </w:tcMar>
          </w:tcPr>
          <w:p w14:paraId="31A32300"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0,001</w:t>
            </w:r>
          </w:p>
        </w:tc>
        <w:tc>
          <w:tcPr>
            <w:tcW w:w="1278" w:type="dxa"/>
            <w:shd w:val="clear" w:color="auto" w:fill="auto"/>
            <w:tcMar>
              <w:left w:w="28" w:type="dxa"/>
              <w:right w:w="28" w:type="dxa"/>
            </w:tcMar>
          </w:tcPr>
          <w:p w14:paraId="5A828EB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0,05</w:t>
            </w:r>
          </w:p>
        </w:tc>
        <w:tc>
          <w:tcPr>
            <w:tcW w:w="1277" w:type="dxa"/>
            <w:shd w:val="clear" w:color="auto" w:fill="auto"/>
            <w:tcMar>
              <w:left w:w="28" w:type="dxa"/>
              <w:right w:w="28" w:type="dxa"/>
            </w:tcMar>
          </w:tcPr>
          <w:p w14:paraId="5DAADD6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0,005</w:t>
            </w:r>
          </w:p>
        </w:tc>
        <w:tc>
          <w:tcPr>
            <w:tcW w:w="1136" w:type="dxa"/>
            <w:shd w:val="clear" w:color="auto" w:fill="auto"/>
            <w:tcMar>
              <w:left w:w="28" w:type="dxa"/>
              <w:right w:w="28" w:type="dxa"/>
            </w:tcMar>
          </w:tcPr>
          <w:p w14:paraId="7EFC6BBE"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34BE421F" w14:textId="77777777" w:rsidR="00B551B3" w:rsidRPr="00393250" w:rsidRDefault="00B551B3" w:rsidP="00B551B3">
            <w:pPr>
              <w:widowControl/>
              <w:spacing w:before="40" w:after="40"/>
              <w:rPr>
                <w:rFonts w:eastAsia="Calibri"/>
                <w:noProof/>
                <w:sz w:val="22"/>
                <w:szCs w:val="22"/>
                <w:lang w:eastAsia="en-US"/>
              </w:rPr>
            </w:pPr>
          </w:p>
        </w:tc>
        <w:tc>
          <w:tcPr>
            <w:tcW w:w="1153" w:type="dxa"/>
            <w:gridSpan w:val="2"/>
            <w:tcMar>
              <w:left w:w="28" w:type="dxa"/>
              <w:right w:w="28" w:type="dxa"/>
            </w:tcMar>
          </w:tcPr>
          <w:p w14:paraId="01FB80E6"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288C9EAB"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02778C9A" w14:textId="77777777" w:rsidTr="00350DAB">
        <w:trPr>
          <w:tblHeader/>
          <w:jc w:val="center"/>
        </w:trPr>
        <w:tc>
          <w:tcPr>
            <w:tcW w:w="834" w:type="dxa"/>
            <w:gridSpan w:val="2"/>
            <w:tcMar>
              <w:left w:w="28" w:type="dxa"/>
              <w:right w:w="28" w:type="dxa"/>
            </w:tcMar>
          </w:tcPr>
          <w:p w14:paraId="3621953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(68)</w:t>
            </w:r>
          </w:p>
        </w:tc>
        <w:tc>
          <w:tcPr>
            <w:tcW w:w="2103" w:type="dxa"/>
            <w:shd w:val="clear" w:color="auto" w:fill="auto"/>
            <w:tcMar>
              <w:left w:w="28" w:type="dxa"/>
              <w:right w:w="28" w:type="dxa"/>
            </w:tcMar>
          </w:tcPr>
          <w:p w14:paraId="4165999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Thiamethoxam</w:t>
            </w:r>
          </w:p>
        </w:tc>
        <w:tc>
          <w:tcPr>
            <w:tcW w:w="1329" w:type="dxa"/>
            <w:gridSpan w:val="2"/>
            <w:shd w:val="clear" w:color="auto" w:fill="auto"/>
            <w:tcMar>
              <w:left w:w="28" w:type="dxa"/>
              <w:right w:w="28" w:type="dxa"/>
            </w:tcMar>
          </w:tcPr>
          <w:p w14:paraId="71C254C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Neonicotinoid-pesticider</w:t>
            </w:r>
          </w:p>
        </w:tc>
        <w:tc>
          <w:tcPr>
            <w:tcW w:w="992" w:type="dxa"/>
            <w:shd w:val="clear" w:color="auto" w:fill="auto"/>
            <w:tcMar>
              <w:left w:w="28" w:type="dxa"/>
              <w:right w:w="28" w:type="dxa"/>
            </w:tcMar>
          </w:tcPr>
          <w:p w14:paraId="473B3A1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153719-23-4</w:t>
            </w:r>
          </w:p>
        </w:tc>
        <w:tc>
          <w:tcPr>
            <w:tcW w:w="1134" w:type="dxa"/>
          </w:tcPr>
          <w:p w14:paraId="4630A8D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428-650-4</w:t>
            </w:r>
          </w:p>
        </w:tc>
        <w:tc>
          <w:tcPr>
            <w:tcW w:w="1279" w:type="dxa"/>
            <w:shd w:val="clear" w:color="auto" w:fill="auto"/>
            <w:tcMar>
              <w:left w:w="28" w:type="dxa"/>
              <w:right w:w="28" w:type="dxa"/>
            </w:tcMar>
          </w:tcPr>
          <w:p w14:paraId="53C9750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0,04</w:t>
            </w:r>
          </w:p>
        </w:tc>
        <w:tc>
          <w:tcPr>
            <w:tcW w:w="1279" w:type="dxa"/>
            <w:shd w:val="clear" w:color="auto" w:fill="auto"/>
            <w:tcMar>
              <w:left w:w="28" w:type="dxa"/>
              <w:right w:w="28" w:type="dxa"/>
            </w:tcMar>
          </w:tcPr>
          <w:p w14:paraId="729B673B"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0,004</w:t>
            </w:r>
          </w:p>
        </w:tc>
        <w:tc>
          <w:tcPr>
            <w:tcW w:w="1278" w:type="dxa"/>
            <w:shd w:val="clear" w:color="auto" w:fill="auto"/>
            <w:tcMar>
              <w:left w:w="28" w:type="dxa"/>
              <w:right w:w="28" w:type="dxa"/>
            </w:tcMar>
          </w:tcPr>
          <w:p w14:paraId="4ED42C8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0,77</w:t>
            </w:r>
          </w:p>
        </w:tc>
        <w:tc>
          <w:tcPr>
            <w:tcW w:w="1277" w:type="dxa"/>
            <w:shd w:val="clear" w:color="auto" w:fill="auto"/>
            <w:tcMar>
              <w:left w:w="28" w:type="dxa"/>
              <w:right w:w="28" w:type="dxa"/>
            </w:tcMar>
          </w:tcPr>
          <w:p w14:paraId="3CBD3F0A"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0,077</w:t>
            </w:r>
          </w:p>
        </w:tc>
        <w:tc>
          <w:tcPr>
            <w:tcW w:w="1136" w:type="dxa"/>
            <w:shd w:val="clear" w:color="auto" w:fill="auto"/>
            <w:tcMar>
              <w:left w:w="28" w:type="dxa"/>
              <w:right w:w="28" w:type="dxa"/>
            </w:tcMar>
          </w:tcPr>
          <w:p w14:paraId="4328301C"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77CA74F7" w14:textId="77777777" w:rsidR="00B551B3" w:rsidRPr="00393250" w:rsidRDefault="00B551B3" w:rsidP="00B551B3">
            <w:pPr>
              <w:widowControl/>
              <w:spacing w:before="40" w:after="40"/>
              <w:rPr>
                <w:rFonts w:eastAsia="Calibri"/>
                <w:noProof/>
                <w:sz w:val="22"/>
                <w:szCs w:val="22"/>
                <w:lang w:eastAsia="en-US"/>
              </w:rPr>
            </w:pPr>
          </w:p>
        </w:tc>
        <w:tc>
          <w:tcPr>
            <w:tcW w:w="1153" w:type="dxa"/>
            <w:gridSpan w:val="2"/>
            <w:tcMar>
              <w:left w:w="28" w:type="dxa"/>
              <w:right w:w="28" w:type="dxa"/>
            </w:tcMar>
          </w:tcPr>
          <w:p w14:paraId="2CF61CEB"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78C04081" w14:textId="77777777" w:rsidR="00B551B3" w:rsidRPr="00393250" w:rsidRDefault="00B551B3" w:rsidP="00B551B3">
            <w:pPr>
              <w:widowControl/>
              <w:spacing w:before="40" w:after="40"/>
              <w:rPr>
                <w:rFonts w:eastAsia="Calibri"/>
                <w:noProof/>
                <w:sz w:val="22"/>
                <w:szCs w:val="22"/>
                <w:lang w:eastAsia="en-US"/>
              </w:rPr>
            </w:pPr>
          </w:p>
        </w:tc>
      </w:tr>
      <w:tr w:rsidR="00B551B3" w:rsidRPr="00393250" w14:paraId="5A271121" w14:textId="77777777" w:rsidTr="00350DAB">
        <w:trPr>
          <w:tblHeader/>
          <w:jc w:val="center"/>
        </w:trPr>
        <w:tc>
          <w:tcPr>
            <w:tcW w:w="834" w:type="dxa"/>
            <w:gridSpan w:val="2"/>
            <w:tcMar>
              <w:left w:w="28" w:type="dxa"/>
              <w:right w:w="28" w:type="dxa"/>
            </w:tcMar>
          </w:tcPr>
          <w:p w14:paraId="3F59AD9D" w14:textId="77777777"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(69)</w:t>
            </w:r>
          </w:p>
        </w:tc>
        <w:tc>
          <w:tcPr>
            <w:tcW w:w="2103" w:type="dxa"/>
            <w:shd w:val="clear" w:color="auto" w:fill="auto"/>
            <w:tcMar>
              <w:left w:w="28" w:type="dxa"/>
              <w:right w:w="28" w:type="dxa"/>
            </w:tcMar>
          </w:tcPr>
          <w:p w14:paraId="6E662651"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Triclosan</w:t>
            </w:r>
          </w:p>
        </w:tc>
        <w:tc>
          <w:tcPr>
            <w:tcW w:w="1329" w:type="dxa"/>
            <w:gridSpan w:val="2"/>
            <w:shd w:val="clear" w:color="auto" w:fill="auto"/>
            <w:tcMar>
              <w:left w:w="28" w:type="dxa"/>
              <w:right w:w="28" w:type="dxa"/>
            </w:tcMar>
          </w:tcPr>
          <w:p w14:paraId="5FD8F0CD"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Biocider</w:t>
            </w:r>
          </w:p>
        </w:tc>
        <w:tc>
          <w:tcPr>
            <w:tcW w:w="992" w:type="dxa"/>
            <w:shd w:val="clear" w:color="auto" w:fill="auto"/>
            <w:tcMar>
              <w:left w:w="28" w:type="dxa"/>
              <w:right w:w="28" w:type="dxa"/>
            </w:tcMar>
          </w:tcPr>
          <w:p w14:paraId="209AE096"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3380-34-5</w:t>
            </w:r>
          </w:p>
        </w:tc>
        <w:tc>
          <w:tcPr>
            <w:tcW w:w="1134" w:type="dxa"/>
          </w:tcPr>
          <w:p w14:paraId="70A6947C"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222-182-2</w:t>
            </w:r>
          </w:p>
        </w:tc>
        <w:tc>
          <w:tcPr>
            <w:tcW w:w="1279" w:type="dxa"/>
            <w:shd w:val="clear" w:color="auto" w:fill="auto"/>
            <w:tcMar>
              <w:left w:w="28" w:type="dxa"/>
              <w:right w:w="28" w:type="dxa"/>
            </w:tcMar>
          </w:tcPr>
          <w:p w14:paraId="419B498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0,02</w:t>
            </w:r>
          </w:p>
        </w:tc>
        <w:tc>
          <w:tcPr>
            <w:tcW w:w="1279" w:type="dxa"/>
            <w:shd w:val="clear" w:color="auto" w:fill="auto"/>
            <w:tcMar>
              <w:left w:w="28" w:type="dxa"/>
              <w:right w:w="28" w:type="dxa"/>
            </w:tcMar>
          </w:tcPr>
          <w:p w14:paraId="7D601927"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0,002</w:t>
            </w:r>
          </w:p>
        </w:tc>
        <w:tc>
          <w:tcPr>
            <w:tcW w:w="1278" w:type="dxa"/>
            <w:shd w:val="clear" w:color="auto" w:fill="auto"/>
            <w:tcMar>
              <w:left w:w="28" w:type="dxa"/>
              <w:right w:w="28" w:type="dxa"/>
            </w:tcMar>
          </w:tcPr>
          <w:p w14:paraId="6AB1E2F4"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0,02</w:t>
            </w:r>
          </w:p>
        </w:tc>
        <w:tc>
          <w:tcPr>
            <w:tcW w:w="1277" w:type="dxa"/>
            <w:shd w:val="clear" w:color="auto" w:fill="auto"/>
            <w:tcMar>
              <w:left w:w="28" w:type="dxa"/>
              <w:right w:w="28" w:type="dxa"/>
            </w:tcMar>
          </w:tcPr>
          <w:p w14:paraId="455C9929"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0,002</w:t>
            </w:r>
          </w:p>
        </w:tc>
        <w:tc>
          <w:tcPr>
            <w:tcW w:w="1136" w:type="dxa"/>
            <w:shd w:val="clear" w:color="auto" w:fill="auto"/>
            <w:tcMar>
              <w:left w:w="28" w:type="dxa"/>
              <w:right w:w="28" w:type="dxa"/>
            </w:tcMar>
          </w:tcPr>
          <w:p w14:paraId="0C6C90AA"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3BF68A46" w14:textId="77777777" w:rsidR="00B551B3" w:rsidRPr="00393250" w:rsidRDefault="00B551B3" w:rsidP="00B551B3">
            <w:pPr>
              <w:widowControl/>
              <w:spacing w:before="40" w:after="40"/>
              <w:rPr>
                <w:rFonts w:eastAsia="Calibri"/>
                <w:noProof/>
                <w:sz w:val="22"/>
                <w:szCs w:val="22"/>
                <w:lang w:eastAsia="en-US"/>
              </w:rPr>
            </w:pPr>
          </w:p>
        </w:tc>
        <w:tc>
          <w:tcPr>
            <w:tcW w:w="1153" w:type="dxa"/>
            <w:gridSpan w:val="2"/>
            <w:tcMar>
              <w:left w:w="28" w:type="dxa"/>
              <w:right w:w="28" w:type="dxa"/>
            </w:tcMar>
          </w:tcPr>
          <w:p w14:paraId="7C2361F6"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747225F5" w14:textId="77777777" w:rsidR="00B551B3" w:rsidRPr="00393250" w:rsidRDefault="00B551B3" w:rsidP="00B551B3">
            <w:pPr>
              <w:widowControl/>
              <w:spacing w:before="40" w:after="40"/>
              <w:rPr>
                <w:rFonts w:eastAsia="Calibri"/>
                <w:noProof/>
                <w:sz w:val="22"/>
                <w:szCs w:val="22"/>
                <w:lang w:eastAsia="en-US"/>
              </w:rPr>
            </w:pPr>
          </w:p>
        </w:tc>
      </w:tr>
    </w:tbl>
    <w:p w14:paraId="63D36C2A" w14:textId="77777777" w:rsidR="00350DAB" w:rsidRPr="00393250" w:rsidRDefault="00350DAB">
      <w:r w:rsidRPr="00393250">
        <w:br w:type="page"/>
      </w:r>
    </w:p>
    <w:tbl>
      <w:tblPr>
        <w:tblW w:w="16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4"/>
        <w:gridCol w:w="2103"/>
        <w:gridCol w:w="1329"/>
        <w:gridCol w:w="992"/>
        <w:gridCol w:w="1134"/>
        <w:gridCol w:w="1279"/>
        <w:gridCol w:w="1279"/>
        <w:gridCol w:w="1278"/>
        <w:gridCol w:w="1277"/>
        <w:gridCol w:w="1136"/>
        <w:gridCol w:w="1262"/>
        <w:gridCol w:w="1153"/>
        <w:gridCol w:w="970"/>
      </w:tblGrid>
      <w:tr w:rsidR="00B551B3" w:rsidRPr="00393250" w14:paraId="185DB981" w14:textId="77777777" w:rsidTr="00350DAB">
        <w:trPr>
          <w:tblHeader/>
          <w:jc w:val="center"/>
        </w:trPr>
        <w:tc>
          <w:tcPr>
            <w:tcW w:w="834" w:type="dxa"/>
            <w:tcMar>
              <w:left w:w="28" w:type="dxa"/>
              <w:right w:w="28" w:type="dxa"/>
            </w:tcMar>
          </w:tcPr>
          <w:p w14:paraId="27C8F2D6" w14:textId="0EB57EF0" w:rsidR="00B551B3" w:rsidRPr="00393250" w:rsidRDefault="00B551B3" w:rsidP="00B551B3">
            <w:pPr>
              <w:widowControl/>
              <w:spacing w:before="40" w:after="40"/>
              <w:jc w:val="both"/>
              <w:rPr>
                <w:rFonts w:eastAsia="Calibri"/>
                <w:noProof/>
                <w:sz w:val="22"/>
                <w:szCs w:val="22"/>
                <w:lang w:eastAsia="en-US"/>
              </w:rPr>
            </w:pPr>
            <w:r w:rsidRPr="00393250">
              <w:rPr>
                <w:rFonts w:eastAsia="Calibri"/>
                <w:noProof/>
                <w:sz w:val="22"/>
                <w:szCs w:val="22"/>
                <w:lang w:eastAsia="en-US"/>
              </w:rPr>
              <w:t>(70)</w:t>
            </w:r>
          </w:p>
        </w:tc>
        <w:tc>
          <w:tcPr>
            <w:tcW w:w="2103" w:type="dxa"/>
            <w:shd w:val="clear" w:color="auto" w:fill="auto"/>
            <w:tcMar>
              <w:left w:w="28" w:type="dxa"/>
              <w:right w:w="28" w:type="dxa"/>
            </w:tcMar>
          </w:tcPr>
          <w:p w14:paraId="6318B90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Aktive stoffer i pesticider, herunder deres relevante omdannelses-, nedbrydnings- og reaktionsprodukter, i alt (</w:t>
            </w:r>
            <w:r w:rsidRPr="00393250">
              <w:rPr>
                <w:rFonts w:eastAsia="Calibri"/>
                <w:noProof/>
                <w:sz w:val="22"/>
                <w:szCs w:val="22"/>
                <w:vertAlign w:val="superscript"/>
                <w:lang w:eastAsia="en-US"/>
              </w:rPr>
              <w:t>29</w:t>
            </w:r>
            <w:r w:rsidRPr="00393250">
              <w:rPr>
                <w:rFonts w:eastAsia="Calibri"/>
                <w:noProof/>
                <w:sz w:val="22"/>
                <w:szCs w:val="22"/>
                <w:lang w:eastAsia="en-US"/>
              </w:rPr>
              <w:t>)</w:t>
            </w:r>
          </w:p>
        </w:tc>
        <w:tc>
          <w:tcPr>
            <w:tcW w:w="1329" w:type="dxa"/>
            <w:shd w:val="clear" w:color="auto" w:fill="auto"/>
            <w:tcMar>
              <w:left w:w="28" w:type="dxa"/>
              <w:right w:w="28" w:type="dxa"/>
            </w:tcMar>
          </w:tcPr>
          <w:p w14:paraId="467F5813"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Plantebeskyttelsesmidler og biocider</w:t>
            </w:r>
          </w:p>
        </w:tc>
        <w:tc>
          <w:tcPr>
            <w:tcW w:w="992" w:type="dxa"/>
            <w:shd w:val="clear" w:color="auto" w:fill="auto"/>
            <w:tcMar>
              <w:left w:w="28" w:type="dxa"/>
              <w:right w:w="28" w:type="dxa"/>
            </w:tcMar>
          </w:tcPr>
          <w:p w14:paraId="1E62A786" w14:textId="77777777" w:rsidR="00B551B3" w:rsidRPr="00393250" w:rsidRDefault="00B551B3" w:rsidP="00B551B3">
            <w:pPr>
              <w:widowControl/>
              <w:spacing w:before="40" w:after="40"/>
              <w:rPr>
                <w:rFonts w:eastAsia="Calibri"/>
                <w:noProof/>
                <w:sz w:val="22"/>
                <w:szCs w:val="22"/>
                <w:lang w:eastAsia="en-US"/>
              </w:rPr>
            </w:pPr>
          </w:p>
        </w:tc>
        <w:tc>
          <w:tcPr>
            <w:tcW w:w="1134" w:type="dxa"/>
          </w:tcPr>
          <w:p w14:paraId="49C17242" w14:textId="77777777" w:rsidR="00B551B3" w:rsidRPr="00393250" w:rsidRDefault="00B551B3" w:rsidP="00B551B3">
            <w:pPr>
              <w:widowControl/>
              <w:spacing w:before="40" w:after="40"/>
              <w:rPr>
                <w:rFonts w:eastAsia="Calibri"/>
                <w:noProof/>
                <w:sz w:val="22"/>
                <w:szCs w:val="22"/>
                <w:lang w:eastAsia="en-US"/>
              </w:rPr>
            </w:pPr>
          </w:p>
        </w:tc>
        <w:tc>
          <w:tcPr>
            <w:tcW w:w="1279" w:type="dxa"/>
            <w:shd w:val="clear" w:color="auto" w:fill="auto"/>
            <w:tcMar>
              <w:left w:w="28" w:type="dxa"/>
              <w:right w:w="28" w:type="dxa"/>
            </w:tcMar>
          </w:tcPr>
          <w:p w14:paraId="1D4918C2"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0,5 (</w:t>
            </w:r>
            <w:r w:rsidRPr="00393250">
              <w:rPr>
                <w:rFonts w:eastAsia="Calibri"/>
                <w:noProof/>
                <w:sz w:val="22"/>
                <w:szCs w:val="22"/>
                <w:vertAlign w:val="superscript"/>
                <w:lang w:eastAsia="en-US"/>
              </w:rPr>
              <w:t>30</w:t>
            </w:r>
            <w:r w:rsidRPr="00393250">
              <w:rPr>
                <w:rFonts w:eastAsia="Calibri"/>
                <w:noProof/>
                <w:sz w:val="22"/>
                <w:szCs w:val="22"/>
                <w:lang w:eastAsia="en-US"/>
              </w:rPr>
              <w:t>)</w:t>
            </w:r>
          </w:p>
        </w:tc>
        <w:tc>
          <w:tcPr>
            <w:tcW w:w="1279" w:type="dxa"/>
            <w:shd w:val="clear" w:color="auto" w:fill="auto"/>
            <w:tcMar>
              <w:left w:w="28" w:type="dxa"/>
              <w:right w:w="28" w:type="dxa"/>
            </w:tcMar>
          </w:tcPr>
          <w:p w14:paraId="18478898" w14:textId="77777777" w:rsidR="00B551B3" w:rsidRPr="00393250" w:rsidRDefault="00B551B3" w:rsidP="00B551B3">
            <w:pPr>
              <w:widowControl/>
              <w:spacing w:before="40" w:after="40"/>
              <w:rPr>
                <w:rFonts w:eastAsia="Calibri"/>
                <w:noProof/>
                <w:sz w:val="22"/>
                <w:szCs w:val="22"/>
                <w:lang w:eastAsia="en-US"/>
              </w:rPr>
            </w:pPr>
            <w:r w:rsidRPr="00393250">
              <w:rPr>
                <w:rFonts w:eastAsia="Calibri"/>
                <w:noProof/>
                <w:sz w:val="22"/>
                <w:szCs w:val="22"/>
                <w:lang w:eastAsia="en-US"/>
              </w:rPr>
              <w:t>0,5 (</w:t>
            </w:r>
            <w:r w:rsidRPr="00393250">
              <w:rPr>
                <w:rFonts w:eastAsia="Calibri"/>
                <w:noProof/>
                <w:sz w:val="22"/>
                <w:szCs w:val="22"/>
                <w:vertAlign w:val="superscript"/>
                <w:lang w:eastAsia="en-US"/>
              </w:rPr>
              <w:t>30</w:t>
            </w:r>
            <w:r w:rsidRPr="00393250">
              <w:rPr>
                <w:rFonts w:eastAsia="Calibri"/>
                <w:noProof/>
                <w:sz w:val="22"/>
                <w:szCs w:val="22"/>
                <w:lang w:eastAsia="en-US"/>
              </w:rPr>
              <w:t>)</w:t>
            </w:r>
          </w:p>
        </w:tc>
        <w:tc>
          <w:tcPr>
            <w:tcW w:w="1278" w:type="dxa"/>
            <w:shd w:val="clear" w:color="auto" w:fill="auto"/>
            <w:tcMar>
              <w:left w:w="28" w:type="dxa"/>
              <w:right w:w="28" w:type="dxa"/>
            </w:tcMar>
          </w:tcPr>
          <w:p w14:paraId="0B4FF8F4" w14:textId="77777777" w:rsidR="00B551B3" w:rsidRPr="00393250" w:rsidRDefault="00B551B3" w:rsidP="00B551B3">
            <w:pPr>
              <w:widowControl/>
              <w:spacing w:before="40" w:after="40"/>
              <w:rPr>
                <w:rFonts w:eastAsia="Calibri"/>
                <w:noProof/>
                <w:sz w:val="22"/>
                <w:szCs w:val="22"/>
                <w:lang w:eastAsia="en-US"/>
              </w:rPr>
            </w:pPr>
          </w:p>
        </w:tc>
        <w:tc>
          <w:tcPr>
            <w:tcW w:w="1277" w:type="dxa"/>
            <w:shd w:val="clear" w:color="auto" w:fill="auto"/>
            <w:tcMar>
              <w:left w:w="28" w:type="dxa"/>
              <w:right w:w="28" w:type="dxa"/>
            </w:tcMar>
          </w:tcPr>
          <w:p w14:paraId="160E51EE" w14:textId="77777777" w:rsidR="00B551B3" w:rsidRPr="00393250" w:rsidRDefault="00B551B3" w:rsidP="00B551B3">
            <w:pPr>
              <w:widowControl/>
              <w:spacing w:before="40" w:after="40"/>
              <w:rPr>
                <w:rFonts w:eastAsia="Calibri"/>
                <w:noProof/>
                <w:sz w:val="22"/>
                <w:szCs w:val="22"/>
                <w:lang w:eastAsia="en-US"/>
              </w:rPr>
            </w:pPr>
          </w:p>
        </w:tc>
        <w:tc>
          <w:tcPr>
            <w:tcW w:w="1136" w:type="dxa"/>
            <w:shd w:val="clear" w:color="auto" w:fill="auto"/>
            <w:tcMar>
              <w:left w:w="28" w:type="dxa"/>
              <w:right w:w="28" w:type="dxa"/>
            </w:tcMar>
          </w:tcPr>
          <w:p w14:paraId="3E69CE29" w14:textId="77777777" w:rsidR="00B551B3" w:rsidRPr="00393250" w:rsidRDefault="00B551B3" w:rsidP="00B551B3">
            <w:pPr>
              <w:widowControl/>
              <w:spacing w:before="40" w:after="40"/>
              <w:rPr>
                <w:rFonts w:eastAsia="Calibri"/>
                <w:noProof/>
                <w:sz w:val="22"/>
                <w:szCs w:val="22"/>
                <w:lang w:eastAsia="en-US"/>
              </w:rPr>
            </w:pPr>
          </w:p>
        </w:tc>
        <w:tc>
          <w:tcPr>
            <w:tcW w:w="1262" w:type="dxa"/>
            <w:tcMar>
              <w:left w:w="28" w:type="dxa"/>
              <w:right w:w="28" w:type="dxa"/>
            </w:tcMar>
          </w:tcPr>
          <w:p w14:paraId="7C16C54C" w14:textId="77777777" w:rsidR="00B551B3" w:rsidRPr="00393250" w:rsidRDefault="00B551B3" w:rsidP="00B551B3">
            <w:pPr>
              <w:widowControl/>
              <w:spacing w:before="40" w:after="40"/>
              <w:rPr>
                <w:rFonts w:eastAsia="Calibri"/>
                <w:noProof/>
                <w:sz w:val="22"/>
                <w:szCs w:val="22"/>
                <w:lang w:eastAsia="en-US"/>
              </w:rPr>
            </w:pPr>
          </w:p>
        </w:tc>
        <w:tc>
          <w:tcPr>
            <w:tcW w:w="1153" w:type="dxa"/>
            <w:tcMar>
              <w:left w:w="28" w:type="dxa"/>
              <w:right w:w="28" w:type="dxa"/>
            </w:tcMar>
          </w:tcPr>
          <w:p w14:paraId="109BDC9D" w14:textId="77777777" w:rsidR="00B551B3" w:rsidRPr="00393250" w:rsidRDefault="00B551B3" w:rsidP="00B551B3">
            <w:pPr>
              <w:widowControl/>
              <w:spacing w:before="40" w:after="40"/>
              <w:rPr>
                <w:rFonts w:eastAsia="Calibri"/>
                <w:noProof/>
                <w:sz w:val="22"/>
                <w:szCs w:val="22"/>
                <w:lang w:eastAsia="en-US"/>
              </w:rPr>
            </w:pPr>
          </w:p>
        </w:tc>
        <w:tc>
          <w:tcPr>
            <w:tcW w:w="970" w:type="dxa"/>
            <w:tcMar>
              <w:left w:w="28" w:type="dxa"/>
              <w:right w:w="28" w:type="dxa"/>
            </w:tcMar>
          </w:tcPr>
          <w:p w14:paraId="466B2B02" w14:textId="77777777" w:rsidR="00B551B3" w:rsidRPr="00393250" w:rsidRDefault="00B551B3" w:rsidP="00B551B3">
            <w:pPr>
              <w:widowControl/>
              <w:spacing w:before="40" w:after="40"/>
              <w:rPr>
                <w:rFonts w:eastAsia="Calibri"/>
                <w:noProof/>
                <w:sz w:val="22"/>
                <w:szCs w:val="22"/>
                <w:lang w:eastAsia="en-US"/>
              </w:rPr>
            </w:pPr>
          </w:p>
        </w:tc>
      </w:tr>
      <w:tr w:rsidR="008265CA" w:rsidRPr="00393250" w14:paraId="210AD0C7" w14:textId="77777777" w:rsidTr="00350DAB">
        <w:trPr>
          <w:tblHeader/>
          <w:jc w:val="center"/>
        </w:trPr>
        <w:tc>
          <w:tcPr>
            <w:tcW w:w="834" w:type="dxa"/>
            <w:tcMar>
              <w:left w:w="28" w:type="dxa"/>
              <w:right w:w="28" w:type="dxa"/>
            </w:tcMar>
          </w:tcPr>
          <w:p w14:paraId="0FA9911A" w14:textId="006D0308" w:rsidR="008265CA" w:rsidRPr="00393250" w:rsidRDefault="008265CA" w:rsidP="008265CA">
            <w:pPr>
              <w:widowControl/>
              <w:spacing w:before="40" w:after="40"/>
              <w:jc w:val="both"/>
              <w:rPr>
                <w:rFonts w:eastAsia="Calibri"/>
                <w:b/>
                <w:noProof/>
                <w:sz w:val="22"/>
                <w:szCs w:val="22"/>
                <w:lang w:eastAsia="en-US"/>
              </w:rPr>
            </w:pPr>
            <w:r w:rsidRPr="00393250">
              <w:rPr>
                <w:b/>
                <w:i/>
                <w:sz w:val="22"/>
                <w:szCs w:val="22"/>
              </w:rPr>
              <w:t>70a</w:t>
            </w:r>
            <w:r w:rsidRPr="00393250">
              <w:rPr>
                <w:b/>
                <w:sz w:val="22"/>
                <w:szCs w:val="22"/>
              </w:rPr>
              <w:t xml:space="preserve"> [Ændring 152]</w:t>
            </w:r>
          </w:p>
        </w:tc>
        <w:tc>
          <w:tcPr>
            <w:tcW w:w="2103" w:type="dxa"/>
            <w:shd w:val="clear" w:color="auto" w:fill="auto"/>
            <w:tcMar>
              <w:left w:w="28" w:type="dxa"/>
              <w:right w:w="28" w:type="dxa"/>
            </w:tcMar>
          </w:tcPr>
          <w:p w14:paraId="77305401" w14:textId="5DE3C1AB" w:rsidR="008265CA" w:rsidRPr="00393250" w:rsidRDefault="008265CA" w:rsidP="008265CA">
            <w:pPr>
              <w:widowControl/>
              <w:spacing w:before="40" w:after="40"/>
              <w:rPr>
                <w:rFonts w:eastAsia="Calibri"/>
                <w:noProof/>
                <w:sz w:val="22"/>
                <w:szCs w:val="22"/>
                <w:lang w:eastAsia="en-US"/>
              </w:rPr>
            </w:pPr>
            <w:r w:rsidRPr="00393250">
              <w:rPr>
                <w:b/>
                <w:i/>
                <w:sz w:val="22"/>
                <w:szCs w:val="22"/>
              </w:rPr>
              <w:t>Bisphenoler</w:t>
            </w:r>
          </w:p>
        </w:tc>
        <w:tc>
          <w:tcPr>
            <w:tcW w:w="1329" w:type="dxa"/>
            <w:shd w:val="clear" w:color="auto" w:fill="auto"/>
            <w:tcMar>
              <w:left w:w="28" w:type="dxa"/>
              <w:right w:w="28" w:type="dxa"/>
            </w:tcMar>
          </w:tcPr>
          <w:p w14:paraId="1413A819" w14:textId="1C26AA69" w:rsidR="008265CA" w:rsidRPr="00393250" w:rsidRDefault="008265CA" w:rsidP="008265CA">
            <w:pPr>
              <w:widowControl/>
              <w:spacing w:before="40" w:after="40"/>
              <w:rPr>
                <w:rFonts w:eastAsia="Calibri"/>
                <w:noProof/>
                <w:sz w:val="22"/>
                <w:szCs w:val="22"/>
                <w:lang w:eastAsia="en-US"/>
              </w:rPr>
            </w:pPr>
            <w:r w:rsidRPr="00393250">
              <w:rPr>
                <w:b/>
                <w:i/>
                <w:sz w:val="22"/>
                <w:szCs w:val="22"/>
              </w:rPr>
              <w:t>Industrielle kemikalier</w:t>
            </w:r>
          </w:p>
        </w:tc>
        <w:tc>
          <w:tcPr>
            <w:tcW w:w="992" w:type="dxa"/>
            <w:shd w:val="clear" w:color="auto" w:fill="auto"/>
            <w:tcMar>
              <w:left w:w="28" w:type="dxa"/>
              <w:right w:w="28" w:type="dxa"/>
            </w:tcMar>
          </w:tcPr>
          <w:p w14:paraId="512472C4" w14:textId="2E9D91BC" w:rsidR="008265CA" w:rsidRPr="00393250" w:rsidRDefault="008265CA" w:rsidP="008265CA">
            <w:pPr>
              <w:widowControl/>
              <w:spacing w:before="40" w:after="40"/>
              <w:rPr>
                <w:rFonts w:eastAsia="Calibri"/>
                <w:noProof/>
                <w:sz w:val="22"/>
                <w:szCs w:val="22"/>
                <w:lang w:eastAsia="en-US"/>
              </w:rPr>
            </w:pPr>
            <w:r w:rsidRPr="00393250">
              <w:rPr>
                <w:b/>
                <w:i/>
                <w:sz w:val="22"/>
                <w:szCs w:val="22"/>
              </w:rPr>
              <w:t>anvendes ikke</w:t>
            </w:r>
          </w:p>
        </w:tc>
        <w:tc>
          <w:tcPr>
            <w:tcW w:w="1134" w:type="dxa"/>
          </w:tcPr>
          <w:p w14:paraId="7E539F11" w14:textId="4935EBD9" w:rsidR="008265CA" w:rsidRPr="00393250" w:rsidRDefault="008265CA" w:rsidP="008265CA">
            <w:pPr>
              <w:widowControl/>
              <w:spacing w:before="40" w:after="40"/>
              <w:rPr>
                <w:rFonts w:eastAsia="Calibri"/>
                <w:noProof/>
                <w:sz w:val="22"/>
                <w:szCs w:val="22"/>
                <w:lang w:eastAsia="en-US"/>
              </w:rPr>
            </w:pPr>
            <w:r w:rsidRPr="00393250">
              <w:rPr>
                <w:b/>
                <w:i/>
                <w:sz w:val="22"/>
                <w:szCs w:val="22"/>
              </w:rPr>
              <w:t>anvendes ikke</w:t>
            </w:r>
          </w:p>
        </w:tc>
        <w:tc>
          <w:tcPr>
            <w:tcW w:w="1279" w:type="dxa"/>
            <w:shd w:val="clear" w:color="auto" w:fill="auto"/>
            <w:tcMar>
              <w:left w:w="28" w:type="dxa"/>
              <w:right w:w="28" w:type="dxa"/>
            </w:tcMar>
          </w:tcPr>
          <w:p w14:paraId="690A5585" w14:textId="0E684CB7" w:rsidR="008265CA" w:rsidRPr="00393250" w:rsidRDefault="008265CA" w:rsidP="008265CA">
            <w:pPr>
              <w:widowControl/>
              <w:spacing w:before="40" w:after="40"/>
              <w:rPr>
                <w:rFonts w:eastAsia="Calibri"/>
                <w:noProof/>
                <w:sz w:val="22"/>
                <w:szCs w:val="22"/>
                <w:lang w:eastAsia="en-US"/>
              </w:rPr>
            </w:pPr>
            <w:r w:rsidRPr="00393250">
              <w:rPr>
                <w:b/>
                <w:i/>
                <w:sz w:val="22"/>
                <w:szCs w:val="22"/>
              </w:rPr>
              <w:t>*</w:t>
            </w:r>
          </w:p>
        </w:tc>
        <w:tc>
          <w:tcPr>
            <w:tcW w:w="1279" w:type="dxa"/>
            <w:shd w:val="clear" w:color="auto" w:fill="auto"/>
            <w:tcMar>
              <w:left w:w="28" w:type="dxa"/>
              <w:right w:w="28" w:type="dxa"/>
            </w:tcMar>
          </w:tcPr>
          <w:p w14:paraId="4C7FC361" w14:textId="5253BC68" w:rsidR="008265CA" w:rsidRPr="00393250" w:rsidRDefault="008265CA" w:rsidP="008265CA">
            <w:pPr>
              <w:widowControl/>
              <w:spacing w:before="40" w:after="40"/>
              <w:rPr>
                <w:rFonts w:eastAsia="Calibri"/>
                <w:noProof/>
                <w:sz w:val="22"/>
                <w:szCs w:val="22"/>
                <w:lang w:eastAsia="en-US"/>
              </w:rPr>
            </w:pPr>
            <w:r w:rsidRPr="00393250">
              <w:rPr>
                <w:b/>
                <w:i/>
                <w:sz w:val="22"/>
                <w:szCs w:val="22"/>
              </w:rPr>
              <w:t>*</w:t>
            </w:r>
          </w:p>
        </w:tc>
        <w:tc>
          <w:tcPr>
            <w:tcW w:w="1278" w:type="dxa"/>
            <w:shd w:val="clear" w:color="auto" w:fill="auto"/>
            <w:tcMar>
              <w:left w:w="28" w:type="dxa"/>
              <w:right w:w="28" w:type="dxa"/>
            </w:tcMar>
          </w:tcPr>
          <w:p w14:paraId="5C7747F0" w14:textId="716FB6E6" w:rsidR="008265CA" w:rsidRPr="00393250" w:rsidRDefault="008265CA" w:rsidP="008265CA">
            <w:pPr>
              <w:widowControl/>
              <w:spacing w:before="40" w:after="40"/>
              <w:rPr>
                <w:rFonts w:eastAsia="Calibri"/>
                <w:noProof/>
                <w:sz w:val="22"/>
                <w:szCs w:val="22"/>
                <w:lang w:eastAsia="en-US"/>
              </w:rPr>
            </w:pPr>
            <w:r w:rsidRPr="00393250">
              <w:rPr>
                <w:b/>
                <w:i/>
                <w:sz w:val="22"/>
                <w:szCs w:val="22"/>
              </w:rPr>
              <w:t>*</w:t>
            </w:r>
          </w:p>
        </w:tc>
        <w:tc>
          <w:tcPr>
            <w:tcW w:w="1277" w:type="dxa"/>
            <w:shd w:val="clear" w:color="auto" w:fill="auto"/>
            <w:tcMar>
              <w:left w:w="28" w:type="dxa"/>
              <w:right w:w="28" w:type="dxa"/>
            </w:tcMar>
          </w:tcPr>
          <w:p w14:paraId="670FAB03" w14:textId="65C87C94" w:rsidR="008265CA" w:rsidRPr="00393250" w:rsidRDefault="008265CA" w:rsidP="008265CA">
            <w:pPr>
              <w:widowControl/>
              <w:spacing w:before="40" w:after="40"/>
              <w:rPr>
                <w:rFonts w:eastAsia="Calibri"/>
                <w:noProof/>
                <w:sz w:val="22"/>
                <w:szCs w:val="22"/>
                <w:lang w:eastAsia="en-US"/>
              </w:rPr>
            </w:pPr>
            <w:r w:rsidRPr="00393250">
              <w:rPr>
                <w:b/>
                <w:i/>
                <w:sz w:val="22"/>
                <w:szCs w:val="22"/>
              </w:rPr>
              <w:t>*</w:t>
            </w:r>
          </w:p>
        </w:tc>
        <w:tc>
          <w:tcPr>
            <w:tcW w:w="1136" w:type="dxa"/>
            <w:shd w:val="clear" w:color="auto" w:fill="auto"/>
            <w:tcMar>
              <w:left w:w="28" w:type="dxa"/>
              <w:right w:w="28" w:type="dxa"/>
            </w:tcMar>
          </w:tcPr>
          <w:p w14:paraId="5F207059" w14:textId="77777777" w:rsidR="008265CA" w:rsidRPr="00393250" w:rsidRDefault="008265CA" w:rsidP="008265CA">
            <w:pPr>
              <w:widowControl/>
              <w:spacing w:before="40" w:after="40"/>
              <w:rPr>
                <w:rFonts w:eastAsia="Calibri"/>
                <w:noProof/>
                <w:sz w:val="22"/>
                <w:szCs w:val="22"/>
                <w:lang w:eastAsia="en-US"/>
              </w:rPr>
            </w:pPr>
          </w:p>
        </w:tc>
        <w:tc>
          <w:tcPr>
            <w:tcW w:w="1262" w:type="dxa"/>
            <w:tcMar>
              <w:left w:w="28" w:type="dxa"/>
              <w:right w:w="28" w:type="dxa"/>
            </w:tcMar>
          </w:tcPr>
          <w:p w14:paraId="7A82F380" w14:textId="77777777" w:rsidR="008265CA" w:rsidRPr="00393250" w:rsidRDefault="008265CA" w:rsidP="008265CA">
            <w:pPr>
              <w:widowControl/>
              <w:spacing w:before="40" w:after="40"/>
              <w:rPr>
                <w:rFonts w:eastAsia="Calibri"/>
                <w:noProof/>
                <w:sz w:val="22"/>
                <w:szCs w:val="22"/>
                <w:lang w:eastAsia="en-US"/>
              </w:rPr>
            </w:pPr>
          </w:p>
        </w:tc>
        <w:tc>
          <w:tcPr>
            <w:tcW w:w="1153" w:type="dxa"/>
            <w:tcMar>
              <w:left w:w="28" w:type="dxa"/>
              <w:right w:w="28" w:type="dxa"/>
            </w:tcMar>
          </w:tcPr>
          <w:p w14:paraId="0CC4684B" w14:textId="77777777" w:rsidR="008265CA" w:rsidRPr="00393250" w:rsidRDefault="008265CA" w:rsidP="008265CA">
            <w:pPr>
              <w:widowControl/>
              <w:spacing w:before="40" w:after="40"/>
              <w:rPr>
                <w:rFonts w:eastAsia="Calibri"/>
                <w:noProof/>
                <w:sz w:val="22"/>
                <w:szCs w:val="22"/>
                <w:lang w:eastAsia="en-US"/>
              </w:rPr>
            </w:pPr>
          </w:p>
        </w:tc>
        <w:tc>
          <w:tcPr>
            <w:tcW w:w="970" w:type="dxa"/>
            <w:tcMar>
              <w:left w:w="28" w:type="dxa"/>
              <w:right w:w="28" w:type="dxa"/>
            </w:tcMar>
          </w:tcPr>
          <w:p w14:paraId="65E1C336" w14:textId="77777777" w:rsidR="008265CA" w:rsidRPr="00393250" w:rsidRDefault="008265CA" w:rsidP="008265CA">
            <w:pPr>
              <w:widowControl/>
              <w:spacing w:before="40" w:after="40"/>
              <w:rPr>
                <w:rFonts w:eastAsia="Calibri"/>
                <w:noProof/>
                <w:sz w:val="22"/>
                <w:szCs w:val="22"/>
                <w:lang w:eastAsia="en-US"/>
              </w:rPr>
            </w:pPr>
          </w:p>
        </w:tc>
      </w:tr>
      <w:tr w:rsidR="008265CA" w:rsidRPr="00393250" w14:paraId="2C6F6739" w14:textId="77777777" w:rsidTr="00350DAB">
        <w:trPr>
          <w:tblHeader/>
          <w:jc w:val="center"/>
        </w:trPr>
        <w:tc>
          <w:tcPr>
            <w:tcW w:w="834" w:type="dxa"/>
            <w:tcMar>
              <w:left w:w="28" w:type="dxa"/>
              <w:right w:w="28" w:type="dxa"/>
            </w:tcMar>
          </w:tcPr>
          <w:p w14:paraId="3633792C" w14:textId="06580A7D" w:rsidR="008265CA" w:rsidRPr="00393250" w:rsidRDefault="008265CA" w:rsidP="008265CA">
            <w:pPr>
              <w:widowControl/>
              <w:spacing w:before="40" w:after="40"/>
              <w:jc w:val="both"/>
              <w:rPr>
                <w:b/>
                <w:sz w:val="22"/>
                <w:szCs w:val="22"/>
              </w:rPr>
            </w:pPr>
            <w:r w:rsidRPr="00393250">
              <w:rPr>
                <w:b/>
                <w:i/>
                <w:sz w:val="22"/>
                <w:szCs w:val="22"/>
              </w:rPr>
              <w:t>70b</w:t>
            </w:r>
            <w:r w:rsidRPr="00393250">
              <w:rPr>
                <w:b/>
                <w:sz w:val="22"/>
                <w:szCs w:val="22"/>
              </w:rPr>
              <w:t xml:space="preserve"> [Ændring 153]</w:t>
            </w:r>
          </w:p>
        </w:tc>
        <w:tc>
          <w:tcPr>
            <w:tcW w:w="2103" w:type="dxa"/>
            <w:shd w:val="clear" w:color="auto" w:fill="auto"/>
            <w:tcMar>
              <w:left w:w="28" w:type="dxa"/>
              <w:right w:w="28" w:type="dxa"/>
            </w:tcMar>
          </w:tcPr>
          <w:p w14:paraId="6FBC4F12" w14:textId="1BEDCFA5" w:rsidR="008265CA" w:rsidRPr="00393250" w:rsidRDefault="008265CA" w:rsidP="008265CA">
            <w:pPr>
              <w:widowControl/>
              <w:spacing w:before="40" w:after="40"/>
              <w:rPr>
                <w:b/>
                <w:i/>
                <w:sz w:val="22"/>
                <w:szCs w:val="22"/>
              </w:rPr>
            </w:pPr>
            <w:r w:rsidRPr="00393250">
              <w:rPr>
                <w:b/>
                <w:i/>
                <w:sz w:val="22"/>
                <w:szCs w:val="22"/>
              </w:rPr>
              <w:t>PFAS – i alt</w:t>
            </w:r>
          </w:p>
        </w:tc>
        <w:tc>
          <w:tcPr>
            <w:tcW w:w="1329" w:type="dxa"/>
            <w:shd w:val="clear" w:color="auto" w:fill="auto"/>
            <w:tcMar>
              <w:left w:w="28" w:type="dxa"/>
              <w:right w:w="28" w:type="dxa"/>
            </w:tcMar>
          </w:tcPr>
          <w:p w14:paraId="26324753" w14:textId="0D43B061" w:rsidR="008265CA" w:rsidRPr="00393250" w:rsidRDefault="008265CA" w:rsidP="008265CA">
            <w:pPr>
              <w:widowControl/>
              <w:spacing w:before="40" w:after="40"/>
              <w:rPr>
                <w:b/>
                <w:i/>
                <w:sz w:val="22"/>
                <w:szCs w:val="22"/>
              </w:rPr>
            </w:pPr>
            <w:r w:rsidRPr="00393250">
              <w:rPr>
                <w:b/>
                <w:i/>
                <w:sz w:val="22"/>
                <w:szCs w:val="22"/>
              </w:rPr>
              <w:t>Industrielle kemikalier</w:t>
            </w:r>
          </w:p>
        </w:tc>
        <w:tc>
          <w:tcPr>
            <w:tcW w:w="992" w:type="dxa"/>
            <w:shd w:val="clear" w:color="auto" w:fill="auto"/>
            <w:tcMar>
              <w:left w:w="28" w:type="dxa"/>
              <w:right w:w="28" w:type="dxa"/>
            </w:tcMar>
          </w:tcPr>
          <w:p w14:paraId="71E6F046" w14:textId="78D23EFE" w:rsidR="008265CA" w:rsidRPr="00393250" w:rsidRDefault="008265CA" w:rsidP="008265CA">
            <w:pPr>
              <w:widowControl/>
              <w:spacing w:before="40" w:after="40"/>
              <w:rPr>
                <w:b/>
                <w:i/>
                <w:sz w:val="22"/>
                <w:szCs w:val="22"/>
              </w:rPr>
            </w:pPr>
            <w:r w:rsidRPr="00393250">
              <w:rPr>
                <w:b/>
                <w:i/>
                <w:sz w:val="22"/>
                <w:szCs w:val="22"/>
              </w:rPr>
              <w:t>anvendes ikke</w:t>
            </w:r>
          </w:p>
        </w:tc>
        <w:tc>
          <w:tcPr>
            <w:tcW w:w="1134" w:type="dxa"/>
          </w:tcPr>
          <w:p w14:paraId="439CA551" w14:textId="34C79A99" w:rsidR="008265CA" w:rsidRPr="00393250" w:rsidRDefault="008265CA" w:rsidP="008265CA">
            <w:pPr>
              <w:widowControl/>
              <w:spacing w:before="40" w:after="40"/>
              <w:rPr>
                <w:b/>
                <w:i/>
                <w:sz w:val="22"/>
                <w:szCs w:val="22"/>
              </w:rPr>
            </w:pPr>
            <w:r w:rsidRPr="00393250">
              <w:rPr>
                <w:b/>
                <w:i/>
                <w:sz w:val="22"/>
                <w:szCs w:val="22"/>
              </w:rPr>
              <w:t>anvendes ikke</w:t>
            </w:r>
          </w:p>
        </w:tc>
        <w:tc>
          <w:tcPr>
            <w:tcW w:w="1279" w:type="dxa"/>
            <w:shd w:val="clear" w:color="auto" w:fill="auto"/>
            <w:tcMar>
              <w:left w:w="28" w:type="dxa"/>
              <w:right w:w="28" w:type="dxa"/>
            </w:tcMar>
          </w:tcPr>
          <w:p w14:paraId="6B7EDFE0" w14:textId="6882B107" w:rsidR="008265CA" w:rsidRPr="00393250" w:rsidRDefault="008265CA" w:rsidP="008265CA">
            <w:pPr>
              <w:widowControl/>
              <w:spacing w:before="40" w:after="40"/>
              <w:rPr>
                <w:b/>
                <w:i/>
                <w:sz w:val="22"/>
                <w:szCs w:val="22"/>
              </w:rPr>
            </w:pPr>
            <w:r w:rsidRPr="00393250">
              <w:rPr>
                <w:b/>
                <w:i/>
                <w:sz w:val="22"/>
                <w:szCs w:val="22"/>
              </w:rPr>
              <w:t>*</w:t>
            </w:r>
          </w:p>
        </w:tc>
        <w:tc>
          <w:tcPr>
            <w:tcW w:w="1279" w:type="dxa"/>
            <w:shd w:val="clear" w:color="auto" w:fill="auto"/>
            <w:tcMar>
              <w:left w:w="28" w:type="dxa"/>
              <w:right w:w="28" w:type="dxa"/>
            </w:tcMar>
          </w:tcPr>
          <w:p w14:paraId="7D5F9134" w14:textId="78CE4463" w:rsidR="008265CA" w:rsidRPr="00393250" w:rsidRDefault="008265CA" w:rsidP="008265CA">
            <w:pPr>
              <w:widowControl/>
              <w:spacing w:before="40" w:after="40"/>
              <w:rPr>
                <w:b/>
                <w:i/>
                <w:sz w:val="22"/>
                <w:szCs w:val="22"/>
              </w:rPr>
            </w:pPr>
            <w:r w:rsidRPr="00393250">
              <w:rPr>
                <w:b/>
                <w:i/>
                <w:sz w:val="22"/>
                <w:szCs w:val="22"/>
              </w:rPr>
              <w:t>*</w:t>
            </w:r>
          </w:p>
        </w:tc>
        <w:tc>
          <w:tcPr>
            <w:tcW w:w="1278" w:type="dxa"/>
            <w:shd w:val="clear" w:color="auto" w:fill="auto"/>
            <w:tcMar>
              <w:left w:w="28" w:type="dxa"/>
              <w:right w:w="28" w:type="dxa"/>
            </w:tcMar>
          </w:tcPr>
          <w:p w14:paraId="56526968" w14:textId="1C228AEB" w:rsidR="008265CA" w:rsidRPr="00393250" w:rsidRDefault="008265CA" w:rsidP="008265CA">
            <w:pPr>
              <w:widowControl/>
              <w:spacing w:before="40" w:after="40"/>
              <w:rPr>
                <w:b/>
                <w:i/>
                <w:sz w:val="22"/>
                <w:szCs w:val="22"/>
              </w:rPr>
            </w:pPr>
            <w:r w:rsidRPr="00393250">
              <w:rPr>
                <w:b/>
                <w:i/>
                <w:sz w:val="22"/>
                <w:szCs w:val="22"/>
              </w:rPr>
              <w:t>*</w:t>
            </w:r>
          </w:p>
        </w:tc>
        <w:tc>
          <w:tcPr>
            <w:tcW w:w="1277" w:type="dxa"/>
            <w:shd w:val="clear" w:color="auto" w:fill="auto"/>
            <w:tcMar>
              <w:left w:w="28" w:type="dxa"/>
              <w:right w:w="28" w:type="dxa"/>
            </w:tcMar>
          </w:tcPr>
          <w:p w14:paraId="32A29BD1" w14:textId="74382412" w:rsidR="008265CA" w:rsidRPr="00393250" w:rsidRDefault="008265CA" w:rsidP="008265CA">
            <w:pPr>
              <w:widowControl/>
              <w:spacing w:before="40" w:after="40"/>
              <w:rPr>
                <w:b/>
                <w:i/>
                <w:sz w:val="22"/>
                <w:szCs w:val="22"/>
              </w:rPr>
            </w:pPr>
            <w:r w:rsidRPr="00393250">
              <w:rPr>
                <w:b/>
                <w:i/>
                <w:sz w:val="22"/>
                <w:szCs w:val="22"/>
              </w:rPr>
              <w:t>*</w:t>
            </w:r>
          </w:p>
        </w:tc>
        <w:tc>
          <w:tcPr>
            <w:tcW w:w="1136" w:type="dxa"/>
            <w:shd w:val="clear" w:color="auto" w:fill="auto"/>
            <w:tcMar>
              <w:left w:w="28" w:type="dxa"/>
              <w:right w:w="28" w:type="dxa"/>
            </w:tcMar>
          </w:tcPr>
          <w:p w14:paraId="23405D05" w14:textId="77777777" w:rsidR="008265CA" w:rsidRPr="00393250" w:rsidRDefault="008265CA" w:rsidP="008265CA">
            <w:pPr>
              <w:widowControl/>
              <w:spacing w:before="40" w:after="40"/>
              <w:rPr>
                <w:rFonts w:eastAsia="Calibri"/>
                <w:noProof/>
                <w:sz w:val="22"/>
                <w:szCs w:val="22"/>
                <w:lang w:eastAsia="en-US"/>
              </w:rPr>
            </w:pPr>
          </w:p>
        </w:tc>
        <w:tc>
          <w:tcPr>
            <w:tcW w:w="1262" w:type="dxa"/>
            <w:tcMar>
              <w:left w:w="28" w:type="dxa"/>
              <w:right w:w="28" w:type="dxa"/>
            </w:tcMar>
          </w:tcPr>
          <w:p w14:paraId="773D5637" w14:textId="77777777" w:rsidR="008265CA" w:rsidRPr="00393250" w:rsidRDefault="008265CA" w:rsidP="008265CA">
            <w:pPr>
              <w:widowControl/>
              <w:spacing w:before="40" w:after="40"/>
              <w:rPr>
                <w:rFonts w:eastAsia="Calibri"/>
                <w:noProof/>
                <w:sz w:val="22"/>
                <w:szCs w:val="22"/>
                <w:lang w:eastAsia="en-US"/>
              </w:rPr>
            </w:pPr>
          </w:p>
        </w:tc>
        <w:tc>
          <w:tcPr>
            <w:tcW w:w="1153" w:type="dxa"/>
            <w:tcMar>
              <w:left w:w="28" w:type="dxa"/>
              <w:right w:w="28" w:type="dxa"/>
            </w:tcMar>
          </w:tcPr>
          <w:p w14:paraId="07216E2D" w14:textId="77777777" w:rsidR="008265CA" w:rsidRPr="00393250" w:rsidRDefault="008265CA" w:rsidP="008265CA">
            <w:pPr>
              <w:widowControl/>
              <w:spacing w:before="40" w:after="40"/>
              <w:rPr>
                <w:rFonts w:eastAsia="Calibri"/>
                <w:noProof/>
                <w:sz w:val="22"/>
                <w:szCs w:val="22"/>
                <w:lang w:eastAsia="en-US"/>
              </w:rPr>
            </w:pPr>
          </w:p>
        </w:tc>
        <w:tc>
          <w:tcPr>
            <w:tcW w:w="970" w:type="dxa"/>
            <w:tcMar>
              <w:left w:w="28" w:type="dxa"/>
              <w:right w:w="28" w:type="dxa"/>
            </w:tcMar>
          </w:tcPr>
          <w:p w14:paraId="288C60EF" w14:textId="77777777" w:rsidR="008265CA" w:rsidRPr="00393250" w:rsidRDefault="008265CA" w:rsidP="008265CA">
            <w:pPr>
              <w:widowControl/>
              <w:spacing w:before="40" w:after="40"/>
              <w:rPr>
                <w:rFonts w:eastAsia="Calibri"/>
                <w:noProof/>
                <w:sz w:val="22"/>
                <w:szCs w:val="22"/>
                <w:lang w:eastAsia="en-US"/>
              </w:rPr>
            </w:pPr>
          </w:p>
        </w:tc>
      </w:tr>
      <w:tr w:rsidR="008265CA" w:rsidRPr="00393250" w14:paraId="39FFFB3B" w14:textId="77777777" w:rsidTr="00350DAB">
        <w:trPr>
          <w:tblHeader/>
          <w:jc w:val="center"/>
        </w:trPr>
        <w:tc>
          <w:tcPr>
            <w:tcW w:w="834" w:type="dxa"/>
            <w:tcMar>
              <w:left w:w="28" w:type="dxa"/>
              <w:right w:w="28" w:type="dxa"/>
            </w:tcMar>
          </w:tcPr>
          <w:p w14:paraId="552CDCCD" w14:textId="5C765C6E" w:rsidR="008265CA" w:rsidRPr="00393250" w:rsidRDefault="008265CA" w:rsidP="008265CA">
            <w:pPr>
              <w:widowControl/>
              <w:spacing w:before="40" w:after="40"/>
              <w:jc w:val="both"/>
              <w:rPr>
                <w:b/>
                <w:sz w:val="22"/>
                <w:szCs w:val="22"/>
              </w:rPr>
            </w:pPr>
            <w:r w:rsidRPr="00393250">
              <w:rPr>
                <w:b/>
                <w:i/>
                <w:sz w:val="22"/>
                <w:szCs w:val="22"/>
              </w:rPr>
              <w:t>70c</w:t>
            </w:r>
            <w:r w:rsidRPr="00393250">
              <w:rPr>
                <w:b/>
                <w:sz w:val="22"/>
                <w:szCs w:val="22"/>
              </w:rPr>
              <w:t xml:space="preserve"> [Ændring 154]</w:t>
            </w:r>
          </w:p>
        </w:tc>
        <w:tc>
          <w:tcPr>
            <w:tcW w:w="2103" w:type="dxa"/>
            <w:shd w:val="clear" w:color="auto" w:fill="auto"/>
            <w:tcMar>
              <w:left w:w="28" w:type="dxa"/>
              <w:right w:w="28" w:type="dxa"/>
            </w:tcMar>
          </w:tcPr>
          <w:p w14:paraId="351F8C8D" w14:textId="21703FB3" w:rsidR="008265CA" w:rsidRPr="00393250" w:rsidRDefault="008265CA" w:rsidP="008265CA">
            <w:pPr>
              <w:widowControl/>
              <w:spacing w:before="40" w:after="40"/>
              <w:rPr>
                <w:b/>
                <w:i/>
                <w:sz w:val="22"/>
                <w:szCs w:val="22"/>
              </w:rPr>
            </w:pPr>
            <w:r w:rsidRPr="00393250">
              <w:rPr>
                <w:b/>
                <w:i/>
                <w:sz w:val="22"/>
                <w:szCs w:val="22"/>
              </w:rPr>
              <w:t>Farmakologisk virksomme stoffer – i alt</w:t>
            </w:r>
          </w:p>
        </w:tc>
        <w:tc>
          <w:tcPr>
            <w:tcW w:w="1329" w:type="dxa"/>
            <w:shd w:val="clear" w:color="auto" w:fill="auto"/>
            <w:tcMar>
              <w:left w:w="28" w:type="dxa"/>
              <w:right w:w="28" w:type="dxa"/>
            </w:tcMar>
          </w:tcPr>
          <w:p w14:paraId="165FBC2A" w14:textId="6A4872A4" w:rsidR="008265CA" w:rsidRPr="00393250" w:rsidRDefault="008265CA" w:rsidP="008265CA">
            <w:pPr>
              <w:widowControl/>
              <w:spacing w:before="40" w:after="40"/>
              <w:rPr>
                <w:b/>
                <w:i/>
                <w:sz w:val="22"/>
                <w:szCs w:val="22"/>
              </w:rPr>
            </w:pPr>
            <w:r w:rsidRPr="00393250">
              <w:rPr>
                <w:b/>
                <w:i/>
                <w:sz w:val="22"/>
                <w:szCs w:val="22"/>
              </w:rPr>
              <w:t>Lægemidler</w:t>
            </w:r>
          </w:p>
        </w:tc>
        <w:tc>
          <w:tcPr>
            <w:tcW w:w="992" w:type="dxa"/>
            <w:shd w:val="clear" w:color="auto" w:fill="auto"/>
            <w:tcMar>
              <w:left w:w="28" w:type="dxa"/>
              <w:right w:w="28" w:type="dxa"/>
            </w:tcMar>
          </w:tcPr>
          <w:p w14:paraId="71C260E9" w14:textId="7862FBC1" w:rsidR="008265CA" w:rsidRPr="00393250" w:rsidRDefault="008265CA" w:rsidP="008265CA">
            <w:pPr>
              <w:widowControl/>
              <w:spacing w:before="40" w:after="40"/>
              <w:rPr>
                <w:b/>
                <w:i/>
                <w:sz w:val="22"/>
                <w:szCs w:val="22"/>
              </w:rPr>
            </w:pPr>
            <w:r w:rsidRPr="00393250">
              <w:rPr>
                <w:b/>
                <w:i/>
                <w:sz w:val="22"/>
                <w:szCs w:val="22"/>
              </w:rPr>
              <w:t>anvendes ikke</w:t>
            </w:r>
          </w:p>
        </w:tc>
        <w:tc>
          <w:tcPr>
            <w:tcW w:w="1134" w:type="dxa"/>
          </w:tcPr>
          <w:p w14:paraId="490CB9B0" w14:textId="086116D3" w:rsidR="008265CA" w:rsidRPr="00393250" w:rsidRDefault="008265CA" w:rsidP="008265CA">
            <w:pPr>
              <w:widowControl/>
              <w:spacing w:before="40" w:after="40"/>
              <w:rPr>
                <w:b/>
                <w:i/>
                <w:sz w:val="22"/>
                <w:szCs w:val="22"/>
              </w:rPr>
            </w:pPr>
            <w:r w:rsidRPr="00393250">
              <w:rPr>
                <w:b/>
                <w:i/>
                <w:sz w:val="22"/>
                <w:szCs w:val="22"/>
              </w:rPr>
              <w:t>anvendes ikke</w:t>
            </w:r>
          </w:p>
        </w:tc>
        <w:tc>
          <w:tcPr>
            <w:tcW w:w="1279" w:type="dxa"/>
            <w:shd w:val="clear" w:color="auto" w:fill="auto"/>
            <w:tcMar>
              <w:left w:w="28" w:type="dxa"/>
              <w:right w:w="28" w:type="dxa"/>
            </w:tcMar>
          </w:tcPr>
          <w:p w14:paraId="083C7646" w14:textId="0FB54BEF" w:rsidR="008265CA" w:rsidRPr="00393250" w:rsidRDefault="008265CA" w:rsidP="008265CA">
            <w:pPr>
              <w:widowControl/>
              <w:spacing w:before="40" w:after="40"/>
              <w:rPr>
                <w:b/>
                <w:i/>
                <w:sz w:val="22"/>
                <w:szCs w:val="22"/>
              </w:rPr>
            </w:pPr>
            <w:r w:rsidRPr="00393250">
              <w:rPr>
                <w:b/>
                <w:i/>
                <w:sz w:val="22"/>
                <w:szCs w:val="22"/>
              </w:rPr>
              <w:t>0,25</w:t>
            </w:r>
          </w:p>
        </w:tc>
        <w:tc>
          <w:tcPr>
            <w:tcW w:w="1279" w:type="dxa"/>
            <w:shd w:val="clear" w:color="auto" w:fill="auto"/>
            <w:tcMar>
              <w:left w:w="28" w:type="dxa"/>
              <w:right w:w="28" w:type="dxa"/>
            </w:tcMar>
          </w:tcPr>
          <w:p w14:paraId="12920D09" w14:textId="392EDAE7" w:rsidR="008265CA" w:rsidRPr="00393250" w:rsidRDefault="008265CA" w:rsidP="008265CA">
            <w:pPr>
              <w:widowControl/>
              <w:spacing w:before="40" w:after="40"/>
              <w:rPr>
                <w:b/>
                <w:i/>
                <w:sz w:val="22"/>
                <w:szCs w:val="22"/>
              </w:rPr>
            </w:pPr>
            <w:r w:rsidRPr="00393250">
              <w:rPr>
                <w:b/>
                <w:i/>
                <w:sz w:val="22"/>
                <w:szCs w:val="22"/>
              </w:rPr>
              <w:t>0,025</w:t>
            </w:r>
          </w:p>
        </w:tc>
        <w:tc>
          <w:tcPr>
            <w:tcW w:w="1278" w:type="dxa"/>
            <w:shd w:val="clear" w:color="auto" w:fill="auto"/>
            <w:tcMar>
              <w:left w:w="28" w:type="dxa"/>
              <w:right w:w="28" w:type="dxa"/>
            </w:tcMar>
          </w:tcPr>
          <w:p w14:paraId="080ACF31" w14:textId="77777777" w:rsidR="008265CA" w:rsidRPr="00393250" w:rsidRDefault="008265CA" w:rsidP="008265CA">
            <w:pPr>
              <w:widowControl/>
              <w:spacing w:before="40" w:after="40"/>
              <w:rPr>
                <w:b/>
                <w:i/>
                <w:sz w:val="22"/>
                <w:szCs w:val="22"/>
              </w:rPr>
            </w:pPr>
          </w:p>
        </w:tc>
        <w:tc>
          <w:tcPr>
            <w:tcW w:w="1277" w:type="dxa"/>
            <w:shd w:val="clear" w:color="auto" w:fill="auto"/>
            <w:tcMar>
              <w:left w:w="28" w:type="dxa"/>
              <w:right w:w="28" w:type="dxa"/>
            </w:tcMar>
          </w:tcPr>
          <w:p w14:paraId="21BB31C4" w14:textId="77777777" w:rsidR="008265CA" w:rsidRPr="00393250" w:rsidRDefault="008265CA" w:rsidP="008265CA">
            <w:pPr>
              <w:widowControl/>
              <w:spacing w:before="40" w:after="40"/>
              <w:rPr>
                <w:b/>
                <w:i/>
                <w:sz w:val="22"/>
                <w:szCs w:val="22"/>
              </w:rPr>
            </w:pPr>
          </w:p>
        </w:tc>
        <w:tc>
          <w:tcPr>
            <w:tcW w:w="1136" w:type="dxa"/>
            <w:shd w:val="clear" w:color="auto" w:fill="auto"/>
            <w:tcMar>
              <w:left w:w="28" w:type="dxa"/>
              <w:right w:w="28" w:type="dxa"/>
            </w:tcMar>
          </w:tcPr>
          <w:p w14:paraId="2570F110" w14:textId="77777777" w:rsidR="008265CA" w:rsidRPr="00393250" w:rsidRDefault="008265CA" w:rsidP="008265CA">
            <w:pPr>
              <w:widowControl/>
              <w:spacing w:before="40" w:after="40"/>
              <w:rPr>
                <w:rFonts w:eastAsia="Calibri"/>
                <w:noProof/>
                <w:sz w:val="22"/>
                <w:szCs w:val="22"/>
                <w:lang w:eastAsia="en-US"/>
              </w:rPr>
            </w:pPr>
          </w:p>
        </w:tc>
        <w:tc>
          <w:tcPr>
            <w:tcW w:w="1262" w:type="dxa"/>
            <w:tcMar>
              <w:left w:w="28" w:type="dxa"/>
              <w:right w:w="28" w:type="dxa"/>
            </w:tcMar>
          </w:tcPr>
          <w:p w14:paraId="78DCC9E0" w14:textId="77777777" w:rsidR="008265CA" w:rsidRPr="00393250" w:rsidRDefault="008265CA" w:rsidP="008265CA">
            <w:pPr>
              <w:widowControl/>
              <w:spacing w:before="40" w:after="40"/>
              <w:rPr>
                <w:rFonts w:eastAsia="Calibri"/>
                <w:noProof/>
                <w:sz w:val="22"/>
                <w:szCs w:val="22"/>
                <w:lang w:eastAsia="en-US"/>
              </w:rPr>
            </w:pPr>
          </w:p>
        </w:tc>
        <w:tc>
          <w:tcPr>
            <w:tcW w:w="1153" w:type="dxa"/>
            <w:tcMar>
              <w:left w:w="28" w:type="dxa"/>
              <w:right w:w="28" w:type="dxa"/>
            </w:tcMar>
          </w:tcPr>
          <w:p w14:paraId="49399920" w14:textId="77777777" w:rsidR="008265CA" w:rsidRPr="00393250" w:rsidRDefault="008265CA" w:rsidP="008265CA">
            <w:pPr>
              <w:widowControl/>
              <w:spacing w:before="40" w:after="40"/>
              <w:rPr>
                <w:rFonts w:eastAsia="Calibri"/>
                <w:noProof/>
                <w:sz w:val="22"/>
                <w:szCs w:val="22"/>
                <w:lang w:eastAsia="en-US"/>
              </w:rPr>
            </w:pPr>
          </w:p>
        </w:tc>
        <w:tc>
          <w:tcPr>
            <w:tcW w:w="970" w:type="dxa"/>
            <w:tcMar>
              <w:left w:w="28" w:type="dxa"/>
              <w:right w:w="28" w:type="dxa"/>
            </w:tcMar>
          </w:tcPr>
          <w:p w14:paraId="41B4391E" w14:textId="77777777" w:rsidR="008265CA" w:rsidRPr="00393250" w:rsidRDefault="008265CA" w:rsidP="008265CA">
            <w:pPr>
              <w:widowControl/>
              <w:spacing w:before="40" w:after="40"/>
              <w:rPr>
                <w:rFonts w:eastAsia="Calibri"/>
                <w:noProof/>
                <w:sz w:val="22"/>
                <w:szCs w:val="22"/>
                <w:lang w:eastAsia="en-US"/>
              </w:rPr>
            </w:pPr>
          </w:p>
        </w:tc>
      </w:tr>
    </w:tbl>
    <w:p w14:paraId="3C7165B4" w14:textId="4723FB90" w:rsidR="0058218F" w:rsidRPr="00393250" w:rsidRDefault="00350DAB" w:rsidP="008A5B47">
      <w:pPr>
        <w:pStyle w:val="AmNumberTabs"/>
        <w:rPr>
          <w:bCs/>
          <w:i/>
          <w:iCs/>
        </w:rPr>
      </w:pPr>
      <w:r w:rsidRPr="00393250">
        <w:rPr>
          <w:bCs/>
          <w:i/>
          <w:iCs/>
        </w:rPr>
        <w:t>*Kvalitetskravene fastsættes af Kommissionen ved en delegeret retsakt.</w:t>
      </w:r>
    </w:p>
    <w:p w14:paraId="4A76B0EF" w14:textId="77777777" w:rsidR="00350DAB" w:rsidRPr="00393250" w:rsidRDefault="00350DAB" w:rsidP="008A5B47">
      <w:pPr>
        <w:pStyle w:val="AmNumberTabs"/>
        <w:rPr>
          <w:b w:val="0"/>
        </w:rPr>
      </w:pPr>
    </w:p>
    <w:p w14:paraId="04F50741" w14:textId="77777777" w:rsidR="00350DAB" w:rsidRPr="00393250" w:rsidRDefault="00350DAB" w:rsidP="008A5B47">
      <w:pPr>
        <w:spacing w:before="120" w:after="120" w:line="360" w:lineRule="auto"/>
        <w:ind w:left="1416" w:hanging="566"/>
        <w:rPr>
          <w:szCs w:val="24"/>
          <w:lang w:eastAsia="en-US"/>
        </w:rPr>
        <w:sectPr w:rsidR="00350DAB" w:rsidRPr="00393250" w:rsidSect="00B551B3">
          <w:footnotePr>
            <w:numRestart w:val="eachSect"/>
          </w:footnotePr>
          <w:endnotePr>
            <w:numFmt w:val="decimal"/>
          </w:endnotePr>
          <w:pgSz w:w="16834" w:h="11909" w:orient="landscape"/>
          <w:pgMar w:top="1417" w:right="1134" w:bottom="1417" w:left="1417" w:header="1134" w:footer="567" w:gutter="0"/>
          <w:cols w:space="720"/>
          <w:docGrid w:linePitch="326"/>
        </w:sectPr>
      </w:pPr>
    </w:p>
    <w:p w14:paraId="7AC3C94D" w14:textId="546C6C00"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(1)</w:t>
      </w:r>
      <w:r w:rsidRPr="00393250">
        <w:rPr>
          <w:szCs w:val="24"/>
          <w:lang w:eastAsia="en-US"/>
        </w:rPr>
        <w:tab/>
        <w:t>CAS: Chemical Abstracts Service</w:t>
      </w:r>
    </w:p>
    <w:p w14:paraId="440E7806"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(2)</w:t>
      </w:r>
      <w:r w:rsidRPr="00393250">
        <w:rPr>
          <w:szCs w:val="24"/>
          <w:lang w:eastAsia="en-US"/>
        </w:rPr>
        <w:tab/>
        <w:t>EU-nummer: Den Europæiske Fortegnelse over Markedsførte Kemiske Stoffer (Einecs) eller Den Europæiske Liste over Anmeldte Kemiske Stoffer (Elincs).</w:t>
      </w:r>
    </w:p>
    <w:p w14:paraId="7A1F4B21"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(3)</w:t>
      </w:r>
      <w:r w:rsidRPr="00393250">
        <w:rPr>
          <w:szCs w:val="24"/>
          <w:lang w:eastAsia="en-US"/>
        </w:rPr>
        <w:tab/>
        <w:t>Denne parameter er EQS udtrykt som årsgennemsnit (AA-EQS). Medmindre andet er angivet, gælder det for den samlede koncentration af alle stoffer og isomerer.</w:t>
      </w:r>
    </w:p>
    <w:p w14:paraId="1D921FBC"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(4)</w:t>
      </w:r>
      <w:r w:rsidRPr="00393250">
        <w:rPr>
          <w:szCs w:val="24"/>
          <w:lang w:eastAsia="en-US"/>
        </w:rPr>
        <w:tab/>
        <w:t>Indvande omfatter vandløb og søer og dertil knyttede kunstige eller stærkt modificerede vandområder.</w:t>
      </w:r>
    </w:p>
    <w:p w14:paraId="09D834C2"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(5)</w:t>
      </w:r>
      <w:r w:rsidRPr="00393250">
        <w:rPr>
          <w:szCs w:val="24"/>
          <w:lang w:eastAsia="en-US"/>
        </w:rPr>
        <w:tab/>
        <w:t>Denne parameter er EQS udtrykt som højeste tilladte koncentration (MAC-EQS). Hvis der under MAC-EQS er anført "anvendes ikke", betragtes AA-EQS-værdierne som beskyttelse mod kortvarig høj forurening i kontinuerlige udledninger, da de er væsentligt lavere end de værdier, der er afledt af den akutte toksicitet.</w:t>
      </w:r>
    </w:p>
    <w:p w14:paraId="2F2563AC" w14:textId="77777777" w:rsidR="00E16D64" w:rsidRPr="00393250" w:rsidRDefault="00E16D64">
      <w:pPr>
        <w:widowControl/>
        <w:rPr>
          <w:szCs w:val="24"/>
          <w:vertAlign w:val="superscript"/>
          <w:lang w:eastAsia="en-US"/>
        </w:rPr>
      </w:pPr>
      <w:r w:rsidRPr="00393250">
        <w:rPr>
          <w:szCs w:val="24"/>
          <w:vertAlign w:val="superscript"/>
          <w:lang w:eastAsia="en-US"/>
        </w:rPr>
        <w:br w:type="page"/>
      </w:r>
    </w:p>
    <w:p w14:paraId="466CB890" w14:textId="3F4E0512"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(6)</w:t>
      </w:r>
      <w:r w:rsidRPr="00393250">
        <w:rPr>
          <w:szCs w:val="24"/>
          <w:lang w:eastAsia="en-US"/>
        </w:rPr>
        <w:tab/>
        <w:t>Hvis der er anført et miljøkvalitetskrav for biota, anvendes det i stedet for miljøkvalitetskravene for vand, uden at dette berører bestemmelsen i artikel 3, stk. 3, i dette direktiv, der tillader, at en alternativ biotataxon eller en anden matrix kontrolleres i stedet, så længe de anvendte miljøkvalitetskrav giver et tilsvarende beskyttelsesniveau. Kvalitetskrav for biota gælder for fisk, med mindre andet er anført. For stof nr. 15 (fluoranthen), 28 (PAH) og 51 (bisphenol-A) gælder EQS for biota for krebsdyr og bløddyr. Overvågning af fluoranthen, PAH og bisphenol-A i fisk er ikke hensigtsmæssig med henblik på vurdering af den kemiske tilstand. For stof nr. 37 (dioxiner og dioxinlignende forbindelser) vedrører miljøkvalitetskravene for biota fisk, krebsdyr og bløddyr, jf. Kommissionens forordning (EU) nr. 1259/2011*, bilag, del 5.3.</w:t>
      </w:r>
    </w:p>
    <w:p w14:paraId="53F14E18"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(7)</w:t>
      </w:r>
      <w:r w:rsidRPr="00393250">
        <w:rPr>
          <w:szCs w:val="24"/>
          <w:lang w:eastAsia="en-US"/>
        </w:rPr>
        <w:tab/>
        <w:t>For den gruppe prioriterede stoffer, som bromerede diphenylethere (nr. 5) omfatter, gælder EQS for summen af koncentrationer af congenerne nummer 28, 47, 99, 100, 153 og 154.</w:t>
      </w:r>
    </w:p>
    <w:p w14:paraId="2F9539DA" w14:textId="77777777" w:rsidR="00E16D64" w:rsidRPr="00393250" w:rsidRDefault="00E16D64">
      <w:pPr>
        <w:widowControl/>
        <w:rPr>
          <w:szCs w:val="24"/>
          <w:vertAlign w:val="superscript"/>
          <w:lang w:eastAsia="en-US"/>
        </w:rPr>
      </w:pPr>
      <w:r w:rsidRPr="00393250">
        <w:rPr>
          <w:szCs w:val="24"/>
          <w:vertAlign w:val="superscript"/>
          <w:lang w:eastAsia="en-US"/>
        </w:rPr>
        <w:br w:type="page"/>
      </w:r>
    </w:p>
    <w:p w14:paraId="6B4DCA21" w14:textId="486D990C" w:rsidR="008A5B47" w:rsidRPr="00393250" w:rsidRDefault="008A5B47" w:rsidP="008A5B47">
      <w:pPr>
        <w:spacing w:before="120" w:after="120" w:line="360" w:lineRule="auto"/>
        <w:ind w:left="1416" w:hanging="566"/>
        <w:rPr>
          <w:szCs w:val="24"/>
          <w:lang w:val="es-ES" w:eastAsia="en-US"/>
        </w:rPr>
      </w:pPr>
      <w:r w:rsidRPr="00393250">
        <w:rPr>
          <w:szCs w:val="24"/>
          <w:vertAlign w:val="superscript"/>
          <w:lang w:val="es-ES" w:eastAsia="en-US"/>
        </w:rPr>
        <w:t>(8)</w:t>
      </w:r>
      <w:r w:rsidRPr="00393250">
        <w:rPr>
          <w:szCs w:val="24"/>
          <w:lang w:val="es-ES" w:eastAsia="en-US"/>
        </w:rPr>
        <w:tab/>
        <w:t>Tetra-, penta-, hexa-, hepta-, octa- og decabromodiphenylether (CAS nr. 40088-47-9, 32534-81-9, 36483-60-0, 68928-80-3, 32536-52-0 og 1163-19-5).</w:t>
      </w:r>
    </w:p>
    <w:p w14:paraId="225044E8"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(9)</w:t>
      </w:r>
      <w:r w:rsidRPr="00393250">
        <w:rPr>
          <w:szCs w:val="24"/>
          <w:lang w:eastAsia="en-US"/>
        </w:rPr>
        <w:tab/>
        <w:t>For cadmium og cadmiumforbindelser (nr. 6) afhænger EQS-værdierne af vandets hårdhedsgrad, som opdeles i fem klasser (klasse 1: &lt;40 mg CaCO3/l, klasse 2: 40 til &lt;50 mg CaCO3/l, klasse 3: 50 til &lt;100 mg CaCO3/l, klasse 4: 100 til &lt;200 mg CaCO3/l og klasse 5: ≥200 mg CaCO3/l).</w:t>
      </w:r>
    </w:p>
    <w:p w14:paraId="7C7047ED"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(10)</w:t>
      </w:r>
      <w:r w:rsidRPr="00393250">
        <w:rPr>
          <w:szCs w:val="24"/>
          <w:lang w:eastAsia="en-US"/>
        </w:rPr>
        <w:tab/>
        <w:t>Der er ingen indikatorparameter for denne gruppe af stoffer. Indikatorparametrene skal defineres på grundlag af analysemetoden.</w:t>
      </w:r>
    </w:p>
    <w:p w14:paraId="7A845285"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(11)</w:t>
      </w:r>
      <w:r w:rsidRPr="00393250">
        <w:rPr>
          <w:szCs w:val="24"/>
          <w:lang w:eastAsia="en-US"/>
        </w:rPr>
        <w:tab/>
        <w:t>DDT i alt omfatter summen af isomererne 1,1,1 trichloro 2,2 bis (p chlorophenyl) ethan (CAS 50 29 3, EU 200 024 3); 1,1,1 trichloro 2 (o chlorophenyl) 2 (p chlorophenyl) ethan (CAS 789 02 6, EU 212 332 5); 1,1-dichloro 2,2 bis (p chlorophenyl) ethylen (CAS 72 55 9, EU 200 784 6) og 1,1 dichloro 2,2 bis (p chlorophenyl) ethan (CAS 72 54 8, EU 200 783 0).</w:t>
      </w:r>
    </w:p>
    <w:p w14:paraId="415EA93C"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(12)</w:t>
      </w:r>
      <w:r w:rsidRPr="00393250">
        <w:rPr>
          <w:szCs w:val="24"/>
          <w:lang w:eastAsia="en-US"/>
        </w:rPr>
        <w:tab/>
        <w:t>Disse EQS gælder for biotilgængelige koncentrationer af stofferne.</w:t>
      </w:r>
    </w:p>
    <w:p w14:paraId="47CE3CE2" w14:textId="77777777" w:rsidR="00E16D64" w:rsidRPr="00393250" w:rsidRDefault="00E16D64">
      <w:pPr>
        <w:widowControl/>
        <w:rPr>
          <w:szCs w:val="24"/>
          <w:vertAlign w:val="superscript"/>
          <w:lang w:eastAsia="en-US"/>
        </w:rPr>
      </w:pPr>
      <w:r w:rsidRPr="00393250">
        <w:rPr>
          <w:szCs w:val="24"/>
          <w:vertAlign w:val="superscript"/>
          <w:lang w:eastAsia="en-US"/>
        </w:rPr>
        <w:br w:type="page"/>
      </w:r>
    </w:p>
    <w:p w14:paraId="678F3272" w14:textId="0AD92788"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(13)</w:t>
      </w:r>
      <w:r w:rsidRPr="00393250">
        <w:rPr>
          <w:szCs w:val="24"/>
          <w:lang w:eastAsia="en-US"/>
        </w:rPr>
        <w:tab/>
        <w:t>Miljøkvalitetskravene for biota henviser til methylkviksølv.</w:t>
      </w:r>
    </w:p>
    <w:p w14:paraId="7B8F1C79" w14:textId="77777777" w:rsidR="008A5B47" w:rsidRPr="00393250" w:rsidRDefault="008A5B47" w:rsidP="008A5B47">
      <w:pPr>
        <w:spacing w:before="120" w:after="120" w:line="360" w:lineRule="auto"/>
        <w:ind w:left="1416" w:hanging="566"/>
        <w:rPr>
          <w:szCs w:val="24"/>
          <w:lang w:eastAsia="en-US"/>
        </w:rPr>
      </w:pPr>
      <w:r w:rsidRPr="00310125">
        <w:rPr>
          <w:szCs w:val="24"/>
          <w:vertAlign w:val="superscript"/>
          <w:lang w:eastAsia="en-US"/>
        </w:rPr>
        <w:t>(14)</w:t>
      </w:r>
      <w:r w:rsidRPr="00393250">
        <w:rPr>
          <w:szCs w:val="24"/>
          <w:lang w:eastAsia="en-US"/>
        </w:rPr>
        <w:tab/>
        <w:t>Nonylphenol (CAS 25154-52-3, EU 246-672-0), herunder isomererne 4-nonylphenol (CAS 104-40-5, EU 203-199-4) og 4-nonylphenol (forgrenet) (CAS 84852-15-3, EU 284-325-5).</w:t>
      </w:r>
    </w:p>
    <w:p w14:paraId="3C443EBA"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(15)</w:t>
      </w:r>
      <w:r w:rsidRPr="00393250">
        <w:rPr>
          <w:szCs w:val="24"/>
          <w:lang w:eastAsia="en-US"/>
        </w:rPr>
        <w:tab/>
        <w:t>Octylphenol (CAS 1806-26-4, EU 217-302-5) herunder isomeren 4-(1,1,3,3-tetramethylbutyl)-phenol (CAS 140-66-9, EU 205-426-2).</w:t>
      </w:r>
    </w:p>
    <w:p w14:paraId="21272749"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(16)</w:t>
      </w:r>
      <w:r w:rsidRPr="00393250">
        <w:rPr>
          <w:szCs w:val="24"/>
          <w:lang w:eastAsia="en-US"/>
        </w:rPr>
        <w:tab/>
        <w:t>benzo(a)pyren (CAS 50-32-8) (RPF 1), benzo(b)fluoranthen (CAS 205-99-2) (RPF 0,1), benzo(k)fluoranthen (CAS 207-08-9) (RPF 0,1), benzo(g, h,i)perylen (CAS 191-24-2) (RPF 0), indeno(1,2,3-cd)pyren (CAS 193-39-5) (RPF 0,1) chrysen (CAS 218-01-9) (RPF 0,01), benzo(a)anthracen (CAS 56-55-3) (RPF 0,1) og dibenz(a, h)anthracen (CAS 53-70-3) (RPF 1). PAH'erne anthracen, fluoranthen og naphthalen er opført særskilt.</w:t>
      </w:r>
    </w:p>
    <w:p w14:paraId="548C03B1" w14:textId="77777777" w:rsidR="00E16D64" w:rsidRPr="00310125" w:rsidRDefault="00E16D64">
      <w:pPr>
        <w:widowControl/>
        <w:rPr>
          <w:szCs w:val="24"/>
          <w:vertAlign w:val="superscript"/>
          <w:lang w:eastAsia="en-US"/>
        </w:rPr>
      </w:pPr>
      <w:r w:rsidRPr="00310125">
        <w:rPr>
          <w:szCs w:val="24"/>
          <w:vertAlign w:val="superscript"/>
          <w:lang w:eastAsia="en-US"/>
        </w:rPr>
        <w:br w:type="page"/>
      </w:r>
    </w:p>
    <w:p w14:paraId="761ADA75" w14:textId="4E0297F2"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(17)</w:t>
      </w:r>
      <w:r w:rsidRPr="00393250">
        <w:rPr>
          <w:szCs w:val="24"/>
          <w:lang w:eastAsia="en-US"/>
        </w:rPr>
        <w:tab/>
        <w:t>For gruppen polyaromatiske kulbrinter (PAH) (nr. 28) henviser miljøkvalitetskravet for biota til summen af koncentrationerne af syv af de otte PAH'er, der er anført i fodnote 17, udtrykt som benzo(a)pyren ækvivalenter baseret på stoffernes kræftfremkaldende styrke i forhold til benzo(a)pyrens, dvs. RPF'erne i fodnote 16. Det er ikke nødvendigt at måle benzo (g, h,i) perylen i biota med henblik på at fastslå, om de overordnede miljøkvalitetskrav for biota er overholdt.</w:t>
      </w:r>
    </w:p>
    <w:p w14:paraId="7F3BAA85"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(18)</w:t>
      </w:r>
      <w:r w:rsidRPr="00393250">
        <w:rPr>
          <w:szCs w:val="24"/>
          <w:lang w:eastAsia="en-US"/>
        </w:rPr>
        <w:tab/>
        <w:t>Tributyltinforbindelser, herunder tributyltinkation (CAS 36643-28-4).</w:t>
      </w:r>
    </w:p>
    <w:p w14:paraId="2F099F70"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(19)</w:t>
      </w:r>
      <w:r w:rsidRPr="00393250">
        <w:rPr>
          <w:szCs w:val="24"/>
          <w:lang w:eastAsia="en-US"/>
        </w:rPr>
        <w:tab/>
        <w:t>Miljøkvalitetskrav for sedimenter.</w:t>
      </w:r>
    </w:p>
    <w:p w14:paraId="1F364D8D"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(20)</w:t>
      </w:r>
      <w:r w:rsidRPr="00393250">
        <w:rPr>
          <w:szCs w:val="24"/>
          <w:lang w:eastAsia="en-US"/>
        </w:rPr>
        <w:tab/>
        <w:t>Der foreligger ikke tilstrækkelige oplysninger til, at der kan fastsættes en MAC-EQS for disse stoffer.</w:t>
      </w:r>
    </w:p>
    <w:p w14:paraId="0149E71A"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(21)</w:t>
      </w:r>
      <w:r w:rsidRPr="00393250">
        <w:rPr>
          <w:szCs w:val="24"/>
          <w:lang w:eastAsia="en-US"/>
        </w:rPr>
        <w:tab/>
        <w:t>Dette henviser til følgende forbindelser:</w:t>
      </w:r>
    </w:p>
    <w:p w14:paraId="0B3391DC" w14:textId="77777777" w:rsidR="008A5B47" w:rsidRPr="00393250" w:rsidRDefault="008A5B47" w:rsidP="008A5B47">
      <w:pPr>
        <w:spacing w:before="120" w:after="120" w:line="360" w:lineRule="auto"/>
        <w:ind w:left="1416"/>
        <w:rPr>
          <w:szCs w:val="24"/>
          <w:lang w:eastAsia="en-US"/>
        </w:rPr>
      </w:pPr>
      <w:r w:rsidRPr="00393250">
        <w:rPr>
          <w:szCs w:val="24"/>
          <w:lang w:eastAsia="en-US"/>
        </w:rPr>
        <w:tab/>
        <w:t>Syv polychlorerede dibenzo-p-dioxiner (PCDD): 2,3,7,8-T4CDD (CAS 1746-01-6, EU 217-122-7), 1,2,3,7,8-P5CDD (CAS 40321-76-4), 1,2,3,4,7,8-H6CDD (CAS 39227-28-6), 1,2,3,6,7,8-H6CDD (CAS 57653-85-7), 1,2,3,7,8,9-H6CDD (CAS 19408-74-3), 1,2,3,4,6,7,8-H7CDD (CAS 35822-46-9) og 1,2,3,4,6,7,8,9-O8CDD (CAS 3268-87-9)</w:t>
      </w:r>
    </w:p>
    <w:p w14:paraId="4F88BD72" w14:textId="77777777" w:rsidR="00E16D64" w:rsidRPr="00393250" w:rsidRDefault="00E16D64">
      <w:pPr>
        <w:widowControl/>
        <w:rPr>
          <w:szCs w:val="24"/>
          <w:lang w:eastAsia="en-US"/>
        </w:rPr>
      </w:pPr>
      <w:r w:rsidRPr="00393250">
        <w:rPr>
          <w:szCs w:val="24"/>
          <w:lang w:eastAsia="en-US"/>
        </w:rPr>
        <w:br w:type="page"/>
      </w:r>
    </w:p>
    <w:p w14:paraId="546F6E5A" w14:textId="1A7682E8" w:rsidR="008A5B47" w:rsidRPr="00393250" w:rsidRDefault="008A5B47" w:rsidP="008A5B47">
      <w:pPr>
        <w:spacing w:before="120" w:after="120" w:line="360" w:lineRule="auto"/>
        <w:ind w:left="1416"/>
        <w:rPr>
          <w:szCs w:val="24"/>
          <w:lang w:eastAsia="en-US"/>
        </w:rPr>
      </w:pPr>
      <w:r w:rsidRPr="00393250">
        <w:rPr>
          <w:szCs w:val="24"/>
          <w:lang w:eastAsia="en-US"/>
        </w:rPr>
        <w:tab/>
        <w:t>Ti Polychlorerede dibenzofuraner (PCDF): 2,3,7,8-T4CDF (CAS 51207-31-9), 1,2,3,7,8-P5CDF (CAS 57117-41-6), 2,3,4,7,8-P5CDF (CAS 57117-31-4), 1,2,3,4,7,8-H6CDF (CAS 70648-26-9), 1,2,3,6,7,8-H6CDF (CAS 57117-44-9), 1,2,3,7,8,9-H6CDF (CAS 72918-21-9), 2,3,4,6,7,8-H6CDF (CAS 60851-34-5), 1,2,3,4,6,7,8-H7CDF (CAS 67562-39-4), 1,2,3,4,7,8,9-H7CDF (CAS 55673-89-7) og 1,2,3,4,6,7,8,9-O8CDF (CAS 39001-02-0)</w:t>
      </w:r>
    </w:p>
    <w:p w14:paraId="51E95856" w14:textId="77777777" w:rsidR="008A5B47" w:rsidRPr="00393250" w:rsidRDefault="008A5B47" w:rsidP="008A5B47">
      <w:pPr>
        <w:spacing w:before="120" w:after="120" w:line="360" w:lineRule="auto"/>
        <w:ind w:left="1416"/>
        <w:rPr>
          <w:szCs w:val="24"/>
          <w:lang w:eastAsia="en-US"/>
        </w:rPr>
      </w:pPr>
      <w:r w:rsidRPr="00393250">
        <w:rPr>
          <w:szCs w:val="24"/>
          <w:lang w:eastAsia="en-US"/>
        </w:rPr>
        <w:tab/>
        <w:t>12 dioxinlignende polychlorerede biphenyler (PCB-DL): 3,3',4,4'-T4CB (PCB 77, CAS 32598-13-3), 3,3',4',5-T4CB (PCB 81, CAS 70362-50-4), 2,3,3',4,4'-P5CB (PCB 105, CAS 32598-14-4), 2,3,4,4',5-P5CB (PCB 114, CAS 74472-37-0), 2,3',4,4',5-P5CB (PCB 118, CAS 31508-00-6), 2,3',4,4',5'-P5CB (PCB 123, CAS 65510-44-3), 3,3',4,4',5-P5CB (PCB 126, CAS 57465-28-8), 2,3,3',4,4',5-H6CB (PCB 156, CAS 38380-08-4), 2,3,3',4,4',5'-H6CB (PCB 157, CAS 69782-90-7), 2,3',4,4',5,5'-H6CB (PCB 167, CAS 52663-72-6), 3,3',4,4',5,5'-H6CB (PCB 169, CAS 32774-16-6) og 2,3,3',4,4',5,5'-H7CB (PCB 189, CAS 39635-31-9).</w:t>
      </w:r>
    </w:p>
    <w:p w14:paraId="500ADF23" w14:textId="77777777" w:rsidR="00E16D64" w:rsidRPr="00393250" w:rsidRDefault="00E16D64">
      <w:pPr>
        <w:widowControl/>
        <w:rPr>
          <w:szCs w:val="24"/>
          <w:vertAlign w:val="superscript"/>
          <w:lang w:eastAsia="en-US"/>
        </w:rPr>
      </w:pPr>
      <w:r w:rsidRPr="00393250">
        <w:rPr>
          <w:szCs w:val="24"/>
          <w:vertAlign w:val="superscript"/>
          <w:lang w:eastAsia="en-US"/>
        </w:rPr>
        <w:br w:type="page"/>
      </w:r>
    </w:p>
    <w:p w14:paraId="7FEEB11B" w14:textId="4BD89CF9"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(22)</w:t>
      </w:r>
      <w:r w:rsidRPr="00393250">
        <w:rPr>
          <w:szCs w:val="24"/>
          <w:lang w:eastAsia="en-US"/>
        </w:rPr>
        <w:tab/>
        <w:t>For gruppen dioxiner og dioxinlignende forbindelser (nr. 37) henviser miljøkvalitetskravet for biota til summen af koncentrationerne af stofferne i fodnote 20 udtrykt som toksiske ækvivalenter baseret på World Health Organisation 2005 Toxic Equivalence Factors.</w:t>
      </w:r>
    </w:p>
    <w:p w14:paraId="030D5F29"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(23)</w:t>
      </w:r>
      <w:r w:rsidRPr="00393250">
        <w:rPr>
          <w:szCs w:val="24"/>
          <w:lang w:eastAsia="en-US"/>
        </w:rPr>
        <w:tab/>
        <w:t>CAS 52315-07-8 henviser til en isomerblanding af cypermethrin, alpha-cypermethrin (CAS 67375-30-8, EU 257-842-9), beta-cypermethrin (CAS 65731-84-2, EU 265-898-0), theta-cypermethrin (CAS 71691-59-1) og zeta-cypermethrin (CAS 52315-07-8, EU 257-842-9).</w:t>
      </w:r>
    </w:p>
    <w:p w14:paraId="33084F3C"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(24)</w:t>
      </w:r>
      <w:r w:rsidRPr="00393250">
        <w:rPr>
          <w:szCs w:val="24"/>
          <w:lang w:eastAsia="en-US"/>
        </w:rPr>
        <w:tab/>
        <w:t xml:space="preserve">Dette henviser til 1,3,5,7,9,11-hexabromcyclododecan (CAS 25637-99-4, EU 247-148-4), 1,2,5,6,9,10- hexabromcyclododecan (CAS 3194-55-6, EU 221-695-9), </w:t>
      </w:r>
      <w:r w:rsidRPr="00393250">
        <w:rPr>
          <w:szCs w:val="24"/>
          <w:lang w:val="en-GB" w:eastAsia="en-US"/>
        </w:rPr>
        <w:t>α</w:t>
      </w:r>
      <w:r w:rsidRPr="00393250">
        <w:rPr>
          <w:szCs w:val="24"/>
          <w:lang w:eastAsia="en-US"/>
        </w:rPr>
        <w:t xml:space="preserve">-hexabromcyclododecan (CAS 134237-50-6), </w:t>
      </w:r>
      <w:r w:rsidRPr="00393250">
        <w:rPr>
          <w:szCs w:val="24"/>
          <w:lang w:val="en-GB" w:eastAsia="en-US"/>
        </w:rPr>
        <w:t>β</w:t>
      </w:r>
      <w:r w:rsidRPr="00393250">
        <w:rPr>
          <w:szCs w:val="24"/>
          <w:lang w:eastAsia="en-US"/>
        </w:rPr>
        <w:t xml:space="preserve">-hexabromcyclododecan (CAS 134237-51-7) og </w:t>
      </w:r>
      <w:r w:rsidRPr="00393250">
        <w:rPr>
          <w:szCs w:val="24"/>
          <w:lang w:val="en-GB" w:eastAsia="en-US"/>
        </w:rPr>
        <w:t>γ</w:t>
      </w:r>
      <w:r w:rsidRPr="00393250">
        <w:rPr>
          <w:szCs w:val="24"/>
          <w:lang w:eastAsia="en-US"/>
        </w:rPr>
        <w:t>-hexabromcyclododecan (CAS 134237-52-8).</w:t>
      </w:r>
    </w:p>
    <w:p w14:paraId="60D47223" w14:textId="77777777" w:rsidR="008A5B47" w:rsidRPr="00393250" w:rsidRDefault="008A5B47" w:rsidP="008A5B47">
      <w:pPr>
        <w:spacing w:before="120" w:after="120" w:line="360" w:lineRule="auto"/>
        <w:ind w:left="1416" w:hanging="566"/>
        <w:rPr>
          <w:szCs w:val="24"/>
          <w:lang w:eastAsia="en-US"/>
        </w:rPr>
      </w:pPr>
      <w:r w:rsidRPr="00393250">
        <w:rPr>
          <w:strike/>
          <w:szCs w:val="24"/>
          <w:vertAlign w:val="superscript"/>
          <w:lang w:eastAsia="en-US"/>
        </w:rPr>
        <w:t>(25)</w:t>
      </w:r>
      <w:r w:rsidRPr="00393250">
        <w:rPr>
          <w:strike/>
          <w:szCs w:val="24"/>
          <w:lang w:eastAsia="en-US"/>
        </w:rPr>
        <w:tab/>
        <w:t>For ferskvand, der anvendes til indvinding og præparering af drikkevand.</w:t>
      </w:r>
    </w:p>
    <w:p w14:paraId="512B822E" w14:textId="77777777" w:rsidR="008A5B47" w:rsidRPr="00393250" w:rsidRDefault="008A5B47" w:rsidP="008A5B47">
      <w:pPr>
        <w:spacing w:before="120" w:after="120" w:line="360" w:lineRule="auto"/>
        <w:ind w:left="1416" w:hanging="566"/>
        <w:rPr>
          <w:szCs w:val="24"/>
          <w:lang w:eastAsia="en-US"/>
        </w:rPr>
      </w:pPr>
      <w:r w:rsidRPr="00393250">
        <w:rPr>
          <w:strike/>
          <w:szCs w:val="24"/>
          <w:vertAlign w:val="superscript"/>
          <w:lang w:eastAsia="en-US"/>
        </w:rPr>
        <w:t>(26)</w:t>
      </w:r>
      <w:r w:rsidRPr="00393250">
        <w:rPr>
          <w:strike/>
          <w:szCs w:val="24"/>
          <w:lang w:eastAsia="en-US"/>
        </w:rPr>
        <w:tab/>
        <w:t>For ferskvand, der ikke anvendes til indvinding og præparering af drikkevand.</w:t>
      </w:r>
    </w:p>
    <w:p w14:paraId="61B5B9A4" w14:textId="77777777" w:rsidR="00E16D64" w:rsidRPr="00393250" w:rsidRDefault="00E16D64">
      <w:pPr>
        <w:widowControl/>
        <w:rPr>
          <w:szCs w:val="24"/>
          <w:vertAlign w:val="superscript"/>
          <w:lang w:eastAsia="en-US"/>
        </w:rPr>
      </w:pPr>
      <w:r w:rsidRPr="00393250">
        <w:rPr>
          <w:szCs w:val="24"/>
          <w:vertAlign w:val="superscript"/>
          <w:lang w:eastAsia="en-US"/>
        </w:rPr>
        <w:br w:type="page"/>
      </w:r>
    </w:p>
    <w:p w14:paraId="0D2DF3E8" w14:textId="4C1F2405"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(27)</w:t>
      </w:r>
      <w:r w:rsidRPr="00393250">
        <w:rPr>
          <w:szCs w:val="24"/>
          <w:lang w:eastAsia="en-US"/>
        </w:rPr>
        <w:tab/>
        <w:t>Dette henviser til følgende forbindelser, der er opført med deres CAS-nummer, EU-nummer og Relative Potency Factor (RPF):</w:t>
      </w:r>
    </w:p>
    <w:p w14:paraId="36F2D2EA" w14:textId="77777777" w:rsidR="008A5B47" w:rsidRPr="00393250" w:rsidRDefault="008A5B47" w:rsidP="008A5B47">
      <w:pPr>
        <w:spacing w:before="120" w:after="120" w:line="360" w:lineRule="auto"/>
        <w:ind w:left="1416"/>
        <w:rPr>
          <w:szCs w:val="24"/>
          <w:lang w:eastAsia="en-US"/>
        </w:rPr>
      </w:pPr>
      <w:r w:rsidRPr="00393250">
        <w:rPr>
          <w:szCs w:val="24"/>
          <w:lang w:eastAsia="en-US"/>
        </w:rPr>
        <w:tab/>
        <w:t>perfluoroctansyre (PFOA) (CAS 335-67-1, EU 206-397-9) (RPF 1), perfluoroctansulfonsyre (PFOS) (CAS 1763-23-1, EU 217-179-8) (RPF 2), perfluorhexansulfonsyre (PFHxS) (CAS 355-46-4, EU 206-587-1) (RPF 0,6), perfluornonansyre (PFNA) (CAS 375-95-1, EU 206-801-3) (RPF 10), perfluorbutansulfonsyre (PFBS) (CAS 375-73-5, EU 206-793-1) (RPF 0,001), perfluorohexansyre (PFHxA) (CAS 307-24-4, EU 206-196-6) (RPF 0,01), perfluorbutansyre (PFBA) (CAS 375-22-4, EU 206-786-3) (RPF 0,05), perfluorpentansyre (PFPeA) (CAS 2706-90-3, EU 220-300-7) (RPF 0,03), perfluorpentansulfonsyre (PFPeS) (CAS 2706-91-4, EU 220-301-2) (RPF 0,3005), perfluordecansyre (PFDA) (CAS 335-76-2, EU 206-400-3) (RPF 7), perfluordodecansyre (PFDoDA eller PFDoA) (CAS 307-55-1, EU 206-203-2) (RPF 3), perfluorundecansyre (PFUnDA eller PFUnA) (CAS 2058-94-8, EU 218-165-4) (RPF 4), perfluorheptansyre (PFHpA) (CAS 375-85-9, EU 206-798-9) (RPF 0,505), perfluortridecansyre (PFTrDA) (CAS 72629-94-8, EU 276-745-2) (RPF 1,65), perfluorheptansulfonsyre (PFHpS) (CAS 375-92-8, EU 206-800-8) (RPF 1,3), perfluordecansulfonsyre (PFDS) (CAS 335-77-3, EU 206-401-9) (RPF 2), perfluorotetradecansyre (PFTeDA) (CAS 376-06-7, EU 206-803-4) (RPF 0,3), perfluorohexadecansyre (PFHxDA) (CAS 67905-19-5, EU 267-638-1) (RPF 0,02), perfluorooctadecansyre (PFODA) (CAS 16517-11-6, EU 240-582-5) (RPF 0,02), ammonium perfluoro (2-methyl-3-oxahexanoate) (HFPO-DA eller Gen X) (CAS 62037-80-3) (RPF 0,06), propionsyre/ammonium 2,2,3-trifluoro-3-(1,1,2,2,3,3-hexafluoro-3-(trifluoromethoxy)propoxy)propanoat (ADONA) (CAS 958445-44-8) (RPF 0,03), 2- (perfluorohexyl)ethylalkohol (6:2 FTOH) (CAS 647-42-7, EU 211-477-1) (RPF 0,02), 2-(perfluorooctyl)ethanol (8:2 FTOH) (CAS 678-39-7, EU 211-648-0) (RPF 0,04) og eddikesyre/2,2-difluoro-2-((2,2,4,5-tetrafluoro-5-(trifluoromethoxy)-1,3-dioxolan-4-yl)oxy)- (C6O4) (CAS 1190931-41-9) (RPF 0,06).</w:t>
      </w:r>
    </w:p>
    <w:p w14:paraId="73091C49" w14:textId="77777777" w:rsidR="00E16D64" w:rsidRPr="00393250" w:rsidRDefault="00E16D64">
      <w:pPr>
        <w:widowControl/>
        <w:rPr>
          <w:szCs w:val="24"/>
          <w:vertAlign w:val="superscript"/>
          <w:lang w:eastAsia="en-US"/>
        </w:rPr>
      </w:pPr>
      <w:r w:rsidRPr="00393250">
        <w:rPr>
          <w:szCs w:val="24"/>
          <w:vertAlign w:val="superscript"/>
          <w:lang w:eastAsia="en-US"/>
        </w:rPr>
        <w:br w:type="page"/>
      </w:r>
    </w:p>
    <w:p w14:paraId="1C92275D" w14:textId="139FC304"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(28)</w:t>
      </w:r>
      <w:r w:rsidRPr="00393250">
        <w:rPr>
          <w:szCs w:val="24"/>
          <w:lang w:eastAsia="en-US"/>
        </w:rPr>
        <w:tab/>
        <w:t>For gruppen PFAS (nr. 65) henviser miljøkvalitetskravet til summen af koncentrationerne af de 24 PFAS, der er opført i fodnote 27, udtrykt som PFOA-ækvivalenter baseret på stoffernes styrke i forhold til PFOA, dvs. RPF'erne i fodnote 27.</w:t>
      </w:r>
    </w:p>
    <w:p w14:paraId="2DFCD1C9"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(29)</w:t>
      </w:r>
      <w:r w:rsidRPr="00393250">
        <w:rPr>
          <w:szCs w:val="24"/>
          <w:lang w:eastAsia="en-US"/>
        </w:rPr>
        <w:tab/>
        <w:t>Ved "pesticider" forstås: plantebeskyttelsesmidler som omhandlet i artikel 2 i forordning (EF) nr. 1107/2009 og biocidholdige produkter som defineret i artikel 3 i forordning (EU) nr. 528/2012.</w:t>
      </w:r>
    </w:p>
    <w:p w14:paraId="5708CBEF"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(30)</w:t>
      </w:r>
      <w:r w:rsidRPr="00393250">
        <w:rPr>
          <w:szCs w:val="24"/>
          <w:lang w:eastAsia="en-US"/>
        </w:rPr>
        <w:tab/>
        <w:t>"I alt": summen af alle individuelle pesticider, som påvises og kvantificeres under overvågningsproceduren, herunder relevante omdannelses-, nedbrydnings- og reaktionsprodukter."</w:t>
      </w:r>
    </w:p>
    <w:p w14:paraId="6C0C47E4" w14:textId="77777777" w:rsidR="00E16D64" w:rsidRPr="00393250" w:rsidRDefault="00E16D64">
      <w:pPr>
        <w:widowControl/>
        <w:rPr>
          <w:szCs w:val="24"/>
          <w:lang w:eastAsia="en-US"/>
        </w:rPr>
      </w:pPr>
      <w:r w:rsidRPr="00393250">
        <w:rPr>
          <w:szCs w:val="24"/>
          <w:lang w:eastAsia="en-US"/>
        </w:rPr>
        <w:br w:type="page"/>
      </w:r>
    </w:p>
    <w:p w14:paraId="07846758" w14:textId="3F8F0053" w:rsidR="008A5B47" w:rsidRPr="00393250" w:rsidRDefault="008A5B47" w:rsidP="008A5B47">
      <w:pPr>
        <w:spacing w:before="120" w:after="120" w:line="360" w:lineRule="auto"/>
        <w:ind w:left="850" w:hanging="850"/>
        <w:rPr>
          <w:szCs w:val="24"/>
          <w:lang w:eastAsia="en-US"/>
        </w:rPr>
      </w:pPr>
      <w:r w:rsidRPr="00393250">
        <w:rPr>
          <w:szCs w:val="24"/>
          <w:lang w:eastAsia="en-US"/>
        </w:rPr>
        <w:t>(3)</w:t>
      </w:r>
      <w:r w:rsidRPr="00393250">
        <w:rPr>
          <w:szCs w:val="24"/>
          <w:lang w:eastAsia="en-US"/>
        </w:rPr>
        <w:tab/>
        <w:t>I del B foretages følgende ændringer:</w:t>
      </w:r>
    </w:p>
    <w:p w14:paraId="7D7D546F" w14:textId="096590D6" w:rsidR="008A5B47" w:rsidRPr="00393250" w:rsidRDefault="008A5B47" w:rsidP="008A5B47">
      <w:pPr>
        <w:spacing w:before="120" w:after="120" w:line="360" w:lineRule="auto"/>
        <w:ind w:left="1416" w:hanging="566"/>
        <w:rPr>
          <w:szCs w:val="24"/>
          <w:lang w:eastAsia="en-US"/>
        </w:rPr>
      </w:pPr>
      <w:r w:rsidRPr="00393250">
        <w:rPr>
          <w:szCs w:val="24"/>
          <w:lang w:eastAsia="en-US"/>
        </w:rPr>
        <w:t>a)</w:t>
      </w:r>
      <w:r w:rsidRPr="00393250">
        <w:rPr>
          <w:szCs w:val="24"/>
          <w:lang w:eastAsia="en-US"/>
        </w:rPr>
        <w:tab/>
        <w:t>Punkt 1, første afsnit, affattes således:</w:t>
      </w:r>
    </w:p>
    <w:p w14:paraId="4C1D32BD" w14:textId="77777777" w:rsidR="008A5B47" w:rsidRPr="00393250" w:rsidRDefault="008A5B47" w:rsidP="008A5B47">
      <w:pPr>
        <w:spacing w:before="120" w:after="120" w:line="360" w:lineRule="auto"/>
        <w:ind w:left="1416"/>
        <w:rPr>
          <w:szCs w:val="24"/>
          <w:lang w:eastAsia="en-US"/>
        </w:rPr>
      </w:pPr>
      <w:r w:rsidRPr="00393250">
        <w:rPr>
          <w:szCs w:val="24"/>
          <w:lang w:eastAsia="en-US"/>
        </w:rPr>
        <w:t>"For et givet overfladevandområde betyder anvendelse af AA-EQS, at det aritmetiske gennemsnit af koncentrationer, der er målt på forskellige tidspunkter af året, ved hvert repræsentativt målepunkt inden for vandområdet ikke overstiger kravværdien."</w:t>
      </w:r>
    </w:p>
    <w:p w14:paraId="173065CA" w14:textId="1872160B" w:rsidR="008A5B47" w:rsidRPr="00393250" w:rsidRDefault="008A5B47" w:rsidP="008A5B47">
      <w:pPr>
        <w:spacing w:before="120" w:after="120" w:line="360" w:lineRule="auto"/>
        <w:ind w:left="1416" w:hanging="566"/>
        <w:rPr>
          <w:szCs w:val="24"/>
          <w:lang w:eastAsia="en-US"/>
        </w:rPr>
      </w:pPr>
      <w:r w:rsidRPr="00393250">
        <w:rPr>
          <w:szCs w:val="24"/>
          <w:lang w:eastAsia="en-US"/>
        </w:rPr>
        <w:t>b)</w:t>
      </w:r>
      <w:r w:rsidRPr="00393250">
        <w:rPr>
          <w:szCs w:val="24"/>
          <w:lang w:eastAsia="en-US"/>
        </w:rPr>
        <w:tab/>
        <w:t>Punkt 2, første afsnit, affattes således:</w:t>
      </w:r>
    </w:p>
    <w:p w14:paraId="36BDA3CA" w14:textId="6BC47597" w:rsidR="008A5B47" w:rsidRPr="00393250" w:rsidRDefault="00020719" w:rsidP="008A5B47">
      <w:pPr>
        <w:spacing w:before="120" w:after="120" w:line="360" w:lineRule="auto"/>
        <w:ind w:left="1416"/>
        <w:rPr>
          <w:szCs w:val="24"/>
          <w:lang w:eastAsia="en-US"/>
        </w:rPr>
      </w:pPr>
      <w:r w:rsidRPr="00393250">
        <w:rPr>
          <w:szCs w:val="24"/>
          <w:lang w:eastAsia="en-US"/>
        </w:rPr>
        <w:t>"</w:t>
      </w:r>
      <w:r w:rsidR="008A5B47" w:rsidRPr="00393250">
        <w:rPr>
          <w:szCs w:val="24"/>
          <w:lang w:eastAsia="en-US"/>
        </w:rPr>
        <w:t>For et givet overfladevandområde betyder anvendelse af MAC-EQS, at den koncentration, der er målt ved hvert repræsentativt målepunkt inden for vandområdet, ikke er højere end kravværdien.</w:t>
      </w:r>
      <w:r w:rsidR="003748B0" w:rsidRPr="00393250">
        <w:rPr>
          <w:szCs w:val="24"/>
          <w:lang w:eastAsia="en-US"/>
        </w:rPr>
        <w:t>"</w:t>
      </w:r>
    </w:p>
    <w:p w14:paraId="24415912" w14:textId="77777777" w:rsidR="008A5B47" w:rsidRPr="00393250" w:rsidRDefault="008A5B47" w:rsidP="008A5B47">
      <w:pPr>
        <w:spacing w:before="120" w:after="120" w:line="360" w:lineRule="auto"/>
        <w:rPr>
          <w:szCs w:val="24"/>
          <w:lang w:eastAsia="en-US"/>
        </w:rPr>
        <w:sectPr w:rsidR="008A5B47" w:rsidRPr="00393250" w:rsidSect="00B551B3">
          <w:footnotePr>
            <w:numRestart w:val="eachSect"/>
          </w:footnotePr>
          <w:endnotePr>
            <w:numFmt w:val="decimal"/>
          </w:endnotePr>
          <w:pgSz w:w="16834" w:h="11909" w:orient="landscape"/>
          <w:pgMar w:top="1417" w:right="1134" w:bottom="1417" w:left="1417" w:header="1134" w:footer="567" w:gutter="0"/>
          <w:cols w:space="720"/>
          <w:docGrid w:linePitch="326"/>
        </w:sectPr>
      </w:pPr>
    </w:p>
    <w:p w14:paraId="59C40C79" w14:textId="3128D64D" w:rsidR="008A5B47" w:rsidRPr="00393250" w:rsidRDefault="003B18E9" w:rsidP="008A5B47">
      <w:pPr>
        <w:spacing w:before="120" w:after="120" w:line="360" w:lineRule="auto"/>
        <w:jc w:val="center"/>
        <w:rPr>
          <w:lang w:eastAsia="en-US"/>
        </w:rPr>
      </w:pPr>
      <w:r w:rsidRPr="00393250">
        <w:rPr>
          <w:lang w:eastAsia="en-US"/>
        </w:rPr>
        <w:t>Bilag</w:t>
      </w:r>
      <w:r w:rsidR="008A5B47" w:rsidRPr="00393250">
        <w:rPr>
          <w:lang w:eastAsia="en-US"/>
        </w:rPr>
        <w:t xml:space="preserve"> VI</w:t>
      </w:r>
    </w:p>
    <w:p w14:paraId="3ADF7A20" w14:textId="77777777" w:rsidR="008A5B47" w:rsidRPr="00393250" w:rsidRDefault="008A5B47" w:rsidP="008A5B47">
      <w:pPr>
        <w:spacing w:before="120" w:after="120" w:line="360" w:lineRule="auto"/>
        <w:ind w:left="850"/>
        <w:rPr>
          <w:szCs w:val="24"/>
          <w:lang w:eastAsia="en-US"/>
        </w:rPr>
      </w:pPr>
      <w:r w:rsidRPr="00393250">
        <w:rPr>
          <w:szCs w:val="24"/>
          <w:lang w:eastAsia="en-US"/>
        </w:rPr>
        <w:t>"BILAG II</w:t>
      </w:r>
    </w:p>
    <w:p w14:paraId="2A5CFC1C" w14:textId="77777777" w:rsidR="008A5B47" w:rsidRPr="00393250" w:rsidRDefault="008A5B47" w:rsidP="008A5B47">
      <w:pPr>
        <w:spacing w:before="120" w:after="120" w:line="360" w:lineRule="auto"/>
        <w:ind w:left="850"/>
        <w:rPr>
          <w:szCs w:val="24"/>
          <w:lang w:eastAsia="en-US"/>
        </w:rPr>
      </w:pPr>
      <w:r w:rsidRPr="00393250">
        <w:rPr>
          <w:szCs w:val="24"/>
          <w:lang w:eastAsia="en-US"/>
        </w:rPr>
        <w:t>MILJØKVALITETSKRAV FOR VANDOMRÅDESPECIFIKKE FORURENENDE STOFFER</w:t>
      </w:r>
    </w:p>
    <w:p w14:paraId="4C4099E2" w14:textId="77777777" w:rsidR="008A5B47" w:rsidRPr="00393250" w:rsidRDefault="008A5B47" w:rsidP="008A5B47">
      <w:pPr>
        <w:spacing w:before="120" w:after="120" w:line="360" w:lineRule="auto"/>
        <w:ind w:left="850"/>
        <w:rPr>
          <w:szCs w:val="24"/>
          <w:lang w:eastAsia="en-US"/>
        </w:rPr>
      </w:pPr>
      <w:r w:rsidRPr="00393250">
        <w:rPr>
          <w:szCs w:val="24"/>
          <w:lang w:eastAsia="en-US"/>
        </w:rPr>
        <w:t xml:space="preserve">Del A:  LISTE OVER KATEGORIER AF VANDOMRÅDESPECIFIKKE FORURENENDE STOFFER </w:t>
      </w:r>
    </w:p>
    <w:p w14:paraId="655C5987"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1.</w:t>
      </w:r>
      <w:r w:rsidRPr="00393250">
        <w:rPr>
          <w:szCs w:val="24"/>
          <w:lang w:eastAsia="en-US"/>
        </w:rPr>
        <w:tab/>
        <w:t>Organiske halogenforbindelser og stoffer, der kan danne sådanne forbindelser</w:t>
      </w:r>
    </w:p>
    <w:p w14:paraId="22E3757F" w14:textId="77777777" w:rsidR="008A5B47" w:rsidRPr="00393250" w:rsidRDefault="008A5B47" w:rsidP="008A5B47">
      <w:pPr>
        <w:spacing w:before="120" w:after="120" w:line="360" w:lineRule="auto"/>
        <w:ind w:left="1416"/>
        <w:rPr>
          <w:szCs w:val="24"/>
          <w:lang w:eastAsia="en-US"/>
        </w:rPr>
      </w:pPr>
      <w:r w:rsidRPr="00393250">
        <w:rPr>
          <w:szCs w:val="24"/>
          <w:lang w:eastAsia="en-US"/>
        </w:rPr>
        <w:t>i vandmiljøet.</w:t>
      </w:r>
    </w:p>
    <w:p w14:paraId="0B1F60BB"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2.</w:t>
      </w:r>
      <w:r w:rsidRPr="00393250">
        <w:rPr>
          <w:szCs w:val="24"/>
          <w:lang w:eastAsia="en-US"/>
        </w:rPr>
        <w:tab/>
        <w:t>Organiske fosforforbindelser.</w:t>
      </w:r>
    </w:p>
    <w:p w14:paraId="4DCEA65F"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3.</w:t>
      </w:r>
      <w:r w:rsidRPr="00393250">
        <w:rPr>
          <w:szCs w:val="24"/>
          <w:lang w:eastAsia="en-US"/>
        </w:rPr>
        <w:tab/>
        <w:t>Organiske tinforbindelser.</w:t>
      </w:r>
    </w:p>
    <w:p w14:paraId="0BD16C72"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4.</w:t>
      </w:r>
      <w:r w:rsidRPr="00393250">
        <w:rPr>
          <w:szCs w:val="24"/>
          <w:lang w:eastAsia="en-US"/>
        </w:rPr>
        <w:tab/>
        <w:t>Stoffer og præparater eller nedbrydningsprodukter heraf, som har</w:t>
      </w:r>
    </w:p>
    <w:p w14:paraId="7C3A1466" w14:textId="77777777" w:rsidR="008A5B47" w:rsidRPr="00393250" w:rsidRDefault="008A5B47" w:rsidP="008A5B47">
      <w:pPr>
        <w:spacing w:before="120" w:after="120" w:line="360" w:lineRule="auto"/>
        <w:ind w:left="1416"/>
        <w:rPr>
          <w:szCs w:val="24"/>
          <w:lang w:eastAsia="en-US"/>
        </w:rPr>
      </w:pPr>
      <w:r w:rsidRPr="00393250">
        <w:rPr>
          <w:szCs w:val="24"/>
          <w:lang w:eastAsia="en-US"/>
        </w:rPr>
        <w:t>vist sig at have kræftfremkaldende eller mutagene egenskaber eller egenskaber,</w:t>
      </w:r>
    </w:p>
    <w:p w14:paraId="5B2D75BA" w14:textId="77777777" w:rsidR="008A5B47" w:rsidRPr="00393250" w:rsidRDefault="008A5B47" w:rsidP="008A5B47">
      <w:pPr>
        <w:spacing w:before="120" w:after="120" w:line="360" w:lineRule="auto"/>
        <w:ind w:left="1416"/>
        <w:rPr>
          <w:szCs w:val="24"/>
          <w:lang w:eastAsia="en-US"/>
        </w:rPr>
      </w:pPr>
      <w:r w:rsidRPr="00393250">
        <w:rPr>
          <w:szCs w:val="24"/>
          <w:lang w:eastAsia="en-US"/>
        </w:rPr>
        <w:t>som kan påvirke steroidogene, thyroide, reproduktions- eller andre endokrine funktioner i eller via vandmiljøet.</w:t>
      </w:r>
    </w:p>
    <w:p w14:paraId="78F92F0D" w14:textId="77777777" w:rsidR="003B18E9" w:rsidRPr="00393250" w:rsidRDefault="003B18E9">
      <w:pPr>
        <w:widowControl/>
        <w:rPr>
          <w:szCs w:val="24"/>
          <w:lang w:eastAsia="en-US"/>
        </w:rPr>
      </w:pPr>
      <w:r w:rsidRPr="00393250">
        <w:rPr>
          <w:szCs w:val="24"/>
          <w:lang w:eastAsia="en-US"/>
        </w:rPr>
        <w:br w:type="page"/>
      </w:r>
    </w:p>
    <w:p w14:paraId="7A0A5754" w14:textId="06B215C1" w:rsidR="008A5B47" w:rsidRPr="00393250" w:rsidRDefault="008A5B47" w:rsidP="008A5B47">
      <w:pPr>
        <w:spacing w:before="120" w:after="120" w:line="360" w:lineRule="auto"/>
        <w:ind w:left="1416" w:hanging="566"/>
        <w:rPr>
          <w:szCs w:val="24"/>
          <w:lang w:eastAsia="en-US"/>
        </w:rPr>
      </w:pPr>
      <w:r w:rsidRPr="00393250">
        <w:rPr>
          <w:szCs w:val="24"/>
          <w:lang w:eastAsia="en-US"/>
        </w:rPr>
        <w:t>5.</w:t>
      </w:r>
      <w:r w:rsidRPr="00393250">
        <w:rPr>
          <w:szCs w:val="24"/>
          <w:lang w:eastAsia="en-US"/>
        </w:rPr>
        <w:tab/>
        <w:t>Persistente carbonhydrider og persistente og bioakkumulerbare giftige organiske</w:t>
      </w:r>
    </w:p>
    <w:p w14:paraId="79C52DE5" w14:textId="77777777" w:rsidR="008A5B47" w:rsidRPr="00393250" w:rsidRDefault="008A5B47" w:rsidP="008A5B47">
      <w:pPr>
        <w:spacing w:before="120" w:after="120" w:line="360" w:lineRule="auto"/>
        <w:ind w:left="1416"/>
        <w:rPr>
          <w:szCs w:val="24"/>
          <w:lang w:eastAsia="en-US"/>
        </w:rPr>
      </w:pPr>
      <w:r w:rsidRPr="00393250">
        <w:rPr>
          <w:szCs w:val="24"/>
          <w:lang w:eastAsia="en-US"/>
        </w:rPr>
        <w:t>stoffer.</w:t>
      </w:r>
    </w:p>
    <w:p w14:paraId="1C7E981D"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6.</w:t>
      </w:r>
      <w:r w:rsidRPr="00393250">
        <w:rPr>
          <w:szCs w:val="24"/>
          <w:lang w:eastAsia="en-US"/>
        </w:rPr>
        <w:tab/>
        <w:t>Cyanider.</w:t>
      </w:r>
    </w:p>
    <w:p w14:paraId="3F9E55FE"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7.</w:t>
      </w:r>
      <w:r w:rsidRPr="00393250">
        <w:rPr>
          <w:szCs w:val="24"/>
          <w:lang w:eastAsia="en-US"/>
        </w:rPr>
        <w:tab/>
        <w:t>Metaller og metalforbindelser.</w:t>
      </w:r>
    </w:p>
    <w:p w14:paraId="3855D9B9"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8.</w:t>
      </w:r>
      <w:r w:rsidRPr="00393250">
        <w:rPr>
          <w:szCs w:val="24"/>
          <w:lang w:eastAsia="en-US"/>
        </w:rPr>
        <w:tab/>
        <w:t>Arsen og arsenforbindelser.</w:t>
      </w:r>
    </w:p>
    <w:p w14:paraId="508E6FFD"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9.</w:t>
      </w:r>
      <w:r w:rsidRPr="00393250">
        <w:rPr>
          <w:szCs w:val="24"/>
          <w:lang w:eastAsia="en-US"/>
        </w:rPr>
        <w:tab/>
        <w:t>Biocider og plantebeskyttelsesmidler.</w:t>
      </w:r>
    </w:p>
    <w:p w14:paraId="036B1854" w14:textId="3C47090D" w:rsidR="008A5B47" w:rsidRPr="00393250" w:rsidRDefault="008A5B47" w:rsidP="008A5B47">
      <w:pPr>
        <w:spacing w:before="120" w:after="120" w:line="360" w:lineRule="auto"/>
        <w:ind w:left="1416" w:hanging="566"/>
        <w:rPr>
          <w:b/>
          <w:szCs w:val="24"/>
          <w:lang w:eastAsia="en-US"/>
        </w:rPr>
      </w:pPr>
      <w:r w:rsidRPr="00393250">
        <w:rPr>
          <w:szCs w:val="24"/>
          <w:lang w:eastAsia="en-US"/>
        </w:rPr>
        <w:t>10.</w:t>
      </w:r>
      <w:r w:rsidRPr="00393250">
        <w:rPr>
          <w:szCs w:val="24"/>
          <w:lang w:eastAsia="en-US"/>
        </w:rPr>
        <w:tab/>
        <w:t>Opslæmmede stoffer, herunder mikro-/nanoplast</w:t>
      </w:r>
      <w:r w:rsidRPr="00393250">
        <w:rPr>
          <w:strike/>
          <w:szCs w:val="24"/>
          <w:lang w:eastAsia="en-US"/>
        </w:rPr>
        <w:t>.</w:t>
      </w:r>
      <w:r w:rsidRPr="00393250">
        <w:rPr>
          <w:b/>
          <w:i/>
          <w:szCs w:val="24"/>
          <w:lang w:eastAsia="en-US"/>
        </w:rPr>
        <w:t>, og materialer, der er kendt for at føre til mikro-/nanoplast</w:t>
      </w:r>
      <w:r w:rsidR="003B18E9" w:rsidRPr="00393250">
        <w:rPr>
          <w:b/>
          <w:szCs w:val="24"/>
          <w:lang w:eastAsia="en-US"/>
        </w:rPr>
        <w:t xml:space="preserve"> [Ændring 155]</w:t>
      </w:r>
    </w:p>
    <w:p w14:paraId="3E90F2B5"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11.</w:t>
      </w:r>
      <w:r w:rsidRPr="00393250">
        <w:rPr>
          <w:szCs w:val="24"/>
          <w:lang w:eastAsia="en-US"/>
        </w:rPr>
        <w:tab/>
        <w:t>Stoffer, der bidrager til eutrofiering (især nitrater og</w:t>
      </w:r>
    </w:p>
    <w:p w14:paraId="59BBD954" w14:textId="77777777" w:rsidR="008A5B47" w:rsidRPr="00393250" w:rsidRDefault="008A5B47" w:rsidP="008A5B47">
      <w:pPr>
        <w:spacing w:before="120" w:after="120" w:line="360" w:lineRule="auto"/>
        <w:ind w:left="1416"/>
        <w:rPr>
          <w:szCs w:val="24"/>
          <w:lang w:eastAsia="en-US"/>
        </w:rPr>
      </w:pPr>
      <w:r w:rsidRPr="00393250">
        <w:rPr>
          <w:szCs w:val="24"/>
          <w:lang w:eastAsia="en-US"/>
        </w:rPr>
        <w:t>fosfater</w:t>
      </w:r>
    </w:p>
    <w:p w14:paraId="168D419C" w14:textId="77777777" w:rsidR="008A5B47" w:rsidRPr="00393250" w:rsidRDefault="008A5B47" w:rsidP="008A5B47">
      <w:pPr>
        <w:spacing w:before="120" w:after="120" w:line="360" w:lineRule="auto"/>
        <w:ind w:left="1416" w:hanging="566"/>
        <w:rPr>
          <w:szCs w:val="24"/>
          <w:lang w:eastAsia="en-US"/>
        </w:rPr>
      </w:pPr>
      <w:r w:rsidRPr="00393250">
        <w:rPr>
          <w:szCs w:val="24"/>
          <w:lang w:eastAsia="en-US"/>
        </w:rPr>
        <w:t>12.</w:t>
      </w:r>
      <w:r w:rsidRPr="00393250">
        <w:rPr>
          <w:szCs w:val="24"/>
          <w:lang w:eastAsia="en-US"/>
        </w:rPr>
        <w:tab/>
        <w:t>Stoffer, som har negativ indflydelse på iltbalancen og kan måles ved parametre som BOD, COD osv.</w:t>
      </w:r>
    </w:p>
    <w:p w14:paraId="1E5AF14E" w14:textId="77777777" w:rsidR="003B18E9" w:rsidRPr="00393250" w:rsidRDefault="003B18E9">
      <w:pPr>
        <w:widowControl/>
        <w:rPr>
          <w:szCs w:val="24"/>
          <w:lang w:eastAsia="en-US"/>
        </w:rPr>
      </w:pPr>
      <w:r w:rsidRPr="00393250">
        <w:rPr>
          <w:szCs w:val="24"/>
          <w:lang w:eastAsia="en-US"/>
        </w:rPr>
        <w:br w:type="page"/>
      </w:r>
    </w:p>
    <w:p w14:paraId="441ACC32" w14:textId="0C33128A" w:rsidR="008A5B47" w:rsidRPr="00393250" w:rsidRDefault="008A5B47" w:rsidP="008A5B47">
      <w:pPr>
        <w:spacing w:before="120" w:after="120" w:line="360" w:lineRule="auto"/>
        <w:ind w:left="1416" w:hanging="566"/>
        <w:rPr>
          <w:szCs w:val="24"/>
          <w:lang w:eastAsia="en-US"/>
        </w:rPr>
      </w:pPr>
      <w:r w:rsidRPr="00393250">
        <w:rPr>
          <w:szCs w:val="24"/>
          <w:lang w:eastAsia="en-US"/>
        </w:rPr>
        <w:t>13.</w:t>
      </w:r>
      <w:r w:rsidRPr="00393250">
        <w:rPr>
          <w:szCs w:val="24"/>
          <w:lang w:eastAsia="en-US"/>
        </w:rPr>
        <w:tab/>
        <w:t>Mikroorganismer, gener eller genetisk materiale, der afspejler tilstedeværelsen af mikroorganismer, der er resistente over for antimikrobielle stoffer, navnlig mikroorganismer, der er patogene for mennesker eller husdyr.</w:t>
      </w:r>
    </w:p>
    <w:p w14:paraId="531881CA" w14:textId="77777777" w:rsidR="008A5B47" w:rsidRPr="00393250" w:rsidRDefault="008A5B47" w:rsidP="008A5B47">
      <w:pPr>
        <w:spacing w:before="120" w:after="120" w:line="360" w:lineRule="auto"/>
        <w:ind w:left="850"/>
        <w:rPr>
          <w:szCs w:val="24"/>
          <w:lang w:eastAsia="en-US"/>
        </w:rPr>
      </w:pPr>
      <w:r w:rsidRPr="00393250">
        <w:rPr>
          <w:szCs w:val="24"/>
          <w:lang w:eastAsia="en-US"/>
        </w:rPr>
        <w:t>DEL B: PROCEDUREN FOR BEREGNING AF MILJØKVALITETSKRAV FOR VANDOMRÅDESPECIFIKKE FORURENENDE STOFFER</w:t>
      </w:r>
    </w:p>
    <w:p w14:paraId="6E38043D" w14:textId="77777777" w:rsidR="008A5B47" w:rsidRPr="00393250" w:rsidRDefault="008A5B47" w:rsidP="008A5B47">
      <w:pPr>
        <w:spacing w:before="120" w:after="120" w:line="360" w:lineRule="auto"/>
        <w:ind w:left="850"/>
        <w:rPr>
          <w:szCs w:val="24"/>
          <w:lang w:eastAsia="en-US"/>
        </w:rPr>
      </w:pPr>
      <w:r w:rsidRPr="00393250">
        <w:rPr>
          <w:szCs w:val="24"/>
          <w:lang w:eastAsia="en-US"/>
        </w:rPr>
        <w:t>De metoder, der anvendes til fastsættelse af miljøkvalitetskrav for vandområdespecifikke forurenende stoffer, skal omfatte følgende trin:</w:t>
      </w:r>
    </w:p>
    <w:p w14:paraId="76077A8A" w14:textId="6AE01AA3" w:rsidR="008A5B47" w:rsidRPr="00393250" w:rsidRDefault="008A5B47" w:rsidP="008A5B47">
      <w:pPr>
        <w:spacing w:before="120" w:after="120" w:line="360" w:lineRule="auto"/>
        <w:ind w:left="1416" w:hanging="566"/>
        <w:rPr>
          <w:szCs w:val="24"/>
          <w:lang w:eastAsia="en-US"/>
        </w:rPr>
      </w:pPr>
      <w:r w:rsidRPr="00393250">
        <w:rPr>
          <w:szCs w:val="24"/>
          <w:lang w:eastAsia="en-US"/>
        </w:rPr>
        <w:t>a)</w:t>
      </w:r>
      <w:r w:rsidRPr="00393250">
        <w:rPr>
          <w:szCs w:val="24"/>
          <w:lang w:eastAsia="en-US"/>
        </w:rPr>
        <w:tab/>
        <w:t>identifikation af de receptorer og delmiljøer eller matricer, der er i fare som følge af det problematiske stof</w:t>
      </w:r>
    </w:p>
    <w:p w14:paraId="17F4ED02" w14:textId="326AD7ED" w:rsidR="008A5B47" w:rsidRPr="00393250" w:rsidRDefault="008A5B47" w:rsidP="008A5B47">
      <w:pPr>
        <w:spacing w:before="120" w:after="120" w:line="360" w:lineRule="auto"/>
        <w:ind w:left="1416" w:hanging="566"/>
        <w:rPr>
          <w:szCs w:val="24"/>
          <w:lang w:eastAsia="en-US"/>
        </w:rPr>
      </w:pPr>
      <w:r w:rsidRPr="00393250">
        <w:rPr>
          <w:szCs w:val="24"/>
          <w:lang w:eastAsia="en-US"/>
        </w:rPr>
        <w:t>b)</w:t>
      </w:r>
      <w:r w:rsidRPr="00393250">
        <w:rPr>
          <w:szCs w:val="24"/>
          <w:lang w:eastAsia="en-US"/>
        </w:rPr>
        <w:tab/>
        <w:t>indsamling og kvalitetsvurdering af data om det problematiske stofs egenskaber, herunder dets (øko-)toksicitet, navnlig fra rapporter om laboratorieundersøgelser, mesokosmos- og feltundersøgelser, som omfatter både kroniske og akutte virkninger i både ferskvands- og saltvandsmiljøer</w:t>
      </w:r>
    </w:p>
    <w:p w14:paraId="445AB617" w14:textId="77777777" w:rsidR="003B18E9" w:rsidRPr="00393250" w:rsidRDefault="003B18E9">
      <w:pPr>
        <w:widowControl/>
        <w:rPr>
          <w:szCs w:val="24"/>
          <w:lang w:eastAsia="en-US"/>
        </w:rPr>
      </w:pPr>
      <w:r w:rsidRPr="00393250">
        <w:rPr>
          <w:szCs w:val="24"/>
          <w:lang w:eastAsia="en-US"/>
        </w:rPr>
        <w:br w:type="page"/>
      </w:r>
    </w:p>
    <w:p w14:paraId="2A35165B" w14:textId="47EA6A8D" w:rsidR="008A5B47" w:rsidRPr="00393250" w:rsidRDefault="008A5B47" w:rsidP="008A5B47">
      <w:pPr>
        <w:spacing w:before="120" w:after="120" w:line="360" w:lineRule="auto"/>
        <w:ind w:left="1416" w:hanging="566"/>
        <w:rPr>
          <w:szCs w:val="24"/>
          <w:lang w:eastAsia="en-US"/>
        </w:rPr>
      </w:pPr>
      <w:r w:rsidRPr="00393250">
        <w:rPr>
          <w:szCs w:val="24"/>
          <w:lang w:eastAsia="en-US"/>
        </w:rPr>
        <w:t>c)</w:t>
      </w:r>
      <w:r w:rsidRPr="00393250">
        <w:rPr>
          <w:szCs w:val="24"/>
          <w:lang w:eastAsia="en-US"/>
        </w:rPr>
        <w:tab/>
        <w:t>ekstrapolering af (øko-)toksicitetsdata til nuleffektniveau eller lignende koncentrationer ved hjælp af deterministiske eller sandsynlighedsbaserede metoder og udvælgelse og anvendelse af passende vurderingsfaktorer for at imødegå usikkerheder og udlede miljøkvalitetskrav</w:t>
      </w:r>
    </w:p>
    <w:p w14:paraId="51A7767A" w14:textId="070679B2" w:rsidR="008A5B47" w:rsidRPr="00393250" w:rsidRDefault="008A5B47" w:rsidP="008A5B47">
      <w:pPr>
        <w:spacing w:before="120" w:after="120" w:line="360" w:lineRule="auto"/>
        <w:ind w:left="1416" w:hanging="566"/>
        <w:rPr>
          <w:szCs w:val="24"/>
          <w:lang w:eastAsia="en-US"/>
        </w:rPr>
      </w:pPr>
      <w:r w:rsidRPr="00393250">
        <w:rPr>
          <w:szCs w:val="24"/>
          <w:lang w:eastAsia="en-US"/>
        </w:rPr>
        <w:t>d)</w:t>
      </w:r>
      <w:r w:rsidRPr="00393250">
        <w:rPr>
          <w:szCs w:val="24"/>
          <w:lang w:eastAsia="en-US"/>
        </w:rPr>
        <w:tab/>
        <w:t>sammenligning af miljøkvalitetskrav for forskellige receptorer og delmiljøer og udvælgelse af kritiske miljøkvalitetskrav, dvs. miljøkvalitetskrav, der beskytter den mest følsomme receptor i det mest relevante delmiljø eller den mest relevante matrix.</w:t>
      </w:r>
    </w:p>
    <w:p w14:paraId="207902DC" w14:textId="39649B03" w:rsidR="008A5B47" w:rsidRPr="00393250" w:rsidRDefault="008A5B47" w:rsidP="008A5B47">
      <w:pPr>
        <w:spacing w:before="120" w:after="120" w:line="360" w:lineRule="auto"/>
        <w:ind w:left="1416" w:hanging="566"/>
        <w:rPr>
          <w:b/>
          <w:szCs w:val="24"/>
          <w:lang w:eastAsia="en-US"/>
        </w:rPr>
      </w:pPr>
      <w:r w:rsidRPr="00393250">
        <w:rPr>
          <w:b/>
          <w:i/>
          <w:szCs w:val="24"/>
          <w:lang w:eastAsia="en-US"/>
        </w:rPr>
        <w:t>da)</w:t>
      </w:r>
      <w:r w:rsidRPr="00393250">
        <w:rPr>
          <w:szCs w:val="24"/>
          <w:lang w:eastAsia="en-US"/>
        </w:rPr>
        <w:tab/>
      </w:r>
      <w:r w:rsidRPr="00393250">
        <w:rPr>
          <w:b/>
          <w:i/>
          <w:szCs w:val="24"/>
          <w:lang w:eastAsia="en-US"/>
        </w:rPr>
        <w:t>Ved fastsættelsen af kvalitetskrav for metaller bør der tages hensyn til biotilgængelighedsmodeller for at tage højde for forskellige vandkvalitetsparametre, der påvirker metallers biotilgængelighed.</w:t>
      </w:r>
      <w:r w:rsidR="003B18E9" w:rsidRPr="00393250">
        <w:rPr>
          <w:b/>
          <w:szCs w:val="24"/>
          <w:lang w:eastAsia="en-US"/>
        </w:rPr>
        <w:t xml:space="preserve"> [Ændring 156]</w:t>
      </w:r>
    </w:p>
    <w:p w14:paraId="0CB6ABCD" w14:textId="77777777" w:rsidR="008C1712" w:rsidRPr="00393250" w:rsidRDefault="008C1712">
      <w:pPr>
        <w:widowControl/>
        <w:rPr>
          <w:szCs w:val="24"/>
          <w:lang w:eastAsia="en-US"/>
        </w:rPr>
        <w:sectPr w:rsidR="008C1712" w:rsidRPr="00393250" w:rsidSect="008B5EF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D6F71E9" w14:textId="639B9808" w:rsidR="008A5B47" w:rsidRPr="00393250" w:rsidRDefault="008A5B47" w:rsidP="008A5B47">
      <w:pPr>
        <w:spacing w:before="120" w:after="120" w:line="360" w:lineRule="auto"/>
        <w:ind w:left="850"/>
        <w:rPr>
          <w:szCs w:val="24"/>
          <w:lang w:eastAsia="en-US"/>
        </w:rPr>
      </w:pPr>
      <w:r w:rsidRPr="00393250">
        <w:rPr>
          <w:szCs w:val="24"/>
          <w:lang w:eastAsia="en-US"/>
        </w:rPr>
        <w:t xml:space="preserve">DEL C: REGISTER OVER HARMONISEREDE MILJØKVALITETSKRAV FOR VANDOMRÅDESPECIFIKKE FORURENENDE STOFFER </w:t>
      </w:r>
    </w:p>
    <w:tbl>
      <w:tblPr>
        <w:tblStyle w:val="TableGrid"/>
        <w:tblW w:w="5000" w:type="pct"/>
        <w:jc w:val="center"/>
        <w:tblLook w:val="04A0" w:firstRow="1" w:lastRow="0" w:firstColumn="1" w:lastColumn="0" w:noHBand="0" w:noVBand="1"/>
      </w:tblPr>
      <w:tblGrid>
        <w:gridCol w:w="642"/>
        <w:gridCol w:w="1678"/>
        <w:gridCol w:w="1684"/>
        <w:gridCol w:w="1287"/>
        <w:gridCol w:w="1287"/>
        <w:gridCol w:w="937"/>
        <w:gridCol w:w="1475"/>
        <w:gridCol w:w="1038"/>
        <w:gridCol w:w="1475"/>
        <w:gridCol w:w="1288"/>
        <w:gridCol w:w="1485"/>
      </w:tblGrid>
      <w:tr w:rsidR="00283CCD" w:rsidRPr="00393250" w14:paraId="0733168A" w14:textId="77777777" w:rsidTr="008C1712">
        <w:trPr>
          <w:jc w:val="center"/>
        </w:trPr>
        <w:tc>
          <w:tcPr>
            <w:tcW w:w="262" w:type="pct"/>
          </w:tcPr>
          <w:p w14:paraId="4035570D" w14:textId="77777777" w:rsidR="00283CCD" w:rsidRPr="00393250" w:rsidRDefault="00283CCD" w:rsidP="00A465AD">
            <w:pPr>
              <w:pStyle w:val="Text1"/>
              <w:ind w:left="0"/>
              <w:rPr>
                <w:noProof/>
                <w:sz w:val="22"/>
              </w:rPr>
            </w:pPr>
            <w:r w:rsidRPr="00393250">
              <w:rPr>
                <w:noProof/>
                <w:sz w:val="22"/>
              </w:rPr>
              <w:t>Nr.</w:t>
            </w:r>
          </w:p>
        </w:tc>
        <w:tc>
          <w:tcPr>
            <w:tcW w:w="557" w:type="pct"/>
          </w:tcPr>
          <w:p w14:paraId="59596FA7" w14:textId="77777777" w:rsidR="00283CCD" w:rsidRPr="00393250" w:rsidRDefault="00283CCD" w:rsidP="00A465AD">
            <w:pPr>
              <w:pStyle w:val="Text1"/>
              <w:ind w:left="0"/>
              <w:jc w:val="left"/>
              <w:rPr>
                <w:noProof/>
                <w:sz w:val="22"/>
              </w:rPr>
            </w:pPr>
            <w:r w:rsidRPr="00393250">
              <w:rPr>
                <w:noProof/>
                <w:sz w:val="22"/>
              </w:rPr>
              <w:t>Stoffets navn</w:t>
            </w:r>
          </w:p>
        </w:tc>
        <w:tc>
          <w:tcPr>
            <w:tcW w:w="627" w:type="pct"/>
          </w:tcPr>
          <w:p w14:paraId="571D4304" w14:textId="77777777" w:rsidR="00283CCD" w:rsidRPr="00393250" w:rsidRDefault="00283CCD" w:rsidP="00A465AD">
            <w:pPr>
              <w:pStyle w:val="Text1"/>
              <w:ind w:left="0"/>
              <w:rPr>
                <w:noProof/>
                <w:sz w:val="22"/>
              </w:rPr>
            </w:pPr>
            <w:r w:rsidRPr="00393250">
              <w:rPr>
                <w:noProof/>
                <w:sz w:val="22"/>
              </w:rPr>
              <w:t>Kategori af stoffer</w:t>
            </w:r>
          </w:p>
        </w:tc>
        <w:tc>
          <w:tcPr>
            <w:tcW w:w="488" w:type="pct"/>
          </w:tcPr>
          <w:p w14:paraId="18A0D921" w14:textId="77777777" w:rsidR="00283CCD" w:rsidRPr="00393250" w:rsidRDefault="00283CCD" w:rsidP="00A465AD">
            <w:pPr>
              <w:pStyle w:val="Text1"/>
              <w:ind w:left="0"/>
              <w:rPr>
                <w:noProof/>
                <w:sz w:val="22"/>
              </w:rPr>
            </w:pPr>
            <w:r w:rsidRPr="00393250">
              <w:rPr>
                <w:noProof/>
                <w:sz w:val="22"/>
              </w:rPr>
              <w:t>CAS-nummer (</w:t>
            </w:r>
            <w:r w:rsidRPr="00393250">
              <w:rPr>
                <w:noProof/>
                <w:sz w:val="22"/>
                <w:vertAlign w:val="superscript"/>
              </w:rPr>
              <w:t>1</w:t>
            </w:r>
            <w:r w:rsidRPr="00393250">
              <w:rPr>
                <w:noProof/>
                <w:sz w:val="22"/>
              </w:rPr>
              <w:t>)</w:t>
            </w:r>
          </w:p>
        </w:tc>
        <w:tc>
          <w:tcPr>
            <w:tcW w:w="488" w:type="pct"/>
          </w:tcPr>
          <w:p w14:paraId="6DB6974F" w14:textId="77777777" w:rsidR="00283CCD" w:rsidRPr="00393250" w:rsidRDefault="00283CCD" w:rsidP="00A465AD">
            <w:pPr>
              <w:spacing w:before="40" w:after="40"/>
              <w:rPr>
                <w:noProof/>
                <w:sz w:val="22"/>
              </w:rPr>
            </w:pPr>
            <w:r w:rsidRPr="00393250">
              <w:rPr>
                <w:noProof/>
                <w:sz w:val="22"/>
              </w:rPr>
              <w:t>EU-nummer (</w:t>
            </w:r>
            <w:r w:rsidRPr="00393250">
              <w:rPr>
                <w:noProof/>
                <w:sz w:val="22"/>
                <w:vertAlign w:val="superscript"/>
              </w:rPr>
              <w:t>2</w:t>
            </w:r>
            <w:r w:rsidRPr="00393250">
              <w:rPr>
                <w:noProof/>
                <w:sz w:val="22"/>
              </w:rPr>
              <w:t>)</w:t>
            </w:r>
          </w:p>
        </w:tc>
        <w:tc>
          <w:tcPr>
            <w:tcW w:w="348" w:type="pct"/>
          </w:tcPr>
          <w:p w14:paraId="10D7A71D" w14:textId="77777777" w:rsidR="00283CCD" w:rsidRPr="00393250" w:rsidRDefault="00283CCD" w:rsidP="00A465AD">
            <w:pPr>
              <w:spacing w:before="40" w:after="40"/>
              <w:rPr>
                <w:noProof/>
                <w:sz w:val="22"/>
              </w:rPr>
            </w:pPr>
            <w:r w:rsidRPr="00393250">
              <w:rPr>
                <w:noProof/>
                <w:sz w:val="22"/>
              </w:rPr>
              <w:t>AA-EQS (</w:t>
            </w:r>
            <w:r w:rsidRPr="00393250">
              <w:rPr>
                <w:noProof/>
                <w:sz w:val="22"/>
                <w:vertAlign w:val="superscript"/>
              </w:rPr>
              <w:t>3</w:t>
            </w:r>
            <w:r w:rsidRPr="00393250">
              <w:rPr>
                <w:noProof/>
                <w:sz w:val="22"/>
              </w:rPr>
              <w:t xml:space="preserve">) </w:t>
            </w:r>
          </w:p>
          <w:p w14:paraId="3C32CF4A" w14:textId="77777777" w:rsidR="00283CCD" w:rsidRPr="00393250" w:rsidRDefault="00283CCD" w:rsidP="00A465AD">
            <w:pPr>
              <w:spacing w:before="40" w:after="40"/>
              <w:rPr>
                <w:noProof/>
                <w:sz w:val="22"/>
              </w:rPr>
            </w:pPr>
            <w:r w:rsidRPr="00393250">
              <w:rPr>
                <w:noProof/>
                <w:sz w:val="22"/>
              </w:rPr>
              <w:t>Indvand (</w:t>
            </w:r>
            <w:r w:rsidRPr="00393250">
              <w:rPr>
                <w:noProof/>
                <w:sz w:val="22"/>
                <w:vertAlign w:val="superscript"/>
              </w:rPr>
              <w:t>4</w:t>
            </w:r>
            <w:r w:rsidRPr="00393250">
              <w:rPr>
                <w:noProof/>
                <w:sz w:val="22"/>
              </w:rPr>
              <w:t>)</w:t>
            </w:r>
          </w:p>
          <w:p w14:paraId="044715DD" w14:textId="77777777" w:rsidR="00283CCD" w:rsidRPr="00393250" w:rsidRDefault="00283CCD" w:rsidP="00A465AD">
            <w:pPr>
              <w:pStyle w:val="Text1"/>
              <w:ind w:left="0"/>
              <w:rPr>
                <w:noProof/>
                <w:sz w:val="22"/>
              </w:rPr>
            </w:pPr>
            <w:r w:rsidRPr="00393250">
              <w:rPr>
                <w:noProof/>
                <w:sz w:val="22"/>
              </w:rPr>
              <w:t>[µg/l]</w:t>
            </w:r>
          </w:p>
        </w:tc>
        <w:tc>
          <w:tcPr>
            <w:tcW w:w="348" w:type="pct"/>
          </w:tcPr>
          <w:p w14:paraId="361E79CE" w14:textId="77777777" w:rsidR="00283CCD" w:rsidRPr="00393250" w:rsidRDefault="00283CCD" w:rsidP="00A465AD">
            <w:pPr>
              <w:spacing w:before="40" w:after="40"/>
              <w:rPr>
                <w:noProof/>
                <w:sz w:val="22"/>
                <w:vertAlign w:val="superscript"/>
              </w:rPr>
            </w:pPr>
            <w:r w:rsidRPr="00393250">
              <w:rPr>
                <w:noProof/>
                <w:sz w:val="22"/>
              </w:rPr>
              <w:t>AA-EQS (</w:t>
            </w:r>
            <w:r w:rsidRPr="00393250">
              <w:rPr>
                <w:noProof/>
                <w:sz w:val="22"/>
                <w:vertAlign w:val="superscript"/>
              </w:rPr>
              <w:t>3</w:t>
            </w:r>
            <w:r w:rsidRPr="00393250">
              <w:rPr>
                <w:noProof/>
                <w:sz w:val="22"/>
              </w:rPr>
              <w:t>)</w:t>
            </w:r>
          </w:p>
          <w:p w14:paraId="4A33A85B" w14:textId="77777777" w:rsidR="00283CCD" w:rsidRPr="00393250" w:rsidRDefault="00283CCD" w:rsidP="00A465AD">
            <w:pPr>
              <w:spacing w:before="40" w:after="40"/>
              <w:rPr>
                <w:noProof/>
                <w:sz w:val="22"/>
              </w:rPr>
            </w:pPr>
            <w:r w:rsidRPr="00393250">
              <w:rPr>
                <w:noProof/>
                <w:sz w:val="22"/>
              </w:rPr>
              <w:t xml:space="preserve">Andet overfladevand </w:t>
            </w:r>
          </w:p>
          <w:p w14:paraId="3ACE80B4" w14:textId="77777777" w:rsidR="00283CCD" w:rsidRPr="00393250" w:rsidRDefault="00283CCD" w:rsidP="00A465AD">
            <w:pPr>
              <w:pStyle w:val="Text1"/>
              <w:ind w:left="0"/>
              <w:rPr>
                <w:noProof/>
                <w:sz w:val="22"/>
              </w:rPr>
            </w:pPr>
            <w:r w:rsidRPr="00393250">
              <w:rPr>
                <w:noProof/>
                <w:sz w:val="22"/>
              </w:rPr>
              <w:t>[µg/l]</w:t>
            </w:r>
          </w:p>
        </w:tc>
        <w:tc>
          <w:tcPr>
            <w:tcW w:w="418" w:type="pct"/>
          </w:tcPr>
          <w:p w14:paraId="1F2C4479" w14:textId="77777777" w:rsidR="00283CCD" w:rsidRPr="00393250" w:rsidRDefault="00283CCD" w:rsidP="00A465AD">
            <w:pPr>
              <w:spacing w:before="40" w:after="40"/>
              <w:rPr>
                <w:noProof/>
                <w:sz w:val="22"/>
              </w:rPr>
            </w:pPr>
            <w:r w:rsidRPr="00393250">
              <w:rPr>
                <w:noProof/>
                <w:sz w:val="22"/>
              </w:rPr>
              <w:t>MAC-EQS (</w:t>
            </w:r>
            <w:r w:rsidRPr="00393250">
              <w:rPr>
                <w:noProof/>
                <w:sz w:val="22"/>
                <w:vertAlign w:val="superscript"/>
              </w:rPr>
              <w:t>5</w:t>
            </w:r>
            <w:r w:rsidRPr="00393250">
              <w:rPr>
                <w:noProof/>
                <w:sz w:val="22"/>
              </w:rPr>
              <w:t xml:space="preserve">) </w:t>
            </w:r>
          </w:p>
          <w:p w14:paraId="004B8996" w14:textId="77777777" w:rsidR="00283CCD" w:rsidRPr="00393250" w:rsidRDefault="00283CCD" w:rsidP="00A465AD">
            <w:pPr>
              <w:spacing w:before="40" w:after="40"/>
              <w:rPr>
                <w:noProof/>
                <w:sz w:val="22"/>
                <w:vertAlign w:val="superscript"/>
              </w:rPr>
            </w:pPr>
            <w:r w:rsidRPr="00393250">
              <w:rPr>
                <w:noProof/>
                <w:sz w:val="22"/>
              </w:rPr>
              <w:t>Indvand (</w:t>
            </w:r>
            <w:r w:rsidRPr="00393250">
              <w:rPr>
                <w:noProof/>
                <w:sz w:val="22"/>
                <w:vertAlign w:val="superscript"/>
              </w:rPr>
              <w:t>4</w:t>
            </w:r>
            <w:r w:rsidRPr="00393250">
              <w:rPr>
                <w:noProof/>
                <w:sz w:val="22"/>
              </w:rPr>
              <w:t>)</w:t>
            </w:r>
          </w:p>
          <w:p w14:paraId="6CE9F8BC" w14:textId="77777777" w:rsidR="00283CCD" w:rsidRPr="00393250" w:rsidRDefault="00283CCD" w:rsidP="00A465AD">
            <w:pPr>
              <w:spacing w:before="40" w:after="40"/>
              <w:rPr>
                <w:noProof/>
                <w:sz w:val="22"/>
                <w:vertAlign w:val="superscript"/>
              </w:rPr>
            </w:pPr>
            <w:r w:rsidRPr="00393250">
              <w:rPr>
                <w:noProof/>
                <w:sz w:val="22"/>
              </w:rPr>
              <w:t xml:space="preserve"> </w:t>
            </w:r>
          </w:p>
          <w:p w14:paraId="66F83BCF" w14:textId="77777777" w:rsidR="00283CCD" w:rsidRPr="00393250" w:rsidRDefault="00283CCD" w:rsidP="00A465AD">
            <w:pPr>
              <w:pStyle w:val="Text1"/>
              <w:ind w:left="0"/>
              <w:rPr>
                <w:noProof/>
                <w:sz w:val="22"/>
              </w:rPr>
            </w:pPr>
            <w:r w:rsidRPr="00393250">
              <w:rPr>
                <w:noProof/>
                <w:sz w:val="22"/>
              </w:rPr>
              <w:t>[µg/l]</w:t>
            </w:r>
          </w:p>
        </w:tc>
        <w:tc>
          <w:tcPr>
            <w:tcW w:w="418" w:type="pct"/>
          </w:tcPr>
          <w:p w14:paraId="5C1B51A2" w14:textId="77777777" w:rsidR="00283CCD" w:rsidRPr="00393250" w:rsidRDefault="00283CCD" w:rsidP="00A465AD">
            <w:pPr>
              <w:spacing w:before="40" w:after="40"/>
              <w:rPr>
                <w:noProof/>
                <w:sz w:val="22"/>
              </w:rPr>
            </w:pPr>
            <w:r w:rsidRPr="00393250">
              <w:rPr>
                <w:noProof/>
                <w:sz w:val="22"/>
              </w:rPr>
              <w:t>MAC-EQS (</w:t>
            </w:r>
            <w:r w:rsidRPr="00393250">
              <w:rPr>
                <w:noProof/>
                <w:sz w:val="22"/>
                <w:vertAlign w:val="superscript"/>
              </w:rPr>
              <w:t>5</w:t>
            </w:r>
            <w:r w:rsidRPr="00393250">
              <w:rPr>
                <w:noProof/>
                <w:sz w:val="22"/>
              </w:rPr>
              <w:t>)</w:t>
            </w:r>
          </w:p>
          <w:p w14:paraId="1F17A119" w14:textId="77777777" w:rsidR="00283CCD" w:rsidRPr="00393250" w:rsidRDefault="00283CCD" w:rsidP="00A465AD">
            <w:pPr>
              <w:spacing w:before="40" w:after="40"/>
              <w:rPr>
                <w:noProof/>
                <w:sz w:val="22"/>
              </w:rPr>
            </w:pPr>
            <w:r w:rsidRPr="00393250">
              <w:rPr>
                <w:noProof/>
                <w:sz w:val="22"/>
              </w:rPr>
              <w:t>Andet overfladevand</w:t>
            </w:r>
          </w:p>
          <w:p w14:paraId="688C0F7A" w14:textId="77777777" w:rsidR="00283CCD" w:rsidRPr="00393250" w:rsidRDefault="00283CCD" w:rsidP="00A465AD">
            <w:pPr>
              <w:pStyle w:val="Text1"/>
              <w:ind w:left="0"/>
              <w:rPr>
                <w:noProof/>
                <w:sz w:val="22"/>
              </w:rPr>
            </w:pPr>
            <w:r w:rsidRPr="00393250">
              <w:rPr>
                <w:noProof/>
                <w:sz w:val="22"/>
              </w:rPr>
              <w:t>[µg/l]</w:t>
            </w:r>
          </w:p>
        </w:tc>
        <w:tc>
          <w:tcPr>
            <w:tcW w:w="488" w:type="pct"/>
            <w:tcBorders>
              <w:right w:val="single" w:sz="4" w:space="0" w:color="auto"/>
            </w:tcBorders>
          </w:tcPr>
          <w:p w14:paraId="603A9B87" w14:textId="77777777" w:rsidR="00283CCD" w:rsidRPr="00393250" w:rsidRDefault="00283CCD" w:rsidP="00A465AD">
            <w:pPr>
              <w:spacing w:before="40" w:after="40"/>
              <w:rPr>
                <w:noProof/>
                <w:sz w:val="22"/>
              </w:rPr>
            </w:pPr>
            <w:r w:rsidRPr="00393250">
              <w:rPr>
                <w:noProof/>
                <w:sz w:val="22"/>
              </w:rPr>
              <w:t>EQS</w:t>
            </w:r>
          </w:p>
          <w:p w14:paraId="436D6C93" w14:textId="77777777" w:rsidR="00283CCD" w:rsidRPr="00393250" w:rsidRDefault="00283CCD" w:rsidP="00A465AD">
            <w:pPr>
              <w:spacing w:before="40" w:after="40"/>
              <w:rPr>
                <w:noProof/>
                <w:sz w:val="22"/>
              </w:rPr>
            </w:pPr>
            <w:r w:rsidRPr="00393250">
              <w:rPr>
                <w:noProof/>
                <w:sz w:val="22"/>
              </w:rPr>
              <w:t>Biota (</w:t>
            </w:r>
            <w:r w:rsidRPr="00393250">
              <w:rPr>
                <w:noProof/>
                <w:sz w:val="22"/>
                <w:vertAlign w:val="superscript"/>
              </w:rPr>
              <w:t>6</w:t>
            </w:r>
            <w:r w:rsidRPr="00393250">
              <w:rPr>
                <w:noProof/>
                <w:sz w:val="22"/>
              </w:rPr>
              <w:t>)</w:t>
            </w:r>
          </w:p>
          <w:p w14:paraId="57EB17C5" w14:textId="77777777" w:rsidR="00283CCD" w:rsidRPr="00393250" w:rsidRDefault="00283CCD" w:rsidP="00A465AD">
            <w:pPr>
              <w:pStyle w:val="Text1"/>
              <w:ind w:left="0"/>
              <w:rPr>
                <w:noProof/>
                <w:sz w:val="22"/>
              </w:rPr>
            </w:pPr>
            <w:r w:rsidRPr="00393250">
              <w:rPr>
                <w:noProof/>
                <w:sz w:val="22"/>
              </w:rPr>
              <w:t>[µg/kg våd vægt] eller EQS Sediment, hvis dette er angivet [µg /kg tør vægt]</w:t>
            </w:r>
          </w:p>
        </w:tc>
        <w:tc>
          <w:tcPr>
            <w:tcW w:w="557" w:type="pct"/>
            <w:tcBorders>
              <w:right w:val="single" w:sz="4" w:space="0" w:color="auto"/>
            </w:tcBorders>
          </w:tcPr>
          <w:p w14:paraId="70FBCEA2" w14:textId="77777777" w:rsidR="00283CCD" w:rsidRPr="00393250" w:rsidRDefault="00283CCD" w:rsidP="00A465AD">
            <w:pPr>
              <w:spacing w:before="40" w:after="40"/>
              <w:rPr>
                <w:noProof/>
                <w:sz w:val="22"/>
              </w:rPr>
            </w:pPr>
          </w:p>
        </w:tc>
      </w:tr>
      <w:tr w:rsidR="00283CCD" w:rsidRPr="00393250" w14:paraId="5C76EE5C" w14:textId="77777777" w:rsidTr="008C1712">
        <w:trPr>
          <w:jc w:val="center"/>
        </w:trPr>
        <w:tc>
          <w:tcPr>
            <w:tcW w:w="262" w:type="pct"/>
          </w:tcPr>
          <w:p w14:paraId="4DF45F02" w14:textId="77777777" w:rsidR="00283CCD" w:rsidRPr="00393250" w:rsidRDefault="00283CCD" w:rsidP="00A465AD">
            <w:pPr>
              <w:pStyle w:val="Text1"/>
              <w:ind w:left="0"/>
              <w:rPr>
                <w:noProof/>
                <w:sz w:val="22"/>
              </w:rPr>
            </w:pPr>
            <w:r w:rsidRPr="00393250">
              <w:rPr>
                <w:noProof/>
                <w:sz w:val="22"/>
              </w:rPr>
              <w:t>1</w:t>
            </w:r>
          </w:p>
        </w:tc>
        <w:tc>
          <w:tcPr>
            <w:tcW w:w="557" w:type="pct"/>
            <w:tcMar>
              <w:left w:w="57" w:type="dxa"/>
              <w:right w:w="57" w:type="dxa"/>
            </w:tcMar>
          </w:tcPr>
          <w:p w14:paraId="32EDB661" w14:textId="77777777" w:rsidR="00283CCD" w:rsidRPr="00393250" w:rsidRDefault="00283CCD" w:rsidP="00A465AD">
            <w:pPr>
              <w:pStyle w:val="Text1"/>
              <w:ind w:left="0"/>
              <w:jc w:val="left"/>
              <w:rPr>
                <w:noProof/>
                <w:sz w:val="22"/>
              </w:rPr>
            </w:pPr>
            <w:r w:rsidRPr="00393250">
              <w:rPr>
                <w:noProof/>
                <w:sz w:val="22"/>
              </w:rPr>
              <w:t>Alachlor (</w:t>
            </w:r>
            <w:r w:rsidRPr="00393250">
              <w:rPr>
                <w:noProof/>
                <w:sz w:val="22"/>
                <w:vertAlign w:val="superscript"/>
              </w:rPr>
              <w:t>7</w:t>
            </w:r>
            <w:r w:rsidRPr="00393250">
              <w:rPr>
                <w:noProof/>
                <w:sz w:val="22"/>
              </w:rPr>
              <w:t>)</w:t>
            </w:r>
          </w:p>
        </w:tc>
        <w:tc>
          <w:tcPr>
            <w:tcW w:w="627" w:type="pct"/>
          </w:tcPr>
          <w:p w14:paraId="647A7B3B" w14:textId="77777777" w:rsidR="00283CCD" w:rsidRPr="00393250" w:rsidRDefault="00283CCD" w:rsidP="00A465AD">
            <w:pPr>
              <w:pStyle w:val="Text1"/>
              <w:ind w:left="0"/>
              <w:rPr>
                <w:noProof/>
                <w:sz w:val="22"/>
              </w:rPr>
            </w:pPr>
            <w:r w:rsidRPr="00393250">
              <w:rPr>
                <w:noProof/>
                <w:sz w:val="22"/>
              </w:rPr>
              <w:t>Pesticider</w:t>
            </w:r>
          </w:p>
        </w:tc>
        <w:tc>
          <w:tcPr>
            <w:tcW w:w="488" w:type="pct"/>
            <w:tcMar>
              <w:left w:w="28" w:type="dxa"/>
              <w:right w:w="28" w:type="dxa"/>
            </w:tcMar>
          </w:tcPr>
          <w:p w14:paraId="49D67806" w14:textId="77777777" w:rsidR="00283CCD" w:rsidRPr="00393250" w:rsidRDefault="00283CCD" w:rsidP="00A465AD">
            <w:pPr>
              <w:pStyle w:val="Text1"/>
              <w:ind w:left="0"/>
              <w:rPr>
                <w:noProof/>
                <w:sz w:val="22"/>
              </w:rPr>
            </w:pPr>
            <w:r w:rsidRPr="00393250">
              <w:rPr>
                <w:noProof/>
                <w:sz w:val="22"/>
              </w:rPr>
              <w:t>15972-60-8</w:t>
            </w:r>
          </w:p>
        </w:tc>
        <w:tc>
          <w:tcPr>
            <w:tcW w:w="488" w:type="pct"/>
          </w:tcPr>
          <w:p w14:paraId="43C7661B" w14:textId="77777777" w:rsidR="00283CCD" w:rsidRPr="00393250" w:rsidRDefault="00283CCD" w:rsidP="00A465AD">
            <w:pPr>
              <w:pStyle w:val="Text1"/>
              <w:ind w:left="0"/>
              <w:rPr>
                <w:noProof/>
                <w:sz w:val="22"/>
              </w:rPr>
            </w:pPr>
            <w:r w:rsidRPr="00393250">
              <w:rPr>
                <w:noProof/>
                <w:sz w:val="22"/>
              </w:rPr>
              <w:t>240-110-8</w:t>
            </w:r>
          </w:p>
        </w:tc>
        <w:tc>
          <w:tcPr>
            <w:tcW w:w="348" w:type="pct"/>
          </w:tcPr>
          <w:p w14:paraId="53A4F12D" w14:textId="77777777" w:rsidR="00283CCD" w:rsidRPr="00393250" w:rsidRDefault="00283CCD" w:rsidP="00A465AD">
            <w:pPr>
              <w:pStyle w:val="Text1"/>
              <w:ind w:left="0"/>
              <w:rPr>
                <w:noProof/>
                <w:sz w:val="22"/>
              </w:rPr>
            </w:pPr>
            <w:r w:rsidRPr="00393250">
              <w:rPr>
                <w:noProof/>
                <w:sz w:val="22"/>
              </w:rPr>
              <w:t>0,3</w:t>
            </w:r>
          </w:p>
        </w:tc>
        <w:tc>
          <w:tcPr>
            <w:tcW w:w="348" w:type="pct"/>
          </w:tcPr>
          <w:p w14:paraId="79C51D3E" w14:textId="77777777" w:rsidR="00283CCD" w:rsidRPr="00393250" w:rsidRDefault="00283CCD" w:rsidP="00A465AD">
            <w:pPr>
              <w:pStyle w:val="Text1"/>
              <w:ind w:left="0"/>
              <w:rPr>
                <w:noProof/>
                <w:sz w:val="22"/>
              </w:rPr>
            </w:pPr>
            <w:r w:rsidRPr="00393250">
              <w:rPr>
                <w:noProof/>
                <w:sz w:val="22"/>
              </w:rPr>
              <w:t>0,3</w:t>
            </w:r>
          </w:p>
        </w:tc>
        <w:tc>
          <w:tcPr>
            <w:tcW w:w="418" w:type="pct"/>
          </w:tcPr>
          <w:p w14:paraId="19FFC1D2" w14:textId="77777777" w:rsidR="00283CCD" w:rsidRPr="00393250" w:rsidRDefault="00283CCD" w:rsidP="00A465AD">
            <w:pPr>
              <w:pStyle w:val="Text1"/>
              <w:ind w:left="0"/>
              <w:rPr>
                <w:noProof/>
                <w:sz w:val="22"/>
              </w:rPr>
            </w:pPr>
            <w:r w:rsidRPr="00393250">
              <w:rPr>
                <w:noProof/>
                <w:sz w:val="22"/>
              </w:rPr>
              <w:t>0,7</w:t>
            </w:r>
          </w:p>
        </w:tc>
        <w:tc>
          <w:tcPr>
            <w:tcW w:w="418" w:type="pct"/>
          </w:tcPr>
          <w:p w14:paraId="03BB5728" w14:textId="77777777" w:rsidR="00283CCD" w:rsidRPr="00393250" w:rsidRDefault="00283CCD" w:rsidP="00A465AD">
            <w:pPr>
              <w:pStyle w:val="Text1"/>
              <w:ind w:left="0"/>
              <w:rPr>
                <w:noProof/>
                <w:sz w:val="22"/>
              </w:rPr>
            </w:pPr>
            <w:r w:rsidRPr="00393250">
              <w:rPr>
                <w:noProof/>
                <w:sz w:val="22"/>
              </w:rPr>
              <w:t>0,7</w:t>
            </w:r>
          </w:p>
        </w:tc>
        <w:tc>
          <w:tcPr>
            <w:tcW w:w="488" w:type="pct"/>
          </w:tcPr>
          <w:p w14:paraId="450B400B" w14:textId="77777777" w:rsidR="00283CCD" w:rsidRPr="00393250" w:rsidRDefault="00283CCD" w:rsidP="00A465AD">
            <w:pPr>
              <w:pStyle w:val="Text1"/>
              <w:ind w:left="0"/>
              <w:rPr>
                <w:noProof/>
                <w:sz w:val="22"/>
              </w:rPr>
            </w:pPr>
          </w:p>
        </w:tc>
        <w:tc>
          <w:tcPr>
            <w:tcW w:w="557" w:type="pct"/>
          </w:tcPr>
          <w:p w14:paraId="5BA4CDC5" w14:textId="77777777" w:rsidR="00283CCD" w:rsidRPr="00393250" w:rsidRDefault="00283CCD" w:rsidP="00A465AD">
            <w:pPr>
              <w:pStyle w:val="Text1"/>
              <w:ind w:left="0"/>
              <w:rPr>
                <w:noProof/>
                <w:sz w:val="22"/>
              </w:rPr>
            </w:pPr>
          </w:p>
        </w:tc>
      </w:tr>
      <w:tr w:rsidR="00283CCD" w:rsidRPr="00393250" w14:paraId="4ED40E07" w14:textId="77777777" w:rsidTr="008C1712">
        <w:trPr>
          <w:jc w:val="center"/>
        </w:trPr>
        <w:tc>
          <w:tcPr>
            <w:tcW w:w="262" w:type="pct"/>
          </w:tcPr>
          <w:p w14:paraId="59A3198F" w14:textId="77777777" w:rsidR="00283CCD" w:rsidRPr="00393250" w:rsidRDefault="00283CCD" w:rsidP="00A465AD">
            <w:pPr>
              <w:pStyle w:val="Text1"/>
              <w:ind w:left="0"/>
              <w:rPr>
                <w:noProof/>
                <w:sz w:val="22"/>
              </w:rPr>
            </w:pPr>
            <w:r w:rsidRPr="00393250">
              <w:rPr>
                <w:noProof/>
                <w:sz w:val="22"/>
              </w:rPr>
              <w:t>2</w:t>
            </w:r>
          </w:p>
        </w:tc>
        <w:tc>
          <w:tcPr>
            <w:tcW w:w="557" w:type="pct"/>
            <w:tcMar>
              <w:left w:w="57" w:type="dxa"/>
              <w:right w:w="57" w:type="dxa"/>
            </w:tcMar>
          </w:tcPr>
          <w:p w14:paraId="6118707E" w14:textId="77777777" w:rsidR="00283CCD" w:rsidRPr="00393250" w:rsidRDefault="00283CCD" w:rsidP="00A465AD">
            <w:pPr>
              <w:pStyle w:val="Text1"/>
              <w:ind w:left="0"/>
              <w:jc w:val="left"/>
              <w:rPr>
                <w:noProof/>
                <w:sz w:val="22"/>
              </w:rPr>
            </w:pPr>
            <w:r w:rsidRPr="00393250">
              <w:rPr>
                <w:noProof/>
                <w:sz w:val="22"/>
              </w:rPr>
              <w:t>Carbontetraklorid (</w:t>
            </w:r>
            <w:r w:rsidRPr="00393250">
              <w:rPr>
                <w:noProof/>
                <w:sz w:val="22"/>
                <w:vertAlign w:val="superscript"/>
              </w:rPr>
              <w:t>7</w:t>
            </w:r>
            <w:r w:rsidRPr="00393250">
              <w:rPr>
                <w:noProof/>
                <w:sz w:val="22"/>
              </w:rPr>
              <w:t>)</w:t>
            </w:r>
          </w:p>
        </w:tc>
        <w:tc>
          <w:tcPr>
            <w:tcW w:w="627" w:type="pct"/>
          </w:tcPr>
          <w:p w14:paraId="01A0810C" w14:textId="77777777" w:rsidR="00283CCD" w:rsidRPr="00393250" w:rsidRDefault="00283CCD" w:rsidP="00A465AD">
            <w:pPr>
              <w:pStyle w:val="Text1"/>
              <w:ind w:left="0"/>
              <w:rPr>
                <w:noProof/>
                <w:sz w:val="22"/>
              </w:rPr>
            </w:pPr>
            <w:r w:rsidRPr="00393250">
              <w:rPr>
                <w:noProof/>
                <w:sz w:val="22"/>
              </w:rPr>
              <w:t>Industri-stoffer</w:t>
            </w:r>
          </w:p>
        </w:tc>
        <w:tc>
          <w:tcPr>
            <w:tcW w:w="488" w:type="pct"/>
            <w:tcMar>
              <w:left w:w="28" w:type="dxa"/>
              <w:right w:w="28" w:type="dxa"/>
            </w:tcMar>
          </w:tcPr>
          <w:p w14:paraId="058352B9" w14:textId="77777777" w:rsidR="00283CCD" w:rsidRPr="00393250" w:rsidRDefault="00283CCD" w:rsidP="00A465AD">
            <w:pPr>
              <w:pStyle w:val="Text1"/>
              <w:ind w:left="0"/>
              <w:rPr>
                <w:noProof/>
                <w:sz w:val="22"/>
              </w:rPr>
            </w:pPr>
            <w:r w:rsidRPr="00393250">
              <w:rPr>
                <w:noProof/>
                <w:sz w:val="22"/>
              </w:rPr>
              <w:t>56-23-5</w:t>
            </w:r>
          </w:p>
        </w:tc>
        <w:tc>
          <w:tcPr>
            <w:tcW w:w="488" w:type="pct"/>
          </w:tcPr>
          <w:p w14:paraId="1A0940E0" w14:textId="77777777" w:rsidR="00283CCD" w:rsidRPr="00393250" w:rsidRDefault="00283CCD" w:rsidP="00A465AD">
            <w:pPr>
              <w:pStyle w:val="Text1"/>
              <w:ind w:left="0"/>
              <w:rPr>
                <w:noProof/>
                <w:sz w:val="22"/>
              </w:rPr>
            </w:pPr>
            <w:r w:rsidRPr="00393250">
              <w:rPr>
                <w:noProof/>
                <w:sz w:val="22"/>
              </w:rPr>
              <w:t>200-262-8</w:t>
            </w:r>
          </w:p>
        </w:tc>
        <w:tc>
          <w:tcPr>
            <w:tcW w:w="348" w:type="pct"/>
          </w:tcPr>
          <w:p w14:paraId="700AA327" w14:textId="77777777" w:rsidR="00283CCD" w:rsidRPr="00393250" w:rsidRDefault="00283CCD" w:rsidP="00A465AD">
            <w:pPr>
              <w:pStyle w:val="Text1"/>
              <w:ind w:left="0"/>
              <w:rPr>
                <w:noProof/>
                <w:sz w:val="22"/>
              </w:rPr>
            </w:pPr>
            <w:r w:rsidRPr="00393250">
              <w:rPr>
                <w:noProof/>
                <w:sz w:val="22"/>
              </w:rPr>
              <w:t xml:space="preserve">12 </w:t>
            </w:r>
          </w:p>
        </w:tc>
        <w:tc>
          <w:tcPr>
            <w:tcW w:w="348" w:type="pct"/>
          </w:tcPr>
          <w:p w14:paraId="6321FE91" w14:textId="77777777" w:rsidR="00283CCD" w:rsidRPr="00393250" w:rsidRDefault="00283CCD" w:rsidP="00A465AD">
            <w:pPr>
              <w:pStyle w:val="Text1"/>
              <w:ind w:left="0"/>
              <w:rPr>
                <w:noProof/>
                <w:sz w:val="22"/>
              </w:rPr>
            </w:pPr>
            <w:r w:rsidRPr="00393250">
              <w:rPr>
                <w:noProof/>
                <w:sz w:val="22"/>
              </w:rPr>
              <w:t>12</w:t>
            </w:r>
          </w:p>
        </w:tc>
        <w:tc>
          <w:tcPr>
            <w:tcW w:w="418" w:type="pct"/>
          </w:tcPr>
          <w:p w14:paraId="2A2FE635" w14:textId="77777777" w:rsidR="00283CCD" w:rsidRPr="00393250" w:rsidRDefault="00283CCD" w:rsidP="00A465AD">
            <w:pPr>
              <w:pStyle w:val="Text1"/>
              <w:ind w:left="0"/>
              <w:rPr>
                <w:noProof/>
                <w:sz w:val="22"/>
              </w:rPr>
            </w:pPr>
            <w:r w:rsidRPr="00393250">
              <w:rPr>
                <w:noProof/>
                <w:sz w:val="22"/>
              </w:rPr>
              <w:t>An-ven-des ikke</w:t>
            </w:r>
          </w:p>
        </w:tc>
        <w:tc>
          <w:tcPr>
            <w:tcW w:w="418" w:type="pct"/>
          </w:tcPr>
          <w:p w14:paraId="0A9F3774" w14:textId="77777777" w:rsidR="00283CCD" w:rsidRPr="00393250" w:rsidRDefault="00283CCD" w:rsidP="00A465AD">
            <w:pPr>
              <w:pStyle w:val="Text1"/>
              <w:ind w:left="0"/>
              <w:rPr>
                <w:noProof/>
                <w:sz w:val="22"/>
              </w:rPr>
            </w:pPr>
            <w:r w:rsidRPr="00393250">
              <w:rPr>
                <w:noProof/>
                <w:sz w:val="22"/>
              </w:rPr>
              <w:t>An-ven-des ikke</w:t>
            </w:r>
          </w:p>
        </w:tc>
        <w:tc>
          <w:tcPr>
            <w:tcW w:w="488" w:type="pct"/>
          </w:tcPr>
          <w:p w14:paraId="191F1976" w14:textId="77777777" w:rsidR="00283CCD" w:rsidRPr="00393250" w:rsidRDefault="00283CCD" w:rsidP="00A465AD">
            <w:pPr>
              <w:pStyle w:val="Text1"/>
              <w:ind w:left="0"/>
              <w:rPr>
                <w:noProof/>
                <w:sz w:val="22"/>
              </w:rPr>
            </w:pPr>
          </w:p>
        </w:tc>
        <w:tc>
          <w:tcPr>
            <w:tcW w:w="557" w:type="pct"/>
          </w:tcPr>
          <w:p w14:paraId="59207FCF" w14:textId="77777777" w:rsidR="00283CCD" w:rsidRPr="00393250" w:rsidRDefault="00283CCD" w:rsidP="00A465AD">
            <w:pPr>
              <w:pStyle w:val="Text1"/>
              <w:ind w:left="0"/>
              <w:rPr>
                <w:noProof/>
                <w:sz w:val="22"/>
              </w:rPr>
            </w:pPr>
          </w:p>
        </w:tc>
      </w:tr>
      <w:tr w:rsidR="00283CCD" w:rsidRPr="00393250" w14:paraId="3825BE16" w14:textId="77777777" w:rsidTr="008C1712">
        <w:trPr>
          <w:jc w:val="center"/>
        </w:trPr>
        <w:tc>
          <w:tcPr>
            <w:tcW w:w="262" w:type="pct"/>
          </w:tcPr>
          <w:p w14:paraId="382AF69D" w14:textId="77777777" w:rsidR="00283CCD" w:rsidRPr="00393250" w:rsidRDefault="00283CCD" w:rsidP="00A465AD">
            <w:pPr>
              <w:pStyle w:val="Text1"/>
              <w:ind w:left="0"/>
              <w:rPr>
                <w:noProof/>
                <w:sz w:val="22"/>
              </w:rPr>
            </w:pPr>
            <w:r w:rsidRPr="00393250">
              <w:rPr>
                <w:noProof/>
                <w:sz w:val="22"/>
              </w:rPr>
              <w:t>3</w:t>
            </w:r>
          </w:p>
        </w:tc>
        <w:tc>
          <w:tcPr>
            <w:tcW w:w="557" w:type="pct"/>
            <w:tcMar>
              <w:left w:w="57" w:type="dxa"/>
              <w:right w:w="57" w:type="dxa"/>
            </w:tcMar>
          </w:tcPr>
          <w:p w14:paraId="6343B73B" w14:textId="77777777" w:rsidR="00283CCD" w:rsidRPr="00393250" w:rsidRDefault="00283CCD" w:rsidP="00A465AD">
            <w:pPr>
              <w:pStyle w:val="Text1"/>
              <w:ind w:left="0"/>
              <w:jc w:val="left"/>
              <w:rPr>
                <w:noProof/>
                <w:sz w:val="22"/>
              </w:rPr>
            </w:pPr>
            <w:r w:rsidRPr="00393250">
              <w:rPr>
                <w:noProof/>
                <w:sz w:val="22"/>
              </w:rPr>
              <w:t>Chlorfen-vinphos (</w:t>
            </w:r>
            <w:r w:rsidRPr="00393250">
              <w:rPr>
                <w:noProof/>
                <w:sz w:val="22"/>
                <w:vertAlign w:val="superscript"/>
              </w:rPr>
              <w:t>7</w:t>
            </w:r>
            <w:r w:rsidRPr="00393250">
              <w:rPr>
                <w:noProof/>
                <w:sz w:val="22"/>
              </w:rPr>
              <w:t>)</w:t>
            </w:r>
          </w:p>
        </w:tc>
        <w:tc>
          <w:tcPr>
            <w:tcW w:w="627" w:type="pct"/>
          </w:tcPr>
          <w:p w14:paraId="37D9363D" w14:textId="77777777" w:rsidR="00283CCD" w:rsidRPr="00393250" w:rsidRDefault="00283CCD" w:rsidP="00A465AD">
            <w:pPr>
              <w:pStyle w:val="Text1"/>
              <w:ind w:left="0"/>
              <w:rPr>
                <w:noProof/>
                <w:sz w:val="22"/>
              </w:rPr>
            </w:pPr>
            <w:r w:rsidRPr="00393250">
              <w:rPr>
                <w:noProof/>
                <w:sz w:val="22"/>
              </w:rPr>
              <w:t>Pesticider</w:t>
            </w:r>
          </w:p>
        </w:tc>
        <w:tc>
          <w:tcPr>
            <w:tcW w:w="488" w:type="pct"/>
            <w:tcMar>
              <w:left w:w="28" w:type="dxa"/>
              <w:right w:w="28" w:type="dxa"/>
            </w:tcMar>
          </w:tcPr>
          <w:p w14:paraId="230299E7" w14:textId="77777777" w:rsidR="00283CCD" w:rsidRPr="00393250" w:rsidRDefault="00283CCD" w:rsidP="00A465AD">
            <w:pPr>
              <w:pStyle w:val="Text1"/>
              <w:ind w:left="0"/>
              <w:rPr>
                <w:noProof/>
                <w:sz w:val="22"/>
              </w:rPr>
            </w:pPr>
            <w:r w:rsidRPr="00393250">
              <w:rPr>
                <w:noProof/>
                <w:sz w:val="22"/>
              </w:rPr>
              <w:t>470-90-6</w:t>
            </w:r>
          </w:p>
        </w:tc>
        <w:tc>
          <w:tcPr>
            <w:tcW w:w="488" w:type="pct"/>
          </w:tcPr>
          <w:p w14:paraId="35D7014B" w14:textId="77777777" w:rsidR="00283CCD" w:rsidRPr="00393250" w:rsidRDefault="00283CCD" w:rsidP="00A465AD">
            <w:pPr>
              <w:pStyle w:val="Text1"/>
              <w:ind w:left="0"/>
              <w:rPr>
                <w:noProof/>
                <w:sz w:val="22"/>
              </w:rPr>
            </w:pPr>
            <w:r w:rsidRPr="00393250">
              <w:rPr>
                <w:noProof/>
                <w:sz w:val="22"/>
              </w:rPr>
              <w:t>207-432-0</w:t>
            </w:r>
          </w:p>
        </w:tc>
        <w:tc>
          <w:tcPr>
            <w:tcW w:w="348" w:type="pct"/>
          </w:tcPr>
          <w:p w14:paraId="145973F0" w14:textId="77777777" w:rsidR="00283CCD" w:rsidRPr="00393250" w:rsidRDefault="00283CCD" w:rsidP="00A465AD">
            <w:pPr>
              <w:pStyle w:val="Text1"/>
              <w:ind w:left="0"/>
              <w:rPr>
                <w:noProof/>
                <w:sz w:val="22"/>
              </w:rPr>
            </w:pPr>
            <w:r w:rsidRPr="00393250">
              <w:rPr>
                <w:noProof/>
                <w:sz w:val="22"/>
              </w:rPr>
              <w:t>0,1</w:t>
            </w:r>
          </w:p>
        </w:tc>
        <w:tc>
          <w:tcPr>
            <w:tcW w:w="348" w:type="pct"/>
          </w:tcPr>
          <w:p w14:paraId="46C181EC" w14:textId="77777777" w:rsidR="00283CCD" w:rsidRPr="00393250" w:rsidRDefault="00283CCD" w:rsidP="00A465AD">
            <w:pPr>
              <w:pStyle w:val="Text1"/>
              <w:ind w:left="0"/>
              <w:rPr>
                <w:noProof/>
                <w:sz w:val="22"/>
              </w:rPr>
            </w:pPr>
            <w:r w:rsidRPr="00393250">
              <w:rPr>
                <w:noProof/>
                <w:sz w:val="22"/>
              </w:rPr>
              <w:t>0,1</w:t>
            </w:r>
          </w:p>
        </w:tc>
        <w:tc>
          <w:tcPr>
            <w:tcW w:w="418" w:type="pct"/>
          </w:tcPr>
          <w:p w14:paraId="08A21C5F" w14:textId="77777777" w:rsidR="00283CCD" w:rsidRPr="00393250" w:rsidRDefault="00283CCD" w:rsidP="00A465AD">
            <w:pPr>
              <w:pStyle w:val="Text1"/>
              <w:ind w:left="0"/>
              <w:rPr>
                <w:noProof/>
                <w:sz w:val="22"/>
              </w:rPr>
            </w:pPr>
            <w:r w:rsidRPr="00393250">
              <w:rPr>
                <w:noProof/>
                <w:sz w:val="22"/>
              </w:rPr>
              <w:t>0,3</w:t>
            </w:r>
          </w:p>
        </w:tc>
        <w:tc>
          <w:tcPr>
            <w:tcW w:w="418" w:type="pct"/>
          </w:tcPr>
          <w:p w14:paraId="4E270FA0" w14:textId="77777777" w:rsidR="00283CCD" w:rsidRPr="00393250" w:rsidRDefault="00283CCD" w:rsidP="00A465AD">
            <w:pPr>
              <w:pStyle w:val="Text1"/>
              <w:ind w:left="0"/>
              <w:rPr>
                <w:noProof/>
                <w:sz w:val="22"/>
              </w:rPr>
            </w:pPr>
            <w:r w:rsidRPr="00393250">
              <w:rPr>
                <w:noProof/>
                <w:sz w:val="22"/>
              </w:rPr>
              <w:t>0,3</w:t>
            </w:r>
          </w:p>
        </w:tc>
        <w:tc>
          <w:tcPr>
            <w:tcW w:w="488" w:type="pct"/>
          </w:tcPr>
          <w:p w14:paraId="4B8F3FEC" w14:textId="77777777" w:rsidR="00283CCD" w:rsidRPr="00393250" w:rsidRDefault="00283CCD" w:rsidP="00A465AD">
            <w:pPr>
              <w:pStyle w:val="Text1"/>
              <w:ind w:left="0"/>
              <w:rPr>
                <w:noProof/>
                <w:sz w:val="22"/>
              </w:rPr>
            </w:pPr>
          </w:p>
        </w:tc>
        <w:tc>
          <w:tcPr>
            <w:tcW w:w="557" w:type="pct"/>
          </w:tcPr>
          <w:p w14:paraId="51940F8F" w14:textId="77777777" w:rsidR="00283CCD" w:rsidRPr="00393250" w:rsidRDefault="00283CCD" w:rsidP="00A465AD">
            <w:pPr>
              <w:pStyle w:val="Text1"/>
              <w:ind w:left="0"/>
              <w:rPr>
                <w:noProof/>
                <w:sz w:val="22"/>
              </w:rPr>
            </w:pPr>
          </w:p>
        </w:tc>
      </w:tr>
      <w:tr w:rsidR="00283CCD" w:rsidRPr="00393250" w14:paraId="31DEB255" w14:textId="77777777" w:rsidTr="008C1712">
        <w:trPr>
          <w:jc w:val="center"/>
        </w:trPr>
        <w:tc>
          <w:tcPr>
            <w:tcW w:w="262" w:type="pct"/>
          </w:tcPr>
          <w:p w14:paraId="1AFA235E" w14:textId="77777777" w:rsidR="00283CCD" w:rsidRPr="00393250" w:rsidRDefault="00283CCD" w:rsidP="00A465AD">
            <w:pPr>
              <w:pStyle w:val="Text1"/>
              <w:ind w:left="0"/>
              <w:rPr>
                <w:noProof/>
                <w:sz w:val="22"/>
              </w:rPr>
            </w:pPr>
            <w:r w:rsidRPr="00393250">
              <w:rPr>
                <w:noProof/>
                <w:sz w:val="22"/>
              </w:rPr>
              <w:t>4</w:t>
            </w:r>
          </w:p>
        </w:tc>
        <w:tc>
          <w:tcPr>
            <w:tcW w:w="557" w:type="pct"/>
            <w:tcMar>
              <w:left w:w="57" w:type="dxa"/>
              <w:right w:w="57" w:type="dxa"/>
            </w:tcMar>
          </w:tcPr>
          <w:p w14:paraId="092B8AAB" w14:textId="77777777" w:rsidR="00283CCD" w:rsidRPr="00393250" w:rsidRDefault="00283CCD" w:rsidP="00A465AD">
            <w:pPr>
              <w:pStyle w:val="Text1"/>
              <w:ind w:left="0"/>
              <w:jc w:val="left"/>
              <w:rPr>
                <w:noProof/>
                <w:sz w:val="22"/>
              </w:rPr>
            </w:pPr>
            <w:r w:rsidRPr="00393250">
              <w:rPr>
                <w:noProof/>
                <w:sz w:val="22"/>
              </w:rPr>
              <w:t>Simazin (</w:t>
            </w:r>
            <w:r w:rsidRPr="00393250">
              <w:rPr>
                <w:noProof/>
                <w:sz w:val="22"/>
                <w:vertAlign w:val="superscript"/>
              </w:rPr>
              <w:t>7</w:t>
            </w:r>
            <w:r w:rsidRPr="00393250">
              <w:rPr>
                <w:noProof/>
                <w:sz w:val="22"/>
              </w:rPr>
              <w:t>)</w:t>
            </w:r>
          </w:p>
        </w:tc>
        <w:tc>
          <w:tcPr>
            <w:tcW w:w="627" w:type="pct"/>
          </w:tcPr>
          <w:p w14:paraId="66737A77" w14:textId="77777777" w:rsidR="00283CCD" w:rsidRPr="00393250" w:rsidRDefault="00283CCD" w:rsidP="00A465AD">
            <w:pPr>
              <w:pStyle w:val="Text1"/>
              <w:ind w:left="0"/>
              <w:rPr>
                <w:noProof/>
                <w:sz w:val="22"/>
              </w:rPr>
            </w:pPr>
            <w:r w:rsidRPr="00393250">
              <w:rPr>
                <w:noProof/>
                <w:sz w:val="22"/>
              </w:rPr>
              <w:t>Pesticider</w:t>
            </w:r>
          </w:p>
        </w:tc>
        <w:tc>
          <w:tcPr>
            <w:tcW w:w="488" w:type="pct"/>
            <w:tcMar>
              <w:left w:w="28" w:type="dxa"/>
              <w:right w:w="28" w:type="dxa"/>
            </w:tcMar>
          </w:tcPr>
          <w:p w14:paraId="772E17D8" w14:textId="77777777" w:rsidR="00283CCD" w:rsidRPr="00393250" w:rsidRDefault="00283CCD" w:rsidP="00A465AD">
            <w:pPr>
              <w:pStyle w:val="Text1"/>
              <w:ind w:left="0"/>
              <w:rPr>
                <w:noProof/>
                <w:sz w:val="22"/>
              </w:rPr>
            </w:pPr>
            <w:r w:rsidRPr="00393250">
              <w:rPr>
                <w:noProof/>
                <w:sz w:val="22"/>
              </w:rPr>
              <w:t>122-34-9</w:t>
            </w:r>
          </w:p>
        </w:tc>
        <w:tc>
          <w:tcPr>
            <w:tcW w:w="488" w:type="pct"/>
          </w:tcPr>
          <w:p w14:paraId="3E55B9E5" w14:textId="77777777" w:rsidR="00283CCD" w:rsidRPr="00393250" w:rsidRDefault="00283CCD" w:rsidP="00A465AD">
            <w:pPr>
              <w:pStyle w:val="Text1"/>
              <w:ind w:left="0"/>
              <w:rPr>
                <w:noProof/>
                <w:sz w:val="22"/>
              </w:rPr>
            </w:pPr>
            <w:r w:rsidRPr="00393250">
              <w:rPr>
                <w:noProof/>
                <w:sz w:val="22"/>
              </w:rPr>
              <w:t>204-535-2</w:t>
            </w:r>
          </w:p>
        </w:tc>
        <w:tc>
          <w:tcPr>
            <w:tcW w:w="348" w:type="pct"/>
          </w:tcPr>
          <w:p w14:paraId="79C96CEA" w14:textId="77777777" w:rsidR="00283CCD" w:rsidRPr="00393250" w:rsidRDefault="00283CCD" w:rsidP="00A465AD">
            <w:pPr>
              <w:pStyle w:val="Text1"/>
              <w:ind w:left="0"/>
              <w:rPr>
                <w:noProof/>
                <w:sz w:val="22"/>
              </w:rPr>
            </w:pPr>
            <w:r w:rsidRPr="00393250">
              <w:rPr>
                <w:noProof/>
                <w:sz w:val="22"/>
              </w:rPr>
              <w:t>1</w:t>
            </w:r>
          </w:p>
        </w:tc>
        <w:tc>
          <w:tcPr>
            <w:tcW w:w="348" w:type="pct"/>
          </w:tcPr>
          <w:p w14:paraId="3F644E56" w14:textId="77777777" w:rsidR="00283CCD" w:rsidRPr="00393250" w:rsidRDefault="00283CCD" w:rsidP="00A465AD">
            <w:pPr>
              <w:pStyle w:val="Text1"/>
              <w:ind w:left="0"/>
              <w:rPr>
                <w:noProof/>
                <w:sz w:val="22"/>
              </w:rPr>
            </w:pPr>
            <w:r w:rsidRPr="00393250">
              <w:rPr>
                <w:noProof/>
                <w:sz w:val="22"/>
              </w:rPr>
              <w:t>1</w:t>
            </w:r>
          </w:p>
        </w:tc>
        <w:tc>
          <w:tcPr>
            <w:tcW w:w="418" w:type="pct"/>
          </w:tcPr>
          <w:p w14:paraId="061E0081" w14:textId="77777777" w:rsidR="00283CCD" w:rsidRPr="00393250" w:rsidRDefault="00283CCD" w:rsidP="00A465AD">
            <w:pPr>
              <w:pStyle w:val="Text1"/>
              <w:ind w:left="0"/>
              <w:rPr>
                <w:noProof/>
                <w:sz w:val="22"/>
              </w:rPr>
            </w:pPr>
            <w:r w:rsidRPr="00393250">
              <w:rPr>
                <w:noProof/>
                <w:sz w:val="22"/>
              </w:rPr>
              <w:t>4</w:t>
            </w:r>
          </w:p>
        </w:tc>
        <w:tc>
          <w:tcPr>
            <w:tcW w:w="418" w:type="pct"/>
          </w:tcPr>
          <w:p w14:paraId="4805FE60" w14:textId="77777777" w:rsidR="00283CCD" w:rsidRPr="00393250" w:rsidRDefault="00283CCD" w:rsidP="00A465AD">
            <w:pPr>
              <w:pStyle w:val="Text1"/>
              <w:ind w:left="0"/>
              <w:rPr>
                <w:noProof/>
                <w:sz w:val="22"/>
              </w:rPr>
            </w:pPr>
            <w:r w:rsidRPr="00393250">
              <w:rPr>
                <w:noProof/>
                <w:sz w:val="22"/>
              </w:rPr>
              <w:t>4</w:t>
            </w:r>
          </w:p>
        </w:tc>
        <w:tc>
          <w:tcPr>
            <w:tcW w:w="488" w:type="pct"/>
          </w:tcPr>
          <w:p w14:paraId="28FC747B" w14:textId="77777777" w:rsidR="00283CCD" w:rsidRPr="00393250" w:rsidRDefault="00283CCD" w:rsidP="00A465AD">
            <w:pPr>
              <w:pStyle w:val="Text1"/>
              <w:ind w:left="0"/>
              <w:rPr>
                <w:noProof/>
                <w:sz w:val="22"/>
              </w:rPr>
            </w:pPr>
          </w:p>
        </w:tc>
        <w:tc>
          <w:tcPr>
            <w:tcW w:w="557" w:type="pct"/>
          </w:tcPr>
          <w:p w14:paraId="780D50B9" w14:textId="77777777" w:rsidR="00283CCD" w:rsidRPr="00393250" w:rsidRDefault="00283CCD" w:rsidP="00A465AD">
            <w:pPr>
              <w:pStyle w:val="Text1"/>
              <w:ind w:left="0"/>
              <w:rPr>
                <w:noProof/>
                <w:sz w:val="22"/>
              </w:rPr>
            </w:pPr>
          </w:p>
        </w:tc>
      </w:tr>
    </w:tbl>
    <w:p w14:paraId="70EED722" w14:textId="77777777" w:rsidR="008C1712" w:rsidRPr="00393250" w:rsidRDefault="008C1712" w:rsidP="008A5B47">
      <w:pPr>
        <w:pStyle w:val="AmNumberTabs"/>
        <w:rPr>
          <w:b w:val="0"/>
          <w:lang w:val="fr-FR"/>
        </w:rPr>
        <w:sectPr w:rsidR="008C1712" w:rsidRPr="00393250" w:rsidSect="008C1712">
          <w:footnotePr>
            <w:numRestart w:val="eachSect"/>
          </w:footnotePr>
          <w:endnotePr>
            <w:numFmt w:val="decimal"/>
          </w:endnotePr>
          <w:pgSz w:w="16838" w:h="11906" w:orient="landscape" w:code="9"/>
          <w:pgMar w:top="1418" w:right="1134" w:bottom="1418" w:left="1418" w:header="1134" w:footer="567" w:gutter="0"/>
          <w:cols w:space="720"/>
          <w:noEndnote/>
          <w:docGrid w:linePitch="326"/>
        </w:sectPr>
      </w:pPr>
    </w:p>
    <w:p w14:paraId="7F24B783" w14:textId="77777777" w:rsidR="008A5B47" w:rsidRPr="00393250" w:rsidRDefault="008A5B47" w:rsidP="008A5B47">
      <w:pPr>
        <w:spacing w:before="120" w:after="120" w:line="360" w:lineRule="auto"/>
        <w:ind w:left="1416" w:hanging="566"/>
        <w:rPr>
          <w:szCs w:val="24"/>
          <w:lang w:val="fr-FR" w:eastAsia="en-US"/>
        </w:rPr>
      </w:pPr>
      <w:r w:rsidRPr="00393250">
        <w:rPr>
          <w:szCs w:val="24"/>
          <w:vertAlign w:val="superscript"/>
          <w:lang w:val="fr-FR" w:eastAsia="en-US"/>
        </w:rPr>
        <w:t>(1)</w:t>
      </w:r>
      <w:r w:rsidRPr="00393250">
        <w:rPr>
          <w:szCs w:val="24"/>
          <w:lang w:val="fr-FR" w:eastAsia="en-US"/>
        </w:rPr>
        <w:tab/>
        <w:t>CAS: Chemical Abstracts Service.</w:t>
      </w:r>
    </w:p>
    <w:p w14:paraId="3EA12722"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(2)</w:t>
      </w:r>
      <w:r w:rsidRPr="00393250">
        <w:rPr>
          <w:szCs w:val="24"/>
          <w:lang w:eastAsia="en-US"/>
        </w:rPr>
        <w:tab/>
        <w:t>EU-nummer: Den Europæiske Fortegnelse over Markedsførte Kemiske Stoffer (Einecs) eller Den Europæiske Liste over Anmeldte Kemiske Stoffer (Elincs).</w:t>
      </w:r>
    </w:p>
    <w:p w14:paraId="476717A5"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(3)</w:t>
      </w:r>
      <w:r w:rsidRPr="00393250">
        <w:rPr>
          <w:szCs w:val="24"/>
          <w:lang w:eastAsia="en-US"/>
        </w:rPr>
        <w:tab/>
        <w:t>Denne parameter er EQS udtrykt som årsgennemsnit (AA-EQS). Medmindre andet er angivet, gælder det for den samlede koncentration af alle stoffer og isomerer.</w:t>
      </w:r>
    </w:p>
    <w:p w14:paraId="5902FC0B"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(4)</w:t>
      </w:r>
      <w:r w:rsidRPr="00393250">
        <w:rPr>
          <w:szCs w:val="24"/>
          <w:lang w:eastAsia="en-US"/>
        </w:rPr>
        <w:tab/>
        <w:t>Indvande omfatter vandløb og søer og dertil knyttede kunstige eller stærkt modificerede vandområder.</w:t>
      </w:r>
    </w:p>
    <w:p w14:paraId="628C0970" w14:textId="77777777"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(5)</w:t>
      </w:r>
      <w:r w:rsidRPr="00393250">
        <w:rPr>
          <w:szCs w:val="24"/>
          <w:lang w:eastAsia="en-US"/>
        </w:rPr>
        <w:tab/>
        <w:t>Denne parameter er EQS udtrykt som højeste tilladte koncentration (MAC-EQS). Hvis der under MAC-EQS er anført "anvendes ikke", betragtes AA-EQS-værdierne som beskyttelse mod kortvarig høj forurening i kontinuerlige udledninger, da de er væsentligt lavere end de værdier, der er afledt af den akutte toksicitet.</w:t>
      </w:r>
    </w:p>
    <w:p w14:paraId="41FC4F07" w14:textId="77777777" w:rsidR="008C1712" w:rsidRPr="00393250" w:rsidRDefault="008C1712">
      <w:pPr>
        <w:widowControl/>
        <w:rPr>
          <w:szCs w:val="24"/>
          <w:vertAlign w:val="superscript"/>
          <w:lang w:eastAsia="en-US"/>
        </w:rPr>
      </w:pPr>
      <w:r w:rsidRPr="00393250">
        <w:rPr>
          <w:szCs w:val="24"/>
          <w:vertAlign w:val="superscript"/>
          <w:lang w:eastAsia="en-US"/>
        </w:rPr>
        <w:br w:type="page"/>
      </w:r>
    </w:p>
    <w:p w14:paraId="3152E68E" w14:textId="12EDA5BF" w:rsidR="008A5B47" w:rsidRPr="00393250" w:rsidRDefault="008A5B47" w:rsidP="008A5B47">
      <w:pPr>
        <w:spacing w:before="120" w:after="120" w:line="360" w:lineRule="auto"/>
        <w:ind w:left="1416" w:hanging="566"/>
        <w:rPr>
          <w:szCs w:val="24"/>
          <w:lang w:eastAsia="en-US"/>
        </w:rPr>
      </w:pPr>
      <w:r w:rsidRPr="00393250">
        <w:rPr>
          <w:szCs w:val="24"/>
          <w:vertAlign w:val="superscript"/>
          <w:lang w:eastAsia="en-US"/>
        </w:rPr>
        <w:t>(6)</w:t>
      </w:r>
      <w:r w:rsidRPr="00393250">
        <w:rPr>
          <w:szCs w:val="24"/>
          <w:lang w:eastAsia="en-US"/>
        </w:rPr>
        <w:tab/>
        <w:t>Hvis der er anført et miljøkvalitetskrav for biota, anvendes det i stedet for miljøkvalitetskravene for vand, uden at dette berører bestemmelsen i artikel 3, stk. 3, i dette direktiv, der tillader, at en alternativ biotataxon eller en anden matrix kontrolleres i stedet, så længe de anvendte miljøkvalitetskrav giver et tilsvarende beskyttelsesniveau. Kvalitetskrav for biota gælder for fisk, med mindre andet er anført.</w:t>
      </w:r>
    </w:p>
    <w:p w14:paraId="54639965" w14:textId="1E77464E" w:rsidR="008A5B47" w:rsidRPr="008A5B47" w:rsidRDefault="008A5B47" w:rsidP="008A5B47">
      <w:pPr>
        <w:spacing w:before="120" w:after="120" w:line="360" w:lineRule="auto"/>
        <w:ind w:left="1416" w:hanging="566"/>
        <w:rPr>
          <w:szCs w:val="24"/>
          <w:lang w:eastAsia="en-US"/>
        </w:rPr>
      </w:pPr>
      <w:r w:rsidRPr="00393250">
        <w:rPr>
          <w:szCs w:val="24"/>
          <w:vertAlign w:val="superscript"/>
          <w:lang w:eastAsia="en-US"/>
        </w:rPr>
        <w:t>(7)</w:t>
      </w:r>
      <w:r w:rsidRPr="00393250">
        <w:rPr>
          <w:szCs w:val="24"/>
          <w:lang w:eastAsia="en-US"/>
        </w:rPr>
        <w:tab/>
        <w:t>Stof, der tidligere er opført som et prioriteret stof i bilag X til direktiv 2000/60/EF eller bilag I til direktiv 2008/105/EF."</w:t>
      </w:r>
    </w:p>
    <w:p w14:paraId="03047B49" w14:textId="77777777" w:rsidR="008A5B47" w:rsidRPr="00C277D7" w:rsidRDefault="008A5B47" w:rsidP="008A5B47">
      <w:pPr>
        <w:pStyle w:val="AmNumberTabs"/>
        <w:rPr>
          <w:b w:val="0"/>
        </w:rPr>
      </w:pPr>
    </w:p>
    <w:sectPr w:rsidR="008A5B47" w:rsidRPr="00C277D7" w:rsidSect="008B5EF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58AAFB" w14:textId="77777777" w:rsidR="00B551B3" w:rsidRPr="008B5EFB" w:rsidRDefault="00B551B3">
      <w:r w:rsidRPr="008B5EFB">
        <w:separator/>
      </w:r>
    </w:p>
  </w:endnote>
  <w:endnote w:type="continuationSeparator" w:id="0">
    <w:p w14:paraId="16A8B555" w14:textId="77777777" w:rsidR="00B551B3" w:rsidRPr="008B5EFB" w:rsidRDefault="00B551B3">
      <w:r w:rsidRPr="008B5E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___WRD_EMBED_SUB_178">
    <w:altName w:val="MS Gothic"/>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adeGothic">
    <w:altName w:val="Courier New"/>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EUAlbertina">
    <w:panose1 w:val="00000000000000000000"/>
    <w:charset w:val="00"/>
    <w:family w:val="auto"/>
    <w:pitch w:val="variable"/>
    <w:sig w:usb0="800002EF" w:usb1="1000E0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F6A1E7" w14:textId="77777777" w:rsidR="00B551B3" w:rsidRPr="008B5EFB" w:rsidRDefault="00B551B3">
      <w:r w:rsidRPr="008B5EFB">
        <w:separator/>
      </w:r>
    </w:p>
  </w:footnote>
  <w:footnote w:type="continuationSeparator" w:id="0">
    <w:p w14:paraId="021D2B00" w14:textId="77777777" w:rsidR="00B551B3" w:rsidRPr="008B5EFB" w:rsidRDefault="00B551B3">
      <w:r w:rsidRPr="008B5EFB">
        <w:continuationSeparator/>
      </w:r>
    </w:p>
  </w:footnote>
  <w:footnote w:id="1">
    <w:p w14:paraId="5DE76BE1" w14:textId="77777777" w:rsidR="00B551B3" w:rsidRPr="008B5EFB" w:rsidRDefault="00B551B3" w:rsidP="008B5EFB">
      <w:pPr>
        <w:pStyle w:val="FootnoteText"/>
        <w:ind w:left="567" w:hanging="567"/>
        <w:rPr>
          <w:sz w:val="24"/>
          <w:lang w:val="da-DK"/>
        </w:rPr>
      </w:pPr>
      <w:r w:rsidRPr="008B5EFB">
        <w:rPr>
          <w:rStyle w:val="FootnoteReference"/>
          <w:sz w:val="24"/>
          <w:lang w:val="da-DK"/>
        </w:rPr>
        <w:footnoteRef/>
      </w:r>
      <w:r w:rsidRPr="008B5EFB">
        <w:rPr>
          <w:sz w:val="24"/>
          <w:lang w:val="da-DK"/>
        </w:rPr>
        <w:t xml:space="preserve"> </w:t>
      </w:r>
      <w:r w:rsidRPr="008B5EFB">
        <w:rPr>
          <w:sz w:val="24"/>
          <w:lang w:val="da-DK"/>
        </w:rPr>
        <w:tab/>
        <w:t>EUT C 146 af 27.4.2023, s. 41.</w:t>
      </w:r>
    </w:p>
  </w:footnote>
  <w:footnote w:id="2">
    <w:p w14:paraId="43450121" w14:textId="13AE717B" w:rsidR="00B551B3" w:rsidRPr="0048673E" w:rsidRDefault="00B551B3" w:rsidP="0048673E">
      <w:pPr>
        <w:pStyle w:val="FootnoteText"/>
        <w:ind w:left="567" w:hanging="567"/>
        <w:rPr>
          <w:sz w:val="24"/>
          <w:szCs w:val="24"/>
          <w:lang w:val="da-DK"/>
        </w:rPr>
      </w:pPr>
      <w:r w:rsidRPr="0048673E">
        <w:rPr>
          <w:rStyle w:val="FootnoteReference"/>
          <w:sz w:val="24"/>
          <w:szCs w:val="24"/>
        </w:rPr>
        <w:footnoteRef/>
      </w:r>
      <w:r w:rsidRPr="0048673E">
        <w:rPr>
          <w:sz w:val="24"/>
          <w:szCs w:val="24"/>
          <w:lang w:val="da-DK"/>
        </w:rPr>
        <w:t xml:space="preserve"> </w:t>
      </w:r>
      <w:r w:rsidRPr="0048673E">
        <w:rPr>
          <w:sz w:val="24"/>
          <w:szCs w:val="24"/>
          <w:lang w:val="da-DK"/>
        </w:rPr>
        <w:tab/>
      </w:r>
      <w:r w:rsidRPr="00110B7E">
        <w:rPr>
          <w:noProof/>
          <w:sz w:val="24"/>
          <w:szCs w:val="24"/>
          <w:lang w:val="da-DK"/>
        </w:rPr>
        <w:t xml:space="preserve">Denne holdning </w:t>
      </w:r>
      <w:r w:rsidRPr="0048673E">
        <w:rPr>
          <w:lang w:val="da-DK"/>
        </w:rPr>
        <w:t xml:space="preserve">svarer til </w:t>
      </w:r>
      <w:r w:rsidRPr="00110B7E">
        <w:rPr>
          <w:noProof/>
          <w:sz w:val="24"/>
          <w:szCs w:val="24"/>
          <w:lang w:val="da-DK"/>
        </w:rPr>
        <w:t xml:space="preserve">de ændringer, der blev vedtaget den </w:t>
      </w:r>
      <w:r w:rsidRPr="0048673E">
        <w:rPr>
          <w:noProof/>
          <w:sz w:val="24"/>
          <w:szCs w:val="24"/>
          <w:lang w:val="da-DK"/>
        </w:rPr>
        <w:t>12. september 2023</w:t>
      </w:r>
      <w:r w:rsidRPr="00110B7E">
        <w:rPr>
          <w:noProof/>
          <w:sz w:val="24"/>
          <w:szCs w:val="24"/>
          <w:lang w:val="da-DK"/>
        </w:rPr>
        <w:t xml:space="preserve"> (EUT C, C/2024/1777, 22.3.2024, ELI: http://data.europa.eu/eli/C/2024/1777/oj</w:t>
      </w:r>
      <w:r w:rsidRPr="0048673E">
        <w:rPr>
          <w:noProof/>
          <w:sz w:val="24"/>
          <w:szCs w:val="24"/>
          <w:lang w:val="da-DK"/>
        </w:rPr>
        <w:t>).</w:t>
      </w:r>
    </w:p>
  </w:footnote>
  <w:footnote w:id="3">
    <w:p w14:paraId="5B95C452" w14:textId="77777777" w:rsidR="00B551B3" w:rsidRPr="008A5B47" w:rsidRDefault="00B551B3" w:rsidP="008A5B47">
      <w:pPr>
        <w:pStyle w:val="FootnoteTextForceStyle"/>
        <w:rPr>
          <w:lang w:val="da-DK"/>
        </w:rPr>
      </w:pPr>
      <w:r>
        <w:rPr>
          <w:vertAlign w:val="superscript"/>
        </w:rPr>
        <w:footnoteRef/>
      </w:r>
      <w:r w:rsidRPr="008A5B47">
        <w:rPr>
          <w:lang w:val="da-DK"/>
        </w:rPr>
        <w:tab/>
        <w:t>EUT C  af , s. .</w:t>
      </w:r>
    </w:p>
  </w:footnote>
  <w:footnote w:id="4">
    <w:p w14:paraId="1B9969C3" w14:textId="77777777" w:rsidR="00B551B3" w:rsidRPr="008A5B47" w:rsidRDefault="00B551B3" w:rsidP="008A5B47">
      <w:pPr>
        <w:pStyle w:val="FootnoteTextForceStyle"/>
        <w:rPr>
          <w:lang w:val="da-DK"/>
        </w:rPr>
      </w:pPr>
      <w:r>
        <w:rPr>
          <w:vertAlign w:val="superscript"/>
        </w:rPr>
        <w:footnoteRef/>
      </w:r>
      <w:r w:rsidRPr="008A5B47">
        <w:rPr>
          <w:lang w:val="da-DK"/>
        </w:rPr>
        <w:tab/>
        <w:t>EUT C  af , s. .</w:t>
      </w:r>
    </w:p>
  </w:footnote>
  <w:footnote w:id="5">
    <w:p w14:paraId="677B2DDC" w14:textId="77777777" w:rsidR="00B551B3" w:rsidRPr="008A5B47" w:rsidRDefault="00B551B3" w:rsidP="008A5B47">
      <w:pPr>
        <w:pStyle w:val="FootnoteTextForceStyle"/>
        <w:rPr>
          <w:lang w:val="da-DK"/>
        </w:rPr>
      </w:pPr>
      <w:r>
        <w:rPr>
          <w:vertAlign w:val="superscript"/>
        </w:rPr>
        <w:footnoteRef/>
      </w:r>
      <w:r w:rsidRPr="008A5B47">
        <w:rPr>
          <w:lang w:val="da-DK"/>
        </w:rPr>
        <w:tab/>
      </w:r>
      <w:r w:rsidRPr="008A5B47">
        <w:rPr>
          <w:b/>
          <w:i/>
          <w:lang w:val="da-DK"/>
        </w:rPr>
        <w:t>Europa-Parlamentets og Rådets afgørelse (EU) 2022/591 af 6. april 2022 om et generelt EU-miljøhandlingsprogram frem til 2030.</w:t>
      </w:r>
    </w:p>
  </w:footnote>
  <w:footnote w:id="6">
    <w:p w14:paraId="7B9B50D2" w14:textId="77777777" w:rsidR="00B551B3" w:rsidRDefault="00B551B3" w:rsidP="008A5B47">
      <w:pPr>
        <w:pStyle w:val="FootnoteTextForceStyle"/>
      </w:pPr>
      <w:r>
        <w:rPr>
          <w:vertAlign w:val="superscript"/>
        </w:rPr>
        <w:footnoteRef/>
      </w:r>
      <w:r>
        <w:tab/>
      </w:r>
      <w:r>
        <w:rPr>
          <w:b/>
          <w:i/>
        </w:rPr>
        <w:t>"Drivers of and pressures arising from selected key water management challenges: A European overview", rapport 09/2021, Det Europæiske Miljøagentur.</w:t>
      </w:r>
    </w:p>
  </w:footnote>
  <w:footnote w:id="7">
    <w:p w14:paraId="10788AD1" w14:textId="77777777" w:rsidR="00B551B3" w:rsidRDefault="00B551B3" w:rsidP="008A5B47">
      <w:pPr>
        <w:pStyle w:val="FootnoteTextForceStyle"/>
      </w:pPr>
      <w:r>
        <w:rPr>
          <w:vertAlign w:val="superscript"/>
        </w:rPr>
        <w:footnoteRef/>
      </w:r>
      <w:r>
        <w:tab/>
      </w:r>
      <w:r>
        <w:rPr>
          <w:b/>
          <w:i/>
        </w:rPr>
        <w:t>https://www.oecd.org/agriculture/topics/water-and-agriculture/</w:t>
      </w:r>
    </w:p>
  </w:footnote>
  <w:footnote w:id="8">
    <w:p w14:paraId="7B723795" w14:textId="77777777" w:rsidR="00B551B3" w:rsidRDefault="00B551B3" w:rsidP="008A5B47">
      <w:pPr>
        <w:pStyle w:val="FootnoteTextForceStyle"/>
      </w:pPr>
      <w:r>
        <w:rPr>
          <w:vertAlign w:val="superscript"/>
        </w:rPr>
        <w:footnoteRef/>
      </w:r>
      <w:r>
        <w:tab/>
      </w:r>
      <w:r>
        <w:rPr>
          <w:b/>
          <w:i/>
        </w:rPr>
        <w:t>https://www.eea.europa.eu/publications/state-of-water</w:t>
      </w:r>
    </w:p>
  </w:footnote>
  <w:footnote w:id="9">
    <w:p w14:paraId="67CB5027" w14:textId="77777777" w:rsidR="00B551B3" w:rsidRDefault="00B551B3" w:rsidP="008A5B47">
      <w:pPr>
        <w:pStyle w:val="FootnoteTextForceStyle"/>
      </w:pPr>
      <w:r>
        <w:rPr>
          <w:vertAlign w:val="superscript"/>
        </w:rPr>
        <w:footnoteRef/>
      </w:r>
      <w:r>
        <w:tab/>
      </w:r>
      <w:r>
        <w:rPr>
          <w:b/>
          <w:i/>
        </w:rPr>
        <w:t>https://food.ec.europa.eu/plants/pesticides/sustainable-use-pesticides/farm-fork-targets-progress/eu-trends_da.</w:t>
      </w:r>
    </w:p>
  </w:footnote>
  <w:footnote w:id="10">
    <w:p w14:paraId="7DCEE046" w14:textId="77777777" w:rsidR="00B551B3" w:rsidRPr="008A5B47" w:rsidRDefault="00B551B3" w:rsidP="008A5B47">
      <w:pPr>
        <w:pStyle w:val="FootnoteTextForceStyle"/>
        <w:rPr>
          <w:lang w:val="da-DK"/>
        </w:rPr>
      </w:pPr>
      <w:r>
        <w:rPr>
          <w:vertAlign w:val="superscript"/>
        </w:rPr>
        <w:footnoteRef/>
      </w:r>
      <w:r w:rsidRPr="008A5B47">
        <w:rPr>
          <w:lang w:val="da-DK"/>
        </w:rPr>
        <w:tab/>
        <w:t>Meddelelse fra Kommissionen til Europa-Parlamentet, Det Europæiske Råd, Rådet, Det Europæiske Økonomiske og Sociale Udvalg og Regionsudvalget — Den europæiske grønne pagt (COM/2019/640 final).</w:t>
      </w:r>
    </w:p>
  </w:footnote>
  <w:footnote w:id="11">
    <w:p w14:paraId="047EE428" w14:textId="77777777" w:rsidR="00B551B3" w:rsidRPr="008A5B47" w:rsidRDefault="00B551B3" w:rsidP="008A5B47">
      <w:pPr>
        <w:pStyle w:val="FootnoteTextForceStyle"/>
        <w:rPr>
          <w:lang w:val="da-DK"/>
        </w:rPr>
      </w:pPr>
      <w:r>
        <w:rPr>
          <w:vertAlign w:val="superscript"/>
        </w:rPr>
        <w:footnoteRef/>
      </w:r>
      <w:r w:rsidRPr="008A5B47">
        <w:rPr>
          <w:lang w:val="da-DK"/>
        </w:rPr>
        <w:tab/>
        <w:t>Meddelelse fra Kommissionen til Europa-Parlamentet, Rådet, Det Europæiske Økonomiske og Sociale Udvalg og Regionsudvalget — En kemikaliestrategi med bæredygtighed for øje — På vej mod et giftfrit miljø (COM(2020) 667 final).</w:t>
      </w:r>
    </w:p>
  </w:footnote>
  <w:footnote w:id="12">
    <w:p w14:paraId="1303766D" w14:textId="77777777" w:rsidR="00B551B3" w:rsidRPr="008A5B47" w:rsidRDefault="00B551B3" w:rsidP="008A5B47">
      <w:pPr>
        <w:pStyle w:val="FootnoteTextForceStyle"/>
        <w:rPr>
          <w:lang w:val="da-DK"/>
        </w:rPr>
      </w:pPr>
      <w:r>
        <w:rPr>
          <w:vertAlign w:val="superscript"/>
        </w:rPr>
        <w:footnoteRef/>
      </w:r>
      <w:r w:rsidRPr="008A5B47">
        <w:rPr>
          <w:lang w:val="da-DK"/>
        </w:rPr>
        <w:tab/>
        <w:t>Meddelelse fra Kommissionen til Europa-Parlamentet, Rådet, Det Europæiske Økonomiske og Sociale Udvalg og Regionsudvalget, Vejen til en sund planet for alle — EU-handlingsplan: "Mod nulforurening for vand, luft og jord" (COM(2021) 400 final).</w:t>
      </w:r>
    </w:p>
  </w:footnote>
  <w:footnote w:id="13">
    <w:p w14:paraId="06E2E74D" w14:textId="77777777" w:rsidR="00B551B3" w:rsidRPr="008A5B47" w:rsidRDefault="00B551B3" w:rsidP="008A5B47">
      <w:pPr>
        <w:pStyle w:val="FootnoteTextForceStyle"/>
        <w:rPr>
          <w:lang w:val="da-DK"/>
        </w:rPr>
      </w:pPr>
      <w:r>
        <w:rPr>
          <w:vertAlign w:val="superscript"/>
        </w:rPr>
        <w:footnoteRef/>
      </w:r>
      <w:r w:rsidRPr="008A5B47">
        <w:rPr>
          <w:lang w:val="da-DK"/>
        </w:rPr>
        <w:tab/>
        <w:t>Meddelelse fra Kommissionen til Europa-Parlamentet, Rådet, Det Europæiske Økonomiske og Sociale Udvalg og Regionsudvalget — En EU-strategi for plast i en cirkulær økonomi (COM(2018) 28 final).</w:t>
      </w:r>
    </w:p>
  </w:footnote>
  <w:footnote w:id="14">
    <w:p w14:paraId="49D03530" w14:textId="77777777" w:rsidR="00B551B3" w:rsidRPr="008A5B47" w:rsidRDefault="00B551B3" w:rsidP="008A5B47">
      <w:pPr>
        <w:pStyle w:val="FootnoteTextForceStyle"/>
        <w:rPr>
          <w:lang w:val="da-DK"/>
        </w:rPr>
      </w:pPr>
      <w:r>
        <w:rPr>
          <w:vertAlign w:val="superscript"/>
        </w:rPr>
        <w:footnoteRef/>
      </w:r>
      <w:r w:rsidRPr="008A5B47">
        <w:rPr>
          <w:lang w:val="da-DK"/>
        </w:rPr>
        <w:tab/>
        <w:t>Meddelelse fra Kommissionen til Europa-Parlamentet, Rådet, Det Europæiske Økonomiske og Sociale Udvalg og Regionsudvalget — En lægemiddelstrategi for Europa (COM(2020) 761 final).</w:t>
      </w:r>
    </w:p>
  </w:footnote>
  <w:footnote w:id="15">
    <w:p w14:paraId="53953F77" w14:textId="77777777" w:rsidR="00B551B3" w:rsidRPr="008A5B47" w:rsidRDefault="00B551B3" w:rsidP="008A5B47">
      <w:pPr>
        <w:pStyle w:val="FootnoteTextForceStyle"/>
        <w:rPr>
          <w:lang w:val="da-DK"/>
        </w:rPr>
      </w:pPr>
      <w:r>
        <w:rPr>
          <w:vertAlign w:val="superscript"/>
        </w:rPr>
        <w:footnoteRef/>
      </w:r>
      <w:r w:rsidRPr="008A5B47">
        <w:rPr>
          <w:lang w:val="da-DK"/>
        </w:rPr>
        <w:tab/>
        <w:t>Meddelelse fra Kommissionen til Europa-Parlamentet, Rådet, Det Europæiske, Økonomiske og Sociale Udvalg og Regionsudvalget — EU's biodiversitetsstrategi for 2030 — Naturen skal bringes tilbage i vores liv (COM(2020) 380 final).</w:t>
      </w:r>
    </w:p>
  </w:footnote>
  <w:footnote w:id="16">
    <w:p w14:paraId="1FB08795" w14:textId="77777777" w:rsidR="00B551B3" w:rsidRPr="008A5B47" w:rsidRDefault="00B551B3" w:rsidP="008A5B47">
      <w:pPr>
        <w:pStyle w:val="FootnoteTextForceStyle"/>
        <w:rPr>
          <w:lang w:val="da-DK"/>
        </w:rPr>
      </w:pPr>
      <w:r>
        <w:rPr>
          <w:vertAlign w:val="superscript"/>
        </w:rPr>
        <w:footnoteRef/>
      </w:r>
      <w:r w:rsidRPr="008A5B47">
        <w:rPr>
          <w:lang w:val="da-DK"/>
        </w:rPr>
        <w:tab/>
        <w:t>Meddelelse fra Kommissionen til Europa-Parlamentet, Rådet, Det Europæiske, Økonomiske og Sociale Udvalg og Regionsudvalget — En jord til bord-strategi for et fair, sundt og miljøvenligt fødevaresystem (COM(2020) 381 final).</w:t>
      </w:r>
    </w:p>
  </w:footnote>
  <w:footnote w:id="17">
    <w:p w14:paraId="524E2051" w14:textId="77777777" w:rsidR="00B551B3" w:rsidRPr="008A5B47" w:rsidRDefault="00B551B3" w:rsidP="008A5B47">
      <w:pPr>
        <w:pStyle w:val="FootnoteTextForceStyle"/>
        <w:rPr>
          <w:lang w:val="da-DK"/>
        </w:rPr>
      </w:pPr>
      <w:r>
        <w:rPr>
          <w:vertAlign w:val="superscript"/>
        </w:rPr>
        <w:footnoteRef/>
      </w:r>
      <w:r w:rsidRPr="008A5B47">
        <w:rPr>
          <w:lang w:val="da-DK"/>
        </w:rPr>
        <w:tab/>
        <w:t>Meddelelse fra Kommissionen til Europa-Parlamentet, Rådet, Det Europæiske Økonomiske og Sociale Udvalg og Regionsudvalget — EU's jordbundsstrategi for 2030 — Udnyttelse af fordelene ved en sund jordbund for mennesker, fødevarer, natur og klima (COM(2021) 699 final).</w:t>
      </w:r>
    </w:p>
  </w:footnote>
  <w:footnote w:id="18">
    <w:p w14:paraId="1A3A9E51" w14:textId="77777777" w:rsidR="00B551B3" w:rsidRPr="008A5B47" w:rsidRDefault="00B551B3" w:rsidP="008A5B47">
      <w:pPr>
        <w:pStyle w:val="FootnoteTextForceStyle"/>
        <w:rPr>
          <w:lang w:val="da-DK"/>
        </w:rPr>
      </w:pPr>
      <w:r>
        <w:rPr>
          <w:vertAlign w:val="superscript"/>
        </w:rPr>
        <w:footnoteRef/>
      </w:r>
      <w:r w:rsidRPr="008A5B47">
        <w:rPr>
          <w:lang w:val="da-DK"/>
        </w:rPr>
        <w:tab/>
        <w:t xml:space="preserve">Meddelelse fra Kommissionen til Europa-Parlamentet, Rådet, Det Europæiske Økonomiske og Sociale Udvalg og Regionsudvalget: Europas digitale fremtid i støbeskeen </w:t>
      </w:r>
      <w:r w:rsidRPr="008A5B47">
        <w:rPr>
          <w:lang w:val="da-DK"/>
        </w:rPr>
        <w:tab/>
        <w:t>(COM(2020) 67 final).</w:t>
      </w:r>
    </w:p>
  </w:footnote>
  <w:footnote w:id="19">
    <w:p w14:paraId="55D84990" w14:textId="77777777" w:rsidR="00B551B3" w:rsidRPr="008A5B47" w:rsidRDefault="00B551B3" w:rsidP="008A5B47">
      <w:pPr>
        <w:pStyle w:val="FootnoteTextForceStyle"/>
        <w:rPr>
          <w:lang w:val="da-DK"/>
        </w:rPr>
      </w:pPr>
      <w:r>
        <w:rPr>
          <w:vertAlign w:val="superscript"/>
        </w:rPr>
        <w:footnoteRef/>
      </w:r>
      <w:r w:rsidRPr="008A5B47">
        <w:rPr>
          <w:lang w:val="da-DK"/>
        </w:rPr>
        <w:tab/>
        <w:t>Meddelelse fra Kommissionen til Europa-Parlamentet, Rådet, Det Europæiske Økonomiske og Sociale Udvalg og Regionsudvalget — En europæisk strategi for data (COM(2020) 66 final).</w:t>
      </w:r>
    </w:p>
  </w:footnote>
  <w:footnote w:id="20">
    <w:p w14:paraId="658B05BB" w14:textId="77777777" w:rsidR="00B551B3" w:rsidRPr="008A5B47" w:rsidRDefault="00B551B3" w:rsidP="008A5B47">
      <w:pPr>
        <w:pStyle w:val="FootnoteTextForceStyle"/>
        <w:rPr>
          <w:lang w:val="da-DK"/>
        </w:rPr>
      </w:pPr>
      <w:r>
        <w:rPr>
          <w:vertAlign w:val="superscript"/>
        </w:rPr>
        <w:footnoteRef/>
      </w:r>
      <w:r w:rsidRPr="008A5B47">
        <w:rPr>
          <w:lang w:val="da-DK"/>
        </w:rPr>
        <w:tab/>
        <w:t>Europa-Parlamentets og Rådets direktiv 2000/60/EF af 23. oktober 2000 om fastlæggelse af en ramme for Fællesskabets vandpolitiske foranstaltninger (EFT L 327 af 22.12.2000, s. 1).</w:t>
      </w:r>
    </w:p>
  </w:footnote>
  <w:footnote w:id="21">
    <w:p w14:paraId="2167D0C5" w14:textId="77777777" w:rsidR="00B551B3" w:rsidRPr="008A5B47" w:rsidRDefault="00B551B3" w:rsidP="008A5B47">
      <w:pPr>
        <w:pStyle w:val="FootnoteTextForceStyle"/>
        <w:rPr>
          <w:lang w:val="da-DK"/>
        </w:rPr>
      </w:pPr>
      <w:r>
        <w:rPr>
          <w:vertAlign w:val="superscript"/>
        </w:rPr>
        <w:footnoteRef/>
      </w:r>
      <w:r w:rsidRPr="008A5B47">
        <w:rPr>
          <w:lang w:val="da-DK"/>
        </w:rPr>
        <w:tab/>
        <w:t>Europa-Parlamentets og Rådets direktiv 2008/105/EF af 16. december 2008 om miljøkvalitetskrav inden for vandpolitikken, om ændring og senere ophævelse af Rådets direktiv 82/176/EØF, 83/513/EØF, 84/156/EØF, 84/491/EØF og 86/280/EØF og om ændring af Europa-Parlamentets og Rådets direktiv 2000/60/EF (EUT L 348 af 24.12.2008, s. 84).</w:t>
      </w:r>
    </w:p>
  </w:footnote>
  <w:footnote w:id="22">
    <w:p w14:paraId="26C0D662" w14:textId="77777777" w:rsidR="00B551B3" w:rsidRPr="008A5B47" w:rsidRDefault="00B551B3" w:rsidP="008A5B47">
      <w:pPr>
        <w:pStyle w:val="FootnoteTextForceStyle"/>
        <w:rPr>
          <w:lang w:val="da-DK"/>
        </w:rPr>
      </w:pPr>
      <w:r>
        <w:rPr>
          <w:vertAlign w:val="superscript"/>
        </w:rPr>
        <w:footnoteRef/>
      </w:r>
      <w:r w:rsidRPr="008A5B47">
        <w:rPr>
          <w:lang w:val="da-DK"/>
        </w:rPr>
        <w:tab/>
        <w:t>Europa-Parlamentets og Rådets beslutning nr. 2455/2001/EF af 20. november 2001 om vedtagelse af en liste over prioriterede stoffer inden for vandpolitik og om ændring af direktiv 2000/60/EF (EFT L 331 af 15.12.2001, s. 1).</w:t>
      </w:r>
    </w:p>
  </w:footnote>
  <w:footnote w:id="23">
    <w:p w14:paraId="4EED25A6" w14:textId="77777777" w:rsidR="00B551B3" w:rsidRPr="008A5B47" w:rsidRDefault="00B551B3" w:rsidP="008A5B47">
      <w:pPr>
        <w:pStyle w:val="FootnoteTextForceStyle"/>
        <w:rPr>
          <w:lang w:val="da-DK"/>
        </w:rPr>
      </w:pPr>
      <w:r>
        <w:rPr>
          <w:vertAlign w:val="superscript"/>
        </w:rPr>
        <w:footnoteRef/>
      </w:r>
      <w:r w:rsidRPr="008A5B47">
        <w:rPr>
          <w:lang w:val="da-DK"/>
        </w:rPr>
        <w:tab/>
        <w:t>Europa-Parlamentets og Rådets direktiv 2006/118/EF af 12. december 2006 om beskyttelse af grundvandet mod forurening og forringelse (EUT L 372 af 27.12.2006, s. 19).</w:t>
      </w:r>
    </w:p>
  </w:footnote>
  <w:footnote w:id="24">
    <w:p w14:paraId="7ACA260C" w14:textId="77777777" w:rsidR="00B551B3" w:rsidRPr="008A5B47" w:rsidRDefault="00B551B3" w:rsidP="008A5B47">
      <w:pPr>
        <w:pStyle w:val="FootnoteTextForceStyle"/>
        <w:rPr>
          <w:lang w:val="da-DK"/>
        </w:rPr>
      </w:pPr>
      <w:r>
        <w:rPr>
          <w:vertAlign w:val="superscript"/>
        </w:rPr>
        <w:footnoteRef/>
      </w:r>
      <w:r w:rsidRPr="008A5B47">
        <w:rPr>
          <w:lang w:val="da-DK"/>
        </w:rPr>
        <w:tab/>
        <w:t>Europa-Parlamentets og Rådets forordning (EF) nr. 1907/2006 af 18. december 2006 om registrering, vurdering og godkendelse af samt begrænsninger for kemikalier (REACH), om oprettelse af et europæisk kemikalieagentur (EUT L 396 af 30.12.2006, s. 1).</w:t>
      </w:r>
    </w:p>
  </w:footnote>
  <w:footnote w:id="25">
    <w:p w14:paraId="382284E9" w14:textId="77777777" w:rsidR="00B551B3" w:rsidRPr="008A5B47" w:rsidRDefault="00B551B3" w:rsidP="008A5B47">
      <w:pPr>
        <w:pStyle w:val="FootnoteTextForceStyle"/>
        <w:rPr>
          <w:lang w:val="da-DK"/>
        </w:rPr>
      </w:pPr>
      <w:r>
        <w:rPr>
          <w:vertAlign w:val="superscript"/>
        </w:rPr>
        <w:footnoteRef/>
      </w:r>
      <w:r w:rsidRPr="008A5B47">
        <w:rPr>
          <w:lang w:val="da-DK"/>
        </w:rPr>
        <w:tab/>
        <w:t>Europa-Parlamentets og Rådets forordning (EF) nr. 1107/2009 af 21. oktober 2009 om markedsføring af plantebeskyttelsesmidler og om ophævelse af Rådets direktiv 79/117/EØF og 91/414/EØF (EUT L 309 af 24.11.2009, s. 1).</w:t>
      </w:r>
    </w:p>
  </w:footnote>
  <w:footnote w:id="26">
    <w:p w14:paraId="1F519D83" w14:textId="77777777" w:rsidR="00B551B3" w:rsidRPr="008A5B47" w:rsidRDefault="00B551B3" w:rsidP="008A5B47">
      <w:pPr>
        <w:pStyle w:val="FootnoteTextForceStyle"/>
        <w:rPr>
          <w:lang w:val="da-DK"/>
        </w:rPr>
      </w:pPr>
      <w:r>
        <w:rPr>
          <w:vertAlign w:val="superscript"/>
        </w:rPr>
        <w:footnoteRef/>
      </w:r>
      <w:r w:rsidRPr="008A5B47">
        <w:rPr>
          <w:lang w:val="da-DK"/>
        </w:rPr>
        <w:tab/>
        <w:t>Europa-Parlamentets og Rådets forordning (EU) nr. 528/2012 af 22. maj 2012 om tilgængeliggørelse på markedet og anvendelse af biocidholdige produkter (EUT L 167 af 27.6.2012, s. 1).</w:t>
      </w:r>
    </w:p>
  </w:footnote>
  <w:footnote w:id="27">
    <w:p w14:paraId="19146D47" w14:textId="77777777" w:rsidR="00B551B3" w:rsidRPr="008A5B47" w:rsidRDefault="00B551B3" w:rsidP="008A5B47">
      <w:pPr>
        <w:pStyle w:val="FootnoteTextForceStyle"/>
        <w:rPr>
          <w:lang w:val="da-DK"/>
        </w:rPr>
      </w:pPr>
      <w:r>
        <w:rPr>
          <w:vertAlign w:val="superscript"/>
        </w:rPr>
        <w:footnoteRef/>
      </w:r>
      <w:r w:rsidRPr="008A5B47">
        <w:rPr>
          <w:lang w:val="da-DK"/>
        </w:rPr>
        <w:tab/>
        <w:t>Europa-Parlamentets og Rådets forordning (EU) 2019/6 af 11. december 2018 om veterinærlægemidler og om ophævelse af direktiv 2001/82/EF (EUT L 4 af 7.1.2019, s. 43).</w:t>
      </w:r>
    </w:p>
  </w:footnote>
  <w:footnote w:id="28">
    <w:p w14:paraId="3FB10998" w14:textId="77777777" w:rsidR="00B551B3" w:rsidRPr="008A5B47" w:rsidRDefault="00B551B3" w:rsidP="008A5B47">
      <w:pPr>
        <w:pStyle w:val="FootnoteTextForceStyle"/>
        <w:rPr>
          <w:lang w:val="da-DK"/>
        </w:rPr>
      </w:pPr>
      <w:r>
        <w:rPr>
          <w:vertAlign w:val="superscript"/>
        </w:rPr>
        <w:footnoteRef/>
      </w:r>
      <w:r w:rsidRPr="008A5B47">
        <w:rPr>
          <w:lang w:val="da-DK"/>
        </w:rPr>
        <w:tab/>
        <w:t>Europa-Parlamentets og Rådets direktiv 2001/83/EF af 6. november 2001 om oprettelse af en fællesskabskodeks for humanmedicinske lægemidler (EFT L 311 af 28.11.2001, s. 67).</w:t>
      </w:r>
    </w:p>
  </w:footnote>
  <w:footnote w:id="29">
    <w:p w14:paraId="05C9ED08" w14:textId="77777777" w:rsidR="00B551B3" w:rsidRPr="008A5B47" w:rsidRDefault="00B551B3" w:rsidP="008A5B47">
      <w:pPr>
        <w:pStyle w:val="FootnoteTextForceStyle"/>
        <w:rPr>
          <w:lang w:val="da-DK"/>
        </w:rPr>
      </w:pPr>
      <w:r>
        <w:rPr>
          <w:vertAlign w:val="superscript"/>
        </w:rPr>
        <w:footnoteRef/>
      </w:r>
      <w:r w:rsidRPr="008A5B47">
        <w:rPr>
          <w:lang w:val="da-DK"/>
        </w:rPr>
        <w:tab/>
        <w:t>Europa-Parlamentets og Rådets direktiv 2009/128/EF af 21. oktober 2009 om en ramme for Fællesskabets indsats for en bæredygtig anvendelse af pesticider (EUT L 309 af 24.11.2009, s. 71).</w:t>
      </w:r>
    </w:p>
  </w:footnote>
  <w:footnote w:id="30">
    <w:p w14:paraId="2E96F318" w14:textId="77777777" w:rsidR="00B551B3" w:rsidRPr="008A5B47" w:rsidRDefault="00B551B3" w:rsidP="008A5B47">
      <w:pPr>
        <w:pStyle w:val="FootnoteTextForceStyle"/>
        <w:rPr>
          <w:lang w:val="da-DK"/>
        </w:rPr>
      </w:pPr>
      <w:r>
        <w:rPr>
          <w:vertAlign w:val="superscript"/>
        </w:rPr>
        <w:footnoteRef/>
      </w:r>
      <w:r w:rsidRPr="008A5B47">
        <w:rPr>
          <w:lang w:val="da-DK"/>
        </w:rPr>
        <w:tab/>
        <w:t>Europa-Parlamentets og Rådets direktiv 2010/75/EU af 24. november 2010 om industrielle emissioner (integreret forebyggelse og bekæmpelse af forurening) (EUT L 334 af 17.12.2010, s. 17).</w:t>
      </w:r>
    </w:p>
  </w:footnote>
  <w:footnote w:id="31">
    <w:p w14:paraId="6FF8B97B" w14:textId="77777777" w:rsidR="00B551B3" w:rsidRPr="008A5B47" w:rsidRDefault="00B551B3" w:rsidP="008A5B47">
      <w:pPr>
        <w:pStyle w:val="FootnoteTextForceStyle"/>
        <w:rPr>
          <w:lang w:val="da-DK"/>
        </w:rPr>
      </w:pPr>
      <w:r>
        <w:rPr>
          <w:vertAlign w:val="superscript"/>
        </w:rPr>
        <w:footnoteRef/>
      </w:r>
      <w:r w:rsidRPr="008A5B47">
        <w:rPr>
          <w:lang w:val="da-DK"/>
        </w:rPr>
        <w:tab/>
        <w:t>Rådets direktiv 91/271/EØF af 21. maj 1991 om rensning af byspildevand (EFT L 135 af 30.5.1991, s. 40).</w:t>
      </w:r>
    </w:p>
  </w:footnote>
  <w:footnote w:id="32">
    <w:p w14:paraId="33F094C0" w14:textId="77777777" w:rsidR="00B551B3" w:rsidRPr="008A5B47" w:rsidRDefault="00B551B3" w:rsidP="008A5B47">
      <w:pPr>
        <w:pStyle w:val="FootnoteTextForceStyle"/>
        <w:rPr>
          <w:lang w:val="da-DK"/>
        </w:rPr>
      </w:pPr>
      <w:r>
        <w:rPr>
          <w:vertAlign w:val="superscript"/>
        </w:rPr>
        <w:footnoteRef/>
      </w:r>
      <w:r w:rsidRPr="008A5B47">
        <w:rPr>
          <w:lang w:val="da-DK"/>
        </w:rPr>
        <w:tab/>
      </w:r>
      <w:r w:rsidRPr="008A5B47">
        <w:rPr>
          <w:b/>
          <w:i/>
          <w:lang w:val="da-DK"/>
        </w:rPr>
        <w:t>Transkriptomisk signalering i zebrafiskembryoner eksponeret for miljøkoncentrationer af glyphosat, 2022. Effekter af lavkoncentreret glyphosat og aminomethylphosphonsyre på embryoudviklingen hos zebrafisk, 2021. Global transkriptomisk profilering demonstrerer induktion af oxidativ stress og kompenserende cellulære stressreaktioner i brun ørred udsat for glyphosat og Roundup, 2018.</w:t>
      </w:r>
    </w:p>
  </w:footnote>
  <w:footnote w:id="33">
    <w:p w14:paraId="2F876756" w14:textId="77777777" w:rsidR="00B551B3" w:rsidRPr="008A5B47" w:rsidRDefault="00B551B3" w:rsidP="008A5B47">
      <w:pPr>
        <w:pStyle w:val="FootnoteTextForceStyle"/>
        <w:rPr>
          <w:lang w:val="da-DK"/>
        </w:rPr>
      </w:pPr>
      <w:r>
        <w:rPr>
          <w:vertAlign w:val="superscript"/>
        </w:rPr>
        <w:footnoteRef/>
      </w:r>
      <w:r w:rsidRPr="008A5B47">
        <w:rPr>
          <w:lang w:val="da-DK"/>
        </w:rPr>
        <w:tab/>
      </w:r>
      <w:r w:rsidRPr="008A5B47">
        <w:rPr>
          <w:b/>
          <w:i/>
          <w:lang w:val="da-DK"/>
        </w:rPr>
        <w:t>Kommissionens beslutning 2004/248/EF af 10. marts 2004 om afvisning af at optage atrazin i bilag I til Rådets direktiv 91/414/EØF og om tilbagekaldelse af godkendelser af plantebeskyttelsesmidler, der indeholder dette aktive stof (EUT L 78 af 16.3.2004, s. 53).</w:t>
      </w:r>
    </w:p>
  </w:footnote>
  <w:footnote w:id="34">
    <w:p w14:paraId="7894230F" w14:textId="77777777" w:rsidR="00B551B3" w:rsidRPr="008A5B47" w:rsidRDefault="00B551B3" w:rsidP="008A5B47">
      <w:pPr>
        <w:pStyle w:val="FootnoteTextForceStyle"/>
        <w:rPr>
          <w:lang w:val="da-DK"/>
        </w:rPr>
      </w:pPr>
      <w:r>
        <w:rPr>
          <w:vertAlign w:val="superscript"/>
        </w:rPr>
        <w:footnoteRef/>
      </w:r>
      <w:r w:rsidRPr="008A5B47">
        <w:rPr>
          <w:lang w:val="da-DK"/>
        </w:rPr>
        <w:tab/>
      </w:r>
      <w:r w:rsidRPr="008A5B47">
        <w:rPr>
          <w:b/>
          <w:i/>
          <w:lang w:val="da-DK"/>
        </w:rPr>
        <w:t>Europa-Parlamentets og Rådets direktiv (EU) 2020/2184 af 16. december 2020 om kvaliteten af drikkevand (omarbejdning) (EUT L 435 af 23.12.2020, s. 1).</w:t>
      </w:r>
    </w:p>
  </w:footnote>
  <w:footnote w:id="35">
    <w:p w14:paraId="6611E7F7" w14:textId="77777777" w:rsidR="00B551B3" w:rsidRDefault="00B551B3" w:rsidP="008A5B47">
      <w:pPr>
        <w:pStyle w:val="FootnoteTextForceStyle"/>
      </w:pPr>
      <w:r>
        <w:rPr>
          <w:vertAlign w:val="superscript"/>
        </w:rPr>
        <w:footnoteRef/>
      </w:r>
      <w:r>
        <w:tab/>
      </w:r>
      <w:r>
        <w:rPr>
          <w:b/>
          <w:i/>
        </w:rPr>
        <w:t>SCHEER. Contribution to ENV consultation: Comments on the Commission's proposal for amending the WFD/GWD/EQSD, marts 2023. SCHEER. Groundwater quality standards for proposed additional pollutants in the annexes to the Groundwater Directive (2006/118/EC), juli 2022.</w:t>
      </w:r>
    </w:p>
  </w:footnote>
  <w:footnote w:id="36">
    <w:p w14:paraId="57FCCFC3" w14:textId="48A34FBB" w:rsidR="00B551B3" w:rsidRDefault="00B551B3" w:rsidP="008A5B47">
      <w:pPr>
        <w:pStyle w:val="FootnoteTextForceStyle"/>
      </w:pPr>
      <w:r>
        <w:rPr>
          <w:vertAlign w:val="superscript"/>
        </w:rPr>
        <w:footnoteRef/>
      </w:r>
      <w:r>
        <w:tab/>
      </w:r>
      <w:r>
        <w:rPr>
          <w:b/>
          <w:i/>
        </w:rPr>
        <w:t xml:space="preserve">EMA. Assessing the toxicological risk to human health and groundwater communities from veterinary pharmaceuticals in groundwater - Scientific guideline, </w:t>
      </w:r>
      <w:r w:rsidR="0020160F">
        <w:rPr>
          <w:b/>
          <w:i/>
        </w:rPr>
        <w:t>a</w:t>
      </w:r>
      <w:r>
        <w:rPr>
          <w:b/>
          <w:i/>
        </w:rPr>
        <w:t>pril 2018.</w:t>
      </w:r>
    </w:p>
  </w:footnote>
  <w:footnote w:id="37">
    <w:p w14:paraId="18BB4E4C" w14:textId="77777777" w:rsidR="00B551B3" w:rsidRDefault="00B551B3" w:rsidP="008A5B47">
      <w:pPr>
        <w:pStyle w:val="FootnoteTextForceStyle"/>
      </w:pPr>
      <w:r>
        <w:rPr>
          <w:vertAlign w:val="superscript"/>
        </w:rPr>
        <w:footnoteRef/>
      </w:r>
      <w:r>
        <w:tab/>
      </w:r>
      <w:r>
        <w:rPr>
          <w:b/>
          <w:i/>
        </w:rPr>
        <w:t>European Groundwater Memorandum: To secure the quality and quantity of drinking water for future generations, marts 2022.</w:t>
      </w:r>
    </w:p>
  </w:footnote>
  <w:footnote w:id="38">
    <w:p w14:paraId="64B78702" w14:textId="77777777" w:rsidR="00B551B3" w:rsidRDefault="00B551B3" w:rsidP="008A5B47">
      <w:pPr>
        <w:pStyle w:val="FootnoteTextForceStyle"/>
      </w:pPr>
      <w:r>
        <w:rPr>
          <w:vertAlign w:val="superscript"/>
        </w:rPr>
        <w:footnoteRef/>
      </w:r>
      <w:r>
        <w:tab/>
      </w:r>
      <w:r>
        <w:rPr>
          <w:b/>
          <w:i/>
        </w:rPr>
        <w:t>EMA, Assessing the toxicological risk to human health and groundwater communities from veterinary pharmaceuticals in groundwater - Scientific guideline, april 2018.</w:t>
      </w:r>
    </w:p>
  </w:footnote>
  <w:footnote w:id="39">
    <w:p w14:paraId="6FC349EA" w14:textId="77777777" w:rsidR="00B551B3" w:rsidRPr="008A5B47" w:rsidRDefault="00B551B3" w:rsidP="008A5B47">
      <w:pPr>
        <w:pStyle w:val="FootnoteTextForceStyle"/>
        <w:rPr>
          <w:lang w:val="da-DK"/>
        </w:rPr>
      </w:pPr>
      <w:r>
        <w:rPr>
          <w:vertAlign w:val="superscript"/>
        </w:rPr>
        <w:footnoteRef/>
      </w:r>
      <w:r w:rsidRPr="008A5B47">
        <w:rPr>
          <w:lang w:val="da-DK"/>
        </w:rPr>
        <w:tab/>
        <w:t>Europa-Parlamentets og Rådets direktiv (EU) 2020/2184 af 16. december 2020 om kvaliteten af drikkevand (omarbejdning) (EUT L 435 af 23.12.2020, s. 1).</w:t>
      </w:r>
    </w:p>
  </w:footnote>
  <w:footnote w:id="40">
    <w:p w14:paraId="31F78F51" w14:textId="77777777" w:rsidR="00B551B3" w:rsidRDefault="00B551B3" w:rsidP="008A5B47">
      <w:pPr>
        <w:pStyle w:val="FootnoteTextForceStyle"/>
      </w:pPr>
      <w:r>
        <w:rPr>
          <w:vertAlign w:val="superscript"/>
        </w:rPr>
        <w:footnoteRef/>
      </w:r>
      <w:r>
        <w:tab/>
      </w:r>
      <w:r>
        <w:rPr>
          <w:b/>
          <w:i/>
        </w:rPr>
        <w:t>"Global burden of bacterial antimicrobial resistance in 2019: a systematic analysis", The Lancet, 19. januar 2022 https://www.sciencedirect.com/science/article/pii/S0140673621027240?via%3Dihub.</w:t>
      </w:r>
    </w:p>
  </w:footnote>
  <w:footnote w:id="41">
    <w:p w14:paraId="0141F344" w14:textId="77777777" w:rsidR="00B551B3" w:rsidRDefault="00B551B3" w:rsidP="008A5B47">
      <w:pPr>
        <w:pStyle w:val="FootnoteTextForceStyle"/>
      </w:pPr>
      <w:r>
        <w:rPr>
          <w:vertAlign w:val="superscript"/>
        </w:rPr>
        <w:footnoteRef/>
      </w:r>
      <w:r>
        <w:tab/>
      </w:r>
      <w:r>
        <w:rPr>
          <w:b/>
          <w:i/>
        </w:rPr>
        <w:t>https://www.sciencedirect.com/science/article/pii/S2352186422000724</w:t>
      </w:r>
    </w:p>
  </w:footnote>
  <w:footnote w:id="42">
    <w:p w14:paraId="5A1E2D33" w14:textId="77777777" w:rsidR="00B551B3" w:rsidRDefault="00B551B3" w:rsidP="008A5B47">
      <w:pPr>
        <w:pStyle w:val="FootnoteTextForceStyle"/>
      </w:pPr>
      <w:r>
        <w:rPr>
          <w:vertAlign w:val="superscript"/>
        </w:rPr>
        <w:footnoteRef/>
      </w:r>
      <w:r>
        <w:tab/>
        <w:t xml:space="preserve">Arbejdsdokument fra Kommissionens tjenestegrene </w:t>
      </w:r>
      <w:r>
        <w:rPr>
          <w:strike/>
        </w:rPr>
        <w:t>—</w:t>
      </w:r>
      <w:r>
        <w:rPr>
          <w:b/>
          <w:i/>
        </w:rPr>
        <w:t>–</w:t>
      </w:r>
      <w:r>
        <w:t xml:space="preserve"> Fitness Check of the Water Framework Directive, Groundwater Directive, Environmental Quality Standards Directive and Floods Directive (SWD(2019)</w:t>
      </w:r>
      <w:r>
        <w:rPr>
          <w:strike/>
        </w:rPr>
        <w:t xml:space="preserve"> 439 final</w:t>
      </w:r>
      <w:r>
        <w:rPr>
          <w:b/>
          <w:i/>
        </w:rPr>
        <w:t>0439</w:t>
      </w:r>
      <w:r>
        <w:t>).</w:t>
      </w:r>
    </w:p>
  </w:footnote>
  <w:footnote w:id="43">
    <w:p w14:paraId="52B8F1E4" w14:textId="77777777" w:rsidR="00B551B3" w:rsidRDefault="00B551B3" w:rsidP="008A5B47">
      <w:pPr>
        <w:pStyle w:val="FootnoteTextForceStyle"/>
      </w:pPr>
      <w:r>
        <w:rPr>
          <w:vertAlign w:val="superscript"/>
        </w:rPr>
        <w:footnoteRef/>
      </w:r>
      <w:r>
        <w:tab/>
      </w:r>
      <w:r>
        <w:rPr>
          <w:b/>
          <w:i/>
        </w:rPr>
        <w:t>https://www.igb-berlin.de/sites/default/files/media-files/download-files/IGB_Policy_Brief_WFD_2019.pdf.</w:t>
      </w:r>
    </w:p>
  </w:footnote>
  <w:footnote w:id="44">
    <w:p w14:paraId="1C24A081" w14:textId="77777777" w:rsidR="00B551B3" w:rsidRPr="008A5B47" w:rsidRDefault="00B551B3" w:rsidP="008A5B47">
      <w:pPr>
        <w:pStyle w:val="FootnoteTextForceStyle"/>
        <w:rPr>
          <w:lang w:val="da-DK"/>
        </w:rPr>
      </w:pPr>
      <w:r>
        <w:rPr>
          <w:vertAlign w:val="superscript"/>
        </w:rPr>
        <w:footnoteRef/>
      </w:r>
      <w:r w:rsidRPr="008A5B47">
        <w:rPr>
          <w:lang w:val="da-DK"/>
        </w:rPr>
        <w:tab/>
        <w:t>Europa-Parlamentets og Rådets direktiv 2007/2/EF af 14. marts 2007 om opbygning af en infrastruktur for geografisk information i Det Europæiske Fællesskab (Inspire) (EUT L 108 af 25.4.2007, s. 1).</w:t>
      </w:r>
    </w:p>
  </w:footnote>
  <w:footnote w:id="45">
    <w:p w14:paraId="442E4530" w14:textId="77777777" w:rsidR="00B551B3" w:rsidRPr="008A5B47" w:rsidRDefault="00B551B3" w:rsidP="008A5B47">
      <w:pPr>
        <w:pStyle w:val="FootnoteTextForceStyle"/>
        <w:rPr>
          <w:lang w:val="da-DK"/>
        </w:rPr>
      </w:pPr>
      <w:r>
        <w:rPr>
          <w:vertAlign w:val="superscript"/>
        </w:rPr>
        <w:footnoteRef/>
      </w:r>
      <w:r w:rsidRPr="008A5B47">
        <w:rPr>
          <w:lang w:val="da-DK"/>
        </w:rPr>
        <w:tab/>
        <w:t>Europa-Parlamentets og Rådets direktiv (EU) 2019/1024 af 20. juni 2019 om åbne data og videreanvendelse af den offentlige sektors informationer (EUT L 172 af 26.6.2019, s. 56).</w:t>
      </w:r>
    </w:p>
  </w:footnote>
  <w:footnote w:id="46">
    <w:p w14:paraId="3E21117D" w14:textId="77777777" w:rsidR="00B551B3" w:rsidRPr="008A5B47" w:rsidRDefault="00B551B3" w:rsidP="008A5B47">
      <w:pPr>
        <w:pStyle w:val="FootnoteTextForceStyle"/>
        <w:rPr>
          <w:lang w:val="da-DK"/>
        </w:rPr>
      </w:pPr>
      <w:r w:rsidRPr="0020160F">
        <w:rPr>
          <w:strike/>
          <w:vertAlign w:val="superscript"/>
        </w:rPr>
        <w:footnoteRef/>
      </w:r>
      <w:r w:rsidRPr="008A5B47">
        <w:rPr>
          <w:lang w:val="da-DK"/>
        </w:rPr>
        <w:tab/>
      </w:r>
      <w:r w:rsidRPr="008A5B47">
        <w:rPr>
          <w:strike/>
          <w:lang w:val="da-DK"/>
        </w:rPr>
        <w:t>Europa-Parlamentets og Rådets forordning (EF) nr. 166/2006 af 18. januar 2006 om oprettelse af et europæisk register over udledning og overførsel af forurenende stoffer og om ændring af Rådets direktiv 91/689/EØF og 96/61/EF (EUT L 33 af 4.2.2006, s. 1).</w:t>
      </w:r>
    </w:p>
  </w:footnote>
  <w:footnote w:id="47">
    <w:p w14:paraId="15A8B417" w14:textId="77777777" w:rsidR="00B551B3" w:rsidRPr="008A5B47" w:rsidRDefault="00B551B3" w:rsidP="008A5B47">
      <w:pPr>
        <w:pStyle w:val="FootnoteTextForceStyle"/>
        <w:rPr>
          <w:lang w:val="da-DK"/>
        </w:rPr>
      </w:pPr>
      <w:r>
        <w:rPr>
          <w:vertAlign w:val="superscript"/>
        </w:rPr>
        <w:footnoteRef/>
      </w:r>
      <w:r w:rsidRPr="008A5B47">
        <w:rPr>
          <w:lang w:val="da-DK"/>
        </w:rPr>
        <w:tab/>
        <w:t>Europa-Parlamentets og Rådets forordning (EU) nr. 182/2011 af 16. februar 2011 om de generelle regler og principper for, hvordan medlemsstaterne skal kontrollere Kommissionens udøvelse af gennemførelsesbeføjelser (EUT L 55 af 28.2.2011, s. 13).</w:t>
      </w:r>
    </w:p>
  </w:footnote>
  <w:footnote w:id="48">
    <w:p w14:paraId="04119B5E" w14:textId="37BC77EF" w:rsidR="00B551B3" w:rsidRPr="001E74BE" w:rsidRDefault="00B551B3" w:rsidP="008A5B47">
      <w:pPr>
        <w:pStyle w:val="FootnoteTextForceStyle"/>
        <w:rPr>
          <w:lang w:val="da-DK"/>
        </w:rPr>
      </w:pPr>
      <w:r>
        <w:rPr>
          <w:vertAlign w:val="superscript"/>
        </w:rPr>
        <w:footnoteRef/>
      </w:r>
      <w:r w:rsidRPr="001E74BE">
        <w:rPr>
          <w:lang w:val="da-DK"/>
        </w:rPr>
        <w:tab/>
      </w:r>
      <w:r w:rsidRPr="001E74BE">
        <w:rPr>
          <w:vertAlign w:val="superscript"/>
          <w:lang w:val="da-DK"/>
        </w:rPr>
        <w:t>+</w:t>
      </w:r>
      <w:r w:rsidR="007F0C7C" w:rsidRPr="001E74BE">
        <w:rPr>
          <w:lang w:val="da-DK"/>
        </w:rPr>
        <w:t xml:space="preserve">EUT: Indsæt venligst i teksten nummeret på den forordning, der er indeholdt i dokument </w:t>
      </w:r>
      <w:r w:rsidR="007F0C7C">
        <w:rPr>
          <w:lang w:val="da-DK"/>
        </w:rPr>
        <w:t>COM(2022)0157</w:t>
      </w:r>
      <w:r w:rsidR="007F0C7C" w:rsidRPr="001E74BE">
        <w:rPr>
          <w:lang w:val="da-DK"/>
        </w:rPr>
        <w:t>, og indsæt nummer, navn, dato, titel og EUT-henvisning for nævnte forordning i fodnoten.</w:t>
      </w:r>
    </w:p>
  </w:footnote>
  <w:footnote w:id="49">
    <w:p w14:paraId="328223CA" w14:textId="77777777" w:rsidR="00B551B3" w:rsidRPr="008A5B47" w:rsidRDefault="00B551B3" w:rsidP="008A5B47">
      <w:pPr>
        <w:pStyle w:val="FootnoteTextForceStyle"/>
        <w:rPr>
          <w:lang w:val="da-DK"/>
        </w:rPr>
      </w:pPr>
      <w:r>
        <w:rPr>
          <w:vertAlign w:val="superscript"/>
        </w:rPr>
        <w:footnoteRef/>
      </w:r>
      <w:r w:rsidRPr="008A5B47">
        <w:rPr>
          <w:lang w:val="da-DK"/>
        </w:rPr>
        <w:tab/>
      </w:r>
      <w:r w:rsidRPr="008A5B47">
        <w:rPr>
          <w:b/>
          <w:i/>
          <w:lang w:val="da-DK"/>
        </w:rPr>
        <w:t>Sag C-826/18, Domstolens dom (Første Afdeling) af 28. maj 2020, IL m.fl. mod delstaten Nordrhein-Westfalen. Sag C-664/15, Domstolens dom (Første Afdeling) af 20. december 2017, Protect Natur- Arten- und Landschaftsschutz Umweltorganisation mod Bezirkshauptmannschaft Gmünd.</w:t>
      </w:r>
    </w:p>
  </w:footnote>
  <w:footnote w:id="50">
    <w:p w14:paraId="45A3D087" w14:textId="77777777" w:rsidR="00B551B3" w:rsidRPr="008A5B47" w:rsidRDefault="00B551B3" w:rsidP="008A5B47">
      <w:pPr>
        <w:pStyle w:val="FootnoteTextForceStyle"/>
        <w:rPr>
          <w:lang w:val="da-DK"/>
        </w:rPr>
      </w:pPr>
      <w:r>
        <w:rPr>
          <w:vertAlign w:val="superscript"/>
        </w:rPr>
        <w:footnoteRef/>
      </w:r>
      <w:r w:rsidRPr="008A5B47">
        <w:rPr>
          <w:lang w:val="da-DK"/>
        </w:rPr>
        <w:tab/>
        <w:t>Europa-Parlamentets og Rådets afgørelse nr. 1313/2013/EU af 17. december 2013 om en EU-civilbeskyttelsesmekanisme (EUT L 347 af 20.12.2013, s. 924).</w:t>
      </w:r>
    </w:p>
  </w:footnote>
  <w:footnote w:id="51">
    <w:p w14:paraId="3883A435" w14:textId="77777777" w:rsidR="00B551B3" w:rsidRPr="008A5B47" w:rsidRDefault="00B551B3" w:rsidP="008A5B47">
      <w:pPr>
        <w:pStyle w:val="FootnoteTextForceStyle"/>
        <w:rPr>
          <w:lang w:val="da-DK"/>
        </w:rPr>
      </w:pPr>
      <w:r>
        <w:rPr>
          <w:vertAlign w:val="superscript"/>
        </w:rPr>
        <w:footnoteRef/>
      </w:r>
      <w:r>
        <w:tab/>
      </w:r>
      <w:r>
        <w:rPr>
          <w:b/>
          <w:i/>
        </w:rPr>
        <w:t xml:space="preserve">OECD, 6th Roundtable on Financing Water. </w:t>
      </w:r>
      <w:r w:rsidRPr="008A5B47">
        <w:rPr>
          <w:b/>
          <w:i/>
          <w:lang w:val="da-DK"/>
        </w:rPr>
        <w:t>Findes her: https://www.oecd.org/water/6th-Roundtable-on-Financing-Water-in-Europe-Summary-and-Highlights.pdf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3478452A"/>
    <w:lvl w:ilvl="0">
      <w:start w:val="1"/>
      <w:numFmt w:val="decimal"/>
      <w:pStyle w:val="ThetitleofAnnexIPoint0number"/>
      <w:lvlText w:val="%1."/>
      <w:lvlJc w:val="left"/>
      <w:pPr>
        <w:tabs>
          <w:tab w:val="num" w:pos="926"/>
        </w:tabs>
        <w:ind w:left="926" w:hanging="360"/>
      </w:p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4" w15:restartNumberingAfterBreak="0">
    <w:nsid w:val="13E4330B"/>
    <w:multiLevelType w:val="multilevel"/>
    <w:tmpl w:val="643A6648"/>
    <w:name w:val="List Dash 3"/>
    <w:lvl w:ilvl="0">
      <w:start w:val="1"/>
      <w:numFmt w:val="decimal"/>
      <w:pStyle w:val="ListNumber1"/>
      <w:lvlText w:val="(%1)"/>
      <w:lvlJc w:val="left"/>
      <w:pPr>
        <w:tabs>
          <w:tab w:val="num" w:pos="1701"/>
        </w:tabs>
        <w:ind w:left="1701"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398C015E"/>
    <w:multiLevelType w:val="multilevel"/>
    <w:tmpl w:val="4F4EEA34"/>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0"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1"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538806B0"/>
    <w:name w:val="0.6719891"/>
    <w:lvl w:ilvl="0">
      <w:start w:val="1"/>
      <w:numFmt w:val="decimal"/>
      <w:lvlRestart w:val="0"/>
      <w:pStyle w:val="ListNumber"/>
      <w:lvlText w:val="(%1)"/>
      <w:lvlJc w:val="left"/>
      <w:pPr>
        <w:tabs>
          <w:tab w:val="num" w:pos="1276"/>
        </w:tabs>
        <w:ind w:left="1276"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0"/>
  </w:num>
  <w:num w:numId="2">
    <w:abstractNumId w:val="2"/>
  </w:num>
  <w:num w:numId="3">
    <w:abstractNumId w:val="13"/>
  </w:num>
  <w:num w:numId="4">
    <w:abstractNumId w:val="5"/>
  </w:num>
  <w:num w:numId="5">
    <w:abstractNumId w:val="1"/>
  </w:num>
  <w:num w:numId="6">
    <w:abstractNumId w:val="10"/>
  </w:num>
  <w:num w:numId="7">
    <w:abstractNumId w:val="20"/>
  </w:num>
  <w:num w:numId="8">
    <w:abstractNumId w:val="19"/>
  </w:num>
  <w:num w:numId="9">
    <w:abstractNumId w:val="28"/>
  </w:num>
  <w:num w:numId="10">
    <w:abstractNumId w:val="3"/>
  </w:num>
  <w:num w:numId="11">
    <w:abstractNumId w:val="12"/>
  </w:num>
  <w:num w:numId="12">
    <w:abstractNumId w:val="4"/>
  </w:num>
  <w:num w:numId="13">
    <w:abstractNumId w:val="14"/>
  </w:num>
  <w:num w:numId="14">
    <w:abstractNumId w:val="11"/>
  </w:num>
  <w:num w:numId="15">
    <w:abstractNumId w:val="21"/>
  </w:num>
  <w:num w:numId="16">
    <w:abstractNumId w:val="9"/>
  </w:num>
  <w:num w:numId="17">
    <w:abstractNumId w:val="25"/>
  </w:num>
  <w:num w:numId="18">
    <w:abstractNumId w:val="15"/>
  </w:num>
  <w:num w:numId="19">
    <w:abstractNumId w:val="27"/>
  </w:num>
  <w:num w:numId="20">
    <w:abstractNumId w:val="8"/>
  </w:num>
  <w:num w:numId="21">
    <w:abstractNumId w:val="16"/>
  </w:num>
  <w:num w:numId="22">
    <w:abstractNumId w:val="17"/>
  </w:num>
  <w:num w:numId="23">
    <w:abstractNumId w:val="6"/>
  </w:num>
  <w:num w:numId="24">
    <w:abstractNumId w:val="18"/>
  </w:num>
  <w:num w:numId="25">
    <w:abstractNumId w:val="23"/>
  </w:num>
  <w:num w:numId="26">
    <w:abstractNumId w:val="24"/>
  </w:num>
  <w:num w:numId="27">
    <w:abstractNumId w:val="7"/>
  </w:num>
  <w:num w:numId="28">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38/2023"/>
    <w:docVar w:name="dvlangue" w:val="DA"/>
    <w:docVar w:name="dvnumam" w:val="228"/>
    <w:docVar w:name="dvpe" w:val="740.884"/>
    <w:docVar w:name="dvrapporteur" w:val="Ordfører: "/>
    <w:docVar w:name="dvstar" w:val="***I"/>
    <w:docVar w:name="dvtitre" w:val="Europa-Parlamentets lovgivningsmæssige beslutning af xx. september 2023 om forslag til Europa-Parlamentets og Rådets direktiv om ændring af direktiv 2000/60/EF om fastlæggelse af en ramme for Fællesskabets vandpolitiske foranstaltninger, direktiv 2006/118/EF om beskyttelse af grundvandet mod forurening og forringelse og direktiv 2008/105/EF om miljøkvalitetskrav inden for vandpolitikken(COM(2022)0540 – C9-0361/2022 – 2022/0344(COD))"/>
  </w:docVars>
  <w:rsids>
    <w:rsidRoot w:val="00B2162B"/>
    <w:rsid w:val="00002272"/>
    <w:rsid w:val="00020719"/>
    <w:rsid w:val="00051BEA"/>
    <w:rsid w:val="00064002"/>
    <w:rsid w:val="000677B9"/>
    <w:rsid w:val="000831BA"/>
    <w:rsid w:val="000A1EA9"/>
    <w:rsid w:val="000A2EE6"/>
    <w:rsid w:val="000A42CC"/>
    <w:rsid w:val="000B3969"/>
    <w:rsid w:val="000E2BDD"/>
    <w:rsid w:val="000E7DD9"/>
    <w:rsid w:val="000F0AAE"/>
    <w:rsid w:val="000F6DE2"/>
    <w:rsid w:val="0010095E"/>
    <w:rsid w:val="00110B7E"/>
    <w:rsid w:val="0012005E"/>
    <w:rsid w:val="00125B37"/>
    <w:rsid w:val="001302AA"/>
    <w:rsid w:val="00187494"/>
    <w:rsid w:val="001C6EC5"/>
    <w:rsid w:val="001E74BE"/>
    <w:rsid w:val="001F32AE"/>
    <w:rsid w:val="0020160F"/>
    <w:rsid w:val="0021233F"/>
    <w:rsid w:val="00256279"/>
    <w:rsid w:val="002767FF"/>
    <w:rsid w:val="00282B72"/>
    <w:rsid w:val="00283CCD"/>
    <w:rsid w:val="002B18FE"/>
    <w:rsid w:val="002B5493"/>
    <w:rsid w:val="002B5CCC"/>
    <w:rsid w:val="002E3759"/>
    <w:rsid w:val="00307670"/>
    <w:rsid w:val="00310125"/>
    <w:rsid w:val="00343214"/>
    <w:rsid w:val="00350DAB"/>
    <w:rsid w:val="00361C00"/>
    <w:rsid w:val="0036499A"/>
    <w:rsid w:val="003748B0"/>
    <w:rsid w:val="00393250"/>
    <w:rsid w:val="00395FA1"/>
    <w:rsid w:val="003B18E9"/>
    <w:rsid w:val="003C5218"/>
    <w:rsid w:val="003E15D4"/>
    <w:rsid w:val="00411CCE"/>
    <w:rsid w:val="0041666E"/>
    <w:rsid w:val="00421060"/>
    <w:rsid w:val="00456FBA"/>
    <w:rsid w:val="00471C19"/>
    <w:rsid w:val="00480076"/>
    <w:rsid w:val="004864F1"/>
    <w:rsid w:val="0048673E"/>
    <w:rsid w:val="004867E3"/>
    <w:rsid w:val="00494A28"/>
    <w:rsid w:val="004C0004"/>
    <w:rsid w:val="004C2200"/>
    <w:rsid w:val="004C5D52"/>
    <w:rsid w:val="004D1EEC"/>
    <w:rsid w:val="0050519A"/>
    <w:rsid w:val="005072A1"/>
    <w:rsid w:val="00514517"/>
    <w:rsid w:val="00514597"/>
    <w:rsid w:val="00520E08"/>
    <w:rsid w:val="00523330"/>
    <w:rsid w:val="005239E9"/>
    <w:rsid w:val="005414BA"/>
    <w:rsid w:val="00545827"/>
    <w:rsid w:val="005563FC"/>
    <w:rsid w:val="00560270"/>
    <w:rsid w:val="0058218F"/>
    <w:rsid w:val="0058381C"/>
    <w:rsid w:val="00596977"/>
    <w:rsid w:val="005A485C"/>
    <w:rsid w:val="005B0954"/>
    <w:rsid w:val="005C2568"/>
    <w:rsid w:val="005C67E5"/>
    <w:rsid w:val="005C70E6"/>
    <w:rsid w:val="005D4599"/>
    <w:rsid w:val="005E0B54"/>
    <w:rsid w:val="006037C0"/>
    <w:rsid w:val="00605B85"/>
    <w:rsid w:val="006631B6"/>
    <w:rsid w:val="006654C4"/>
    <w:rsid w:val="00680577"/>
    <w:rsid w:val="006903C4"/>
    <w:rsid w:val="006960E1"/>
    <w:rsid w:val="006B5D95"/>
    <w:rsid w:val="006D4D4C"/>
    <w:rsid w:val="006D50BC"/>
    <w:rsid w:val="006F74FA"/>
    <w:rsid w:val="00731ADD"/>
    <w:rsid w:val="00731DB1"/>
    <w:rsid w:val="0073418A"/>
    <w:rsid w:val="00734777"/>
    <w:rsid w:val="00747932"/>
    <w:rsid w:val="00751A4A"/>
    <w:rsid w:val="0075413E"/>
    <w:rsid w:val="00756632"/>
    <w:rsid w:val="00762C74"/>
    <w:rsid w:val="00786EC0"/>
    <w:rsid w:val="00793786"/>
    <w:rsid w:val="007C4BE5"/>
    <w:rsid w:val="007D1690"/>
    <w:rsid w:val="007E22AD"/>
    <w:rsid w:val="007F0C7C"/>
    <w:rsid w:val="00804E44"/>
    <w:rsid w:val="00817416"/>
    <w:rsid w:val="008265CA"/>
    <w:rsid w:val="00835794"/>
    <w:rsid w:val="00841015"/>
    <w:rsid w:val="00842779"/>
    <w:rsid w:val="00865F67"/>
    <w:rsid w:val="008806C9"/>
    <w:rsid w:val="00881A7B"/>
    <w:rsid w:val="008840E5"/>
    <w:rsid w:val="00887B3E"/>
    <w:rsid w:val="008A5B47"/>
    <w:rsid w:val="008B533B"/>
    <w:rsid w:val="008B5EFB"/>
    <w:rsid w:val="008C1712"/>
    <w:rsid w:val="008C2AC6"/>
    <w:rsid w:val="008D4251"/>
    <w:rsid w:val="00903A98"/>
    <w:rsid w:val="00922E52"/>
    <w:rsid w:val="00930C23"/>
    <w:rsid w:val="0093193B"/>
    <w:rsid w:val="00932CDE"/>
    <w:rsid w:val="0094221B"/>
    <w:rsid w:val="00946C35"/>
    <w:rsid w:val="009509D8"/>
    <w:rsid w:val="00950B64"/>
    <w:rsid w:val="009564BD"/>
    <w:rsid w:val="00957F77"/>
    <w:rsid w:val="0096482C"/>
    <w:rsid w:val="00971D22"/>
    <w:rsid w:val="00981893"/>
    <w:rsid w:val="009866B3"/>
    <w:rsid w:val="00993DD4"/>
    <w:rsid w:val="009A0B7F"/>
    <w:rsid w:val="009B4CFE"/>
    <w:rsid w:val="009D72A6"/>
    <w:rsid w:val="009F6840"/>
    <w:rsid w:val="00A155CA"/>
    <w:rsid w:val="00A1687D"/>
    <w:rsid w:val="00A2299C"/>
    <w:rsid w:val="00A43E52"/>
    <w:rsid w:val="00A4678D"/>
    <w:rsid w:val="00A6038C"/>
    <w:rsid w:val="00A71DA3"/>
    <w:rsid w:val="00A778C7"/>
    <w:rsid w:val="00A94F2E"/>
    <w:rsid w:val="00AB3008"/>
    <w:rsid w:val="00AB441E"/>
    <w:rsid w:val="00AB6293"/>
    <w:rsid w:val="00AE0928"/>
    <w:rsid w:val="00AF3B82"/>
    <w:rsid w:val="00B12E95"/>
    <w:rsid w:val="00B2162B"/>
    <w:rsid w:val="00B22876"/>
    <w:rsid w:val="00B30EDA"/>
    <w:rsid w:val="00B32CF9"/>
    <w:rsid w:val="00B35773"/>
    <w:rsid w:val="00B551B3"/>
    <w:rsid w:val="00B558F0"/>
    <w:rsid w:val="00B8698F"/>
    <w:rsid w:val="00BD48FE"/>
    <w:rsid w:val="00BD7BD8"/>
    <w:rsid w:val="00BE3901"/>
    <w:rsid w:val="00BE6604"/>
    <w:rsid w:val="00BE6ADC"/>
    <w:rsid w:val="00C05BFE"/>
    <w:rsid w:val="00C124CA"/>
    <w:rsid w:val="00C23CD4"/>
    <w:rsid w:val="00C277D7"/>
    <w:rsid w:val="00C40669"/>
    <w:rsid w:val="00C60D25"/>
    <w:rsid w:val="00C61C0C"/>
    <w:rsid w:val="00C941CB"/>
    <w:rsid w:val="00CC2357"/>
    <w:rsid w:val="00CF071A"/>
    <w:rsid w:val="00D058B8"/>
    <w:rsid w:val="00D1606C"/>
    <w:rsid w:val="00D43F91"/>
    <w:rsid w:val="00D55B6E"/>
    <w:rsid w:val="00D56C11"/>
    <w:rsid w:val="00D60959"/>
    <w:rsid w:val="00D66191"/>
    <w:rsid w:val="00D834A0"/>
    <w:rsid w:val="00D872DF"/>
    <w:rsid w:val="00D91E21"/>
    <w:rsid w:val="00DA738E"/>
    <w:rsid w:val="00DA7FCD"/>
    <w:rsid w:val="00DF51F1"/>
    <w:rsid w:val="00E01F46"/>
    <w:rsid w:val="00E03C75"/>
    <w:rsid w:val="00E16D64"/>
    <w:rsid w:val="00E174FC"/>
    <w:rsid w:val="00E17529"/>
    <w:rsid w:val="00E20874"/>
    <w:rsid w:val="00E365E1"/>
    <w:rsid w:val="00E7510C"/>
    <w:rsid w:val="00E820A4"/>
    <w:rsid w:val="00E83478"/>
    <w:rsid w:val="00E86A99"/>
    <w:rsid w:val="00EB006A"/>
    <w:rsid w:val="00EB4772"/>
    <w:rsid w:val="00EC1622"/>
    <w:rsid w:val="00ED169E"/>
    <w:rsid w:val="00ED4235"/>
    <w:rsid w:val="00EE36EC"/>
    <w:rsid w:val="00EF3814"/>
    <w:rsid w:val="00F04346"/>
    <w:rsid w:val="00F075DC"/>
    <w:rsid w:val="00F149E9"/>
    <w:rsid w:val="00F5134D"/>
    <w:rsid w:val="00F66D6F"/>
    <w:rsid w:val="00F74202"/>
    <w:rsid w:val="00F87713"/>
    <w:rsid w:val="00FB0C98"/>
    <w:rsid w:val="00FB4360"/>
    <w:rsid w:val="00FB4BC5"/>
    <w:rsid w:val="00FC5692"/>
    <w:rsid w:val="00FD0C70"/>
    <w:rsid w:val="00FE12C4"/>
    <w:rsid w:val="00FE333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406073"/>
  <w15:chartTrackingRefBased/>
  <w15:docId w15:val="{ABA2D046-7CAC-481D-A6B6-0B7E4141C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iPriority="35" w:unhideWhenUsed="1" w:qFormat="1"/>
    <w:lsdException w:name="table of authorities" w:uiPriority="0"/>
    <w:lsdException w:name="toa heading" w:uiPriority="0"/>
    <w:lsdException w:name="Title" w:uiPriority="10" w:qFormat="1"/>
    <w:lsdException w:name="Default Paragraph Font" w:uiPriority="0"/>
    <w:lsdException w:name="Subtitle" w:uiPriority="11" w:qFormat="1"/>
    <w:lsdException w:name="Salutation" w:uiPriority="0"/>
    <w:lsdException w:name="Date" w:uiPriority="0"/>
    <w:lsdException w:name="Note Heading" w:uiPriority="0"/>
    <w:lsdException w:name="Body Text 2" w:uiPriority="0"/>
    <w:lsdException w:name="Strong" w:uiPriority="22" w:qFormat="1"/>
    <w:lsdException w:name="Emphasis" w:uiPriority="20" w:qFormat="1"/>
    <w:lsdException w:name="HTML Top of Form" w:uiPriority="0"/>
    <w:lsdException w:name="HTML Bottom of Form" w:uiPriority="0"/>
    <w:lsdException w:name="Normal Table" w:semiHidden="1" w:uiPriority="0" w:unhideWhenUsed="1"/>
    <w:lsdException w:name="Outline List 1" w:uiPriority="0"/>
    <w:lsdException w:name="Outline List 2" w:uiPriority="0"/>
    <w:lsdException w:name="Outline List 3" w:uiPriority="0"/>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2"/>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2"/>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2"/>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3"/>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F6DE2"/>
    <w:rPr>
      <w:b/>
      <w:kern w:val="28"/>
      <w:sz w:val="28"/>
      <w:lang w:val="fr-FR" w:eastAsia="fr-FR"/>
    </w:rPr>
  </w:style>
  <w:style w:type="character" w:customStyle="1" w:styleId="Heading2Char">
    <w:name w:val="Heading 2 Char"/>
    <w:basedOn w:val="DefaultParagraphFont"/>
    <w:link w:val="Heading2"/>
    <w:uiPriority w:val="9"/>
    <w:semiHidden/>
    <w:rsid w:val="000F6DE2"/>
    <w:rPr>
      <w:sz w:val="24"/>
      <w:lang w:val="fr-FR" w:eastAsia="fr-FR"/>
    </w:rPr>
  </w:style>
  <w:style w:type="character" w:customStyle="1" w:styleId="Heading3Char">
    <w:name w:val="Heading 3 Char"/>
    <w:basedOn w:val="DefaultParagraphFont"/>
    <w:link w:val="Heading3"/>
    <w:uiPriority w:val="9"/>
    <w:semiHidden/>
    <w:rsid w:val="000F6DE2"/>
    <w:rPr>
      <w:rFonts w:ascii="Arial" w:hAnsi="Arial"/>
      <w:sz w:val="24"/>
      <w:lang w:val="fr-FR" w:eastAsia="fr-FR"/>
    </w:rPr>
  </w:style>
  <w:style w:type="character" w:customStyle="1" w:styleId="Heading4Char">
    <w:name w:val="Heading 4 Char"/>
    <w:basedOn w:val="DefaultParagraphFont"/>
    <w:link w:val="Heading4"/>
    <w:uiPriority w:val="9"/>
    <w:semiHidden/>
    <w:rsid w:val="000F6DE2"/>
    <w:rPr>
      <w:sz w:val="24"/>
      <w:lang w:val="en-US" w:eastAsia="fr-FR"/>
    </w:rPr>
  </w:style>
  <w:style w:type="character" w:customStyle="1" w:styleId="Heading5Char">
    <w:name w:val="Heading 5 Char"/>
    <w:basedOn w:val="DefaultParagraphFont"/>
    <w:link w:val="Heading5"/>
    <w:uiPriority w:val="9"/>
    <w:semiHidden/>
    <w:rsid w:val="000F6DE2"/>
    <w:rPr>
      <w:sz w:val="24"/>
      <w:lang w:val="en-US" w:eastAsia="fr-FR"/>
    </w:rPr>
  </w:style>
  <w:style w:type="character" w:customStyle="1" w:styleId="Heading6Char">
    <w:name w:val="Heading 6 Char"/>
    <w:basedOn w:val="DefaultParagraphFont"/>
    <w:link w:val="Heading6"/>
    <w:uiPriority w:val="9"/>
    <w:semiHidden/>
    <w:rsid w:val="000F6DE2"/>
    <w:rPr>
      <w:i/>
      <w:sz w:val="22"/>
      <w:lang w:val="da-DK"/>
    </w:rPr>
  </w:style>
  <w:style w:type="character" w:customStyle="1" w:styleId="Heading7Char">
    <w:name w:val="Heading 7 Char"/>
    <w:basedOn w:val="DefaultParagraphFont"/>
    <w:link w:val="Heading7"/>
    <w:uiPriority w:val="9"/>
    <w:semiHidden/>
    <w:rsid w:val="000F6DE2"/>
    <w:rPr>
      <w:rFonts w:ascii="Arial" w:hAnsi="Arial"/>
      <w:sz w:val="24"/>
      <w:lang w:val="da-DK"/>
    </w:rPr>
  </w:style>
  <w:style w:type="character" w:customStyle="1" w:styleId="Heading8Char">
    <w:name w:val="Heading 8 Char"/>
    <w:basedOn w:val="DefaultParagraphFont"/>
    <w:link w:val="Heading8"/>
    <w:uiPriority w:val="9"/>
    <w:rsid w:val="000F6DE2"/>
    <w:rPr>
      <w:rFonts w:ascii="Arial" w:hAnsi="Arial"/>
      <w:i/>
      <w:sz w:val="24"/>
      <w:lang w:val="da-DK"/>
    </w:rPr>
  </w:style>
  <w:style w:type="character" w:customStyle="1" w:styleId="Heading9Char">
    <w:name w:val="Heading 9 Char"/>
    <w:basedOn w:val="DefaultParagraphFont"/>
    <w:link w:val="Heading9"/>
    <w:uiPriority w:val="9"/>
    <w:rsid w:val="000F6DE2"/>
    <w:rPr>
      <w:rFonts w:ascii="Arial" w:hAnsi="Arial"/>
      <w:b/>
      <w:i/>
      <w:sz w:val="18"/>
      <w:lang w:val="da-DK"/>
    </w:rPr>
  </w:style>
  <w:style w:type="paragraph" w:styleId="TOCHeading">
    <w:name w:val="TOC Heading"/>
    <w:basedOn w:val="Normal"/>
    <w:next w:val="Normal"/>
    <w:uiPriority w:val="39"/>
    <w:unhideWhenUsed/>
    <w:qFormat/>
    <w:rsid w:val="000F6DE2"/>
    <w:pPr>
      <w:widowControl/>
      <w:spacing w:after="240"/>
    </w:pPr>
    <w:rPr>
      <w:lang w:val="en-GB"/>
    </w:rPr>
  </w:style>
  <w:style w:type="paragraph" w:customStyle="1" w:styleId="EPFooter2">
    <w:name w:val="EPFooter2"/>
    <w:basedOn w:val="Normal"/>
    <w:next w:val="Normal"/>
    <w:rsid w:val="000F6DE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F6DE2"/>
    <w:pPr>
      <w:keepNext/>
      <w:spacing w:after="240"/>
      <w:jc w:val="right"/>
    </w:pPr>
    <w:rPr>
      <w:rFonts w:ascii="Arial" w:hAnsi="Arial"/>
      <w:b/>
    </w:rPr>
  </w:style>
  <w:style w:type="paragraph" w:customStyle="1" w:styleId="Normal6a">
    <w:name w:val="Normal6a"/>
    <w:basedOn w:val="Normal"/>
    <w:rsid w:val="000F6DE2"/>
    <w:pPr>
      <w:spacing w:after="120"/>
    </w:pPr>
  </w:style>
  <w:style w:type="paragraph" w:customStyle="1" w:styleId="PageHeading">
    <w:name w:val="PageHeading"/>
    <w:basedOn w:val="Normal"/>
    <w:rsid w:val="000F6DE2"/>
    <w:pPr>
      <w:keepNext/>
      <w:spacing w:after="480"/>
      <w:jc w:val="center"/>
    </w:pPr>
    <w:rPr>
      <w:rFonts w:ascii="Arial" w:hAnsi="Arial" w:cs="Arial"/>
      <w:b/>
    </w:rPr>
  </w:style>
  <w:style w:type="paragraph" w:customStyle="1" w:styleId="NormalBold">
    <w:name w:val="NormalBold"/>
    <w:basedOn w:val="Normal"/>
    <w:link w:val="NormalBoldChar"/>
    <w:rsid w:val="000F6DE2"/>
    <w:rPr>
      <w:b/>
    </w:rPr>
  </w:style>
  <w:style w:type="character" w:customStyle="1" w:styleId="NormalBoldChar">
    <w:name w:val="NormalBold Char"/>
    <w:basedOn w:val="DefaultParagraphFont"/>
    <w:link w:val="NormalBold"/>
    <w:rsid w:val="000F6DE2"/>
    <w:rPr>
      <w:b/>
      <w:sz w:val="24"/>
      <w:lang w:val="da-DK"/>
    </w:rPr>
  </w:style>
  <w:style w:type="paragraph" w:customStyle="1" w:styleId="NormalBold12a">
    <w:name w:val="NormalBold12a"/>
    <w:basedOn w:val="Normal"/>
    <w:rsid w:val="000F6DE2"/>
    <w:pPr>
      <w:spacing w:after="240"/>
    </w:pPr>
    <w:rPr>
      <w:b/>
    </w:rPr>
  </w:style>
  <w:style w:type="paragraph" w:customStyle="1" w:styleId="AmJustText">
    <w:name w:val="AmJustText"/>
    <w:basedOn w:val="Normal"/>
    <w:rsid w:val="000F6DE2"/>
    <w:pPr>
      <w:spacing w:after="240"/>
    </w:pPr>
    <w:rPr>
      <w:i/>
    </w:rPr>
  </w:style>
  <w:style w:type="paragraph" w:customStyle="1" w:styleId="NormalHanging12a">
    <w:name w:val="NormalHanging12a"/>
    <w:basedOn w:val="Normal"/>
    <w:rsid w:val="000F6DE2"/>
    <w:pPr>
      <w:spacing w:after="240"/>
      <w:ind w:left="567" w:hanging="567"/>
    </w:pPr>
  </w:style>
  <w:style w:type="paragraph" w:customStyle="1" w:styleId="CoverNormal24a">
    <w:name w:val="CoverNormal24a"/>
    <w:basedOn w:val="Normal"/>
    <w:rsid w:val="000F6DE2"/>
    <w:pPr>
      <w:spacing w:after="480"/>
      <w:ind w:left="1417"/>
    </w:pPr>
  </w:style>
  <w:style w:type="paragraph" w:customStyle="1" w:styleId="CoverNormal">
    <w:name w:val="CoverNormal"/>
    <w:basedOn w:val="Normal"/>
    <w:rsid w:val="000F6DE2"/>
    <w:pPr>
      <w:ind w:left="1418"/>
    </w:pPr>
  </w:style>
  <w:style w:type="paragraph" w:customStyle="1" w:styleId="AmCrossRef">
    <w:name w:val="AmCrossRef"/>
    <w:basedOn w:val="Normal"/>
    <w:rsid w:val="000F6DE2"/>
    <w:pPr>
      <w:spacing w:before="240" w:after="240"/>
      <w:jc w:val="center"/>
    </w:pPr>
    <w:rPr>
      <w:i/>
    </w:rPr>
  </w:style>
  <w:style w:type="paragraph" w:customStyle="1" w:styleId="AmJustTitle">
    <w:name w:val="AmJustTitle"/>
    <w:basedOn w:val="Normal"/>
    <w:next w:val="AmJustText"/>
    <w:rsid w:val="000F6DE2"/>
    <w:pPr>
      <w:keepNext/>
      <w:spacing w:before="240" w:after="240"/>
      <w:jc w:val="center"/>
    </w:pPr>
    <w:rPr>
      <w:i/>
    </w:rPr>
  </w:style>
  <w:style w:type="paragraph" w:customStyle="1" w:styleId="CoverReference">
    <w:name w:val="CoverReference"/>
    <w:basedOn w:val="Normal"/>
    <w:rsid w:val="000F6DE2"/>
    <w:pPr>
      <w:spacing w:before="1080"/>
      <w:jc w:val="right"/>
    </w:pPr>
    <w:rPr>
      <w:rFonts w:ascii="Arial" w:hAnsi="Arial" w:cs="Arial"/>
      <w:b/>
    </w:rPr>
  </w:style>
  <w:style w:type="paragraph" w:customStyle="1" w:styleId="CoverDocType">
    <w:name w:val="CoverDocType"/>
    <w:basedOn w:val="Normal"/>
    <w:rsid w:val="000F6DE2"/>
    <w:pPr>
      <w:ind w:left="1418"/>
    </w:pPr>
    <w:rPr>
      <w:rFonts w:ascii="Arial" w:hAnsi="Arial"/>
      <w:b/>
      <w:sz w:val="48"/>
    </w:rPr>
  </w:style>
  <w:style w:type="paragraph" w:customStyle="1" w:styleId="CoverDocType24a">
    <w:name w:val="CoverDocType24a"/>
    <w:basedOn w:val="Normal"/>
    <w:rsid w:val="000F6DE2"/>
    <w:pPr>
      <w:spacing w:after="480"/>
      <w:ind w:left="1418"/>
    </w:pPr>
    <w:rPr>
      <w:rFonts w:ascii="Arial" w:hAnsi="Arial"/>
      <w:b/>
      <w:sz w:val="48"/>
    </w:rPr>
  </w:style>
  <w:style w:type="paragraph" w:customStyle="1" w:styleId="CoverDate">
    <w:name w:val="CoverDate"/>
    <w:basedOn w:val="Normal"/>
    <w:rsid w:val="000F6DE2"/>
    <w:pPr>
      <w:spacing w:before="240" w:after="1200"/>
    </w:pPr>
  </w:style>
  <w:style w:type="paragraph" w:styleId="Header">
    <w:name w:val="header"/>
    <w:basedOn w:val="Normal"/>
    <w:link w:val="HeaderChar"/>
    <w:uiPriority w:val="99"/>
    <w:rsid w:val="000F6DE2"/>
    <w:pPr>
      <w:tabs>
        <w:tab w:val="center" w:pos="4513"/>
        <w:tab w:val="right" w:pos="9026"/>
      </w:tabs>
    </w:pPr>
  </w:style>
  <w:style w:type="character" w:customStyle="1" w:styleId="HeaderChar">
    <w:name w:val="Header Char"/>
    <w:basedOn w:val="DefaultParagraphFont"/>
    <w:link w:val="Header"/>
    <w:uiPriority w:val="99"/>
    <w:rsid w:val="000F6DE2"/>
    <w:rPr>
      <w:sz w:val="24"/>
      <w:lang w:val="da-DK"/>
    </w:rPr>
  </w:style>
  <w:style w:type="paragraph" w:customStyle="1" w:styleId="AmOrLang">
    <w:name w:val="AmOrLang"/>
    <w:basedOn w:val="Normal"/>
    <w:rsid w:val="000F6DE2"/>
    <w:pPr>
      <w:spacing w:before="240" w:after="240"/>
      <w:jc w:val="right"/>
    </w:pPr>
  </w:style>
  <w:style w:type="paragraph" w:customStyle="1" w:styleId="AmColumnHeading">
    <w:name w:val="AmColumnHeading"/>
    <w:basedOn w:val="Normal"/>
    <w:rsid w:val="000F6DE2"/>
    <w:pPr>
      <w:spacing w:after="240"/>
      <w:jc w:val="center"/>
    </w:pPr>
    <w:rPr>
      <w:i/>
    </w:rPr>
  </w:style>
  <w:style w:type="paragraph" w:customStyle="1" w:styleId="AmNumberTabs">
    <w:name w:val="AmNumberTabs"/>
    <w:basedOn w:val="Normal"/>
    <w:link w:val="AmNumberTabsChar"/>
    <w:rsid w:val="000F6DE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0F6DE2"/>
    <w:rPr>
      <w:b/>
      <w:sz w:val="24"/>
      <w:lang w:val="da-DK"/>
    </w:rPr>
  </w:style>
  <w:style w:type="paragraph" w:customStyle="1" w:styleId="NormalBold12b">
    <w:name w:val="NormalBold12b"/>
    <w:basedOn w:val="Normal"/>
    <w:link w:val="NormalBold12bChar"/>
    <w:rsid w:val="000F6DE2"/>
    <w:pPr>
      <w:spacing w:before="240"/>
    </w:pPr>
    <w:rPr>
      <w:b/>
    </w:rPr>
  </w:style>
  <w:style w:type="character" w:customStyle="1" w:styleId="NormalBold12bChar">
    <w:name w:val="NormalBold12b Char"/>
    <w:basedOn w:val="AmNumberTabsChar"/>
    <w:link w:val="NormalBold12b"/>
    <w:rsid w:val="000F6DE2"/>
    <w:rPr>
      <w:b/>
      <w:sz w:val="24"/>
      <w:lang w:val="da-DK"/>
    </w:rPr>
  </w:style>
  <w:style w:type="paragraph" w:customStyle="1" w:styleId="EPBody">
    <w:name w:val="EPBody"/>
    <w:basedOn w:val="Normal"/>
    <w:rsid w:val="000F6DE2"/>
    <w:pPr>
      <w:jc w:val="center"/>
    </w:pPr>
    <w:rPr>
      <w:rFonts w:ascii="Arial" w:hAnsi="Arial" w:cs="Arial"/>
      <w:i/>
      <w:sz w:val="22"/>
      <w:szCs w:val="22"/>
    </w:rPr>
  </w:style>
  <w:style w:type="paragraph" w:customStyle="1" w:styleId="EPFooter">
    <w:name w:val="EPFooter"/>
    <w:basedOn w:val="Normal"/>
    <w:rsid w:val="000F6DE2"/>
    <w:pPr>
      <w:tabs>
        <w:tab w:val="center" w:pos="4535"/>
        <w:tab w:val="right" w:pos="9071"/>
      </w:tabs>
      <w:spacing w:before="240" w:after="240"/>
    </w:pPr>
    <w:rPr>
      <w:color w:val="010000"/>
      <w:sz w:val="22"/>
    </w:rPr>
  </w:style>
  <w:style w:type="paragraph" w:customStyle="1" w:styleId="EPComma">
    <w:name w:val="EPComma"/>
    <w:basedOn w:val="Normal"/>
    <w:rsid w:val="000F6DE2"/>
    <w:pPr>
      <w:spacing w:before="480" w:after="240"/>
    </w:pPr>
  </w:style>
  <w:style w:type="paragraph" w:customStyle="1" w:styleId="Lgendesigne">
    <w:name w:val="Légende signe"/>
    <w:basedOn w:val="Normal"/>
    <w:rsid w:val="000F6DE2"/>
    <w:pPr>
      <w:tabs>
        <w:tab w:val="right" w:pos="454"/>
        <w:tab w:val="left" w:pos="737"/>
      </w:tabs>
      <w:ind w:left="737" w:hanging="737"/>
    </w:pPr>
    <w:rPr>
      <w:snapToGrid w:val="0"/>
      <w:sz w:val="18"/>
      <w:lang w:eastAsia="en-US"/>
    </w:rPr>
  </w:style>
  <w:style w:type="paragraph" w:customStyle="1" w:styleId="Lgendetitre">
    <w:name w:val="Légende titre"/>
    <w:basedOn w:val="Normal"/>
    <w:rsid w:val="000F6DE2"/>
    <w:pPr>
      <w:spacing w:before="240" w:after="240"/>
    </w:pPr>
    <w:rPr>
      <w:b/>
      <w:i/>
      <w:snapToGrid w:val="0"/>
      <w:lang w:eastAsia="en-US"/>
    </w:rPr>
  </w:style>
  <w:style w:type="paragraph" w:customStyle="1" w:styleId="Lgendestandard">
    <w:name w:val="Légende standard"/>
    <w:basedOn w:val="Normal"/>
    <w:rsid w:val="000F6DE2"/>
    <w:rPr>
      <w:sz w:val="18"/>
    </w:rPr>
  </w:style>
  <w:style w:type="paragraph" w:customStyle="1" w:styleId="EntPE">
    <w:name w:val="EntPE"/>
    <w:basedOn w:val="Normal12"/>
    <w:rsid w:val="000F6DE2"/>
    <w:pPr>
      <w:jc w:val="center"/>
    </w:pPr>
    <w:rPr>
      <w:noProof w:val="0"/>
      <w:sz w:val="56"/>
    </w:rPr>
  </w:style>
  <w:style w:type="paragraph" w:customStyle="1" w:styleId="Normal12">
    <w:name w:val="Normal12"/>
    <w:basedOn w:val="Normal"/>
    <w:link w:val="Normal12Char"/>
    <w:rsid w:val="000F6DE2"/>
    <w:pPr>
      <w:spacing w:after="240"/>
    </w:pPr>
    <w:rPr>
      <w:noProof/>
    </w:rPr>
  </w:style>
  <w:style w:type="character" w:customStyle="1" w:styleId="Normal12Char">
    <w:name w:val="Normal12 Char"/>
    <w:basedOn w:val="DefaultParagraphFont"/>
    <w:link w:val="Normal12"/>
    <w:locked/>
    <w:rsid w:val="000F6DE2"/>
    <w:rPr>
      <w:noProof/>
      <w:sz w:val="24"/>
      <w:lang w:val="da-DK"/>
    </w:rPr>
  </w:style>
  <w:style w:type="paragraph" w:customStyle="1" w:styleId="CommitteeAM">
    <w:name w:val="CommitteeAM"/>
    <w:basedOn w:val="Normal"/>
    <w:rsid w:val="000F6DE2"/>
    <w:pPr>
      <w:spacing w:before="240" w:after="600"/>
      <w:jc w:val="center"/>
    </w:pPr>
    <w:rPr>
      <w:i/>
    </w:rPr>
  </w:style>
  <w:style w:type="paragraph" w:customStyle="1" w:styleId="ZDateAM">
    <w:name w:val="ZDateAM"/>
    <w:basedOn w:val="Normal"/>
    <w:rsid w:val="000F6DE2"/>
    <w:pPr>
      <w:tabs>
        <w:tab w:val="right" w:pos="9356"/>
      </w:tabs>
      <w:spacing w:after="480"/>
    </w:pPr>
    <w:rPr>
      <w:noProof/>
    </w:rPr>
  </w:style>
  <w:style w:type="paragraph" w:customStyle="1" w:styleId="ProjRap">
    <w:name w:val="ProjRap"/>
    <w:basedOn w:val="Normal"/>
    <w:rsid w:val="000F6DE2"/>
    <w:pPr>
      <w:tabs>
        <w:tab w:val="right" w:pos="9356"/>
      </w:tabs>
    </w:pPr>
    <w:rPr>
      <w:b/>
      <w:noProof/>
    </w:rPr>
  </w:style>
  <w:style w:type="paragraph" w:customStyle="1" w:styleId="PELeft">
    <w:name w:val="PELeft"/>
    <w:basedOn w:val="Normal"/>
    <w:rsid w:val="000F6DE2"/>
    <w:pPr>
      <w:spacing w:before="40" w:after="40"/>
    </w:pPr>
    <w:rPr>
      <w:rFonts w:ascii="Arial" w:hAnsi="Arial" w:cs="Arial"/>
      <w:sz w:val="22"/>
      <w:szCs w:val="22"/>
    </w:rPr>
  </w:style>
  <w:style w:type="paragraph" w:customStyle="1" w:styleId="PERight">
    <w:name w:val="PERight"/>
    <w:basedOn w:val="Normal"/>
    <w:next w:val="Normal"/>
    <w:rsid w:val="000F6DE2"/>
    <w:pPr>
      <w:jc w:val="right"/>
    </w:pPr>
    <w:rPr>
      <w:rFonts w:ascii="Arial" w:hAnsi="Arial" w:cs="Arial"/>
      <w:sz w:val="22"/>
      <w:szCs w:val="22"/>
    </w:rPr>
  </w:style>
  <w:style w:type="paragraph" w:customStyle="1" w:styleId="Normal6">
    <w:name w:val="Normal6"/>
    <w:basedOn w:val="Normal"/>
    <w:link w:val="Normal6Char"/>
    <w:rsid w:val="000F6DE2"/>
    <w:pPr>
      <w:spacing w:after="120"/>
    </w:pPr>
  </w:style>
  <w:style w:type="character" w:customStyle="1" w:styleId="Normal6Char">
    <w:name w:val="Normal6 Char"/>
    <w:basedOn w:val="DefaultParagraphFont"/>
    <w:link w:val="Normal6"/>
    <w:rsid w:val="000F6DE2"/>
    <w:rPr>
      <w:sz w:val="24"/>
      <w:lang w:val="da-DK"/>
    </w:rPr>
  </w:style>
  <w:style w:type="paragraph" w:customStyle="1" w:styleId="Normal12Italic">
    <w:name w:val="Normal12Italic"/>
    <w:basedOn w:val="Normal12"/>
    <w:rsid w:val="000F6DE2"/>
    <w:rPr>
      <w:i/>
    </w:rPr>
  </w:style>
  <w:style w:type="paragraph" w:customStyle="1" w:styleId="JustificationTitle">
    <w:name w:val="JustificationTitle"/>
    <w:basedOn w:val="Normal"/>
    <w:next w:val="Normal12"/>
    <w:rsid w:val="000F6DE2"/>
    <w:pPr>
      <w:keepNext/>
      <w:spacing w:before="240" w:after="240"/>
      <w:jc w:val="center"/>
    </w:pPr>
    <w:rPr>
      <w:i/>
      <w:noProof/>
    </w:rPr>
  </w:style>
  <w:style w:type="paragraph" w:customStyle="1" w:styleId="Olang">
    <w:name w:val="Olang"/>
    <w:basedOn w:val="Normal"/>
    <w:rsid w:val="000F6DE2"/>
    <w:pPr>
      <w:spacing w:before="240" w:after="240"/>
      <w:jc w:val="right"/>
    </w:pPr>
    <w:rPr>
      <w:noProof/>
      <w:szCs w:val="24"/>
    </w:rPr>
  </w:style>
  <w:style w:type="paragraph" w:customStyle="1" w:styleId="ColumnHeading">
    <w:name w:val="ColumnHeading"/>
    <w:basedOn w:val="Normal"/>
    <w:rsid w:val="000F6DE2"/>
    <w:pPr>
      <w:spacing w:after="240"/>
      <w:jc w:val="center"/>
    </w:pPr>
    <w:rPr>
      <w:i/>
    </w:rPr>
  </w:style>
  <w:style w:type="paragraph" w:customStyle="1" w:styleId="AMNumberTabs0">
    <w:name w:val="AMNumberTabs"/>
    <w:basedOn w:val="Normal"/>
    <w:rsid w:val="000F6DE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F6DE2"/>
    <w:pPr>
      <w:spacing w:before="240"/>
      <w:jc w:val="center"/>
    </w:pPr>
    <w:rPr>
      <w:i/>
    </w:rPr>
  </w:style>
  <w:style w:type="character" w:customStyle="1" w:styleId="Footer2Middle">
    <w:name w:val="Footer2Middle"/>
    <w:rsid w:val="000F6DE2"/>
    <w:rPr>
      <w:rFonts w:ascii="Arial" w:cs="Arial"/>
      <w:b w:val="0"/>
      <w:i/>
      <w:color w:val="C0C0C0"/>
      <w:sz w:val="22"/>
    </w:rPr>
  </w:style>
  <w:style w:type="paragraph" w:customStyle="1" w:styleId="Normal24a">
    <w:name w:val="Normal24a"/>
    <w:basedOn w:val="Normal"/>
    <w:rsid w:val="000F6DE2"/>
    <w:pPr>
      <w:spacing w:after="480"/>
    </w:pPr>
  </w:style>
  <w:style w:type="paragraph" w:customStyle="1" w:styleId="NormalBoldCenter">
    <w:name w:val="NormalBoldCenter"/>
    <w:basedOn w:val="Normal"/>
    <w:rsid w:val="000F6DE2"/>
    <w:pPr>
      <w:jc w:val="center"/>
    </w:pPr>
    <w:rPr>
      <w:b/>
    </w:rPr>
  </w:style>
  <w:style w:type="paragraph" w:customStyle="1" w:styleId="Point0number">
    <w:name w:val="Point 0 (number)"/>
    <w:basedOn w:val="Normal"/>
    <w:rsid w:val="000F6DE2"/>
    <w:pPr>
      <w:widowControl/>
      <w:numPr>
        <w:numId w:val="4"/>
      </w:numPr>
      <w:spacing w:before="120" w:after="120"/>
      <w:jc w:val="both"/>
    </w:pPr>
    <w:rPr>
      <w:rFonts w:eastAsiaTheme="minorHAnsi"/>
      <w:szCs w:val="22"/>
      <w:lang w:eastAsia="en-US"/>
    </w:rPr>
  </w:style>
  <w:style w:type="paragraph" w:customStyle="1" w:styleId="Point1number">
    <w:name w:val="Point 1 (number)"/>
    <w:basedOn w:val="Normal"/>
    <w:rsid w:val="000F6DE2"/>
    <w:pPr>
      <w:widowControl/>
      <w:numPr>
        <w:ilvl w:val="2"/>
        <w:numId w:val="4"/>
      </w:numPr>
      <w:spacing w:before="120" w:after="120"/>
      <w:jc w:val="both"/>
    </w:pPr>
    <w:rPr>
      <w:rFonts w:eastAsiaTheme="minorHAnsi"/>
      <w:szCs w:val="22"/>
      <w:lang w:eastAsia="en-US"/>
    </w:rPr>
  </w:style>
  <w:style w:type="paragraph" w:customStyle="1" w:styleId="Point2number">
    <w:name w:val="Point 2 (number)"/>
    <w:basedOn w:val="Normal"/>
    <w:rsid w:val="000F6DE2"/>
    <w:pPr>
      <w:widowControl/>
      <w:numPr>
        <w:ilvl w:val="4"/>
        <w:numId w:val="4"/>
      </w:numPr>
      <w:spacing w:before="120" w:after="120"/>
      <w:jc w:val="both"/>
    </w:pPr>
    <w:rPr>
      <w:rFonts w:eastAsiaTheme="minorHAnsi"/>
      <w:szCs w:val="22"/>
      <w:lang w:eastAsia="en-US"/>
    </w:rPr>
  </w:style>
  <w:style w:type="paragraph" w:customStyle="1" w:styleId="Point3number">
    <w:name w:val="Point 3 (number)"/>
    <w:basedOn w:val="Normal"/>
    <w:rsid w:val="000F6DE2"/>
    <w:pPr>
      <w:widowControl/>
      <w:numPr>
        <w:ilvl w:val="6"/>
        <w:numId w:val="4"/>
      </w:numPr>
      <w:spacing w:before="120" w:after="120"/>
      <w:jc w:val="both"/>
    </w:pPr>
    <w:rPr>
      <w:rFonts w:eastAsiaTheme="minorHAnsi"/>
      <w:szCs w:val="22"/>
      <w:lang w:eastAsia="en-US"/>
    </w:rPr>
  </w:style>
  <w:style w:type="paragraph" w:customStyle="1" w:styleId="Point0letter">
    <w:name w:val="Point 0 (letter)"/>
    <w:basedOn w:val="Normal"/>
    <w:rsid w:val="000F6DE2"/>
    <w:pPr>
      <w:widowControl/>
      <w:numPr>
        <w:ilvl w:val="1"/>
        <w:numId w:val="4"/>
      </w:numPr>
      <w:spacing w:before="120" w:after="120"/>
      <w:jc w:val="both"/>
    </w:pPr>
    <w:rPr>
      <w:rFonts w:eastAsiaTheme="minorHAnsi"/>
      <w:szCs w:val="22"/>
      <w:lang w:eastAsia="en-US"/>
    </w:rPr>
  </w:style>
  <w:style w:type="paragraph" w:customStyle="1" w:styleId="Point1letter">
    <w:name w:val="Point 1 (letter)"/>
    <w:basedOn w:val="Normal"/>
    <w:rsid w:val="000F6DE2"/>
    <w:pPr>
      <w:widowControl/>
      <w:numPr>
        <w:ilvl w:val="3"/>
        <w:numId w:val="4"/>
      </w:numPr>
      <w:spacing w:before="120" w:after="120"/>
      <w:jc w:val="both"/>
    </w:pPr>
    <w:rPr>
      <w:rFonts w:eastAsiaTheme="minorHAnsi"/>
      <w:szCs w:val="22"/>
      <w:lang w:eastAsia="en-US"/>
    </w:rPr>
  </w:style>
  <w:style w:type="paragraph" w:customStyle="1" w:styleId="Point2letter">
    <w:name w:val="Point 2 (letter)"/>
    <w:basedOn w:val="Normal"/>
    <w:rsid w:val="000F6DE2"/>
    <w:pPr>
      <w:widowControl/>
      <w:numPr>
        <w:ilvl w:val="5"/>
        <w:numId w:val="4"/>
      </w:numPr>
      <w:spacing w:before="120" w:after="120"/>
      <w:jc w:val="both"/>
    </w:pPr>
    <w:rPr>
      <w:rFonts w:eastAsiaTheme="minorHAnsi"/>
      <w:szCs w:val="22"/>
      <w:lang w:eastAsia="en-US"/>
    </w:rPr>
  </w:style>
  <w:style w:type="paragraph" w:customStyle="1" w:styleId="Point3letter">
    <w:name w:val="Point 3 (letter)"/>
    <w:basedOn w:val="Normal"/>
    <w:rsid w:val="000F6DE2"/>
    <w:pPr>
      <w:widowControl/>
      <w:numPr>
        <w:ilvl w:val="7"/>
        <w:numId w:val="4"/>
      </w:numPr>
      <w:spacing w:before="120" w:after="120"/>
      <w:jc w:val="both"/>
    </w:pPr>
    <w:rPr>
      <w:rFonts w:eastAsiaTheme="minorHAnsi"/>
      <w:szCs w:val="22"/>
      <w:lang w:eastAsia="en-US"/>
    </w:rPr>
  </w:style>
  <w:style w:type="paragraph" w:customStyle="1" w:styleId="Point4letter">
    <w:name w:val="Point 4 (letter)"/>
    <w:basedOn w:val="Normal"/>
    <w:rsid w:val="000F6DE2"/>
    <w:pPr>
      <w:widowControl/>
      <w:numPr>
        <w:ilvl w:val="8"/>
        <w:numId w:val="4"/>
      </w:numPr>
      <w:spacing w:before="120" w:after="120"/>
      <w:jc w:val="both"/>
    </w:pPr>
    <w:rPr>
      <w:rFonts w:eastAsiaTheme="minorHAnsi"/>
      <w:szCs w:val="22"/>
      <w:lang w:eastAsia="en-US"/>
    </w:rPr>
  </w:style>
  <w:style w:type="paragraph" w:styleId="BalloonText">
    <w:name w:val="Balloon Text"/>
    <w:basedOn w:val="Normal"/>
    <w:link w:val="BalloonTextChar"/>
    <w:uiPriority w:val="99"/>
    <w:unhideWhenUsed/>
    <w:rsid w:val="000F6DE2"/>
    <w:rPr>
      <w:rFonts w:ascii="Segoe UI" w:hAnsi="Segoe UI" w:cs="Segoe UI"/>
      <w:sz w:val="18"/>
      <w:szCs w:val="18"/>
    </w:rPr>
  </w:style>
  <w:style w:type="character" w:customStyle="1" w:styleId="BalloonTextChar">
    <w:name w:val="Balloon Text Char"/>
    <w:basedOn w:val="DefaultParagraphFont"/>
    <w:link w:val="BalloonText"/>
    <w:uiPriority w:val="99"/>
    <w:rsid w:val="000F6DE2"/>
    <w:rPr>
      <w:rFonts w:ascii="Segoe UI" w:hAnsi="Segoe UI" w:cs="Segoe UI"/>
      <w:sz w:val="18"/>
      <w:szCs w:val="18"/>
      <w:lang w:val="da-DK"/>
    </w:rPr>
  </w:style>
  <w:style w:type="character" w:styleId="CommentReference">
    <w:name w:val="annotation reference"/>
    <w:basedOn w:val="DefaultParagraphFont"/>
    <w:uiPriority w:val="99"/>
    <w:rsid w:val="000F6DE2"/>
    <w:rPr>
      <w:sz w:val="16"/>
      <w:szCs w:val="16"/>
    </w:rPr>
  </w:style>
  <w:style w:type="paragraph" w:styleId="CommentText">
    <w:name w:val="annotation text"/>
    <w:basedOn w:val="Normal"/>
    <w:link w:val="CommentTextChar"/>
    <w:uiPriority w:val="99"/>
    <w:rsid w:val="000F6DE2"/>
    <w:rPr>
      <w:sz w:val="20"/>
    </w:rPr>
  </w:style>
  <w:style w:type="character" w:customStyle="1" w:styleId="CommentTextChar">
    <w:name w:val="Comment Text Char"/>
    <w:basedOn w:val="DefaultParagraphFont"/>
    <w:link w:val="CommentText"/>
    <w:uiPriority w:val="99"/>
    <w:rsid w:val="000F6DE2"/>
    <w:rPr>
      <w:lang w:val="da-DK"/>
    </w:rPr>
  </w:style>
  <w:style w:type="paragraph" w:styleId="CommentSubject">
    <w:name w:val="annotation subject"/>
    <w:basedOn w:val="CommentText"/>
    <w:next w:val="CommentText"/>
    <w:link w:val="CommentSubjectChar"/>
    <w:uiPriority w:val="99"/>
    <w:unhideWhenUsed/>
    <w:rsid w:val="000F6DE2"/>
    <w:rPr>
      <w:b/>
      <w:bCs/>
    </w:rPr>
  </w:style>
  <w:style w:type="character" w:customStyle="1" w:styleId="CommentSubjectChar">
    <w:name w:val="Comment Subject Char"/>
    <w:basedOn w:val="CommentTextChar"/>
    <w:link w:val="CommentSubject"/>
    <w:uiPriority w:val="99"/>
    <w:rsid w:val="000F6DE2"/>
    <w:rPr>
      <w:b/>
      <w:bCs/>
      <w:lang w:val="da-DK"/>
    </w:rPr>
  </w:style>
  <w:style w:type="paragraph" w:styleId="Revision">
    <w:name w:val="Revision"/>
    <w:hidden/>
    <w:uiPriority w:val="99"/>
    <w:semiHidden/>
    <w:rsid w:val="000F6DE2"/>
    <w:rPr>
      <w:sz w:val="24"/>
      <w:lang w:val="da-DK"/>
    </w:rPr>
  </w:style>
  <w:style w:type="character" w:customStyle="1" w:styleId="highlight-diff">
    <w:name w:val="highlight-diff"/>
    <w:basedOn w:val="DefaultParagraphFont"/>
    <w:rsid w:val="000F6DE2"/>
  </w:style>
  <w:style w:type="paragraph" w:customStyle="1" w:styleId="Normal12a">
    <w:name w:val="Normal12a"/>
    <w:basedOn w:val="Normal"/>
    <w:rsid w:val="000F6DE2"/>
    <w:pPr>
      <w:spacing w:after="240"/>
    </w:pPr>
  </w:style>
  <w:style w:type="paragraph" w:customStyle="1" w:styleId="PageHeadingNotTOC">
    <w:name w:val="PageHeadingNotTOC"/>
    <w:basedOn w:val="Normal"/>
    <w:rsid w:val="000F6DE2"/>
    <w:pPr>
      <w:keepNext/>
      <w:spacing w:after="480"/>
      <w:jc w:val="center"/>
    </w:pPr>
    <w:rPr>
      <w:rFonts w:ascii="Arial" w:hAnsi="Arial" w:cs="Arial"/>
      <w:b/>
    </w:rPr>
  </w:style>
  <w:style w:type="paragraph" w:customStyle="1" w:styleId="AmHeadingPA">
    <w:name w:val="AmHeadingPA"/>
    <w:basedOn w:val="Normal"/>
    <w:next w:val="Normal"/>
    <w:rsid w:val="000F6DE2"/>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0F6DE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F6DE2"/>
    <w:pPr>
      <w:tabs>
        <w:tab w:val="center" w:pos="284"/>
        <w:tab w:val="left" w:pos="426"/>
      </w:tabs>
    </w:pPr>
    <w:rPr>
      <w:snapToGrid w:val="0"/>
      <w:lang w:eastAsia="en-US"/>
    </w:rPr>
  </w:style>
  <w:style w:type="paragraph" w:customStyle="1" w:styleId="RollCallVotes">
    <w:name w:val="RollCallVotes"/>
    <w:basedOn w:val="Normal"/>
    <w:rsid w:val="000F6DE2"/>
    <w:pPr>
      <w:spacing w:before="120" w:after="120"/>
      <w:jc w:val="center"/>
    </w:pPr>
    <w:rPr>
      <w:b/>
      <w:bCs/>
      <w:snapToGrid w:val="0"/>
      <w:sz w:val="16"/>
      <w:lang w:eastAsia="en-US"/>
    </w:rPr>
  </w:style>
  <w:style w:type="paragraph" w:customStyle="1" w:styleId="RollCallTable">
    <w:name w:val="RollCallTable"/>
    <w:basedOn w:val="Normal"/>
    <w:rsid w:val="000F6DE2"/>
    <w:pPr>
      <w:spacing w:before="120" w:after="120"/>
    </w:pPr>
    <w:rPr>
      <w:snapToGrid w:val="0"/>
      <w:sz w:val="16"/>
      <w:lang w:eastAsia="en-US"/>
    </w:rPr>
  </w:style>
  <w:style w:type="character" w:styleId="Hyperlink">
    <w:name w:val="Hyperlink"/>
    <w:uiPriority w:val="99"/>
    <w:rsid w:val="000F6DE2"/>
    <w:rPr>
      <w:color w:val="0000FF"/>
      <w:u w:val="single"/>
      <w:shd w:val="clear" w:color="auto" w:fill="auto"/>
    </w:rPr>
  </w:style>
  <w:style w:type="paragraph" w:customStyle="1" w:styleId="CM1">
    <w:name w:val="CM1"/>
    <w:basedOn w:val="Normal"/>
    <w:next w:val="Normal"/>
    <w:uiPriority w:val="99"/>
    <w:rsid w:val="000F6DE2"/>
    <w:pPr>
      <w:widowControl/>
      <w:autoSpaceDE w:val="0"/>
      <w:autoSpaceDN w:val="0"/>
      <w:adjustRightInd w:val="0"/>
    </w:pPr>
    <w:rPr>
      <w:szCs w:val="24"/>
    </w:rPr>
  </w:style>
  <w:style w:type="paragraph" w:customStyle="1" w:styleId="CM3">
    <w:name w:val="CM3"/>
    <w:basedOn w:val="Normal"/>
    <w:next w:val="Normal"/>
    <w:uiPriority w:val="99"/>
    <w:rsid w:val="000F6DE2"/>
    <w:pPr>
      <w:widowControl/>
      <w:autoSpaceDE w:val="0"/>
      <w:autoSpaceDN w:val="0"/>
      <w:adjustRightInd w:val="0"/>
    </w:pPr>
    <w:rPr>
      <w:szCs w:val="24"/>
    </w:rPr>
  </w:style>
  <w:style w:type="paragraph" w:styleId="Footer">
    <w:name w:val="footer"/>
    <w:basedOn w:val="Normal"/>
    <w:link w:val="FooterChar"/>
    <w:uiPriority w:val="99"/>
    <w:rsid w:val="000F6DE2"/>
    <w:pPr>
      <w:tabs>
        <w:tab w:val="center" w:pos="4513"/>
        <w:tab w:val="right" w:pos="9026"/>
      </w:tabs>
    </w:pPr>
  </w:style>
  <w:style w:type="character" w:customStyle="1" w:styleId="FooterChar">
    <w:name w:val="Footer Char"/>
    <w:basedOn w:val="DefaultParagraphFont"/>
    <w:link w:val="Footer"/>
    <w:uiPriority w:val="99"/>
    <w:rsid w:val="000F6DE2"/>
    <w:rPr>
      <w:sz w:val="24"/>
      <w:lang w:val="da-DK"/>
    </w:rPr>
  </w:style>
  <w:style w:type="numbering" w:customStyle="1" w:styleId="NoList1">
    <w:name w:val="No List1"/>
    <w:next w:val="NoList"/>
    <w:uiPriority w:val="99"/>
    <w:semiHidden/>
    <w:unhideWhenUsed/>
    <w:rsid w:val="008A5B47"/>
  </w:style>
  <w:style w:type="paragraph" w:customStyle="1" w:styleId="SignaturePersonne">
    <w:name w:val="Signature Personne"/>
    <w:basedOn w:val="Normal"/>
    <w:rsid w:val="008A5B47"/>
    <w:pPr>
      <w:widowControl/>
      <w:tabs>
        <w:tab w:val="left" w:pos="4252"/>
      </w:tabs>
      <w:spacing w:line="360" w:lineRule="auto"/>
    </w:pPr>
    <w:rPr>
      <w:i/>
      <w:szCs w:val="24"/>
      <w:lang w:val="en-GB" w:eastAsia="en-US"/>
    </w:rPr>
  </w:style>
  <w:style w:type="paragraph" w:customStyle="1" w:styleId="Considrant">
    <w:name w:val="Considérant"/>
    <w:basedOn w:val="Normal"/>
    <w:rsid w:val="008A5B47"/>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8A5B47"/>
    <w:pPr>
      <w:keepNext/>
      <w:spacing w:before="600" w:after="120" w:line="360" w:lineRule="auto"/>
    </w:pPr>
    <w:rPr>
      <w:szCs w:val="24"/>
      <w:lang w:val="en-GB" w:eastAsia="en-US"/>
    </w:rPr>
  </w:style>
  <w:style w:type="paragraph" w:customStyle="1" w:styleId="Institutionquisigne">
    <w:name w:val="Institution qui signe"/>
    <w:basedOn w:val="Normal"/>
    <w:next w:val="Normal"/>
    <w:rsid w:val="008A5B47"/>
    <w:pPr>
      <w:keepNext/>
      <w:tabs>
        <w:tab w:val="left" w:pos="4252"/>
      </w:tabs>
      <w:spacing w:before="720" w:line="360" w:lineRule="auto"/>
    </w:pPr>
    <w:rPr>
      <w:i/>
      <w:szCs w:val="24"/>
      <w:lang w:val="en-GB" w:eastAsia="en-US"/>
    </w:rPr>
  </w:style>
  <w:style w:type="paragraph" w:customStyle="1" w:styleId="Fait">
    <w:name w:val="Fait à"/>
    <w:basedOn w:val="Normal"/>
    <w:rsid w:val="008A5B47"/>
    <w:pPr>
      <w:keepNext/>
      <w:widowControl/>
      <w:spacing w:before="120" w:line="360" w:lineRule="auto"/>
    </w:pPr>
    <w:rPr>
      <w:szCs w:val="24"/>
      <w:lang w:val="en-GB" w:eastAsia="en-US"/>
    </w:rPr>
  </w:style>
  <w:style w:type="paragraph" w:customStyle="1" w:styleId="FootnoteTextForceStyle">
    <w:name w:val="Footnote Text ForceStyle"/>
    <w:rsid w:val="008A5B47"/>
    <w:pPr>
      <w:keepLines/>
      <w:widowControl w:val="0"/>
      <w:ind w:left="850" w:hanging="850"/>
    </w:pPr>
    <w:rPr>
      <w:sz w:val="24"/>
      <w:lang w:eastAsia="en-US"/>
    </w:rPr>
  </w:style>
  <w:style w:type="character" w:customStyle="1" w:styleId="Footer2">
    <w:name w:val="Footer2"/>
    <w:rsid w:val="008A5B47"/>
    <w:rPr>
      <w:rFonts w:ascii="Arial" w:hAnsi="Arial"/>
      <w:b/>
      <w:sz w:val="48"/>
    </w:rPr>
  </w:style>
  <w:style w:type="paragraph" w:customStyle="1" w:styleId="Applicationdirecte">
    <w:name w:val="Application directe"/>
    <w:basedOn w:val="Normal"/>
    <w:next w:val="Normal"/>
    <w:rsid w:val="008A5B47"/>
    <w:pPr>
      <w:spacing w:before="120" w:after="120" w:line="360" w:lineRule="auto"/>
    </w:pPr>
    <w:rPr>
      <w:szCs w:val="24"/>
      <w:lang w:val="en-GB" w:eastAsia="en-US"/>
    </w:rPr>
  </w:style>
  <w:style w:type="paragraph" w:customStyle="1" w:styleId="Normale">
    <w:name w:val="Normale"/>
    <w:rsid w:val="008A5B47"/>
    <w:pPr>
      <w:widowControl w:val="0"/>
      <w:spacing w:before="120" w:after="120" w:line="360" w:lineRule="auto"/>
    </w:pPr>
    <w:rPr>
      <w:sz w:val="24"/>
      <w:lang w:eastAsia="en-US"/>
    </w:rPr>
  </w:style>
  <w:style w:type="paragraph" w:customStyle="1" w:styleId="Formuledadoption">
    <w:name w:val="Formule d'adoption"/>
    <w:basedOn w:val="Normal"/>
    <w:next w:val="Normal"/>
    <w:rsid w:val="008A5B47"/>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8A5B47"/>
    <w:pPr>
      <w:widowControl/>
      <w:spacing w:after="240" w:line="360" w:lineRule="auto"/>
      <w:ind w:left="5102"/>
    </w:pPr>
    <w:rPr>
      <w:szCs w:val="24"/>
      <w:lang w:val="en-GB" w:eastAsia="en-US"/>
    </w:rPr>
  </w:style>
  <w:style w:type="paragraph" w:customStyle="1" w:styleId="Footer1">
    <w:name w:val="Footer1"/>
    <w:basedOn w:val="Normal"/>
    <w:rsid w:val="008A5B47"/>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8A5B47"/>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8A5B47"/>
    <w:pPr>
      <w:widowControl/>
      <w:spacing w:before="840" w:line="360" w:lineRule="auto"/>
      <w:jc w:val="center"/>
    </w:pPr>
    <w:rPr>
      <w:szCs w:val="24"/>
      <w:lang w:val="en-GB" w:eastAsia="en-US"/>
    </w:rPr>
  </w:style>
  <w:style w:type="paragraph" w:customStyle="1" w:styleId="Typedudocument">
    <w:name w:val="Type du document"/>
    <w:basedOn w:val="Normal"/>
    <w:next w:val="Normal"/>
    <w:rsid w:val="008A5B47"/>
    <w:pPr>
      <w:widowControl/>
      <w:spacing w:before="360" w:line="360" w:lineRule="auto"/>
      <w:jc w:val="center"/>
    </w:pPr>
    <w:rPr>
      <w:b/>
      <w:szCs w:val="24"/>
      <w:lang w:val="en-GB" w:eastAsia="en-US"/>
    </w:rPr>
  </w:style>
  <w:style w:type="paragraph" w:customStyle="1" w:styleId="Titreobjet">
    <w:name w:val="Titre objet"/>
    <w:basedOn w:val="Normal"/>
    <w:next w:val="Normal"/>
    <w:rsid w:val="008A5B47"/>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8A5B47"/>
    <w:pPr>
      <w:widowControl/>
      <w:spacing w:before="360" w:after="240" w:line="360" w:lineRule="auto"/>
      <w:jc w:val="center"/>
    </w:pPr>
    <w:rPr>
      <w:szCs w:val="24"/>
      <w:lang w:val="en-GB" w:eastAsia="en-US"/>
    </w:rPr>
  </w:style>
  <w:style w:type="character" w:customStyle="1" w:styleId="CMissingStyle">
    <w:name w:val="C_MissingStyle"/>
    <w:rsid w:val="008A5B47"/>
    <w:rPr>
      <w:color w:val="FFFFFF"/>
      <w:sz w:val="22"/>
      <w:shd w:val="clear" w:color="000000" w:fill="000000"/>
    </w:rPr>
  </w:style>
  <w:style w:type="paragraph" w:customStyle="1" w:styleId="PMissingStyle">
    <w:name w:val="P_MissingStyle"/>
    <w:basedOn w:val="Normal"/>
    <w:rsid w:val="008A5B47"/>
    <w:pPr>
      <w:spacing w:before="120" w:after="120" w:line="360" w:lineRule="auto"/>
    </w:pPr>
    <w:rPr>
      <w:color w:val="FFFFFF"/>
      <w:szCs w:val="24"/>
      <w:shd w:val="clear" w:color="000000" w:fill="000000"/>
      <w:lang w:val="en-GB" w:eastAsia="en-US"/>
    </w:rPr>
  </w:style>
  <w:style w:type="numbering" w:customStyle="1" w:styleId="NoList2">
    <w:name w:val="No List2"/>
    <w:next w:val="NoList"/>
    <w:uiPriority w:val="99"/>
    <w:semiHidden/>
    <w:unhideWhenUsed/>
    <w:rsid w:val="00B551B3"/>
  </w:style>
  <w:style w:type="paragraph" w:styleId="ListBullet">
    <w:name w:val="List Bullet"/>
    <w:basedOn w:val="Normal"/>
    <w:uiPriority w:val="99"/>
    <w:unhideWhenUsed/>
    <w:rsid w:val="00B551B3"/>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B551B3"/>
    <w:pPr>
      <w:widowControl/>
      <w:tabs>
        <w:tab w:val="num" w:pos="360"/>
      </w:tabs>
      <w:spacing w:before="120" w:after="120"/>
      <w:ind w:left="360" w:hanging="360"/>
      <w:contextualSpacing/>
      <w:jc w:val="both"/>
    </w:pPr>
    <w:rPr>
      <w:rFonts w:eastAsia="Calibri"/>
      <w:szCs w:val="22"/>
      <w:lang w:eastAsia="en-US"/>
    </w:rPr>
  </w:style>
  <w:style w:type="paragraph" w:styleId="ListBullet3">
    <w:name w:val="List Bullet 3"/>
    <w:basedOn w:val="Normal"/>
    <w:uiPriority w:val="99"/>
    <w:unhideWhenUsed/>
    <w:rsid w:val="00B551B3"/>
    <w:pPr>
      <w:widowControl/>
      <w:tabs>
        <w:tab w:val="num" w:pos="643"/>
      </w:tabs>
      <w:spacing w:before="120" w:after="120"/>
      <w:ind w:left="643" w:hanging="360"/>
      <w:contextualSpacing/>
      <w:jc w:val="both"/>
    </w:pPr>
    <w:rPr>
      <w:rFonts w:eastAsia="Calibri"/>
      <w:szCs w:val="22"/>
      <w:lang w:eastAsia="en-US"/>
    </w:rPr>
  </w:style>
  <w:style w:type="paragraph" w:styleId="ListBullet4">
    <w:name w:val="List Bullet 4"/>
    <w:basedOn w:val="Normal"/>
    <w:uiPriority w:val="99"/>
    <w:unhideWhenUsed/>
    <w:rsid w:val="00B551B3"/>
    <w:pPr>
      <w:widowControl/>
      <w:tabs>
        <w:tab w:val="num" w:pos="643"/>
      </w:tabs>
      <w:spacing w:before="120" w:after="120"/>
      <w:ind w:left="643" w:hanging="360"/>
      <w:contextualSpacing/>
      <w:jc w:val="both"/>
    </w:pPr>
    <w:rPr>
      <w:rFonts w:eastAsia="Calibri"/>
      <w:szCs w:val="22"/>
      <w:lang w:eastAsia="en-US"/>
    </w:rPr>
  </w:style>
  <w:style w:type="table" w:customStyle="1" w:styleId="TableGrid1">
    <w:name w:val="Table Grid1"/>
    <w:basedOn w:val="TableNormal"/>
    <w:next w:val="TableGrid"/>
    <w:uiPriority w:val="59"/>
    <w:rsid w:val="00B551B3"/>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sid w:val="00B551B3"/>
    <w:rPr>
      <w:rFonts w:ascii="Calibri" w:eastAsia="Calibri" w:hAnsi="Calibri"/>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rPr>
    </w:tblStylePr>
    <w:tblStylePr w:type="lastRow">
      <w:rPr>
        <w:b/>
      </w:rPr>
      <w:tblPr/>
      <w:tcPr>
        <w:tcBorders>
          <w:top w:val="doub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next w:val="TableGridLight"/>
    <w:uiPriority w:val="40"/>
    <w:rsid w:val="00B551B3"/>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51">
    <w:name w:val="Plain Table 51"/>
    <w:basedOn w:val="TableNormal"/>
    <w:next w:val="PlainTable5"/>
    <w:uiPriority w:val="45"/>
    <w:rsid w:val="00B551B3"/>
    <w:rPr>
      <w:rFonts w:ascii="Calibri" w:eastAsia="Calibri" w:hAnsi="Calibri"/>
      <w:sz w:val="22"/>
      <w:szCs w:val="22"/>
      <w:lang w:val="en-US" w:eastAsia="en-US"/>
    </w:rPr>
    <w:tblPr>
      <w:tblStyleRowBandSize w:val="1"/>
      <w:tblStyleColBandSize w:val="1"/>
    </w:tblPr>
    <w:tblStylePr w:type="firstRow">
      <w:rPr>
        <w:rFonts w:ascii="Cambria" w:eastAsia="Times New Roman" w:hAnsi="Cambria" w:cs="Times New Roman"/>
        <w:i/>
        <w:sz w:val="26"/>
      </w:rPr>
      <w:tblPr/>
      <w:tcPr>
        <w:tcBorders>
          <w:bottom w:val="single" w:sz="4" w:space="0" w:color="7F7F7F"/>
        </w:tcBorders>
        <w:shd w:val="clear" w:color="auto" w:fill="FFFFFF"/>
      </w:tcPr>
    </w:tblStylePr>
    <w:tblStylePr w:type="lastRow">
      <w:rPr>
        <w:rFonts w:ascii="Cambria" w:eastAsia="Times New Roman" w:hAnsi="Cambria" w:cs="Times New Roman"/>
        <w:i/>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sz w:val="26"/>
      </w:rPr>
      <w:tblPr/>
      <w:tcPr>
        <w:tcBorders>
          <w:right w:val="single" w:sz="4" w:space="0" w:color="7F7F7F"/>
        </w:tcBorders>
        <w:shd w:val="clear" w:color="auto" w:fill="FFFFFF"/>
      </w:tcPr>
    </w:tblStylePr>
    <w:tblStylePr w:type="lastCol">
      <w:rPr>
        <w:rFonts w:ascii="Cambria" w:eastAsia="Times New Roman" w:hAnsi="Cambria" w:cs="Times New Roman"/>
        <w:i/>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oonote">
    <w:name w:val="foonote"/>
    <w:basedOn w:val="FootnoteText"/>
    <w:link w:val="foonoteChar"/>
    <w:qFormat/>
    <w:rsid w:val="00B551B3"/>
    <w:pPr>
      <w:keepLines w:val="0"/>
      <w:spacing w:line="240" w:lineRule="auto"/>
      <w:ind w:left="0" w:firstLine="0"/>
    </w:pPr>
    <w:rPr>
      <w:rFonts w:eastAsia="Calibri"/>
      <w:sz w:val="16"/>
      <w:lang w:val="da-DK" w:eastAsia="en-US"/>
    </w:rPr>
  </w:style>
  <w:style w:type="character" w:customStyle="1" w:styleId="foonoteChar">
    <w:name w:val="foonote Char"/>
    <w:basedOn w:val="DefaultParagraphFont"/>
    <w:link w:val="foonote"/>
    <w:rsid w:val="00B551B3"/>
    <w:rPr>
      <w:rFonts w:eastAsia="Calibri"/>
      <w:sz w:val="16"/>
      <w:lang w:val="da-DK" w:eastAsia="en-US"/>
    </w:rPr>
  </w:style>
  <w:style w:type="paragraph" w:styleId="ListNumber">
    <w:name w:val="List Number"/>
    <w:basedOn w:val="Normal"/>
    <w:uiPriority w:val="99"/>
    <w:rsid w:val="00B551B3"/>
    <w:pPr>
      <w:widowControl/>
      <w:numPr>
        <w:numId w:val="9"/>
      </w:numPr>
      <w:tabs>
        <w:tab w:val="clear" w:pos="1276"/>
        <w:tab w:val="num" w:pos="1492"/>
      </w:tabs>
      <w:spacing w:before="120" w:after="120"/>
      <w:ind w:left="1492" w:hanging="360"/>
      <w:jc w:val="both"/>
    </w:pPr>
    <w:rPr>
      <w:rFonts w:eastAsia="Calibri"/>
      <w:szCs w:val="22"/>
      <w:lang w:eastAsia="en-US"/>
    </w:rPr>
  </w:style>
  <w:style w:type="paragraph" w:customStyle="1" w:styleId="ListBullet1">
    <w:name w:val="List Bullet 1"/>
    <w:basedOn w:val="Normal"/>
    <w:rsid w:val="00B551B3"/>
    <w:pPr>
      <w:widowControl/>
      <w:numPr>
        <w:numId w:val="5"/>
      </w:numPr>
      <w:tabs>
        <w:tab w:val="clear" w:pos="1134"/>
        <w:tab w:val="num" w:pos="926"/>
      </w:tabs>
      <w:spacing w:before="120" w:after="120"/>
      <w:ind w:left="926" w:hanging="360"/>
      <w:jc w:val="both"/>
    </w:pPr>
    <w:rPr>
      <w:rFonts w:eastAsia="Calibri"/>
      <w:szCs w:val="22"/>
      <w:lang w:eastAsia="en-US"/>
    </w:rPr>
  </w:style>
  <w:style w:type="paragraph" w:customStyle="1" w:styleId="ListDash">
    <w:name w:val="List Dash"/>
    <w:basedOn w:val="Normal"/>
    <w:rsid w:val="00B551B3"/>
    <w:pPr>
      <w:widowControl/>
      <w:numPr>
        <w:numId w:val="6"/>
      </w:numPr>
      <w:tabs>
        <w:tab w:val="clear" w:pos="283"/>
        <w:tab w:val="num" w:pos="926"/>
      </w:tabs>
      <w:spacing w:before="120" w:after="120"/>
      <w:ind w:left="926" w:hanging="360"/>
      <w:jc w:val="both"/>
    </w:pPr>
    <w:rPr>
      <w:rFonts w:eastAsia="Calibri"/>
      <w:szCs w:val="22"/>
      <w:lang w:eastAsia="en-US"/>
    </w:rPr>
  </w:style>
  <w:style w:type="paragraph" w:customStyle="1" w:styleId="ListDash1">
    <w:name w:val="List Dash 1"/>
    <w:basedOn w:val="Normal"/>
    <w:rsid w:val="00B551B3"/>
    <w:pPr>
      <w:widowControl/>
      <w:numPr>
        <w:numId w:val="7"/>
      </w:numPr>
      <w:tabs>
        <w:tab w:val="clear" w:pos="1134"/>
        <w:tab w:val="num" w:pos="1209"/>
      </w:tabs>
      <w:spacing w:before="120" w:after="120"/>
      <w:ind w:left="1209" w:hanging="360"/>
      <w:jc w:val="both"/>
    </w:pPr>
    <w:rPr>
      <w:rFonts w:eastAsia="Calibri"/>
      <w:szCs w:val="22"/>
      <w:lang w:eastAsia="en-US"/>
    </w:rPr>
  </w:style>
  <w:style w:type="paragraph" w:customStyle="1" w:styleId="ListDash2">
    <w:name w:val="List Dash 2"/>
    <w:basedOn w:val="Normal"/>
    <w:rsid w:val="00B551B3"/>
    <w:pPr>
      <w:widowControl/>
      <w:numPr>
        <w:numId w:val="8"/>
      </w:numPr>
      <w:tabs>
        <w:tab w:val="clear" w:pos="1134"/>
        <w:tab w:val="num" w:pos="1209"/>
      </w:tabs>
      <w:spacing w:before="120" w:after="120"/>
      <w:ind w:left="1209" w:hanging="360"/>
      <w:jc w:val="both"/>
    </w:pPr>
    <w:rPr>
      <w:rFonts w:eastAsia="Calibri"/>
      <w:szCs w:val="22"/>
      <w:lang w:eastAsia="en-US"/>
    </w:rPr>
  </w:style>
  <w:style w:type="paragraph" w:customStyle="1" w:styleId="ListNumberLevel2">
    <w:name w:val="List Number (Level 2)"/>
    <w:basedOn w:val="Normal"/>
    <w:rsid w:val="00B551B3"/>
    <w:pPr>
      <w:widowControl/>
      <w:numPr>
        <w:ilvl w:val="1"/>
        <w:numId w:val="9"/>
      </w:numPr>
      <w:tabs>
        <w:tab w:val="clear" w:pos="1417"/>
        <w:tab w:val="num" w:pos="1492"/>
      </w:tabs>
      <w:spacing w:before="120" w:after="120"/>
      <w:ind w:left="1492" w:hanging="360"/>
      <w:jc w:val="both"/>
    </w:pPr>
    <w:rPr>
      <w:rFonts w:eastAsia="Calibri"/>
      <w:szCs w:val="22"/>
      <w:lang w:eastAsia="en-US"/>
    </w:rPr>
  </w:style>
  <w:style w:type="paragraph" w:customStyle="1" w:styleId="ListNumberLevel3">
    <w:name w:val="List Number (Level 3)"/>
    <w:basedOn w:val="Normal"/>
    <w:rsid w:val="00B551B3"/>
    <w:pPr>
      <w:widowControl/>
      <w:numPr>
        <w:ilvl w:val="2"/>
        <w:numId w:val="9"/>
      </w:numPr>
      <w:tabs>
        <w:tab w:val="clear" w:pos="2126"/>
        <w:tab w:val="num" w:pos="1492"/>
      </w:tabs>
      <w:spacing w:before="120" w:after="120"/>
      <w:ind w:left="1492" w:hanging="360"/>
      <w:jc w:val="both"/>
    </w:pPr>
    <w:rPr>
      <w:rFonts w:eastAsia="Calibri"/>
      <w:szCs w:val="22"/>
      <w:lang w:eastAsia="en-US"/>
    </w:rPr>
  </w:style>
  <w:style w:type="paragraph" w:customStyle="1" w:styleId="ListNumberLevel4">
    <w:name w:val="List Number (Level 4)"/>
    <w:basedOn w:val="Normal"/>
    <w:rsid w:val="00B551B3"/>
    <w:pPr>
      <w:widowControl/>
      <w:numPr>
        <w:ilvl w:val="3"/>
        <w:numId w:val="9"/>
      </w:numPr>
      <w:tabs>
        <w:tab w:val="clear" w:pos="2835"/>
        <w:tab w:val="num" w:pos="1492"/>
      </w:tabs>
      <w:spacing w:before="120" w:after="120"/>
      <w:ind w:left="1492" w:hanging="360"/>
      <w:jc w:val="both"/>
    </w:pPr>
    <w:rPr>
      <w:rFonts w:eastAsia="Calibri"/>
      <w:szCs w:val="22"/>
      <w:lang w:eastAsia="en-US"/>
    </w:rPr>
  </w:style>
  <w:style w:type="table" w:customStyle="1" w:styleId="TableGrid11">
    <w:name w:val="Table Grid11"/>
    <w:basedOn w:val="TableNormal"/>
    <w:next w:val="TableGrid"/>
    <w:rsid w:val="00B551B3"/>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B551B3"/>
    <w:pPr>
      <w:widowControl/>
      <w:numPr>
        <w:numId w:val="13"/>
      </w:numPr>
      <w:tabs>
        <w:tab w:val="clear" w:pos="1560"/>
        <w:tab w:val="num" w:pos="643"/>
      </w:tabs>
      <w:spacing w:before="120" w:after="120"/>
      <w:ind w:left="643" w:hanging="360"/>
      <w:jc w:val="both"/>
    </w:pPr>
    <w:rPr>
      <w:rFonts w:eastAsia="Calibri"/>
      <w:szCs w:val="22"/>
      <w:lang w:eastAsia="en-US"/>
    </w:rPr>
  </w:style>
  <w:style w:type="paragraph" w:styleId="ListNumber3">
    <w:name w:val="List Number 3"/>
    <w:basedOn w:val="Normal"/>
    <w:uiPriority w:val="99"/>
    <w:rsid w:val="00B551B3"/>
    <w:pPr>
      <w:widowControl/>
      <w:numPr>
        <w:numId w:val="14"/>
      </w:numPr>
      <w:tabs>
        <w:tab w:val="clear" w:pos="1560"/>
        <w:tab w:val="num" w:pos="643"/>
      </w:tabs>
      <w:spacing w:before="120" w:after="120"/>
      <w:ind w:left="643" w:hanging="360"/>
      <w:jc w:val="both"/>
    </w:pPr>
    <w:rPr>
      <w:rFonts w:eastAsia="Calibri"/>
      <w:szCs w:val="22"/>
      <w:lang w:eastAsia="en-US"/>
    </w:rPr>
  </w:style>
  <w:style w:type="paragraph" w:styleId="ListNumber4">
    <w:name w:val="List Number 4"/>
    <w:basedOn w:val="Normal"/>
    <w:uiPriority w:val="99"/>
    <w:rsid w:val="00B551B3"/>
    <w:pPr>
      <w:widowControl/>
      <w:numPr>
        <w:numId w:val="15"/>
      </w:numPr>
      <w:tabs>
        <w:tab w:val="clear" w:pos="1560"/>
        <w:tab w:val="num" w:pos="926"/>
      </w:tabs>
      <w:spacing w:before="120" w:after="120"/>
      <w:ind w:left="926" w:hanging="360"/>
      <w:jc w:val="both"/>
    </w:pPr>
    <w:rPr>
      <w:rFonts w:eastAsia="Calibri"/>
      <w:szCs w:val="22"/>
      <w:lang w:eastAsia="en-US"/>
    </w:rPr>
  </w:style>
  <w:style w:type="paragraph" w:customStyle="1" w:styleId="ListDash3">
    <w:name w:val="List Dash 3"/>
    <w:basedOn w:val="Normal"/>
    <w:rsid w:val="00B551B3"/>
    <w:pPr>
      <w:widowControl/>
      <w:numPr>
        <w:numId w:val="10"/>
      </w:numPr>
      <w:tabs>
        <w:tab w:val="clear" w:pos="1134"/>
        <w:tab w:val="num" w:pos="1492"/>
      </w:tabs>
      <w:spacing w:before="120" w:after="120"/>
      <w:ind w:left="1492" w:hanging="360"/>
      <w:jc w:val="both"/>
    </w:pPr>
    <w:rPr>
      <w:rFonts w:eastAsia="Calibri"/>
      <w:szCs w:val="22"/>
      <w:lang w:eastAsia="en-US"/>
    </w:rPr>
  </w:style>
  <w:style w:type="paragraph" w:customStyle="1" w:styleId="ListDash4">
    <w:name w:val="List Dash 4"/>
    <w:basedOn w:val="Normal"/>
    <w:rsid w:val="00B551B3"/>
    <w:pPr>
      <w:widowControl/>
      <w:numPr>
        <w:numId w:val="11"/>
      </w:numPr>
      <w:tabs>
        <w:tab w:val="clear" w:pos="1134"/>
        <w:tab w:val="num" w:pos="360"/>
      </w:tabs>
      <w:spacing w:before="120" w:after="120"/>
      <w:ind w:left="360" w:hanging="360"/>
      <w:jc w:val="both"/>
    </w:pPr>
    <w:rPr>
      <w:rFonts w:eastAsia="Calibri"/>
      <w:szCs w:val="22"/>
      <w:lang w:eastAsia="en-US"/>
    </w:rPr>
  </w:style>
  <w:style w:type="paragraph" w:customStyle="1" w:styleId="ListNumber1">
    <w:name w:val="List Number 1"/>
    <w:basedOn w:val="Text1"/>
    <w:rsid w:val="00B551B3"/>
    <w:pPr>
      <w:numPr>
        <w:numId w:val="12"/>
      </w:numPr>
      <w:tabs>
        <w:tab w:val="clear" w:pos="1701"/>
        <w:tab w:val="num" w:pos="360"/>
      </w:tabs>
      <w:ind w:left="360" w:hanging="360"/>
    </w:pPr>
  </w:style>
  <w:style w:type="paragraph" w:customStyle="1" w:styleId="ListNumber1Level2">
    <w:name w:val="List Number 1 (Level 2)"/>
    <w:basedOn w:val="Text1"/>
    <w:rsid w:val="00B551B3"/>
    <w:pPr>
      <w:numPr>
        <w:ilvl w:val="1"/>
        <w:numId w:val="12"/>
      </w:numPr>
      <w:tabs>
        <w:tab w:val="clear" w:pos="2268"/>
        <w:tab w:val="num" w:pos="360"/>
      </w:tabs>
      <w:ind w:left="360" w:hanging="360"/>
    </w:pPr>
  </w:style>
  <w:style w:type="paragraph" w:customStyle="1" w:styleId="ListNumber2Level2">
    <w:name w:val="List Number 2 (Level 2)"/>
    <w:basedOn w:val="Text2"/>
    <w:rsid w:val="00B551B3"/>
    <w:pPr>
      <w:numPr>
        <w:ilvl w:val="1"/>
        <w:numId w:val="13"/>
      </w:numPr>
      <w:tabs>
        <w:tab w:val="clear" w:pos="2268"/>
        <w:tab w:val="num" w:pos="643"/>
      </w:tabs>
      <w:ind w:left="643" w:hanging="360"/>
    </w:pPr>
  </w:style>
  <w:style w:type="paragraph" w:customStyle="1" w:styleId="ListNumber3Level2">
    <w:name w:val="List Number 3 (Level 2)"/>
    <w:basedOn w:val="Text3"/>
    <w:rsid w:val="00B551B3"/>
    <w:pPr>
      <w:numPr>
        <w:ilvl w:val="1"/>
        <w:numId w:val="14"/>
      </w:numPr>
      <w:tabs>
        <w:tab w:val="clear" w:pos="2268"/>
        <w:tab w:val="num" w:pos="643"/>
      </w:tabs>
      <w:ind w:left="643" w:hanging="360"/>
    </w:pPr>
  </w:style>
  <w:style w:type="paragraph" w:customStyle="1" w:styleId="ListNumber4Level2">
    <w:name w:val="List Number 4 (Level 2)"/>
    <w:basedOn w:val="Text4"/>
    <w:rsid w:val="00B551B3"/>
    <w:pPr>
      <w:numPr>
        <w:ilvl w:val="1"/>
        <w:numId w:val="15"/>
      </w:numPr>
      <w:tabs>
        <w:tab w:val="clear" w:pos="2268"/>
        <w:tab w:val="num" w:pos="926"/>
      </w:tabs>
      <w:ind w:left="926" w:hanging="360"/>
    </w:pPr>
  </w:style>
  <w:style w:type="paragraph" w:customStyle="1" w:styleId="ListNumber1Level3">
    <w:name w:val="List Number 1 (Level 3)"/>
    <w:basedOn w:val="Text1"/>
    <w:rsid w:val="00B551B3"/>
    <w:pPr>
      <w:numPr>
        <w:ilvl w:val="2"/>
        <w:numId w:val="12"/>
      </w:numPr>
      <w:tabs>
        <w:tab w:val="clear" w:pos="2977"/>
        <w:tab w:val="num" w:pos="360"/>
      </w:tabs>
      <w:ind w:left="360" w:hanging="360"/>
    </w:pPr>
  </w:style>
  <w:style w:type="paragraph" w:customStyle="1" w:styleId="ListNumber2Level3">
    <w:name w:val="List Number 2 (Level 3)"/>
    <w:basedOn w:val="Text2"/>
    <w:rsid w:val="00B551B3"/>
    <w:pPr>
      <w:numPr>
        <w:ilvl w:val="2"/>
        <w:numId w:val="13"/>
      </w:numPr>
      <w:tabs>
        <w:tab w:val="clear" w:pos="2977"/>
        <w:tab w:val="num" w:pos="643"/>
      </w:tabs>
      <w:ind w:left="643" w:hanging="360"/>
    </w:pPr>
  </w:style>
  <w:style w:type="paragraph" w:customStyle="1" w:styleId="ListNumber3Level3">
    <w:name w:val="List Number 3 (Level 3)"/>
    <w:basedOn w:val="Text3"/>
    <w:rsid w:val="00B551B3"/>
    <w:pPr>
      <w:numPr>
        <w:ilvl w:val="2"/>
        <w:numId w:val="14"/>
      </w:numPr>
      <w:tabs>
        <w:tab w:val="clear" w:pos="2977"/>
        <w:tab w:val="num" w:pos="643"/>
      </w:tabs>
      <w:ind w:left="643" w:hanging="360"/>
    </w:pPr>
  </w:style>
  <w:style w:type="paragraph" w:customStyle="1" w:styleId="ListNumber4Level3">
    <w:name w:val="List Number 4 (Level 3)"/>
    <w:basedOn w:val="Text4"/>
    <w:rsid w:val="00B551B3"/>
    <w:pPr>
      <w:numPr>
        <w:ilvl w:val="2"/>
        <w:numId w:val="15"/>
      </w:numPr>
      <w:tabs>
        <w:tab w:val="clear" w:pos="2977"/>
        <w:tab w:val="num" w:pos="926"/>
      </w:tabs>
      <w:ind w:left="926" w:hanging="360"/>
    </w:pPr>
  </w:style>
  <w:style w:type="paragraph" w:customStyle="1" w:styleId="ListNumber1Level4">
    <w:name w:val="List Number 1 (Level 4)"/>
    <w:basedOn w:val="Text1"/>
    <w:rsid w:val="00B551B3"/>
    <w:pPr>
      <w:numPr>
        <w:ilvl w:val="3"/>
        <w:numId w:val="12"/>
      </w:numPr>
      <w:tabs>
        <w:tab w:val="clear" w:pos="3686"/>
        <w:tab w:val="num" w:pos="360"/>
      </w:tabs>
      <w:ind w:left="360" w:hanging="360"/>
    </w:pPr>
  </w:style>
  <w:style w:type="paragraph" w:customStyle="1" w:styleId="ListNumber2Level4">
    <w:name w:val="List Number 2 (Level 4)"/>
    <w:basedOn w:val="Text2"/>
    <w:rsid w:val="00B551B3"/>
    <w:pPr>
      <w:numPr>
        <w:ilvl w:val="3"/>
        <w:numId w:val="13"/>
      </w:numPr>
      <w:tabs>
        <w:tab w:val="clear" w:pos="3686"/>
        <w:tab w:val="num" w:pos="643"/>
      </w:tabs>
      <w:ind w:left="643" w:hanging="360"/>
    </w:pPr>
  </w:style>
  <w:style w:type="paragraph" w:customStyle="1" w:styleId="ListNumber3Level4">
    <w:name w:val="List Number 3 (Level 4)"/>
    <w:basedOn w:val="Text3"/>
    <w:rsid w:val="00B551B3"/>
    <w:pPr>
      <w:numPr>
        <w:ilvl w:val="3"/>
        <w:numId w:val="14"/>
      </w:numPr>
      <w:tabs>
        <w:tab w:val="clear" w:pos="3686"/>
        <w:tab w:val="num" w:pos="643"/>
      </w:tabs>
      <w:ind w:left="643" w:hanging="360"/>
    </w:pPr>
  </w:style>
  <w:style w:type="paragraph" w:customStyle="1" w:styleId="ListNumber4Level4">
    <w:name w:val="List Number 4 (Level 4)"/>
    <w:basedOn w:val="Text4"/>
    <w:rsid w:val="00B551B3"/>
    <w:pPr>
      <w:numPr>
        <w:ilvl w:val="3"/>
        <w:numId w:val="15"/>
      </w:numPr>
      <w:tabs>
        <w:tab w:val="clear" w:pos="3686"/>
        <w:tab w:val="num" w:pos="926"/>
      </w:tabs>
      <w:ind w:left="926" w:hanging="360"/>
    </w:pPr>
  </w:style>
  <w:style w:type="paragraph" w:customStyle="1" w:styleId="Annexetitreacte">
    <w:name w:val="Annexe titre (acte)"/>
    <w:basedOn w:val="Normal"/>
    <w:next w:val="Normal"/>
    <w:rsid w:val="00B551B3"/>
    <w:pPr>
      <w:widowControl/>
      <w:spacing w:before="120" w:after="120"/>
      <w:jc w:val="center"/>
    </w:pPr>
    <w:rPr>
      <w:rFonts w:eastAsia="Calibri"/>
      <w:b/>
      <w:szCs w:val="22"/>
      <w:u w:val="single"/>
      <w:lang w:eastAsia="en-US"/>
    </w:rPr>
  </w:style>
  <w:style w:type="paragraph" w:customStyle="1" w:styleId="Annexetitreexposglobal">
    <w:name w:val="Annexe titre (exposé global)"/>
    <w:basedOn w:val="Normal"/>
    <w:next w:val="Normal"/>
    <w:rsid w:val="00B551B3"/>
    <w:pPr>
      <w:widowControl/>
      <w:spacing w:before="120" w:after="120"/>
      <w:jc w:val="center"/>
    </w:pPr>
    <w:rPr>
      <w:rFonts w:eastAsia="Calibri"/>
      <w:b/>
      <w:szCs w:val="22"/>
      <w:u w:val="single"/>
      <w:lang w:eastAsia="en-US"/>
    </w:rPr>
  </w:style>
  <w:style w:type="paragraph" w:customStyle="1" w:styleId="Annexetitrefichefinacte">
    <w:name w:val="Annexe titre (fiche fin. acte)"/>
    <w:basedOn w:val="Normal"/>
    <w:next w:val="Normal"/>
    <w:rsid w:val="00B551B3"/>
    <w:pPr>
      <w:widowControl/>
      <w:spacing w:before="120" w:after="120"/>
      <w:jc w:val="center"/>
    </w:pPr>
    <w:rPr>
      <w:rFonts w:eastAsia="Calibri"/>
      <w:b/>
      <w:szCs w:val="22"/>
      <w:u w:val="single"/>
      <w:lang w:eastAsia="en-US"/>
    </w:rPr>
  </w:style>
  <w:style w:type="paragraph" w:customStyle="1" w:styleId="Annexetitrefichefinglobale">
    <w:name w:val="Annexe titre (fiche fin. globale)"/>
    <w:basedOn w:val="Normal"/>
    <w:next w:val="Normal"/>
    <w:rsid w:val="00B551B3"/>
    <w:pPr>
      <w:widowControl/>
      <w:spacing w:before="120" w:after="120"/>
      <w:jc w:val="center"/>
    </w:pPr>
    <w:rPr>
      <w:rFonts w:eastAsia="Calibri"/>
      <w:b/>
      <w:szCs w:val="22"/>
      <w:u w:val="single"/>
      <w:lang w:eastAsia="en-US"/>
    </w:rPr>
  </w:style>
  <w:style w:type="paragraph" w:customStyle="1" w:styleId="Annexetitreglobale">
    <w:name w:val="Annexe titre (globale)"/>
    <w:basedOn w:val="Normal"/>
    <w:next w:val="Normal"/>
    <w:rsid w:val="00B551B3"/>
    <w:pPr>
      <w:widowControl/>
      <w:spacing w:before="120" w:after="120"/>
      <w:jc w:val="center"/>
    </w:pPr>
    <w:rPr>
      <w:rFonts w:eastAsia="Calibri"/>
      <w:b/>
      <w:szCs w:val="22"/>
      <w:u w:val="single"/>
      <w:lang w:eastAsia="en-US"/>
    </w:rPr>
  </w:style>
  <w:style w:type="paragraph" w:customStyle="1" w:styleId="Exposdesmotifstitreglobal">
    <w:name w:val="Exposé des motifs titre (global)"/>
    <w:basedOn w:val="Normal"/>
    <w:next w:val="Normal"/>
    <w:rsid w:val="00B551B3"/>
    <w:pPr>
      <w:widowControl/>
      <w:spacing w:before="120" w:after="120"/>
      <w:jc w:val="center"/>
    </w:pPr>
    <w:rPr>
      <w:rFonts w:eastAsia="Calibri"/>
      <w:b/>
      <w:szCs w:val="22"/>
      <w:u w:val="single"/>
      <w:lang w:eastAsia="en-US"/>
    </w:rPr>
  </w:style>
  <w:style w:type="paragraph" w:customStyle="1" w:styleId="Langueoriginale">
    <w:name w:val="Langue originale"/>
    <w:basedOn w:val="Normal"/>
    <w:rsid w:val="00B551B3"/>
    <w:pPr>
      <w:widowControl/>
      <w:spacing w:before="360" w:after="120"/>
      <w:jc w:val="center"/>
    </w:pPr>
    <w:rPr>
      <w:rFonts w:eastAsia="Calibri"/>
      <w:caps/>
      <w:szCs w:val="22"/>
      <w:lang w:eastAsia="en-US"/>
    </w:rPr>
  </w:style>
  <w:style w:type="paragraph" w:customStyle="1" w:styleId="Phrasefinale">
    <w:name w:val="Phrase finale"/>
    <w:basedOn w:val="Normal"/>
    <w:next w:val="Normal"/>
    <w:rsid w:val="00B551B3"/>
    <w:pPr>
      <w:widowControl/>
      <w:spacing w:before="360"/>
      <w:jc w:val="center"/>
    </w:pPr>
    <w:rPr>
      <w:rFonts w:eastAsia="Calibri"/>
      <w:szCs w:val="22"/>
      <w:lang w:eastAsia="en-US"/>
    </w:rPr>
  </w:style>
  <w:style w:type="paragraph" w:customStyle="1" w:styleId="Prliminairetitre">
    <w:name w:val="Préliminaire titre"/>
    <w:basedOn w:val="Normal"/>
    <w:next w:val="Normal"/>
    <w:rsid w:val="00B551B3"/>
    <w:pPr>
      <w:widowControl/>
      <w:spacing w:before="360" w:after="360"/>
      <w:jc w:val="center"/>
    </w:pPr>
    <w:rPr>
      <w:rFonts w:eastAsia="Calibri"/>
      <w:b/>
      <w:szCs w:val="22"/>
      <w:lang w:eastAsia="en-US"/>
    </w:rPr>
  </w:style>
  <w:style w:type="paragraph" w:customStyle="1" w:styleId="Prliminairetype">
    <w:name w:val="Préliminaire type"/>
    <w:basedOn w:val="Normal"/>
    <w:next w:val="Normal"/>
    <w:rsid w:val="00B551B3"/>
    <w:pPr>
      <w:widowControl/>
      <w:spacing w:before="360"/>
      <w:jc w:val="center"/>
    </w:pPr>
    <w:rPr>
      <w:rFonts w:eastAsia="Calibri"/>
      <w:b/>
      <w:szCs w:val="22"/>
      <w:lang w:eastAsia="en-US"/>
    </w:rPr>
  </w:style>
  <w:style w:type="paragraph" w:customStyle="1" w:styleId="Rfrenceinstitutionelle">
    <w:name w:val="Référence institutionelle"/>
    <w:basedOn w:val="Normal"/>
    <w:next w:val="Statut"/>
    <w:rsid w:val="00B551B3"/>
    <w:pPr>
      <w:widowControl/>
      <w:spacing w:after="240"/>
      <w:ind w:left="5103"/>
    </w:pPr>
    <w:rPr>
      <w:rFonts w:eastAsia="Calibri"/>
      <w:szCs w:val="22"/>
      <w:lang w:eastAsia="en-US"/>
    </w:rPr>
  </w:style>
  <w:style w:type="paragraph" w:customStyle="1" w:styleId="Rfrenceinterinstitutionelle">
    <w:name w:val="Référence interinstitutionelle"/>
    <w:basedOn w:val="Normal"/>
    <w:next w:val="Statut"/>
    <w:rsid w:val="00B551B3"/>
    <w:pPr>
      <w:widowControl/>
      <w:ind w:left="5103"/>
    </w:pPr>
    <w:rPr>
      <w:rFonts w:eastAsia="Calibri"/>
      <w:szCs w:val="22"/>
      <w:lang w:eastAsia="en-US"/>
    </w:rPr>
  </w:style>
  <w:style w:type="paragraph" w:customStyle="1" w:styleId="Rfrenceinterinstitutionelleprliminaire">
    <w:name w:val="Référence interinstitutionelle (préliminaire)"/>
    <w:basedOn w:val="Normal"/>
    <w:next w:val="Normal"/>
    <w:rsid w:val="00B551B3"/>
    <w:pPr>
      <w:widowControl/>
      <w:ind w:left="5103"/>
    </w:pPr>
    <w:rPr>
      <w:rFonts w:eastAsia="Calibri"/>
      <w:szCs w:val="22"/>
      <w:lang w:eastAsia="en-US"/>
    </w:rPr>
  </w:style>
  <w:style w:type="paragraph" w:customStyle="1" w:styleId="Sous-titreobjetprliminaire">
    <w:name w:val="Sous-titre objet (préliminaire)"/>
    <w:basedOn w:val="Normal"/>
    <w:rsid w:val="00B551B3"/>
    <w:pPr>
      <w:widowControl/>
      <w:jc w:val="center"/>
    </w:pPr>
    <w:rPr>
      <w:rFonts w:eastAsia="Calibri"/>
      <w:b/>
      <w:szCs w:val="22"/>
      <w:lang w:eastAsia="en-US"/>
    </w:rPr>
  </w:style>
  <w:style w:type="paragraph" w:customStyle="1" w:styleId="Statutprliminaire">
    <w:name w:val="Statut (préliminaire)"/>
    <w:basedOn w:val="Normal"/>
    <w:next w:val="Normal"/>
    <w:rsid w:val="00B551B3"/>
    <w:pPr>
      <w:widowControl/>
      <w:spacing w:before="360"/>
      <w:jc w:val="center"/>
    </w:pPr>
    <w:rPr>
      <w:rFonts w:eastAsia="Calibri"/>
      <w:szCs w:val="22"/>
      <w:lang w:eastAsia="en-US"/>
    </w:rPr>
  </w:style>
  <w:style w:type="paragraph" w:customStyle="1" w:styleId="Titreobjetprliminaire">
    <w:name w:val="Titre objet (préliminaire)"/>
    <w:basedOn w:val="Normal"/>
    <w:next w:val="Normal"/>
    <w:rsid w:val="00B551B3"/>
    <w:pPr>
      <w:widowControl/>
      <w:spacing w:before="360" w:after="360"/>
      <w:jc w:val="center"/>
    </w:pPr>
    <w:rPr>
      <w:rFonts w:eastAsia="Calibri"/>
      <w:b/>
      <w:szCs w:val="22"/>
      <w:lang w:eastAsia="en-US"/>
    </w:rPr>
  </w:style>
  <w:style w:type="paragraph" w:customStyle="1" w:styleId="Typedudocumentprliminaire">
    <w:name w:val="Type du document (préliminaire)"/>
    <w:basedOn w:val="Normal"/>
    <w:next w:val="Normal"/>
    <w:rsid w:val="00B551B3"/>
    <w:pPr>
      <w:widowControl/>
      <w:spacing w:before="360"/>
      <w:jc w:val="center"/>
    </w:pPr>
    <w:rPr>
      <w:rFonts w:eastAsia="Calibri"/>
      <w:b/>
      <w:szCs w:val="22"/>
      <w:lang w:eastAsia="en-US"/>
    </w:rPr>
  </w:style>
  <w:style w:type="paragraph" w:customStyle="1" w:styleId="Fichefinancirestandardtitre">
    <w:name w:val="Fiche financière (standard) titre"/>
    <w:basedOn w:val="Normal"/>
    <w:next w:val="Normal"/>
    <w:rsid w:val="00B551B3"/>
    <w:pPr>
      <w:widowControl/>
      <w:spacing w:before="120" w:after="120"/>
      <w:jc w:val="center"/>
    </w:pPr>
    <w:rPr>
      <w:rFonts w:eastAsia="Calibri"/>
      <w:b/>
      <w:szCs w:val="22"/>
      <w:u w:val="single"/>
      <w:lang w:eastAsia="en-US"/>
    </w:rPr>
  </w:style>
  <w:style w:type="paragraph" w:customStyle="1" w:styleId="Fichefinancirestandardtitreacte">
    <w:name w:val="Fiche financière (standard) titre (acte)"/>
    <w:basedOn w:val="Normal"/>
    <w:next w:val="Normal"/>
    <w:rsid w:val="00B551B3"/>
    <w:pPr>
      <w:widowControl/>
      <w:spacing w:before="120" w:after="120"/>
      <w:jc w:val="center"/>
    </w:pPr>
    <w:rPr>
      <w:rFonts w:eastAsia="Calibri"/>
      <w:b/>
      <w:szCs w:val="22"/>
      <w:u w:val="single"/>
      <w:lang w:eastAsia="en-US"/>
    </w:rPr>
  </w:style>
  <w:style w:type="paragraph" w:customStyle="1" w:styleId="Fichefinanciretravailtitre">
    <w:name w:val="Fiche financière (travail) titre"/>
    <w:basedOn w:val="Normal"/>
    <w:next w:val="Normal"/>
    <w:rsid w:val="00B551B3"/>
    <w:pPr>
      <w:widowControl/>
      <w:spacing w:before="120" w:after="120"/>
      <w:jc w:val="center"/>
    </w:pPr>
    <w:rPr>
      <w:rFonts w:eastAsia="Calibri"/>
      <w:b/>
      <w:szCs w:val="22"/>
      <w:u w:val="single"/>
      <w:lang w:eastAsia="en-US"/>
    </w:rPr>
  </w:style>
  <w:style w:type="paragraph" w:customStyle="1" w:styleId="Fichefinanciretravailtitreacte">
    <w:name w:val="Fiche financière (travail) titre (acte)"/>
    <w:basedOn w:val="Normal"/>
    <w:next w:val="Normal"/>
    <w:rsid w:val="00B551B3"/>
    <w:pPr>
      <w:widowControl/>
      <w:spacing w:before="120" w:after="120"/>
      <w:jc w:val="center"/>
    </w:pPr>
    <w:rPr>
      <w:rFonts w:eastAsia="Calibri"/>
      <w:b/>
      <w:szCs w:val="22"/>
      <w:u w:val="single"/>
      <w:lang w:eastAsia="en-US"/>
    </w:rPr>
  </w:style>
  <w:style w:type="paragraph" w:customStyle="1" w:styleId="Fichefinancireattributiontitre">
    <w:name w:val="Fiche financière (attribution) titre"/>
    <w:basedOn w:val="Normal"/>
    <w:next w:val="Normal"/>
    <w:rsid w:val="00B551B3"/>
    <w:pPr>
      <w:widowControl/>
      <w:spacing w:before="120" w:after="120"/>
      <w:jc w:val="center"/>
    </w:pPr>
    <w:rPr>
      <w:rFonts w:eastAsia="Calibri"/>
      <w:b/>
      <w:szCs w:val="22"/>
      <w:u w:val="single"/>
      <w:lang w:eastAsia="en-US"/>
    </w:rPr>
  </w:style>
  <w:style w:type="paragraph" w:customStyle="1" w:styleId="Fichefinancireattributiontitreacte">
    <w:name w:val="Fiche financière (attribution) titre (acte)"/>
    <w:basedOn w:val="Normal"/>
    <w:next w:val="Normal"/>
    <w:rsid w:val="00B551B3"/>
    <w:pPr>
      <w:widowControl/>
      <w:spacing w:before="120" w:after="120"/>
      <w:jc w:val="center"/>
    </w:pPr>
    <w:rPr>
      <w:rFonts w:eastAsia="Calibri"/>
      <w:b/>
      <w:szCs w:val="22"/>
      <w:u w:val="single"/>
      <w:lang w:eastAsia="en-US"/>
    </w:rPr>
  </w:style>
  <w:style w:type="paragraph" w:styleId="Caption">
    <w:name w:val="caption"/>
    <w:basedOn w:val="Normal"/>
    <w:next w:val="Normal"/>
    <w:uiPriority w:val="35"/>
    <w:qFormat/>
    <w:rsid w:val="00B551B3"/>
    <w:pPr>
      <w:widowControl/>
      <w:spacing w:before="120" w:after="120"/>
      <w:jc w:val="both"/>
    </w:pPr>
    <w:rPr>
      <w:rFonts w:eastAsia="Calibri"/>
      <w:b/>
      <w:sz w:val="20"/>
      <w:szCs w:val="22"/>
      <w:lang w:eastAsia="en-US"/>
    </w:rPr>
  </w:style>
  <w:style w:type="paragraph" w:styleId="TableofFigures">
    <w:name w:val="table of figures"/>
    <w:basedOn w:val="Normal"/>
    <w:next w:val="Normal"/>
    <w:uiPriority w:val="99"/>
    <w:rsid w:val="00B551B3"/>
    <w:pPr>
      <w:widowControl/>
      <w:spacing w:before="120" w:after="120"/>
      <w:jc w:val="both"/>
    </w:pPr>
    <w:rPr>
      <w:rFonts w:eastAsia="Calibri"/>
      <w:szCs w:val="22"/>
      <w:lang w:eastAsia="en-US"/>
    </w:rPr>
  </w:style>
  <w:style w:type="character" w:customStyle="1" w:styleId="tw4winMark">
    <w:name w:val="tw4winMark"/>
    <w:rsid w:val="00B551B3"/>
    <w:rPr>
      <w:vanish/>
      <w:color w:val="800080"/>
      <w:vertAlign w:val="subscript"/>
    </w:rPr>
  </w:style>
  <w:style w:type="character" w:styleId="FollowedHyperlink">
    <w:name w:val="FollowedHyperlink"/>
    <w:uiPriority w:val="99"/>
    <w:rsid w:val="00B551B3"/>
    <w:rPr>
      <w:color w:val="800080"/>
      <w:u w:val="single"/>
    </w:rPr>
  </w:style>
  <w:style w:type="paragraph" w:customStyle="1" w:styleId="Sous-titreobjet">
    <w:name w:val="Sous-titre objet"/>
    <w:basedOn w:val="Normal"/>
    <w:rsid w:val="00B551B3"/>
    <w:pPr>
      <w:widowControl/>
      <w:jc w:val="center"/>
    </w:pPr>
    <w:rPr>
      <w:rFonts w:eastAsia="Calibri"/>
      <w:b/>
      <w:szCs w:val="22"/>
      <w:lang w:eastAsia="en-US"/>
    </w:rPr>
  </w:style>
  <w:style w:type="paragraph" w:customStyle="1" w:styleId="Sous-titreobjetPagedecouverture">
    <w:name w:val="Sous-titre objet (Page de couverture)"/>
    <w:basedOn w:val="Sous-titreobjet"/>
    <w:rsid w:val="00B551B3"/>
  </w:style>
  <w:style w:type="paragraph" w:customStyle="1" w:styleId="FooterCoverPage">
    <w:name w:val="Footer Cover Page"/>
    <w:basedOn w:val="Normal"/>
    <w:link w:val="FooterCoverPageChar"/>
    <w:rsid w:val="00B551B3"/>
    <w:pPr>
      <w:widowControl/>
      <w:tabs>
        <w:tab w:val="center" w:pos="4535"/>
        <w:tab w:val="right" w:pos="9071"/>
        <w:tab w:val="right" w:pos="9921"/>
      </w:tabs>
      <w:spacing w:before="360"/>
      <w:ind w:left="-850" w:right="-850"/>
    </w:pPr>
    <w:rPr>
      <w:rFonts w:eastAsia="Calibri"/>
      <w:szCs w:val="22"/>
      <w:lang w:eastAsia="en-US"/>
    </w:rPr>
  </w:style>
  <w:style w:type="character" w:customStyle="1" w:styleId="TOCHeadingChar">
    <w:name w:val="TOC Heading Char"/>
    <w:uiPriority w:val="39"/>
    <w:rsid w:val="00B551B3"/>
    <w:rPr>
      <w:rFonts w:ascii="Times New Roman" w:hAnsi="Times New Roman" w:cs="Times New Roman"/>
      <w:b/>
      <w:sz w:val="28"/>
    </w:rPr>
  </w:style>
  <w:style w:type="character" w:customStyle="1" w:styleId="FooterCoverPageChar">
    <w:name w:val="Footer Cover Page Char"/>
    <w:link w:val="FooterCoverPage"/>
    <w:rsid w:val="00B551B3"/>
    <w:rPr>
      <w:rFonts w:eastAsia="Calibri"/>
      <w:sz w:val="24"/>
      <w:szCs w:val="22"/>
      <w:lang w:val="da-DK" w:eastAsia="en-US"/>
    </w:rPr>
  </w:style>
  <w:style w:type="paragraph" w:customStyle="1" w:styleId="HeaderCoverPage">
    <w:name w:val="Header Cover Page"/>
    <w:basedOn w:val="Normal"/>
    <w:link w:val="HeaderCoverPageChar"/>
    <w:rsid w:val="00B551B3"/>
    <w:pPr>
      <w:widowControl/>
      <w:tabs>
        <w:tab w:val="center" w:pos="4535"/>
        <w:tab w:val="right" w:pos="9071"/>
      </w:tabs>
      <w:spacing w:after="120"/>
      <w:jc w:val="both"/>
    </w:pPr>
    <w:rPr>
      <w:rFonts w:eastAsia="Calibri"/>
      <w:szCs w:val="22"/>
      <w:lang w:eastAsia="en-US"/>
    </w:rPr>
  </w:style>
  <w:style w:type="character" w:customStyle="1" w:styleId="HeaderCoverPageChar">
    <w:name w:val="Header Cover Page Char"/>
    <w:link w:val="HeaderCoverPage"/>
    <w:rsid w:val="00B551B3"/>
    <w:rPr>
      <w:rFonts w:eastAsia="Calibri"/>
      <w:sz w:val="24"/>
      <w:szCs w:val="22"/>
      <w:lang w:val="da-DK" w:eastAsia="en-US"/>
    </w:rPr>
  </w:style>
  <w:style w:type="paragraph" w:styleId="ListParagraph">
    <w:name w:val="List Paragraph"/>
    <w:basedOn w:val="Normal"/>
    <w:uiPriority w:val="34"/>
    <w:qFormat/>
    <w:rsid w:val="00B551B3"/>
    <w:pPr>
      <w:widowControl/>
      <w:spacing w:before="120" w:after="120"/>
      <w:ind w:left="720"/>
      <w:contextualSpacing/>
      <w:jc w:val="both"/>
    </w:pPr>
    <w:rPr>
      <w:rFonts w:eastAsia="Calibri"/>
      <w:szCs w:val="22"/>
      <w:lang w:eastAsia="en-US"/>
    </w:rPr>
  </w:style>
  <w:style w:type="paragraph" w:customStyle="1" w:styleId="Default">
    <w:name w:val="Default"/>
    <w:rsid w:val="00B551B3"/>
    <w:pPr>
      <w:autoSpaceDE w:val="0"/>
      <w:autoSpaceDN w:val="0"/>
      <w:adjustRightInd w:val="0"/>
    </w:pPr>
    <w:rPr>
      <w:rFonts w:eastAsia="Calibri"/>
      <w:sz w:val="24"/>
      <w:szCs w:val="22"/>
      <w:lang w:val="en-US" w:eastAsia="en-US"/>
    </w:rPr>
  </w:style>
  <w:style w:type="table" w:customStyle="1" w:styleId="Table11">
    <w:name w:val="Table 11"/>
    <w:basedOn w:val="TableNormal"/>
    <w:uiPriority w:val="99"/>
    <w:rsid w:val="00B551B3"/>
    <w:pPr>
      <w:jc w:val="center"/>
    </w:pPr>
    <w:rPr>
      <w:rFonts w:ascii="Trebuchet MS" w:eastAsia="Calibri" w:hAnsi="Trebuchet MS"/>
      <w:sz w:val="16"/>
      <w:lang w:val="da-DK" w:eastAsia="da-DK"/>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paragraph" w:customStyle="1" w:styleId="TitreobjetPagedecouverture">
    <w:name w:val="Titre objet (Page de couverture)"/>
    <w:basedOn w:val="Titreobjet"/>
    <w:next w:val="IntrtEEEPagedecouverture"/>
    <w:rsid w:val="00B551B3"/>
    <w:pPr>
      <w:spacing w:line="240" w:lineRule="auto"/>
    </w:pPr>
    <w:rPr>
      <w:rFonts w:eastAsia="Calibri"/>
      <w:szCs w:val="22"/>
      <w:lang w:val="da-DK"/>
    </w:rPr>
  </w:style>
  <w:style w:type="table" w:customStyle="1" w:styleId="TableGrid2">
    <w:name w:val="Table Grid2"/>
    <w:basedOn w:val="TableNormal"/>
    <w:next w:val="TableGrid"/>
    <w:rsid w:val="00B551B3"/>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1">
    <w:name w:val="Table 111"/>
    <w:basedOn w:val="TableNormal"/>
    <w:uiPriority w:val="99"/>
    <w:rsid w:val="00B551B3"/>
    <w:pPr>
      <w:jc w:val="center"/>
    </w:pPr>
    <w:rPr>
      <w:rFonts w:ascii="Trebuchet MS" w:eastAsia="Calibri" w:hAnsi="Trebuchet MS"/>
      <w:sz w:val="16"/>
      <w:lang w:val="da-DK" w:eastAsia="da-DK"/>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numbering" w:customStyle="1" w:styleId="NoList11">
    <w:name w:val="No List11"/>
    <w:next w:val="NoList"/>
    <w:uiPriority w:val="99"/>
    <w:semiHidden/>
    <w:unhideWhenUsed/>
    <w:rsid w:val="00B551B3"/>
  </w:style>
  <w:style w:type="table" w:customStyle="1" w:styleId="TableGrid3">
    <w:name w:val="Table Grid3"/>
    <w:basedOn w:val="TableNormal"/>
    <w:next w:val="TableGrid"/>
    <w:rsid w:val="00B551B3"/>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2">
    <w:name w:val="Table 112"/>
    <w:basedOn w:val="TableNormal"/>
    <w:uiPriority w:val="99"/>
    <w:rsid w:val="00B551B3"/>
    <w:pPr>
      <w:jc w:val="center"/>
    </w:pPr>
    <w:rPr>
      <w:rFonts w:ascii="Trebuchet MS" w:eastAsia="Calibri" w:hAnsi="Trebuchet MS"/>
      <w:sz w:val="16"/>
      <w:lang w:val="da-DK" w:eastAsia="da-DK"/>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numbering" w:customStyle="1" w:styleId="NoList21">
    <w:name w:val="No List21"/>
    <w:next w:val="NoList"/>
    <w:uiPriority w:val="99"/>
    <w:semiHidden/>
    <w:unhideWhenUsed/>
    <w:rsid w:val="00B551B3"/>
  </w:style>
  <w:style w:type="table" w:customStyle="1" w:styleId="TableGrid4">
    <w:name w:val="Table Grid4"/>
    <w:basedOn w:val="TableNormal"/>
    <w:next w:val="TableGrid"/>
    <w:rsid w:val="00B551B3"/>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3">
    <w:name w:val="Table 113"/>
    <w:basedOn w:val="TableNormal"/>
    <w:uiPriority w:val="99"/>
    <w:rsid w:val="00B551B3"/>
    <w:pPr>
      <w:jc w:val="center"/>
    </w:pPr>
    <w:rPr>
      <w:rFonts w:ascii="Trebuchet MS" w:eastAsia="Calibri" w:hAnsi="Trebuchet MS"/>
      <w:sz w:val="16"/>
      <w:lang w:val="da-DK" w:eastAsia="da-DK"/>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2">
    <w:name w:val="Table Grid12"/>
    <w:basedOn w:val="TableNormal"/>
    <w:next w:val="TableGrid"/>
    <w:rsid w:val="00B551B3"/>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Instit">
    <w:name w:val="EntInstit"/>
    <w:basedOn w:val="Normal"/>
    <w:rsid w:val="00B551B3"/>
    <w:pPr>
      <w:autoSpaceDE w:val="0"/>
      <w:autoSpaceDN w:val="0"/>
      <w:adjustRightInd w:val="0"/>
      <w:jc w:val="right"/>
    </w:pPr>
    <w:rPr>
      <w:rFonts w:eastAsia="Calibri"/>
      <w:b/>
      <w:szCs w:val="22"/>
      <w:lang w:eastAsia="en-US"/>
    </w:rPr>
  </w:style>
  <w:style w:type="paragraph" w:customStyle="1" w:styleId="EntRefer">
    <w:name w:val="EntRefer"/>
    <w:basedOn w:val="Normal"/>
    <w:rsid w:val="00B551B3"/>
    <w:pPr>
      <w:autoSpaceDE w:val="0"/>
      <w:autoSpaceDN w:val="0"/>
      <w:adjustRightInd w:val="0"/>
    </w:pPr>
    <w:rPr>
      <w:rFonts w:eastAsia="Calibri"/>
      <w:b/>
      <w:szCs w:val="22"/>
      <w:lang w:eastAsia="en-US"/>
    </w:rPr>
  </w:style>
  <w:style w:type="paragraph" w:customStyle="1" w:styleId="Par-number1">
    <w:name w:val="Par-number 1)"/>
    <w:basedOn w:val="Normal"/>
    <w:next w:val="Normal"/>
    <w:rsid w:val="00B551B3"/>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EntEmet">
    <w:name w:val="EntEmet"/>
    <w:basedOn w:val="Normal"/>
    <w:rsid w:val="00B551B3"/>
    <w:pPr>
      <w:tabs>
        <w:tab w:val="left" w:pos="284"/>
        <w:tab w:val="left" w:pos="567"/>
        <w:tab w:val="left" w:pos="851"/>
        <w:tab w:val="left" w:pos="1134"/>
        <w:tab w:val="left" w:pos="1418"/>
      </w:tabs>
      <w:autoSpaceDE w:val="0"/>
      <w:autoSpaceDN w:val="0"/>
      <w:adjustRightInd w:val="0"/>
      <w:spacing w:before="40"/>
    </w:pPr>
    <w:rPr>
      <w:rFonts w:eastAsia="Calibri"/>
      <w:szCs w:val="22"/>
      <w:lang w:eastAsia="en-US"/>
    </w:rPr>
  </w:style>
  <w:style w:type="paragraph" w:customStyle="1" w:styleId="Par-bullet">
    <w:name w:val="Par-bullet"/>
    <w:basedOn w:val="Normal"/>
    <w:next w:val="Normal"/>
    <w:rsid w:val="00B551B3"/>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Par-equal">
    <w:name w:val="Par-equal"/>
    <w:basedOn w:val="Normal"/>
    <w:next w:val="Normal"/>
    <w:rsid w:val="00B551B3"/>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Par-number10">
    <w:name w:val="Par-number (1)"/>
    <w:basedOn w:val="Normal"/>
    <w:next w:val="Normal"/>
    <w:rsid w:val="00B551B3"/>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Par-number11">
    <w:name w:val="Par-number 1."/>
    <w:basedOn w:val="Normal"/>
    <w:next w:val="Normal"/>
    <w:rsid w:val="00B551B3"/>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Par-numberI">
    <w:name w:val="Par-number I."/>
    <w:basedOn w:val="Normal"/>
    <w:next w:val="Normal"/>
    <w:rsid w:val="00B551B3"/>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Par-dash">
    <w:name w:val="Par-dash"/>
    <w:basedOn w:val="Normal"/>
    <w:next w:val="Normal"/>
    <w:rsid w:val="00B551B3"/>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EntLogo">
    <w:name w:val="EntLogo"/>
    <w:basedOn w:val="Normal"/>
    <w:next w:val="EntInstit"/>
    <w:rsid w:val="00B551B3"/>
    <w:pPr>
      <w:autoSpaceDE w:val="0"/>
      <w:autoSpaceDN w:val="0"/>
      <w:adjustRightInd w:val="0"/>
      <w:spacing w:line="360" w:lineRule="auto"/>
    </w:pPr>
    <w:rPr>
      <w:rFonts w:eastAsia="Calibri"/>
      <w:b/>
      <w:szCs w:val="22"/>
      <w:lang w:eastAsia="en-US"/>
    </w:rPr>
  </w:style>
  <w:style w:type="paragraph" w:customStyle="1" w:styleId="Par-numberA">
    <w:name w:val="Par-number A."/>
    <w:basedOn w:val="Normal"/>
    <w:next w:val="Normal"/>
    <w:rsid w:val="00B551B3"/>
    <w:pPr>
      <w:tabs>
        <w:tab w:val="num" w:pos="567"/>
      </w:tabs>
      <w:autoSpaceDE w:val="0"/>
      <w:autoSpaceDN w:val="0"/>
      <w:adjustRightInd w:val="0"/>
      <w:spacing w:line="360" w:lineRule="auto"/>
      <w:ind w:left="567" w:hanging="567"/>
    </w:pPr>
    <w:rPr>
      <w:rFonts w:eastAsia="Calibri"/>
      <w:szCs w:val="22"/>
      <w:lang w:eastAsia="en-US"/>
    </w:rPr>
  </w:style>
  <w:style w:type="paragraph" w:styleId="EndnoteText">
    <w:name w:val="endnote text"/>
    <w:basedOn w:val="Normal"/>
    <w:link w:val="EndnoteTextChar"/>
    <w:uiPriority w:val="99"/>
    <w:rsid w:val="00B551B3"/>
    <w:pPr>
      <w:tabs>
        <w:tab w:val="left" w:pos="567"/>
      </w:tabs>
      <w:autoSpaceDE w:val="0"/>
      <w:autoSpaceDN w:val="0"/>
      <w:adjustRightInd w:val="0"/>
      <w:ind w:left="567" w:hanging="567"/>
    </w:pPr>
    <w:rPr>
      <w:rFonts w:eastAsia="Calibri"/>
      <w:szCs w:val="22"/>
      <w:lang w:eastAsia="en-US"/>
    </w:rPr>
  </w:style>
  <w:style w:type="character" w:customStyle="1" w:styleId="EndnoteTextChar">
    <w:name w:val="Endnote Text Char"/>
    <w:basedOn w:val="DefaultParagraphFont"/>
    <w:link w:val="EndnoteText"/>
    <w:uiPriority w:val="99"/>
    <w:rsid w:val="00B551B3"/>
    <w:rPr>
      <w:rFonts w:eastAsia="Calibri"/>
      <w:sz w:val="24"/>
      <w:szCs w:val="22"/>
      <w:lang w:val="da-DK" w:eastAsia="en-US"/>
    </w:rPr>
  </w:style>
  <w:style w:type="character" w:styleId="EndnoteReference">
    <w:name w:val="endnote reference"/>
    <w:basedOn w:val="DefaultParagraphFont"/>
    <w:uiPriority w:val="99"/>
    <w:rsid w:val="00B551B3"/>
    <w:rPr>
      <w:rFonts w:cs="Times New Roman"/>
      <w:b/>
      <w:spacing w:val="0"/>
      <w:vertAlign w:val="superscript"/>
    </w:rPr>
  </w:style>
  <w:style w:type="paragraph" w:customStyle="1" w:styleId="AC">
    <w:name w:val="AC"/>
    <w:basedOn w:val="Normal"/>
    <w:next w:val="Normal"/>
    <w:rsid w:val="00B551B3"/>
    <w:pPr>
      <w:autoSpaceDE w:val="0"/>
      <w:autoSpaceDN w:val="0"/>
      <w:adjustRightInd w:val="0"/>
      <w:spacing w:line="360" w:lineRule="auto"/>
    </w:pPr>
    <w:rPr>
      <w:rFonts w:eastAsia="Calibri"/>
      <w:b/>
      <w:sz w:val="40"/>
      <w:szCs w:val="22"/>
      <w:lang w:eastAsia="en-US"/>
    </w:rPr>
  </w:style>
  <w:style w:type="paragraph" w:customStyle="1" w:styleId="Par-numberi0">
    <w:name w:val="Par-number (i)"/>
    <w:basedOn w:val="Normal"/>
    <w:next w:val="Normal"/>
    <w:rsid w:val="00B551B3"/>
    <w:pPr>
      <w:tabs>
        <w:tab w:val="left" w:pos="567"/>
      </w:tabs>
      <w:autoSpaceDE w:val="0"/>
      <w:autoSpaceDN w:val="0"/>
      <w:adjustRightInd w:val="0"/>
      <w:spacing w:line="360" w:lineRule="auto"/>
      <w:ind w:left="567" w:hanging="567"/>
    </w:pPr>
    <w:rPr>
      <w:rFonts w:eastAsia="Calibri"/>
      <w:szCs w:val="22"/>
      <w:lang w:eastAsia="en-US"/>
    </w:rPr>
  </w:style>
  <w:style w:type="paragraph" w:customStyle="1" w:styleId="Par-numbera0">
    <w:name w:val="Par-number (a)"/>
    <w:basedOn w:val="Normal"/>
    <w:next w:val="Normal"/>
    <w:rsid w:val="00B551B3"/>
    <w:pPr>
      <w:tabs>
        <w:tab w:val="num" w:pos="567"/>
      </w:tabs>
      <w:autoSpaceDE w:val="0"/>
      <w:autoSpaceDN w:val="0"/>
      <w:adjustRightInd w:val="0"/>
      <w:spacing w:line="360" w:lineRule="auto"/>
      <w:ind w:left="567" w:hanging="567"/>
    </w:pPr>
    <w:rPr>
      <w:rFonts w:eastAsia="Calibri"/>
      <w:szCs w:val="22"/>
      <w:lang w:eastAsia="en-US"/>
    </w:rPr>
  </w:style>
  <w:style w:type="character" w:customStyle="1" w:styleId="DontTranslate">
    <w:name w:val="DontTranslate"/>
    <w:basedOn w:val="DefaultParagraphFont"/>
    <w:rsid w:val="00B551B3"/>
    <w:rPr>
      <w:rFonts w:cs="Times New Roman"/>
      <w:spacing w:val="0"/>
    </w:rPr>
  </w:style>
  <w:style w:type="paragraph" w:customStyle="1" w:styleId="AddReference">
    <w:name w:val="Add Reference"/>
    <w:basedOn w:val="Normal"/>
    <w:rsid w:val="00B551B3"/>
    <w:pPr>
      <w:pBdr>
        <w:top w:val="single" w:sz="4" w:space="1" w:color="auto"/>
        <w:left w:val="single" w:sz="4" w:space="4" w:color="auto"/>
        <w:bottom w:val="single" w:sz="4" w:space="1" w:color="auto"/>
        <w:right w:val="single" w:sz="4" w:space="4" w:color="auto"/>
      </w:pBdr>
      <w:autoSpaceDE w:val="0"/>
      <w:autoSpaceDN w:val="0"/>
      <w:adjustRightInd w:val="0"/>
      <w:ind w:left="7655" w:right="-454"/>
    </w:pPr>
    <w:rPr>
      <w:rFonts w:eastAsia="Calibri"/>
      <w:i/>
      <w:sz w:val="20"/>
      <w:szCs w:val="22"/>
      <w:lang w:eastAsia="en-US"/>
    </w:rPr>
  </w:style>
  <w:style w:type="paragraph" w:styleId="DocumentMap">
    <w:name w:val="Document Map"/>
    <w:basedOn w:val="Normal"/>
    <w:link w:val="DocumentMapChar"/>
    <w:uiPriority w:val="99"/>
    <w:rsid w:val="00B551B3"/>
    <w:pPr>
      <w:shd w:val="clear" w:color="auto" w:fill="000080"/>
      <w:autoSpaceDE w:val="0"/>
      <w:autoSpaceDN w:val="0"/>
      <w:adjustRightInd w:val="0"/>
      <w:spacing w:line="360" w:lineRule="auto"/>
    </w:pPr>
    <w:rPr>
      <w:rFonts w:ascii="Tahoma" w:hAnsi="Tahoma" w:cs="Tahoma"/>
      <w:szCs w:val="22"/>
      <w:lang w:eastAsia="en-US"/>
    </w:rPr>
  </w:style>
  <w:style w:type="character" w:customStyle="1" w:styleId="DocumentMapChar">
    <w:name w:val="Document Map Char"/>
    <w:basedOn w:val="DefaultParagraphFont"/>
    <w:link w:val="DocumentMap"/>
    <w:uiPriority w:val="99"/>
    <w:rsid w:val="00B551B3"/>
    <w:rPr>
      <w:rFonts w:ascii="Tahoma" w:hAnsi="Tahoma" w:cs="Tahoma"/>
      <w:sz w:val="24"/>
      <w:szCs w:val="22"/>
      <w:shd w:val="clear" w:color="auto" w:fill="000080"/>
      <w:lang w:val="da-DK" w:eastAsia="en-US"/>
    </w:rPr>
  </w:style>
  <w:style w:type="paragraph" w:customStyle="1" w:styleId="RKrubrik">
    <w:name w:val="RKrubrik"/>
    <w:basedOn w:val="Normal"/>
    <w:next w:val="Normal"/>
    <w:rsid w:val="00B551B3"/>
    <w:pPr>
      <w:keepNext/>
      <w:widowControl/>
      <w:tabs>
        <w:tab w:val="left" w:pos="1134"/>
        <w:tab w:val="left" w:pos="2835"/>
      </w:tabs>
      <w:autoSpaceDE w:val="0"/>
      <w:autoSpaceDN w:val="0"/>
      <w:adjustRightInd w:val="0"/>
      <w:spacing w:before="360" w:after="120" w:line="240" w:lineRule="atLeast"/>
    </w:pPr>
    <w:rPr>
      <w:rFonts w:ascii="TradeGothic" w:hAnsi="TradeGothic" w:cs="TradeGothic"/>
      <w:b/>
      <w:sz w:val="22"/>
      <w:szCs w:val="22"/>
      <w:lang w:eastAsia="en-US"/>
    </w:rPr>
  </w:style>
  <w:style w:type="character" w:customStyle="1" w:styleId="Heading1Char1">
    <w:name w:val="Heading 1 Char1"/>
    <w:basedOn w:val="DefaultParagraphFont"/>
    <w:rsid w:val="00B551B3"/>
    <w:rPr>
      <w:rFonts w:cs="Times New Roman"/>
      <w:b/>
      <w:smallCaps/>
      <w:spacing w:val="0"/>
      <w:sz w:val="24"/>
    </w:rPr>
  </w:style>
  <w:style w:type="character" w:customStyle="1" w:styleId="Heading2Char1">
    <w:name w:val="Heading 2 Char1"/>
    <w:basedOn w:val="DefaultParagraphFont"/>
    <w:rsid w:val="00B551B3"/>
    <w:rPr>
      <w:rFonts w:cs="Times New Roman"/>
      <w:b/>
      <w:spacing w:val="0"/>
      <w:sz w:val="24"/>
    </w:rPr>
  </w:style>
  <w:style w:type="character" w:customStyle="1" w:styleId="Heading3Char1">
    <w:name w:val="Heading 3 Char1"/>
    <w:basedOn w:val="DefaultParagraphFont"/>
    <w:rsid w:val="00B551B3"/>
    <w:rPr>
      <w:rFonts w:cs="Times New Roman"/>
      <w:i/>
      <w:spacing w:val="0"/>
      <w:sz w:val="24"/>
    </w:rPr>
  </w:style>
  <w:style w:type="character" w:customStyle="1" w:styleId="Heading4Char1">
    <w:name w:val="Heading 4 Char1"/>
    <w:basedOn w:val="DefaultParagraphFont"/>
    <w:rsid w:val="00B551B3"/>
    <w:rPr>
      <w:rFonts w:cs="Times New Roman"/>
      <w:spacing w:val="0"/>
      <w:sz w:val="24"/>
    </w:rPr>
  </w:style>
  <w:style w:type="character" w:customStyle="1" w:styleId="Heading5Char1">
    <w:name w:val="Heading 5 Char1"/>
    <w:basedOn w:val="DefaultParagraphFont"/>
    <w:rsid w:val="00B551B3"/>
    <w:rPr>
      <w:rFonts w:ascii="Arial" w:hAnsi="Arial" w:cs="Arial"/>
      <w:spacing w:val="0"/>
      <w:sz w:val="24"/>
    </w:rPr>
  </w:style>
  <w:style w:type="character" w:customStyle="1" w:styleId="Heading6Char1">
    <w:name w:val="Heading 6 Char1"/>
    <w:basedOn w:val="DefaultParagraphFont"/>
    <w:rsid w:val="00B551B3"/>
    <w:rPr>
      <w:rFonts w:ascii="Arial" w:hAnsi="Arial" w:cs="Arial"/>
      <w:i/>
      <w:spacing w:val="0"/>
      <w:sz w:val="24"/>
    </w:rPr>
  </w:style>
  <w:style w:type="character" w:customStyle="1" w:styleId="Heading7Char1">
    <w:name w:val="Heading 7 Char1"/>
    <w:basedOn w:val="DefaultParagraphFont"/>
    <w:rsid w:val="00B551B3"/>
    <w:rPr>
      <w:rFonts w:ascii="Arial" w:hAnsi="Arial" w:cs="Arial"/>
      <w:spacing w:val="0"/>
      <w:sz w:val="24"/>
    </w:rPr>
  </w:style>
  <w:style w:type="character" w:customStyle="1" w:styleId="Heading8Char1">
    <w:name w:val="Heading 8 Char1"/>
    <w:basedOn w:val="DefaultParagraphFont"/>
    <w:rsid w:val="00B551B3"/>
    <w:rPr>
      <w:rFonts w:ascii="Arial" w:hAnsi="Arial" w:cs="Arial"/>
      <w:i/>
      <w:spacing w:val="0"/>
      <w:sz w:val="24"/>
    </w:rPr>
  </w:style>
  <w:style w:type="character" w:customStyle="1" w:styleId="Heading9Char1">
    <w:name w:val="Heading 9 Char1"/>
    <w:basedOn w:val="DefaultParagraphFont"/>
    <w:rsid w:val="00B551B3"/>
    <w:rPr>
      <w:rFonts w:ascii="Arial" w:hAnsi="Arial" w:cs="Arial"/>
      <w:i/>
      <w:spacing w:val="0"/>
      <w:sz w:val="24"/>
    </w:rPr>
  </w:style>
  <w:style w:type="character" w:customStyle="1" w:styleId="BalloonTextChar1">
    <w:name w:val="Balloon Text Char1"/>
    <w:basedOn w:val="DefaultParagraphFont"/>
    <w:rsid w:val="00B551B3"/>
    <w:rPr>
      <w:rFonts w:ascii="Tahoma" w:hAnsi="Tahoma" w:cs="Tahoma"/>
      <w:spacing w:val="0"/>
      <w:sz w:val="16"/>
    </w:rPr>
  </w:style>
  <w:style w:type="character" w:customStyle="1" w:styleId="HeaderChar1">
    <w:name w:val="Header Char1"/>
    <w:basedOn w:val="DefaultParagraphFont"/>
    <w:rsid w:val="00B551B3"/>
    <w:rPr>
      <w:rFonts w:cs="Times New Roman"/>
      <w:spacing w:val="0"/>
      <w:sz w:val="24"/>
    </w:rPr>
  </w:style>
  <w:style w:type="character" w:customStyle="1" w:styleId="FooterChar1">
    <w:name w:val="Footer Char1"/>
    <w:basedOn w:val="DefaultParagraphFont"/>
    <w:rsid w:val="00B551B3"/>
    <w:rPr>
      <w:rFonts w:cs="Times New Roman"/>
      <w:spacing w:val="0"/>
      <w:sz w:val="24"/>
    </w:rPr>
  </w:style>
  <w:style w:type="paragraph" w:customStyle="1" w:styleId="Overskrift1">
    <w:name w:val="Overskrift1"/>
    <w:basedOn w:val="Normal"/>
    <w:next w:val="Normal"/>
    <w:rsid w:val="00B551B3"/>
    <w:pPr>
      <w:widowControl/>
      <w:autoSpaceDE w:val="0"/>
      <w:autoSpaceDN w:val="0"/>
      <w:adjustRightInd w:val="0"/>
      <w:spacing w:before="120" w:after="240" w:line="360" w:lineRule="auto"/>
      <w:jc w:val="center"/>
    </w:pPr>
    <w:rPr>
      <w:rFonts w:eastAsia="Calibri"/>
      <w:b/>
      <w:sz w:val="28"/>
      <w:szCs w:val="22"/>
      <w:lang w:eastAsia="en-US"/>
    </w:rPr>
  </w:style>
  <w:style w:type="paragraph" w:customStyle="1" w:styleId="Lignefinal">
    <w:name w:val="Ligne final"/>
    <w:basedOn w:val="Normal"/>
    <w:next w:val="Normal"/>
    <w:rsid w:val="00B551B3"/>
    <w:pPr>
      <w:widowControl/>
      <w:pBdr>
        <w:bottom w:val="single" w:sz="4" w:space="0" w:color="000000"/>
      </w:pBdr>
      <w:autoSpaceDE w:val="0"/>
      <w:autoSpaceDN w:val="0"/>
      <w:adjustRightInd w:val="0"/>
      <w:spacing w:before="720" w:after="36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B551B3"/>
    <w:pPr>
      <w:widowControl/>
      <w:pBdr>
        <w:bottom w:val="single" w:sz="4" w:space="0" w:color="000000"/>
      </w:pBdr>
      <w:autoSpaceDE w:val="0"/>
      <w:autoSpaceDN w:val="0"/>
      <w:adjustRightInd w:val="0"/>
      <w:spacing w:before="720" w:after="360" w:line="360" w:lineRule="auto"/>
      <w:ind w:left="5868" w:right="5868"/>
      <w:jc w:val="center"/>
    </w:pPr>
    <w:rPr>
      <w:rFonts w:eastAsia="Calibri"/>
      <w:b/>
      <w:szCs w:val="22"/>
      <w:lang w:eastAsia="en-US"/>
    </w:rPr>
  </w:style>
  <w:style w:type="paragraph" w:customStyle="1" w:styleId="EntText">
    <w:name w:val="EntText"/>
    <w:basedOn w:val="Normal"/>
    <w:rsid w:val="00B551B3"/>
    <w:pPr>
      <w:widowControl/>
      <w:autoSpaceDE w:val="0"/>
      <w:autoSpaceDN w:val="0"/>
      <w:adjustRightInd w:val="0"/>
      <w:spacing w:before="120" w:after="120" w:line="360" w:lineRule="auto"/>
    </w:pPr>
    <w:rPr>
      <w:rFonts w:eastAsia="Calibri"/>
      <w:szCs w:val="22"/>
      <w:lang w:eastAsia="en-US"/>
    </w:rPr>
  </w:style>
  <w:style w:type="paragraph" w:customStyle="1" w:styleId="EntEU">
    <w:name w:val="EntEU"/>
    <w:basedOn w:val="Normal"/>
    <w:rsid w:val="00B551B3"/>
    <w:pPr>
      <w:widowControl/>
      <w:autoSpaceDE w:val="0"/>
      <w:autoSpaceDN w:val="0"/>
      <w:adjustRightInd w:val="0"/>
      <w:spacing w:before="240" w:after="240"/>
      <w:jc w:val="center"/>
    </w:pPr>
    <w:rPr>
      <w:rFonts w:eastAsia="Calibri"/>
      <w:b/>
      <w:sz w:val="36"/>
      <w:szCs w:val="22"/>
      <w:lang w:eastAsia="en-US"/>
    </w:rPr>
  </w:style>
  <w:style w:type="paragraph" w:customStyle="1" w:styleId="EntASSOC">
    <w:name w:val="EntASSOC"/>
    <w:basedOn w:val="Normal"/>
    <w:rsid w:val="00B551B3"/>
    <w:pPr>
      <w:widowControl/>
      <w:autoSpaceDE w:val="0"/>
      <w:autoSpaceDN w:val="0"/>
      <w:adjustRightInd w:val="0"/>
      <w:jc w:val="center"/>
    </w:pPr>
    <w:rPr>
      <w:rFonts w:eastAsia="Calibri"/>
      <w:b/>
      <w:szCs w:val="22"/>
      <w:lang w:eastAsia="en-US"/>
    </w:rPr>
  </w:style>
  <w:style w:type="paragraph" w:customStyle="1" w:styleId="EntACP">
    <w:name w:val="EntACP"/>
    <w:basedOn w:val="Normal"/>
    <w:rsid w:val="00B551B3"/>
    <w:pPr>
      <w:widowControl/>
      <w:autoSpaceDE w:val="0"/>
      <w:autoSpaceDN w:val="0"/>
      <w:adjustRightInd w:val="0"/>
      <w:spacing w:after="120"/>
      <w:jc w:val="center"/>
    </w:pPr>
    <w:rPr>
      <w:rFonts w:eastAsia="Calibri"/>
      <w:b/>
      <w:spacing w:val="40"/>
      <w:sz w:val="28"/>
      <w:szCs w:val="22"/>
      <w:lang w:eastAsia="en-US"/>
    </w:rPr>
  </w:style>
  <w:style w:type="paragraph" w:customStyle="1" w:styleId="EntInstitACP">
    <w:name w:val="EntInstitACP"/>
    <w:basedOn w:val="Normal"/>
    <w:rsid w:val="00B551B3"/>
    <w:pPr>
      <w:widowControl/>
      <w:autoSpaceDE w:val="0"/>
      <w:autoSpaceDN w:val="0"/>
      <w:adjustRightInd w:val="0"/>
      <w:jc w:val="center"/>
    </w:pPr>
    <w:rPr>
      <w:rFonts w:eastAsia="Calibri"/>
      <w:b/>
      <w:szCs w:val="22"/>
      <w:lang w:eastAsia="en-US"/>
    </w:rPr>
  </w:style>
  <w:style w:type="paragraph" w:customStyle="1" w:styleId="Genredudocument">
    <w:name w:val="Genre du document"/>
    <w:basedOn w:val="EntRefer"/>
    <w:next w:val="EntRefer"/>
    <w:rsid w:val="00B551B3"/>
    <w:pPr>
      <w:widowControl/>
      <w:spacing w:before="240"/>
    </w:pPr>
  </w:style>
  <w:style w:type="paragraph" w:customStyle="1" w:styleId="Accordtitre">
    <w:name w:val="Accord titre"/>
    <w:basedOn w:val="Normal"/>
    <w:rsid w:val="00B551B3"/>
    <w:pPr>
      <w:widowControl/>
      <w:autoSpaceDE w:val="0"/>
      <w:autoSpaceDN w:val="0"/>
      <w:adjustRightInd w:val="0"/>
      <w:spacing w:line="360" w:lineRule="auto"/>
      <w:jc w:val="center"/>
    </w:pPr>
    <w:rPr>
      <w:rFonts w:eastAsia="Calibri"/>
      <w:szCs w:val="22"/>
      <w:lang w:eastAsia="en-US"/>
    </w:rPr>
  </w:style>
  <w:style w:type="paragraph" w:customStyle="1" w:styleId="FooterAccord">
    <w:name w:val="Footer Accord"/>
    <w:basedOn w:val="Normal"/>
    <w:rsid w:val="00B551B3"/>
    <w:pPr>
      <w:widowControl/>
      <w:tabs>
        <w:tab w:val="center" w:pos="4819"/>
        <w:tab w:val="center" w:pos="7370"/>
        <w:tab w:val="right" w:pos="9638"/>
      </w:tabs>
      <w:autoSpaceDE w:val="0"/>
      <w:autoSpaceDN w:val="0"/>
      <w:adjustRightInd w:val="0"/>
      <w:spacing w:before="360"/>
      <w:jc w:val="center"/>
    </w:pPr>
    <w:rPr>
      <w:rFonts w:eastAsia="Calibri"/>
      <w:szCs w:val="22"/>
      <w:lang w:eastAsia="en-US"/>
    </w:rPr>
  </w:style>
  <w:style w:type="paragraph" w:customStyle="1" w:styleId="FooterLandscapeAccord">
    <w:name w:val="FooterLandscape Accord"/>
    <w:basedOn w:val="Normal"/>
    <w:rsid w:val="00B551B3"/>
    <w:pPr>
      <w:widowControl/>
      <w:tabs>
        <w:tab w:val="center" w:pos="7285"/>
        <w:tab w:val="center" w:pos="10930"/>
        <w:tab w:val="right" w:pos="14570"/>
      </w:tabs>
      <w:autoSpaceDE w:val="0"/>
      <w:autoSpaceDN w:val="0"/>
      <w:adjustRightInd w:val="0"/>
      <w:spacing w:before="360"/>
      <w:jc w:val="center"/>
    </w:pPr>
    <w:rPr>
      <w:rFonts w:eastAsia="Calibri"/>
      <w:szCs w:val="22"/>
      <w:lang w:eastAsia="en-US"/>
    </w:rPr>
  </w:style>
  <w:style w:type="paragraph" w:styleId="BlockText">
    <w:name w:val="Block Text"/>
    <w:basedOn w:val="Normal"/>
    <w:uiPriority w:val="99"/>
    <w:rsid w:val="00B551B3"/>
    <w:pPr>
      <w:widowControl/>
      <w:autoSpaceDE w:val="0"/>
      <w:autoSpaceDN w:val="0"/>
      <w:adjustRightInd w:val="0"/>
      <w:spacing w:before="120" w:after="120" w:line="360" w:lineRule="auto"/>
      <w:ind w:left="1440" w:right="1440"/>
    </w:pPr>
    <w:rPr>
      <w:rFonts w:eastAsia="Calibri"/>
      <w:szCs w:val="22"/>
      <w:lang w:eastAsia="en-US"/>
    </w:rPr>
  </w:style>
  <w:style w:type="paragraph" w:styleId="BodyText">
    <w:name w:val="Body Text"/>
    <w:basedOn w:val="Normal"/>
    <w:link w:val="BodyTextChar"/>
    <w:uiPriority w:val="99"/>
    <w:rsid w:val="00B551B3"/>
    <w:pPr>
      <w:widowControl/>
      <w:autoSpaceDE w:val="0"/>
      <w:autoSpaceDN w:val="0"/>
      <w:adjustRightInd w:val="0"/>
      <w:spacing w:before="120" w:after="120" w:line="360" w:lineRule="auto"/>
    </w:pPr>
    <w:rPr>
      <w:rFonts w:eastAsia="Calibri"/>
      <w:szCs w:val="22"/>
      <w:lang w:eastAsia="en-US"/>
    </w:rPr>
  </w:style>
  <w:style w:type="character" w:customStyle="1" w:styleId="BodyTextChar">
    <w:name w:val="Body Text Char"/>
    <w:basedOn w:val="DefaultParagraphFont"/>
    <w:link w:val="BodyText"/>
    <w:uiPriority w:val="99"/>
    <w:rsid w:val="00B551B3"/>
    <w:rPr>
      <w:rFonts w:eastAsia="Calibri"/>
      <w:sz w:val="24"/>
      <w:szCs w:val="22"/>
      <w:lang w:val="da-DK" w:eastAsia="en-US"/>
    </w:rPr>
  </w:style>
  <w:style w:type="character" w:customStyle="1" w:styleId="BodyTextChar1">
    <w:name w:val="Body Text Char1"/>
    <w:basedOn w:val="DefaultParagraphFont"/>
    <w:rsid w:val="00B551B3"/>
    <w:rPr>
      <w:rFonts w:cs="Times New Roman"/>
      <w:spacing w:val="0"/>
      <w:sz w:val="24"/>
    </w:rPr>
  </w:style>
  <w:style w:type="paragraph" w:styleId="BodyTextIndent">
    <w:name w:val="Body Text Indent"/>
    <w:basedOn w:val="Normal"/>
    <w:link w:val="BodyTextIndentChar"/>
    <w:uiPriority w:val="99"/>
    <w:rsid w:val="00B551B3"/>
    <w:pPr>
      <w:widowControl/>
      <w:autoSpaceDE w:val="0"/>
      <w:autoSpaceDN w:val="0"/>
      <w:adjustRightInd w:val="0"/>
      <w:spacing w:before="120" w:after="120" w:line="360" w:lineRule="auto"/>
      <w:ind w:left="283"/>
    </w:pPr>
    <w:rPr>
      <w:rFonts w:eastAsia="Calibri"/>
      <w:szCs w:val="22"/>
      <w:lang w:eastAsia="en-US"/>
    </w:rPr>
  </w:style>
  <w:style w:type="character" w:customStyle="1" w:styleId="BodyTextIndentChar">
    <w:name w:val="Body Text Indent Char"/>
    <w:basedOn w:val="DefaultParagraphFont"/>
    <w:link w:val="BodyTextIndent"/>
    <w:uiPriority w:val="99"/>
    <w:rsid w:val="00B551B3"/>
    <w:rPr>
      <w:rFonts w:eastAsia="Calibri"/>
      <w:sz w:val="24"/>
      <w:szCs w:val="22"/>
      <w:lang w:val="da-DK" w:eastAsia="en-US"/>
    </w:rPr>
  </w:style>
  <w:style w:type="character" w:customStyle="1" w:styleId="BodyText2Char">
    <w:name w:val="Body Text 2 Char"/>
    <w:basedOn w:val="DefaultParagraphFont"/>
    <w:rsid w:val="00B551B3"/>
    <w:rPr>
      <w:rFonts w:ascii="Times New Roman" w:hAnsi="Times New Roman" w:cs="Times New Roman"/>
      <w:spacing w:val="0"/>
      <w:sz w:val="24"/>
    </w:rPr>
  </w:style>
  <w:style w:type="paragraph" w:styleId="BodyText3">
    <w:name w:val="Body Text 3"/>
    <w:basedOn w:val="Normal"/>
    <w:link w:val="BodyText3Char"/>
    <w:uiPriority w:val="99"/>
    <w:rsid w:val="00B551B3"/>
    <w:pPr>
      <w:widowControl/>
      <w:autoSpaceDE w:val="0"/>
      <w:autoSpaceDN w:val="0"/>
      <w:adjustRightInd w:val="0"/>
      <w:spacing w:before="120" w:after="120" w:line="360" w:lineRule="auto"/>
    </w:pPr>
    <w:rPr>
      <w:rFonts w:eastAsia="Calibri"/>
      <w:sz w:val="16"/>
      <w:szCs w:val="22"/>
      <w:lang w:eastAsia="en-US"/>
    </w:rPr>
  </w:style>
  <w:style w:type="character" w:customStyle="1" w:styleId="BodyText3Char">
    <w:name w:val="Body Text 3 Char"/>
    <w:basedOn w:val="DefaultParagraphFont"/>
    <w:link w:val="BodyText3"/>
    <w:uiPriority w:val="99"/>
    <w:rsid w:val="00B551B3"/>
    <w:rPr>
      <w:rFonts w:eastAsia="Calibri"/>
      <w:sz w:val="16"/>
      <w:szCs w:val="22"/>
      <w:lang w:val="da-DK" w:eastAsia="en-US"/>
    </w:rPr>
  </w:style>
  <w:style w:type="character" w:customStyle="1" w:styleId="BodyText3Char1">
    <w:name w:val="Body Text 3 Char1"/>
    <w:basedOn w:val="DefaultParagraphFont"/>
    <w:rsid w:val="00B551B3"/>
    <w:rPr>
      <w:rFonts w:cs="Times New Roman"/>
      <w:spacing w:val="0"/>
      <w:sz w:val="16"/>
    </w:rPr>
  </w:style>
  <w:style w:type="paragraph" w:styleId="BodyTextFirstIndent">
    <w:name w:val="Body Text First Indent"/>
    <w:basedOn w:val="BodyText"/>
    <w:link w:val="BodyTextFirstIndentChar"/>
    <w:uiPriority w:val="99"/>
    <w:rsid w:val="00B551B3"/>
    <w:pPr>
      <w:ind w:firstLine="210"/>
    </w:pPr>
  </w:style>
  <w:style w:type="character" w:customStyle="1" w:styleId="BodyTextFirstIndentChar">
    <w:name w:val="Body Text First Indent Char"/>
    <w:basedOn w:val="BodyTextChar"/>
    <w:link w:val="BodyTextFirstIndent"/>
    <w:uiPriority w:val="99"/>
    <w:rsid w:val="00B551B3"/>
    <w:rPr>
      <w:rFonts w:eastAsia="Calibri"/>
      <w:sz w:val="24"/>
      <w:szCs w:val="22"/>
      <w:lang w:val="da-DK" w:eastAsia="en-US"/>
    </w:rPr>
  </w:style>
  <w:style w:type="character" w:customStyle="1" w:styleId="BodyTextFirstIndentChar1">
    <w:name w:val="Body Text First Indent Char1"/>
    <w:basedOn w:val="BodyTextChar1"/>
    <w:rsid w:val="00B551B3"/>
    <w:rPr>
      <w:rFonts w:cs="Times New Roman"/>
      <w:spacing w:val="0"/>
      <w:sz w:val="24"/>
    </w:rPr>
  </w:style>
  <w:style w:type="character" w:customStyle="1" w:styleId="BodyTextIndentChar1">
    <w:name w:val="Body Text Indent Char1"/>
    <w:basedOn w:val="DefaultParagraphFont"/>
    <w:rsid w:val="00B551B3"/>
    <w:rPr>
      <w:rFonts w:cs="Times New Roman"/>
      <w:spacing w:val="0"/>
      <w:sz w:val="24"/>
    </w:rPr>
  </w:style>
  <w:style w:type="paragraph" w:styleId="BodyTextFirstIndent2">
    <w:name w:val="Body Text First Indent 2"/>
    <w:basedOn w:val="BodyTextIndent"/>
    <w:link w:val="BodyTextFirstIndent2Char"/>
    <w:uiPriority w:val="99"/>
    <w:rsid w:val="00B551B3"/>
    <w:pPr>
      <w:ind w:firstLine="210"/>
    </w:pPr>
  </w:style>
  <w:style w:type="character" w:customStyle="1" w:styleId="BodyTextFirstIndent2Char">
    <w:name w:val="Body Text First Indent 2 Char"/>
    <w:basedOn w:val="BodyTextIndentChar"/>
    <w:link w:val="BodyTextFirstIndent2"/>
    <w:uiPriority w:val="99"/>
    <w:rsid w:val="00B551B3"/>
    <w:rPr>
      <w:rFonts w:eastAsia="Calibri"/>
      <w:sz w:val="24"/>
      <w:szCs w:val="22"/>
      <w:lang w:val="da-DK" w:eastAsia="en-US"/>
    </w:rPr>
  </w:style>
  <w:style w:type="character" w:customStyle="1" w:styleId="BodyTextFirstIndent2Char1">
    <w:name w:val="Body Text First Indent 2 Char1"/>
    <w:basedOn w:val="BodyTextIndentChar1"/>
    <w:rsid w:val="00B551B3"/>
    <w:rPr>
      <w:rFonts w:cs="Times New Roman"/>
      <w:spacing w:val="0"/>
      <w:sz w:val="24"/>
    </w:rPr>
  </w:style>
  <w:style w:type="paragraph" w:styleId="BodyTextIndent2">
    <w:name w:val="Body Text Indent 2"/>
    <w:basedOn w:val="Normal"/>
    <w:link w:val="BodyTextIndent2Char"/>
    <w:uiPriority w:val="99"/>
    <w:rsid w:val="00B551B3"/>
    <w:pPr>
      <w:widowControl/>
      <w:autoSpaceDE w:val="0"/>
      <w:autoSpaceDN w:val="0"/>
      <w:adjustRightInd w:val="0"/>
      <w:spacing w:before="120" w:after="120" w:line="480" w:lineRule="auto"/>
      <w:ind w:left="283"/>
    </w:pPr>
    <w:rPr>
      <w:rFonts w:eastAsia="Calibri"/>
      <w:szCs w:val="22"/>
      <w:lang w:eastAsia="en-US"/>
    </w:rPr>
  </w:style>
  <w:style w:type="character" w:customStyle="1" w:styleId="BodyTextIndent2Char">
    <w:name w:val="Body Text Indent 2 Char"/>
    <w:basedOn w:val="DefaultParagraphFont"/>
    <w:link w:val="BodyTextIndent2"/>
    <w:uiPriority w:val="99"/>
    <w:rsid w:val="00B551B3"/>
    <w:rPr>
      <w:rFonts w:eastAsia="Calibri"/>
      <w:sz w:val="24"/>
      <w:szCs w:val="22"/>
      <w:lang w:val="da-DK" w:eastAsia="en-US"/>
    </w:rPr>
  </w:style>
  <w:style w:type="character" w:customStyle="1" w:styleId="BodyTextIndent2Char1">
    <w:name w:val="Body Text Indent 2 Char1"/>
    <w:basedOn w:val="DefaultParagraphFont"/>
    <w:rsid w:val="00B551B3"/>
    <w:rPr>
      <w:rFonts w:cs="Times New Roman"/>
      <w:spacing w:val="0"/>
      <w:sz w:val="24"/>
    </w:rPr>
  </w:style>
  <w:style w:type="paragraph" w:styleId="BodyTextIndent3">
    <w:name w:val="Body Text Indent 3"/>
    <w:basedOn w:val="Normal"/>
    <w:link w:val="BodyTextIndent3Char"/>
    <w:uiPriority w:val="99"/>
    <w:rsid w:val="00B551B3"/>
    <w:pPr>
      <w:widowControl/>
      <w:autoSpaceDE w:val="0"/>
      <w:autoSpaceDN w:val="0"/>
      <w:adjustRightInd w:val="0"/>
      <w:spacing w:before="120" w:after="120" w:line="360" w:lineRule="auto"/>
      <w:ind w:left="283"/>
    </w:pPr>
    <w:rPr>
      <w:rFonts w:eastAsia="Calibri"/>
      <w:sz w:val="16"/>
      <w:szCs w:val="22"/>
      <w:lang w:eastAsia="en-US"/>
    </w:rPr>
  </w:style>
  <w:style w:type="character" w:customStyle="1" w:styleId="BodyTextIndent3Char">
    <w:name w:val="Body Text Indent 3 Char"/>
    <w:basedOn w:val="DefaultParagraphFont"/>
    <w:link w:val="BodyTextIndent3"/>
    <w:uiPriority w:val="99"/>
    <w:rsid w:val="00B551B3"/>
    <w:rPr>
      <w:rFonts w:eastAsia="Calibri"/>
      <w:sz w:val="16"/>
      <w:szCs w:val="22"/>
      <w:lang w:val="da-DK" w:eastAsia="en-US"/>
    </w:rPr>
  </w:style>
  <w:style w:type="character" w:customStyle="1" w:styleId="BodyTextIndent3Char1">
    <w:name w:val="Body Text Indent 3 Char1"/>
    <w:basedOn w:val="DefaultParagraphFont"/>
    <w:rsid w:val="00B551B3"/>
    <w:rPr>
      <w:rFonts w:cs="Times New Roman"/>
      <w:spacing w:val="0"/>
      <w:sz w:val="16"/>
    </w:rPr>
  </w:style>
  <w:style w:type="paragraph" w:styleId="Closing">
    <w:name w:val="Closing"/>
    <w:basedOn w:val="Normal"/>
    <w:link w:val="ClosingChar"/>
    <w:uiPriority w:val="99"/>
    <w:rsid w:val="00B551B3"/>
    <w:pPr>
      <w:widowControl/>
      <w:autoSpaceDE w:val="0"/>
      <w:autoSpaceDN w:val="0"/>
      <w:adjustRightInd w:val="0"/>
      <w:spacing w:before="120" w:after="120" w:line="360" w:lineRule="auto"/>
      <w:ind w:left="4252"/>
    </w:pPr>
    <w:rPr>
      <w:rFonts w:eastAsia="Calibri"/>
      <w:szCs w:val="22"/>
      <w:lang w:eastAsia="en-US"/>
    </w:rPr>
  </w:style>
  <w:style w:type="character" w:customStyle="1" w:styleId="ClosingChar">
    <w:name w:val="Closing Char"/>
    <w:basedOn w:val="DefaultParagraphFont"/>
    <w:link w:val="Closing"/>
    <w:uiPriority w:val="99"/>
    <w:rsid w:val="00B551B3"/>
    <w:rPr>
      <w:rFonts w:eastAsia="Calibri"/>
      <w:sz w:val="24"/>
      <w:szCs w:val="22"/>
      <w:lang w:val="da-DK" w:eastAsia="en-US"/>
    </w:rPr>
  </w:style>
  <w:style w:type="character" w:customStyle="1" w:styleId="ClosingChar1">
    <w:name w:val="Closing Char1"/>
    <w:basedOn w:val="DefaultParagraphFont"/>
    <w:rsid w:val="00B551B3"/>
    <w:rPr>
      <w:rFonts w:cs="Times New Roman"/>
      <w:spacing w:val="0"/>
      <w:sz w:val="24"/>
    </w:rPr>
  </w:style>
  <w:style w:type="character" w:customStyle="1" w:styleId="CommentTextChar1">
    <w:name w:val="Comment Text Char1"/>
    <w:basedOn w:val="DefaultParagraphFont"/>
    <w:rsid w:val="00B551B3"/>
    <w:rPr>
      <w:rFonts w:cs="Times New Roman"/>
      <w:spacing w:val="0"/>
      <w:sz w:val="24"/>
    </w:rPr>
  </w:style>
  <w:style w:type="character" w:customStyle="1" w:styleId="CommentSubjectChar1">
    <w:name w:val="Comment Subject Char1"/>
    <w:basedOn w:val="CommentTextChar1"/>
    <w:rsid w:val="00B551B3"/>
    <w:rPr>
      <w:rFonts w:cs="Times New Roman"/>
      <w:b/>
      <w:spacing w:val="0"/>
      <w:sz w:val="24"/>
    </w:rPr>
  </w:style>
  <w:style w:type="character" w:customStyle="1" w:styleId="DocumentMapChar1">
    <w:name w:val="Document Map Char1"/>
    <w:basedOn w:val="DefaultParagraphFont"/>
    <w:rsid w:val="00B551B3"/>
    <w:rPr>
      <w:rFonts w:ascii="Tahoma" w:hAnsi="Tahoma" w:cs="Tahoma"/>
      <w:spacing w:val="0"/>
      <w:sz w:val="24"/>
    </w:rPr>
  </w:style>
  <w:style w:type="paragraph" w:styleId="E-mailSignature">
    <w:name w:val="E-mail Signature"/>
    <w:basedOn w:val="Normal"/>
    <w:link w:val="E-mailSignatureChar"/>
    <w:uiPriority w:val="99"/>
    <w:rsid w:val="00B551B3"/>
    <w:pPr>
      <w:widowControl/>
      <w:autoSpaceDE w:val="0"/>
      <w:autoSpaceDN w:val="0"/>
      <w:adjustRightInd w:val="0"/>
      <w:spacing w:before="120" w:after="120" w:line="360" w:lineRule="auto"/>
    </w:pPr>
    <w:rPr>
      <w:rFonts w:eastAsia="Calibri"/>
      <w:szCs w:val="22"/>
      <w:lang w:eastAsia="en-US"/>
    </w:rPr>
  </w:style>
  <w:style w:type="character" w:customStyle="1" w:styleId="E-mailSignatureChar">
    <w:name w:val="E-mail Signature Char"/>
    <w:basedOn w:val="DefaultParagraphFont"/>
    <w:link w:val="E-mailSignature"/>
    <w:uiPriority w:val="99"/>
    <w:rsid w:val="00B551B3"/>
    <w:rPr>
      <w:rFonts w:eastAsia="Calibri"/>
      <w:sz w:val="24"/>
      <w:szCs w:val="22"/>
      <w:lang w:val="da-DK" w:eastAsia="en-US"/>
    </w:rPr>
  </w:style>
  <w:style w:type="character" w:customStyle="1" w:styleId="E-mailSignatureChar1">
    <w:name w:val="E-mail Signature Char1"/>
    <w:basedOn w:val="DefaultParagraphFont"/>
    <w:rsid w:val="00B551B3"/>
    <w:rPr>
      <w:rFonts w:cs="Times New Roman"/>
      <w:spacing w:val="0"/>
      <w:sz w:val="24"/>
    </w:rPr>
  </w:style>
  <w:style w:type="character" w:styleId="Emphasis">
    <w:name w:val="Emphasis"/>
    <w:basedOn w:val="DefaultParagraphFont"/>
    <w:uiPriority w:val="20"/>
    <w:qFormat/>
    <w:rsid w:val="00B551B3"/>
    <w:rPr>
      <w:rFonts w:cs="Times New Roman"/>
      <w:i/>
      <w:spacing w:val="0"/>
    </w:rPr>
  </w:style>
  <w:style w:type="character" w:customStyle="1" w:styleId="EndnoteTextChar1">
    <w:name w:val="Endnote Text Char1"/>
    <w:basedOn w:val="DefaultParagraphFont"/>
    <w:rsid w:val="00B551B3"/>
    <w:rPr>
      <w:rFonts w:cs="Times New Roman"/>
      <w:spacing w:val="0"/>
      <w:sz w:val="24"/>
    </w:rPr>
  </w:style>
  <w:style w:type="paragraph" w:styleId="EnvelopeAddress">
    <w:name w:val="envelope address"/>
    <w:basedOn w:val="Normal"/>
    <w:uiPriority w:val="99"/>
    <w:rsid w:val="00B551B3"/>
    <w:pPr>
      <w:framePr w:w="7920" w:h="1980" w:hRule="exact" w:hSpace="180" w:wrap="auto" w:hAnchor="page" w:xAlign="center" w:yAlign="bottom"/>
      <w:widowControl/>
      <w:autoSpaceDE w:val="0"/>
      <w:autoSpaceDN w:val="0"/>
      <w:adjustRightInd w:val="0"/>
      <w:spacing w:before="120" w:after="120" w:line="360" w:lineRule="auto"/>
      <w:ind w:left="2880"/>
    </w:pPr>
    <w:rPr>
      <w:rFonts w:ascii="Arial" w:hAnsi="Arial" w:cs="Arial"/>
      <w:szCs w:val="22"/>
      <w:lang w:eastAsia="en-US"/>
    </w:rPr>
  </w:style>
  <w:style w:type="paragraph" w:styleId="EnvelopeReturn">
    <w:name w:val="envelope return"/>
    <w:basedOn w:val="Normal"/>
    <w:uiPriority w:val="99"/>
    <w:rsid w:val="00B551B3"/>
    <w:pPr>
      <w:widowControl/>
      <w:autoSpaceDE w:val="0"/>
      <w:autoSpaceDN w:val="0"/>
      <w:adjustRightInd w:val="0"/>
      <w:spacing w:before="120" w:after="120" w:line="360" w:lineRule="auto"/>
    </w:pPr>
    <w:rPr>
      <w:rFonts w:ascii="Arial" w:hAnsi="Arial" w:cs="Arial"/>
      <w:sz w:val="20"/>
      <w:szCs w:val="22"/>
      <w:lang w:eastAsia="en-US"/>
    </w:rPr>
  </w:style>
  <w:style w:type="character" w:styleId="HTMLAcronym">
    <w:name w:val="HTML Acronym"/>
    <w:basedOn w:val="DefaultParagraphFont"/>
    <w:uiPriority w:val="99"/>
    <w:rsid w:val="00B551B3"/>
    <w:rPr>
      <w:rFonts w:cs="Times New Roman"/>
    </w:rPr>
  </w:style>
  <w:style w:type="paragraph" w:styleId="HTMLAddress">
    <w:name w:val="HTML Address"/>
    <w:basedOn w:val="Normal"/>
    <w:link w:val="HTMLAddressChar"/>
    <w:uiPriority w:val="99"/>
    <w:rsid w:val="00B551B3"/>
    <w:pPr>
      <w:widowControl/>
      <w:autoSpaceDE w:val="0"/>
      <w:autoSpaceDN w:val="0"/>
      <w:adjustRightInd w:val="0"/>
      <w:spacing w:before="120" w:after="120" w:line="360" w:lineRule="auto"/>
    </w:pPr>
    <w:rPr>
      <w:rFonts w:eastAsia="Calibri"/>
      <w:i/>
      <w:szCs w:val="22"/>
      <w:lang w:eastAsia="en-US"/>
    </w:rPr>
  </w:style>
  <w:style w:type="character" w:customStyle="1" w:styleId="HTMLAddressChar">
    <w:name w:val="HTML Address Char"/>
    <w:basedOn w:val="DefaultParagraphFont"/>
    <w:link w:val="HTMLAddress"/>
    <w:uiPriority w:val="99"/>
    <w:rsid w:val="00B551B3"/>
    <w:rPr>
      <w:rFonts w:eastAsia="Calibri"/>
      <w:i/>
      <w:sz w:val="24"/>
      <w:szCs w:val="22"/>
      <w:lang w:val="da-DK" w:eastAsia="en-US"/>
    </w:rPr>
  </w:style>
  <w:style w:type="character" w:customStyle="1" w:styleId="HTMLAddressChar1">
    <w:name w:val="HTML Address Char1"/>
    <w:basedOn w:val="DefaultParagraphFont"/>
    <w:rsid w:val="00B551B3"/>
    <w:rPr>
      <w:rFonts w:cs="Times New Roman"/>
      <w:i/>
      <w:spacing w:val="0"/>
      <w:sz w:val="24"/>
    </w:rPr>
  </w:style>
  <w:style w:type="character" w:styleId="HTMLCite">
    <w:name w:val="HTML Cite"/>
    <w:basedOn w:val="DefaultParagraphFont"/>
    <w:uiPriority w:val="99"/>
    <w:rsid w:val="00B551B3"/>
    <w:rPr>
      <w:rFonts w:cs="Times New Roman"/>
      <w:i/>
      <w:spacing w:val="0"/>
    </w:rPr>
  </w:style>
  <w:style w:type="character" w:styleId="HTMLCode">
    <w:name w:val="HTML Code"/>
    <w:basedOn w:val="DefaultParagraphFont"/>
    <w:uiPriority w:val="99"/>
    <w:rsid w:val="00B551B3"/>
    <w:rPr>
      <w:rFonts w:ascii="Courier New" w:hAnsi="Courier New" w:cs="Courier New"/>
      <w:spacing w:val="0"/>
      <w:sz w:val="20"/>
    </w:rPr>
  </w:style>
  <w:style w:type="character" w:styleId="HTMLDefinition">
    <w:name w:val="HTML Definition"/>
    <w:basedOn w:val="DefaultParagraphFont"/>
    <w:uiPriority w:val="99"/>
    <w:rsid w:val="00B551B3"/>
    <w:rPr>
      <w:rFonts w:cs="Times New Roman"/>
      <w:i/>
      <w:spacing w:val="0"/>
    </w:rPr>
  </w:style>
  <w:style w:type="character" w:styleId="HTMLKeyboard">
    <w:name w:val="HTML Keyboard"/>
    <w:basedOn w:val="DefaultParagraphFont"/>
    <w:uiPriority w:val="99"/>
    <w:rsid w:val="00B551B3"/>
    <w:rPr>
      <w:rFonts w:ascii="Courier New" w:hAnsi="Courier New" w:cs="Courier New"/>
      <w:spacing w:val="0"/>
      <w:sz w:val="20"/>
    </w:rPr>
  </w:style>
  <w:style w:type="paragraph" w:styleId="HTMLPreformatted">
    <w:name w:val="HTML Preformatted"/>
    <w:basedOn w:val="Normal"/>
    <w:link w:val="HTMLPreformattedChar"/>
    <w:uiPriority w:val="99"/>
    <w:rsid w:val="00B551B3"/>
    <w:pPr>
      <w:widowControl/>
      <w:autoSpaceDE w:val="0"/>
      <w:autoSpaceDN w:val="0"/>
      <w:adjustRightInd w:val="0"/>
      <w:spacing w:before="120" w:after="120" w:line="360" w:lineRule="auto"/>
    </w:pPr>
    <w:rPr>
      <w:rFonts w:ascii="Courier New" w:hAnsi="Courier New" w:cs="Courier New"/>
      <w:szCs w:val="22"/>
      <w:lang w:eastAsia="en-US"/>
    </w:rPr>
  </w:style>
  <w:style w:type="character" w:customStyle="1" w:styleId="HTMLPreformattedChar">
    <w:name w:val="HTML Preformatted Char"/>
    <w:basedOn w:val="DefaultParagraphFont"/>
    <w:link w:val="HTMLPreformatted"/>
    <w:uiPriority w:val="99"/>
    <w:rsid w:val="00B551B3"/>
    <w:rPr>
      <w:rFonts w:ascii="Courier New" w:hAnsi="Courier New" w:cs="Courier New"/>
      <w:sz w:val="24"/>
      <w:szCs w:val="22"/>
      <w:lang w:val="da-DK" w:eastAsia="en-US"/>
    </w:rPr>
  </w:style>
  <w:style w:type="character" w:customStyle="1" w:styleId="HTMLPreformattedChar1">
    <w:name w:val="HTML Preformatted Char1"/>
    <w:basedOn w:val="DefaultParagraphFont"/>
    <w:rsid w:val="00B551B3"/>
    <w:rPr>
      <w:rFonts w:ascii="Courier New" w:hAnsi="Courier New" w:cs="Courier New"/>
      <w:spacing w:val="0"/>
      <w:sz w:val="24"/>
    </w:rPr>
  </w:style>
  <w:style w:type="character" w:styleId="HTMLSample">
    <w:name w:val="HTML Sample"/>
    <w:basedOn w:val="DefaultParagraphFont"/>
    <w:uiPriority w:val="99"/>
    <w:rsid w:val="00B551B3"/>
    <w:rPr>
      <w:rFonts w:ascii="Courier New" w:hAnsi="Courier New" w:cs="Courier New"/>
      <w:spacing w:val="0"/>
    </w:rPr>
  </w:style>
  <w:style w:type="character" w:styleId="HTMLTypewriter">
    <w:name w:val="HTML Typewriter"/>
    <w:basedOn w:val="DefaultParagraphFont"/>
    <w:uiPriority w:val="99"/>
    <w:rsid w:val="00B551B3"/>
    <w:rPr>
      <w:rFonts w:ascii="Courier New" w:hAnsi="Courier New" w:cs="Courier New"/>
      <w:spacing w:val="0"/>
      <w:sz w:val="20"/>
    </w:rPr>
  </w:style>
  <w:style w:type="character" w:styleId="HTMLVariable">
    <w:name w:val="HTML Variable"/>
    <w:basedOn w:val="DefaultParagraphFont"/>
    <w:uiPriority w:val="99"/>
    <w:rsid w:val="00B551B3"/>
    <w:rPr>
      <w:rFonts w:cs="Times New Roman"/>
      <w:i/>
      <w:spacing w:val="0"/>
    </w:rPr>
  </w:style>
  <w:style w:type="character" w:styleId="LineNumber">
    <w:name w:val="line number"/>
    <w:basedOn w:val="DefaultParagraphFont"/>
    <w:uiPriority w:val="99"/>
    <w:rsid w:val="00B551B3"/>
    <w:rPr>
      <w:rFonts w:cs="Times New Roman"/>
    </w:rPr>
  </w:style>
  <w:style w:type="paragraph" w:styleId="List">
    <w:name w:val="List"/>
    <w:basedOn w:val="Normal"/>
    <w:uiPriority w:val="99"/>
    <w:rsid w:val="00B551B3"/>
    <w:pPr>
      <w:widowControl/>
      <w:autoSpaceDE w:val="0"/>
      <w:autoSpaceDN w:val="0"/>
      <w:adjustRightInd w:val="0"/>
      <w:spacing w:before="120" w:after="120" w:line="360" w:lineRule="auto"/>
      <w:ind w:left="283" w:hanging="283"/>
    </w:pPr>
    <w:rPr>
      <w:rFonts w:eastAsia="Calibri"/>
      <w:szCs w:val="22"/>
      <w:lang w:eastAsia="en-US"/>
    </w:rPr>
  </w:style>
  <w:style w:type="paragraph" w:styleId="List2">
    <w:name w:val="List 2"/>
    <w:basedOn w:val="Normal"/>
    <w:uiPriority w:val="99"/>
    <w:rsid w:val="00B551B3"/>
    <w:pPr>
      <w:widowControl/>
      <w:autoSpaceDE w:val="0"/>
      <w:autoSpaceDN w:val="0"/>
      <w:adjustRightInd w:val="0"/>
      <w:spacing w:before="120" w:after="120" w:line="360" w:lineRule="auto"/>
      <w:ind w:left="566" w:hanging="283"/>
    </w:pPr>
    <w:rPr>
      <w:rFonts w:eastAsia="Calibri"/>
      <w:szCs w:val="22"/>
      <w:lang w:eastAsia="en-US"/>
    </w:rPr>
  </w:style>
  <w:style w:type="paragraph" w:styleId="List3">
    <w:name w:val="List 3"/>
    <w:basedOn w:val="Normal"/>
    <w:uiPriority w:val="99"/>
    <w:rsid w:val="00B551B3"/>
    <w:pPr>
      <w:widowControl/>
      <w:autoSpaceDE w:val="0"/>
      <w:autoSpaceDN w:val="0"/>
      <w:adjustRightInd w:val="0"/>
      <w:spacing w:before="120" w:after="120" w:line="360" w:lineRule="auto"/>
      <w:ind w:left="849" w:hanging="283"/>
    </w:pPr>
    <w:rPr>
      <w:rFonts w:eastAsia="Calibri"/>
      <w:szCs w:val="22"/>
      <w:lang w:eastAsia="en-US"/>
    </w:rPr>
  </w:style>
  <w:style w:type="paragraph" w:styleId="List4">
    <w:name w:val="List 4"/>
    <w:basedOn w:val="Normal"/>
    <w:uiPriority w:val="99"/>
    <w:rsid w:val="00B551B3"/>
    <w:pPr>
      <w:widowControl/>
      <w:autoSpaceDE w:val="0"/>
      <w:autoSpaceDN w:val="0"/>
      <w:adjustRightInd w:val="0"/>
      <w:spacing w:before="120" w:after="120" w:line="360" w:lineRule="auto"/>
      <w:ind w:left="1132" w:hanging="283"/>
    </w:pPr>
    <w:rPr>
      <w:rFonts w:eastAsia="Calibri"/>
      <w:szCs w:val="22"/>
      <w:lang w:eastAsia="en-US"/>
    </w:rPr>
  </w:style>
  <w:style w:type="paragraph" w:styleId="List5">
    <w:name w:val="List 5"/>
    <w:basedOn w:val="Normal"/>
    <w:uiPriority w:val="99"/>
    <w:rsid w:val="00B551B3"/>
    <w:pPr>
      <w:widowControl/>
      <w:autoSpaceDE w:val="0"/>
      <w:autoSpaceDN w:val="0"/>
      <w:adjustRightInd w:val="0"/>
      <w:spacing w:before="120" w:after="120" w:line="360" w:lineRule="auto"/>
      <w:ind w:left="1415" w:hanging="283"/>
    </w:pPr>
    <w:rPr>
      <w:rFonts w:eastAsia="Calibri"/>
      <w:szCs w:val="22"/>
      <w:lang w:eastAsia="en-US"/>
    </w:rPr>
  </w:style>
  <w:style w:type="paragraph" w:styleId="ListBullet5">
    <w:name w:val="List Bullet 5"/>
    <w:basedOn w:val="Normal"/>
    <w:autoRedefine/>
    <w:uiPriority w:val="99"/>
    <w:rsid w:val="00B551B3"/>
    <w:pPr>
      <w:widowControl/>
      <w:tabs>
        <w:tab w:val="num" w:pos="643"/>
        <w:tab w:val="num" w:pos="1492"/>
      </w:tabs>
      <w:autoSpaceDE w:val="0"/>
      <w:autoSpaceDN w:val="0"/>
      <w:adjustRightInd w:val="0"/>
      <w:spacing w:before="120" w:after="120" w:line="360" w:lineRule="auto"/>
      <w:ind w:left="1492" w:hanging="360"/>
    </w:pPr>
    <w:rPr>
      <w:rFonts w:eastAsia="Calibri"/>
      <w:szCs w:val="22"/>
      <w:lang w:eastAsia="en-US"/>
    </w:rPr>
  </w:style>
  <w:style w:type="paragraph" w:styleId="ListContinue">
    <w:name w:val="List Continue"/>
    <w:basedOn w:val="Normal"/>
    <w:uiPriority w:val="99"/>
    <w:rsid w:val="00B551B3"/>
    <w:pPr>
      <w:widowControl/>
      <w:autoSpaceDE w:val="0"/>
      <w:autoSpaceDN w:val="0"/>
      <w:adjustRightInd w:val="0"/>
      <w:spacing w:before="120" w:after="120" w:line="360" w:lineRule="auto"/>
      <w:ind w:left="283"/>
    </w:pPr>
    <w:rPr>
      <w:rFonts w:eastAsia="Calibri"/>
      <w:szCs w:val="22"/>
      <w:lang w:eastAsia="en-US"/>
    </w:rPr>
  </w:style>
  <w:style w:type="paragraph" w:styleId="ListContinue2">
    <w:name w:val="List Continue 2"/>
    <w:basedOn w:val="Normal"/>
    <w:uiPriority w:val="99"/>
    <w:rsid w:val="00B551B3"/>
    <w:pPr>
      <w:widowControl/>
      <w:autoSpaceDE w:val="0"/>
      <w:autoSpaceDN w:val="0"/>
      <w:adjustRightInd w:val="0"/>
      <w:spacing w:before="120" w:after="120" w:line="360" w:lineRule="auto"/>
      <w:ind w:left="566"/>
    </w:pPr>
    <w:rPr>
      <w:rFonts w:eastAsia="Calibri"/>
      <w:szCs w:val="22"/>
      <w:lang w:eastAsia="en-US"/>
    </w:rPr>
  </w:style>
  <w:style w:type="paragraph" w:styleId="ListContinue3">
    <w:name w:val="List Continue 3"/>
    <w:basedOn w:val="Normal"/>
    <w:uiPriority w:val="99"/>
    <w:rsid w:val="00B551B3"/>
    <w:pPr>
      <w:widowControl/>
      <w:autoSpaceDE w:val="0"/>
      <w:autoSpaceDN w:val="0"/>
      <w:adjustRightInd w:val="0"/>
      <w:spacing w:before="120" w:after="120" w:line="360" w:lineRule="auto"/>
      <w:ind w:left="849"/>
    </w:pPr>
    <w:rPr>
      <w:rFonts w:eastAsia="Calibri"/>
      <w:szCs w:val="22"/>
      <w:lang w:eastAsia="en-US"/>
    </w:rPr>
  </w:style>
  <w:style w:type="paragraph" w:styleId="ListContinue4">
    <w:name w:val="List Continue 4"/>
    <w:basedOn w:val="Normal"/>
    <w:uiPriority w:val="99"/>
    <w:rsid w:val="00B551B3"/>
    <w:pPr>
      <w:widowControl/>
      <w:autoSpaceDE w:val="0"/>
      <w:autoSpaceDN w:val="0"/>
      <w:adjustRightInd w:val="0"/>
      <w:spacing w:before="120" w:after="120" w:line="360" w:lineRule="auto"/>
      <w:ind w:left="1132"/>
    </w:pPr>
    <w:rPr>
      <w:rFonts w:eastAsia="Calibri"/>
      <w:szCs w:val="22"/>
      <w:lang w:eastAsia="en-US"/>
    </w:rPr>
  </w:style>
  <w:style w:type="paragraph" w:styleId="ListContinue5">
    <w:name w:val="List Continue 5"/>
    <w:basedOn w:val="Normal"/>
    <w:uiPriority w:val="99"/>
    <w:rsid w:val="00B551B3"/>
    <w:pPr>
      <w:widowControl/>
      <w:autoSpaceDE w:val="0"/>
      <w:autoSpaceDN w:val="0"/>
      <w:adjustRightInd w:val="0"/>
      <w:spacing w:before="120" w:after="120" w:line="360" w:lineRule="auto"/>
      <w:ind w:left="1415"/>
    </w:pPr>
    <w:rPr>
      <w:rFonts w:eastAsia="Calibri"/>
      <w:szCs w:val="22"/>
      <w:lang w:eastAsia="en-US"/>
    </w:rPr>
  </w:style>
  <w:style w:type="paragraph" w:styleId="ListNumber5">
    <w:name w:val="List Number 5"/>
    <w:basedOn w:val="Normal"/>
    <w:uiPriority w:val="99"/>
    <w:rsid w:val="00B551B3"/>
    <w:pPr>
      <w:widowControl/>
      <w:tabs>
        <w:tab w:val="num" w:pos="360"/>
        <w:tab w:val="num" w:pos="1492"/>
      </w:tabs>
      <w:autoSpaceDE w:val="0"/>
      <w:autoSpaceDN w:val="0"/>
      <w:adjustRightInd w:val="0"/>
      <w:spacing w:before="120" w:after="120" w:line="360" w:lineRule="auto"/>
      <w:ind w:left="1492" w:hanging="360"/>
    </w:pPr>
    <w:rPr>
      <w:rFonts w:eastAsia="Calibri"/>
      <w:szCs w:val="22"/>
      <w:lang w:eastAsia="en-US"/>
    </w:rPr>
  </w:style>
  <w:style w:type="paragraph" w:styleId="MacroText">
    <w:name w:val="macro"/>
    <w:link w:val="MacroTextChar"/>
    <w:uiPriority w:val="99"/>
    <w:rsid w:val="00B551B3"/>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before="120" w:after="120" w:line="360" w:lineRule="auto"/>
    </w:pPr>
    <w:rPr>
      <w:rFonts w:ascii="Courier New" w:hAnsi="Courier New" w:cs="Courier New"/>
      <w:sz w:val="24"/>
      <w:szCs w:val="22"/>
      <w:lang w:val="en-US" w:eastAsia="en-US"/>
    </w:rPr>
  </w:style>
  <w:style w:type="character" w:customStyle="1" w:styleId="MacroTextChar">
    <w:name w:val="Macro Text Char"/>
    <w:basedOn w:val="DefaultParagraphFont"/>
    <w:link w:val="MacroText"/>
    <w:uiPriority w:val="99"/>
    <w:rsid w:val="00B551B3"/>
    <w:rPr>
      <w:rFonts w:ascii="Courier New" w:hAnsi="Courier New" w:cs="Courier New"/>
      <w:sz w:val="24"/>
      <w:szCs w:val="22"/>
      <w:lang w:val="en-US" w:eastAsia="en-US"/>
    </w:rPr>
  </w:style>
  <w:style w:type="character" w:customStyle="1" w:styleId="MacroTextChar1">
    <w:name w:val="Macro Text Char1"/>
    <w:basedOn w:val="DefaultParagraphFont"/>
    <w:rsid w:val="00B551B3"/>
    <w:rPr>
      <w:rFonts w:ascii="Courier New" w:hAnsi="Courier New" w:cs="Courier New"/>
      <w:spacing w:val="0"/>
      <w:sz w:val="24"/>
    </w:rPr>
  </w:style>
  <w:style w:type="paragraph" w:styleId="MessageHeader">
    <w:name w:val="Message Header"/>
    <w:basedOn w:val="Normal"/>
    <w:link w:val="MessageHeaderChar"/>
    <w:uiPriority w:val="99"/>
    <w:rsid w:val="00B551B3"/>
    <w:pPr>
      <w:widowControl/>
      <w:pBdr>
        <w:top w:val="single" w:sz="6" w:space="1" w:color="auto"/>
        <w:left w:val="single" w:sz="6" w:space="1" w:color="auto"/>
        <w:bottom w:val="single" w:sz="6" w:space="1" w:color="auto"/>
        <w:right w:val="single" w:sz="6" w:space="1" w:color="auto"/>
      </w:pBdr>
      <w:autoSpaceDE w:val="0"/>
      <w:autoSpaceDN w:val="0"/>
      <w:adjustRightInd w:val="0"/>
      <w:spacing w:before="120" w:after="120" w:line="360" w:lineRule="auto"/>
      <w:ind w:left="1134" w:hanging="1134"/>
    </w:pPr>
    <w:rPr>
      <w:rFonts w:ascii="Arial" w:hAnsi="Arial" w:cs="Arial"/>
      <w:szCs w:val="22"/>
      <w:shd w:val="pct20" w:color="auto" w:fill="auto"/>
      <w:lang w:eastAsia="en-US"/>
    </w:rPr>
  </w:style>
  <w:style w:type="character" w:customStyle="1" w:styleId="MessageHeaderChar">
    <w:name w:val="Message Header Char"/>
    <w:basedOn w:val="DefaultParagraphFont"/>
    <w:link w:val="MessageHeader"/>
    <w:uiPriority w:val="99"/>
    <w:rsid w:val="00B551B3"/>
    <w:rPr>
      <w:rFonts w:ascii="Arial" w:hAnsi="Arial" w:cs="Arial"/>
      <w:sz w:val="24"/>
      <w:szCs w:val="22"/>
      <w:lang w:val="da-DK" w:eastAsia="en-US"/>
    </w:rPr>
  </w:style>
  <w:style w:type="character" w:customStyle="1" w:styleId="MessageHeaderChar1">
    <w:name w:val="Message Header Char1"/>
    <w:basedOn w:val="DefaultParagraphFont"/>
    <w:rsid w:val="00B551B3"/>
    <w:rPr>
      <w:rFonts w:ascii="Arial" w:hAnsi="Arial" w:cs="Arial"/>
      <w:spacing w:val="0"/>
      <w:sz w:val="24"/>
      <w:shd w:val="pct20" w:color="auto" w:fill="auto"/>
    </w:rPr>
  </w:style>
  <w:style w:type="paragraph" w:styleId="NormalWeb">
    <w:name w:val="Normal (Web)"/>
    <w:basedOn w:val="Normal"/>
    <w:uiPriority w:val="99"/>
    <w:rsid w:val="00B551B3"/>
    <w:pPr>
      <w:widowControl/>
      <w:autoSpaceDE w:val="0"/>
      <w:autoSpaceDN w:val="0"/>
      <w:adjustRightInd w:val="0"/>
      <w:spacing w:before="120" w:after="120" w:line="360" w:lineRule="auto"/>
    </w:pPr>
    <w:rPr>
      <w:rFonts w:eastAsia="Calibri"/>
      <w:szCs w:val="22"/>
      <w:lang w:eastAsia="en-US"/>
    </w:rPr>
  </w:style>
  <w:style w:type="paragraph" w:styleId="NormalIndent">
    <w:name w:val="Normal Indent"/>
    <w:basedOn w:val="Normal"/>
    <w:uiPriority w:val="99"/>
    <w:rsid w:val="00B551B3"/>
    <w:pPr>
      <w:widowControl/>
      <w:autoSpaceDE w:val="0"/>
      <w:autoSpaceDN w:val="0"/>
      <w:adjustRightInd w:val="0"/>
      <w:spacing w:before="120" w:after="120" w:line="360" w:lineRule="auto"/>
      <w:ind w:left="720"/>
    </w:pPr>
    <w:rPr>
      <w:rFonts w:eastAsia="Calibri"/>
      <w:szCs w:val="22"/>
      <w:lang w:eastAsia="en-US"/>
    </w:rPr>
  </w:style>
  <w:style w:type="paragraph" w:styleId="PlainText">
    <w:name w:val="Plain Text"/>
    <w:basedOn w:val="Normal"/>
    <w:link w:val="PlainTextChar"/>
    <w:uiPriority w:val="99"/>
    <w:rsid w:val="00B551B3"/>
    <w:pPr>
      <w:widowControl/>
      <w:autoSpaceDE w:val="0"/>
      <w:autoSpaceDN w:val="0"/>
      <w:adjustRightInd w:val="0"/>
      <w:spacing w:before="120" w:after="120" w:line="360" w:lineRule="auto"/>
    </w:pPr>
    <w:rPr>
      <w:rFonts w:ascii="Courier New" w:hAnsi="Courier New" w:cs="Courier New"/>
      <w:szCs w:val="22"/>
      <w:lang w:eastAsia="en-US"/>
    </w:rPr>
  </w:style>
  <w:style w:type="character" w:customStyle="1" w:styleId="PlainTextChar">
    <w:name w:val="Plain Text Char"/>
    <w:basedOn w:val="DefaultParagraphFont"/>
    <w:link w:val="PlainText"/>
    <w:uiPriority w:val="99"/>
    <w:rsid w:val="00B551B3"/>
    <w:rPr>
      <w:rFonts w:ascii="Courier New" w:hAnsi="Courier New" w:cs="Courier New"/>
      <w:sz w:val="24"/>
      <w:szCs w:val="22"/>
      <w:lang w:val="da-DK" w:eastAsia="en-US"/>
    </w:rPr>
  </w:style>
  <w:style w:type="character" w:customStyle="1" w:styleId="PlainTextChar1">
    <w:name w:val="Plain Text Char1"/>
    <w:basedOn w:val="DefaultParagraphFont"/>
    <w:rsid w:val="00B551B3"/>
    <w:rPr>
      <w:rFonts w:ascii="Courier New" w:hAnsi="Courier New" w:cs="Courier New"/>
      <w:spacing w:val="0"/>
      <w:sz w:val="24"/>
    </w:rPr>
  </w:style>
  <w:style w:type="paragraph" w:styleId="Signature">
    <w:name w:val="Signature"/>
    <w:basedOn w:val="Normal"/>
    <w:link w:val="SignatureChar"/>
    <w:uiPriority w:val="99"/>
    <w:rsid w:val="00B551B3"/>
    <w:pPr>
      <w:widowControl/>
      <w:autoSpaceDE w:val="0"/>
      <w:autoSpaceDN w:val="0"/>
      <w:adjustRightInd w:val="0"/>
      <w:spacing w:before="120" w:after="120" w:line="360" w:lineRule="auto"/>
      <w:ind w:left="4252"/>
    </w:pPr>
    <w:rPr>
      <w:rFonts w:eastAsia="Calibri"/>
      <w:szCs w:val="22"/>
      <w:lang w:eastAsia="en-US"/>
    </w:rPr>
  </w:style>
  <w:style w:type="character" w:customStyle="1" w:styleId="SignatureChar">
    <w:name w:val="Signature Char"/>
    <w:basedOn w:val="DefaultParagraphFont"/>
    <w:link w:val="Signature"/>
    <w:uiPriority w:val="99"/>
    <w:rsid w:val="00B551B3"/>
    <w:rPr>
      <w:rFonts w:eastAsia="Calibri"/>
      <w:sz w:val="24"/>
      <w:szCs w:val="22"/>
      <w:lang w:val="da-DK" w:eastAsia="en-US"/>
    </w:rPr>
  </w:style>
  <w:style w:type="character" w:customStyle="1" w:styleId="SignatureChar1">
    <w:name w:val="Signature Char1"/>
    <w:basedOn w:val="DefaultParagraphFont"/>
    <w:rsid w:val="00B551B3"/>
    <w:rPr>
      <w:rFonts w:cs="Times New Roman"/>
      <w:spacing w:val="0"/>
      <w:sz w:val="24"/>
    </w:rPr>
  </w:style>
  <w:style w:type="character" w:styleId="Strong">
    <w:name w:val="Strong"/>
    <w:basedOn w:val="DefaultParagraphFont"/>
    <w:uiPriority w:val="22"/>
    <w:qFormat/>
    <w:rsid w:val="00B551B3"/>
    <w:rPr>
      <w:rFonts w:cs="Times New Roman"/>
      <w:b/>
      <w:spacing w:val="0"/>
    </w:rPr>
  </w:style>
  <w:style w:type="paragraph" w:styleId="Subtitle">
    <w:name w:val="Subtitle"/>
    <w:basedOn w:val="Normal"/>
    <w:link w:val="SubtitleChar"/>
    <w:uiPriority w:val="11"/>
    <w:qFormat/>
    <w:rsid w:val="00B551B3"/>
    <w:pPr>
      <w:widowControl/>
      <w:autoSpaceDE w:val="0"/>
      <w:autoSpaceDN w:val="0"/>
      <w:adjustRightInd w:val="0"/>
      <w:spacing w:before="120" w:after="60" w:line="360" w:lineRule="auto"/>
      <w:jc w:val="center"/>
      <w:outlineLvl w:val="1"/>
    </w:pPr>
    <w:rPr>
      <w:rFonts w:ascii="Arial" w:hAnsi="Arial" w:cs="Arial"/>
      <w:szCs w:val="22"/>
      <w:lang w:eastAsia="en-US"/>
    </w:rPr>
  </w:style>
  <w:style w:type="character" w:customStyle="1" w:styleId="SubtitleChar">
    <w:name w:val="Subtitle Char"/>
    <w:basedOn w:val="DefaultParagraphFont"/>
    <w:link w:val="Subtitle"/>
    <w:uiPriority w:val="11"/>
    <w:rsid w:val="00B551B3"/>
    <w:rPr>
      <w:rFonts w:ascii="Arial" w:hAnsi="Arial" w:cs="Arial"/>
      <w:sz w:val="24"/>
      <w:szCs w:val="22"/>
      <w:lang w:val="da-DK" w:eastAsia="en-US"/>
    </w:rPr>
  </w:style>
  <w:style w:type="character" w:customStyle="1" w:styleId="SubtitleChar1">
    <w:name w:val="Subtitle Char1"/>
    <w:basedOn w:val="DefaultParagraphFont"/>
    <w:rsid w:val="00B551B3"/>
    <w:rPr>
      <w:rFonts w:ascii="Arial" w:hAnsi="Arial" w:cs="Arial"/>
      <w:spacing w:val="0"/>
      <w:sz w:val="24"/>
    </w:rPr>
  </w:style>
  <w:style w:type="paragraph" w:styleId="Title">
    <w:name w:val="Title"/>
    <w:basedOn w:val="Normal"/>
    <w:link w:val="TitleChar"/>
    <w:uiPriority w:val="10"/>
    <w:qFormat/>
    <w:rsid w:val="00B551B3"/>
    <w:pPr>
      <w:widowControl/>
      <w:autoSpaceDE w:val="0"/>
      <w:autoSpaceDN w:val="0"/>
      <w:adjustRightInd w:val="0"/>
      <w:spacing w:before="240" w:after="60" w:line="360" w:lineRule="auto"/>
      <w:jc w:val="center"/>
      <w:outlineLvl w:val="0"/>
    </w:pPr>
    <w:rPr>
      <w:rFonts w:ascii="Arial" w:hAnsi="Arial" w:cs="Arial"/>
      <w:b/>
      <w:kern w:val="28"/>
      <w:sz w:val="32"/>
      <w:szCs w:val="22"/>
      <w:lang w:eastAsia="en-US"/>
    </w:rPr>
  </w:style>
  <w:style w:type="character" w:customStyle="1" w:styleId="TitleChar">
    <w:name w:val="Title Char"/>
    <w:basedOn w:val="DefaultParagraphFont"/>
    <w:link w:val="Title"/>
    <w:uiPriority w:val="10"/>
    <w:rsid w:val="00B551B3"/>
    <w:rPr>
      <w:rFonts w:ascii="Arial" w:hAnsi="Arial" w:cs="Arial"/>
      <w:b/>
      <w:kern w:val="28"/>
      <w:sz w:val="32"/>
      <w:szCs w:val="22"/>
      <w:lang w:val="da-DK" w:eastAsia="en-US"/>
    </w:rPr>
  </w:style>
  <w:style w:type="character" w:customStyle="1" w:styleId="TitleChar1">
    <w:name w:val="Title Char1"/>
    <w:basedOn w:val="DefaultParagraphFont"/>
    <w:rsid w:val="00B551B3"/>
    <w:rPr>
      <w:rFonts w:ascii="Arial" w:hAnsi="Arial" w:cs="Arial"/>
      <w:b/>
      <w:spacing w:val="0"/>
      <w:kern w:val="28"/>
      <w:sz w:val="32"/>
    </w:rPr>
  </w:style>
  <w:style w:type="paragraph" w:styleId="Index1">
    <w:name w:val="index 1"/>
    <w:basedOn w:val="Normal"/>
    <w:next w:val="Normal"/>
    <w:autoRedefine/>
    <w:uiPriority w:val="99"/>
    <w:rsid w:val="00B551B3"/>
    <w:pPr>
      <w:widowControl/>
      <w:autoSpaceDE w:val="0"/>
      <w:autoSpaceDN w:val="0"/>
      <w:adjustRightInd w:val="0"/>
      <w:ind w:left="200" w:hanging="200"/>
    </w:pPr>
    <w:rPr>
      <w:rFonts w:eastAsia="Calibri"/>
      <w:szCs w:val="22"/>
      <w:lang w:eastAsia="en-US"/>
    </w:rPr>
  </w:style>
  <w:style w:type="paragraph" w:styleId="IndexHeading">
    <w:name w:val="index heading"/>
    <w:basedOn w:val="Normal"/>
    <w:next w:val="Index1"/>
    <w:uiPriority w:val="99"/>
    <w:rsid w:val="00B551B3"/>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jc w:val="both"/>
    </w:pPr>
    <w:rPr>
      <w:rFonts w:eastAsia="Calibri"/>
      <w:szCs w:val="22"/>
      <w:lang w:eastAsia="en-US"/>
    </w:rPr>
  </w:style>
  <w:style w:type="paragraph" w:customStyle="1" w:styleId="Titre1">
    <w:name w:val="Titre1"/>
    <w:basedOn w:val="Heading6"/>
    <w:rsid w:val="00B551B3"/>
    <w:pPr>
      <w:keepNext/>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after="0"/>
      <w:jc w:val="center"/>
    </w:pPr>
    <w:rPr>
      <w:rFonts w:eastAsia="Times New Roman"/>
      <w:i w:val="0"/>
      <w:iCs/>
      <w:sz w:val="60"/>
      <w:szCs w:val="22"/>
      <w:lang w:eastAsia="en-US"/>
    </w:rPr>
  </w:style>
  <w:style w:type="paragraph" w:customStyle="1" w:styleId="Titre2">
    <w:name w:val="Titre2"/>
    <w:basedOn w:val="Normal"/>
    <w:rsid w:val="00B551B3"/>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ind w:left="1701"/>
      <w:jc w:val="both"/>
    </w:pPr>
    <w:rPr>
      <w:rFonts w:ascii="Arial" w:hAnsi="Arial" w:cs="Arial"/>
      <w:b/>
      <w:sz w:val="48"/>
      <w:szCs w:val="22"/>
      <w:lang w:eastAsia="en-US"/>
    </w:rPr>
  </w:style>
  <w:style w:type="paragraph" w:customStyle="1" w:styleId="pj">
    <w:name w:val="p.j."/>
    <w:basedOn w:val="Normal"/>
    <w:next w:val="Normal"/>
    <w:rsid w:val="00B551B3"/>
    <w:pPr>
      <w:widowControl/>
      <w:autoSpaceDE w:val="0"/>
      <w:autoSpaceDN w:val="0"/>
      <w:adjustRightInd w:val="0"/>
      <w:spacing w:before="1200" w:after="120"/>
      <w:ind w:left="1440" w:hanging="1440"/>
    </w:pPr>
    <w:rPr>
      <w:rFonts w:eastAsia="Calibri"/>
      <w:szCs w:val="22"/>
      <w:lang w:eastAsia="en-US"/>
    </w:rPr>
  </w:style>
  <w:style w:type="paragraph" w:customStyle="1" w:styleId="Text0">
    <w:name w:val="Text 0"/>
    <w:basedOn w:val="Normal"/>
    <w:rsid w:val="00B551B3"/>
    <w:pPr>
      <w:autoSpaceDE w:val="0"/>
      <w:autoSpaceDN w:val="0"/>
      <w:adjustRightInd w:val="0"/>
      <w:spacing w:before="120" w:after="120" w:line="360" w:lineRule="auto"/>
    </w:pPr>
    <w:rPr>
      <w:rFonts w:eastAsia="Calibri"/>
      <w:szCs w:val="22"/>
      <w:lang w:eastAsia="en-US"/>
    </w:rPr>
  </w:style>
  <w:style w:type="paragraph" w:customStyle="1" w:styleId="N">
    <w:name w:val="N"/>
    <w:basedOn w:val="Text0"/>
    <w:rsid w:val="00B551B3"/>
    <w:pPr>
      <w:spacing w:before="0" w:after="0"/>
    </w:pPr>
  </w:style>
  <w:style w:type="paragraph" w:customStyle="1" w:styleId="Considerant">
    <w:name w:val="Considerant"/>
    <w:basedOn w:val="Considrant"/>
    <w:rsid w:val="00B551B3"/>
    <w:pPr>
      <w:tabs>
        <w:tab w:val="num" w:pos="709"/>
      </w:tabs>
      <w:autoSpaceDE w:val="0"/>
      <w:autoSpaceDN w:val="0"/>
      <w:adjustRightInd w:val="0"/>
      <w:spacing w:before="0" w:after="0"/>
      <w:ind w:left="709" w:hanging="709"/>
    </w:pPr>
    <w:rPr>
      <w:rFonts w:eastAsia="Calibri"/>
      <w:szCs w:val="22"/>
      <w:lang w:val="da-DK"/>
    </w:rPr>
  </w:style>
  <w:style w:type="paragraph" w:customStyle="1" w:styleId="Lginef">
    <w:name w:val="Lgine f"/>
    <w:basedOn w:val="Normal"/>
    <w:rsid w:val="00B551B3"/>
    <w:pPr>
      <w:widowControl/>
      <w:autoSpaceDE w:val="0"/>
      <w:autoSpaceDN w:val="0"/>
      <w:adjustRightInd w:val="0"/>
      <w:spacing w:before="120" w:after="120" w:line="360" w:lineRule="auto"/>
    </w:pPr>
    <w:rPr>
      <w:rFonts w:eastAsia="Calibri"/>
      <w:szCs w:val="22"/>
      <w:lang w:eastAsia="en-US"/>
    </w:rPr>
  </w:style>
  <w:style w:type="paragraph" w:customStyle="1" w:styleId="Normal12Bold">
    <w:name w:val="Normal12Bold"/>
    <w:basedOn w:val="Normal12"/>
    <w:rsid w:val="00B551B3"/>
    <w:pPr>
      <w:autoSpaceDE w:val="0"/>
      <w:autoSpaceDN w:val="0"/>
      <w:adjustRightInd w:val="0"/>
    </w:pPr>
    <w:rPr>
      <w:rFonts w:eastAsia="Calibri"/>
      <w:b/>
      <w:noProof w:val="0"/>
      <w:szCs w:val="22"/>
      <w:lang w:eastAsia="en-US"/>
    </w:rPr>
  </w:style>
  <w:style w:type="paragraph" w:customStyle="1" w:styleId="Normal12Hanging">
    <w:name w:val="Normal12Hanging"/>
    <w:basedOn w:val="Normal12"/>
    <w:rsid w:val="00B551B3"/>
    <w:pPr>
      <w:autoSpaceDE w:val="0"/>
      <w:autoSpaceDN w:val="0"/>
      <w:adjustRightInd w:val="0"/>
      <w:ind w:left="357" w:hanging="357"/>
    </w:pPr>
    <w:rPr>
      <w:rFonts w:eastAsia="Calibri"/>
      <w:noProof w:val="0"/>
      <w:szCs w:val="22"/>
      <w:lang w:eastAsia="en-US"/>
    </w:rPr>
  </w:style>
  <w:style w:type="character" w:customStyle="1" w:styleId="italic1">
    <w:name w:val="italic1"/>
    <w:basedOn w:val="DefaultParagraphFont"/>
    <w:rsid w:val="00B551B3"/>
    <w:rPr>
      <w:rFonts w:cs="Times New Roman"/>
      <w:i/>
      <w:spacing w:val="0"/>
      <w:shd w:val="clear" w:color="auto" w:fill="auto"/>
    </w:rPr>
  </w:style>
  <w:style w:type="paragraph" w:customStyle="1" w:styleId="CM4">
    <w:name w:val="CM4"/>
    <w:basedOn w:val="Default"/>
    <w:next w:val="Default"/>
    <w:uiPriority w:val="99"/>
    <w:rsid w:val="00B551B3"/>
    <w:rPr>
      <w:rFonts w:ascii="EUAlbertina" w:eastAsia="Times New Roman" w:hAnsi="EUAlbertina" w:cs="EUAlbertina"/>
    </w:rPr>
  </w:style>
  <w:style w:type="paragraph" w:customStyle="1" w:styleId="NormalConseil">
    <w:name w:val="NormalConseil"/>
    <w:basedOn w:val="Normal"/>
    <w:rsid w:val="00B551B3"/>
    <w:pPr>
      <w:widowControl/>
      <w:autoSpaceDE w:val="0"/>
      <w:autoSpaceDN w:val="0"/>
      <w:adjustRightInd w:val="0"/>
    </w:pPr>
    <w:rPr>
      <w:rFonts w:eastAsia="Calibri"/>
      <w:szCs w:val="22"/>
      <w:lang w:eastAsia="en-US"/>
    </w:rPr>
  </w:style>
  <w:style w:type="paragraph" w:customStyle="1" w:styleId="FooterConseil">
    <w:name w:val="FooterConseil"/>
    <w:basedOn w:val="NormalConseil"/>
    <w:rsid w:val="00B551B3"/>
    <w:pPr>
      <w:tabs>
        <w:tab w:val="center" w:pos="4820"/>
        <w:tab w:val="center" w:pos="7371"/>
        <w:tab w:val="right" w:pos="9639"/>
      </w:tabs>
    </w:pPr>
  </w:style>
  <w:style w:type="character" w:customStyle="1" w:styleId="st1">
    <w:name w:val="st1"/>
    <w:rsid w:val="00B551B3"/>
    <w:rPr>
      <w:spacing w:val="0"/>
      <w:sz w:val="24"/>
    </w:rPr>
  </w:style>
  <w:style w:type="character" w:customStyle="1" w:styleId="Point0Char">
    <w:name w:val="Point 0 Char"/>
    <w:rsid w:val="00B551B3"/>
    <w:rPr>
      <w:spacing w:val="0"/>
      <w:sz w:val="24"/>
    </w:rPr>
  </w:style>
  <w:style w:type="paragraph" w:customStyle="1" w:styleId="DeltaViewTableHeading">
    <w:name w:val="DeltaView Table Heading"/>
    <w:basedOn w:val="Normal"/>
    <w:rsid w:val="00B551B3"/>
    <w:pPr>
      <w:widowControl/>
      <w:autoSpaceDE w:val="0"/>
      <w:autoSpaceDN w:val="0"/>
      <w:adjustRightInd w:val="0"/>
      <w:spacing w:after="120"/>
    </w:pPr>
    <w:rPr>
      <w:rFonts w:ascii="Arial" w:hAnsi="Arial" w:cs="Arial"/>
      <w:b/>
      <w:szCs w:val="22"/>
      <w:lang w:eastAsia="en-US"/>
    </w:rPr>
  </w:style>
  <w:style w:type="paragraph" w:customStyle="1" w:styleId="DeltaViewTableBody">
    <w:name w:val="DeltaView Table Body"/>
    <w:basedOn w:val="Normal"/>
    <w:rsid w:val="00B551B3"/>
    <w:pPr>
      <w:widowControl/>
      <w:autoSpaceDE w:val="0"/>
      <w:autoSpaceDN w:val="0"/>
      <w:adjustRightInd w:val="0"/>
    </w:pPr>
    <w:rPr>
      <w:rFonts w:ascii="Arial" w:hAnsi="Arial" w:cs="Arial"/>
      <w:szCs w:val="22"/>
      <w:lang w:eastAsia="en-US"/>
    </w:rPr>
  </w:style>
  <w:style w:type="paragraph" w:customStyle="1" w:styleId="DeltaViewAnnounce">
    <w:name w:val="DeltaView Announce"/>
    <w:rsid w:val="00B551B3"/>
    <w:pPr>
      <w:autoSpaceDE w:val="0"/>
      <w:autoSpaceDN w:val="0"/>
      <w:adjustRightInd w:val="0"/>
      <w:spacing w:before="100" w:beforeAutospacing="1" w:after="100" w:afterAutospacing="1"/>
    </w:pPr>
    <w:rPr>
      <w:rFonts w:ascii="Arial" w:hAnsi="Arial" w:cs="Arial"/>
      <w:sz w:val="24"/>
      <w:szCs w:val="22"/>
      <w:lang w:val="en-US" w:eastAsia="en-US"/>
    </w:rPr>
  </w:style>
  <w:style w:type="character" w:customStyle="1" w:styleId="DeltaViewInsertion">
    <w:name w:val="DeltaView Insertion"/>
    <w:rsid w:val="00B551B3"/>
    <w:rPr>
      <w:b/>
      <w:i/>
      <w:spacing w:val="0"/>
    </w:rPr>
  </w:style>
  <w:style w:type="character" w:customStyle="1" w:styleId="DeltaViewDeletion">
    <w:name w:val="DeltaView Deletion"/>
    <w:rsid w:val="00B551B3"/>
    <w:rPr>
      <w:strike/>
      <w:spacing w:val="0"/>
    </w:rPr>
  </w:style>
  <w:style w:type="character" w:customStyle="1" w:styleId="DeltaViewMoveSource">
    <w:name w:val="DeltaView Move Source"/>
    <w:rsid w:val="00B551B3"/>
    <w:rPr>
      <w:strike/>
      <w:spacing w:val="0"/>
    </w:rPr>
  </w:style>
  <w:style w:type="character" w:customStyle="1" w:styleId="DeltaViewMoveDestination">
    <w:name w:val="DeltaView Move Destination"/>
    <w:rsid w:val="00B551B3"/>
    <w:rPr>
      <w:spacing w:val="0"/>
      <w:u w:val="double"/>
    </w:rPr>
  </w:style>
  <w:style w:type="character" w:customStyle="1" w:styleId="DeltaViewChangeNumber">
    <w:name w:val="DeltaView Change Number"/>
    <w:rsid w:val="00B551B3"/>
    <w:rPr>
      <w:spacing w:val="0"/>
      <w:vertAlign w:val="superscript"/>
    </w:rPr>
  </w:style>
  <w:style w:type="character" w:customStyle="1" w:styleId="DeltaViewDelimiter">
    <w:name w:val="DeltaView Delimiter"/>
    <w:rsid w:val="00B551B3"/>
    <w:rPr>
      <w:spacing w:val="0"/>
    </w:rPr>
  </w:style>
  <w:style w:type="character" w:customStyle="1" w:styleId="DeltaViewFormatChange">
    <w:name w:val="DeltaView Format Change"/>
    <w:rsid w:val="00B551B3"/>
    <w:rPr>
      <w:spacing w:val="0"/>
    </w:rPr>
  </w:style>
  <w:style w:type="character" w:customStyle="1" w:styleId="DeltaViewMovedDeletion">
    <w:name w:val="DeltaView Moved Deletion"/>
    <w:rsid w:val="00B551B3"/>
    <w:rPr>
      <w:strike/>
      <w:color w:val="C08080"/>
      <w:spacing w:val="0"/>
    </w:rPr>
  </w:style>
  <w:style w:type="character" w:customStyle="1" w:styleId="DeltaViewEditorComment">
    <w:name w:val="DeltaView Editor Comment"/>
    <w:basedOn w:val="DefaultParagraphFont"/>
    <w:rsid w:val="00B551B3"/>
    <w:rPr>
      <w:rFonts w:cs="Times New Roman"/>
      <w:color w:val="0000FF"/>
      <w:spacing w:val="0"/>
      <w:u w:val="double"/>
    </w:rPr>
  </w:style>
  <w:style w:type="character" w:customStyle="1" w:styleId="DeltaViewStyleChangeText">
    <w:name w:val="DeltaView Style Change Text"/>
    <w:rsid w:val="00B551B3"/>
    <w:rPr>
      <w:spacing w:val="0"/>
      <w:u w:val="double"/>
    </w:rPr>
  </w:style>
  <w:style w:type="character" w:customStyle="1" w:styleId="DeltaViewStyleChangeLabel">
    <w:name w:val="DeltaView Style Change Label"/>
    <w:rsid w:val="00B551B3"/>
    <w:rPr>
      <w:spacing w:val="0"/>
    </w:rPr>
  </w:style>
  <w:style w:type="character" w:customStyle="1" w:styleId="UnresolvedMention1">
    <w:name w:val="Unresolved Mention1"/>
    <w:basedOn w:val="DefaultParagraphFont"/>
    <w:uiPriority w:val="99"/>
    <w:semiHidden/>
    <w:unhideWhenUsed/>
    <w:rsid w:val="00B551B3"/>
    <w:rPr>
      <w:color w:val="605E5C"/>
      <w:shd w:val="clear" w:color="auto" w:fill="E1DFDD"/>
    </w:rPr>
  </w:style>
  <w:style w:type="character" w:customStyle="1" w:styleId="UnresolvedMention2">
    <w:name w:val="Unresolved Mention2"/>
    <w:basedOn w:val="DefaultParagraphFont"/>
    <w:uiPriority w:val="99"/>
    <w:semiHidden/>
    <w:unhideWhenUsed/>
    <w:rsid w:val="00B551B3"/>
    <w:rPr>
      <w:color w:val="605E5C"/>
      <w:shd w:val="clear" w:color="auto" w:fill="E1DFDD"/>
    </w:rPr>
  </w:style>
  <w:style w:type="paragraph" w:customStyle="1" w:styleId="ThetitleofAnnexIPoint0number">
    <w:name w:val="The title of Annex I Point 0 (number)"/>
    <w:basedOn w:val="Point0number"/>
    <w:rsid w:val="00B551B3"/>
    <w:pPr>
      <w:numPr>
        <w:numId w:val="1"/>
      </w:numPr>
    </w:pPr>
  </w:style>
  <w:style w:type="paragraph" w:customStyle="1" w:styleId="Part1isreplacedwiththefollowignPoint0number">
    <w:name w:val="Part 1 is replaced with the followign: Point 0 (number)"/>
    <w:basedOn w:val="Point0number"/>
    <w:rsid w:val="00B551B3"/>
    <w:pPr>
      <w:numPr>
        <w:numId w:val="0"/>
      </w:numPr>
      <w:tabs>
        <w:tab w:val="num" w:pos="926"/>
      </w:tabs>
      <w:ind w:left="926" w:hanging="360"/>
    </w:pPr>
  </w:style>
  <w:style w:type="paragraph" w:customStyle="1" w:styleId="PartPoint0number">
    <w:name w:val="PartPoint 0 (number)"/>
    <w:basedOn w:val="Point0number"/>
    <w:rsid w:val="00B551B3"/>
    <w:pPr>
      <w:numPr>
        <w:numId w:val="0"/>
      </w:numPr>
      <w:tabs>
        <w:tab w:val="num" w:pos="926"/>
      </w:tabs>
      <w:ind w:left="926" w:hanging="360"/>
    </w:pPr>
  </w:style>
  <w:style w:type="paragraph" w:customStyle="1" w:styleId="AnewPoint0number">
    <w:name w:val="A new Point 0 (number)"/>
    <w:basedOn w:val="Point0number"/>
    <w:rsid w:val="00B551B3"/>
    <w:pPr>
      <w:numPr>
        <w:numId w:val="0"/>
      </w:numPr>
      <w:tabs>
        <w:tab w:val="num" w:pos="926"/>
      </w:tabs>
      <w:ind w:left="926" w:hanging="360"/>
    </w:pPr>
  </w:style>
  <w:style w:type="paragraph" w:customStyle="1" w:styleId="LegalNumPar">
    <w:name w:val="LegalNumPar"/>
    <w:basedOn w:val="Normal"/>
    <w:rsid w:val="00B551B3"/>
    <w:pPr>
      <w:widowControl/>
      <w:numPr>
        <w:numId w:val="16"/>
      </w:numPr>
      <w:tabs>
        <w:tab w:val="num" w:pos="1209"/>
      </w:tabs>
      <w:spacing w:before="120" w:after="120" w:line="360" w:lineRule="auto"/>
      <w:ind w:left="1209" w:hanging="360"/>
      <w:jc w:val="both"/>
    </w:pPr>
    <w:rPr>
      <w:rFonts w:eastAsia="Calibri"/>
      <w:szCs w:val="22"/>
      <w:lang w:eastAsia="en-US"/>
    </w:rPr>
  </w:style>
  <w:style w:type="paragraph" w:customStyle="1" w:styleId="LegalNumPar2">
    <w:name w:val="LegalNumPar2"/>
    <w:basedOn w:val="Normal"/>
    <w:rsid w:val="00B551B3"/>
    <w:pPr>
      <w:widowControl/>
      <w:numPr>
        <w:ilvl w:val="1"/>
        <w:numId w:val="16"/>
      </w:numPr>
      <w:tabs>
        <w:tab w:val="num" w:pos="1209"/>
      </w:tabs>
      <w:spacing w:before="120" w:after="120" w:line="360" w:lineRule="auto"/>
      <w:ind w:left="1209" w:hanging="360"/>
      <w:jc w:val="both"/>
    </w:pPr>
    <w:rPr>
      <w:rFonts w:eastAsia="Calibri"/>
      <w:szCs w:val="22"/>
      <w:lang w:eastAsia="en-US"/>
    </w:rPr>
  </w:style>
  <w:style w:type="paragraph" w:customStyle="1" w:styleId="LegalNumPar3">
    <w:name w:val="LegalNumPar3"/>
    <w:basedOn w:val="Normal"/>
    <w:rsid w:val="00B551B3"/>
    <w:pPr>
      <w:widowControl/>
      <w:numPr>
        <w:ilvl w:val="2"/>
        <w:numId w:val="16"/>
      </w:numPr>
      <w:tabs>
        <w:tab w:val="num" w:pos="1209"/>
      </w:tabs>
      <w:spacing w:before="120" w:after="120"/>
      <w:ind w:left="1209" w:hanging="360"/>
      <w:jc w:val="both"/>
    </w:pPr>
    <w:rPr>
      <w:rFonts w:eastAsia="Calibri"/>
      <w:szCs w:val="22"/>
      <w:lang w:eastAsia="en-US"/>
    </w:rPr>
  </w:style>
  <w:style w:type="character" w:customStyle="1" w:styleId="UnresolvedMention3">
    <w:name w:val="Unresolved Mention3"/>
    <w:basedOn w:val="DefaultParagraphFont"/>
    <w:uiPriority w:val="99"/>
    <w:semiHidden/>
    <w:unhideWhenUsed/>
    <w:rsid w:val="00B551B3"/>
    <w:rPr>
      <w:color w:val="605E5C"/>
      <w:shd w:val="clear" w:color="auto" w:fill="E1DFDD"/>
    </w:rPr>
  </w:style>
  <w:style w:type="paragraph" w:customStyle="1" w:styleId="title-gr-seq-level-1">
    <w:name w:val="title-gr-seq-level-1"/>
    <w:basedOn w:val="Normal"/>
    <w:rsid w:val="00B551B3"/>
    <w:pPr>
      <w:widowControl/>
      <w:spacing w:before="100" w:beforeAutospacing="1" w:after="100" w:afterAutospacing="1"/>
    </w:pPr>
    <w:rPr>
      <w:rFonts w:eastAsia="Calibri"/>
      <w:szCs w:val="22"/>
      <w:lang w:eastAsia="en-US"/>
    </w:rPr>
  </w:style>
  <w:style w:type="character" w:customStyle="1" w:styleId="boldface">
    <w:name w:val="boldface"/>
    <w:basedOn w:val="DefaultParagraphFont"/>
    <w:rsid w:val="00B551B3"/>
  </w:style>
  <w:style w:type="paragraph" w:customStyle="1" w:styleId="title-gr-seq-level-4">
    <w:name w:val="title-gr-seq-level-4"/>
    <w:basedOn w:val="Normal"/>
    <w:rsid w:val="00B551B3"/>
    <w:pPr>
      <w:widowControl/>
      <w:spacing w:before="100" w:beforeAutospacing="1" w:after="100" w:afterAutospacing="1"/>
    </w:pPr>
    <w:rPr>
      <w:rFonts w:eastAsia="Calibri"/>
      <w:szCs w:val="22"/>
      <w:lang w:eastAsia="en-US"/>
    </w:rPr>
  </w:style>
  <w:style w:type="paragraph" w:customStyle="1" w:styleId="norm">
    <w:name w:val="norm"/>
    <w:basedOn w:val="Normal"/>
    <w:rsid w:val="00B551B3"/>
    <w:pPr>
      <w:widowControl/>
      <w:spacing w:before="100" w:beforeAutospacing="1" w:after="100" w:afterAutospacing="1"/>
    </w:pPr>
    <w:rPr>
      <w:rFonts w:eastAsia="Calibri"/>
      <w:szCs w:val="22"/>
      <w:lang w:eastAsia="en-US"/>
    </w:rPr>
  </w:style>
  <w:style w:type="paragraph" w:customStyle="1" w:styleId="title-table">
    <w:name w:val="title-table"/>
    <w:basedOn w:val="Normal"/>
    <w:rsid w:val="00B551B3"/>
    <w:pPr>
      <w:widowControl/>
      <w:spacing w:before="100" w:beforeAutospacing="1" w:after="100" w:afterAutospacing="1"/>
    </w:pPr>
    <w:rPr>
      <w:rFonts w:eastAsia="Calibri"/>
      <w:szCs w:val="22"/>
      <w:lang w:eastAsia="en-US"/>
    </w:rPr>
  </w:style>
  <w:style w:type="character" w:customStyle="1" w:styleId="superscript">
    <w:name w:val="superscript"/>
    <w:basedOn w:val="DefaultParagraphFont"/>
    <w:rsid w:val="00B551B3"/>
  </w:style>
  <w:style w:type="paragraph" w:customStyle="1" w:styleId="tbl-norm">
    <w:name w:val="tbl-norm"/>
    <w:basedOn w:val="Normal"/>
    <w:rsid w:val="00B551B3"/>
    <w:pPr>
      <w:widowControl/>
      <w:spacing w:before="100" w:beforeAutospacing="1" w:after="100" w:afterAutospacing="1"/>
    </w:pPr>
    <w:rPr>
      <w:rFonts w:eastAsia="Calibri"/>
      <w:szCs w:val="22"/>
      <w:lang w:eastAsia="en-US"/>
    </w:rPr>
  </w:style>
  <w:style w:type="paragraph" w:customStyle="1" w:styleId="item-none">
    <w:name w:val="item-none"/>
    <w:basedOn w:val="Normal"/>
    <w:rsid w:val="00B551B3"/>
    <w:pPr>
      <w:widowControl/>
      <w:spacing w:before="100" w:beforeAutospacing="1" w:after="100" w:afterAutospacing="1"/>
    </w:pPr>
    <w:rPr>
      <w:rFonts w:eastAsia="Calibri"/>
      <w:szCs w:val="22"/>
      <w:lang w:eastAsia="en-US"/>
    </w:rPr>
  </w:style>
  <w:style w:type="paragraph" w:styleId="TOC4">
    <w:name w:val="toc 4"/>
    <w:basedOn w:val="Normal"/>
    <w:next w:val="Normal"/>
    <w:uiPriority w:val="39"/>
    <w:unhideWhenUsed/>
    <w:rsid w:val="00B551B3"/>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B551B3"/>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B551B3"/>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B551B3"/>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B551B3"/>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B551B3"/>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B551B3"/>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B551B3"/>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B551B3"/>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B551B3"/>
    <w:pPr>
      <w:widowControl/>
      <w:spacing w:after="120"/>
      <w:jc w:val="right"/>
    </w:pPr>
    <w:rPr>
      <w:rFonts w:eastAsia="Calibri"/>
      <w:sz w:val="28"/>
      <w:szCs w:val="22"/>
      <w:lang w:eastAsia="en-US"/>
    </w:rPr>
  </w:style>
  <w:style w:type="paragraph" w:customStyle="1" w:styleId="FooterSensitivity">
    <w:name w:val="Footer Sensitivity"/>
    <w:basedOn w:val="Normal"/>
    <w:rsid w:val="00B551B3"/>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B551B3"/>
    <w:pPr>
      <w:widowControl/>
      <w:spacing w:before="120" w:after="120"/>
      <w:ind w:left="850"/>
      <w:jc w:val="both"/>
    </w:pPr>
    <w:rPr>
      <w:rFonts w:eastAsia="Calibri"/>
      <w:szCs w:val="22"/>
      <w:lang w:eastAsia="en-US"/>
    </w:rPr>
  </w:style>
  <w:style w:type="paragraph" w:customStyle="1" w:styleId="Text2">
    <w:name w:val="Text 2"/>
    <w:basedOn w:val="Normal"/>
    <w:rsid w:val="00B551B3"/>
    <w:pPr>
      <w:widowControl/>
      <w:spacing w:before="120" w:after="120"/>
      <w:ind w:left="1417"/>
      <w:jc w:val="both"/>
    </w:pPr>
    <w:rPr>
      <w:rFonts w:eastAsia="Calibri"/>
      <w:szCs w:val="22"/>
      <w:lang w:eastAsia="en-US"/>
    </w:rPr>
  </w:style>
  <w:style w:type="paragraph" w:customStyle="1" w:styleId="Text3">
    <w:name w:val="Text 3"/>
    <w:basedOn w:val="Normal"/>
    <w:rsid w:val="00B551B3"/>
    <w:pPr>
      <w:widowControl/>
      <w:spacing w:before="120" w:after="120"/>
      <w:ind w:left="1984"/>
      <w:jc w:val="both"/>
    </w:pPr>
    <w:rPr>
      <w:rFonts w:eastAsia="Calibri"/>
      <w:szCs w:val="22"/>
      <w:lang w:eastAsia="en-US"/>
    </w:rPr>
  </w:style>
  <w:style w:type="paragraph" w:customStyle="1" w:styleId="Text4">
    <w:name w:val="Text 4"/>
    <w:basedOn w:val="Normal"/>
    <w:rsid w:val="00B551B3"/>
    <w:pPr>
      <w:widowControl/>
      <w:spacing w:before="120" w:after="120"/>
      <w:ind w:left="2551"/>
      <w:jc w:val="both"/>
    </w:pPr>
    <w:rPr>
      <w:rFonts w:eastAsia="Calibri"/>
      <w:szCs w:val="22"/>
      <w:lang w:eastAsia="en-US"/>
    </w:rPr>
  </w:style>
  <w:style w:type="paragraph" w:customStyle="1" w:styleId="Text5">
    <w:name w:val="Text 5"/>
    <w:basedOn w:val="Normal"/>
    <w:rsid w:val="00B551B3"/>
    <w:pPr>
      <w:widowControl/>
      <w:spacing w:before="120" w:after="120"/>
      <w:ind w:left="3118"/>
      <w:jc w:val="both"/>
    </w:pPr>
    <w:rPr>
      <w:rFonts w:eastAsia="Calibri"/>
      <w:szCs w:val="22"/>
      <w:lang w:eastAsia="en-US"/>
    </w:rPr>
  </w:style>
  <w:style w:type="paragraph" w:customStyle="1" w:styleId="Text6">
    <w:name w:val="Text 6"/>
    <w:basedOn w:val="Normal"/>
    <w:rsid w:val="00B551B3"/>
    <w:pPr>
      <w:widowControl/>
      <w:spacing w:before="120" w:after="120"/>
      <w:ind w:left="3685"/>
      <w:jc w:val="both"/>
    </w:pPr>
    <w:rPr>
      <w:rFonts w:eastAsia="Calibri"/>
      <w:szCs w:val="22"/>
      <w:lang w:eastAsia="en-US"/>
    </w:rPr>
  </w:style>
  <w:style w:type="paragraph" w:customStyle="1" w:styleId="NormalCentered">
    <w:name w:val="Normal Centered"/>
    <w:basedOn w:val="Normal"/>
    <w:rsid w:val="00B551B3"/>
    <w:pPr>
      <w:widowControl/>
      <w:spacing w:before="120" w:after="120"/>
      <w:jc w:val="center"/>
    </w:pPr>
    <w:rPr>
      <w:rFonts w:eastAsia="Calibri"/>
      <w:szCs w:val="22"/>
      <w:lang w:eastAsia="en-US"/>
    </w:rPr>
  </w:style>
  <w:style w:type="paragraph" w:customStyle="1" w:styleId="NormalLeft">
    <w:name w:val="Normal Left"/>
    <w:basedOn w:val="Normal"/>
    <w:rsid w:val="00B551B3"/>
    <w:pPr>
      <w:widowControl/>
      <w:spacing w:before="120" w:after="120"/>
    </w:pPr>
    <w:rPr>
      <w:rFonts w:eastAsia="Calibri"/>
      <w:szCs w:val="22"/>
      <w:lang w:eastAsia="en-US"/>
    </w:rPr>
  </w:style>
  <w:style w:type="paragraph" w:customStyle="1" w:styleId="NormalRight">
    <w:name w:val="Normal Right"/>
    <w:basedOn w:val="Normal"/>
    <w:rsid w:val="00B551B3"/>
    <w:pPr>
      <w:widowControl/>
      <w:spacing w:before="120" w:after="120"/>
      <w:jc w:val="right"/>
    </w:pPr>
    <w:rPr>
      <w:rFonts w:eastAsia="Calibri"/>
      <w:szCs w:val="22"/>
      <w:lang w:eastAsia="en-US"/>
    </w:rPr>
  </w:style>
  <w:style w:type="paragraph" w:customStyle="1" w:styleId="QuotedText">
    <w:name w:val="Quoted Text"/>
    <w:basedOn w:val="Normal"/>
    <w:rsid w:val="00B551B3"/>
    <w:pPr>
      <w:widowControl/>
      <w:spacing w:before="120" w:after="120"/>
      <w:ind w:left="1417"/>
      <w:jc w:val="both"/>
    </w:pPr>
    <w:rPr>
      <w:rFonts w:eastAsia="Calibri"/>
      <w:szCs w:val="22"/>
      <w:lang w:eastAsia="en-US"/>
    </w:rPr>
  </w:style>
  <w:style w:type="paragraph" w:customStyle="1" w:styleId="Point0">
    <w:name w:val="Point 0"/>
    <w:basedOn w:val="Normal"/>
    <w:rsid w:val="00B551B3"/>
    <w:pPr>
      <w:widowControl/>
      <w:spacing w:before="120" w:after="120"/>
      <w:ind w:left="850" w:hanging="850"/>
      <w:jc w:val="both"/>
    </w:pPr>
    <w:rPr>
      <w:rFonts w:eastAsia="Calibri"/>
      <w:szCs w:val="22"/>
      <w:lang w:eastAsia="en-US"/>
    </w:rPr>
  </w:style>
  <w:style w:type="paragraph" w:customStyle="1" w:styleId="Point1">
    <w:name w:val="Point 1"/>
    <w:basedOn w:val="Normal"/>
    <w:rsid w:val="00B551B3"/>
    <w:pPr>
      <w:widowControl/>
      <w:spacing w:before="120" w:after="120"/>
      <w:ind w:left="1417" w:hanging="567"/>
      <w:jc w:val="both"/>
    </w:pPr>
    <w:rPr>
      <w:rFonts w:eastAsia="Calibri"/>
      <w:szCs w:val="22"/>
      <w:lang w:eastAsia="en-US"/>
    </w:rPr>
  </w:style>
  <w:style w:type="paragraph" w:customStyle="1" w:styleId="Point2">
    <w:name w:val="Point 2"/>
    <w:basedOn w:val="Normal"/>
    <w:rsid w:val="00B551B3"/>
    <w:pPr>
      <w:widowControl/>
      <w:spacing w:before="120" w:after="120"/>
      <w:ind w:left="1984" w:hanging="567"/>
      <w:jc w:val="both"/>
    </w:pPr>
    <w:rPr>
      <w:rFonts w:eastAsia="Calibri"/>
      <w:szCs w:val="22"/>
      <w:lang w:eastAsia="en-US"/>
    </w:rPr>
  </w:style>
  <w:style w:type="paragraph" w:customStyle="1" w:styleId="Point3">
    <w:name w:val="Point 3"/>
    <w:basedOn w:val="Normal"/>
    <w:rsid w:val="00B551B3"/>
    <w:pPr>
      <w:widowControl/>
      <w:spacing w:before="120" w:after="120"/>
      <w:ind w:left="2551" w:hanging="567"/>
      <w:jc w:val="both"/>
    </w:pPr>
    <w:rPr>
      <w:rFonts w:eastAsia="Calibri"/>
      <w:szCs w:val="22"/>
      <w:lang w:eastAsia="en-US"/>
    </w:rPr>
  </w:style>
  <w:style w:type="paragraph" w:customStyle="1" w:styleId="Point4">
    <w:name w:val="Point 4"/>
    <w:basedOn w:val="Normal"/>
    <w:rsid w:val="00B551B3"/>
    <w:pPr>
      <w:widowControl/>
      <w:spacing w:before="120" w:after="120"/>
      <w:ind w:left="3118" w:hanging="567"/>
      <w:jc w:val="both"/>
    </w:pPr>
    <w:rPr>
      <w:rFonts w:eastAsia="Calibri"/>
      <w:szCs w:val="22"/>
      <w:lang w:eastAsia="en-US"/>
    </w:rPr>
  </w:style>
  <w:style w:type="paragraph" w:customStyle="1" w:styleId="Point5">
    <w:name w:val="Point 5"/>
    <w:basedOn w:val="Normal"/>
    <w:rsid w:val="00B551B3"/>
    <w:pPr>
      <w:widowControl/>
      <w:spacing w:before="120" w:after="120"/>
      <w:ind w:left="3685" w:hanging="567"/>
      <w:jc w:val="both"/>
    </w:pPr>
    <w:rPr>
      <w:rFonts w:eastAsia="Calibri"/>
      <w:szCs w:val="22"/>
      <w:lang w:eastAsia="en-US"/>
    </w:rPr>
  </w:style>
  <w:style w:type="paragraph" w:customStyle="1" w:styleId="Tiret0">
    <w:name w:val="Tiret 0"/>
    <w:basedOn w:val="Point0"/>
    <w:rsid w:val="00B551B3"/>
    <w:pPr>
      <w:numPr>
        <w:numId w:val="17"/>
      </w:numPr>
      <w:tabs>
        <w:tab w:val="clear" w:pos="850"/>
        <w:tab w:val="num" w:pos="1492"/>
      </w:tabs>
      <w:ind w:left="1492" w:hanging="360"/>
    </w:pPr>
  </w:style>
  <w:style w:type="paragraph" w:customStyle="1" w:styleId="Tiret1">
    <w:name w:val="Tiret 1"/>
    <w:basedOn w:val="Point1"/>
    <w:rsid w:val="00B551B3"/>
    <w:pPr>
      <w:numPr>
        <w:numId w:val="18"/>
      </w:numPr>
      <w:tabs>
        <w:tab w:val="clear" w:pos="1417"/>
        <w:tab w:val="num" w:pos="360"/>
      </w:tabs>
      <w:ind w:left="360" w:hanging="360"/>
    </w:pPr>
  </w:style>
  <w:style w:type="paragraph" w:customStyle="1" w:styleId="Tiret2">
    <w:name w:val="Tiret 2"/>
    <w:basedOn w:val="Point2"/>
    <w:rsid w:val="00B551B3"/>
    <w:pPr>
      <w:numPr>
        <w:numId w:val="19"/>
      </w:numPr>
      <w:tabs>
        <w:tab w:val="clear" w:pos="1984"/>
        <w:tab w:val="num" w:pos="643"/>
      </w:tabs>
      <w:ind w:left="643" w:hanging="360"/>
    </w:pPr>
  </w:style>
  <w:style w:type="paragraph" w:customStyle="1" w:styleId="Tiret3">
    <w:name w:val="Tiret 3"/>
    <w:basedOn w:val="Point3"/>
    <w:rsid w:val="00B551B3"/>
    <w:pPr>
      <w:numPr>
        <w:numId w:val="20"/>
      </w:numPr>
      <w:tabs>
        <w:tab w:val="clear" w:pos="2551"/>
        <w:tab w:val="num" w:pos="926"/>
      </w:tabs>
      <w:ind w:left="926" w:hanging="360"/>
    </w:pPr>
  </w:style>
  <w:style w:type="paragraph" w:customStyle="1" w:styleId="Tiret4">
    <w:name w:val="Tiret 4"/>
    <w:basedOn w:val="Point4"/>
    <w:rsid w:val="00B551B3"/>
    <w:pPr>
      <w:numPr>
        <w:numId w:val="21"/>
      </w:numPr>
      <w:tabs>
        <w:tab w:val="clear" w:pos="3118"/>
        <w:tab w:val="num" w:pos="1209"/>
      </w:tabs>
      <w:ind w:left="1209" w:hanging="360"/>
    </w:pPr>
  </w:style>
  <w:style w:type="paragraph" w:customStyle="1" w:styleId="Tiret5">
    <w:name w:val="Tiret 5"/>
    <w:basedOn w:val="Point5"/>
    <w:rsid w:val="00B551B3"/>
    <w:pPr>
      <w:numPr>
        <w:numId w:val="22"/>
      </w:numPr>
      <w:tabs>
        <w:tab w:val="clear" w:pos="3685"/>
        <w:tab w:val="num" w:pos="1492"/>
      </w:tabs>
      <w:ind w:left="1492" w:hanging="360"/>
    </w:pPr>
  </w:style>
  <w:style w:type="paragraph" w:customStyle="1" w:styleId="PointDouble0">
    <w:name w:val="PointDouble 0"/>
    <w:basedOn w:val="Normal"/>
    <w:rsid w:val="00B551B3"/>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B551B3"/>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B551B3"/>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B551B3"/>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B551B3"/>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B551B3"/>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B551B3"/>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B551B3"/>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B551B3"/>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B551B3"/>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B551B3"/>
    <w:pPr>
      <w:widowControl/>
      <w:numPr>
        <w:numId w:val="23"/>
      </w:numPr>
      <w:tabs>
        <w:tab w:val="clear" w:pos="850"/>
        <w:tab w:val="num" w:pos="360"/>
      </w:tabs>
      <w:spacing w:before="120" w:after="120"/>
      <w:ind w:left="360" w:hanging="360"/>
      <w:jc w:val="both"/>
    </w:pPr>
    <w:rPr>
      <w:rFonts w:eastAsia="Calibri"/>
      <w:szCs w:val="22"/>
      <w:lang w:eastAsia="en-US"/>
    </w:rPr>
  </w:style>
  <w:style w:type="paragraph" w:customStyle="1" w:styleId="NumPar2">
    <w:name w:val="NumPar 2"/>
    <w:basedOn w:val="Normal"/>
    <w:next w:val="Text1"/>
    <w:rsid w:val="00B551B3"/>
    <w:pPr>
      <w:widowControl/>
      <w:numPr>
        <w:ilvl w:val="1"/>
        <w:numId w:val="23"/>
      </w:numPr>
      <w:tabs>
        <w:tab w:val="clear" w:pos="850"/>
        <w:tab w:val="num" w:pos="360"/>
      </w:tabs>
      <w:spacing w:before="120" w:after="120"/>
      <w:ind w:left="360" w:hanging="360"/>
      <w:jc w:val="both"/>
    </w:pPr>
    <w:rPr>
      <w:rFonts w:eastAsia="Calibri"/>
      <w:szCs w:val="22"/>
      <w:lang w:eastAsia="en-US"/>
    </w:rPr>
  </w:style>
  <w:style w:type="paragraph" w:customStyle="1" w:styleId="NumPar3">
    <w:name w:val="NumPar 3"/>
    <w:basedOn w:val="Normal"/>
    <w:next w:val="Text1"/>
    <w:rsid w:val="00B551B3"/>
    <w:pPr>
      <w:widowControl/>
      <w:numPr>
        <w:ilvl w:val="2"/>
        <w:numId w:val="23"/>
      </w:numPr>
      <w:tabs>
        <w:tab w:val="clear" w:pos="850"/>
        <w:tab w:val="num" w:pos="360"/>
      </w:tabs>
      <w:spacing w:before="120" w:after="120"/>
      <w:ind w:left="360" w:hanging="360"/>
      <w:jc w:val="both"/>
    </w:pPr>
    <w:rPr>
      <w:rFonts w:eastAsia="Calibri"/>
      <w:szCs w:val="22"/>
      <w:lang w:eastAsia="en-US"/>
    </w:rPr>
  </w:style>
  <w:style w:type="paragraph" w:customStyle="1" w:styleId="NumPar4">
    <w:name w:val="NumPar 4"/>
    <w:basedOn w:val="Normal"/>
    <w:next w:val="Text1"/>
    <w:rsid w:val="00B551B3"/>
    <w:pPr>
      <w:widowControl/>
      <w:numPr>
        <w:ilvl w:val="3"/>
        <w:numId w:val="23"/>
      </w:numPr>
      <w:tabs>
        <w:tab w:val="clear" w:pos="850"/>
        <w:tab w:val="num" w:pos="360"/>
      </w:tabs>
      <w:spacing w:before="120" w:after="120"/>
      <w:ind w:left="360" w:hanging="360"/>
      <w:jc w:val="both"/>
    </w:pPr>
    <w:rPr>
      <w:rFonts w:eastAsia="Calibri"/>
      <w:szCs w:val="22"/>
      <w:lang w:eastAsia="en-US"/>
    </w:rPr>
  </w:style>
  <w:style w:type="paragraph" w:customStyle="1" w:styleId="NumPar5">
    <w:name w:val="NumPar 5"/>
    <w:basedOn w:val="Normal"/>
    <w:next w:val="Text2"/>
    <w:rsid w:val="00B551B3"/>
    <w:pPr>
      <w:widowControl/>
      <w:numPr>
        <w:ilvl w:val="4"/>
        <w:numId w:val="23"/>
      </w:numPr>
      <w:tabs>
        <w:tab w:val="clear" w:pos="1417"/>
        <w:tab w:val="num" w:pos="360"/>
      </w:tabs>
      <w:spacing w:before="120" w:after="120"/>
      <w:ind w:left="360" w:hanging="360"/>
      <w:jc w:val="both"/>
    </w:pPr>
    <w:rPr>
      <w:rFonts w:eastAsia="Calibri"/>
      <w:szCs w:val="22"/>
      <w:lang w:eastAsia="en-US"/>
    </w:rPr>
  </w:style>
  <w:style w:type="paragraph" w:customStyle="1" w:styleId="NumPar6">
    <w:name w:val="NumPar 6"/>
    <w:basedOn w:val="Normal"/>
    <w:next w:val="Text2"/>
    <w:rsid w:val="00B551B3"/>
    <w:pPr>
      <w:widowControl/>
      <w:numPr>
        <w:ilvl w:val="5"/>
        <w:numId w:val="23"/>
      </w:numPr>
      <w:tabs>
        <w:tab w:val="clear" w:pos="1417"/>
        <w:tab w:val="num" w:pos="360"/>
      </w:tabs>
      <w:spacing w:before="120" w:after="120"/>
      <w:ind w:left="360" w:hanging="360"/>
      <w:jc w:val="both"/>
    </w:pPr>
    <w:rPr>
      <w:rFonts w:eastAsia="Calibri"/>
      <w:szCs w:val="22"/>
      <w:lang w:eastAsia="en-US"/>
    </w:rPr>
  </w:style>
  <w:style w:type="paragraph" w:customStyle="1" w:styleId="NumPar7">
    <w:name w:val="NumPar 7"/>
    <w:basedOn w:val="Normal"/>
    <w:next w:val="Text2"/>
    <w:rsid w:val="00B551B3"/>
    <w:pPr>
      <w:widowControl/>
      <w:numPr>
        <w:ilvl w:val="6"/>
        <w:numId w:val="23"/>
      </w:numPr>
      <w:tabs>
        <w:tab w:val="clear" w:pos="1417"/>
        <w:tab w:val="num" w:pos="360"/>
      </w:tabs>
      <w:spacing w:before="120" w:after="120"/>
      <w:ind w:left="360" w:hanging="360"/>
      <w:jc w:val="both"/>
    </w:pPr>
    <w:rPr>
      <w:rFonts w:eastAsia="Calibri"/>
      <w:szCs w:val="22"/>
      <w:lang w:eastAsia="en-US"/>
    </w:rPr>
  </w:style>
  <w:style w:type="paragraph" w:customStyle="1" w:styleId="ManualNumPar1">
    <w:name w:val="Manual NumPar 1"/>
    <w:basedOn w:val="Normal"/>
    <w:next w:val="Text1"/>
    <w:rsid w:val="00B551B3"/>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B551B3"/>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B551B3"/>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B551B3"/>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B551B3"/>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B551B3"/>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B551B3"/>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B551B3"/>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B551B3"/>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B551B3"/>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B551B3"/>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B551B3"/>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B551B3"/>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B551B3"/>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B551B3"/>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B551B3"/>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B551B3"/>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B551B3"/>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B551B3"/>
    <w:pPr>
      <w:widowControl/>
      <w:spacing w:before="120" w:after="120"/>
      <w:jc w:val="center"/>
    </w:pPr>
    <w:rPr>
      <w:rFonts w:eastAsia="Calibri"/>
      <w:b/>
      <w:szCs w:val="22"/>
      <w:lang w:eastAsia="en-US"/>
    </w:rPr>
  </w:style>
  <w:style w:type="character" w:customStyle="1" w:styleId="Marker">
    <w:name w:val="Marker"/>
    <w:basedOn w:val="DefaultParagraphFont"/>
    <w:rsid w:val="00B551B3"/>
    <w:rPr>
      <w:color w:val="0000FF"/>
      <w:shd w:val="clear" w:color="auto" w:fill="auto"/>
    </w:rPr>
  </w:style>
  <w:style w:type="character" w:customStyle="1" w:styleId="Marker1">
    <w:name w:val="Marker1"/>
    <w:basedOn w:val="DefaultParagraphFont"/>
    <w:rsid w:val="00B551B3"/>
    <w:rPr>
      <w:color w:val="008000"/>
      <w:shd w:val="clear" w:color="auto" w:fill="auto"/>
    </w:rPr>
  </w:style>
  <w:style w:type="character" w:customStyle="1" w:styleId="Marker2">
    <w:name w:val="Marker2"/>
    <w:basedOn w:val="DefaultParagraphFont"/>
    <w:rsid w:val="00B551B3"/>
    <w:rPr>
      <w:color w:val="FF0000"/>
      <w:shd w:val="clear" w:color="auto" w:fill="auto"/>
    </w:rPr>
  </w:style>
  <w:style w:type="paragraph" w:customStyle="1" w:styleId="Bullet0">
    <w:name w:val="Bullet 0"/>
    <w:basedOn w:val="Normal"/>
    <w:rsid w:val="00B551B3"/>
    <w:pPr>
      <w:widowControl/>
      <w:numPr>
        <w:numId w:val="24"/>
      </w:numPr>
      <w:tabs>
        <w:tab w:val="clear" w:pos="850"/>
        <w:tab w:val="num" w:pos="1209"/>
      </w:tabs>
      <w:spacing w:before="120" w:after="120"/>
      <w:ind w:left="1209" w:hanging="360"/>
      <w:jc w:val="both"/>
    </w:pPr>
    <w:rPr>
      <w:rFonts w:eastAsia="Calibri"/>
      <w:szCs w:val="22"/>
      <w:lang w:eastAsia="en-US"/>
    </w:rPr>
  </w:style>
  <w:style w:type="paragraph" w:customStyle="1" w:styleId="Bullet1">
    <w:name w:val="Bullet 1"/>
    <w:basedOn w:val="Normal"/>
    <w:rsid w:val="00B551B3"/>
    <w:pPr>
      <w:widowControl/>
      <w:numPr>
        <w:numId w:val="25"/>
      </w:numPr>
      <w:tabs>
        <w:tab w:val="clear" w:pos="1417"/>
        <w:tab w:val="num" w:pos="1492"/>
      </w:tabs>
      <w:spacing w:before="120" w:after="120"/>
      <w:ind w:left="1492" w:hanging="360"/>
      <w:jc w:val="both"/>
    </w:pPr>
    <w:rPr>
      <w:rFonts w:eastAsia="Calibri"/>
      <w:szCs w:val="22"/>
      <w:lang w:eastAsia="en-US"/>
    </w:rPr>
  </w:style>
  <w:style w:type="paragraph" w:customStyle="1" w:styleId="Bullet2">
    <w:name w:val="Bullet 2"/>
    <w:basedOn w:val="Normal"/>
    <w:rsid w:val="00B551B3"/>
    <w:pPr>
      <w:widowControl/>
      <w:numPr>
        <w:numId w:val="26"/>
      </w:numPr>
      <w:tabs>
        <w:tab w:val="clear" w:pos="1984"/>
        <w:tab w:val="num" w:pos="360"/>
      </w:tabs>
      <w:spacing w:before="120" w:after="120"/>
      <w:ind w:left="360" w:hanging="360"/>
      <w:jc w:val="both"/>
    </w:pPr>
    <w:rPr>
      <w:rFonts w:eastAsia="Calibri"/>
      <w:szCs w:val="22"/>
      <w:lang w:eastAsia="en-US"/>
    </w:rPr>
  </w:style>
  <w:style w:type="paragraph" w:customStyle="1" w:styleId="Bullet3">
    <w:name w:val="Bullet 3"/>
    <w:basedOn w:val="Normal"/>
    <w:rsid w:val="00B551B3"/>
    <w:pPr>
      <w:widowControl/>
      <w:numPr>
        <w:numId w:val="27"/>
      </w:numPr>
      <w:tabs>
        <w:tab w:val="clear" w:pos="2551"/>
        <w:tab w:val="num" w:pos="643"/>
      </w:tabs>
      <w:spacing w:before="120" w:after="120"/>
      <w:ind w:left="643" w:hanging="360"/>
      <w:jc w:val="both"/>
    </w:pPr>
    <w:rPr>
      <w:rFonts w:eastAsia="Calibri"/>
      <w:szCs w:val="22"/>
      <w:lang w:eastAsia="en-US"/>
    </w:rPr>
  </w:style>
  <w:style w:type="paragraph" w:customStyle="1" w:styleId="Bullet4">
    <w:name w:val="Bullet 4"/>
    <w:basedOn w:val="Normal"/>
    <w:rsid w:val="00B551B3"/>
    <w:pPr>
      <w:widowControl/>
      <w:numPr>
        <w:numId w:val="28"/>
      </w:numPr>
      <w:tabs>
        <w:tab w:val="clear" w:pos="3118"/>
        <w:tab w:val="num" w:pos="926"/>
      </w:tabs>
      <w:spacing w:before="120" w:after="120"/>
      <w:ind w:left="926" w:hanging="360"/>
      <w:jc w:val="both"/>
    </w:pPr>
    <w:rPr>
      <w:rFonts w:eastAsia="Calibri"/>
      <w:szCs w:val="22"/>
      <w:lang w:eastAsia="en-US"/>
    </w:rPr>
  </w:style>
  <w:style w:type="paragraph" w:customStyle="1" w:styleId="Langue">
    <w:name w:val="Langue"/>
    <w:basedOn w:val="Normal"/>
    <w:next w:val="Rfrenceinterne"/>
    <w:rsid w:val="00B551B3"/>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B551B3"/>
    <w:pPr>
      <w:widowControl/>
    </w:pPr>
    <w:rPr>
      <w:rFonts w:ascii="Arial" w:eastAsia="Calibri" w:hAnsi="Arial" w:cs="Arial"/>
      <w:szCs w:val="22"/>
      <w:lang w:eastAsia="en-US"/>
    </w:rPr>
  </w:style>
  <w:style w:type="paragraph" w:customStyle="1" w:styleId="Emission">
    <w:name w:val="Emission"/>
    <w:basedOn w:val="Normal"/>
    <w:next w:val="Rfrenceinstitutionnelle"/>
    <w:rsid w:val="00B551B3"/>
    <w:pPr>
      <w:widowControl/>
      <w:ind w:left="5103"/>
    </w:pPr>
    <w:rPr>
      <w:rFonts w:eastAsia="Calibri"/>
      <w:szCs w:val="22"/>
      <w:lang w:eastAsia="en-US"/>
    </w:rPr>
  </w:style>
  <w:style w:type="paragraph" w:customStyle="1" w:styleId="Pagedecouverture">
    <w:name w:val="Page de couverture"/>
    <w:basedOn w:val="Normal"/>
    <w:next w:val="Normal"/>
    <w:rsid w:val="00B551B3"/>
    <w:pPr>
      <w:widowControl/>
      <w:jc w:val="both"/>
    </w:pPr>
    <w:rPr>
      <w:rFonts w:eastAsia="Calibri"/>
      <w:szCs w:val="22"/>
      <w:lang w:eastAsia="en-US"/>
    </w:rPr>
  </w:style>
  <w:style w:type="paragraph" w:customStyle="1" w:styleId="Declassification">
    <w:name w:val="Declassification"/>
    <w:basedOn w:val="Normal"/>
    <w:next w:val="Normal"/>
    <w:rsid w:val="00B551B3"/>
    <w:pPr>
      <w:widowControl/>
      <w:jc w:val="both"/>
    </w:pPr>
    <w:rPr>
      <w:rFonts w:eastAsia="Calibri"/>
      <w:szCs w:val="22"/>
      <w:lang w:eastAsia="en-US"/>
    </w:rPr>
  </w:style>
  <w:style w:type="paragraph" w:customStyle="1" w:styleId="Disclaimer">
    <w:name w:val="Disclaimer"/>
    <w:basedOn w:val="Normal"/>
    <w:rsid w:val="00B551B3"/>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B551B3"/>
    <w:pPr>
      <w:widowControl/>
      <w:spacing w:line="276" w:lineRule="auto"/>
      <w:ind w:left="5103"/>
    </w:pPr>
    <w:rPr>
      <w:rFonts w:eastAsia="Calibri"/>
      <w:sz w:val="28"/>
      <w:szCs w:val="22"/>
      <w:lang w:eastAsia="en-US"/>
    </w:rPr>
  </w:style>
  <w:style w:type="paragraph" w:customStyle="1" w:styleId="DateMarking">
    <w:name w:val="DateMarking"/>
    <w:basedOn w:val="Normal"/>
    <w:rsid w:val="00B551B3"/>
    <w:pPr>
      <w:widowControl/>
      <w:spacing w:line="276" w:lineRule="auto"/>
      <w:ind w:left="5103"/>
    </w:pPr>
    <w:rPr>
      <w:rFonts w:eastAsia="Calibri"/>
      <w:i/>
      <w:sz w:val="28"/>
      <w:szCs w:val="22"/>
      <w:lang w:eastAsia="en-US"/>
    </w:rPr>
  </w:style>
  <w:style w:type="paragraph" w:customStyle="1" w:styleId="ReleasableTo">
    <w:name w:val="ReleasableTo"/>
    <w:basedOn w:val="Normal"/>
    <w:rsid w:val="00B551B3"/>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B551B3"/>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B551B3"/>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B551B3"/>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B551B3"/>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B551B3"/>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B551B3"/>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B551B3"/>
    <w:pPr>
      <w:widowControl/>
      <w:spacing w:after="240"/>
    </w:pPr>
    <w:rPr>
      <w:rFonts w:eastAsia="Calibri"/>
      <w:szCs w:val="22"/>
      <w:lang w:eastAsia="en-US"/>
    </w:rPr>
  </w:style>
  <w:style w:type="paragraph" w:customStyle="1" w:styleId="Datedadoption">
    <w:name w:val="Date d'adoption"/>
    <w:basedOn w:val="Normal"/>
    <w:next w:val="IntrtEEE"/>
    <w:rsid w:val="00B551B3"/>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B551B3"/>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B551B3"/>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B551B3"/>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B551B3"/>
    <w:pPr>
      <w:widowControl/>
      <w:ind w:left="5103"/>
    </w:pPr>
    <w:rPr>
      <w:rFonts w:eastAsia="Calibri"/>
      <w:szCs w:val="22"/>
      <w:lang w:eastAsia="en-US"/>
    </w:rPr>
  </w:style>
  <w:style w:type="paragraph" w:customStyle="1" w:styleId="Rfrenceinterne">
    <w:name w:val="Référence interne"/>
    <w:basedOn w:val="Normal"/>
    <w:next w:val="Rfrenceinterinstitutionnelle"/>
    <w:rsid w:val="00B551B3"/>
    <w:pPr>
      <w:widowControl/>
      <w:ind w:left="5103"/>
    </w:pPr>
    <w:rPr>
      <w:rFonts w:eastAsia="Calibri"/>
      <w:szCs w:val="22"/>
      <w:lang w:eastAsia="en-US"/>
    </w:rPr>
  </w:style>
  <w:style w:type="paragraph" w:customStyle="1" w:styleId="Titrearticle">
    <w:name w:val="Titre article"/>
    <w:basedOn w:val="Normal"/>
    <w:next w:val="Normal"/>
    <w:rsid w:val="00B551B3"/>
    <w:pPr>
      <w:keepNext/>
      <w:widowControl/>
      <w:spacing w:before="360" w:after="120"/>
      <w:jc w:val="center"/>
    </w:pPr>
    <w:rPr>
      <w:rFonts w:eastAsia="Calibri"/>
      <w:i/>
      <w:szCs w:val="22"/>
      <w:lang w:eastAsia="en-US"/>
    </w:rPr>
  </w:style>
  <w:style w:type="character" w:customStyle="1" w:styleId="Added">
    <w:name w:val="Added"/>
    <w:basedOn w:val="DefaultParagraphFont"/>
    <w:rsid w:val="00B551B3"/>
    <w:rPr>
      <w:b/>
      <w:u w:val="single"/>
      <w:shd w:val="clear" w:color="auto" w:fill="auto"/>
    </w:rPr>
  </w:style>
  <w:style w:type="character" w:customStyle="1" w:styleId="Deleted">
    <w:name w:val="Deleted"/>
    <w:basedOn w:val="DefaultParagraphFont"/>
    <w:rsid w:val="00B551B3"/>
    <w:rPr>
      <w:strike/>
      <w:dstrike w:val="0"/>
      <w:shd w:val="clear" w:color="auto" w:fill="auto"/>
    </w:rPr>
  </w:style>
  <w:style w:type="paragraph" w:customStyle="1" w:styleId="Address">
    <w:name w:val="Address"/>
    <w:basedOn w:val="Normal"/>
    <w:next w:val="Normal"/>
    <w:rsid w:val="00B551B3"/>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B551B3"/>
    <w:pPr>
      <w:widowControl/>
      <w:spacing w:before="120" w:after="120"/>
      <w:jc w:val="both"/>
    </w:pPr>
    <w:rPr>
      <w:rFonts w:eastAsia="Calibri"/>
      <w:i/>
      <w:caps/>
      <w:szCs w:val="22"/>
      <w:lang w:eastAsia="en-US"/>
    </w:rPr>
  </w:style>
  <w:style w:type="paragraph" w:customStyle="1" w:styleId="Supertitre">
    <w:name w:val="Supertitre"/>
    <w:basedOn w:val="Normal"/>
    <w:next w:val="Normal"/>
    <w:rsid w:val="00B551B3"/>
    <w:pPr>
      <w:widowControl/>
      <w:spacing w:after="600"/>
      <w:jc w:val="center"/>
    </w:pPr>
    <w:rPr>
      <w:rFonts w:eastAsia="Calibri"/>
      <w:b/>
      <w:szCs w:val="22"/>
      <w:lang w:eastAsia="en-US"/>
    </w:rPr>
  </w:style>
  <w:style w:type="paragraph" w:customStyle="1" w:styleId="Languesfaisantfoi">
    <w:name w:val="Langues faisant foi"/>
    <w:basedOn w:val="Normal"/>
    <w:next w:val="Normal"/>
    <w:rsid w:val="00B551B3"/>
    <w:pPr>
      <w:widowControl/>
      <w:spacing w:before="360"/>
      <w:jc w:val="center"/>
    </w:pPr>
    <w:rPr>
      <w:rFonts w:eastAsia="Calibri"/>
      <w:szCs w:val="22"/>
      <w:lang w:eastAsia="en-US"/>
    </w:rPr>
  </w:style>
  <w:style w:type="paragraph" w:customStyle="1" w:styleId="Rfrencecroise">
    <w:name w:val="Référence croisée"/>
    <w:basedOn w:val="Normal"/>
    <w:rsid w:val="00B551B3"/>
    <w:pPr>
      <w:widowControl/>
      <w:jc w:val="center"/>
    </w:pPr>
    <w:rPr>
      <w:rFonts w:eastAsia="Calibri"/>
      <w:szCs w:val="22"/>
      <w:lang w:eastAsia="en-US"/>
    </w:rPr>
  </w:style>
  <w:style w:type="paragraph" w:customStyle="1" w:styleId="Fichefinanciretitre">
    <w:name w:val="Fiche financière titre"/>
    <w:basedOn w:val="Normal"/>
    <w:next w:val="Normal"/>
    <w:rsid w:val="00B551B3"/>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B551B3"/>
  </w:style>
  <w:style w:type="paragraph" w:customStyle="1" w:styleId="RfrenceinterinstitutionnellePagedecouverture">
    <w:name w:val="Référence interinstitutionnelle (Page de couverture)"/>
    <w:basedOn w:val="Rfrenceinterinstitutionnelle"/>
    <w:next w:val="Confidentialit"/>
    <w:rsid w:val="00B551B3"/>
  </w:style>
  <w:style w:type="paragraph" w:customStyle="1" w:styleId="StatutPagedecouverture">
    <w:name w:val="Statut (Page de couverture)"/>
    <w:basedOn w:val="Statut"/>
    <w:next w:val="TypedudocumentPagedecouverture"/>
    <w:rsid w:val="00B551B3"/>
    <w:pPr>
      <w:spacing w:before="0" w:after="240" w:line="240" w:lineRule="auto"/>
    </w:pPr>
    <w:rPr>
      <w:rFonts w:eastAsia="Calibri"/>
      <w:szCs w:val="22"/>
      <w:lang w:val="da-DK"/>
    </w:rPr>
  </w:style>
  <w:style w:type="paragraph" w:customStyle="1" w:styleId="TypedudocumentPagedecouverture">
    <w:name w:val="Type du document (Page de couverture)"/>
    <w:basedOn w:val="Typedudocument"/>
    <w:next w:val="AccompagnantPagedecouverture"/>
    <w:rsid w:val="00B551B3"/>
    <w:pPr>
      <w:spacing w:after="180" w:line="240" w:lineRule="auto"/>
    </w:pPr>
    <w:rPr>
      <w:rFonts w:eastAsia="Calibri"/>
      <w:szCs w:val="22"/>
      <w:lang w:val="da-DK"/>
    </w:rPr>
  </w:style>
  <w:style w:type="paragraph" w:customStyle="1" w:styleId="Volume">
    <w:name w:val="Volume"/>
    <w:basedOn w:val="Normal"/>
    <w:next w:val="Confidentialit"/>
    <w:rsid w:val="00B551B3"/>
    <w:pPr>
      <w:widowControl/>
      <w:spacing w:after="240"/>
      <w:ind w:left="5103"/>
    </w:pPr>
    <w:rPr>
      <w:rFonts w:eastAsia="Calibri"/>
      <w:szCs w:val="22"/>
      <w:lang w:eastAsia="en-US"/>
    </w:rPr>
  </w:style>
  <w:style w:type="paragraph" w:customStyle="1" w:styleId="Accompagnant">
    <w:name w:val="Accompagnant"/>
    <w:basedOn w:val="Normal"/>
    <w:next w:val="Typeacteprincipal"/>
    <w:rsid w:val="00B551B3"/>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B551B3"/>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B551B3"/>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B551B3"/>
    <w:pPr>
      <w:spacing w:line="240" w:lineRule="auto"/>
    </w:pPr>
    <w:rPr>
      <w:rFonts w:eastAsia="Calibri"/>
      <w:szCs w:val="22"/>
      <w:lang w:val="da-DK"/>
    </w:rPr>
  </w:style>
  <w:style w:type="paragraph" w:customStyle="1" w:styleId="AccompagnantPagedecouverture">
    <w:name w:val="Accompagnant (Page de couverture)"/>
    <w:basedOn w:val="Accompagnant"/>
    <w:next w:val="TypeacteprincipalPagedecouverture"/>
    <w:rsid w:val="00B551B3"/>
  </w:style>
  <w:style w:type="paragraph" w:customStyle="1" w:styleId="TypeacteprincipalPagedecouverture">
    <w:name w:val="Type acte principal (Page de couverture)"/>
    <w:basedOn w:val="Typeacteprincipal"/>
    <w:next w:val="ObjetacteprincipalPagedecouverture"/>
    <w:rsid w:val="00B551B3"/>
  </w:style>
  <w:style w:type="paragraph" w:customStyle="1" w:styleId="ObjetacteprincipalPagedecouverture">
    <w:name w:val="Objet acte principal (Page de couverture)"/>
    <w:basedOn w:val="Objetacteprincipal"/>
    <w:next w:val="Rfrencecroise"/>
    <w:rsid w:val="00B551B3"/>
  </w:style>
  <w:style w:type="paragraph" w:customStyle="1" w:styleId="LanguesfaisantfoiPagedecouverture">
    <w:name w:val="Langues faisant foi (Page de couverture)"/>
    <w:basedOn w:val="Normal"/>
    <w:next w:val="Normal"/>
    <w:rsid w:val="00B551B3"/>
    <w:pPr>
      <w:widowControl/>
      <w:spacing w:before="360"/>
      <w:jc w:val="center"/>
    </w:pPr>
    <w:rPr>
      <w:rFonts w:eastAsia="Calibri"/>
      <w:szCs w:val="22"/>
      <w:lang w:eastAsia="en-US"/>
    </w:rPr>
  </w:style>
  <w:style w:type="table" w:styleId="PlainTable1">
    <w:name w:val="Plain Table 1"/>
    <w:basedOn w:val="TableNormal"/>
    <w:uiPriority w:val="41"/>
    <w:rsid w:val="00B551B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B551B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B551B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E2C85-C941-4967-A510-B6CCB6D04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174</Pages>
  <Words>26944</Words>
  <Characters>171257</Characters>
  <Application>Microsoft Office Word</Application>
  <DocSecurity>0</DocSecurity>
  <Lines>1427</Lines>
  <Paragraphs>395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LUKSITE Marija</cp:lastModifiedBy>
  <cp:revision>2</cp:revision>
  <cp:lastPrinted>2004-11-19T15:42:00Z</cp:lastPrinted>
  <dcterms:created xsi:type="dcterms:W3CDTF">2024-10-17T08:38:00Z</dcterms:created>
  <dcterms:modified xsi:type="dcterms:W3CDTF">2024-10-17T08:38:00Z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P9_TA(2024)0358_</vt:lpwstr>
  </property>
  <property fmtid="{D5CDD505-2E9C-101B-9397-08002B2CF9AE}" pid="4" name="&lt;Type&gt;">
    <vt:lpwstr>RR</vt:lpwstr>
  </property>
</Properties>
</file>