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2133" w14:paraId="0155EC1F" w14:textId="77777777" w:rsidTr="0010095E">
        <w:trPr>
          <w:trHeight w:hRule="exact" w:val="1418"/>
        </w:trPr>
        <w:tc>
          <w:tcPr>
            <w:tcW w:w="6804" w:type="dxa"/>
            <w:shd w:val="clear" w:color="auto" w:fill="auto"/>
            <w:vAlign w:val="center"/>
          </w:tcPr>
          <w:p w14:paraId="5D020C07" w14:textId="77777777" w:rsidR="00751A4A" w:rsidRPr="00CB2133" w:rsidRDefault="00420EAC" w:rsidP="0010095E">
            <w:pPr>
              <w:pStyle w:val="EPName"/>
            </w:pPr>
            <w:r w:rsidRPr="00CB2133">
              <w:t>Euroopa Parlament</w:t>
            </w:r>
          </w:p>
          <w:p w14:paraId="329461B4" w14:textId="77777777" w:rsidR="00751A4A" w:rsidRPr="00CB2133" w:rsidRDefault="00817416" w:rsidP="00756632">
            <w:pPr>
              <w:pStyle w:val="EPTerm"/>
              <w:rPr>
                <w:rStyle w:val="HideTWBExt"/>
                <w:noProof w:val="0"/>
                <w:vanish w:val="0"/>
                <w:color w:val="auto"/>
              </w:rPr>
            </w:pPr>
            <w:r w:rsidRPr="00CB2133">
              <w:t>2019-2024</w:t>
            </w:r>
          </w:p>
        </w:tc>
        <w:tc>
          <w:tcPr>
            <w:tcW w:w="2268" w:type="dxa"/>
            <w:shd w:val="clear" w:color="auto" w:fill="auto"/>
          </w:tcPr>
          <w:p w14:paraId="01750538" w14:textId="77777777" w:rsidR="00751A4A" w:rsidRPr="00CB2133" w:rsidRDefault="00187494" w:rsidP="0010095E">
            <w:pPr>
              <w:pStyle w:val="EPLogo"/>
            </w:pPr>
            <w:r w:rsidRPr="00CB2133">
              <w:rPr>
                <w:noProof/>
                <w:lang w:val="pl-PL" w:eastAsia="pl-PL"/>
              </w:rPr>
              <w:drawing>
                <wp:inline distT="0" distB="0" distL="0" distR="0" wp14:anchorId="4ECE952D" wp14:editId="663DC3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500C45" w14:textId="77777777" w:rsidR="00D058B8" w:rsidRPr="00CB2133" w:rsidRDefault="00D058B8" w:rsidP="004C5D52">
      <w:pPr>
        <w:pStyle w:val="LineTop"/>
      </w:pPr>
    </w:p>
    <w:p w14:paraId="11F3A273" w14:textId="77777777" w:rsidR="00680577" w:rsidRPr="00CB2133" w:rsidRDefault="00420EAC" w:rsidP="00680577">
      <w:pPr>
        <w:pStyle w:val="EPBodyTA1"/>
      </w:pPr>
      <w:r w:rsidRPr="00CB2133">
        <w:t>VASTUVÕETUD TEKSTID</w:t>
      </w:r>
    </w:p>
    <w:p w14:paraId="4AABC5CE" w14:textId="77777777" w:rsidR="00D058B8" w:rsidRPr="00CB2133" w:rsidRDefault="00D058B8" w:rsidP="00D058B8">
      <w:pPr>
        <w:pStyle w:val="LineBottom"/>
      </w:pPr>
    </w:p>
    <w:p w14:paraId="3AD05A3C" w14:textId="0149460D" w:rsidR="00420EAC" w:rsidRPr="00CB2133" w:rsidRDefault="00420EAC" w:rsidP="00420EAC">
      <w:pPr>
        <w:pStyle w:val="ATHeading1"/>
      </w:pPr>
      <w:bookmarkStart w:id="0" w:name="TANumber"/>
      <w:r w:rsidRPr="00CB2133">
        <w:t>P9_TA(2024)0</w:t>
      </w:r>
      <w:r w:rsidR="001B3D34" w:rsidRPr="00CB2133">
        <w:t>358</w:t>
      </w:r>
      <w:bookmarkEnd w:id="0"/>
    </w:p>
    <w:p w14:paraId="662286F0" w14:textId="77777777" w:rsidR="00420EAC" w:rsidRPr="00CB2133" w:rsidRDefault="00420EAC" w:rsidP="00420EAC">
      <w:pPr>
        <w:pStyle w:val="ATHeading2"/>
      </w:pPr>
      <w:bookmarkStart w:id="1" w:name="title"/>
      <w:r w:rsidRPr="00CB2133">
        <w:t>Pinna- ja põhjavee saasteained</w:t>
      </w:r>
      <w:bookmarkEnd w:id="1"/>
    </w:p>
    <w:p w14:paraId="559F888B" w14:textId="77777777" w:rsidR="00420EAC" w:rsidRPr="00CB2133" w:rsidRDefault="00420EAC" w:rsidP="00420EAC">
      <w:pPr>
        <w:rPr>
          <w:i/>
          <w:vanish/>
        </w:rPr>
      </w:pPr>
      <w:r w:rsidRPr="00CB2133">
        <w:rPr>
          <w:i/>
        </w:rPr>
        <w:fldChar w:fldCharType="begin"/>
      </w:r>
      <w:r w:rsidRPr="00CB2133">
        <w:rPr>
          <w:i/>
        </w:rPr>
        <w:instrText xml:space="preserve"> TC"(</w:instrText>
      </w:r>
      <w:bookmarkStart w:id="2" w:name="DocNumber"/>
      <w:r w:rsidRPr="00CB2133">
        <w:rPr>
          <w:i/>
        </w:rPr>
        <w:instrText>A9-0238/2023</w:instrText>
      </w:r>
      <w:bookmarkEnd w:id="2"/>
      <w:r w:rsidRPr="00CB2133">
        <w:rPr>
          <w:i/>
        </w:rPr>
        <w:instrText xml:space="preserve"> - Raportöör: Milan Brglez)"\l3 \n&gt; \* MERGEFORMAT </w:instrText>
      </w:r>
      <w:r w:rsidRPr="00CB2133">
        <w:rPr>
          <w:i/>
        </w:rPr>
        <w:fldChar w:fldCharType="end"/>
      </w:r>
    </w:p>
    <w:p w14:paraId="644610CA" w14:textId="77777777" w:rsidR="00420EAC" w:rsidRPr="00CB2133" w:rsidRDefault="00420EAC" w:rsidP="00420EAC">
      <w:pPr>
        <w:rPr>
          <w:vanish/>
        </w:rPr>
      </w:pPr>
      <w:bookmarkStart w:id="3" w:name="Commission"/>
      <w:r w:rsidRPr="00CB2133">
        <w:rPr>
          <w:vanish/>
        </w:rPr>
        <w:t>Keskkonna-, rahvatervise ja toiduohutuse komisjon</w:t>
      </w:r>
      <w:bookmarkEnd w:id="3"/>
    </w:p>
    <w:p w14:paraId="6EFEFC7B" w14:textId="77777777" w:rsidR="00420EAC" w:rsidRPr="00CB2133" w:rsidRDefault="00420EAC" w:rsidP="00420EAC">
      <w:pPr>
        <w:rPr>
          <w:vanish/>
        </w:rPr>
      </w:pPr>
      <w:bookmarkStart w:id="4" w:name="PE"/>
      <w:r w:rsidRPr="00CB2133">
        <w:rPr>
          <w:vanish/>
        </w:rPr>
        <w:t>PE740.884</w:t>
      </w:r>
      <w:bookmarkEnd w:id="4"/>
    </w:p>
    <w:p w14:paraId="4728F87D" w14:textId="30A990B5" w:rsidR="00420EAC" w:rsidRPr="00CB2133" w:rsidRDefault="006E0805" w:rsidP="00420EAC">
      <w:pPr>
        <w:pStyle w:val="ATHeading3"/>
      </w:pPr>
      <w:bookmarkStart w:id="5" w:name="Sujet"/>
      <w:r w:rsidRPr="00CB2133">
        <w:t>Euroopa Parlamendi 24</w:t>
      </w:r>
      <w:r w:rsidR="00420EAC" w:rsidRPr="00CB2133">
        <w:t>.</w:t>
      </w:r>
      <w:r w:rsidRPr="00CB2133">
        <w:t> aprilli 2024. </w:t>
      </w:r>
      <w:r w:rsidR="00420EAC" w:rsidRPr="00CB2133">
        <w:t>aasta seadusandlik resolutsioon ettepaneku kohta võtta vastu Euroopa Parlamendi ja nõukogu direktiiv</w:t>
      </w:r>
      <w:r w:rsidR="00653E56" w:rsidRPr="00CB2133">
        <w:t xml:space="preserve">, millega muudetakse direktiivi </w:t>
      </w:r>
      <w:r w:rsidR="00420EAC" w:rsidRPr="00CB2133">
        <w:t>2000/60/EÜ, millega kehtestatakse ühenduse veepoliitika ala</w:t>
      </w:r>
      <w:r w:rsidRPr="00CB2133">
        <w:t>ne tegevusraamistik, direktiivi </w:t>
      </w:r>
      <w:r w:rsidR="00420EAC" w:rsidRPr="00CB2133">
        <w:t>2006/118/EÜ, mis käsitleb põhjavee kaitset reostuse ja seisundi ha</w:t>
      </w:r>
      <w:r w:rsidRPr="00CB2133">
        <w:t>lvenemise eest, ning direktiivi </w:t>
      </w:r>
      <w:r w:rsidR="00420EAC" w:rsidRPr="00CB2133">
        <w:t>2008/105/EÜ, mis käsitleb keskkonnakvaliteedi standardeid veepoliitika valdkonnas</w:t>
      </w:r>
      <w:bookmarkEnd w:id="5"/>
      <w:r w:rsidR="00420EAC" w:rsidRPr="00CB2133">
        <w:t xml:space="preserve"> </w:t>
      </w:r>
      <w:bookmarkStart w:id="6" w:name="References"/>
      <w:r w:rsidRPr="00CB2133">
        <w:t>(COM(2022)0540 – C9</w:t>
      </w:r>
      <w:r w:rsidRPr="00CB2133">
        <w:noBreakHyphen/>
      </w:r>
      <w:r w:rsidR="00420EAC" w:rsidRPr="00CB2133">
        <w:t>0361/2022 – 2022/0344(COD))</w:t>
      </w:r>
      <w:bookmarkEnd w:id="6"/>
    </w:p>
    <w:p w14:paraId="09D1AC5B" w14:textId="77777777" w:rsidR="003A293C" w:rsidRPr="00CB2133" w:rsidRDefault="003A293C" w:rsidP="003A293C">
      <w:pPr>
        <w:pStyle w:val="NormalBold"/>
      </w:pPr>
      <w:bookmarkStart w:id="7" w:name="TextBodyBegin"/>
      <w:bookmarkEnd w:id="7"/>
      <w:r w:rsidRPr="00CB2133">
        <w:t>(Seadusandlik tavamenetlus: esimene lugemine)</w:t>
      </w:r>
    </w:p>
    <w:p w14:paraId="4BCDC379" w14:textId="77777777" w:rsidR="003A293C" w:rsidRPr="00CB2133" w:rsidRDefault="003A293C" w:rsidP="003A293C">
      <w:pPr>
        <w:pStyle w:val="EPComma"/>
      </w:pPr>
      <w:r w:rsidRPr="00CB2133">
        <w:rPr>
          <w:i/>
        </w:rPr>
        <w:t>Euroopa Parlament</w:t>
      </w:r>
      <w:r w:rsidRPr="00CB2133">
        <w:t>,</w:t>
      </w:r>
    </w:p>
    <w:p w14:paraId="2FD0DD70" w14:textId="77777777" w:rsidR="003A293C" w:rsidRPr="00CB2133" w:rsidRDefault="003A293C" w:rsidP="003A293C">
      <w:pPr>
        <w:pStyle w:val="NormalHanging12a"/>
      </w:pPr>
      <w:r w:rsidRPr="00CB2133">
        <w:t>–</w:t>
      </w:r>
      <w:r w:rsidRPr="00CB2133">
        <w:tab/>
        <w:t>võttes arvesse komisjoni ettepanekut Euroopa Parlamendile ja nõukogule (COM(2022)0540),</w:t>
      </w:r>
    </w:p>
    <w:p w14:paraId="7ACBDB6A" w14:textId="77777777" w:rsidR="003A293C" w:rsidRPr="00CB2133" w:rsidRDefault="003A293C" w:rsidP="003A293C">
      <w:pPr>
        <w:pStyle w:val="NormalHanging12a"/>
      </w:pPr>
      <w:r w:rsidRPr="00CB2133">
        <w:t>–</w:t>
      </w:r>
      <w:r w:rsidRPr="00CB2133">
        <w:tab/>
        <w:t>võttes arvesse Euroopa Liidu toimimise lepingu artikli 294 lõiget 2 ja artikli 192 lõiget 1, mille alusel komisjon esitas ettepaneku Euroopa Parlamendile (C9</w:t>
      </w:r>
      <w:r w:rsidRPr="00CB2133">
        <w:noBreakHyphen/>
        <w:t>0361/2022),</w:t>
      </w:r>
    </w:p>
    <w:p w14:paraId="79AD6784" w14:textId="77777777" w:rsidR="003A293C" w:rsidRPr="00CB2133" w:rsidRDefault="003A293C" w:rsidP="003A293C">
      <w:pPr>
        <w:pStyle w:val="NormalHanging12a"/>
      </w:pPr>
      <w:r w:rsidRPr="00CB2133">
        <w:t>–</w:t>
      </w:r>
      <w:r w:rsidRPr="00CB2133">
        <w:tab/>
        <w:t xml:space="preserve">võttes arvesse Euroopa </w:t>
      </w:r>
      <w:r w:rsidR="006E0805" w:rsidRPr="00CB2133">
        <w:t>Liidu toimimise lepingu artikli 294 lõiget </w:t>
      </w:r>
      <w:r w:rsidRPr="00CB2133">
        <w:t>3,</w:t>
      </w:r>
    </w:p>
    <w:p w14:paraId="0C693675" w14:textId="77777777" w:rsidR="003A293C" w:rsidRPr="00CB2133" w:rsidRDefault="003A293C" w:rsidP="003A293C">
      <w:pPr>
        <w:pStyle w:val="NormalHanging12a"/>
      </w:pPr>
      <w:r w:rsidRPr="00CB2133">
        <w:t>–</w:t>
      </w:r>
      <w:r w:rsidRPr="00CB2133">
        <w:tab/>
        <w:t>võttes arvesse Euroopa Majandus- ja Sotsiaalkomitee 22. veebruari 2023. aasta arvamust</w:t>
      </w:r>
      <w:r w:rsidRPr="00CB2133">
        <w:rPr>
          <w:rStyle w:val="FootnoteReference"/>
        </w:rPr>
        <w:footnoteReference w:id="1"/>
      </w:r>
      <w:r w:rsidRPr="00CB2133">
        <w:t>,</w:t>
      </w:r>
    </w:p>
    <w:p w14:paraId="3B5AD197" w14:textId="77777777" w:rsidR="003A293C" w:rsidRPr="00CB2133" w:rsidRDefault="003A293C" w:rsidP="003A293C">
      <w:pPr>
        <w:pStyle w:val="NormalHanging12a"/>
      </w:pPr>
      <w:r w:rsidRPr="00CB2133">
        <w:t>–</w:t>
      </w:r>
      <w:r w:rsidRPr="00CB2133">
        <w:tab/>
        <w:t>pärast konsulteerimist Regioonide Komiteega,</w:t>
      </w:r>
    </w:p>
    <w:p w14:paraId="26275258" w14:textId="77777777" w:rsidR="003A293C" w:rsidRPr="00CB2133" w:rsidRDefault="003A293C" w:rsidP="003A293C">
      <w:pPr>
        <w:pStyle w:val="NormalHanging12a"/>
      </w:pPr>
      <w:r w:rsidRPr="00CB2133">
        <w:t>–</w:t>
      </w:r>
      <w:r w:rsidRPr="00CB2133">
        <w:tab/>
        <w:t>võ</w:t>
      </w:r>
      <w:r w:rsidR="006E0805" w:rsidRPr="00CB2133">
        <w:t>ttes arvesse kodukorra artiklit </w:t>
      </w:r>
      <w:r w:rsidRPr="00CB2133">
        <w:t>59,</w:t>
      </w:r>
    </w:p>
    <w:p w14:paraId="4D8EAE31" w14:textId="77777777" w:rsidR="003A293C" w:rsidRPr="00CB2133" w:rsidRDefault="003A293C" w:rsidP="003A293C">
      <w:pPr>
        <w:pStyle w:val="NormalHanging12a"/>
      </w:pPr>
      <w:r w:rsidRPr="00CB2133">
        <w:t>–</w:t>
      </w:r>
      <w:r w:rsidRPr="00CB2133">
        <w:tab/>
        <w:t>võttes arvesse tööstuse, teadusuuringute ja energeetikakomisjoni ning põllumajanduse ja maaelu arengu komisjoni arvamusi,</w:t>
      </w:r>
    </w:p>
    <w:p w14:paraId="75BD7ECA" w14:textId="77777777" w:rsidR="003A293C" w:rsidRPr="00CB2133" w:rsidRDefault="003A293C" w:rsidP="003A293C">
      <w:pPr>
        <w:pStyle w:val="NormalHanging12a"/>
      </w:pPr>
      <w:r w:rsidRPr="00CB2133">
        <w:t>–</w:t>
      </w:r>
      <w:r w:rsidRPr="00CB2133">
        <w:tab/>
        <w:t>võttes arvesse keskkonna-, rahvatervise- ja toiduohutuse komisjoni raportit (A9</w:t>
      </w:r>
      <w:r w:rsidR="006E0805" w:rsidRPr="00CB2133">
        <w:noBreakHyphen/>
      </w:r>
      <w:r w:rsidRPr="00CB2133">
        <w:t>0238/2023),</w:t>
      </w:r>
    </w:p>
    <w:p w14:paraId="01B6084B" w14:textId="77777777" w:rsidR="003A293C" w:rsidRPr="00CB2133" w:rsidRDefault="003A293C" w:rsidP="003A293C">
      <w:pPr>
        <w:pStyle w:val="NormalHanging12a"/>
      </w:pPr>
      <w:r w:rsidRPr="00CB2133">
        <w:lastRenderedPageBreak/>
        <w:t>1.</w:t>
      </w:r>
      <w:r w:rsidRPr="00CB2133">
        <w:tab/>
        <w:t>võtab vastu allpool toodud esimese lugemise seisukoha</w:t>
      </w:r>
      <w:r w:rsidR="006E0805" w:rsidRPr="00CB2133">
        <w:rPr>
          <w:rStyle w:val="FootnoteReference"/>
        </w:rPr>
        <w:footnoteReference w:id="2"/>
      </w:r>
      <w:r w:rsidRPr="00CB2133">
        <w:t>;</w:t>
      </w:r>
    </w:p>
    <w:p w14:paraId="3F68D0EE" w14:textId="05FF55C7" w:rsidR="003A293C" w:rsidRPr="00CB2133" w:rsidRDefault="003A293C" w:rsidP="003A293C">
      <w:pPr>
        <w:pStyle w:val="NormalHanging12a"/>
      </w:pPr>
      <w:r w:rsidRPr="00CB2133">
        <w:t>2.</w:t>
      </w:r>
      <w:r w:rsidRPr="00CB2133">
        <w:tab/>
        <w:t xml:space="preserve">palub komisjonil ettepaneku uuesti Euroopa Parlamendile saata, kui komisjon asendab </w:t>
      </w:r>
      <w:r w:rsidR="006E0805" w:rsidRPr="00CB2133">
        <w:t xml:space="preserve">selle uue </w:t>
      </w:r>
      <w:r w:rsidRPr="00CB2133">
        <w:t>ettepaneku</w:t>
      </w:r>
      <w:r w:rsidR="006E0805" w:rsidRPr="00CB2133">
        <w:t>ga</w:t>
      </w:r>
      <w:r w:rsidRPr="00CB2133">
        <w:t>, muudab seda oluliselt või kavatseb seda oluliselt muuta;</w:t>
      </w:r>
    </w:p>
    <w:p w14:paraId="7576E26B" w14:textId="0E622B35" w:rsidR="003A293C" w:rsidRPr="00CB2133" w:rsidRDefault="003A293C" w:rsidP="00C45ED4">
      <w:pPr>
        <w:pStyle w:val="NormalHanging12a"/>
      </w:pPr>
      <w:r w:rsidRPr="00CB2133">
        <w:t>3.</w:t>
      </w:r>
      <w:r w:rsidRPr="00CB2133">
        <w:tab/>
        <w:t>teeb presidendile ülesandeks edastada Euroopa Parlamendi seisukoht nõukogule ja komisjonile ning liikmesriikide parlamentidele.</w:t>
      </w:r>
    </w:p>
    <w:p w14:paraId="6CD92ACA" w14:textId="77777777" w:rsidR="006E0805" w:rsidRPr="00CB2133" w:rsidRDefault="006E0805" w:rsidP="003A293C">
      <w:pPr>
        <w:sectPr w:rsidR="006E0805" w:rsidRPr="00CB2133" w:rsidSect="0097022D">
          <w:footnotePr>
            <w:numRestart w:val="eachSect"/>
          </w:footnotePr>
          <w:endnotePr>
            <w:numFmt w:val="decimal"/>
          </w:endnotePr>
          <w:type w:val="continuous"/>
          <w:pgSz w:w="11906" w:h="16838" w:code="9"/>
          <w:pgMar w:top="1134" w:right="1418" w:bottom="1418" w:left="1134" w:header="1134" w:footer="567" w:gutter="0"/>
          <w:cols w:space="720"/>
          <w:noEndnote/>
          <w:docGrid w:linePitch="326"/>
        </w:sectPr>
      </w:pPr>
    </w:p>
    <w:p w14:paraId="4F5AE336" w14:textId="77777777" w:rsidR="00C45ED4" w:rsidRPr="00CB2133" w:rsidRDefault="00C45ED4" w:rsidP="00C45ED4">
      <w:pPr>
        <w:autoSpaceDE w:val="0"/>
        <w:autoSpaceDN w:val="0"/>
        <w:adjustRightInd w:val="0"/>
        <w:spacing w:after="240" w:line="260" w:lineRule="exact"/>
        <w:ind w:left="567" w:hanging="567"/>
        <w:rPr>
          <w:rFonts w:eastAsia="Calibri"/>
          <w:b/>
          <w:bCs/>
          <w:color w:val="000000"/>
        </w:rPr>
      </w:pPr>
      <w:r w:rsidRPr="00CB2133">
        <w:rPr>
          <w:rFonts w:eastAsia="Calibri"/>
          <w:b/>
          <w:bCs/>
          <w:color w:val="000000"/>
        </w:rPr>
        <w:lastRenderedPageBreak/>
        <w:t>P9_TC1-COD(2022)0344</w:t>
      </w:r>
    </w:p>
    <w:p w14:paraId="6CCB7830" w14:textId="25CB6BCE" w:rsidR="00C45ED4" w:rsidRPr="00CB2133" w:rsidRDefault="00C45ED4" w:rsidP="00C45ED4">
      <w:pPr>
        <w:autoSpaceDE w:val="0"/>
        <w:autoSpaceDN w:val="0"/>
        <w:adjustRightInd w:val="0"/>
        <w:rPr>
          <w:rFonts w:eastAsia="Calibri"/>
          <w:b/>
          <w:bCs/>
        </w:rPr>
      </w:pPr>
      <w:r w:rsidRPr="00CB2133">
        <w:rPr>
          <w:rFonts w:eastAsia="Calibri"/>
          <w:b/>
          <w:bCs/>
        </w:rPr>
        <w:t>Euroopa Parlamendi seisukoht, vastu võetud esimesel lugemisel 24. aprillil 2024. aastal eesmärgiga võtta vastu Euroopa Parlamendi ja nõukogu direktiiv (EL) 2024/..., millega muudetakse direktiivi 2000/60/EÜ, millega kehtestatakse ühenduse veepoliitika alane tegevusraamistik, direktiivi 2006/118/EÜ, mis käsitleb põhjavee kaitset reostuse ja seisundi halvenemise eest, ning direktiivi 2008/105/EÜ, mis käsitleb keskkonnakvaliteedi standardeid veepoliitika valdkonnas</w:t>
      </w:r>
    </w:p>
    <w:p w14:paraId="726ADD11" w14:textId="77777777" w:rsidR="00C45ED4" w:rsidRPr="00CB2133" w:rsidRDefault="00C45ED4" w:rsidP="00C45ED4">
      <w:pPr>
        <w:widowControl/>
        <w:spacing w:before="360" w:after="240" w:line="360" w:lineRule="auto"/>
        <w:jc w:val="center"/>
        <w:rPr>
          <w:szCs w:val="24"/>
          <w:lang w:eastAsia="en-US"/>
        </w:rPr>
      </w:pPr>
      <w:r w:rsidRPr="00CB2133">
        <w:rPr>
          <w:szCs w:val="24"/>
          <w:lang w:eastAsia="en-US"/>
        </w:rPr>
        <w:t>(EMPs kohaldatav tekst)</w:t>
      </w:r>
    </w:p>
    <w:p w14:paraId="08AFD562" w14:textId="77777777" w:rsidR="00C45ED4" w:rsidRPr="00CB2133" w:rsidRDefault="00C45ED4" w:rsidP="00C45ED4">
      <w:pPr>
        <w:keepNext/>
        <w:spacing w:before="600" w:after="120" w:line="360" w:lineRule="auto"/>
        <w:rPr>
          <w:szCs w:val="24"/>
          <w:lang w:eastAsia="en-US"/>
        </w:rPr>
      </w:pPr>
      <w:r w:rsidRPr="00CB2133">
        <w:rPr>
          <w:szCs w:val="24"/>
          <w:lang w:eastAsia="en-US"/>
        </w:rPr>
        <w:t>EUROOPA PARLAMENT JA EUROOPA LIIDU NÕUKOGU,</w:t>
      </w:r>
    </w:p>
    <w:p w14:paraId="5C99BBFC" w14:textId="77777777" w:rsidR="00C45ED4" w:rsidRPr="00CB2133" w:rsidRDefault="00C45ED4" w:rsidP="00C45ED4">
      <w:pPr>
        <w:spacing w:before="120" w:after="120" w:line="360" w:lineRule="auto"/>
        <w:rPr>
          <w:lang w:eastAsia="en-US"/>
        </w:rPr>
      </w:pPr>
      <w:r w:rsidRPr="00CB2133">
        <w:rPr>
          <w:lang w:eastAsia="en-US"/>
        </w:rPr>
        <w:t>võttes arvesse Euroopa Liidu toimimise lepingut, eriti selle artikli 192 lõiget 1,</w:t>
      </w:r>
    </w:p>
    <w:p w14:paraId="10CD92E8" w14:textId="77777777" w:rsidR="00C45ED4" w:rsidRPr="00CB2133" w:rsidRDefault="00C45ED4" w:rsidP="00C45ED4">
      <w:pPr>
        <w:spacing w:before="120" w:after="120" w:line="360" w:lineRule="auto"/>
        <w:rPr>
          <w:lang w:eastAsia="en-US"/>
        </w:rPr>
      </w:pPr>
      <w:r w:rsidRPr="00CB2133">
        <w:rPr>
          <w:lang w:eastAsia="en-US"/>
        </w:rPr>
        <w:t>võttes arvesse Euroopa Komisjoni ettepanekut,</w:t>
      </w:r>
    </w:p>
    <w:p w14:paraId="39899863" w14:textId="77777777" w:rsidR="00C45ED4" w:rsidRPr="00CB2133" w:rsidRDefault="00C45ED4" w:rsidP="00C45ED4">
      <w:pPr>
        <w:spacing w:before="120" w:after="120" w:line="360" w:lineRule="auto"/>
        <w:rPr>
          <w:lang w:eastAsia="en-US"/>
        </w:rPr>
      </w:pPr>
      <w:r w:rsidRPr="00CB2133">
        <w:rPr>
          <w:lang w:eastAsia="en-US"/>
        </w:rPr>
        <w:t>olles edastanud seadusandliku akti eelnõu liikmesriikide parlamentidele,</w:t>
      </w:r>
    </w:p>
    <w:p w14:paraId="6EA7DA17" w14:textId="77777777" w:rsidR="00C45ED4" w:rsidRPr="00CB2133" w:rsidRDefault="00C45ED4" w:rsidP="00C45ED4">
      <w:pPr>
        <w:spacing w:before="120" w:after="120" w:line="360" w:lineRule="auto"/>
        <w:rPr>
          <w:lang w:eastAsia="en-US"/>
        </w:rPr>
      </w:pPr>
      <w:r w:rsidRPr="00CB2133">
        <w:rPr>
          <w:lang w:eastAsia="en-US"/>
        </w:rPr>
        <w:t>võttes arvesse Euroopa Majandus- ja Sotsiaalkomitee arvamust</w:t>
      </w:r>
      <w:r w:rsidRPr="00CB2133">
        <w:rPr>
          <w:vertAlign w:val="superscript"/>
          <w:lang w:eastAsia="en-US"/>
        </w:rPr>
        <w:footnoteReference w:id="3"/>
      </w:r>
      <w:r w:rsidRPr="00CB2133">
        <w:rPr>
          <w:lang w:eastAsia="en-US"/>
        </w:rPr>
        <w:t>,</w:t>
      </w:r>
    </w:p>
    <w:p w14:paraId="3866932D" w14:textId="77777777" w:rsidR="00C45ED4" w:rsidRPr="00CB2133" w:rsidRDefault="00C45ED4" w:rsidP="00C45ED4">
      <w:pPr>
        <w:spacing w:before="120" w:after="120" w:line="360" w:lineRule="auto"/>
        <w:rPr>
          <w:lang w:eastAsia="en-US"/>
        </w:rPr>
      </w:pPr>
      <w:r w:rsidRPr="00CB2133">
        <w:rPr>
          <w:lang w:eastAsia="en-US"/>
        </w:rPr>
        <w:t>võttes arvesse Regioonide Komitee arvamust</w:t>
      </w:r>
      <w:r w:rsidRPr="00CB2133">
        <w:rPr>
          <w:vertAlign w:val="superscript"/>
          <w:lang w:eastAsia="en-US"/>
        </w:rPr>
        <w:footnoteReference w:id="4"/>
      </w:r>
      <w:r w:rsidRPr="00CB2133">
        <w:rPr>
          <w:lang w:eastAsia="en-US"/>
        </w:rPr>
        <w:t>,</w:t>
      </w:r>
    </w:p>
    <w:p w14:paraId="5228F1B3" w14:textId="77777777" w:rsidR="00C45ED4" w:rsidRPr="00CB2133" w:rsidRDefault="00C45ED4" w:rsidP="00C45ED4">
      <w:pPr>
        <w:spacing w:before="120" w:after="120" w:line="360" w:lineRule="auto"/>
        <w:rPr>
          <w:lang w:eastAsia="en-US"/>
        </w:rPr>
      </w:pPr>
      <w:r w:rsidRPr="00CB2133">
        <w:rPr>
          <w:lang w:eastAsia="en-US"/>
        </w:rPr>
        <w:t>toimides seadusandliku tavamenetluse kohaselt</w:t>
      </w:r>
    </w:p>
    <w:p w14:paraId="72B268C2" w14:textId="77777777" w:rsidR="00C45ED4" w:rsidRPr="00CB2133" w:rsidRDefault="00C45ED4">
      <w:pPr>
        <w:widowControl/>
        <w:rPr>
          <w:lang w:eastAsia="en-US"/>
        </w:rPr>
      </w:pPr>
      <w:r w:rsidRPr="00CB2133">
        <w:rPr>
          <w:lang w:eastAsia="en-US"/>
        </w:rPr>
        <w:br w:type="page"/>
      </w:r>
    </w:p>
    <w:p w14:paraId="07CD3D64" w14:textId="0B8B1BB3" w:rsidR="00C45ED4" w:rsidRPr="00CB2133" w:rsidRDefault="00C45ED4" w:rsidP="00C45ED4">
      <w:pPr>
        <w:spacing w:before="120" w:after="120" w:line="360" w:lineRule="auto"/>
        <w:rPr>
          <w:lang w:eastAsia="en-US"/>
        </w:rPr>
      </w:pPr>
      <w:r w:rsidRPr="00CB2133">
        <w:rPr>
          <w:lang w:eastAsia="en-US"/>
        </w:rPr>
        <w:lastRenderedPageBreak/>
        <w:t>ning arvestades järgmist:</w:t>
      </w:r>
    </w:p>
    <w:p w14:paraId="67B8E53D" w14:textId="513D1EA3" w:rsidR="00C45ED4" w:rsidRPr="00CB2133" w:rsidRDefault="00C45ED4" w:rsidP="00C45ED4">
      <w:pPr>
        <w:spacing w:before="120" w:after="120" w:line="360" w:lineRule="auto"/>
        <w:ind w:left="850" w:hanging="850"/>
        <w:rPr>
          <w:b/>
          <w:szCs w:val="24"/>
          <w:lang w:eastAsia="en-US"/>
        </w:rPr>
      </w:pPr>
      <w:r w:rsidRPr="00CB2133">
        <w:rPr>
          <w:b/>
          <w:i/>
          <w:szCs w:val="24"/>
          <w:lang w:eastAsia="en-US"/>
        </w:rPr>
        <w:t>(-1)</w:t>
      </w:r>
      <w:r w:rsidRPr="00CB2133">
        <w:rPr>
          <w:szCs w:val="24"/>
          <w:lang w:eastAsia="en-US"/>
        </w:rPr>
        <w:tab/>
      </w:r>
      <w:r w:rsidRPr="00CB2133">
        <w:rPr>
          <w:b/>
          <w:i/>
          <w:szCs w:val="24"/>
          <w:lang w:eastAsia="en-US"/>
        </w:rPr>
        <w:t>Vesi ei ole kaubanduslik toode nagu iga teine, vaid pigem ühine hüve ja pärand, mida tuleb kaitsta ja sellisena käsitleda, et tagada ökosüsteemide säilimine ja puhta vee üldine kättesaadavus.</w:t>
      </w:r>
      <w:r w:rsidR="00653E56" w:rsidRPr="00CB2133">
        <w:rPr>
          <w:b/>
          <w:szCs w:val="24"/>
          <w:lang w:eastAsia="en-US"/>
        </w:rPr>
        <w:t xml:space="preserve"> [ME 1]</w:t>
      </w:r>
    </w:p>
    <w:p w14:paraId="3B3F530A" w14:textId="473E5EBF" w:rsidR="00C45ED4" w:rsidRPr="00CB2133" w:rsidRDefault="00C45ED4" w:rsidP="00C45ED4">
      <w:pPr>
        <w:spacing w:before="120" w:after="120" w:line="360" w:lineRule="auto"/>
        <w:ind w:left="850" w:hanging="850"/>
        <w:rPr>
          <w:b/>
          <w:szCs w:val="24"/>
          <w:lang w:eastAsia="en-US"/>
        </w:rPr>
      </w:pPr>
      <w:r w:rsidRPr="00CB2133">
        <w:rPr>
          <w:b/>
          <w:i/>
          <w:szCs w:val="24"/>
          <w:lang w:eastAsia="en-US"/>
        </w:rPr>
        <w:t>(-1a)</w:t>
      </w:r>
      <w:r w:rsidRPr="00CB2133">
        <w:rPr>
          <w:szCs w:val="24"/>
          <w:lang w:eastAsia="en-US"/>
        </w:rPr>
        <w:tab/>
      </w:r>
      <w:r w:rsidRPr="00CB2133">
        <w:rPr>
          <w:b/>
          <w:i/>
          <w:szCs w:val="24"/>
          <w:lang w:eastAsia="en-US"/>
        </w:rPr>
        <w:t>ÜRO Peaassamblee tunnistas 28. juulil 2010. aastal õigust ohutule ja puhtale joogiveele ning kanalisatsioonile kui inimõigust, mis on elu ja kõigi inimõiguste täieliku kasutamise esmatähtis eeltingimus. Pärast 2014. aasta edukat Euroopa kodanikualgatust „Right2Water“ võttis komisjon 2018. aastal vastu ettepaneku vaadata läbi joogiveedirektiiv ning muudetud direktiiv jõustus 12. jaanuaril 2021. Selles direktiivis on selgelt sätestatud liikmesriikide kohustus parandada joogivee kättesaadavust, tuginedes muu hulgas direktiivi 2000/60/EÜ alusel saadud teadmistele ja võetud meetmetele. Samuti peaksid liikmesriigid tagama, et õigus puhtale veele ja kanalisatsioonile on tõhus, parandades nii pinna- kui ka põhjavee kvaliteeti.</w:t>
      </w:r>
      <w:r w:rsidR="00653E56" w:rsidRPr="00CB2133">
        <w:rPr>
          <w:b/>
          <w:szCs w:val="24"/>
          <w:lang w:eastAsia="en-US"/>
        </w:rPr>
        <w:t xml:space="preserve"> [ME 2]</w:t>
      </w:r>
    </w:p>
    <w:p w14:paraId="4294D675" w14:textId="77777777" w:rsidR="007859A8" w:rsidRPr="00CB2133" w:rsidRDefault="007859A8">
      <w:pPr>
        <w:widowControl/>
        <w:rPr>
          <w:szCs w:val="24"/>
          <w:lang w:eastAsia="en-US"/>
        </w:rPr>
      </w:pPr>
      <w:r w:rsidRPr="00CB2133">
        <w:rPr>
          <w:szCs w:val="24"/>
          <w:lang w:eastAsia="en-US"/>
        </w:rPr>
        <w:br w:type="page"/>
      </w:r>
    </w:p>
    <w:p w14:paraId="07618678" w14:textId="6F6909C0"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(1)</w:t>
      </w:r>
      <w:r w:rsidRPr="00CB2133">
        <w:rPr>
          <w:szCs w:val="24"/>
          <w:lang w:eastAsia="en-US"/>
        </w:rPr>
        <w:tab/>
        <w:t>Pinnavee ja põhjavee keemiline reostus on veekeskkonnale ohtlik ning selle tulemuseks on näiteks äge ja krooniline mürgisus veeorganismidele, saasteainete akumuleerumine ökosüsteemis ning elupaikade kadumine ja elurikkuse vähenemine; ühtlasi ohustab see inimeste tervist. Keskkonnakvaliteedi standardite kehtestamine aitab saavutada nullsaaste eesmärki mürgivaba keskkonna loomiseks</w:t>
      </w:r>
      <w:r w:rsidRPr="00CB2133">
        <w:rPr>
          <w:b/>
          <w:i/>
          <w:szCs w:val="24"/>
          <w:lang w:eastAsia="en-US"/>
        </w:rPr>
        <w:t>, mis on 8</w:t>
      </w:r>
      <w:r w:rsidRPr="00CB2133">
        <w:rPr>
          <w:szCs w:val="24"/>
          <w:lang w:eastAsia="en-US"/>
        </w:rPr>
        <w:t>.</w:t>
      </w:r>
      <w:r w:rsidRPr="00CB2133">
        <w:rPr>
          <w:b/>
          <w:i/>
          <w:szCs w:val="24"/>
          <w:lang w:eastAsia="en-US"/>
        </w:rPr>
        <w:t xml:space="preserve"> keskkonnaalase tegevusprogrammi</w:t>
      </w:r>
      <w:r w:rsidRPr="00CB2133">
        <w:rPr>
          <w:szCs w:val="24"/>
          <w:vertAlign w:val="superscript"/>
          <w:lang w:eastAsia="en-US"/>
        </w:rPr>
        <w:footnoteReference w:id="5"/>
      </w:r>
      <w:r w:rsidRPr="00CB2133">
        <w:rPr>
          <w:b/>
          <w:i/>
          <w:szCs w:val="24"/>
          <w:lang w:eastAsia="en-US"/>
        </w:rPr>
        <w:t xml:space="preserve"> üks esmaseid eesmärke.</w:t>
      </w:r>
      <w:r w:rsidR="00653E56" w:rsidRPr="00CB2133">
        <w:rPr>
          <w:b/>
          <w:szCs w:val="24"/>
          <w:lang w:eastAsia="en-US"/>
        </w:rPr>
        <w:t xml:space="preserve"> [ME 3]</w:t>
      </w:r>
    </w:p>
    <w:p w14:paraId="43706948" w14:textId="6B195E55" w:rsidR="00C45ED4" w:rsidRPr="00CB2133" w:rsidRDefault="00C45ED4" w:rsidP="00C45ED4">
      <w:pPr>
        <w:spacing w:before="120" w:after="120" w:line="360" w:lineRule="auto"/>
        <w:ind w:left="850" w:hanging="850"/>
        <w:rPr>
          <w:b/>
          <w:szCs w:val="24"/>
          <w:lang w:eastAsia="en-US"/>
        </w:rPr>
      </w:pPr>
      <w:r w:rsidRPr="00CB2133">
        <w:rPr>
          <w:b/>
          <w:i/>
          <w:szCs w:val="24"/>
          <w:lang w:eastAsia="en-US"/>
        </w:rPr>
        <w:t>(1a)</w:t>
      </w:r>
      <w:r w:rsidRPr="00CB2133">
        <w:rPr>
          <w:szCs w:val="24"/>
          <w:lang w:eastAsia="en-US"/>
        </w:rPr>
        <w:tab/>
      </w:r>
      <w:r w:rsidRPr="00CB2133">
        <w:rPr>
          <w:b/>
          <w:i/>
          <w:szCs w:val="24"/>
          <w:lang w:eastAsia="en-US"/>
        </w:rPr>
        <w:t>Euroopa Keskkonnaameti andmetel on ligikaudu 90 % põhjaveekogumitest heas kvantitatiivses seisundis, ligikaudu 75 % põhjaveekogumitest heas keemilises seisundis, 40 % pinnaveekogumitest heas või väga heas ökoloogilises seisundis ning 38 % pinnaveekogumitest heas keemilises seisundis, samas märgiti Euroopa Keskkonnaameti 4. detsembri 2019. aasta aruandes „The European environment – state and outlook 2020: Knowledge for transition to a sustainable Europe“ (Euroopa keskkonna ning selle seisundi ja väljavaadete kohta 2020. aastal: teadmised kestlikule Euroopale üleminekuks), et vähenenud reostus on parandanud vee kvaliteeti, kuid et liidus ei saavutatud 2020. aastaks kaugeltki kõigi veekogude head ökoloogilist seisundit.</w:t>
      </w:r>
      <w:r w:rsidR="00653E56" w:rsidRPr="00CB2133">
        <w:rPr>
          <w:b/>
          <w:szCs w:val="24"/>
          <w:lang w:eastAsia="en-US"/>
        </w:rPr>
        <w:t xml:space="preserve"> [ME 4]</w:t>
      </w:r>
    </w:p>
    <w:p w14:paraId="478FE3E9" w14:textId="77777777" w:rsidR="007859A8" w:rsidRPr="00CB2133" w:rsidRDefault="007859A8">
      <w:pPr>
        <w:widowControl/>
        <w:rPr>
          <w:b/>
          <w:i/>
          <w:szCs w:val="24"/>
          <w:lang w:eastAsia="en-US"/>
        </w:rPr>
      </w:pPr>
      <w:r w:rsidRPr="00CB2133">
        <w:rPr>
          <w:b/>
          <w:i/>
          <w:szCs w:val="24"/>
          <w:lang w:eastAsia="en-US"/>
        </w:rPr>
        <w:br w:type="page"/>
      </w:r>
    </w:p>
    <w:p w14:paraId="4A83D821" w14:textId="1C44D484"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(1b)</w:t>
      </w:r>
      <w:r w:rsidRPr="00CB2133">
        <w:rPr>
          <w:szCs w:val="24"/>
          <w:lang w:eastAsia="en-US"/>
        </w:rPr>
        <w:tab/>
      </w:r>
      <w:r w:rsidRPr="00CB2133">
        <w:rPr>
          <w:b/>
          <w:i/>
          <w:szCs w:val="24"/>
          <w:lang w:eastAsia="en-US"/>
        </w:rPr>
        <w:t>Veepoliitika raamdirektiivi 2019. aasta toimivuskontrolli (edaspidi „toimivuskontroll)“ hinnangus jõuti järeldusele, et järgmisel meetmeprogrammide paketil on oluline roll, et tagada vajalik edasiminek direktiivi 2000/60/EÜ keskkonnaeesmärkide saavutamisel 2027. aastaks, ning märgiti, et praegu on direktiivi 2000/60/EÜ alusel ette nähtud erandid enam kui poolte Euroopa veekogude puhul, mis muudab liikmesriikide jaoks probleemid prioriteetsete ainete keskkonnakvaliteedi standardite saavutamisel ettenähtud tähtajaks rohkem kui tõsiseks. Lisaks jõuti toimivuskontrolli käigus järeldusele, et keskkonnaeesmärke ei ole täielikult saavutatud peamiselt ebapiisava rahastamise, aeglase rakendamise ja keskkonnaalaste eesmärkide valdkondlikusse poliitikasse ebapiisava integreerimise, mitte õigusaktide puuduste tõttu.</w:t>
      </w:r>
      <w:r w:rsidR="00653E56" w:rsidRPr="00CB2133">
        <w:rPr>
          <w:b/>
          <w:szCs w:val="24"/>
          <w:lang w:eastAsia="en-US"/>
        </w:rPr>
        <w:t xml:space="preserve"> [ME 5]</w:t>
      </w:r>
    </w:p>
    <w:p w14:paraId="5CBF9796" w14:textId="77777777" w:rsidR="007859A8" w:rsidRPr="00CB2133" w:rsidRDefault="007859A8">
      <w:pPr>
        <w:widowControl/>
        <w:rPr>
          <w:b/>
          <w:i/>
          <w:szCs w:val="24"/>
          <w:lang w:eastAsia="en-US"/>
        </w:rPr>
      </w:pPr>
      <w:r w:rsidRPr="00CB2133">
        <w:rPr>
          <w:b/>
          <w:i/>
          <w:szCs w:val="24"/>
          <w:lang w:eastAsia="en-US"/>
        </w:rPr>
        <w:br w:type="page"/>
      </w:r>
    </w:p>
    <w:p w14:paraId="3F07562F" w14:textId="72DDF4FE"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(1c)</w:t>
      </w:r>
      <w:r w:rsidRPr="00CB2133">
        <w:rPr>
          <w:szCs w:val="24"/>
          <w:lang w:eastAsia="en-US"/>
        </w:rPr>
        <w:tab/>
      </w:r>
      <w:r w:rsidRPr="00CB2133">
        <w:rPr>
          <w:b/>
          <w:i/>
          <w:szCs w:val="24"/>
          <w:lang w:eastAsia="en-US"/>
        </w:rPr>
        <w:t>Geograafiliste ja sotsiaalmajanduslike tegurite tõttu on mõned populatsioonid, sealhulgas põlisrahvad, veereostuse suhtes haavatavamad. Eeldatakse, et Euroopa Liidu kaevandussektor kasvab, et tagada nullnetotööstuse areng. Nagu on märgitud Euroopa Keskkonnaameti aruandes 09/2021</w:t>
      </w:r>
      <w:r w:rsidRPr="00CB2133">
        <w:rPr>
          <w:szCs w:val="24"/>
          <w:vertAlign w:val="superscript"/>
          <w:lang w:eastAsia="en-US"/>
        </w:rPr>
        <w:footnoteReference w:id="6"/>
      </w:r>
      <w:r w:rsidRPr="00CB2133">
        <w:rPr>
          <w:b/>
          <w:i/>
          <w:szCs w:val="24"/>
          <w:lang w:eastAsia="en-US"/>
        </w:rPr>
        <w:t>, mõjutab kaevandussektor otseselt vee kvaliteeti ja kvantiteeti. Seetõttu on vaja paremini rakendada olemasolevaid õigusraamistikke ning kavandada ja kontrollida veekasutust ja -juhtimist ka kaevandustes.</w:t>
      </w:r>
      <w:r w:rsidR="00653E56" w:rsidRPr="00CB2133">
        <w:rPr>
          <w:b/>
          <w:szCs w:val="24"/>
          <w:lang w:eastAsia="en-US"/>
        </w:rPr>
        <w:t xml:space="preserve"> [ME 6]</w:t>
      </w:r>
    </w:p>
    <w:p w14:paraId="17822E01" w14:textId="4DF490D9" w:rsidR="00C45ED4" w:rsidRPr="00CB2133" w:rsidRDefault="00C45ED4" w:rsidP="00C45ED4">
      <w:pPr>
        <w:spacing w:before="120" w:after="120" w:line="360" w:lineRule="auto"/>
        <w:ind w:left="850" w:hanging="850"/>
        <w:rPr>
          <w:b/>
          <w:szCs w:val="24"/>
          <w:lang w:eastAsia="en-US"/>
        </w:rPr>
      </w:pPr>
      <w:r w:rsidRPr="00CB2133">
        <w:rPr>
          <w:b/>
          <w:i/>
          <w:szCs w:val="24"/>
          <w:lang w:eastAsia="en-US"/>
        </w:rPr>
        <w:t>(1d)</w:t>
      </w:r>
      <w:r w:rsidRPr="00CB2133">
        <w:rPr>
          <w:szCs w:val="24"/>
          <w:lang w:eastAsia="en-US"/>
        </w:rPr>
        <w:tab/>
      </w:r>
      <w:r w:rsidRPr="00CB2133">
        <w:rPr>
          <w:b/>
          <w:i/>
          <w:szCs w:val="24"/>
          <w:lang w:eastAsia="en-US"/>
        </w:rPr>
        <w:t>Paljudel liidu territooriumidel on suured ja suurenevad veepiirangud. Viimaste aastate suured ja püsivad põuad, eriti Vahemere piirkonnas, ohustavad põllumajanduslikku tootmist ning põhjustavad pinna- ja põhjaveevarude tõsist vähenemist</w:t>
      </w:r>
      <w:r w:rsidRPr="00CB2133">
        <w:rPr>
          <w:szCs w:val="24"/>
          <w:vertAlign w:val="superscript"/>
          <w:lang w:eastAsia="en-US"/>
        </w:rPr>
        <w:footnoteReference w:id="7"/>
      </w:r>
      <w:r w:rsidR="00653E56" w:rsidRPr="00CB2133">
        <w:rPr>
          <w:b/>
          <w:i/>
          <w:szCs w:val="24"/>
          <w:lang w:eastAsia="en-US"/>
        </w:rPr>
        <w:t>.</w:t>
      </w:r>
      <w:r w:rsidR="00653E56" w:rsidRPr="00CB2133">
        <w:rPr>
          <w:b/>
          <w:szCs w:val="24"/>
          <w:lang w:eastAsia="en-US"/>
        </w:rPr>
        <w:t xml:space="preserve"> [ME 7]</w:t>
      </w:r>
    </w:p>
    <w:p w14:paraId="782BA989" w14:textId="55C4BBCE" w:rsidR="00C45ED4" w:rsidRPr="00CB2133" w:rsidRDefault="00C45ED4" w:rsidP="00C45ED4">
      <w:pPr>
        <w:spacing w:before="120" w:after="120" w:line="360" w:lineRule="auto"/>
        <w:ind w:left="850" w:hanging="850"/>
        <w:rPr>
          <w:b/>
          <w:szCs w:val="24"/>
          <w:lang w:eastAsia="en-US"/>
        </w:rPr>
      </w:pPr>
      <w:r w:rsidRPr="00CB2133">
        <w:rPr>
          <w:b/>
          <w:i/>
          <w:szCs w:val="24"/>
          <w:lang w:eastAsia="en-US"/>
        </w:rPr>
        <w:t>(1e)</w:t>
      </w:r>
      <w:r w:rsidRPr="00CB2133">
        <w:rPr>
          <w:szCs w:val="24"/>
          <w:lang w:eastAsia="en-US"/>
        </w:rPr>
        <w:tab/>
      </w:r>
      <w:r w:rsidRPr="00CB2133">
        <w:rPr>
          <w:b/>
          <w:i/>
          <w:szCs w:val="24"/>
          <w:lang w:eastAsia="en-US"/>
        </w:rPr>
        <w:t>Vesi on avalik hüve, millest saavad kasu kõik, ja olulise, asendamatu ja eluliselt vältimatu loodusvarana on vaja selle sotsiaalsele, majanduslikule ja keskkonnaalasele mõõtmele palju tähelepanu pöörata. Kliimamuutused, sealhulgas loodusõnnetuste ja äärmuslike ilmastikunähtuste sagenemine, ning elurikkuse vähenemine mõjutavad negatiivselt vee kvaliteeti ja kvantiteeti, põhjustades survet vee kättesaadavusest sõltuvatele sektoritele, eelkõige põllumajandusele.</w:t>
      </w:r>
      <w:r w:rsidR="00653E56" w:rsidRPr="00CB2133">
        <w:rPr>
          <w:b/>
          <w:szCs w:val="24"/>
          <w:lang w:eastAsia="en-US"/>
        </w:rPr>
        <w:t xml:space="preserve"> [ME 8]</w:t>
      </w:r>
    </w:p>
    <w:p w14:paraId="23162424" w14:textId="77777777" w:rsidR="007859A8" w:rsidRPr="00CB2133" w:rsidRDefault="007859A8">
      <w:pPr>
        <w:widowControl/>
        <w:rPr>
          <w:b/>
          <w:i/>
          <w:szCs w:val="24"/>
          <w:lang w:eastAsia="en-US"/>
        </w:rPr>
      </w:pPr>
      <w:r w:rsidRPr="00CB2133">
        <w:rPr>
          <w:b/>
          <w:i/>
          <w:szCs w:val="24"/>
          <w:lang w:eastAsia="en-US"/>
        </w:rPr>
        <w:br w:type="page"/>
      </w:r>
    </w:p>
    <w:p w14:paraId="3E13F06B" w14:textId="2994EEF1"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(1f)</w:t>
      </w:r>
      <w:r w:rsidRPr="00CB2133">
        <w:rPr>
          <w:szCs w:val="24"/>
          <w:lang w:eastAsia="en-US"/>
        </w:rPr>
        <w:tab/>
      </w:r>
      <w:r w:rsidRPr="00CB2133">
        <w:rPr>
          <w:b/>
          <w:i/>
          <w:szCs w:val="24"/>
          <w:lang w:eastAsia="en-US"/>
        </w:rPr>
        <w:t>Oma 2018. aasta aruandes Euroopa vete seisundi ja surve hindamise kohta nimetas Euroopa Keskkonnaamet (EEA) liidu põhjavee hea keemilise seisundi saavutamisel takistustena teatavaid põllumajandustavasid, mis põhjustavad nitraatide ja pestitsiidide reostust, samas on viimaste aastakümnete jooksul ELis täheldatud pidevat mineraalväetiste kasutamise ja toitainete ülekülluse vähenemist</w:t>
      </w:r>
      <w:r w:rsidRPr="00CB2133">
        <w:rPr>
          <w:szCs w:val="24"/>
          <w:vertAlign w:val="superscript"/>
          <w:lang w:eastAsia="en-US"/>
        </w:rPr>
        <w:footnoteReference w:id="8"/>
      </w:r>
      <w:r w:rsidRPr="00CB2133">
        <w:rPr>
          <w:b/>
          <w:i/>
          <w:szCs w:val="24"/>
          <w:lang w:eastAsia="en-US"/>
        </w:rPr>
        <w:t>. Teised olulised saasteallikad on kanalisatsiooniga ühendamata heitveed, saastunud alad või mahajäetud tööstuspiirkonnad.</w:t>
      </w:r>
      <w:r w:rsidR="00653E56" w:rsidRPr="00CB2133">
        <w:rPr>
          <w:b/>
          <w:szCs w:val="24"/>
          <w:lang w:eastAsia="en-US"/>
        </w:rPr>
        <w:t xml:space="preserve"> [ME 9]</w:t>
      </w:r>
    </w:p>
    <w:p w14:paraId="1DFB1842" w14:textId="0ED4B325" w:rsidR="00C45ED4" w:rsidRPr="00CB2133" w:rsidRDefault="00C45ED4" w:rsidP="00C45ED4">
      <w:pPr>
        <w:spacing w:before="120" w:after="120" w:line="360" w:lineRule="auto"/>
        <w:ind w:left="850" w:hanging="850"/>
        <w:rPr>
          <w:b/>
          <w:szCs w:val="24"/>
          <w:lang w:eastAsia="en-US"/>
        </w:rPr>
      </w:pPr>
      <w:r w:rsidRPr="00CB2133">
        <w:rPr>
          <w:b/>
          <w:i/>
          <w:szCs w:val="24"/>
          <w:lang w:eastAsia="en-US"/>
        </w:rPr>
        <w:t>(1g)</w:t>
      </w:r>
      <w:r w:rsidRPr="00CB2133">
        <w:rPr>
          <w:szCs w:val="24"/>
          <w:lang w:eastAsia="en-US"/>
        </w:rPr>
        <w:tab/>
      </w:r>
      <w:r w:rsidRPr="00CB2133">
        <w:rPr>
          <w:b/>
          <w:i/>
          <w:szCs w:val="24"/>
          <w:lang w:eastAsia="en-US"/>
        </w:rPr>
        <w:t>Veekogude hea seisund ja tõhus veemajandus on põllumajanduse jaoks esmatähtis, kuna põllumajandustootjad sõltuvad oma tegevuses veest ja on seega huvitatud selle ressursi kestlikust kasutamisest.</w:t>
      </w:r>
      <w:r w:rsidR="00653E56" w:rsidRPr="00CB2133">
        <w:rPr>
          <w:b/>
          <w:szCs w:val="24"/>
          <w:lang w:eastAsia="en-US"/>
        </w:rPr>
        <w:t xml:space="preserve"> [ME 10]</w:t>
      </w:r>
    </w:p>
    <w:p w14:paraId="44DE5838" w14:textId="0F216859" w:rsidR="00C45ED4" w:rsidRPr="00CB2133" w:rsidRDefault="00C45ED4" w:rsidP="00C45ED4">
      <w:pPr>
        <w:spacing w:before="120" w:after="120" w:line="360" w:lineRule="auto"/>
        <w:ind w:left="850" w:hanging="850"/>
        <w:rPr>
          <w:b/>
          <w:szCs w:val="24"/>
          <w:lang w:eastAsia="en-US"/>
        </w:rPr>
      </w:pPr>
      <w:r w:rsidRPr="00CB2133">
        <w:rPr>
          <w:b/>
          <w:i/>
          <w:szCs w:val="24"/>
          <w:lang w:eastAsia="en-US"/>
        </w:rPr>
        <w:t>(1h)</w:t>
      </w:r>
      <w:r w:rsidRPr="00CB2133">
        <w:rPr>
          <w:szCs w:val="24"/>
          <w:lang w:eastAsia="en-US"/>
        </w:rPr>
        <w:tab/>
      </w:r>
      <w:r w:rsidRPr="00CB2133">
        <w:rPr>
          <w:b/>
          <w:i/>
          <w:szCs w:val="24"/>
          <w:lang w:eastAsia="en-US"/>
        </w:rPr>
        <w:t>Et hõlbustada üleminekut kestlikumale ja tootlikumale põllumajandussektorile, mis on vastupidav veepiirangutele, tuleks põllumajandustootjatele luua stiimulid veemajanduse parandamiseks ning niisutussüsteemide ja -tehnika ajakohastamiseks.</w:t>
      </w:r>
      <w:r w:rsidR="00653E56" w:rsidRPr="00CB2133">
        <w:rPr>
          <w:b/>
          <w:szCs w:val="24"/>
          <w:lang w:eastAsia="en-US"/>
        </w:rPr>
        <w:t xml:space="preserve"> [ME 11]</w:t>
      </w:r>
    </w:p>
    <w:p w14:paraId="62044C34" w14:textId="77777777" w:rsidR="007859A8" w:rsidRPr="00CB2133" w:rsidRDefault="007859A8">
      <w:pPr>
        <w:widowControl/>
        <w:rPr>
          <w:b/>
          <w:i/>
          <w:szCs w:val="24"/>
          <w:lang w:eastAsia="en-US"/>
        </w:rPr>
      </w:pPr>
      <w:r w:rsidRPr="00CB2133">
        <w:rPr>
          <w:b/>
          <w:i/>
          <w:szCs w:val="24"/>
          <w:lang w:eastAsia="en-US"/>
        </w:rPr>
        <w:br w:type="page"/>
      </w:r>
    </w:p>
    <w:p w14:paraId="20EB37AF" w14:textId="12CE29D8"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(1i)</w:t>
      </w:r>
      <w:r w:rsidRPr="00CB2133">
        <w:rPr>
          <w:szCs w:val="24"/>
          <w:lang w:eastAsia="en-US"/>
        </w:rPr>
        <w:tab/>
      </w:r>
      <w:r w:rsidRPr="00CB2133">
        <w:rPr>
          <w:b/>
          <w:i/>
          <w:szCs w:val="24"/>
          <w:lang w:eastAsia="en-US"/>
        </w:rPr>
        <w:t>Pestitsiidide kasutamine võib tõsiselt mõjutada vee kvaliteeti ja põllumajanduslikuks kasutuseks kättesaadava vee hulka, avaldades negatiivset mõju nii vee- kui ka maismaa bioloogilisele mitmekesisusele. Seetõttu on asjakohane jälgida pestitsiidide ja nende metaboliitide mõju ja ökotoksikoloogilist käitumist veekogudes.</w:t>
      </w:r>
      <w:r w:rsidR="00653E56" w:rsidRPr="00CB2133">
        <w:rPr>
          <w:b/>
          <w:szCs w:val="24"/>
          <w:lang w:eastAsia="en-US"/>
        </w:rPr>
        <w:t xml:space="preserve"> [ME 12]</w:t>
      </w:r>
    </w:p>
    <w:p w14:paraId="7AC3F828" w14:textId="06B43D4B" w:rsidR="00C45ED4" w:rsidRPr="00CB2133" w:rsidRDefault="00C45ED4" w:rsidP="00C45ED4">
      <w:pPr>
        <w:spacing w:before="120" w:after="120" w:line="360" w:lineRule="auto"/>
        <w:ind w:left="850" w:hanging="850"/>
        <w:rPr>
          <w:b/>
          <w:szCs w:val="24"/>
          <w:lang w:eastAsia="en-US"/>
        </w:rPr>
      </w:pPr>
      <w:r w:rsidRPr="00CB2133">
        <w:rPr>
          <w:b/>
          <w:i/>
          <w:szCs w:val="24"/>
          <w:lang w:eastAsia="en-US"/>
        </w:rPr>
        <w:t>(1j)</w:t>
      </w:r>
      <w:r w:rsidRPr="00CB2133">
        <w:rPr>
          <w:szCs w:val="24"/>
          <w:lang w:eastAsia="en-US"/>
        </w:rPr>
        <w:tab/>
      </w:r>
      <w:r w:rsidRPr="00CB2133">
        <w:rPr>
          <w:b/>
          <w:i/>
          <w:szCs w:val="24"/>
          <w:lang w:eastAsia="en-US"/>
        </w:rPr>
        <w:t>Oluline on arvestada seni tehtud jõupingutusi sellistes sektorites nagu põllumajandus, kus on juba õnnestunud vähendada fütosanitaarset saastatust 14 % võrreldes aastatega 2015–2017 ja kui vaatleme kõige kahjulikumaid saasteaineid, siis on see näitaja 26 %. Seejuures näitavad arvud kemikaalide kasutamise ja ohtlikkuse pidevat vähenemist, kusjuures 2020. aasta on teine järjestikune aasta, mil pestitsiidide, eriti kõige ohtlikumate pestitsiidide kasutamine on oluliselt vähenenud</w:t>
      </w:r>
      <w:r w:rsidRPr="00CB2133">
        <w:rPr>
          <w:szCs w:val="24"/>
          <w:vertAlign w:val="superscript"/>
          <w:lang w:eastAsia="en-US"/>
        </w:rPr>
        <w:footnoteReference w:id="9"/>
      </w:r>
      <w:r w:rsidR="00653E56" w:rsidRPr="00CB2133">
        <w:rPr>
          <w:b/>
          <w:i/>
          <w:szCs w:val="24"/>
          <w:lang w:eastAsia="en-US"/>
        </w:rPr>
        <w:t>.</w:t>
      </w:r>
      <w:r w:rsidR="00653E56" w:rsidRPr="00CB2133">
        <w:rPr>
          <w:b/>
          <w:szCs w:val="24"/>
          <w:lang w:eastAsia="en-US"/>
        </w:rPr>
        <w:t xml:space="preserve"> [ME 13]</w:t>
      </w:r>
    </w:p>
    <w:p w14:paraId="5A2DF891" w14:textId="77777777" w:rsidR="007859A8" w:rsidRPr="00CB2133" w:rsidRDefault="007859A8">
      <w:pPr>
        <w:widowControl/>
        <w:rPr>
          <w:b/>
          <w:i/>
          <w:szCs w:val="24"/>
          <w:lang w:eastAsia="en-US"/>
        </w:rPr>
      </w:pPr>
      <w:r w:rsidRPr="00CB2133">
        <w:rPr>
          <w:b/>
          <w:i/>
          <w:szCs w:val="24"/>
          <w:lang w:eastAsia="en-US"/>
        </w:rPr>
        <w:br w:type="page"/>
      </w:r>
    </w:p>
    <w:p w14:paraId="4B141097" w14:textId="19CCA227"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(1k)</w:t>
      </w:r>
      <w:r w:rsidRPr="00CB2133">
        <w:rPr>
          <w:szCs w:val="24"/>
          <w:lang w:eastAsia="en-US"/>
        </w:rPr>
        <w:tab/>
      </w:r>
      <w:r w:rsidRPr="00CB2133">
        <w:rPr>
          <w:b/>
          <w:i/>
          <w:szCs w:val="24"/>
          <w:lang w:eastAsia="en-US"/>
        </w:rPr>
        <w:t>Pinna- ja põhjavee keemiline reostus kujutab endast ka ohtu põllumajandusele, sest see piirab taimekasvatuses niisutamiseks sobiva vee kättesaadavust ja süvendab veelgi veepuudust. Seepärast peaksid liit ja liikmesriigid suurendama toetust teadusuuringutele ja innovatsioonile, et võtta kiiresti kasutusele lahendused pinna- ja põhjavee nappuse ja reostusega võitlemiseks, sealhulgas digitaliseerimine, täppispõllumajandus, optimeeritud niisutamine ja niisutuse moderniseerimine ning ressursside ringkasutus, et parandada kliimamuutustele vastupanuvõimelist veemajandust ning pestitsiidide ja väetiste sihipärasemat kasutamist põllukultuuride puhul, vähem saastavaid ja ohutumaid alternatiive põllumajanduslikule sisendile, vastupidavamaid ja toitainesäästlikumaid sorte ning puhastatud reovee suuremat kasutamist põllumajanduslikuks niisutuseks. See peaks aitama kaasa kestliku ja vastupidava liidu toidusüsteemi saavutamisele, vähendades samal ajal põllumajandusest tulenevat hajureostust ja vajadust veevõtu järele põllumajanduses.</w:t>
      </w:r>
      <w:r w:rsidR="00653E56" w:rsidRPr="00CB2133">
        <w:rPr>
          <w:b/>
          <w:szCs w:val="24"/>
          <w:lang w:eastAsia="en-US"/>
        </w:rPr>
        <w:t xml:space="preserve"> [ME 14]</w:t>
      </w:r>
    </w:p>
    <w:p w14:paraId="6008C7EA" w14:textId="77777777" w:rsidR="007859A8" w:rsidRPr="00CB2133" w:rsidRDefault="007859A8">
      <w:pPr>
        <w:widowControl/>
        <w:rPr>
          <w:szCs w:val="24"/>
          <w:lang w:eastAsia="en-US"/>
        </w:rPr>
      </w:pPr>
      <w:r w:rsidRPr="00CB2133">
        <w:rPr>
          <w:szCs w:val="24"/>
          <w:lang w:eastAsia="en-US"/>
        </w:rPr>
        <w:br w:type="page"/>
      </w:r>
    </w:p>
    <w:p w14:paraId="5BCD46A6" w14:textId="30A5B475"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w:t>
      </w:r>
      <w:r w:rsidRPr="00CB2133">
        <w:rPr>
          <w:szCs w:val="24"/>
          <w:lang w:eastAsia="en-US"/>
        </w:rPr>
        <w:tab/>
        <w:t>Euroopa Liidu toimimise lepingu artikli 191 lõike 2 teise lause kohaselt peab liidu keskkonnapoliitika rajanema ettevaatusprintsiibil ja põhimõtetel, mille järgi tuleb võtta ennetusmeetmeid ja keskkonnakahjustus heastada eeskätt kahjustuse kohas, saastaja peab aga maksma.</w:t>
      </w:r>
    </w:p>
    <w:p w14:paraId="6D1C2751" w14:textId="3138E580" w:rsidR="00C45ED4" w:rsidRPr="00CB2133" w:rsidRDefault="00C45ED4" w:rsidP="00C45ED4">
      <w:pPr>
        <w:spacing w:before="120" w:after="120" w:line="360" w:lineRule="auto"/>
        <w:ind w:left="850" w:hanging="850"/>
        <w:rPr>
          <w:b/>
          <w:szCs w:val="24"/>
          <w:lang w:eastAsia="en-US"/>
        </w:rPr>
      </w:pPr>
      <w:r w:rsidRPr="00CB2133">
        <w:rPr>
          <w:b/>
          <w:i/>
          <w:szCs w:val="24"/>
          <w:lang w:eastAsia="en-US"/>
        </w:rPr>
        <w:t>(2a)</w:t>
      </w:r>
      <w:r w:rsidRPr="00CB2133">
        <w:rPr>
          <w:szCs w:val="24"/>
          <w:lang w:eastAsia="en-US"/>
        </w:rPr>
        <w:tab/>
      </w:r>
      <w:r w:rsidRPr="00CB2133">
        <w:rPr>
          <w:b/>
          <w:i/>
          <w:szCs w:val="24"/>
          <w:lang w:eastAsia="en-US"/>
        </w:rPr>
        <w:t>Püüdes saavutada keskkonnakaitse kõrget taset ja rakendades nullsaaste tegevuskava, peaks liit võtma arvesse olukorra erinevust ELi eri piirkondades, mõju toiduga kindlustatusele, toidu tootmist ja toidu taskukohasust ning tervislikku ja kestlikku toitumist.</w:t>
      </w:r>
      <w:r w:rsidR="00653E56" w:rsidRPr="00CB2133">
        <w:rPr>
          <w:b/>
          <w:szCs w:val="24"/>
          <w:lang w:eastAsia="en-US"/>
        </w:rPr>
        <w:t xml:space="preserve"> [ME 15]</w:t>
      </w:r>
    </w:p>
    <w:p w14:paraId="7695EFAB" w14:textId="77777777" w:rsidR="007859A8" w:rsidRPr="00CB2133" w:rsidRDefault="007859A8">
      <w:pPr>
        <w:widowControl/>
        <w:rPr>
          <w:szCs w:val="24"/>
          <w:lang w:eastAsia="en-US"/>
        </w:rPr>
      </w:pPr>
      <w:r w:rsidRPr="00CB2133">
        <w:rPr>
          <w:szCs w:val="24"/>
          <w:lang w:eastAsia="en-US"/>
        </w:rPr>
        <w:br w:type="page"/>
      </w:r>
    </w:p>
    <w:p w14:paraId="6C1D4689" w14:textId="4BEA4CED"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(3)</w:t>
      </w:r>
      <w:r w:rsidRPr="00CB2133">
        <w:rPr>
          <w:szCs w:val="24"/>
          <w:lang w:eastAsia="en-US"/>
        </w:rPr>
        <w:tab/>
        <w:t>Euroopa roheline kokkulepe</w:t>
      </w:r>
      <w:r w:rsidRPr="00CB2133">
        <w:rPr>
          <w:szCs w:val="24"/>
          <w:vertAlign w:val="superscript"/>
          <w:lang w:eastAsia="en-US"/>
        </w:rPr>
        <w:footnoteReference w:id="10"/>
      </w:r>
      <w:r w:rsidRPr="00CB2133">
        <w:rPr>
          <w:szCs w:val="24"/>
          <w:lang w:eastAsia="en-US"/>
        </w:rPr>
        <w:t xml:space="preserve"> on liidu strateegia selle tagamiseks, et 2050. aastaks jõutaks kliimaneutraalse saastevaba ringmajanduseni, kus ressursse hallatakse optimeeritult ja reostus on minimaalne. Euroopa rohelise kokkuleppega seotud reostusaspekte käsitletakse konkreetsemalt kestlikkust toetavas ELi kemikaalistrateegias</w:t>
      </w:r>
      <w:r w:rsidRPr="00CB2133">
        <w:rPr>
          <w:szCs w:val="24"/>
          <w:vertAlign w:val="superscript"/>
          <w:lang w:eastAsia="en-US"/>
        </w:rPr>
        <w:footnoteReference w:id="11"/>
      </w:r>
      <w:r w:rsidRPr="00CB2133">
        <w:rPr>
          <w:szCs w:val="24"/>
          <w:lang w:eastAsia="en-US"/>
        </w:rPr>
        <w:t xml:space="preserve"> ja nullsaaste tegevuskavas</w:t>
      </w:r>
      <w:r w:rsidRPr="00CB2133">
        <w:rPr>
          <w:szCs w:val="24"/>
          <w:vertAlign w:val="superscript"/>
          <w:lang w:eastAsia="en-US"/>
        </w:rPr>
        <w:footnoteReference w:id="12"/>
      </w:r>
      <w:r w:rsidRPr="00CB2133">
        <w:rPr>
          <w:szCs w:val="24"/>
          <w:lang w:eastAsia="en-US"/>
        </w:rPr>
        <w:t>. Muud iseäranis asjakohased ja täiendavad poliitikasuunad on muu hulgas ELi 2018. aasta plastistrateegia</w:t>
      </w:r>
      <w:r w:rsidRPr="00CB2133">
        <w:rPr>
          <w:szCs w:val="24"/>
          <w:vertAlign w:val="superscript"/>
          <w:lang w:eastAsia="en-US"/>
        </w:rPr>
        <w:footnoteReference w:id="13"/>
      </w:r>
      <w:r w:rsidRPr="00CB2133">
        <w:rPr>
          <w:szCs w:val="24"/>
          <w:lang w:eastAsia="en-US"/>
        </w:rPr>
        <w:t>, 2021. aasta Euroopa ravimistrateegia</w:t>
      </w:r>
      <w:r w:rsidRPr="00CB2133">
        <w:rPr>
          <w:szCs w:val="24"/>
          <w:vertAlign w:val="superscript"/>
          <w:lang w:eastAsia="en-US"/>
        </w:rPr>
        <w:footnoteReference w:id="14"/>
      </w:r>
      <w:r w:rsidRPr="00CB2133">
        <w:rPr>
          <w:szCs w:val="24"/>
          <w:lang w:eastAsia="en-US"/>
        </w:rPr>
        <w:t>, elurikkuse strateegia</w:t>
      </w:r>
      <w:r w:rsidRPr="00CB2133">
        <w:rPr>
          <w:szCs w:val="24"/>
          <w:vertAlign w:val="superscript"/>
          <w:lang w:eastAsia="en-US"/>
        </w:rPr>
        <w:footnoteReference w:id="15"/>
      </w:r>
      <w:r w:rsidRPr="00CB2133">
        <w:rPr>
          <w:szCs w:val="24"/>
          <w:lang w:eastAsia="en-US"/>
        </w:rPr>
        <w:t>, strateegia „Talust taldrikule“</w:t>
      </w:r>
      <w:r w:rsidRPr="00CB2133">
        <w:rPr>
          <w:szCs w:val="24"/>
          <w:vertAlign w:val="superscript"/>
          <w:lang w:eastAsia="en-US"/>
        </w:rPr>
        <w:footnoteReference w:id="16"/>
      </w:r>
      <w:r w:rsidRPr="00CB2133">
        <w:rPr>
          <w:szCs w:val="24"/>
          <w:lang w:eastAsia="en-US"/>
        </w:rPr>
        <w:t>, ELi mullastrateegia aastani 2030</w:t>
      </w:r>
      <w:r w:rsidRPr="00CB2133">
        <w:rPr>
          <w:szCs w:val="24"/>
          <w:vertAlign w:val="superscript"/>
          <w:lang w:eastAsia="en-US"/>
        </w:rPr>
        <w:footnoteReference w:id="17"/>
      </w:r>
      <w:r w:rsidRPr="00CB2133">
        <w:rPr>
          <w:szCs w:val="24"/>
          <w:lang w:eastAsia="en-US"/>
        </w:rPr>
        <w:t>, ELi digistrateegia</w:t>
      </w:r>
      <w:r w:rsidRPr="00CB2133">
        <w:rPr>
          <w:szCs w:val="24"/>
          <w:vertAlign w:val="superscript"/>
          <w:lang w:eastAsia="en-US"/>
        </w:rPr>
        <w:footnoteReference w:id="18"/>
      </w:r>
      <w:r w:rsidRPr="00CB2133">
        <w:rPr>
          <w:szCs w:val="24"/>
          <w:lang w:eastAsia="en-US"/>
        </w:rPr>
        <w:t xml:space="preserve"> ja ELi andmestrateegia</w:t>
      </w:r>
      <w:r w:rsidRPr="00CB2133">
        <w:rPr>
          <w:szCs w:val="24"/>
          <w:vertAlign w:val="superscript"/>
          <w:lang w:eastAsia="en-US"/>
        </w:rPr>
        <w:footnoteReference w:id="19"/>
      </w:r>
      <w:r w:rsidRPr="00CB2133">
        <w:rPr>
          <w:szCs w:val="24"/>
          <w:lang w:eastAsia="en-US"/>
        </w:rPr>
        <w:t>.</w:t>
      </w:r>
    </w:p>
    <w:p w14:paraId="517D4F5D" w14:textId="77777777" w:rsidR="007859A8" w:rsidRPr="00CB2133" w:rsidRDefault="007859A8">
      <w:pPr>
        <w:widowControl/>
        <w:rPr>
          <w:b/>
          <w:i/>
          <w:szCs w:val="24"/>
          <w:lang w:eastAsia="en-US"/>
        </w:rPr>
      </w:pPr>
      <w:r w:rsidRPr="00CB2133">
        <w:rPr>
          <w:b/>
          <w:i/>
          <w:szCs w:val="24"/>
          <w:lang w:eastAsia="en-US"/>
        </w:rPr>
        <w:br w:type="page"/>
      </w:r>
    </w:p>
    <w:p w14:paraId="3A27D634" w14:textId="752C1887"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(3a)</w:t>
      </w:r>
      <w:r w:rsidRPr="00CB2133">
        <w:rPr>
          <w:szCs w:val="24"/>
          <w:lang w:eastAsia="en-US"/>
        </w:rPr>
        <w:tab/>
      </w:r>
      <w:r w:rsidRPr="00CB2133">
        <w:rPr>
          <w:b/>
          <w:i/>
          <w:szCs w:val="24"/>
          <w:lang w:eastAsia="en-US"/>
        </w:rPr>
        <w:t>Veekogude hea seisundi saavutamise ja vee kättesaadavuse tagamise eesmärgid on valdkonnaülesed ja sageli ei taotleta neid piisavalt sidusalt. Hea veemajandus tuleks integreerida kõikidesse vett tarbivaid sektoreid käsitlevatesse liidu poliitikavaldkondadesse.</w:t>
      </w:r>
      <w:r w:rsidR="00653E56" w:rsidRPr="00CB2133">
        <w:rPr>
          <w:b/>
          <w:szCs w:val="24"/>
          <w:lang w:eastAsia="en-US"/>
        </w:rPr>
        <w:t xml:space="preserve"> [ME 16]</w:t>
      </w:r>
    </w:p>
    <w:p w14:paraId="25515A0A" w14:textId="2FA1BC96" w:rsidR="00C45ED4" w:rsidRPr="00CB2133" w:rsidRDefault="00C45ED4" w:rsidP="00C45ED4">
      <w:pPr>
        <w:spacing w:before="120" w:after="120" w:line="360" w:lineRule="auto"/>
        <w:ind w:left="850" w:hanging="850"/>
        <w:rPr>
          <w:b/>
          <w:szCs w:val="24"/>
          <w:lang w:eastAsia="en-US"/>
        </w:rPr>
      </w:pPr>
      <w:r w:rsidRPr="00CB2133">
        <w:rPr>
          <w:b/>
          <w:i/>
          <w:szCs w:val="24"/>
          <w:lang w:eastAsia="en-US"/>
        </w:rPr>
        <w:t>(3b)</w:t>
      </w:r>
      <w:r w:rsidRPr="00CB2133">
        <w:rPr>
          <w:szCs w:val="24"/>
          <w:lang w:eastAsia="en-US"/>
        </w:rPr>
        <w:tab/>
      </w:r>
      <w:r w:rsidRPr="00CB2133">
        <w:rPr>
          <w:b/>
          <w:i/>
          <w:szCs w:val="24"/>
          <w:lang w:eastAsia="en-US"/>
        </w:rPr>
        <w:t>Toimivuskontrollis toodi välja, et veealased eesmärgid tuleb põllumajanduspoliitikasse paremini integreerida. Uue ühise põllumajanduspoliitikaga (ÜPP) kehtestati meetmed, mis muudavad veemajanduse kestlikumaks. Selleks et suurendada põllumajandus- ja veepoliitika sidusust, peaksid liikmesriigid täielikult ära kasutama uue ÜPP pakutavaid võimalusi ja integreerima veeküsimused täielikult oma strateegiakavadesse, sealhulgas põllumajanduse teadmus- ja innovatsioonisüsteemide (AKIS) kasutusse, ning hõlbustama nõustamisteenuste väljatöötamist, et edendada veemajanduse parimaid tavasid.</w:t>
      </w:r>
      <w:r w:rsidR="00653E56" w:rsidRPr="00CB2133">
        <w:rPr>
          <w:b/>
          <w:szCs w:val="24"/>
          <w:lang w:eastAsia="en-US"/>
        </w:rPr>
        <w:t xml:space="preserve"> [ME 17]</w:t>
      </w:r>
    </w:p>
    <w:p w14:paraId="608AF3D8" w14:textId="77777777" w:rsidR="007859A8" w:rsidRPr="00CB2133" w:rsidRDefault="007859A8">
      <w:pPr>
        <w:widowControl/>
        <w:rPr>
          <w:szCs w:val="24"/>
          <w:lang w:eastAsia="en-US"/>
        </w:rPr>
      </w:pPr>
      <w:r w:rsidRPr="00CB2133">
        <w:rPr>
          <w:szCs w:val="24"/>
          <w:lang w:eastAsia="en-US"/>
        </w:rPr>
        <w:br w:type="page"/>
      </w:r>
    </w:p>
    <w:p w14:paraId="3CF8009C" w14:textId="2A55D1A6"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(4)</w:t>
      </w:r>
      <w:r w:rsidRPr="00CB2133">
        <w:rPr>
          <w:szCs w:val="24"/>
          <w:lang w:eastAsia="en-US"/>
        </w:rPr>
        <w:tab/>
        <w:t>Euroopa Parlamendi ja nõukogu direktiiviga 2000/60/EÜ</w:t>
      </w:r>
      <w:r w:rsidRPr="00CB2133">
        <w:rPr>
          <w:szCs w:val="24"/>
          <w:vertAlign w:val="superscript"/>
          <w:lang w:eastAsia="en-US"/>
        </w:rPr>
        <w:footnoteReference w:id="20"/>
      </w:r>
      <w:r w:rsidRPr="00CB2133">
        <w:rPr>
          <w:szCs w:val="24"/>
          <w:lang w:eastAsia="en-US"/>
        </w:rPr>
        <w:t xml:space="preserve"> on kehtestatud raamistik maismaa pinnavete, üleminekuvete, rannikuvete ja põhjavee kaitseks. Selle raamistiku alusel tehakse kindlaks prioriteetsed ained nende ainete hulgast, millest tuleneb liidu tasandil märkimisväärne veekeskkonnale või veekeskkonna kaudu avalduv risk. Euroopa Parlamendi ja nõukogu direktiivis 2008/105/EÜ</w:t>
      </w:r>
      <w:r w:rsidRPr="00CB2133">
        <w:rPr>
          <w:szCs w:val="24"/>
          <w:vertAlign w:val="superscript"/>
          <w:lang w:eastAsia="en-US"/>
        </w:rPr>
        <w:footnoteReference w:id="21"/>
      </w:r>
      <w:r w:rsidRPr="00CB2133">
        <w:rPr>
          <w:szCs w:val="24"/>
          <w:lang w:eastAsia="en-US"/>
        </w:rPr>
        <w:t xml:space="preserve"> on sätestatud kogu liidus kehtivad keskkonnakvaliteedi standardid direktiivi 2000/60/EÜ X lisas loetletud 45 prioriteetse aine jaoks ning kaheksa muu saasteaine jaoks, mida reguleeriti liidu tasandil juba enne X lisa lisamist Euroopa Parlamendi ja nõukogu otsusega nr 2455/2001/EÜ</w:t>
      </w:r>
      <w:r w:rsidRPr="00CB2133">
        <w:rPr>
          <w:szCs w:val="24"/>
          <w:vertAlign w:val="superscript"/>
          <w:lang w:eastAsia="en-US"/>
        </w:rPr>
        <w:footnoteReference w:id="22"/>
      </w:r>
      <w:r w:rsidRPr="00CB2133">
        <w:rPr>
          <w:szCs w:val="24"/>
          <w:lang w:eastAsia="en-US"/>
        </w:rPr>
        <w:t>. Euroopa Parlamendi ja nõukogu direktiivis 2006/118/EÜ</w:t>
      </w:r>
      <w:r w:rsidRPr="00CB2133">
        <w:rPr>
          <w:szCs w:val="24"/>
          <w:vertAlign w:val="superscript"/>
          <w:lang w:eastAsia="en-US"/>
        </w:rPr>
        <w:footnoteReference w:id="23"/>
      </w:r>
      <w:r w:rsidRPr="00CB2133">
        <w:rPr>
          <w:szCs w:val="24"/>
          <w:lang w:eastAsia="en-US"/>
        </w:rPr>
        <w:t xml:space="preserve"> on sätestatud kogu liidus kehtivad põhjavee kvaliteedi standardid nitraatide ja pestitsiidides sisalduvate toimeainete jaoks ning kriteeriumid muude põhjavee saasteainete suhtes riiklike läviväärtuste kehtestamiseks. Samuti on selles esitatud miinimumloetelu 12 saasteainest ja nendega seotud näitajatest, </w:t>
      </w:r>
      <w:r w:rsidRPr="00CB2133">
        <w:rPr>
          <w:strike/>
          <w:szCs w:val="24"/>
          <w:lang w:eastAsia="en-US"/>
        </w:rPr>
        <w:t>mida</w:t>
      </w:r>
      <w:r w:rsidRPr="00CB2133">
        <w:rPr>
          <w:b/>
          <w:i/>
          <w:szCs w:val="24"/>
          <w:lang w:eastAsia="en-US"/>
        </w:rPr>
        <w:t>mille jaoks</w:t>
      </w:r>
      <w:r w:rsidRPr="00CB2133">
        <w:rPr>
          <w:szCs w:val="24"/>
          <w:lang w:eastAsia="en-US"/>
        </w:rPr>
        <w:t xml:space="preserve"> liikmesriigid peavad </w:t>
      </w:r>
      <w:r w:rsidRPr="00CB2133">
        <w:rPr>
          <w:strike/>
          <w:szCs w:val="24"/>
          <w:lang w:eastAsia="en-US"/>
        </w:rPr>
        <w:t>kaaluma kõnealuste riiklike läviväärtuste kehtestamisel</w:t>
      </w:r>
      <w:r w:rsidRPr="00CB2133">
        <w:rPr>
          <w:b/>
          <w:i/>
          <w:szCs w:val="24"/>
          <w:lang w:eastAsia="en-US"/>
        </w:rPr>
        <w:t>kehtestama kõnealused riiklikud läviväärtused</w:t>
      </w:r>
      <w:r w:rsidRPr="00CB2133">
        <w:rPr>
          <w:szCs w:val="24"/>
          <w:lang w:eastAsia="en-US"/>
        </w:rPr>
        <w:t>. Põhjavee kvaliteedi standardid on esitatud direktiivi 2006/118/EÜ I lisas.</w:t>
      </w:r>
      <w:r w:rsidR="00653E56" w:rsidRPr="00CB2133">
        <w:rPr>
          <w:b/>
          <w:szCs w:val="24"/>
          <w:lang w:eastAsia="en-US"/>
        </w:rPr>
        <w:t xml:space="preserve"> [ME 18]</w:t>
      </w:r>
    </w:p>
    <w:p w14:paraId="610DC318" w14:textId="77777777" w:rsidR="007859A8" w:rsidRPr="00CB2133" w:rsidRDefault="007859A8">
      <w:pPr>
        <w:widowControl/>
        <w:rPr>
          <w:b/>
          <w:i/>
          <w:szCs w:val="24"/>
          <w:lang w:eastAsia="en-US"/>
        </w:rPr>
      </w:pPr>
      <w:r w:rsidRPr="00CB2133">
        <w:rPr>
          <w:b/>
          <w:i/>
          <w:szCs w:val="24"/>
          <w:lang w:eastAsia="en-US"/>
        </w:rPr>
        <w:br w:type="page"/>
      </w:r>
    </w:p>
    <w:p w14:paraId="113C2562" w14:textId="02629CBF"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(4a)</w:t>
      </w:r>
      <w:r w:rsidRPr="00CB2133">
        <w:rPr>
          <w:szCs w:val="24"/>
          <w:lang w:eastAsia="en-US"/>
        </w:rPr>
        <w:tab/>
      </w:r>
      <w:r w:rsidRPr="00CB2133">
        <w:rPr>
          <w:b/>
          <w:i/>
          <w:szCs w:val="24"/>
          <w:lang w:eastAsia="en-US"/>
        </w:rPr>
        <w:t>Liikmesriigid peaksid tagama, et prioriteetsete ohtlike ainete keskkonda juhtimisest, heitest või kaost tulenev reostus lõpetatakse või kõrvaldatakse järk-järgult asjakohase tähtaja jooksul ja mingil juhul hiljemalt kui 20 aastat pärast seda, kui prioriteetne aine on kantud direktiivi 2008/105/EÜ I lisa A osas esitatud ohtlike ainete loetellu. Seda ajakava tuleks kohaldada, ilma et see piiraks muudes liidu õigusaktides sätestatud rangemate tähtaegade täitmist.</w:t>
      </w:r>
      <w:r w:rsidR="00653E56" w:rsidRPr="00CB2133">
        <w:rPr>
          <w:b/>
          <w:szCs w:val="24"/>
          <w:lang w:eastAsia="en-US"/>
        </w:rPr>
        <w:t xml:space="preserve"> [ME 19]</w:t>
      </w:r>
    </w:p>
    <w:p w14:paraId="4B72E9BB" w14:textId="59E0ECE3" w:rsidR="00C45ED4" w:rsidRPr="00CB2133" w:rsidRDefault="00C45ED4" w:rsidP="00C45ED4">
      <w:pPr>
        <w:spacing w:before="120" w:after="120" w:line="360" w:lineRule="auto"/>
        <w:ind w:left="850" w:hanging="850"/>
        <w:rPr>
          <w:b/>
          <w:szCs w:val="24"/>
          <w:lang w:eastAsia="en-US"/>
        </w:rPr>
      </w:pPr>
      <w:r w:rsidRPr="00CB2133">
        <w:rPr>
          <w:szCs w:val="24"/>
          <w:lang w:eastAsia="en-US"/>
        </w:rPr>
        <w:t>(5)</w:t>
      </w:r>
      <w:r w:rsidRPr="00CB2133">
        <w:rPr>
          <w:szCs w:val="24"/>
          <w:lang w:eastAsia="en-US"/>
        </w:rPr>
        <w:tab/>
        <w:t xml:space="preserve">Ainete kandmist direktiivi 2000/60/EÜ X lisasse või direktiivi 2006/118/EÜ I või II lisasse kaalutakse lähtuvalt neist inimestele ja veekeskkonnale tuleneva riski hindamisest. Selle hindamise põhielemendid on teadmised ainete sisalduse kohta keskkonnas, sealhulgas jälgimisnimekirjapõhise seire käigus kogutud teave, ning teadmised ainete (öko)toksikoloogia ning ka nende püsivuse, bioakumuleerumise, </w:t>
      </w:r>
      <w:r w:rsidRPr="00CB2133">
        <w:rPr>
          <w:b/>
          <w:i/>
          <w:szCs w:val="24"/>
          <w:lang w:eastAsia="en-US"/>
        </w:rPr>
        <w:t xml:space="preserve">toksilisuse, mobiilsuse, </w:t>
      </w:r>
      <w:r w:rsidRPr="00CB2133">
        <w:rPr>
          <w:szCs w:val="24"/>
          <w:lang w:eastAsia="en-US"/>
        </w:rPr>
        <w:t>kantserogeensuse, mutageensuse, reproduktiivtoksilisuse ja võimaliku endokriinfunktsiooni kahjustava toime kohta.</w:t>
      </w:r>
      <w:r w:rsidR="00653E56" w:rsidRPr="00CB2133">
        <w:rPr>
          <w:b/>
          <w:szCs w:val="24"/>
          <w:lang w:eastAsia="en-US"/>
        </w:rPr>
        <w:t xml:space="preserve"> [ME 20]</w:t>
      </w:r>
    </w:p>
    <w:p w14:paraId="3B737D1F" w14:textId="77777777" w:rsidR="007859A8" w:rsidRPr="00CB2133" w:rsidRDefault="007859A8">
      <w:pPr>
        <w:widowControl/>
        <w:rPr>
          <w:szCs w:val="24"/>
          <w:lang w:eastAsia="en-US"/>
        </w:rPr>
      </w:pPr>
      <w:r w:rsidRPr="00CB2133">
        <w:rPr>
          <w:szCs w:val="24"/>
          <w:lang w:eastAsia="en-US"/>
        </w:rPr>
        <w:br w:type="page"/>
      </w:r>
    </w:p>
    <w:p w14:paraId="127D8F91" w14:textId="68024DE7"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(6)</w:t>
      </w:r>
      <w:r w:rsidRPr="00CB2133">
        <w:rPr>
          <w:szCs w:val="24"/>
          <w:lang w:eastAsia="en-US"/>
        </w:rPr>
        <w:tab/>
        <w:t>Komisjon on läbi vaadanud direktiivi 2000/60/EÜ X lisas esitatud prioriteetsete ainete nimistu kooskõlas nimetatud direktiivi artikli 16 lõikega 4 ja direktiivi 2008/105/EÜ artikliga 8 ning direktiivi 2006/118/EÜ I ja II lisas esitatud ainete loetelud kooskõlas nimetatud direktiivi artikliga 10 ning on uute teaduslike teadmiste põhjal jõudnud järeldusele, et on asjakohane neid loetelusid muuta ja lisada sinna uued ained, kehtestada nende uute lisatavate ainete jaoks keskkonnakvaliteedi standardid või põhjavee kvaliteedi standardid, muuta teaduse arengust tulenevalt mõne olemasoleva aine puhul keskkonnakvaliteedi standardeid ja kehtestada mõne olemasoleva ja uue lisatava aine jaoks elustikuga seotud keskkonnakvaliteedi standardid. Ühtlasi on komisjon kindlaks teinud, millised ained veel tõenäoliselt settes või elustikus akumuleeruvad, ning selgitanud, et tuleks jälgida selliste ainetega seotud suundumusi settes või elustikus. Kõnealuste ainete loetelude läbivaatamisel on tuginetud ulatuslikele konsultatsioonidele ekspertidega komisjoni talitustest, liikmesriikidest, sidusrühmadest ning tervise-, keskkonna- ja uute riskide teaduskomiteest.</w:t>
      </w:r>
    </w:p>
    <w:p w14:paraId="3BD78F27" w14:textId="77777777" w:rsidR="007859A8" w:rsidRPr="00CB2133" w:rsidRDefault="007859A8">
      <w:pPr>
        <w:widowControl/>
        <w:rPr>
          <w:szCs w:val="24"/>
          <w:lang w:eastAsia="en-US"/>
        </w:rPr>
      </w:pPr>
      <w:r w:rsidRPr="00CB2133">
        <w:rPr>
          <w:szCs w:val="24"/>
          <w:lang w:eastAsia="en-US"/>
        </w:rPr>
        <w:br w:type="page"/>
      </w:r>
    </w:p>
    <w:p w14:paraId="75F95EFA" w14:textId="6DDB7259"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(7)</w:t>
      </w:r>
      <w:r w:rsidRPr="00CB2133">
        <w:rPr>
          <w:szCs w:val="24"/>
          <w:lang w:eastAsia="en-US"/>
        </w:rPr>
        <w:tab/>
        <w:t xml:space="preserve">Enamiku saasteainete puhul on selleks, et tegeleda nendega tõhusalt kogu nende olelusringi vältel, sealhulgas vajaduse korral keemilise koostise kavandamisel, loa või heakskiidu andmisel, tootmise ja kasutamise või muude protsesside käigus tekkivate heitkoguste vähendamisel ning jäätmete käitlemisel, vaja kombinatsiooni </w:t>
      </w:r>
      <w:r w:rsidRPr="00CB2133">
        <w:rPr>
          <w:strike/>
          <w:szCs w:val="24"/>
          <w:lang w:eastAsia="en-US"/>
        </w:rPr>
        <w:t>allika tasandil</w:t>
      </w:r>
      <w:r w:rsidRPr="00CB2133">
        <w:rPr>
          <w:b/>
          <w:i/>
          <w:szCs w:val="24"/>
          <w:lang w:eastAsia="en-US"/>
        </w:rPr>
        <w:t>tekkekohas</w:t>
      </w:r>
      <w:r w:rsidRPr="00CB2133">
        <w:rPr>
          <w:szCs w:val="24"/>
          <w:lang w:eastAsia="en-US"/>
        </w:rPr>
        <w:t xml:space="preserve"> kohaldatavatest ja keskkonda juhtimise kohas rakendatavatest meetmetest. Sellest tulenevalt täiendatakse veekogudega seotud uute või rangemate kvaliteedistandardite kehtestamisega liidu muid õigusnorme, milles on käsitletud või </w:t>
      </w:r>
      <w:r w:rsidRPr="00CB2133">
        <w:rPr>
          <w:strike/>
          <w:szCs w:val="24"/>
          <w:lang w:eastAsia="en-US"/>
        </w:rPr>
        <w:t>saaks käsitleda</w:t>
      </w:r>
      <w:r w:rsidRPr="00CB2133">
        <w:rPr>
          <w:b/>
          <w:i/>
          <w:szCs w:val="24"/>
          <w:lang w:eastAsia="en-US"/>
        </w:rPr>
        <w:t>peaks käsitlema</w:t>
      </w:r>
      <w:r w:rsidRPr="00CB2133">
        <w:rPr>
          <w:szCs w:val="24"/>
          <w:lang w:eastAsia="en-US"/>
        </w:rPr>
        <w:t xml:space="preserve"> reostusprobleemi ühes või mitmes eespool nimetatud etapis, ning tagatakse kooskõla nende õigusnormidega, mis on muu hulgas sätestatud Euroopa Parlamendi ja nõukogu määruses (EÜ) nr 1907/2006</w:t>
      </w:r>
      <w:r w:rsidRPr="00CB2133">
        <w:rPr>
          <w:szCs w:val="24"/>
          <w:vertAlign w:val="superscript"/>
          <w:lang w:eastAsia="en-US"/>
        </w:rPr>
        <w:footnoteReference w:id="24"/>
      </w:r>
      <w:r w:rsidRPr="00CB2133">
        <w:rPr>
          <w:szCs w:val="24"/>
          <w:lang w:eastAsia="en-US"/>
        </w:rPr>
        <w:t>, Euroopa Parlamendi ja nõukogu määruses (EÜ) nr 1107/2009</w:t>
      </w:r>
      <w:r w:rsidRPr="00CB2133">
        <w:rPr>
          <w:szCs w:val="24"/>
          <w:vertAlign w:val="superscript"/>
          <w:lang w:eastAsia="en-US"/>
        </w:rPr>
        <w:footnoteReference w:id="25"/>
      </w:r>
      <w:r w:rsidRPr="00CB2133">
        <w:rPr>
          <w:szCs w:val="24"/>
          <w:lang w:eastAsia="en-US"/>
        </w:rPr>
        <w:t>, Euroopa Parlamendi ja nõukogu määruses (EL) nr 528/2012</w:t>
      </w:r>
      <w:r w:rsidRPr="00CB2133">
        <w:rPr>
          <w:szCs w:val="24"/>
          <w:vertAlign w:val="superscript"/>
          <w:lang w:eastAsia="en-US"/>
        </w:rPr>
        <w:footnoteReference w:id="26"/>
      </w:r>
      <w:r w:rsidRPr="00CB2133">
        <w:rPr>
          <w:szCs w:val="24"/>
          <w:lang w:eastAsia="en-US"/>
        </w:rPr>
        <w:t>, Euroopa Parlamendi ja nõukogu määruses (EL) 2019/6</w:t>
      </w:r>
      <w:r w:rsidRPr="00CB2133">
        <w:rPr>
          <w:szCs w:val="24"/>
          <w:vertAlign w:val="superscript"/>
          <w:lang w:eastAsia="en-US"/>
        </w:rPr>
        <w:footnoteReference w:id="27"/>
      </w:r>
      <w:r w:rsidRPr="00CB2133">
        <w:rPr>
          <w:szCs w:val="24"/>
          <w:lang w:eastAsia="en-US"/>
        </w:rPr>
        <w:t>, Euroopa Parlamendi ja nõukogu direktiivis 2001/83/EÜ</w:t>
      </w:r>
      <w:r w:rsidRPr="00CB2133">
        <w:rPr>
          <w:szCs w:val="24"/>
          <w:vertAlign w:val="superscript"/>
          <w:lang w:eastAsia="en-US"/>
        </w:rPr>
        <w:footnoteReference w:id="28"/>
      </w:r>
      <w:r w:rsidRPr="00CB2133">
        <w:rPr>
          <w:szCs w:val="24"/>
          <w:lang w:eastAsia="en-US"/>
        </w:rPr>
        <w:t>, Euroopa Parlamendi ja nõukogu direktiivis 2009/128/EÜ</w:t>
      </w:r>
      <w:r w:rsidRPr="00CB2133">
        <w:rPr>
          <w:szCs w:val="24"/>
          <w:vertAlign w:val="superscript"/>
          <w:lang w:eastAsia="en-US"/>
        </w:rPr>
        <w:footnoteReference w:id="29"/>
      </w:r>
      <w:r w:rsidRPr="00CB2133">
        <w:rPr>
          <w:szCs w:val="24"/>
          <w:lang w:eastAsia="en-US"/>
        </w:rPr>
        <w:t>, Euroopa Parlamendi ja nõukogu direktiivis 2010/75/EL</w:t>
      </w:r>
      <w:r w:rsidRPr="00CB2133">
        <w:rPr>
          <w:szCs w:val="24"/>
          <w:vertAlign w:val="superscript"/>
          <w:lang w:eastAsia="en-US"/>
        </w:rPr>
        <w:footnoteReference w:id="30"/>
      </w:r>
      <w:r w:rsidRPr="00CB2133">
        <w:rPr>
          <w:szCs w:val="24"/>
          <w:lang w:eastAsia="en-US"/>
        </w:rPr>
        <w:t xml:space="preserve"> ning nõukogu direktiivis 91/271/EMÜ</w:t>
      </w:r>
      <w:r w:rsidRPr="00CB2133">
        <w:rPr>
          <w:szCs w:val="24"/>
          <w:vertAlign w:val="superscript"/>
          <w:lang w:eastAsia="en-US"/>
        </w:rPr>
        <w:footnoteReference w:id="31"/>
      </w:r>
      <w:r w:rsidRPr="00CB2133">
        <w:rPr>
          <w:szCs w:val="24"/>
          <w:lang w:eastAsia="en-US"/>
        </w:rPr>
        <w:t>.</w:t>
      </w:r>
      <w:r w:rsidRPr="00CB2133">
        <w:rPr>
          <w:b/>
          <w:i/>
          <w:szCs w:val="24"/>
          <w:lang w:eastAsia="en-US"/>
        </w:rPr>
        <w:t xml:space="preserve"> Selleks et liikmesriigid saavutaksid direktiivi 2000/60/EÜ artiklis 4 sätestatud keskkonnaalased eesmärgid parimal ja kulutõhusamal viisil, peaksid nad oma meetmeprogrammide kehtestamisel tagama, et keskkonda juhtimise kohas rakendatavatele meetmetele eelistatakse tekkekohas </w:t>
      </w:r>
      <w:r w:rsidRPr="00CB2133">
        <w:rPr>
          <w:b/>
          <w:i/>
          <w:szCs w:val="24"/>
          <w:lang w:eastAsia="en-US"/>
        </w:rPr>
        <w:lastRenderedPageBreak/>
        <w:t>kohaldatavaid meetmeid ning et need meetmed on kooskõlas asjakohaste saastust käsitlevate liidu valdkondlike õigusaktidega. Kui on oht, et tekkekohas kohaldatavate meetmetega ei saavutata veekogude head seisundit, tuleks kohaldada keskkonda juhtimise kohas rakendatavaid meetmeid. Komisjon peaks välja töötama suunised tekkekohas kohaldatavate meetmete parimate tavade ja keskkonda juhtimise kohas rakendatavate meetmete vastastikuse täiendavuse kohta.</w:t>
      </w:r>
      <w:r w:rsidR="00653E56" w:rsidRPr="00CB2133">
        <w:rPr>
          <w:b/>
          <w:szCs w:val="24"/>
          <w:lang w:eastAsia="en-US"/>
        </w:rPr>
        <w:t xml:space="preserve"> [ME 21]</w:t>
      </w:r>
    </w:p>
    <w:p w14:paraId="0ADC3AF8" w14:textId="77777777" w:rsidR="007859A8" w:rsidRPr="00CB2133" w:rsidRDefault="007859A8">
      <w:pPr>
        <w:widowControl/>
        <w:rPr>
          <w:b/>
          <w:i/>
          <w:szCs w:val="24"/>
          <w:lang w:eastAsia="en-US"/>
        </w:rPr>
      </w:pPr>
      <w:r w:rsidRPr="00CB2133">
        <w:rPr>
          <w:b/>
          <w:i/>
          <w:szCs w:val="24"/>
          <w:lang w:eastAsia="en-US"/>
        </w:rPr>
        <w:br w:type="page"/>
      </w:r>
    </w:p>
    <w:p w14:paraId="7ABD8A96" w14:textId="111B59A7"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(7a)</w:t>
      </w:r>
      <w:r w:rsidRPr="00CB2133">
        <w:rPr>
          <w:szCs w:val="24"/>
          <w:lang w:eastAsia="en-US"/>
        </w:rPr>
        <w:tab/>
      </w:r>
      <w:r w:rsidRPr="00CB2133">
        <w:rPr>
          <w:b/>
          <w:i/>
          <w:szCs w:val="24"/>
          <w:lang w:eastAsia="en-US"/>
        </w:rPr>
        <w:t>Veereostus tuleneb peamiselt tööstus- ja põllumajandustegevusest, reovee ärajuhtimisest ja linnade äravooluveest, sealhulgas sademeveest. Komisjon ja liikmesriigid peaksid oma tegevuses seadma prioriteediks meetmed saaste vähendamiseks tekkekohas ja nende jõustamiseks. Selleks tuleks tagada sidusus kõigi liidu ja riiklike õigusaktide vahel, mis käsitlevad saasteainete heidet tekkekohas, et vähendada saastet tasemeni, mida ei peeta enam tervisele ja looduslikele ökosüsteemidele kahjulikuks.</w:t>
      </w:r>
      <w:r w:rsidR="00653E56" w:rsidRPr="00CB2133">
        <w:rPr>
          <w:b/>
          <w:szCs w:val="24"/>
          <w:lang w:eastAsia="en-US"/>
        </w:rPr>
        <w:t xml:space="preserve"> [ME 22]</w:t>
      </w:r>
    </w:p>
    <w:p w14:paraId="46E084AD" w14:textId="77777777" w:rsidR="007859A8" w:rsidRPr="00CB2133" w:rsidRDefault="007859A8">
      <w:pPr>
        <w:widowControl/>
        <w:rPr>
          <w:b/>
          <w:i/>
          <w:szCs w:val="24"/>
          <w:lang w:eastAsia="en-US"/>
        </w:rPr>
      </w:pPr>
      <w:r w:rsidRPr="00CB2133">
        <w:rPr>
          <w:b/>
          <w:i/>
          <w:szCs w:val="24"/>
          <w:lang w:eastAsia="en-US"/>
        </w:rPr>
        <w:br w:type="page"/>
      </w:r>
    </w:p>
    <w:p w14:paraId="547AA0BD" w14:textId="1F3147A3"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(7b)</w:t>
      </w:r>
      <w:r w:rsidRPr="00CB2133">
        <w:rPr>
          <w:szCs w:val="24"/>
          <w:lang w:eastAsia="en-US"/>
        </w:rPr>
        <w:tab/>
      </w:r>
      <w:r w:rsidRPr="00CB2133">
        <w:rPr>
          <w:b/>
          <w:i/>
          <w:szCs w:val="24"/>
          <w:lang w:eastAsia="en-US"/>
        </w:rPr>
        <w:t>Tagamaks, et pinna- ja põhjavee reostuse vältimiseks mõeldud õigusaktid on ajakohased seoses selliste uute ja tekkivate kemikaalide kiire arenguga, mis võivad saasteainetena põhjustada märkimisväärset ohtu inimeste tervisele ja veekeskkonnale, tuleks tugevdada poliitikamehhanisme selliste esilekerkivate probleemsete ainete avastamiseks ja hindamiseks. Sellega seoses tuleks välja töötada lähenemisviis, mis võimaldab jälgida ja analüüsida täiendavat hulka pinna- ja põhjavee jälgimisnimekirjadesse kuuluvaid aineid või ainerühmi. Jälgimisnimekirja kantavad ained või ainerühmad tuleks valida nende ainete hulgast, mille kohta kättesaadav teave näitab, et need võivad liidu tasandil kujutada endast märkimisväärset ohtu veekeskkonnale või selle kaudu ning mille seireandmed ei ole piisavad. Pinna- ja põhjavee jälgimisnimekirjade alusel kontrollitavate ja analüüsitavate ainete või ainerühmade arvu ei tohiks piirata.</w:t>
      </w:r>
      <w:r w:rsidR="00653E56" w:rsidRPr="00CB2133">
        <w:rPr>
          <w:b/>
          <w:szCs w:val="24"/>
          <w:lang w:eastAsia="en-US"/>
        </w:rPr>
        <w:t xml:space="preserve"> [ME 23]</w:t>
      </w:r>
    </w:p>
    <w:p w14:paraId="1E1A7B14" w14:textId="77777777" w:rsidR="007859A8" w:rsidRPr="00CB2133" w:rsidRDefault="007859A8">
      <w:pPr>
        <w:widowControl/>
        <w:rPr>
          <w:szCs w:val="24"/>
          <w:lang w:eastAsia="en-US"/>
        </w:rPr>
      </w:pPr>
      <w:r w:rsidRPr="00CB2133">
        <w:rPr>
          <w:szCs w:val="24"/>
          <w:lang w:eastAsia="en-US"/>
        </w:rPr>
        <w:br w:type="page"/>
      </w:r>
    </w:p>
    <w:p w14:paraId="7F75636C" w14:textId="03C7884B"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(8)</w:t>
      </w:r>
      <w:r w:rsidRPr="00CB2133">
        <w:rPr>
          <w:szCs w:val="24"/>
          <w:lang w:eastAsia="en-US"/>
        </w:rPr>
        <w:tab/>
        <w:t xml:space="preserve">Uutest teadusandmetest nähtub, et peale juba reguleeritud saasteainete leidub veekogudes mitmeid muid märkimisväärset riski põhjustavaid saasteaineid.Põhjavees on vabatahtliku seire tulemusena tuvastatud konkreetne probleem seoses perfluoritud ja polüfluoritud alküülühendite (PFAS) ja ravimitega. PFASe on liidus leitud enam kui 70 protsendis põhjavee mõõtepunktidest ning paljudes kohtades on kehtivad riiklikud läviväärtused ületatud; samuti tuvastatakse sageli ravimeid. </w:t>
      </w:r>
      <w:r w:rsidRPr="00CB2133">
        <w:rPr>
          <w:b/>
          <w:i/>
          <w:szCs w:val="24"/>
          <w:lang w:eastAsia="en-US"/>
        </w:rPr>
        <w:t xml:space="preserve">Seetõttu tuleks põhjavee saasteainete loetellu lisada eri PFASide alamhulk ja PFASid kokku. </w:t>
      </w:r>
      <w:r w:rsidRPr="00CB2133">
        <w:rPr>
          <w:szCs w:val="24"/>
          <w:lang w:eastAsia="en-US"/>
        </w:rPr>
        <w:t xml:space="preserve">Pinnaveekogude puhul on perfluorooktaansulfoonhape ja selle derivaadid juba loetletud prioriteetsete ainetena, kuid nüüd peetakse riski põhjustavateks ka teisi PFASe. </w:t>
      </w:r>
      <w:r w:rsidRPr="00CB2133">
        <w:rPr>
          <w:b/>
          <w:i/>
          <w:szCs w:val="24"/>
          <w:lang w:eastAsia="en-US"/>
        </w:rPr>
        <w:t xml:space="preserve">Seetõttu tuleks prioriteetsete ainete nimistusse lisada eri PFASide alamhulk ja PFASid kokku. Selleks, et tagada liidus ühtlustatud lähenemisviis ja võrdsed tingimused, tuleks komisjonile anda õigus võtta kooskõlas ELi toimimise lepingu artikliga 290 vastu õigusakte direktiivi 2006/118/EÜ I lisa muutmiseks, kehtestades kvaliteedistandardi PFASide üldkoguse jaoks. </w:t>
      </w:r>
      <w:r w:rsidRPr="00CB2133">
        <w:rPr>
          <w:szCs w:val="24"/>
          <w:lang w:eastAsia="en-US"/>
        </w:rPr>
        <w:t>Direktiivi 2008/105/EÜ artikli 8b kohase jälgimisnimekirjapõhise seire käigus on</w:t>
      </w:r>
      <w:r w:rsidRPr="00CB2133">
        <w:rPr>
          <w:b/>
          <w:i/>
          <w:szCs w:val="24"/>
          <w:lang w:eastAsia="en-US"/>
        </w:rPr>
        <w:t xml:space="preserve"> ka</w:t>
      </w:r>
      <w:r w:rsidRPr="00CB2133">
        <w:rPr>
          <w:szCs w:val="24"/>
          <w:lang w:eastAsia="en-US"/>
        </w:rPr>
        <w:t xml:space="preserve"> kinnitust leidnud, et pinnaveekogudes põhjustavad riski mitmed ravimid, mis tuleks seepärast lisada prioriteetsete ainete nimistusse.</w:t>
      </w:r>
      <w:r w:rsidR="00653E56" w:rsidRPr="00CB2133">
        <w:rPr>
          <w:b/>
          <w:szCs w:val="24"/>
          <w:lang w:eastAsia="en-US"/>
        </w:rPr>
        <w:t xml:space="preserve"> [ME 24]</w:t>
      </w:r>
    </w:p>
    <w:p w14:paraId="384D0E6C" w14:textId="77777777" w:rsidR="007859A8" w:rsidRPr="00CB2133" w:rsidRDefault="007859A8">
      <w:pPr>
        <w:widowControl/>
        <w:rPr>
          <w:b/>
          <w:i/>
          <w:szCs w:val="24"/>
          <w:lang w:eastAsia="en-US"/>
        </w:rPr>
      </w:pPr>
      <w:r w:rsidRPr="00CB2133">
        <w:rPr>
          <w:b/>
          <w:i/>
          <w:szCs w:val="24"/>
          <w:lang w:eastAsia="en-US"/>
        </w:rPr>
        <w:br w:type="page"/>
      </w:r>
    </w:p>
    <w:p w14:paraId="55743499" w14:textId="15B7B8B6"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(8a)</w:t>
      </w:r>
      <w:r w:rsidRPr="00CB2133">
        <w:rPr>
          <w:szCs w:val="24"/>
          <w:lang w:eastAsia="en-US"/>
        </w:rPr>
        <w:tab/>
      </w:r>
      <w:r w:rsidRPr="00CB2133">
        <w:rPr>
          <w:b/>
          <w:i/>
          <w:szCs w:val="24"/>
          <w:lang w:eastAsia="en-US"/>
        </w:rPr>
        <w:t>Glüfosaat on herbitsiid, mida liidus põllumajanduslikul otstarbel kõige sagedamini kasutatakse. Toimeainena on see tekitanud tõsist muret seoses selle mõjuga inimeste tervisele ja veekeskkonnale avalduva mürgisusega. Komisjon otsustas 2022. aasta detsembris pikendada glüfosaadi müügiluba ajutiselt veel üheks aastaks, kuni Euroopa Toiduohutusamet avaldab 2023. aasta juulis selle toimeaine uue hinnangu. Mitmetest hiljutistest teadusuuringutest</w:t>
      </w:r>
      <w:r w:rsidRPr="00CB2133">
        <w:rPr>
          <w:szCs w:val="24"/>
          <w:vertAlign w:val="superscript"/>
          <w:lang w:eastAsia="en-US"/>
        </w:rPr>
        <w:footnoteReference w:id="32"/>
      </w:r>
      <w:r w:rsidRPr="00CB2133">
        <w:rPr>
          <w:b/>
          <w:i/>
          <w:szCs w:val="24"/>
          <w:lang w:eastAsia="en-US"/>
        </w:rPr>
        <w:t xml:space="preserve"> ilmneb siiski, et glüfosaadi, aminometüülfosfoonhappe (AMPA) ja glüfosaadipõhiste herbitsiidide veekeskkonnale avalduva mürgise mõju tõttu tuleks kaaluda kõigi pinnaveekogude puhul 0,1 μg/l sisaldusest madalama keskkonnakvaliteedi standardi kehtestamist. Võttes arvesse liidu pädevate reguleerimisasutuste pooleli olevaid hindamisi ja selliste asjakohaste uuringute teaduslikke tulemusi, mis käsitlevad glüfosaadi mõju veeorganismidele, ning selleks, et tagada enamiku liidu vete hea keemiline seisund ettevaatuspõhimõtte alusel, tuleks maismaa pinnavete ja eraldi muude pinnavete jaoks vastu võtta ühine ja ühtne aasta keskmise väärtusena väljendatud glüfosaadi keskkonnakvaliteedi standard (AA-EQS).</w:t>
      </w:r>
      <w:r w:rsidR="00653E56" w:rsidRPr="00CB2133">
        <w:rPr>
          <w:b/>
          <w:szCs w:val="24"/>
          <w:lang w:eastAsia="en-US"/>
        </w:rPr>
        <w:t xml:space="preserve"> [ME 25]</w:t>
      </w:r>
    </w:p>
    <w:p w14:paraId="4B5B0982" w14:textId="77777777" w:rsidR="007859A8" w:rsidRPr="00CB2133" w:rsidRDefault="007859A8">
      <w:pPr>
        <w:widowControl/>
        <w:rPr>
          <w:b/>
          <w:i/>
          <w:szCs w:val="24"/>
          <w:lang w:eastAsia="en-US"/>
        </w:rPr>
      </w:pPr>
      <w:r w:rsidRPr="00CB2133">
        <w:rPr>
          <w:b/>
          <w:i/>
          <w:szCs w:val="24"/>
          <w:lang w:eastAsia="en-US"/>
        </w:rPr>
        <w:br w:type="page"/>
      </w:r>
    </w:p>
    <w:p w14:paraId="6612AFEA" w14:textId="6B20911D"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(8b)</w:t>
      </w:r>
      <w:r w:rsidRPr="00CB2133">
        <w:rPr>
          <w:szCs w:val="24"/>
          <w:lang w:eastAsia="en-US"/>
        </w:rPr>
        <w:tab/>
      </w:r>
      <w:r w:rsidRPr="00CB2133">
        <w:rPr>
          <w:b/>
          <w:i/>
          <w:szCs w:val="24"/>
          <w:lang w:eastAsia="en-US"/>
        </w:rPr>
        <w:t>Atrasiin on herbitsiid, mida kasutatakse üheaastase laialeheliste umbrohtude ja üheaastaste heintaimede vastu teraviljas. Komisjoni otsuse 2004/248/EÜ</w:t>
      </w:r>
      <w:r w:rsidRPr="00CB2133">
        <w:rPr>
          <w:szCs w:val="24"/>
          <w:vertAlign w:val="superscript"/>
          <w:lang w:eastAsia="en-US"/>
        </w:rPr>
        <w:footnoteReference w:id="33"/>
      </w:r>
      <w:r w:rsidRPr="00CB2133">
        <w:rPr>
          <w:b/>
          <w:i/>
          <w:szCs w:val="24"/>
          <w:lang w:eastAsia="en-US"/>
        </w:rPr>
        <w:t xml:space="preserve"> kohaselt ei ole atrasiini kasutamine taimekaitsevahendites liidus enam lubatud. Atrasiin on osutunud endokriinfunktsiooni kahjustavaks kemikaaliks ja on tõendid selle kohta, et see häirib paljunemist ja arengut ning võib põhjustada vähki. Euroopa Keskkonnaamet, hinnates pestitsiide mõju või kvaliteedikünniste alusel aastatel 2013–2020, leidis, et ühe või mitme pestitsiidi, peamiselt atrasiini ja selle metaboliitide ületamine oli 4–11 % põhjavee seirekohtadest. Võttes arvesse selle püsivat sisaldust liidu pinna- ja põhjavees ning tagamaks, et atrasiini läviväärtused ei ületa pestitsiidide ja metaboliitide keskkonnakvaliteedi standardeid kokku, tuleks direktiivi 2008/105/EÜ I lisas esitatud atrasiini läviväärtust kohandada ka kooskõlas direktiivis (EL) 2020/2184 sama aine jaoks sätestatud läviväärtusega</w:t>
      </w:r>
      <w:r w:rsidRPr="00CB2133">
        <w:rPr>
          <w:szCs w:val="24"/>
          <w:vertAlign w:val="superscript"/>
          <w:lang w:eastAsia="en-US"/>
        </w:rPr>
        <w:footnoteReference w:id="34"/>
      </w:r>
      <w:r w:rsidRPr="00CB2133">
        <w:rPr>
          <w:b/>
          <w:i/>
          <w:szCs w:val="24"/>
          <w:lang w:eastAsia="en-US"/>
        </w:rPr>
        <w:t>.</w:t>
      </w:r>
      <w:r w:rsidR="00653E56" w:rsidRPr="00CB2133">
        <w:rPr>
          <w:b/>
          <w:szCs w:val="24"/>
          <w:lang w:eastAsia="en-US"/>
        </w:rPr>
        <w:t xml:space="preserve"> [ME 26]</w:t>
      </w:r>
    </w:p>
    <w:p w14:paraId="5AAAC2EA" w14:textId="77777777" w:rsidR="007859A8" w:rsidRPr="00CB2133" w:rsidRDefault="007859A8">
      <w:pPr>
        <w:widowControl/>
        <w:rPr>
          <w:b/>
          <w:i/>
          <w:szCs w:val="24"/>
          <w:lang w:eastAsia="en-US"/>
        </w:rPr>
      </w:pPr>
      <w:r w:rsidRPr="00CB2133">
        <w:rPr>
          <w:b/>
          <w:i/>
          <w:szCs w:val="24"/>
          <w:lang w:eastAsia="en-US"/>
        </w:rPr>
        <w:br w:type="page"/>
      </w:r>
    </w:p>
    <w:p w14:paraId="75F39825" w14:textId="17A8E6A0"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(8c)</w:t>
      </w:r>
      <w:r w:rsidRPr="00CB2133">
        <w:rPr>
          <w:szCs w:val="24"/>
          <w:lang w:eastAsia="en-US"/>
        </w:rPr>
        <w:tab/>
      </w:r>
      <w:r w:rsidRPr="00CB2133">
        <w:rPr>
          <w:b/>
          <w:i/>
          <w:szCs w:val="24"/>
          <w:lang w:eastAsia="en-US"/>
        </w:rPr>
        <w:t>SCHEERi</w:t>
      </w:r>
      <w:r w:rsidRPr="00CB2133">
        <w:rPr>
          <w:szCs w:val="24"/>
          <w:vertAlign w:val="superscript"/>
          <w:lang w:eastAsia="en-US"/>
        </w:rPr>
        <w:footnoteReference w:id="35"/>
      </w:r>
      <w:r w:rsidRPr="00CB2133">
        <w:rPr>
          <w:b/>
          <w:i/>
          <w:szCs w:val="24"/>
          <w:lang w:eastAsia="en-US"/>
        </w:rPr>
        <w:t xml:space="preserve"> ja EMA</w:t>
      </w:r>
      <w:r w:rsidRPr="00CB2133">
        <w:rPr>
          <w:szCs w:val="24"/>
          <w:vertAlign w:val="superscript"/>
          <w:lang w:eastAsia="en-US"/>
        </w:rPr>
        <w:footnoteReference w:id="36"/>
      </w:r>
      <w:r w:rsidRPr="00CB2133">
        <w:rPr>
          <w:b/>
          <w:i/>
          <w:szCs w:val="24"/>
          <w:lang w:eastAsia="en-US"/>
        </w:rPr>
        <w:t xml:space="preserve"> andmetel kehtestati 1980. aastatel põhjavee üldine kvaliteedistandard 0,1 μg/l ja 0,5 µg/l, mida soovitati vastavalt üksikute pestitsiidide ja kõigi pestitsiidide summa puhul, nagu on sätestatud direktiivis 2006/118/EÜ, tuginedes sel ajal kättesaadavale keemilisele ja analüütilisele tundlikkusele. Üksikute pestitsiidide vaikeväärtus 0,1 μg/l ei ole tõendatud, et see kaitseb piisavalt inimeste tervist ja põhjavee ökosüsteemi ning on mõnikord oluliselt kõrgem kui direktiivi 2008/105/EÜ I lisas esitatud prioriteetsete ainete loetelus olevate paljude pestitsiidide ja fungitsiidide läviväärtused. Võttes arvesse ka SCHEERi arvamust, et ükski põhjavee läviväärtus ei tohiks olla kõrgem pinnavee keskkonnakvaliteedi standarditest, peaks komisjon vaatama läbi direktiivi 2006/118/EÜ I lisas esitatud üksikute pestitsiidide läviväärtused ja kõigi pestitsiidide, sealhulgas nende metaboliitide summa, kasutades kaasaegseid analüüsimeetodeid ja võrreldes neid parimate kättesaadavate toksikoloogiliste teadmistega. Kuni läbivaatamiseni ja kooskõlas Euroopa põhjaveealases memorandumis</w:t>
      </w:r>
      <w:r w:rsidRPr="00CB2133">
        <w:rPr>
          <w:szCs w:val="24"/>
          <w:vertAlign w:val="superscript"/>
          <w:lang w:eastAsia="en-US"/>
        </w:rPr>
        <w:footnoteReference w:id="37"/>
      </w:r>
      <w:r w:rsidRPr="00CB2133">
        <w:rPr>
          <w:b/>
          <w:i/>
          <w:szCs w:val="24"/>
          <w:lang w:eastAsia="en-US"/>
        </w:rPr>
        <w:t xml:space="preserve"> väljendatud ettevaatusprintsiibil põhineva lähenemisviisiga tuleks kehtestada parimatel kättesaadavatel teaduslikel teadmistel põhinevad ajutised läviväärtused.</w:t>
      </w:r>
      <w:r w:rsidR="00653E56" w:rsidRPr="00CB2133">
        <w:rPr>
          <w:b/>
          <w:szCs w:val="24"/>
          <w:lang w:eastAsia="en-US"/>
        </w:rPr>
        <w:t xml:space="preserve"> [ME 27]</w:t>
      </w:r>
    </w:p>
    <w:p w14:paraId="190D99F4" w14:textId="77777777" w:rsidR="007859A8" w:rsidRPr="00CB2133" w:rsidRDefault="007859A8">
      <w:pPr>
        <w:widowControl/>
        <w:rPr>
          <w:b/>
          <w:i/>
          <w:szCs w:val="24"/>
          <w:lang w:eastAsia="en-US"/>
        </w:rPr>
      </w:pPr>
      <w:r w:rsidRPr="00CB2133">
        <w:rPr>
          <w:b/>
          <w:i/>
          <w:szCs w:val="24"/>
          <w:lang w:eastAsia="en-US"/>
        </w:rPr>
        <w:br w:type="page"/>
      </w:r>
    </w:p>
    <w:p w14:paraId="1D20B21D" w14:textId="56349D50"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(8d)</w:t>
      </w:r>
      <w:r w:rsidRPr="00CB2133">
        <w:rPr>
          <w:szCs w:val="24"/>
          <w:lang w:eastAsia="en-US"/>
        </w:rPr>
        <w:tab/>
      </w:r>
      <w:r w:rsidRPr="00CB2133">
        <w:rPr>
          <w:b/>
          <w:i/>
          <w:szCs w:val="24"/>
          <w:lang w:eastAsia="en-US"/>
        </w:rPr>
        <w:t>Bisfenool-A tuleks käsitleda prioriteetse ohtliku ainena ja lisada direktiivi 2008/105/EÜ I lisa loetellu. Teaduslikud aruanded näitavad, et endokriinseid häireid põhjustavad ka muud bisfenoolid kui bisfenool A ning nende bisfenoolide segud kujutavad endast ökotoksikoloogilist riski. Arvestades, et need teaduslikud leiud tekitavad muret bisfenoolide alternatiivide ohutu kasutamise pärast, millel võib olla negatiivne mõju inimeste tervisele ja keskkonnale, peaks komisjon kehtestama bisfenoolide koguhulga parameetri ja asjakohase keskkonnakvaliteedi standardid.</w:t>
      </w:r>
      <w:r w:rsidR="00653E56" w:rsidRPr="00CB2133">
        <w:rPr>
          <w:b/>
          <w:szCs w:val="24"/>
          <w:lang w:eastAsia="en-US"/>
        </w:rPr>
        <w:t xml:space="preserve"> [ME 28]</w:t>
      </w:r>
    </w:p>
    <w:p w14:paraId="0A5DC0F4" w14:textId="5A21421E" w:rsidR="00C45ED4" w:rsidRPr="00CB2133" w:rsidRDefault="00C45ED4" w:rsidP="00C45ED4">
      <w:pPr>
        <w:spacing w:before="120" w:after="120" w:line="360" w:lineRule="auto"/>
        <w:ind w:left="850" w:hanging="850"/>
        <w:rPr>
          <w:b/>
          <w:szCs w:val="24"/>
          <w:lang w:eastAsia="en-US"/>
        </w:rPr>
      </w:pPr>
      <w:r w:rsidRPr="00CB2133">
        <w:rPr>
          <w:b/>
          <w:i/>
          <w:szCs w:val="24"/>
          <w:lang w:eastAsia="en-US"/>
        </w:rPr>
        <w:t>(8e)</w:t>
      </w:r>
      <w:r w:rsidRPr="00CB2133">
        <w:rPr>
          <w:szCs w:val="24"/>
          <w:lang w:eastAsia="en-US"/>
        </w:rPr>
        <w:tab/>
      </w:r>
      <w:r w:rsidRPr="00CB2133">
        <w:rPr>
          <w:b/>
          <w:i/>
          <w:szCs w:val="24"/>
          <w:lang w:eastAsia="en-US"/>
        </w:rPr>
        <w:t>Euroopa Ravimiameti (EMA)</w:t>
      </w:r>
      <w:r w:rsidRPr="00CB2133">
        <w:rPr>
          <w:szCs w:val="24"/>
          <w:vertAlign w:val="superscript"/>
          <w:lang w:eastAsia="en-US"/>
        </w:rPr>
        <w:footnoteReference w:id="38"/>
      </w:r>
      <w:r w:rsidRPr="00CB2133">
        <w:rPr>
          <w:b/>
          <w:i/>
          <w:szCs w:val="24"/>
          <w:lang w:eastAsia="en-US"/>
        </w:rPr>
        <w:t xml:space="preserve"> kohaselt on põhjavee ökosüsteemid fundamentaalselt erinevad ja seetõttu võivad need olla stressitegurite suhtes tundlikumad kui pinnavee ökosüsteemid, kuna ei suuda häiretest taastuda. Seepärast tuleks inimeste tervise, põhjavee ökosüsteemide ja põhjaveest sõltuvate ökosüsteemide kaitseks põhjavee läviväärtuste kehtestamisel kohaldada ettevaatusprintsiipi. Kooskõlas EMA nõuandega peaksid selle haavatavuse tõttu põhjavee suhtes kohaldatavad läviväärtused olema tavaliselt 10 korda madalamad kui vastavad pinnavee läviväärtused. Kui aga on võimalik kindlaks teha tegelik oht põhjavee ökosüsteemidele, võib olla asjakohane kehtestada põhjavee läviväärtused teistsugusel tasemel.</w:t>
      </w:r>
      <w:r w:rsidR="00653E56" w:rsidRPr="00CB2133">
        <w:rPr>
          <w:b/>
          <w:szCs w:val="24"/>
          <w:lang w:eastAsia="en-US"/>
        </w:rPr>
        <w:t xml:space="preserve"> [ME 29]</w:t>
      </w:r>
    </w:p>
    <w:p w14:paraId="2A0FD5CB" w14:textId="77777777" w:rsidR="007859A8" w:rsidRPr="00CB2133" w:rsidRDefault="007859A8">
      <w:pPr>
        <w:widowControl/>
        <w:rPr>
          <w:szCs w:val="24"/>
          <w:lang w:eastAsia="en-US"/>
        </w:rPr>
      </w:pPr>
      <w:r w:rsidRPr="00CB2133">
        <w:rPr>
          <w:szCs w:val="24"/>
          <w:lang w:eastAsia="en-US"/>
        </w:rPr>
        <w:br w:type="page"/>
      </w:r>
    </w:p>
    <w:p w14:paraId="49C00FE1" w14:textId="39D7E242"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(9)</w:t>
      </w:r>
      <w:r w:rsidRPr="00CB2133">
        <w:rPr>
          <w:szCs w:val="24"/>
          <w:lang w:eastAsia="en-US"/>
        </w:rPr>
        <w:tab/>
        <w:t>Direktiivi 2000/60/EÜ kohaselt on nõutav, et liikmesriigid teeksid kindlaks olmevee võtmiseks kasutatavad veekogud, seiraksid neid ning võtaksid vajalikud meetmed, et hoida ära nende kvaliteedi halvenemist ja vähendada olmeveeks sobiva vee tootmiseks vajalike puhastustoimingute ulatust. Sellega seoses on kindlaks tehtud, et mikroplast võib ohustada inimeste tervist, kuid selleks, et kinnitada vajadust kehtestada keskkonnakvaliteedi standard pinna- ja põhjavees esineva mikroplasti jaoks, on vaja rohkem seireandmeid. Seepärast tuleks mikroplast lisada pinna- ja põhjaveega seotud jälgimisnimekirjadesse ning selle aine seiret tuleks alustada niipea, kui komisjon on kindlaks teinud sobivad seiremeetodid. Selles kontekstis tuleks arvesse võtta joogivees leiduva mikroplastiga seotud riskide seire ja hindamise meetodeid, mis on välja töötatud Euroopa Parlamendi ja nõukogu direktiivi (EL) 2020/2184</w:t>
      </w:r>
      <w:r w:rsidRPr="00CB2133">
        <w:rPr>
          <w:szCs w:val="24"/>
          <w:vertAlign w:val="superscript"/>
          <w:lang w:eastAsia="en-US"/>
        </w:rPr>
        <w:footnoteReference w:id="39"/>
      </w:r>
      <w:r w:rsidRPr="00CB2133">
        <w:rPr>
          <w:szCs w:val="24"/>
          <w:lang w:eastAsia="en-US"/>
        </w:rPr>
        <w:t xml:space="preserve"> alusel.</w:t>
      </w:r>
    </w:p>
    <w:p w14:paraId="071C21ED" w14:textId="77777777" w:rsidR="007859A8" w:rsidRPr="00CB2133" w:rsidRDefault="007859A8">
      <w:pPr>
        <w:widowControl/>
        <w:rPr>
          <w:b/>
          <w:i/>
          <w:szCs w:val="24"/>
          <w:lang w:eastAsia="en-US"/>
        </w:rPr>
      </w:pPr>
      <w:r w:rsidRPr="00CB2133">
        <w:rPr>
          <w:b/>
          <w:i/>
          <w:szCs w:val="24"/>
          <w:lang w:eastAsia="en-US"/>
        </w:rPr>
        <w:br w:type="page"/>
      </w:r>
    </w:p>
    <w:p w14:paraId="682E1044" w14:textId="12E1D0AB"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(9a)</w:t>
      </w:r>
      <w:r w:rsidRPr="00CB2133">
        <w:rPr>
          <w:szCs w:val="24"/>
          <w:lang w:eastAsia="en-US"/>
        </w:rPr>
        <w:tab/>
      </w:r>
      <w:r w:rsidRPr="00CB2133">
        <w:rPr>
          <w:b/>
          <w:i/>
          <w:szCs w:val="24"/>
          <w:lang w:eastAsia="en-US"/>
        </w:rPr>
        <w:t>Vastavalt kehtivale liidu õigusele on liikmesriigid kohustatud kindlaks määrama mõjutatud ja ohustatud veekogud ja nitraaditundlikud piirkonnad, töötama välja tegevusprogrammid ja rakendama asjakohaseid meetmeid. Sellega seoses on endiselt vaja parandada kontrollimeetmete ja veekvaliteedi mõõtmissüsteemide ühtlustamist liikmesriikide vahel, et võimaldada kogu liidus ühtlustatud standardeid, mis võimaldavad liikmesriikide vahelist võrreldavust, vältides seega konkurentsiprobleeme Euroopa põllumajandussektoris, mis tekitavad häireid siseturul.</w:t>
      </w:r>
      <w:r w:rsidR="00653E56" w:rsidRPr="00CB2133">
        <w:rPr>
          <w:b/>
          <w:szCs w:val="24"/>
          <w:lang w:eastAsia="en-US"/>
        </w:rPr>
        <w:t xml:space="preserve"> [ME 30]</w:t>
      </w:r>
    </w:p>
    <w:p w14:paraId="4A32DF43" w14:textId="35D3E637" w:rsidR="00C45ED4" w:rsidRPr="00CB2133" w:rsidRDefault="00C45ED4" w:rsidP="00C45ED4">
      <w:pPr>
        <w:spacing w:before="120" w:after="120" w:line="360" w:lineRule="auto"/>
        <w:ind w:left="850" w:hanging="850"/>
        <w:rPr>
          <w:b/>
          <w:szCs w:val="24"/>
          <w:lang w:eastAsia="en-US"/>
        </w:rPr>
      </w:pPr>
      <w:r w:rsidRPr="00CB2133">
        <w:rPr>
          <w:szCs w:val="24"/>
          <w:lang w:eastAsia="en-US"/>
        </w:rPr>
        <w:t>(10)</w:t>
      </w:r>
      <w:r w:rsidRPr="00CB2133">
        <w:rPr>
          <w:szCs w:val="24"/>
          <w:lang w:eastAsia="en-US"/>
        </w:rPr>
        <w:tab/>
      </w:r>
      <w:r w:rsidRPr="00CB2133">
        <w:rPr>
          <w:b/>
          <w:i/>
          <w:szCs w:val="24"/>
          <w:lang w:eastAsia="en-US"/>
        </w:rPr>
        <w:t>2019. aastal põhjustasid maailmas hinnanguliselt 900 000–1,7 miljonit surmajuhtumit antimikroobikumiresistentsusega seotud nakkused</w:t>
      </w:r>
      <w:r w:rsidRPr="00CB2133">
        <w:rPr>
          <w:szCs w:val="24"/>
          <w:vertAlign w:val="superscript"/>
          <w:lang w:eastAsia="en-US"/>
        </w:rPr>
        <w:footnoteReference w:id="40"/>
      </w:r>
      <w:r w:rsidRPr="00CB2133">
        <w:rPr>
          <w:b/>
          <w:i/>
          <w:szCs w:val="24"/>
          <w:lang w:eastAsia="en-US"/>
        </w:rPr>
        <w:t xml:space="preserve">. Samal ajal </w:t>
      </w:r>
      <w:r w:rsidRPr="00CB2133">
        <w:rPr>
          <w:szCs w:val="24"/>
          <w:lang w:eastAsia="en-US"/>
        </w:rPr>
        <w:t>on väljendatud muret seoses antimikroobikumiresistentsuse väljakujunemise riskiga, mis tuleneb antimikroobikumide suhtes resistentsete mikroorganismide ja antimikroobikumiresistentsuse geenide esinemisest veekeskkonnas, ent vastavat seiret on tehtud vähe. Asjaomased antimikroobikumiresistentsuse geenid tuleks samuti lisada pinna- ja põhjaveega seotud jälgimisnimekirjadesse ning alustada nende seiret niipea, kui on töötatud välja sobivad seiremeetodid. See on kooskõlas 2017. aasta juunis komisjoni vastu võetud Euroopa terviseühtsuse tegevuskavaga antimikroobikumiresistentsuse vastu võitlemiseks ning Euroopa ravimistrateegiaga, milles samuti käsitletakse seda probleemi.</w:t>
      </w:r>
      <w:r w:rsidR="00653E56" w:rsidRPr="00CB2133">
        <w:rPr>
          <w:b/>
          <w:szCs w:val="24"/>
          <w:lang w:eastAsia="en-US"/>
        </w:rPr>
        <w:t xml:space="preserve"> [ME 31]</w:t>
      </w:r>
    </w:p>
    <w:p w14:paraId="1EC1E05E" w14:textId="77777777" w:rsidR="007859A8" w:rsidRPr="00CB2133" w:rsidRDefault="007859A8">
      <w:pPr>
        <w:widowControl/>
        <w:rPr>
          <w:b/>
          <w:i/>
          <w:szCs w:val="24"/>
          <w:lang w:eastAsia="en-US"/>
        </w:rPr>
      </w:pPr>
      <w:r w:rsidRPr="00CB2133">
        <w:rPr>
          <w:b/>
          <w:i/>
          <w:szCs w:val="24"/>
          <w:lang w:eastAsia="en-US"/>
        </w:rPr>
        <w:br w:type="page"/>
      </w:r>
    </w:p>
    <w:p w14:paraId="1CABF006" w14:textId="4B7FB4AC"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(10a)</w:t>
      </w:r>
      <w:r w:rsidRPr="00CB2133">
        <w:rPr>
          <w:szCs w:val="24"/>
          <w:lang w:eastAsia="en-US"/>
        </w:rPr>
        <w:tab/>
      </w:r>
      <w:r w:rsidRPr="00CB2133">
        <w:rPr>
          <w:b/>
          <w:i/>
          <w:szCs w:val="24"/>
          <w:lang w:eastAsia="en-US"/>
        </w:rPr>
        <w:t>Komisjoni rakendusotsusega (EL) 2020/1729, millega tunnistatakse kehtetuks rakendusotsus 2013/652/EL1a, kehtestatakse raamistik võrreldavate ja usaldusväärsete andmete saamiseks antimikroobikumiresistentsuse kohta Euroopa Liidus, sealhulgas jälgides tapamajade reovett kui võimalikku antibiootikumiresistentsete bakterite kandjat ja seega võimalikku keskkonna saastumise viisi. Tapamajadest väljuvas vees on leitud antibiootikumiresistentseid baktereid.</w:t>
      </w:r>
      <w:r w:rsidR="00653E56" w:rsidRPr="00CB2133">
        <w:rPr>
          <w:b/>
          <w:szCs w:val="24"/>
          <w:lang w:eastAsia="en-US"/>
        </w:rPr>
        <w:t xml:space="preserve"> [ME 32]</w:t>
      </w:r>
    </w:p>
    <w:p w14:paraId="0B23D220" w14:textId="5EA0D480" w:rsidR="00C45ED4" w:rsidRPr="00CB2133" w:rsidRDefault="00C45ED4" w:rsidP="00C45ED4">
      <w:pPr>
        <w:spacing w:before="120" w:after="120" w:line="360" w:lineRule="auto"/>
        <w:ind w:left="850" w:hanging="850"/>
        <w:rPr>
          <w:b/>
          <w:szCs w:val="24"/>
          <w:lang w:eastAsia="en-US"/>
        </w:rPr>
      </w:pPr>
      <w:r w:rsidRPr="00CB2133">
        <w:rPr>
          <w:b/>
          <w:i/>
          <w:szCs w:val="24"/>
          <w:lang w:eastAsia="en-US"/>
        </w:rPr>
        <w:t>(10b)</w:t>
      </w:r>
      <w:r w:rsidRPr="00CB2133">
        <w:rPr>
          <w:szCs w:val="24"/>
          <w:lang w:eastAsia="en-US"/>
        </w:rPr>
        <w:tab/>
      </w:r>
      <w:r w:rsidRPr="00CB2133">
        <w:rPr>
          <w:b/>
          <w:i/>
          <w:szCs w:val="24"/>
          <w:lang w:eastAsia="en-US"/>
        </w:rPr>
        <w:t>Muret on väljendatud sulfaatide ja ksantaatide veekeskkonnas esinemise ohu pärast. Sulfaadid mitte ainult ei kahjusta joogivee kvaliteeti, vaid mõjutavad ka süsiniku, lämmastiku ja fosfori materjalitsüklit. Muu hulgas suurendab see veekogude toitainekoormust ja seega taimede ja vetikate kasvu ning suurendab ka veeorganismide toiduga varustatust ning toob kaasa hapniku vähenemise vees. Sulfaadid ja nende lagunemissaadused, eriti sulfiid, võivad teatud tingimustel avaldada veeorganismidele toksilist mõju. Standardkatsete tulemused näitavad, et mõned ksantaadid ja nende lagunemissaadused on mürgised veeselgrootutele ja kalaliikidele ning võivad bioakumuleeruda. Sulfaadid on juba loetletud põhjavee saasteainena, kuid tehtud seire ei ole olnud piisav. Seetõttu tuleks sulfaadid lisada pinna- ja põhjavee jälgimisnimekirja. Ksantaadid tuleks lisada pinnavee jälgimisnimekirja.</w:t>
      </w:r>
      <w:r w:rsidR="00653E56" w:rsidRPr="00CB2133">
        <w:rPr>
          <w:b/>
          <w:szCs w:val="24"/>
          <w:lang w:eastAsia="en-US"/>
        </w:rPr>
        <w:t xml:space="preserve"> [ME 33]</w:t>
      </w:r>
    </w:p>
    <w:p w14:paraId="571DA77C" w14:textId="77777777" w:rsidR="007859A8" w:rsidRPr="00CB2133" w:rsidRDefault="007859A8">
      <w:pPr>
        <w:widowControl/>
        <w:rPr>
          <w:b/>
          <w:i/>
          <w:szCs w:val="24"/>
          <w:lang w:eastAsia="en-US"/>
        </w:rPr>
      </w:pPr>
      <w:r w:rsidRPr="00CB2133">
        <w:rPr>
          <w:b/>
          <w:i/>
          <w:szCs w:val="24"/>
          <w:lang w:eastAsia="en-US"/>
        </w:rPr>
        <w:br w:type="page"/>
      </w:r>
    </w:p>
    <w:p w14:paraId="7840D516" w14:textId="749C52AA"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(10c)</w:t>
      </w:r>
      <w:r w:rsidRPr="00CB2133">
        <w:rPr>
          <w:szCs w:val="24"/>
          <w:lang w:eastAsia="en-US"/>
        </w:rPr>
        <w:tab/>
      </w:r>
      <w:r w:rsidRPr="00CB2133">
        <w:rPr>
          <w:b/>
          <w:i/>
          <w:szCs w:val="24"/>
          <w:lang w:eastAsia="en-US"/>
        </w:rPr>
        <w:t>Sellised ained nagu mikroplastid on selge oht rahvatervisele ja keskkonnale, aga ka põhitegevustele, nagu põllumajanduse arengule. Nende ainete ja muude osakeste olemasolu võib mõjutada mitte ainult vett, mida saavad kariloomad ja põllukultuurid, vaid ka mullaviljakust, ohustades seega praeguste ja tulevaste põllukultuuride tervist ja head arengut</w:t>
      </w:r>
      <w:r w:rsidRPr="00CB2133">
        <w:rPr>
          <w:szCs w:val="24"/>
          <w:vertAlign w:val="superscript"/>
          <w:lang w:eastAsia="en-US"/>
        </w:rPr>
        <w:footnoteReference w:id="41"/>
      </w:r>
      <w:r w:rsidRPr="00CB2133">
        <w:rPr>
          <w:b/>
          <w:i/>
          <w:szCs w:val="24"/>
          <w:lang w:eastAsia="en-US"/>
        </w:rPr>
        <w:t>.</w:t>
      </w:r>
      <w:r w:rsidR="00653E56" w:rsidRPr="00CB2133">
        <w:rPr>
          <w:b/>
          <w:szCs w:val="24"/>
          <w:lang w:eastAsia="en-US"/>
        </w:rPr>
        <w:t xml:space="preserve"> [ME 34]</w:t>
      </w:r>
    </w:p>
    <w:p w14:paraId="04F69A54" w14:textId="77777777" w:rsidR="007859A8" w:rsidRPr="00CB2133" w:rsidRDefault="007859A8">
      <w:pPr>
        <w:widowControl/>
        <w:rPr>
          <w:szCs w:val="24"/>
          <w:lang w:eastAsia="en-US"/>
        </w:rPr>
      </w:pPr>
      <w:r w:rsidRPr="00CB2133">
        <w:rPr>
          <w:szCs w:val="24"/>
          <w:lang w:eastAsia="en-US"/>
        </w:rPr>
        <w:br w:type="page"/>
      </w:r>
    </w:p>
    <w:p w14:paraId="6A3BA76C" w14:textId="478E35EF"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(11)</w:t>
      </w:r>
      <w:r w:rsidRPr="00CB2133">
        <w:rPr>
          <w:szCs w:val="24"/>
          <w:lang w:eastAsia="en-US"/>
        </w:rPr>
        <w:tab/>
      </w:r>
      <w:r w:rsidRPr="00CB2133">
        <w:rPr>
          <w:b/>
          <w:i/>
          <w:szCs w:val="24"/>
          <w:lang w:eastAsia="en-US"/>
        </w:rPr>
        <w:t xml:space="preserve">Veekogude keemilise seisundi praeguste ja tavapäraste seiremeetoditega ei saa üldiselt kindlaks määrata keerukate kemikaalide segude mõju vee kvaliteedile. </w:t>
      </w:r>
      <w:r w:rsidRPr="00CB2133">
        <w:rPr>
          <w:szCs w:val="24"/>
          <w:lang w:eastAsia="en-US"/>
        </w:rPr>
        <w:t xml:space="preserve">Kuna teadlikkus segude ja seega mõjupõhise seire olulisusest keemilise seisundi kindlakstegemisel üha suureneb ning östrogeensete ainete jaoks on juba olemas piisavalt usaldusväärsed mõjupõhise seire meetodid, peaksid liikmesriigid kohaldama selliseid meetodeid selleks, et hinnata östrogeensete ainete kumulatiivset mõju pinnaveekogudes vähemalt kahe aasta vältel. See võimaldab võrrelda mõjupõhise seire tulemusi tulemustega, mis on saadud direktiivi 2008/105/EÜ I lisas loetletud kolme östrogeense aine seireks kasutatavate tavapäraste meetoditega. </w:t>
      </w:r>
      <w:r w:rsidRPr="00CB2133">
        <w:rPr>
          <w:strike/>
          <w:szCs w:val="24"/>
          <w:lang w:eastAsia="en-US"/>
        </w:rPr>
        <w:t>Seda võrdlust kasutatakse selleks, et hinnata, kas mõjupõhiseid seiremeetodeid saab</w:t>
      </w:r>
      <w:r w:rsidRPr="00CB2133">
        <w:rPr>
          <w:b/>
          <w:i/>
          <w:szCs w:val="24"/>
          <w:lang w:eastAsia="en-US"/>
        </w:rPr>
        <w:t>See võrdlus tuleks lisada komisjoni avaldatavasse hindamisaruandesse, milles hinnatakse, kas mõjupõhised seiremeetodid annavad usaldusväärseid ja täpseid andmeid ning kas neid võib</w:t>
      </w:r>
      <w:r w:rsidRPr="00CB2133">
        <w:rPr>
          <w:szCs w:val="24"/>
          <w:lang w:eastAsia="en-US"/>
        </w:rPr>
        <w:t xml:space="preserve"> kasutada usaldusväärsete </w:t>
      </w:r>
      <w:r w:rsidRPr="00CB2133">
        <w:rPr>
          <w:strike/>
          <w:szCs w:val="24"/>
          <w:lang w:eastAsia="en-US"/>
        </w:rPr>
        <w:t>sõeluuringumeetoditena</w:t>
      </w:r>
      <w:r w:rsidRPr="00CB2133">
        <w:rPr>
          <w:b/>
          <w:i/>
          <w:szCs w:val="24"/>
          <w:lang w:eastAsia="en-US"/>
        </w:rPr>
        <w:t>sõelumismeetoditena</w:t>
      </w:r>
      <w:r w:rsidRPr="00CB2133">
        <w:rPr>
          <w:szCs w:val="24"/>
          <w:lang w:eastAsia="en-US"/>
        </w:rPr>
        <w:t>. Selliste sõeluuringumeetodite rakendamise eelis seisneb võimaluses hinnata kõikide sarnase toimega östrogeensete ainete, mitte üksnes direktiivi 2008/105/EÜ I lisas loetletud ainete mõju</w:t>
      </w:r>
      <w:r w:rsidRPr="00CB2133">
        <w:rPr>
          <w:b/>
          <w:i/>
          <w:szCs w:val="24"/>
          <w:lang w:eastAsia="en-US"/>
        </w:rPr>
        <w:t>. Komisjonile tuleks anda õigus võtta vastu delegeeritud õigusakte direktiivi 2008/105/EÜ täiendamiseks, et sätestada liikmesriikidele kord kasutada mõjupõhiseid seiremeetodeid, et hinnata ka muude ainete sisaldust veekogudes, enne kui tulevikus kehtestatakse võimalikud mõjul põhinevad käivitusväärtused</w:t>
      </w:r>
      <w:r w:rsidRPr="00CB2133">
        <w:rPr>
          <w:szCs w:val="24"/>
          <w:lang w:eastAsia="en-US"/>
        </w:rPr>
        <w:t>. Direktiivis 2000/60/EÜ esitatud keskkonnakvaliteedi standardi määratlust tuleks muuta, et tagada, et see hõlmaks ka võimalikke tulevasi künnisväärtusi, mis kehtestatakse mõjupõhise seire tulemuste hindamiseks.</w:t>
      </w:r>
      <w:r w:rsidR="00653E56" w:rsidRPr="00CB2133">
        <w:rPr>
          <w:b/>
          <w:szCs w:val="24"/>
          <w:lang w:eastAsia="en-US"/>
        </w:rPr>
        <w:t xml:space="preserve"> [ME 35]</w:t>
      </w:r>
    </w:p>
    <w:p w14:paraId="0FABCF66" w14:textId="77777777" w:rsidR="007859A8" w:rsidRPr="00CB2133" w:rsidRDefault="007859A8">
      <w:pPr>
        <w:widowControl/>
        <w:rPr>
          <w:b/>
          <w:i/>
          <w:szCs w:val="24"/>
          <w:lang w:eastAsia="en-US"/>
        </w:rPr>
      </w:pPr>
      <w:r w:rsidRPr="00CB2133">
        <w:rPr>
          <w:b/>
          <w:i/>
          <w:szCs w:val="24"/>
          <w:lang w:eastAsia="en-US"/>
        </w:rPr>
        <w:br w:type="page"/>
      </w:r>
    </w:p>
    <w:p w14:paraId="0D92D2F2" w14:textId="520FCF31"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(11a)</w:t>
      </w:r>
      <w:r w:rsidRPr="00CB2133">
        <w:rPr>
          <w:szCs w:val="24"/>
          <w:lang w:eastAsia="en-US"/>
        </w:rPr>
        <w:tab/>
      </w:r>
      <w:r w:rsidRPr="00CB2133">
        <w:rPr>
          <w:b/>
          <w:i/>
          <w:szCs w:val="24"/>
          <w:lang w:eastAsia="en-US"/>
        </w:rPr>
        <w:t>Nagu on nõutud direktiivis 2006/118/EÜ, tuleks kehtestada rangemad läviväärtused, kui põhjavee kvaliteedistandardite tõttu võivad direktiivi 2000/60/EÜ keskkonnaalased eesmärgid seotud veekogude osas saavutamata jääda. Direktiivis 2006/118/EÜ sätestatud nõuet tuleks veelgi laiendada, et kaitsta paremini tundlikke alasid reostuse eest.</w:t>
      </w:r>
      <w:r w:rsidR="00653E56" w:rsidRPr="00CB2133">
        <w:rPr>
          <w:b/>
          <w:szCs w:val="24"/>
          <w:lang w:eastAsia="en-US"/>
        </w:rPr>
        <w:t xml:space="preserve"> [ME 36]</w:t>
      </w:r>
    </w:p>
    <w:p w14:paraId="30B199FF" w14:textId="77777777" w:rsidR="007859A8" w:rsidRPr="00CB2133" w:rsidRDefault="007859A8">
      <w:pPr>
        <w:widowControl/>
        <w:rPr>
          <w:szCs w:val="24"/>
          <w:lang w:eastAsia="en-US"/>
        </w:rPr>
      </w:pPr>
      <w:r w:rsidRPr="00CB2133">
        <w:rPr>
          <w:szCs w:val="24"/>
          <w:lang w:eastAsia="en-US"/>
        </w:rPr>
        <w:br w:type="page"/>
      </w:r>
    </w:p>
    <w:p w14:paraId="54B3594A" w14:textId="120DF431"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(12)</w:t>
      </w:r>
      <w:r w:rsidRPr="00CB2133">
        <w:rPr>
          <w:szCs w:val="24"/>
          <w:lang w:eastAsia="en-US"/>
        </w:rPr>
        <w:tab/>
        <w:t>Liidu veealaste õigusaktide hindamisel</w:t>
      </w:r>
      <w:r w:rsidRPr="00CB2133">
        <w:rPr>
          <w:szCs w:val="24"/>
          <w:vertAlign w:val="superscript"/>
          <w:lang w:eastAsia="en-US"/>
        </w:rPr>
        <w:footnoteReference w:id="42"/>
      </w:r>
      <w:r w:rsidRPr="00CB2133">
        <w:rPr>
          <w:szCs w:val="24"/>
          <w:lang w:eastAsia="en-US"/>
        </w:rPr>
        <w:t xml:space="preserve"> (edaspidi „hindamine“) jõuti järeldusele, et pinna- ja põhjavett mõjutavate saasteainete kindlakstegemist ja loetellu kandmist ning uutest teadusandmetest lähtuvalt nende jaoks kvaliteedistandardite kehtestamist ja selliste standardite muutmist saaks kiirendada. </w:t>
      </w:r>
      <w:r w:rsidRPr="00CB2133">
        <w:rPr>
          <w:strike/>
          <w:szCs w:val="24"/>
          <w:lang w:eastAsia="en-US"/>
        </w:rPr>
        <w:t xml:space="preserve">Kui nimetatud ülesandeid, mida täidetakse direktiivi 2000/60/EÜ artiklites 16 ja 17 ning direktiivi 2006/118/EÜ artiklis 10 praegu sätestatud seadusandliku tavamenetluse raames, täidaks komisjon, saaks tõhustada pinna- ja põhjaveega seotud jälgimisnimekirja mehhanismide toimimist, eelkõige seoses loetellu kandmise, seire ja tulemuste hindamise aja ja järjestusega, tugevdada seoseid jälgimisnimekirja mehhanismi ja saasteainete loetelude läbivaatamise vahel ning võtta saasteainete loetelude muutmisel kiiremini arvesse teaduse arengut. </w:t>
      </w:r>
      <w:r w:rsidRPr="00CB2133">
        <w:rPr>
          <w:szCs w:val="24"/>
          <w:lang w:eastAsia="en-US"/>
        </w:rPr>
        <w:t xml:space="preserve">Seepärast </w:t>
      </w:r>
      <w:r w:rsidRPr="00CB2133">
        <w:rPr>
          <w:strike/>
          <w:szCs w:val="24"/>
          <w:lang w:eastAsia="en-US"/>
        </w:rPr>
        <w:t xml:space="preserve">ning tulenevalt vajadusest muuta uutest teadusandmetest ja tehnilistest teadmistest lähtuvalt kiiresti saasteainete loetelusid ja nendega seotud keskkonnakvaliteedi standardeid, </w:t>
      </w:r>
      <w:r w:rsidRPr="00CB2133">
        <w:rPr>
          <w:szCs w:val="24"/>
          <w:lang w:eastAsia="en-US"/>
        </w:rPr>
        <w:t>tuleks</w:t>
      </w:r>
      <w:r w:rsidRPr="00CB2133">
        <w:rPr>
          <w:strike/>
          <w:szCs w:val="24"/>
          <w:lang w:eastAsia="en-US"/>
        </w:rPr>
        <w:t xml:space="preserve"> komisjonile anda õigus võtta kooskõlas Euroopa Liidu toimimise lepingu artikliga 290 vastu õigusakte</w:t>
      </w:r>
      <w:r w:rsidRPr="00CB2133">
        <w:rPr>
          <w:szCs w:val="24"/>
          <w:lang w:eastAsia="en-US"/>
        </w:rPr>
        <w:t xml:space="preserve"> direktiivi 2008/105/EÜ I lisa </w:t>
      </w:r>
      <w:r w:rsidRPr="00CB2133">
        <w:rPr>
          <w:strike/>
          <w:szCs w:val="24"/>
          <w:lang w:eastAsia="en-US"/>
        </w:rPr>
        <w:t>muutmiseks</w:t>
      </w:r>
      <w:r w:rsidRPr="00CB2133">
        <w:rPr>
          <w:b/>
          <w:i/>
          <w:szCs w:val="24"/>
          <w:lang w:eastAsia="en-US"/>
        </w:rPr>
        <w:t>edaspidise läbivaatamise raames</w:t>
      </w:r>
      <w:r w:rsidRPr="00CB2133">
        <w:rPr>
          <w:szCs w:val="24"/>
          <w:lang w:eastAsia="en-US"/>
        </w:rPr>
        <w:t xml:space="preserve"> seoses kõnealuse lisa A osas </w:t>
      </w:r>
      <w:r w:rsidRPr="00CB2133">
        <w:rPr>
          <w:strike/>
          <w:szCs w:val="24"/>
          <w:lang w:eastAsia="en-US"/>
        </w:rPr>
        <w:t>esitatud</w:t>
      </w:r>
      <w:r w:rsidRPr="00CB2133">
        <w:rPr>
          <w:b/>
          <w:i/>
          <w:szCs w:val="24"/>
          <w:lang w:eastAsia="en-US"/>
        </w:rPr>
        <w:t>ja direktiivi 2006/118/EÜ I lisas sätestatud</w:t>
      </w:r>
      <w:r w:rsidRPr="00CB2133">
        <w:rPr>
          <w:szCs w:val="24"/>
          <w:lang w:eastAsia="en-US"/>
        </w:rPr>
        <w:t xml:space="preserve"> prioriteetsete ainete nimistu ja vastavate keskkonnakvaliteedi standarditega </w:t>
      </w:r>
      <w:r w:rsidRPr="00CB2133">
        <w:rPr>
          <w:strike/>
          <w:szCs w:val="24"/>
          <w:lang w:eastAsia="en-US"/>
        </w:rPr>
        <w:t>ning samuti direktiivi 2006/118/EÜ I lisa muutmiseks seoses nimetatud lisas esitatud</w:t>
      </w:r>
      <w:r w:rsidRPr="00CB2133">
        <w:rPr>
          <w:b/>
          <w:i/>
          <w:szCs w:val="24"/>
          <w:lang w:eastAsia="en-US"/>
        </w:rPr>
        <w:t>parandada pinna- ja</w:t>
      </w:r>
      <w:r w:rsidRPr="00CB2133">
        <w:rPr>
          <w:szCs w:val="24"/>
          <w:lang w:eastAsia="en-US"/>
        </w:rPr>
        <w:t xml:space="preserve"> põhjavee</w:t>
      </w:r>
      <w:r w:rsidRPr="00CB2133">
        <w:rPr>
          <w:b/>
          <w:i/>
          <w:szCs w:val="24"/>
          <w:lang w:eastAsia="en-US"/>
        </w:rPr>
        <w:t xml:space="preserve"> jälgimisnimekirjade toimimist, eelkõige loetellu kandmise, seire ja tulemuste hindamise ajastust ja järjestust, tugevdada seoseid jälgimisnimekirjade mehhanismi ja</w:t>
      </w:r>
      <w:r w:rsidRPr="00CB2133">
        <w:rPr>
          <w:szCs w:val="24"/>
          <w:lang w:eastAsia="en-US"/>
        </w:rPr>
        <w:t xml:space="preserve"> saasteainete </w:t>
      </w:r>
      <w:r w:rsidRPr="00CB2133">
        <w:rPr>
          <w:strike/>
          <w:szCs w:val="24"/>
          <w:lang w:eastAsia="en-US"/>
        </w:rPr>
        <w:t>loetelu ja asjaomaste kvaliteedistandarditega</w:t>
      </w:r>
      <w:r w:rsidRPr="00CB2133">
        <w:rPr>
          <w:b/>
          <w:i/>
          <w:szCs w:val="24"/>
          <w:lang w:eastAsia="en-US"/>
        </w:rPr>
        <w:t>loetelude läbivaatamise vahel ning kohandada saasteainete loetelude läbivaatamisperioodi, et võtta kiiremini arvesse teaduse arengut</w:t>
      </w:r>
      <w:r w:rsidRPr="00CB2133">
        <w:rPr>
          <w:szCs w:val="24"/>
          <w:lang w:eastAsia="en-US"/>
        </w:rPr>
        <w:t>. Selles kontekstis peaks komisjon võtma arvesse pinna- ja põhjaveega seotud jälgimisnimekirjades olevate ainete seire tulemusi. Sellest tulenevalt tuleks direktiivi 2000/60/EÜ artiklid 16 ja 17 ning kõnealuse direktiivi X lisa, samuti direktiivi 2006/118/EÜ artikkel 10 välja jätta</w:t>
      </w:r>
      <w:r w:rsidRPr="00CB2133">
        <w:rPr>
          <w:b/>
          <w:i/>
          <w:szCs w:val="24"/>
          <w:lang w:eastAsia="en-US"/>
        </w:rPr>
        <w:t>, säilitades seejuures vajaduse võtta meetmeid, mille eesmärk on lõpetada või järk-järgult kõrvaldada prioriteetsete ohtlike ainete keskkonda juhtimine, heide ja kadu</w:t>
      </w:r>
      <w:r w:rsidRPr="00CB2133">
        <w:rPr>
          <w:szCs w:val="24"/>
          <w:lang w:eastAsia="en-US"/>
        </w:rPr>
        <w:t>.</w:t>
      </w:r>
      <w:r w:rsidR="00653E56" w:rsidRPr="00CB2133">
        <w:rPr>
          <w:b/>
          <w:szCs w:val="24"/>
          <w:lang w:eastAsia="en-US"/>
        </w:rPr>
        <w:t xml:space="preserve"> [ME 37]</w:t>
      </w:r>
    </w:p>
    <w:p w14:paraId="0EC02A09" w14:textId="77777777" w:rsidR="007859A8" w:rsidRPr="00CB2133" w:rsidRDefault="007859A8">
      <w:pPr>
        <w:widowControl/>
        <w:rPr>
          <w:b/>
          <w:i/>
          <w:szCs w:val="24"/>
          <w:lang w:eastAsia="en-US"/>
        </w:rPr>
      </w:pPr>
      <w:r w:rsidRPr="00CB2133">
        <w:rPr>
          <w:b/>
          <w:i/>
          <w:szCs w:val="24"/>
          <w:lang w:eastAsia="en-US"/>
        </w:rPr>
        <w:br w:type="page"/>
      </w:r>
    </w:p>
    <w:p w14:paraId="7F7561BE" w14:textId="4A457457"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(12a)</w:t>
      </w:r>
      <w:r w:rsidRPr="00CB2133">
        <w:rPr>
          <w:szCs w:val="24"/>
          <w:lang w:eastAsia="en-US"/>
        </w:rPr>
        <w:tab/>
      </w:r>
      <w:r w:rsidRPr="00CB2133">
        <w:rPr>
          <w:b/>
          <w:i/>
          <w:szCs w:val="24"/>
          <w:lang w:eastAsia="en-US"/>
        </w:rPr>
        <w:t>Üldiselt näitavad toimivuskontrolli järeldused, et direktiivid on üldjoontes eesmärgipärased ja neid on võimalik parandada, sealhulgas kiirendada nende eesmärkide nõuetekohast rakendamist, mida oleks võimalik saavutada suurema liidu poolse rahastamisega. Hindamine näitab, et direktiivid on seni üldiselt viinud veekogude kaitse kõrgemale tasemele ja parandanud üleujutusriskide juhtimist.</w:t>
      </w:r>
      <w:r w:rsidR="00653E56" w:rsidRPr="00CB2133">
        <w:rPr>
          <w:b/>
          <w:szCs w:val="24"/>
          <w:lang w:eastAsia="en-US"/>
        </w:rPr>
        <w:t xml:space="preserve"> [ME 38]</w:t>
      </w:r>
    </w:p>
    <w:p w14:paraId="4D9B9652" w14:textId="77777777" w:rsidR="007859A8" w:rsidRPr="00CB2133" w:rsidRDefault="007859A8">
      <w:pPr>
        <w:widowControl/>
        <w:rPr>
          <w:szCs w:val="24"/>
          <w:lang w:eastAsia="en-US"/>
        </w:rPr>
      </w:pPr>
      <w:r w:rsidRPr="00CB2133">
        <w:rPr>
          <w:szCs w:val="24"/>
          <w:lang w:eastAsia="en-US"/>
        </w:rPr>
        <w:br w:type="page"/>
      </w:r>
    </w:p>
    <w:p w14:paraId="5533AB83" w14:textId="7D1945E6"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(13)</w:t>
      </w:r>
      <w:r w:rsidRPr="00CB2133">
        <w:rPr>
          <w:szCs w:val="24"/>
          <w:lang w:eastAsia="en-US"/>
        </w:rPr>
        <w:tab/>
        <w:t>Ühtlasi jõuti hindamisel järeldusele, et riigi tasandil kehtestatud kvaliteedistandardid ja läviväärtused vastavalt vesikonnaspetsiifiliste saasteainete ja põhjavee saasteainete jaoks on liikmesriigiti liiga erinevad. Direktiivi 2000/60/EÜ alusel prioriteetse ainena määratlemata vesikonnaspetsiifiliste saasteainete suhtes on siiani kohaldatud riiklikke keskkonnakvaliteedi standardeid ning neid on käsitatud pinnaveekogude ökoloogilise seisundi hindamist toetavate füüsikalis-keemiliste kvaliteedielementidena. Põhjaveekogumite puhul on liikmesriikidel olnud samuti võimalik kehtestada oma läviväärtused, seda isegi sünteetiliste ainete jaoks. Selline paindlikkus on toonud kaasa ebaoptimaalsed tulemused seoses eri liikmesriikide veekogude seisundite võrreldavusega ja keskkonnakaitsega. Seepärast on vaja ette näha kord, mis võimaldab leppida liidu tasandil kokku keskkonnakvaliteedi standardites ja läviväärtustes, mida tuleb kõnealuste ainete suhtes kohaldada, kui need on määratletud riigi tasandil probleemse ainena, ning luua asjaomaste kohaldatavate keskkonnakvaliteedi standardite ja läviväärtuste andmekogu.</w:t>
      </w:r>
    </w:p>
    <w:p w14:paraId="63710567" w14:textId="77777777" w:rsidR="007859A8" w:rsidRPr="00CB2133" w:rsidRDefault="007859A8">
      <w:pPr>
        <w:widowControl/>
        <w:rPr>
          <w:b/>
          <w:i/>
          <w:szCs w:val="24"/>
          <w:lang w:eastAsia="en-US"/>
        </w:rPr>
      </w:pPr>
      <w:r w:rsidRPr="00CB2133">
        <w:rPr>
          <w:b/>
          <w:i/>
          <w:szCs w:val="24"/>
          <w:lang w:eastAsia="en-US"/>
        </w:rPr>
        <w:br w:type="page"/>
      </w:r>
    </w:p>
    <w:p w14:paraId="3A47933D" w14:textId="11F6DB10"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(13a)</w:t>
      </w:r>
      <w:r w:rsidRPr="00CB2133">
        <w:rPr>
          <w:szCs w:val="24"/>
          <w:lang w:eastAsia="en-US"/>
        </w:rPr>
        <w:tab/>
      </w:r>
      <w:r w:rsidRPr="00CB2133">
        <w:rPr>
          <w:b/>
          <w:i/>
          <w:szCs w:val="24"/>
          <w:lang w:eastAsia="en-US"/>
        </w:rPr>
        <w:t>Kõik otsused ainete valiku, läbivaatamise ja keskkonnakvaliteedi standardite kehtestamise kohta peaksid põhinema riskihindamisel ning järgima proportsionaalset, läbipaistvat ja teaduspõhist lähenemisviisi ning võtma arvesse Euroopa Parlamendi, liikmesriikide ja asjaomaste sidusrühmade soovitusi.</w:t>
      </w:r>
      <w:r w:rsidR="00653E56" w:rsidRPr="00CB2133">
        <w:rPr>
          <w:b/>
          <w:szCs w:val="24"/>
          <w:lang w:eastAsia="en-US"/>
        </w:rPr>
        <w:t xml:space="preserve"> [ME 39]</w:t>
      </w:r>
    </w:p>
    <w:p w14:paraId="66E84C0C" w14:textId="73974CBD" w:rsidR="00C45ED4" w:rsidRPr="00CB2133" w:rsidRDefault="00C45ED4" w:rsidP="00C45ED4">
      <w:pPr>
        <w:spacing w:before="120" w:after="120" w:line="360" w:lineRule="auto"/>
        <w:ind w:left="850" w:hanging="850"/>
        <w:rPr>
          <w:b/>
          <w:szCs w:val="24"/>
          <w:lang w:eastAsia="en-US"/>
        </w:rPr>
      </w:pPr>
      <w:r w:rsidRPr="00CB2133">
        <w:rPr>
          <w:b/>
          <w:i/>
          <w:szCs w:val="24"/>
          <w:lang w:eastAsia="en-US"/>
        </w:rPr>
        <w:t>(13b)</w:t>
      </w:r>
      <w:r w:rsidRPr="00CB2133">
        <w:rPr>
          <w:szCs w:val="24"/>
          <w:lang w:eastAsia="en-US"/>
        </w:rPr>
        <w:tab/>
      </w:r>
      <w:r w:rsidRPr="00CB2133">
        <w:rPr>
          <w:b/>
          <w:i/>
          <w:szCs w:val="24"/>
          <w:lang w:eastAsia="en-US"/>
        </w:rPr>
        <w:t>Kuigi direktiivis 2000/60/EÜ on sätestatud vee kvantiteedi ja kvaliteedi edendamiseks vajalikud eeskirjad, näitas toimivuskontroll, et kõnealuse direktiivi eesmärkide saavutamisel tehtud aeglased edusammud on muu hulgas tingitud piisavate rahaliste vahendite puudumisest ning õiguslikust ja ökoloogilisest keerukusest, sealhulgas võimalikest viivitustest, sest põhjavesi reageerib meetmetele aeglaselt, ja aruandluse ajakavast. Meetmed, mis parandavad veekogude seisundit jõgede ja ökosüsteemi teenuste taastamise kaudu, toovad rahalist kasu, mis kaalub üles kulud ja võib vähendada liikmesriikide vajalikke kulutusi. Lisaks osutab hindamine puudulikule rakendamisele, ebapiisavale ulatusele ning ebapiisavatele või sobimatutele taastamismeetmetele, millega tagada hüdroloogiline ja ökoloogiline ühendatus</w:t>
      </w:r>
      <w:r w:rsidRPr="00CB2133">
        <w:rPr>
          <w:szCs w:val="24"/>
          <w:vertAlign w:val="superscript"/>
          <w:lang w:eastAsia="en-US"/>
        </w:rPr>
        <w:footnoteReference w:id="43"/>
      </w:r>
      <w:r w:rsidR="00653E56" w:rsidRPr="00CB2133">
        <w:rPr>
          <w:b/>
          <w:i/>
          <w:szCs w:val="24"/>
          <w:lang w:eastAsia="en-US"/>
        </w:rPr>
        <w:t>.</w:t>
      </w:r>
      <w:r w:rsidR="00653E56" w:rsidRPr="00CB2133">
        <w:rPr>
          <w:b/>
          <w:szCs w:val="24"/>
          <w:lang w:eastAsia="en-US"/>
        </w:rPr>
        <w:t xml:space="preserve"> [ME 40]</w:t>
      </w:r>
    </w:p>
    <w:p w14:paraId="694D48DE" w14:textId="77777777" w:rsidR="007859A8" w:rsidRPr="00CB2133" w:rsidRDefault="007859A8">
      <w:pPr>
        <w:widowControl/>
        <w:rPr>
          <w:szCs w:val="24"/>
          <w:lang w:eastAsia="en-US"/>
        </w:rPr>
      </w:pPr>
      <w:r w:rsidRPr="00CB2133">
        <w:rPr>
          <w:szCs w:val="24"/>
          <w:lang w:eastAsia="en-US"/>
        </w:rPr>
        <w:br w:type="page"/>
      </w:r>
    </w:p>
    <w:p w14:paraId="78BA4DBC" w14:textId="01E92C18"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(14)</w:t>
      </w:r>
      <w:r w:rsidRPr="00CB2133">
        <w:rPr>
          <w:szCs w:val="24"/>
          <w:lang w:eastAsia="en-US"/>
        </w:rPr>
        <w:tab/>
        <w:t>Peale selle võimaldab vesikonnaspetsiifiliste saasteainete lisamine pinnaveekogu keemilise seisundi määratlusse tagada kooskõlastatuma, sidusama ja läbipaistvama lähenemisviisi rakendamise pinnaveekogude keemilise seisundi seirel ja hindamisel ning sellega seotud teabe jagamisel üldsusele. Samuti hõlbustab see sihipärasema lähenemisviisi kasutamist selliste meetmete kindlaksmääramiseks ja rakendamiseks, mis võimaldavad käsitleda kõiki kemikaalidega seotud küsimusi terviklikumal, tõhusamal ja tulemuslikumal viisil. Seepärast tuleks muuta mõistete „ökoloogiline seisund“ ja „keemiline seisund“ määratlust ning laiendada mõiste „keemiline seisund“ määratlust nii, et see hõlmaks ka vesikonnaspetsiifilisi saasteaineid, mis seni on olnud osa direktiivi 2000/60/EÜ V lisas käsitletud mõiste „ökoloogiline seisund“ määratlusest. Sellest tulenevalt tuleks direktiivi 2008/105/EÜ lisada vesikonnaspetsiifilise saasteainega seotud keskkonnakvaliteedi standardi mõiste ja sellise standardiga seotud menetluskord.</w:t>
      </w:r>
    </w:p>
    <w:p w14:paraId="1E451C49" w14:textId="2C724EFD" w:rsidR="00C45ED4" w:rsidRPr="00CB2133" w:rsidRDefault="00C45ED4" w:rsidP="00C45ED4">
      <w:pPr>
        <w:spacing w:before="120" w:after="120" w:line="360" w:lineRule="auto"/>
        <w:ind w:left="850" w:hanging="850"/>
        <w:rPr>
          <w:b/>
          <w:szCs w:val="24"/>
          <w:lang w:eastAsia="en-US"/>
        </w:rPr>
      </w:pPr>
      <w:r w:rsidRPr="00CB2133">
        <w:rPr>
          <w:szCs w:val="24"/>
          <w:lang w:eastAsia="en-US"/>
        </w:rPr>
        <w:t>(15)</w:t>
      </w:r>
      <w:r w:rsidRPr="00CB2133">
        <w:rPr>
          <w:szCs w:val="24"/>
          <w:lang w:eastAsia="en-US"/>
        </w:rPr>
        <w:tab/>
        <w:t xml:space="preserve">Selleks, et tagada liidus võrdsed tingimused ja ühtlustatud lähenemisviisi kasutamine, tuleks komisjonile anda õigus võtta kooskõlas Euroopa Liidu toimimise lepingu artikliga 290 vastu õigusakte direktiivi 2006/118/EÜ II lisa B osa muutmiseks eesmärgiga kohandada loetelu saasteainetest, mille puhul liikmesriigid peavad </w:t>
      </w:r>
      <w:r w:rsidRPr="00CB2133">
        <w:rPr>
          <w:strike/>
          <w:szCs w:val="24"/>
          <w:lang w:eastAsia="en-US"/>
        </w:rPr>
        <w:t>kaaluma riiklike läviväärtuste kehtestamist</w:t>
      </w:r>
      <w:r w:rsidRPr="00CB2133">
        <w:rPr>
          <w:b/>
          <w:i/>
          <w:szCs w:val="24"/>
          <w:lang w:eastAsia="en-US"/>
        </w:rPr>
        <w:t>kehtestama riiklikud läviväärtused</w:t>
      </w:r>
      <w:r w:rsidRPr="00CB2133">
        <w:rPr>
          <w:szCs w:val="24"/>
          <w:lang w:eastAsia="en-US"/>
        </w:rPr>
        <w:t>.</w:t>
      </w:r>
      <w:r w:rsidR="00653E56" w:rsidRPr="00CB2133">
        <w:rPr>
          <w:b/>
          <w:szCs w:val="24"/>
          <w:lang w:eastAsia="en-US"/>
        </w:rPr>
        <w:t xml:space="preserve"> [ME 41]</w:t>
      </w:r>
    </w:p>
    <w:p w14:paraId="4996F626" w14:textId="77777777" w:rsidR="007859A8" w:rsidRPr="00CB2133" w:rsidRDefault="007859A8">
      <w:pPr>
        <w:widowControl/>
        <w:rPr>
          <w:szCs w:val="24"/>
          <w:lang w:eastAsia="en-US"/>
        </w:rPr>
      </w:pPr>
      <w:r w:rsidRPr="00CB2133">
        <w:rPr>
          <w:szCs w:val="24"/>
          <w:lang w:eastAsia="en-US"/>
        </w:rPr>
        <w:br w:type="page"/>
      </w:r>
    </w:p>
    <w:p w14:paraId="5C5AE114" w14:textId="54F156AC"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(16)</w:t>
      </w:r>
      <w:r w:rsidRPr="00CB2133">
        <w:rPr>
          <w:szCs w:val="24"/>
          <w:lang w:eastAsia="en-US"/>
        </w:rPr>
        <w:tab/>
        <w:t>Lähtuvalt vajadusest võtta vesikonnaspetsiifiliste saasteainete puhul kiiresti arvesse teadusandmeid ja tehnilisi teadmisi ning tagada liidus võrdsed tingimused ja ühtlustatud lähenemisviisi kasutamine, tuleks komisjonile anda õigus võtta kooskõlas Euroopa Liidu toimimise lepingu artikliga 290 vastu õigusakte direktiivi 2008/105/EÜ II lisa kohandamiseks seoses kõnealuse lisa A osas esitatud saasteainekategooriate loeteluga ning II lisa C osa kohandamiseks seoses ühtlustatud keskkonnakvaliteedi standarditega vesikonnaspetsiifiliste saasteainete ja nende ainete rühmade jaoks. Liikmesriigid peaksid nendest saasteainetest tuleneva riski ilmnemisel kohaldama kõnealuseid ühtlustatud keskkonnakvaliteedi standardeid oma pinnaveekogude seisundi hindamisel.</w:t>
      </w:r>
    </w:p>
    <w:p w14:paraId="25799DD3"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(17)</w:t>
      </w:r>
      <w:r w:rsidRPr="00CB2133">
        <w:rPr>
          <w:szCs w:val="24"/>
          <w:lang w:eastAsia="en-US"/>
        </w:rPr>
        <w:tab/>
        <w:t>Direktiivi 2008/105/EÜ I lisa A osas esitatud prioriteetsete ainete nimistu läbivaatamisel jõuti järeldusele, et mitu prioriteetset ainet ei ole enam kogu liidus probleemsed ning seepärast tuleks need kõnealuse direktiivi I lisa A osast välja jätta. Neid aineid tuleks seega käsitada vesikonnaspetsiifiliste saasteainetena ja need tuleks koos vastavate keskkonnakvaliteedi standarditega lisada direktiivi 2008/105/EÜ II lisa C osasse. Kuna kõnealuseid saasteaineid ei peeta enam kogu liidus probleemseteks, tuleb asjaomaseid keskkonnakvaliteedi standardeid kohaldada üksnes juhul, kui kõnealused saasteained võivad endiselt olla riigi või piirkonna või kohalikul tasandil probleemsed.</w:t>
      </w:r>
    </w:p>
    <w:p w14:paraId="79D0EC45" w14:textId="77777777" w:rsidR="007859A8" w:rsidRPr="00CB2133" w:rsidRDefault="007859A8">
      <w:pPr>
        <w:widowControl/>
        <w:rPr>
          <w:szCs w:val="24"/>
          <w:lang w:eastAsia="en-US"/>
        </w:rPr>
      </w:pPr>
      <w:r w:rsidRPr="00CB2133">
        <w:rPr>
          <w:szCs w:val="24"/>
          <w:lang w:eastAsia="en-US"/>
        </w:rPr>
        <w:br w:type="page"/>
      </w:r>
    </w:p>
    <w:p w14:paraId="45A86E29" w14:textId="3F6DFEB3"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(18)</w:t>
      </w:r>
      <w:r w:rsidRPr="00CB2133">
        <w:rPr>
          <w:szCs w:val="24"/>
          <w:lang w:eastAsia="en-US"/>
        </w:rPr>
        <w:tab/>
        <w:t>Selleks, et tagada võrdsed tingimused ja eri liikmesriikide veekogude seisundite võrreldavus, on vaja ühtlustada teatavate põhjavee saasteainete riiklikud läviväärtused. Seepärast tuleks lisada direktiivi 2006/118/EÜ II lisasse uus D osa, mis sisaldab riigi, piirkonna või kohalikul tasandil probleemsete põhjavee saasteainete ühtlustatud läviväärtuste andmekogu. Selles andmekogus esitatud ühtlustatud läviväärtusi tuleb kohaldada ainult nendes liikmesriikides, kus asjaomased saasteained mõjutavad põhjavee seisundit. Sünteetiliste saasteainete trikloroetüleeni ja tetrakloroetüleeni summa puhul on vaja riiklikud läviväärtused ühtlustada, sest mitte kõikides liikmesriikides, kus need kaks saasteainet on olulised, ei kohaldata läviväärtust nende ainete summa suhtes ning samuti on kehtestatud riiklikud läviväärtused erinevad. Kõnealune ühtlustatud läviväärtus peaks vastama väärtusele, mis on direktiiviga (EL) 2020/2184 kehtestatud nende saasteainete summaarse sisalduse jaoks joogivees.</w:t>
      </w:r>
    </w:p>
    <w:p w14:paraId="6996F1CF"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(19)</w:t>
      </w:r>
      <w:r w:rsidRPr="00CB2133">
        <w:rPr>
          <w:szCs w:val="24"/>
          <w:lang w:eastAsia="en-US"/>
        </w:rPr>
        <w:tab/>
        <w:t>Selleks, et tagada liidus võrdsed tingimused ja ühtlustatud lähenemisviisi kasutamine, tuleks komisjonile anda õigus võtta kooskõlas Euroopa Liidu toimimise lepingu artikliga 290 vastu õigusakte direktiivi 2006/118/EÜ II lisa D osa muutmiseks eesmärgiga kohandada ühtlustatud läviväärtuste andmekogus esitatud saasteainete loetelu ja asjaomaseid ühtlustatud läviväärtusi teaduse ja tehnika arenguga.</w:t>
      </w:r>
    </w:p>
    <w:p w14:paraId="5F9EBCF3" w14:textId="77777777" w:rsidR="007859A8" w:rsidRPr="00CB2133" w:rsidRDefault="007859A8">
      <w:pPr>
        <w:widowControl/>
        <w:rPr>
          <w:szCs w:val="24"/>
          <w:lang w:eastAsia="en-US"/>
        </w:rPr>
      </w:pPr>
      <w:r w:rsidRPr="00CB2133">
        <w:rPr>
          <w:szCs w:val="24"/>
          <w:lang w:eastAsia="en-US"/>
        </w:rPr>
        <w:br w:type="page"/>
      </w:r>
    </w:p>
    <w:p w14:paraId="5EC78703" w14:textId="5F050BB3"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(20)</w:t>
      </w:r>
      <w:r w:rsidRPr="00CB2133">
        <w:rPr>
          <w:szCs w:val="24"/>
          <w:lang w:eastAsia="en-US"/>
        </w:rPr>
        <w:tab/>
        <w:t>Direktiivi 2006/118/EÜ kõiki põhjavee keemilise seisundi hindamisega seotud sätteid tuleks kohandada lähtuvalt ühtlustatud läviväärtuste lisamisest kõnealuse direktiivi II lisa D osasse kolmanda kategooriana lisaks kvaliteedistandarditele, mis on esitatud kõnealuse direktiivi I lisas, ja riiklikele läviväärtustele, mis kehtestatakse vastavalt nimetatud direktiivi II lisa A osas kirjeldatud metoodikale.</w:t>
      </w:r>
    </w:p>
    <w:p w14:paraId="27935EC0" w14:textId="6DB13D24" w:rsidR="00C45ED4" w:rsidRPr="00CB2133" w:rsidRDefault="00C45ED4" w:rsidP="00C45ED4">
      <w:pPr>
        <w:spacing w:before="120" w:after="120" w:line="360" w:lineRule="auto"/>
        <w:ind w:left="850" w:hanging="850"/>
        <w:rPr>
          <w:b/>
          <w:szCs w:val="24"/>
          <w:lang w:eastAsia="en-US"/>
        </w:rPr>
      </w:pPr>
      <w:r w:rsidRPr="00CB2133">
        <w:rPr>
          <w:b/>
          <w:i/>
          <w:szCs w:val="24"/>
          <w:lang w:eastAsia="en-US"/>
        </w:rPr>
        <w:t>(20a)</w:t>
      </w:r>
      <w:r w:rsidRPr="00CB2133">
        <w:rPr>
          <w:szCs w:val="24"/>
          <w:lang w:eastAsia="en-US"/>
        </w:rPr>
        <w:tab/>
      </w:r>
      <w:r w:rsidRPr="00CB2133">
        <w:rPr>
          <w:b/>
          <w:i/>
          <w:szCs w:val="24"/>
          <w:lang w:eastAsia="en-US"/>
        </w:rPr>
        <w:t>Selleks et tagada piisavad kaitsestandardid suure ökoloogilise väärtusega, haavatava või reostusega aladele, näiteks koobastele ja karstialadele, mis sisaldavad ökosüsteeme, mis on saastuse suhtes kõige haavatavamad ja mis kujutavad endast olulist joogiveevarustust, samuti endistele tööstusaladele ja muudele teadaoleva ajaloolise saastatusega aladele, peaks komisjon avaldama hinnangu selliste alade keemilise seisundi kohta ja esitama vajaduse korral seadusandliku ettepaneku direktiivi 2006/118/EÜ läbivaatamiseks.</w:t>
      </w:r>
      <w:r w:rsidR="00653E56" w:rsidRPr="00CB2133">
        <w:rPr>
          <w:b/>
          <w:szCs w:val="24"/>
          <w:lang w:eastAsia="en-US"/>
        </w:rPr>
        <w:t xml:space="preserve"> [ME 42]</w:t>
      </w:r>
    </w:p>
    <w:p w14:paraId="55A4B340" w14:textId="77777777" w:rsidR="007859A8" w:rsidRPr="00CB2133" w:rsidRDefault="007859A8">
      <w:pPr>
        <w:widowControl/>
        <w:rPr>
          <w:szCs w:val="24"/>
          <w:lang w:eastAsia="en-US"/>
        </w:rPr>
      </w:pPr>
      <w:r w:rsidRPr="00CB2133">
        <w:rPr>
          <w:szCs w:val="24"/>
          <w:lang w:eastAsia="en-US"/>
        </w:rPr>
        <w:br w:type="page"/>
      </w:r>
    </w:p>
    <w:p w14:paraId="5BA6AB5D" w14:textId="1A6BB99C"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(21)</w:t>
      </w:r>
      <w:r w:rsidRPr="00CB2133">
        <w:rPr>
          <w:szCs w:val="24"/>
          <w:lang w:eastAsia="en-US"/>
        </w:rPr>
        <w:tab/>
        <w:t>Selleks, et tagada tulemuslik ja sidus otsuste tegemine ning suurendada koostoimet liidu muude kemikaale käsitlevate õigusaktide raames tehtava tööga, tuleks Euroopa Kemikaaliametile ette näha selgelt piiratud alaline roll jälgimisnimekirjadesse ning direktiivi 2008/105/EÜ I ja II lisas ja direktiivi 2006/118/EÜ I ja II lisas esitatud aineloeteludesse lisatavate ainete prioriteetsuse kindlaksmääramises ning asjakohaste teaduspõhiste kvaliteedistandardite tuletamises. Teatavate Euroopa Kemikaaliametile antud ülesannete täitmist peaksid oma arvamuste esitamise kaudu hõlbustama ameti riskihindamise komitee ja sotsiaal-majandusliku analüüsi komitee. Ühtlasi peaks Euroopa Kemikaaliamet tagama parema kooskõla eri keskkonnaalaste õigusaktide vahel, suurendades asjakohaste teaduslike aruannete üldsusele kättesaadavaks tegemise kaudu läbipaistvust seoses jälgimisnimekirjas olevate saasteainetega või kogu liidus kohaldatavate või riiklike keskkonnakvaliteedi standardite või läviväärtuste väljatöötamisega.</w:t>
      </w:r>
      <w:r w:rsidRPr="00CB2133">
        <w:rPr>
          <w:b/>
          <w:i/>
          <w:szCs w:val="24"/>
          <w:lang w:eastAsia="en-US"/>
        </w:rPr>
        <w:t xml:space="preserve"> Seoses ravimite läviväärtuste hindamisega peaks ECHA tegema koostööd Euroopa Ravimiametiga (EMA).</w:t>
      </w:r>
      <w:r w:rsidR="00653E56" w:rsidRPr="00CB2133">
        <w:rPr>
          <w:b/>
          <w:szCs w:val="24"/>
          <w:lang w:eastAsia="en-US"/>
        </w:rPr>
        <w:t xml:space="preserve"> [ME 43]</w:t>
      </w:r>
    </w:p>
    <w:p w14:paraId="2A04C113" w14:textId="77777777" w:rsidR="007859A8" w:rsidRPr="00CB2133" w:rsidRDefault="007859A8">
      <w:pPr>
        <w:widowControl/>
        <w:rPr>
          <w:szCs w:val="24"/>
          <w:lang w:eastAsia="en-US"/>
        </w:rPr>
      </w:pPr>
      <w:r w:rsidRPr="00CB2133">
        <w:rPr>
          <w:szCs w:val="24"/>
          <w:lang w:eastAsia="en-US"/>
        </w:rPr>
        <w:br w:type="page"/>
      </w:r>
    </w:p>
    <w:p w14:paraId="2408F0CB" w14:textId="2A7D752B"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(22)</w:t>
      </w:r>
      <w:r w:rsidRPr="00CB2133">
        <w:rPr>
          <w:szCs w:val="24"/>
          <w:lang w:eastAsia="en-US"/>
        </w:rPr>
        <w:tab/>
        <w:t>Hindamisel jõuti järeldusele, et elektrooniline aruandlus peab olema sagedasem ja sujuvam, et soodustada liidu veealaste õigusaktide paremat rakendamist ja nende nõuete täitmise tagamist. Euroopa Keskkonnaamet peaks lähtuvalt oma rollist, mis hõlmab ka reostuse olukorra korrapärasemat jälgimist vastavalt nullsaaste tegevuskavas kirjeldatule, hõlbustama sellist sagedasemat ja sujuvamat liikmesriikide aruandlust. On oluline teha keskkonnaalane teave liidu pinna- ja põhjavee seisundi kohta üldsusele ja komisjonile õigeaegselt kättesaadavaks. Liikmesriike tuleks seepärast kohustada tegema direktiivi 2000/60/EÜ raames kogutud seireandmed komisjonile ja Euroopa Keskkonnaametile kättesaadavaks ning kasutama selleks automaatseid aruandlus- ja andmeedastusmehhanisme ja rakendusliidest või nendega samaväärseid mehhanisme. Sellega seotud halduskoormus on eeldatavalt piiratud, kuna liikmesriigid on Euroopa Parlamendi ja nõukogu direktiivi 2007/2/EÜ</w:t>
      </w:r>
      <w:r w:rsidRPr="00CB2133">
        <w:rPr>
          <w:szCs w:val="24"/>
          <w:vertAlign w:val="superscript"/>
          <w:lang w:eastAsia="en-US"/>
        </w:rPr>
        <w:footnoteReference w:id="44"/>
      </w:r>
      <w:r w:rsidRPr="00CB2133">
        <w:rPr>
          <w:szCs w:val="24"/>
          <w:lang w:eastAsia="en-US"/>
        </w:rPr>
        <w:t xml:space="preserve"> ning Euroopa Parlamendi ja nõukogu direktiivi (EL) 2019/1024</w:t>
      </w:r>
      <w:r w:rsidRPr="00CB2133">
        <w:rPr>
          <w:szCs w:val="24"/>
          <w:vertAlign w:val="superscript"/>
          <w:lang w:eastAsia="en-US"/>
        </w:rPr>
        <w:footnoteReference w:id="45"/>
      </w:r>
      <w:r w:rsidRPr="00CB2133">
        <w:rPr>
          <w:szCs w:val="24"/>
          <w:lang w:eastAsia="en-US"/>
        </w:rPr>
        <w:t xml:space="preserve"> alusel juba praegu kohustatud tegema valdkondlikud ruumiandmed üldsusele kättesaadavaks. Kõnealused valdkondlikud ruumiandmed hõlmavad keskkonnaseirerajatiste asukohta ja toimimist, asjaomast heitkoguste mõõtmist ja keskkonnaosade seisundit.</w:t>
      </w:r>
    </w:p>
    <w:p w14:paraId="3EC75424" w14:textId="77777777" w:rsidR="007859A8" w:rsidRPr="00CB2133" w:rsidRDefault="007859A8">
      <w:pPr>
        <w:widowControl/>
        <w:rPr>
          <w:strike/>
          <w:szCs w:val="24"/>
          <w:lang w:eastAsia="en-US"/>
        </w:rPr>
      </w:pPr>
      <w:r w:rsidRPr="00CB2133">
        <w:rPr>
          <w:strike/>
          <w:szCs w:val="24"/>
          <w:lang w:eastAsia="en-US"/>
        </w:rPr>
        <w:br w:type="page"/>
      </w:r>
    </w:p>
    <w:p w14:paraId="060A65B4" w14:textId="0FD1A99F" w:rsidR="00C45ED4" w:rsidRPr="00CB2133" w:rsidRDefault="00C45ED4" w:rsidP="00C45ED4">
      <w:pPr>
        <w:spacing w:before="120" w:after="120" w:line="360" w:lineRule="auto"/>
        <w:ind w:left="850" w:hanging="850"/>
        <w:rPr>
          <w:b/>
          <w:szCs w:val="24"/>
          <w:lang w:eastAsia="en-US"/>
        </w:rPr>
      </w:pPr>
      <w:r w:rsidRPr="00CB2133">
        <w:rPr>
          <w:strike/>
          <w:szCs w:val="24"/>
          <w:lang w:eastAsia="en-US"/>
        </w:rPr>
        <w:lastRenderedPageBreak/>
        <w:t>(23)</w:t>
      </w:r>
      <w:r w:rsidRPr="00CB2133">
        <w:rPr>
          <w:szCs w:val="24"/>
          <w:lang w:eastAsia="en-US"/>
        </w:rPr>
        <w:tab/>
      </w:r>
      <w:r w:rsidRPr="00CB2133">
        <w:rPr>
          <w:strike/>
          <w:szCs w:val="24"/>
          <w:lang w:eastAsia="en-US"/>
        </w:rPr>
        <w:t>Liidu veealaste õigusaktide alusel Euroopa Keskkonnaametile edastatavate andmevoogude, eelkõige direktiiviga 2008/105/EÜ nõutavate heiteandmike parem lõimimine direktiivi 2010/75/EL ning Euroopa Parlamendi ja nõukogu määruse (EÜ) nr 166/2006</w:t>
      </w:r>
      <w:r w:rsidRPr="00CB2133">
        <w:rPr>
          <w:szCs w:val="24"/>
          <w:vertAlign w:val="superscript"/>
          <w:lang w:eastAsia="en-US"/>
        </w:rPr>
        <w:footnoteReference w:id="46"/>
      </w:r>
      <w:r w:rsidRPr="00CB2133">
        <w:rPr>
          <w:strike/>
          <w:szCs w:val="24"/>
          <w:lang w:eastAsia="en-US"/>
        </w:rPr>
        <w:t xml:space="preserve"> alusel tööstusheite portaali kaudu edastatavate andmevoogudega muudab direktiivi 2008/105/EÜ artikli 5 kohase andmikega seotud aruandluse lihtsamaks ja tõhusamaks. Samal ajal vähendab see halduskoormust ja tippkoormust vesikonna majandamiskavade ettevalmistamisel. Selline lihtsustatud aruandlus koos meetmeprogrammide edenemist käsitleva mittetulemuslikuks osutunud vahearuandluse kaotamisega võimaldab liikmesriikidel teha rohkem pingutusi sellisest heitest aru andmiseks, mida tööstusheidet käsitlevad õigusaktid ei hõlma, kuid mis on hõlmatud direktiivi 2008/105/EÜ artikli 5 kohase heidet käsitleva aruandlusega.</w:t>
      </w:r>
      <w:r w:rsidR="00653E56" w:rsidRPr="00CB2133">
        <w:rPr>
          <w:b/>
          <w:szCs w:val="24"/>
          <w:lang w:eastAsia="en-US"/>
        </w:rPr>
        <w:t xml:space="preserve"> [ME 44]</w:t>
      </w:r>
    </w:p>
    <w:p w14:paraId="46C2D4F2" w14:textId="77777777" w:rsidR="007859A8" w:rsidRPr="00CB2133" w:rsidRDefault="007859A8">
      <w:pPr>
        <w:widowControl/>
        <w:rPr>
          <w:szCs w:val="24"/>
          <w:lang w:eastAsia="en-US"/>
        </w:rPr>
      </w:pPr>
      <w:r w:rsidRPr="00CB2133">
        <w:rPr>
          <w:szCs w:val="24"/>
          <w:lang w:eastAsia="en-US"/>
        </w:rPr>
        <w:br w:type="page"/>
      </w:r>
    </w:p>
    <w:p w14:paraId="57EC6894" w14:textId="7FF3CB15"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(24)</w:t>
      </w:r>
      <w:r w:rsidRPr="00CB2133">
        <w:rPr>
          <w:szCs w:val="24"/>
          <w:lang w:eastAsia="en-US"/>
        </w:rPr>
        <w:tab/>
        <w:t>Lissaboni lepingu järgselt eristatakse selgelt komisjonile delegeeritud volitusi võtta vastu muid kui seadusandlikke akte, mis on üldkohaldatavad ning millega täiendatakse või muudetakse seadusandliku akti teatavaid mitteolemuslikke osi (delegeeritud õigusaktid), ning komisjonile antud volitusi võtta vastu õigusakte, millega tagatakse ühtsed tingimused õiguslikult siduvate liidu õigusaktide rakendamiseks (rakendusaktid). Direktiivid 2000/60/EÜ ja 2006/118/EÜ tuleks viia vastavusse Lissaboni lepinguga kehtestatud õigusraamistikuga.</w:t>
      </w:r>
    </w:p>
    <w:p w14:paraId="2374ECD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(25)</w:t>
      </w:r>
      <w:r w:rsidRPr="00CB2133">
        <w:rPr>
          <w:szCs w:val="24"/>
          <w:lang w:eastAsia="en-US"/>
        </w:rPr>
        <w:tab/>
        <w:t>Direktiivi 2000/60/EÜ artikli 20 lõike 1 esimeses lõigus ja kõnealuse direktiivi V lisa punkti 1.4.1 alapunktis ix sätestatud volitused, millega nähakse ette kontrolliga regulatiivmenetluse kasutamine, vastavad ELi toimimise lepingu artikli 290 lõikes 1 sätestatud kriteeriumidele, kuna need on seotud kõnealuse direktiivi lisade kohandamise ja direktiivi täiendavate eeskirjade vastuvõtmisega. Seepärast tuleks need muuta komisjoni volitusteks võtta vastu delegeeritud õigusakte.</w:t>
      </w:r>
    </w:p>
    <w:p w14:paraId="5969A829" w14:textId="77777777" w:rsidR="007859A8" w:rsidRPr="00CB2133" w:rsidRDefault="007859A8">
      <w:pPr>
        <w:widowControl/>
        <w:rPr>
          <w:szCs w:val="24"/>
          <w:lang w:eastAsia="en-US"/>
        </w:rPr>
      </w:pPr>
      <w:r w:rsidRPr="00CB2133">
        <w:rPr>
          <w:szCs w:val="24"/>
          <w:lang w:eastAsia="en-US"/>
        </w:rPr>
        <w:br w:type="page"/>
      </w:r>
    </w:p>
    <w:p w14:paraId="57AE4C8B" w14:textId="3B702C8B"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(26)</w:t>
      </w:r>
      <w:r w:rsidRPr="00CB2133">
        <w:rPr>
          <w:szCs w:val="24"/>
          <w:lang w:eastAsia="en-US"/>
        </w:rPr>
        <w:tab/>
        <w:t>Direktiivi 2006/118/EÜ artiklis 8 sätestatud volitus, millega nähakse ette kontrolliga regulatiivmenetluse kasutamine, vastab ELi toimimise lepingu artikli 290 lõikes 1 sätestatud kriteeriumidele, kuna see on seotud kõnealuse direktiivi lisade kohandamisega. Seepärast tuleks see muuta komisjoni volituseks võtta vastu delegeeritud õigusakte.</w:t>
      </w:r>
    </w:p>
    <w:p w14:paraId="54BB4DEE"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(27)</w:t>
      </w:r>
      <w:r w:rsidRPr="00CB2133">
        <w:rPr>
          <w:szCs w:val="24"/>
          <w:lang w:eastAsia="en-US"/>
        </w:rPr>
        <w:tab/>
        <w:t>On eriti oluline, et komisjon korraldaks delegeeritud õigusaktide ettevalmistamisel oma ettevalmistava töö käigus asjakohaseid konsultatsioone, sealhulgas ekspertide tasandil, ja et kõnealused konsultatsioonid viidaks läbi kooskõlas 13. aprilli 2016. aasta institutsioonidevahelise parema õigusloome kokkuleppes sätestatud põhimõtetega. Eelkõige saavad Euroopa Parlament ja nõukogu selleks, et tagada võrdne osalus delegeeritud õigusaktide ettevalmistamises, kõik dokumendid liikmesriikide ekspertidega samal ajal ning nende ekspertidel on pidev juurdepääs komisjoni eksperdirühmade koosolekutele, kus arutatakse delegeeritud õigusaktide ettevalmistamist.</w:t>
      </w:r>
    </w:p>
    <w:p w14:paraId="52BCC991" w14:textId="77777777" w:rsidR="007859A8" w:rsidRPr="00CB2133" w:rsidRDefault="007859A8">
      <w:pPr>
        <w:widowControl/>
        <w:rPr>
          <w:szCs w:val="24"/>
          <w:lang w:eastAsia="en-US"/>
        </w:rPr>
      </w:pPr>
      <w:r w:rsidRPr="00CB2133">
        <w:rPr>
          <w:szCs w:val="24"/>
          <w:lang w:eastAsia="en-US"/>
        </w:rPr>
        <w:br w:type="page"/>
      </w:r>
    </w:p>
    <w:p w14:paraId="30A990B5" w14:textId="45651AAA"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(28)</w:t>
      </w:r>
      <w:r w:rsidRPr="00CB2133">
        <w:rPr>
          <w:szCs w:val="24"/>
          <w:lang w:eastAsia="en-US"/>
        </w:rPr>
        <w:tab/>
        <w:t>Direktiivi 2000/60/EÜ artikli 8 lõikes 3 sätestatud volitus, millega nähakse ette kontrolliga regulatiivmenetluse kasutamine, vastab ELi toimimise lepingu artikli 290 lõikes 2 sätestatud kriteeriumidele, kuna see on seotud vee seisundi analüüsimiseks ja seireks kasutatavate tehniliste näitajate ja standardmeetodite vastuvõtmisega ning selle eesmärk on tagada ühtsed tingimused kõnealuse direktiivi ühtlustatud rakendamiseks. Seepärast tuleks see muuta komisjoni volituseks võtta vastu rakendusakte. Andmete võrreldavuse tagamiseks tuleks kõnealust volitust laiendada nii, et see hõlmaks ka seire- ja seisundiandmete esitamise vormide kehtestamist kooskõlas artikli 8 lõikega 4. Komisjonile antud volitusi tuleks teostada kooskõlas Euroopa Parlamendi ja nõukogu määrusega (EL) nr 182/2011</w:t>
      </w:r>
      <w:r w:rsidRPr="00CB2133">
        <w:rPr>
          <w:szCs w:val="24"/>
          <w:vertAlign w:val="superscript"/>
          <w:lang w:eastAsia="en-US"/>
        </w:rPr>
        <w:footnoteReference w:id="47"/>
      </w:r>
      <w:r w:rsidRPr="00CB2133">
        <w:rPr>
          <w:szCs w:val="24"/>
          <w:lang w:eastAsia="en-US"/>
        </w:rPr>
        <w:t>.</w:t>
      </w:r>
    </w:p>
    <w:p w14:paraId="74214325"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(29)</w:t>
      </w:r>
      <w:r w:rsidRPr="00CB2133">
        <w:rPr>
          <w:szCs w:val="24"/>
          <w:lang w:eastAsia="en-US"/>
        </w:rPr>
        <w:tab/>
        <w:t>Selleks, et tagada direktiivi 2000/60/EÜ rakendamiseks ühetaolised tingimused, tuleks komisjonile anda rakendusvolitused võtta kooskõlas direktiivi 2000/60/EÜ artikli 8 lõikega 3 vastu seireandmete ja vee seisundi andmete esitamise tehnilised vormid. Neid volitusi tuleks teostada määruse (EL) nr 182/2011 kohaselt.</w:t>
      </w:r>
    </w:p>
    <w:p w14:paraId="68A89335" w14:textId="77777777" w:rsidR="007859A8" w:rsidRPr="00CB2133" w:rsidRDefault="007859A8">
      <w:pPr>
        <w:widowControl/>
        <w:rPr>
          <w:szCs w:val="24"/>
          <w:lang w:eastAsia="en-US"/>
        </w:rPr>
      </w:pPr>
      <w:r w:rsidRPr="00CB2133">
        <w:rPr>
          <w:szCs w:val="24"/>
          <w:lang w:eastAsia="en-US"/>
        </w:rPr>
        <w:br w:type="page"/>
      </w:r>
    </w:p>
    <w:p w14:paraId="3B19E903" w14:textId="2F8DA967"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(30)</w:t>
      </w:r>
      <w:r w:rsidRPr="00CB2133">
        <w:rPr>
          <w:szCs w:val="24"/>
          <w:lang w:eastAsia="en-US"/>
        </w:rPr>
        <w:tab/>
        <w:t>Selleks, et tagada direktiivi 2008/105/EÜ rakendamiseks ühetaolised tingimused, tuleks komisjonile anda rakendusvolitused võtta vastu Euroopa Parlamendi ja nõukogu määrusega (EL) .../...</w:t>
      </w:r>
      <w:r w:rsidRPr="00CB2133">
        <w:rPr>
          <w:szCs w:val="24"/>
          <w:vertAlign w:val="superscript"/>
          <w:lang w:eastAsia="en-US"/>
        </w:rPr>
        <w:footnoteReference w:id="48"/>
      </w:r>
      <w:r w:rsidRPr="00CB2133">
        <w:rPr>
          <w:szCs w:val="24"/>
          <w:lang w:eastAsia="en-US"/>
        </w:rPr>
        <w:t xml:space="preserve"> hõlmamata punktallikatest lähtuva heite kohta Euroopa Keskkonnaametile aruannete esitamise standardvormid. Neid volitusi tuleks teostada määruse (EL) nr 182/2011 kohaselt.</w:t>
      </w:r>
    </w:p>
    <w:p w14:paraId="6C0CFA9E" w14:textId="2460E805" w:rsidR="00C45ED4" w:rsidRPr="00CB2133" w:rsidRDefault="00C45ED4" w:rsidP="00C45ED4">
      <w:pPr>
        <w:spacing w:before="120" w:after="120" w:line="360" w:lineRule="auto"/>
        <w:ind w:left="850" w:hanging="850"/>
        <w:rPr>
          <w:b/>
          <w:szCs w:val="24"/>
          <w:lang w:eastAsia="en-US"/>
        </w:rPr>
      </w:pPr>
      <w:r w:rsidRPr="00CB2133">
        <w:rPr>
          <w:szCs w:val="24"/>
          <w:lang w:eastAsia="en-US"/>
        </w:rPr>
        <w:t>(31)</w:t>
      </w:r>
      <w:r w:rsidRPr="00CB2133">
        <w:rPr>
          <w:szCs w:val="24"/>
          <w:lang w:eastAsia="en-US"/>
        </w:rPr>
        <w:tab/>
        <w:t>On vaja võtta arvesse teaduse ja tehnika arengut</w:t>
      </w:r>
      <w:r w:rsidRPr="00CB2133">
        <w:rPr>
          <w:b/>
          <w:i/>
          <w:szCs w:val="24"/>
          <w:lang w:eastAsia="en-US"/>
        </w:rPr>
        <w:t xml:space="preserve"> ja parimaid võimalikke meetodeid</w:t>
      </w:r>
      <w:r w:rsidRPr="00CB2133">
        <w:rPr>
          <w:szCs w:val="24"/>
          <w:lang w:eastAsia="en-US"/>
        </w:rPr>
        <w:t xml:space="preserve"> veekogude seisundi seire valdkonnas lähtuvalt direktiivi 2000/60/EÜ V lisas esitatud seirenõuetest. Seepärast tuleks liikmesriikidel lubada kasutada kaugseiretehnoloogia, Maa seire (Copernicuse programmi teenused) ning kohapealsete andurite ja seadmete abil saadud andmeid ja teenuseid, samuti kodanikelt saadud teadusandmeid, et kasutada ära tehisintellekti ning kõrgetasemelise andmeanalüüsi ja -töötlusega seotud võimalusi.</w:t>
      </w:r>
      <w:r w:rsidR="00653E56" w:rsidRPr="00CB2133">
        <w:rPr>
          <w:b/>
          <w:szCs w:val="24"/>
          <w:lang w:eastAsia="en-US"/>
        </w:rPr>
        <w:t xml:space="preserve"> [ME 45]</w:t>
      </w:r>
    </w:p>
    <w:p w14:paraId="56DEC62A" w14:textId="77777777" w:rsidR="007859A8" w:rsidRPr="00CB2133" w:rsidRDefault="007859A8">
      <w:pPr>
        <w:widowControl/>
        <w:rPr>
          <w:b/>
          <w:i/>
          <w:szCs w:val="24"/>
          <w:lang w:eastAsia="en-US"/>
        </w:rPr>
      </w:pPr>
      <w:r w:rsidRPr="00CB2133">
        <w:rPr>
          <w:b/>
          <w:i/>
          <w:szCs w:val="24"/>
          <w:lang w:eastAsia="en-US"/>
        </w:rPr>
        <w:br w:type="page"/>
      </w:r>
    </w:p>
    <w:p w14:paraId="48F77A21" w14:textId="2BBC0C53"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(31a)</w:t>
      </w:r>
      <w:r w:rsidRPr="00CB2133">
        <w:rPr>
          <w:szCs w:val="24"/>
          <w:lang w:eastAsia="en-US"/>
        </w:rPr>
        <w:tab/>
      </w:r>
      <w:r w:rsidRPr="00CB2133">
        <w:rPr>
          <w:b/>
          <w:i/>
          <w:szCs w:val="24"/>
          <w:lang w:eastAsia="en-US"/>
        </w:rPr>
        <w:t>Energiasüsteemi ümberkujundamisega seotud tööstustegevus võib suurendada kahjulikku mõju veekvaliteedile. Selliste tulevaste mõjude, näiteks looduslike voolumustrite ja temperatuuri muutuste ning veereostuse leevendamiseks on vaja hinnata kõiki võimalikke tegureid ning meetmeid, mida võtta vee hea kvaliteedi saavutamiseks ja säilitamiseks. Seetõttu peaksid liikmesriigid korrapäraselt hindama energiasüsteemi ümberkujundamisega seotud tööstustegevuse mõju veekvaliteedile ja teavitama komisjoni uutest tuvastatud ohtudest, et oleks võimalik jälgimisnimekirja vastavalt ajakohastada. See hindamine peaks olema üldsusele kergesti kättesaadav ja ajakohastamist tuleks lubada väljaspool üldisi ajakohastamistsükleid, et tagada veekvaliteedi hindamise pidev täiustamine.</w:t>
      </w:r>
      <w:r w:rsidR="00653E56" w:rsidRPr="00CB2133">
        <w:rPr>
          <w:b/>
          <w:szCs w:val="24"/>
          <w:lang w:eastAsia="en-US"/>
        </w:rPr>
        <w:t xml:space="preserve"> [ME 46]</w:t>
      </w:r>
    </w:p>
    <w:p w14:paraId="30976C60" w14:textId="77777777" w:rsidR="007859A8" w:rsidRPr="00CB2133" w:rsidRDefault="007859A8">
      <w:pPr>
        <w:widowControl/>
        <w:rPr>
          <w:b/>
          <w:i/>
          <w:szCs w:val="24"/>
          <w:lang w:eastAsia="en-US"/>
        </w:rPr>
      </w:pPr>
      <w:r w:rsidRPr="00CB2133">
        <w:rPr>
          <w:b/>
          <w:i/>
          <w:szCs w:val="24"/>
          <w:lang w:eastAsia="en-US"/>
        </w:rPr>
        <w:br w:type="page"/>
      </w:r>
    </w:p>
    <w:p w14:paraId="59153235" w14:textId="76637341"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(31b)</w:t>
      </w:r>
      <w:r w:rsidRPr="00CB2133">
        <w:rPr>
          <w:szCs w:val="24"/>
          <w:lang w:eastAsia="en-US"/>
        </w:rPr>
        <w:tab/>
      </w:r>
      <w:r w:rsidRPr="00CB2133">
        <w:rPr>
          <w:b/>
          <w:i/>
          <w:szCs w:val="24"/>
          <w:lang w:eastAsia="en-US"/>
        </w:rPr>
        <w:t>Oma 11. detsembri 2019. aasta teatises Euroopa rohelise kokkuleppe kohta ja 14. oktoobri 2020. aasta teatises keskkonnaasjades kohtu poole pöördumise võimaluste parandamise kohta lubas komisjon võtta meetmeid, et parandada kõigi liikmesriikide riiklikes kohtutes õiguskaitse kättesaadavust kodanike ja keskkonnavaldkonnas tegutsevate valitsusväliste organisatsioonide jaoks, kellel on keskkonnamõjuga haldusaktide keskkonnaõigusele vastavuse suhtes konkreetseid kahtlusi. Viimati mainitud teatises kinnitab komisjon, et „võimalus pöörduda keskkonnaasjades kohtu poole Euroopa Liidu Kohtu ja liikmesriikide kohtute kui liidu kohtute kaudu on oluline tugimeede, mis aitab kaasa Euroopa rohelise kokkuleppe kohasele üleminekule, ja see tugevdab kodanikuühiskonna rolli demokraatliku korra järelevalvajana“. Neid kohustusi tuleks rakendada ka direktiivi 2000/60/EÜ alusel.</w:t>
      </w:r>
      <w:r w:rsidR="00653E56" w:rsidRPr="00CB2133">
        <w:rPr>
          <w:b/>
          <w:szCs w:val="24"/>
          <w:lang w:eastAsia="en-US"/>
        </w:rPr>
        <w:t xml:space="preserve"> [ME 47]</w:t>
      </w:r>
    </w:p>
    <w:p w14:paraId="01E8B4F0" w14:textId="77777777" w:rsidR="007859A8" w:rsidRPr="00CB2133" w:rsidRDefault="007859A8">
      <w:pPr>
        <w:widowControl/>
        <w:rPr>
          <w:b/>
          <w:i/>
          <w:szCs w:val="24"/>
          <w:lang w:eastAsia="en-US"/>
        </w:rPr>
      </w:pPr>
      <w:r w:rsidRPr="00CB2133">
        <w:rPr>
          <w:b/>
          <w:i/>
          <w:szCs w:val="24"/>
          <w:lang w:eastAsia="en-US"/>
        </w:rPr>
        <w:br w:type="page"/>
      </w:r>
    </w:p>
    <w:p w14:paraId="1D33FC83" w14:textId="12C64998"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(31c)</w:t>
      </w:r>
      <w:r w:rsidRPr="00CB2133">
        <w:rPr>
          <w:szCs w:val="24"/>
          <w:lang w:eastAsia="en-US"/>
        </w:rPr>
        <w:tab/>
      </w:r>
      <w:r w:rsidRPr="00CB2133">
        <w:rPr>
          <w:b/>
          <w:i/>
          <w:szCs w:val="24"/>
          <w:lang w:eastAsia="en-US"/>
        </w:rPr>
        <w:t>Nagu on kinnitatud Euroopa Liidu Kohtu praktikas</w:t>
      </w:r>
      <w:r w:rsidRPr="00CB2133">
        <w:rPr>
          <w:szCs w:val="24"/>
          <w:vertAlign w:val="superscript"/>
          <w:lang w:eastAsia="en-US"/>
        </w:rPr>
        <w:footnoteReference w:id="49"/>
      </w:r>
      <w:r w:rsidRPr="00CB2133">
        <w:rPr>
          <w:b/>
          <w:i/>
          <w:szCs w:val="24"/>
          <w:lang w:eastAsia="en-US"/>
        </w:rPr>
        <w:t>, tuleks valitsusvälistele keskkonnaorganisatsioonidele ja otseselt mõjutatud üksikisikutele anda kaebeõigus, et vaidlustada avaliku sektori asutuse otsus, millega on rikutud direktiivi 2000/60/EÜ artiklis 4 osutatud keskkonnaalaseid eesmärke. Selleks et parandada õiguskaitse kättesaadavust asjaomastes küsimustes riikide kohtutes kogu liidus ning selleks, et valitsusvälised keskkonnaorganisatsioonid ja otseselt mõjutatud üksikisikud saaksid tugineda siseriiklikele õigusaktidele, kui nad vaidlustavad otsuseid, mis on vastuolus direktiiviga 2000/60/EÜ, tuleks direktiivi 2000/60/EÜ alusel kehtestada sätted õiguskaitse kättesaadavuse tagamiseks.</w:t>
      </w:r>
      <w:r w:rsidR="00653E56" w:rsidRPr="00CB2133">
        <w:rPr>
          <w:b/>
          <w:szCs w:val="24"/>
          <w:lang w:eastAsia="en-US"/>
        </w:rPr>
        <w:t xml:space="preserve"> [ME 48]</w:t>
      </w:r>
    </w:p>
    <w:p w14:paraId="4B19FEEB" w14:textId="77777777" w:rsidR="007859A8" w:rsidRPr="00CB2133" w:rsidRDefault="007859A8">
      <w:pPr>
        <w:widowControl/>
        <w:rPr>
          <w:szCs w:val="24"/>
          <w:lang w:eastAsia="en-US"/>
        </w:rPr>
      </w:pPr>
      <w:r w:rsidRPr="00CB2133">
        <w:rPr>
          <w:szCs w:val="24"/>
          <w:lang w:eastAsia="en-US"/>
        </w:rPr>
        <w:br w:type="page"/>
      </w:r>
    </w:p>
    <w:p w14:paraId="6E6AFE96" w14:textId="59626A85" w:rsidR="00C45ED4" w:rsidRPr="00CB2133" w:rsidRDefault="00C45ED4" w:rsidP="00C45ED4">
      <w:pPr>
        <w:spacing w:before="120" w:after="120" w:line="360" w:lineRule="auto"/>
        <w:ind w:left="850" w:hanging="850"/>
        <w:rPr>
          <w:b/>
          <w:szCs w:val="24"/>
          <w:lang w:eastAsia="en-US"/>
        </w:rPr>
      </w:pPr>
      <w:r w:rsidRPr="00CB2133">
        <w:rPr>
          <w:szCs w:val="24"/>
          <w:lang w:eastAsia="en-US"/>
        </w:rPr>
        <w:lastRenderedPageBreak/>
        <w:t>(32)</w:t>
      </w:r>
      <w:r w:rsidRPr="00CB2133">
        <w:rPr>
          <w:szCs w:val="24"/>
          <w:lang w:eastAsia="en-US"/>
        </w:rPr>
        <w:tab/>
        <w:t>Ettenägematute ilmastikunähtuste – eelkõige äärmuslike üleujutuste ja pikaajaliste põudade – ning piiriülest</w:t>
      </w:r>
      <w:r w:rsidRPr="00CB2133">
        <w:rPr>
          <w:strike/>
          <w:szCs w:val="24"/>
          <w:lang w:eastAsia="en-US"/>
        </w:rPr>
        <w:t xml:space="preserve"> juhuslikku</w:t>
      </w:r>
      <w:r w:rsidRPr="00CB2133">
        <w:rPr>
          <w:szCs w:val="24"/>
          <w:lang w:eastAsia="en-US"/>
        </w:rPr>
        <w:t xml:space="preserve"> reostust põhjustavate või süvendavate oluliste reostusjuhtumite sagenemisest tulenevalt tuleks liikmesriike kohustada tagama, et teave selliste juhtumite kohta edastatakse koheselt liikmesriikidele, keda need võivad mõjutada, ning tegema selliste liikmesriikidega tõhusat koostööd asjaomase sündmuse või juhtumi mõju leevendamiseks. Samuti on vaja tugevdada liikmesriikidevahelist koostööd ja ühtlustada piiriülese koostöö korda seoses direktiivi 2000/60/EÜ artikli 12 kohaste struktuursemate, st mittejuhuslike ja pikaajalisemate piiriüleste probleemidega, mida ei saa lahendada liikmesriigi tasandil. Kui on vaja Euroopa abi, võivad liikmesriikide pädevad asutused saata abitaotlusi komisjoni hädaolukordadele reageerimise koordineerimiskeskusele, kus koordineeritakse võimalikke abipakkumisi ja abi saatmist liidu elanikkonnakaitse mehhanismi kaudu kooskõlas Euroopa Parlamendi ja nõukogu otsuse nr </w:t>
      </w:r>
      <w:r w:rsidRPr="00CB2133">
        <w:rPr>
          <w:strike/>
          <w:szCs w:val="24"/>
          <w:lang w:eastAsia="en-US"/>
        </w:rPr>
        <w:t>1313/2013</w:t>
      </w:r>
      <w:r w:rsidRPr="00CB2133">
        <w:rPr>
          <w:b/>
          <w:i/>
          <w:szCs w:val="24"/>
          <w:lang w:eastAsia="en-US"/>
        </w:rPr>
        <w:t>1313/2013/EL</w:t>
      </w:r>
      <w:r w:rsidRPr="00CB2133">
        <w:rPr>
          <w:szCs w:val="24"/>
          <w:vertAlign w:val="superscript"/>
          <w:lang w:eastAsia="en-US"/>
        </w:rPr>
        <w:footnoteReference w:id="50"/>
      </w:r>
      <w:r w:rsidRPr="00CB2133">
        <w:rPr>
          <w:szCs w:val="24"/>
          <w:lang w:eastAsia="en-US"/>
        </w:rPr>
        <w:t xml:space="preserve"> artikliga 15.</w:t>
      </w:r>
      <w:r w:rsidRPr="00CB2133">
        <w:rPr>
          <w:b/>
          <w:i/>
          <w:szCs w:val="24"/>
          <w:lang w:eastAsia="en-US"/>
        </w:rPr>
        <w:t xml:space="preserve"> Võttes arvesse, et valglapiirkonnad võivad ulatuda ka väljapoole liidu territooriumi, aitaks direktiivi 2000/60/EÜ kohaste asjakohaste veekaitsesätete tõhus rakendamine ning asjakohane koordineerimine asjaomaste kolmandate riikidega kaasa ka direktiivis 2000/60/EÜ nende konkreetsete valglapiirkondade jaoks sätestatud eesmärkide saavutamisele, nagu on osutatud direktiivi 2000/60/EÜ artikli 3 lõikes 5. Lisaks tuleks liidu geograafilises läheduses aset leidvaid relvakonflikte pidada erakorralisteks sündmusteks, tingituna nende ulatuslikust negatiivsest piiriülesest keskkonnamõjust, sealhulgas õhu-, pinnase- ja veereostusest. Kuna sellistest konfliktidest mõjutatud vesikonnad ulatuvad liidu aladele, peaksid komisjon ja liikmesriigid suurendama jõupingutusi, et tagada koordineerimine vastavate kolmandate riikidega, nagu on osutatud direktiivi 2000/60/EÜ artikli 3 lõikes 5.</w:t>
      </w:r>
      <w:r w:rsidR="00653E56" w:rsidRPr="00CB2133">
        <w:rPr>
          <w:b/>
          <w:szCs w:val="24"/>
          <w:lang w:eastAsia="en-US"/>
        </w:rPr>
        <w:t xml:space="preserve"> [ME 49]</w:t>
      </w:r>
    </w:p>
    <w:p w14:paraId="48755EFD" w14:textId="77777777" w:rsidR="007859A8" w:rsidRPr="00CB2133" w:rsidRDefault="007859A8">
      <w:pPr>
        <w:widowControl/>
        <w:rPr>
          <w:b/>
          <w:i/>
          <w:szCs w:val="24"/>
          <w:lang w:eastAsia="en-US"/>
        </w:rPr>
      </w:pPr>
      <w:r w:rsidRPr="00CB2133">
        <w:rPr>
          <w:b/>
          <w:i/>
          <w:szCs w:val="24"/>
          <w:lang w:eastAsia="en-US"/>
        </w:rPr>
        <w:br w:type="page"/>
      </w:r>
    </w:p>
    <w:p w14:paraId="19B5A7E5" w14:textId="48CE28B4"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(32a)</w:t>
      </w:r>
      <w:r w:rsidRPr="00CB2133">
        <w:rPr>
          <w:szCs w:val="24"/>
          <w:lang w:eastAsia="en-US"/>
        </w:rPr>
        <w:tab/>
      </w:r>
      <w:r w:rsidRPr="00CB2133">
        <w:rPr>
          <w:b/>
          <w:i/>
          <w:szCs w:val="24"/>
          <w:lang w:eastAsia="en-US"/>
        </w:rPr>
        <w:t>Euroopa Kontrollikoda märgib oma 19. mai 2021. aasta eriaruandes „Põhimõtte „saastaja maksab“ ebajärjekindel kohaldamine ELi keskkonnapoliitikas ja -meetmetes“, et liikmesriigid kulutavad veevarustusele ja sanitaartingimuste tagamisele juba ligikaudu 100 miljardit eurot aastas ning nad peavad seda summat suurendama rohkem kui 25 %, et täita reovee puhastamist ja joogivett käsitlevate ELi õigusaktide eesmärgid. See ei hõlma investeeringuid, mis on vajalikud olemasoleva taristu uuendamiseks või veepoliitika raamdirektiivi ja üleujutuste direktiivi eesmärkide saavutamiseks. Lisaks maksavad liidu kasutajad veetariifide kaudu keskmiselt ligikaudu 70 % veevarustusteenuste osutamise kuludest, samal ajal kui riigikassa rahastab ülejäänud 30 %, kuigi esineb märkimisväärseid erinevusi piirkondade ja liikmesriikide vahel. Kuigi liidu kodumajapidamised tarbivad kogu veest vaid 10 %, tasuvad nad enamiku veevarustus- ja kanalisatsiooniteenuste kuludest, samas kui majandussektorid, mis avaldavad kõige suuremat survet taastuvatele mageveevarudele, osalevad kõige vähem nende kulutuste katmises.</w:t>
      </w:r>
      <w:r w:rsidR="00653E56" w:rsidRPr="00CB2133">
        <w:rPr>
          <w:b/>
          <w:szCs w:val="24"/>
          <w:lang w:eastAsia="en-US"/>
        </w:rPr>
        <w:t xml:space="preserve"> [ME 50]</w:t>
      </w:r>
    </w:p>
    <w:p w14:paraId="2FB4F7F8" w14:textId="77777777" w:rsidR="007859A8" w:rsidRPr="00CB2133" w:rsidRDefault="007859A8">
      <w:pPr>
        <w:widowControl/>
        <w:rPr>
          <w:b/>
          <w:i/>
          <w:szCs w:val="24"/>
          <w:lang w:eastAsia="en-US"/>
        </w:rPr>
      </w:pPr>
      <w:r w:rsidRPr="00CB2133">
        <w:rPr>
          <w:b/>
          <w:i/>
          <w:szCs w:val="24"/>
          <w:lang w:eastAsia="en-US"/>
        </w:rPr>
        <w:br w:type="page"/>
      </w:r>
    </w:p>
    <w:p w14:paraId="68F6C924" w14:textId="42FA4781"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(32b)</w:t>
      </w:r>
      <w:r w:rsidRPr="00CB2133">
        <w:rPr>
          <w:szCs w:val="24"/>
          <w:lang w:eastAsia="en-US"/>
        </w:rPr>
        <w:tab/>
      </w:r>
      <w:r w:rsidRPr="00CB2133">
        <w:rPr>
          <w:b/>
          <w:i/>
          <w:szCs w:val="24"/>
          <w:lang w:eastAsia="en-US"/>
        </w:rPr>
        <w:t>Pinna- ja põhjavee seisundi kindlakstegemise seireprogrammide kulusid rahastatakse üksnes liikmesriikide eelarvest. Kuna veekeskkonnast leitud kemikaalide hulk pidevalt muutub ja veekeskkonda ilmub üha rohkem uusi saasteaineid, on vaja pidevalt täiustada keemilisi analüüsimeetodeid, et tuvastada uued saasteained ning õigesti hinnata nende ökoloogilist mõju, samuti on kemikaalisegude mõju paremaks hindamiseks vaja välja töötada uued seiremeetodid, seejuures suurenevad seirekulud eeldatavasti veelgi. Nende kulude katmiseks ja kooskõlas Euroopa Liidu toimimise lepingu artikli 191 lõikes 2 sätestatud põhimõttega „saastaja maksab“ on oluline, et tootjad, kes viivad liidu turule tooteid, mis sisaldavad aineid, millel on tõendatud või võimalik negatiivne mõju inimeste tervisele ja veekeskkonnale, võtaksid rahalise vastutuse meetmete eest, mis on vajalikud nende äritegevuse käigus tekkinud ning pinna- ja põhjavees leiduvate ainete kontrollimiseks. Laiendatud tootjavastutuse süsteem on selle saavutamiseks tõenäoliselt kõige sobivam vahend, kuna see piiraks maksumaksja finantskoormust, stimuleerides samal ajal keskkonnasäästlikumate toodete väljatöötamist. Seepärast peaks komisjon koostama mõjuhinnangu, milles uuritakse direktiividesse 2006/118/EÜ ja 2008/105/EÜ laiendatud tootjavastutuse mehhanismi lisamist, mida kohaldataks direktiivides 2006/118/EÜ ja 2008/105/EÜ määratletud prioriteetsete ainete ning direktiivi 2006/118/EÜ ja direktiivi 2008/105/EÜ jälgimisnimekirjades määratletud uute saasteainete suhtes. Vajaduse korral tuleks mõjuhinnangule lisada seadusandlik ettepanek direktiivide 2006/118/EÜ ja 2008/105/EÜ läbivaatamiseks.</w:t>
      </w:r>
      <w:r w:rsidR="00F21202" w:rsidRPr="00CB2133">
        <w:rPr>
          <w:b/>
          <w:szCs w:val="24"/>
          <w:lang w:eastAsia="en-US"/>
        </w:rPr>
        <w:t xml:space="preserve"> [ME 51]</w:t>
      </w:r>
    </w:p>
    <w:p w14:paraId="407E1129" w14:textId="77777777" w:rsidR="007859A8" w:rsidRPr="00CB2133" w:rsidRDefault="007859A8">
      <w:pPr>
        <w:widowControl/>
        <w:rPr>
          <w:b/>
          <w:i/>
          <w:szCs w:val="24"/>
          <w:lang w:eastAsia="en-US"/>
        </w:rPr>
      </w:pPr>
      <w:r w:rsidRPr="00CB2133">
        <w:rPr>
          <w:b/>
          <w:i/>
          <w:szCs w:val="24"/>
          <w:lang w:eastAsia="en-US"/>
        </w:rPr>
        <w:br w:type="page"/>
      </w:r>
    </w:p>
    <w:p w14:paraId="5E8F58D2" w14:textId="3B70ACBA"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(32c)</w:t>
      </w:r>
      <w:r w:rsidRPr="00CB2133">
        <w:rPr>
          <w:szCs w:val="24"/>
          <w:lang w:eastAsia="en-US"/>
        </w:rPr>
        <w:tab/>
      </w:r>
      <w:r w:rsidRPr="00CB2133">
        <w:rPr>
          <w:b/>
          <w:i/>
          <w:szCs w:val="24"/>
          <w:lang w:eastAsia="en-US"/>
        </w:rPr>
        <w:t>Suurema arvu ainete või ainerühmade seirega kaasnevad suuremad kulud, aga ka vajadus suurema haldussuutlikkuse järele liikmesriikides, eriti nende puhul, kellel on vähem ressursse. Eespool toodut silmas pidades peaks komisjon looma ühise Euroopa seirevahendi seirenõuete haldamiseks, kui liikmesriigid seda taotlevad, et vähendada nende finants- ja halduskoormust. Komisjon peaks kindlaks määrama seirevahendi töömeetodid. Sellise vahendi kasutamine peaks olema vabatahtlik ja see ei tohiks piirata liikmesriikides juba kehtestatud korda.</w:t>
      </w:r>
      <w:r w:rsidR="00F21202" w:rsidRPr="00CB2133">
        <w:rPr>
          <w:b/>
          <w:szCs w:val="24"/>
          <w:lang w:eastAsia="en-US"/>
        </w:rPr>
        <w:t xml:space="preserve"> [ME 52]</w:t>
      </w:r>
    </w:p>
    <w:p w14:paraId="285CB0AF" w14:textId="77777777" w:rsidR="007859A8" w:rsidRPr="00CB2133" w:rsidRDefault="007859A8">
      <w:pPr>
        <w:widowControl/>
        <w:rPr>
          <w:b/>
          <w:i/>
          <w:szCs w:val="24"/>
          <w:lang w:eastAsia="en-US"/>
        </w:rPr>
      </w:pPr>
      <w:r w:rsidRPr="00CB2133">
        <w:rPr>
          <w:b/>
          <w:i/>
          <w:szCs w:val="24"/>
          <w:lang w:eastAsia="en-US"/>
        </w:rPr>
        <w:br w:type="page"/>
      </w:r>
    </w:p>
    <w:p w14:paraId="3C4F5BF6" w14:textId="0B7E1BD1"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(32d)</w:t>
      </w:r>
      <w:r w:rsidRPr="00CB2133">
        <w:rPr>
          <w:szCs w:val="24"/>
          <w:lang w:eastAsia="en-US"/>
        </w:rPr>
        <w:tab/>
      </w:r>
      <w:r w:rsidRPr="00CB2133">
        <w:rPr>
          <w:b/>
          <w:i/>
          <w:szCs w:val="24"/>
          <w:lang w:eastAsia="en-US"/>
        </w:rPr>
        <w:t>Tõendid näitavad, et veesektor vajab investeeringuid ning liidu rahastamine on äärmiselt oluline mõnede liikmesriikide jaoks, et täita juriidilisi kohustusi, mis on sätestatud direktiivides 2000/60/EÜ, 2008/105/EÜ ja 2006/118/EÜ. Kõik liikmesriigid peavad suurendama oma kulutusi vähemalt 20 %, et saavutada liidu veestandardid, ning rahastamispuudujääk kuni aastani 2030 ulatub kokku 289 miljardi euroni</w:t>
      </w:r>
      <w:r w:rsidRPr="00CB2133">
        <w:rPr>
          <w:szCs w:val="24"/>
          <w:vertAlign w:val="superscript"/>
          <w:lang w:eastAsia="en-US"/>
        </w:rPr>
        <w:footnoteReference w:id="51"/>
      </w:r>
      <w:r w:rsidRPr="00CB2133">
        <w:rPr>
          <w:b/>
          <w:i/>
          <w:szCs w:val="24"/>
          <w:lang w:eastAsia="en-US"/>
        </w:rPr>
        <w:t>. Seepärast on vaja tagada piisavate rahaliste vahendite ja inimressurside eraldamine veekogude seireks ja inspekteerimiseks kõigis liikmesriikides, muu hulgas asjakohaste liidu struktuurifondide ja programmide kaudu, samuti erasektori toetuste kaudu, sealhulgas laiendatud tootjavastutuse mehhanismi raames, kohe kui see on kasutusele võetud.</w:t>
      </w:r>
      <w:r w:rsidR="00F21202" w:rsidRPr="00CB2133">
        <w:rPr>
          <w:b/>
          <w:szCs w:val="24"/>
          <w:lang w:eastAsia="en-US"/>
        </w:rPr>
        <w:t xml:space="preserve"> [ME 53]</w:t>
      </w:r>
    </w:p>
    <w:p w14:paraId="4B87C6E1"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(33)</w:t>
      </w:r>
      <w:r w:rsidRPr="00CB2133">
        <w:rPr>
          <w:szCs w:val="24"/>
          <w:lang w:eastAsia="en-US"/>
        </w:rPr>
        <w:tab/>
        <w:t>Direktiive 2000/60/EÜ, 2006/118/EÜ ja 2008/105/EÜ tuleks seepärast vastavalt muuta.</w:t>
      </w:r>
    </w:p>
    <w:p w14:paraId="3297B989" w14:textId="77777777" w:rsidR="007859A8" w:rsidRPr="00CB2133" w:rsidRDefault="007859A8">
      <w:pPr>
        <w:widowControl/>
        <w:rPr>
          <w:szCs w:val="24"/>
          <w:lang w:eastAsia="en-US"/>
        </w:rPr>
      </w:pPr>
      <w:r w:rsidRPr="00CB2133">
        <w:rPr>
          <w:szCs w:val="24"/>
          <w:lang w:eastAsia="en-US"/>
        </w:rPr>
        <w:br w:type="page"/>
      </w:r>
    </w:p>
    <w:p w14:paraId="32E58FC3" w14:textId="06F2FB1A"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(34)</w:t>
      </w:r>
      <w:r w:rsidRPr="00CB2133">
        <w:rPr>
          <w:szCs w:val="24"/>
          <w:lang w:eastAsia="en-US"/>
        </w:rPr>
        <w:tab/>
        <w:t>Kuna liikmesriigid ei suuda iseseisvalt piisaval määral saavutada käesoleva direktiivi eesmärki tagada kõrgetasemeline keskkonnakaitse ja Euroopa mageveekogudega seotud keskkonnakvaliteedi paranemine ning see on tulenevalt veereostuse piiriülesest olemusest paremini saavutatav liidu tasandil, võib liit võtta meetmeid kooskõlas Euroopa Liidu lepingu artiklis 5 sätestatud subsidiaarsuse põhimõttega. Kõnealuses artiklis sätestatud proportsionaalsuse põhimõtte kohaselt ei lähe käesolev direktiiv nimetatud eesmärgi saavutamiseks vajalikust kaugemale,</w:t>
      </w:r>
    </w:p>
    <w:p w14:paraId="2BC90681" w14:textId="3B41BCF7" w:rsidR="00C45ED4" w:rsidRPr="00CB2133" w:rsidRDefault="00C45ED4" w:rsidP="00C45ED4">
      <w:pPr>
        <w:spacing w:before="120" w:after="120" w:line="360" w:lineRule="auto"/>
        <w:ind w:left="850" w:hanging="850"/>
        <w:rPr>
          <w:b/>
          <w:szCs w:val="24"/>
          <w:lang w:eastAsia="en-US"/>
        </w:rPr>
      </w:pPr>
      <w:r w:rsidRPr="00CB2133">
        <w:rPr>
          <w:b/>
          <w:i/>
          <w:szCs w:val="24"/>
          <w:lang w:eastAsia="en-US"/>
        </w:rPr>
        <w:t>(34a)</w:t>
      </w:r>
      <w:r w:rsidRPr="00CB2133">
        <w:rPr>
          <w:szCs w:val="24"/>
          <w:lang w:eastAsia="en-US"/>
        </w:rPr>
        <w:tab/>
      </w:r>
      <w:r w:rsidRPr="00CB2133">
        <w:rPr>
          <w:b/>
          <w:i/>
          <w:szCs w:val="24"/>
          <w:lang w:eastAsia="en-US"/>
        </w:rPr>
        <w:t>Liikmesriigid peaksid soodustama sünergiat asjaomaste direktiivide nõuete vahel, mis käsitlevad nii andmete kogumist kui ka selliste digivahendite kasutuselevõttu nagu kaugseiretehnoloogia või Maa seire (Copernicuse programmi teenused).</w:t>
      </w:r>
      <w:r w:rsidR="00F21202" w:rsidRPr="00CB2133">
        <w:rPr>
          <w:b/>
          <w:szCs w:val="24"/>
          <w:lang w:eastAsia="en-US"/>
        </w:rPr>
        <w:t xml:space="preserve"> [ME 54]</w:t>
      </w:r>
    </w:p>
    <w:p w14:paraId="2DDE562A" w14:textId="77777777" w:rsidR="007859A8" w:rsidRPr="00CB2133" w:rsidRDefault="007859A8">
      <w:pPr>
        <w:widowControl/>
        <w:rPr>
          <w:b/>
          <w:i/>
          <w:szCs w:val="24"/>
          <w:lang w:eastAsia="en-US"/>
        </w:rPr>
      </w:pPr>
      <w:r w:rsidRPr="00CB2133">
        <w:rPr>
          <w:b/>
          <w:i/>
          <w:szCs w:val="24"/>
          <w:lang w:eastAsia="en-US"/>
        </w:rPr>
        <w:br w:type="page"/>
      </w:r>
    </w:p>
    <w:p w14:paraId="5A0B5475" w14:textId="6508576E" w:rsidR="00C45ED4" w:rsidRPr="00CB2133" w:rsidRDefault="00C45ED4" w:rsidP="00C45ED4">
      <w:pPr>
        <w:spacing w:before="120" w:after="120" w:line="360" w:lineRule="auto"/>
        <w:ind w:left="850" w:hanging="850"/>
        <w:rPr>
          <w:b/>
          <w:szCs w:val="24"/>
          <w:lang w:eastAsia="en-US"/>
        </w:rPr>
      </w:pPr>
      <w:r w:rsidRPr="00CB2133">
        <w:rPr>
          <w:b/>
          <w:i/>
          <w:szCs w:val="24"/>
          <w:lang w:eastAsia="en-US"/>
        </w:rPr>
        <w:lastRenderedPageBreak/>
        <w:t>(34b)</w:t>
      </w:r>
      <w:r w:rsidRPr="00CB2133">
        <w:rPr>
          <w:szCs w:val="24"/>
          <w:lang w:eastAsia="en-US"/>
        </w:rPr>
        <w:tab/>
      </w:r>
      <w:r w:rsidRPr="00CB2133">
        <w:rPr>
          <w:b/>
          <w:i/>
          <w:szCs w:val="24"/>
          <w:lang w:eastAsia="en-US"/>
        </w:rPr>
        <w:t>Pädevad asutused peaksid toetama koolitusi, oskuste arendamise programme ja investeeringuid inimkapitali, et toetada parimate tehnoloogiate ja uuenduslike lahenduste tõhusat rakendamist direktiivide raames. Teave peaks olema kättesaadav eri riikide keeltes, et parandada asjaomaste kohalike osalejate ja kodanike juurdepääsu asjakohastele andmetele kogu Euroopas.</w:t>
      </w:r>
      <w:r w:rsidR="00F21202" w:rsidRPr="00CB2133">
        <w:rPr>
          <w:b/>
          <w:szCs w:val="24"/>
          <w:lang w:eastAsia="en-US"/>
        </w:rPr>
        <w:t xml:space="preserve"> [ME 55]</w:t>
      </w:r>
    </w:p>
    <w:p w14:paraId="7FB40549" w14:textId="77777777" w:rsidR="00C45ED4" w:rsidRPr="00CB2133" w:rsidRDefault="00C45ED4" w:rsidP="00C45ED4">
      <w:pPr>
        <w:keepNext/>
        <w:widowControl/>
        <w:spacing w:before="120" w:after="120" w:line="360" w:lineRule="auto"/>
        <w:rPr>
          <w:szCs w:val="24"/>
          <w:lang w:eastAsia="en-US"/>
        </w:rPr>
      </w:pPr>
      <w:r w:rsidRPr="00CB2133">
        <w:rPr>
          <w:szCs w:val="24"/>
          <w:lang w:eastAsia="en-US"/>
        </w:rPr>
        <w:t>ON VASTU VÕTNUD KÄESOLEVA DIREKTIIVI:</w:t>
      </w:r>
    </w:p>
    <w:p w14:paraId="1A8D0A87" w14:textId="77777777" w:rsidR="007859A8" w:rsidRPr="00CB2133" w:rsidRDefault="007859A8">
      <w:pPr>
        <w:widowControl/>
        <w:rPr>
          <w:szCs w:val="24"/>
          <w:lang w:eastAsia="en-US"/>
        </w:rPr>
      </w:pPr>
      <w:r w:rsidRPr="00CB2133">
        <w:rPr>
          <w:szCs w:val="24"/>
          <w:lang w:eastAsia="en-US"/>
        </w:rPr>
        <w:br w:type="page"/>
      </w:r>
    </w:p>
    <w:p w14:paraId="383BBA3B" w14:textId="459C5C48" w:rsidR="00C45ED4" w:rsidRPr="00CB2133" w:rsidRDefault="00C45ED4" w:rsidP="00C45ED4">
      <w:pPr>
        <w:spacing w:before="120" w:after="120" w:line="360" w:lineRule="auto"/>
        <w:jc w:val="center"/>
        <w:rPr>
          <w:szCs w:val="24"/>
          <w:lang w:eastAsia="en-US"/>
        </w:rPr>
      </w:pPr>
      <w:r w:rsidRPr="00CB2133">
        <w:rPr>
          <w:szCs w:val="24"/>
          <w:lang w:eastAsia="en-US"/>
        </w:rPr>
        <w:lastRenderedPageBreak/>
        <w:t>Artikkel 1</w:t>
      </w:r>
      <w:r w:rsidRPr="00CB2133">
        <w:rPr>
          <w:szCs w:val="24"/>
          <w:lang w:eastAsia="en-US"/>
        </w:rPr>
        <w:br/>
        <w:t>Direktiivi 2000/60/EÜ muutmine</w:t>
      </w:r>
    </w:p>
    <w:p w14:paraId="666434E2" w14:textId="77777777" w:rsidR="00C45ED4" w:rsidRPr="00CB2133" w:rsidRDefault="00C45ED4" w:rsidP="00C45ED4">
      <w:pPr>
        <w:spacing w:before="120" w:after="120" w:line="360" w:lineRule="auto"/>
        <w:rPr>
          <w:szCs w:val="24"/>
          <w:lang w:eastAsia="en-US"/>
        </w:rPr>
      </w:pPr>
      <w:r w:rsidRPr="00CB2133">
        <w:rPr>
          <w:szCs w:val="24"/>
          <w:lang w:eastAsia="en-US"/>
        </w:rPr>
        <w:t>Direktiivi 2000/60/EÜ muudetakse järgmiselt.</w:t>
      </w:r>
    </w:p>
    <w:p w14:paraId="2D4DBEEF" w14:textId="757AE890" w:rsidR="00C45ED4" w:rsidRPr="00CB2133" w:rsidRDefault="00C45ED4" w:rsidP="00C45ED4">
      <w:pPr>
        <w:spacing w:before="120" w:after="120" w:line="360" w:lineRule="auto"/>
        <w:ind w:left="850" w:hanging="850"/>
        <w:rPr>
          <w:b/>
          <w:szCs w:val="24"/>
          <w:lang w:eastAsia="en-US"/>
        </w:rPr>
      </w:pPr>
      <w:r w:rsidRPr="00CB2133">
        <w:rPr>
          <w:szCs w:val="24"/>
          <w:lang w:eastAsia="en-US"/>
        </w:rPr>
        <w:t>1)</w:t>
      </w:r>
      <w:r w:rsidRPr="00CB2133">
        <w:rPr>
          <w:szCs w:val="24"/>
          <w:lang w:eastAsia="en-US"/>
        </w:rPr>
        <w:tab/>
        <w:t>Artikli 1</w:t>
      </w:r>
      <w:r w:rsidRPr="00CB2133">
        <w:rPr>
          <w:b/>
          <w:i/>
          <w:szCs w:val="24"/>
          <w:lang w:eastAsia="en-US"/>
        </w:rPr>
        <w:t xml:space="preserve"> punkti e</w:t>
      </w:r>
      <w:r w:rsidRPr="00CB2133">
        <w:rPr>
          <w:szCs w:val="24"/>
          <w:lang w:eastAsia="en-US"/>
        </w:rPr>
        <w:t xml:space="preserve"> neljas taane asendatakse järgmisega</w:t>
      </w:r>
      <w:r w:rsidR="00F21202" w:rsidRPr="00CB2133">
        <w:rPr>
          <w:szCs w:val="24"/>
          <w:lang w:eastAsia="en-US"/>
        </w:rPr>
        <w:t>:</w:t>
      </w:r>
      <w:r w:rsidR="00F21202" w:rsidRPr="00CB2133">
        <w:rPr>
          <w:b/>
          <w:szCs w:val="24"/>
          <w:lang w:eastAsia="en-US"/>
        </w:rPr>
        <w:t xml:space="preserve"> [ME 56]</w:t>
      </w:r>
    </w:p>
    <w:p w14:paraId="1AA2A1D4" w14:textId="77777777" w:rsidR="00C45ED4" w:rsidRPr="00CB2133" w:rsidRDefault="00C45ED4" w:rsidP="00C45ED4">
      <w:pPr>
        <w:spacing w:before="120" w:after="120" w:line="360" w:lineRule="auto"/>
        <w:ind w:left="850"/>
        <w:rPr>
          <w:szCs w:val="24"/>
          <w:lang w:eastAsia="en-US"/>
        </w:rPr>
      </w:pPr>
      <w:r w:rsidRPr="00CB2133">
        <w:rPr>
          <w:szCs w:val="24"/>
          <w:lang w:eastAsia="en-US"/>
        </w:rPr>
        <w:t>„— saavutada asjakohaste rahvusvaheliste lepingute, sealhulgas merekeskkonna reostuse ärahoidmiseks ja likvideerimiseks sõlmitud lepingute eesmärke liidu meetmete kaudu, et teha korraga või järk-järgult lõpp prioriteetsete ohtlike ainete keskkonda juhtimisele, heitele ja kaole lõppeesmärgiga saavutada merekeskkonnas looduslike ainete puhul nende loodusliku fooni lähedane ning sünteetiliste ainete puhul nullilähedane kontsentratsioon.“</w:t>
      </w:r>
    </w:p>
    <w:p w14:paraId="4B28FCDF" w14:textId="77777777" w:rsidR="00D71270" w:rsidRPr="00CB2133" w:rsidRDefault="00D71270">
      <w:pPr>
        <w:widowControl/>
        <w:rPr>
          <w:szCs w:val="24"/>
          <w:lang w:eastAsia="en-US"/>
        </w:rPr>
      </w:pPr>
      <w:r w:rsidRPr="00CB2133">
        <w:rPr>
          <w:szCs w:val="24"/>
          <w:lang w:eastAsia="en-US"/>
        </w:rPr>
        <w:br w:type="page"/>
      </w:r>
    </w:p>
    <w:p w14:paraId="6C271509" w14:textId="02DBF3EA"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w:t>
      </w:r>
      <w:r w:rsidRPr="00CB2133">
        <w:rPr>
          <w:szCs w:val="24"/>
          <w:lang w:eastAsia="en-US"/>
        </w:rPr>
        <w:tab/>
        <w:t>Artiklit 2 muudetakse järgmiselt:</w:t>
      </w:r>
    </w:p>
    <w:p w14:paraId="325EDE00"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punkt 24 asendatakse järgmisega:</w:t>
      </w:r>
    </w:p>
    <w:p w14:paraId="7C7776D8"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„24)</w:t>
      </w:r>
      <w:r w:rsidRPr="00CB2133">
        <w:rPr>
          <w:szCs w:val="24"/>
          <w:lang w:eastAsia="en-US"/>
        </w:rPr>
        <w:tab/>
        <w:t>pinnavee hea keemiline seisund – keemiline seisund, mis peab vastama pinnavee jaoks käesoleva direktiivi artikli 4 lõike 1 punktis a kindlaks määratud keskkonnaalastele eesmärkidele, see tähendab keemiline seisund, mille saavutab pinnaveekogu, kus saasteainete kontsentratsioonid ei ületa Euroopa Parlamendi ja nõukogu direktiivi 2008/105/EÜ* I lisa A osas loetletud prioriteetsete ainete suhtes kehtestatud keskkonnakvaliteedi standardite väärtusi ega nimetatud direktiivi artikli 8 lõike 2 punkti c ja artikli 8d lõike 1 kohaselt vesikonnaspetsiifiliste saasteainete suhtes kehtestatud keskkonnakvaliteedi standardite väärtusi;“</w:t>
      </w:r>
    </w:p>
    <w:p w14:paraId="0E173C4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punkt 30 asendatakse järgmisega:</w:t>
      </w:r>
    </w:p>
    <w:p w14:paraId="2C7104F4"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„30)</w:t>
      </w:r>
      <w:r w:rsidRPr="00CB2133">
        <w:rPr>
          <w:szCs w:val="24"/>
          <w:lang w:eastAsia="en-US"/>
        </w:rPr>
        <w:tab/>
        <w:t>prioriteetsed ained – direktiivi 2008/105/EÜ I lisa A osas loetletud ained ehk ained, millest tuleneb paljudes liikmesriikides märkimisväärne veekeskkonnale või veekeskkonna kaudu avalduv risk;“</w:t>
      </w:r>
    </w:p>
    <w:p w14:paraId="246A8B8F" w14:textId="77777777" w:rsidR="00D71270" w:rsidRPr="00CB2133" w:rsidRDefault="00D71270">
      <w:pPr>
        <w:widowControl/>
        <w:rPr>
          <w:szCs w:val="24"/>
          <w:lang w:eastAsia="en-US"/>
        </w:rPr>
      </w:pPr>
      <w:r w:rsidRPr="00CB2133">
        <w:rPr>
          <w:szCs w:val="24"/>
          <w:lang w:eastAsia="en-US"/>
        </w:rPr>
        <w:br w:type="page"/>
      </w:r>
    </w:p>
    <w:p w14:paraId="06D7DA36" w14:textId="7E79DEF0"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c)</w:t>
      </w:r>
      <w:r w:rsidRPr="00CB2133">
        <w:rPr>
          <w:szCs w:val="24"/>
          <w:lang w:eastAsia="en-US"/>
        </w:rPr>
        <w:tab/>
        <w:t>lisatakse punktid 30a ja 30b:</w:t>
      </w:r>
    </w:p>
    <w:p w14:paraId="21DB0DBB" w14:textId="18B7210C" w:rsidR="00C45ED4" w:rsidRPr="00CB2133" w:rsidRDefault="00C45ED4" w:rsidP="00C45ED4">
      <w:pPr>
        <w:spacing w:before="120" w:after="120" w:line="360" w:lineRule="auto"/>
        <w:ind w:left="1982" w:hanging="566"/>
        <w:rPr>
          <w:b/>
          <w:szCs w:val="24"/>
          <w:lang w:eastAsia="en-US"/>
        </w:rPr>
      </w:pPr>
      <w:r w:rsidRPr="00CB2133">
        <w:rPr>
          <w:szCs w:val="24"/>
          <w:lang w:eastAsia="en-US"/>
        </w:rPr>
        <w:t>„30a)</w:t>
      </w:r>
      <w:r w:rsidRPr="00CB2133">
        <w:rPr>
          <w:szCs w:val="24"/>
          <w:lang w:eastAsia="en-US"/>
        </w:rPr>
        <w:tab/>
        <w:t xml:space="preserve">prioriteetsed ohtlikud ained – prioriteetsed ained, mis loetakse ohtlikuks, kuna need on teaduslikes aruannetes, asjakohastes liidu õigusaktides või asjakohastes rahvusvahelistes lepingutes tunnistatud </w:t>
      </w:r>
      <w:r w:rsidRPr="00CB2133">
        <w:rPr>
          <w:strike/>
          <w:szCs w:val="24"/>
          <w:lang w:eastAsia="en-US"/>
        </w:rPr>
        <w:t xml:space="preserve">toksiliseks, </w:t>
      </w:r>
      <w:r w:rsidRPr="00CB2133">
        <w:rPr>
          <w:szCs w:val="24"/>
          <w:lang w:eastAsia="en-US"/>
        </w:rPr>
        <w:t>püsivaks</w:t>
      </w:r>
      <w:r w:rsidRPr="00CB2133">
        <w:rPr>
          <w:strike/>
          <w:szCs w:val="24"/>
          <w:lang w:eastAsia="en-US"/>
        </w:rPr>
        <w:t xml:space="preserve"> ja</w:t>
      </w:r>
      <w:r w:rsidRPr="00CB2133">
        <w:rPr>
          <w:b/>
          <w:i/>
          <w:szCs w:val="24"/>
          <w:lang w:eastAsia="en-US"/>
        </w:rPr>
        <w:t>,</w:t>
      </w:r>
      <w:r w:rsidRPr="00CB2133">
        <w:rPr>
          <w:szCs w:val="24"/>
          <w:lang w:eastAsia="en-US"/>
        </w:rPr>
        <w:t xml:space="preserve"> bioakumuleeruvaks </w:t>
      </w:r>
      <w:r w:rsidRPr="00CB2133">
        <w:rPr>
          <w:b/>
          <w:i/>
          <w:szCs w:val="24"/>
          <w:lang w:eastAsia="en-US"/>
        </w:rPr>
        <w:t>ja toksiliseks (PBT) või väga püsivaks ja väga akumuleeruvaks (vPvB) või püsivaks, liikuvaks ja toksiliseks (PMT) või väga püsivaks ja väga liikuvaks (vPvM) või mis põhjustavad</w:t>
      </w:r>
      <w:r w:rsidRPr="00CB2133">
        <w:rPr>
          <w:strike/>
          <w:szCs w:val="24"/>
          <w:lang w:eastAsia="en-US"/>
        </w:rPr>
        <w:t>või</w:t>
      </w:r>
      <w:r w:rsidRPr="00CB2133">
        <w:rPr>
          <w:szCs w:val="24"/>
          <w:lang w:eastAsia="en-US"/>
        </w:rPr>
        <w:t xml:space="preserve"> samaväärset </w:t>
      </w:r>
      <w:r w:rsidRPr="00CB2133">
        <w:rPr>
          <w:strike/>
          <w:szCs w:val="24"/>
          <w:lang w:eastAsia="en-US"/>
        </w:rPr>
        <w:t>veekeskkonna</w:t>
      </w:r>
      <w:r w:rsidRPr="00CB2133">
        <w:rPr>
          <w:b/>
          <w:i/>
          <w:szCs w:val="24"/>
          <w:lang w:eastAsia="en-US"/>
        </w:rPr>
        <w:t>ohtu seoses veekeskkonnaga, ning mille</w:t>
      </w:r>
      <w:r w:rsidRPr="00CB2133">
        <w:rPr>
          <w:szCs w:val="24"/>
          <w:lang w:eastAsia="en-US"/>
        </w:rPr>
        <w:t xml:space="preserve"> puhul </w:t>
      </w:r>
      <w:r w:rsidRPr="00CB2133">
        <w:rPr>
          <w:strike/>
          <w:szCs w:val="24"/>
          <w:lang w:eastAsia="en-US"/>
        </w:rPr>
        <w:t>asjakohast ohtu põhjustavaks</w:t>
      </w:r>
      <w:r w:rsidRPr="00CB2133">
        <w:rPr>
          <w:b/>
          <w:i/>
          <w:szCs w:val="24"/>
          <w:lang w:eastAsia="en-US"/>
        </w:rPr>
        <w:t>tuleb võtta meetmeid vastavalt artikli 4 lõike 1 punkti a alapunktile iv</w:t>
      </w:r>
      <w:r w:rsidRPr="00CB2133">
        <w:rPr>
          <w:szCs w:val="24"/>
          <w:lang w:eastAsia="en-US"/>
        </w:rPr>
        <w:t>;</w:t>
      </w:r>
      <w:r w:rsidR="00F21202" w:rsidRPr="00CB2133">
        <w:rPr>
          <w:b/>
          <w:szCs w:val="24"/>
          <w:lang w:eastAsia="en-US"/>
        </w:rPr>
        <w:t xml:space="preserve"> [ME 57]</w:t>
      </w:r>
    </w:p>
    <w:p w14:paraId="6BAA76AE"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30b)</w:t>
      </w:r>
      <w:r w:rsidRPr="00CB2133">
        <w:rPr>
          <w:szCs w:val="24"/>
          <w:lang w:eastAsia="en-US"/>
        </w:rPr>
        <w:tab/>
        <w:t>vesikonnaspetsiifilised saasteained – saasteained, mis ei ole või enam ei ole määratletud prioriteetse ainena, kuid mille puhul liikmesriigid on käesoleva direktiivi II lisa kohaselt läbi viidud, pinnaveekogudele avalduvat survet ja mõju käsitleva hindamise põhjal kindlaks teinud, et nendest tuleneb nende territooriumil märkimisväärne veekeskkonnale või veekeskkonna kaudu avalduv risk;“</w:t>
      </w:r>
    </w:p>
    <w:p w14:paraId="7FE56247" w14:textId="77777777" w:rsidR="00D71270" w:rsidRPr="00CB2133" w:rsidRDefault="00D71270">
      <w:pPr>
        <w:widowControl/>
        <w:rPr>
          <w:szCs w:val="24"/>
          <w:lang w:eastAsia="en-US"/>
        </w:rPr>
      </w:pPr>
      <w:r w:rsidRPr="00CB2133">
        <w:rPr>
          <w:szCs w:val="24"/>
          <w:lang w:eastAsia="en-US"/>
        </w:rPr>
        <w:br w:type="page"/>
      </w:r>
    </w:p>
    <w:p w14:paraId="0597D073" w14:textId="2678B5DB"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d)</w:t>
      </w:r>
      <w:r w:rsidRPr="00CB2133">
        <w:rPr>
          <w:szCs w:val="24"/>
          <w:lang w:eastAsia="en-US"/>
        </w:rPr>
        <w:tab/>
        <w:t>punkt 35 asendatakse järgmisega:</w:t>
      </w:r>
    </w:p>
    <w:p w14:paraId="2C247A29" w14:textId="22A6FB78" w:rsidR="00C45ED4" w:rsidRPr="00CB2133" w:rsidRDefault="00C45ED4" w:rsidP="00C45ED4">
      <w:pPr>
        <w:spacing w:before="120" w:after="120" w:line="360" w:lineRule="auto"/>
        <w:ind w:left="1982" w:hanging="566"/>
        <w:rPr>
          <w:b/>
          <w:szCs w:val="24"/>
          <w:lang w:eastAsia="en-US"/>
        </w:rPr>
      </w:pPr>
      <w:r w:rsidRPr="00CB2133">
        <w:rPr>
          <w:szCs w:val="24"/>
          <w:lang w:eastAsia="en-US"/>
        </w:rPr>
        <w:t>„35)</w:t>
      </w:r>
      <w:r w:rsidRPr="00CB2133">
        <w:rPr>
          <w:szCs w:val="24"/>
          <w:lang w:eastAsia="en-US"/>
        </w:rPr>
        <w:tab/>
        <w:t xml:space="preserve">keskkonnakvaliteedi standard – </w:t>
      </w:r>
      <w:r w:rsidRPr="00CB2133">
        <w:rPr>
          <w:strike/>
          <w:szCs w:val="24"/>
          <w:lang w:eastAsia="en-US"/>
        </w:rPr>
        <w:t>konkreetse</w:t>
      </w:r>
      <w:r w:rsidRPr="00CB2133">
        <w:rPr>
          <w:b/>
          <w:i/>
          <w:szCs w:val="24"/>
          <w:lang w:eastAsia="en-US"/>
        </w:rPr>
        <w:t>teatava</w:t>
      </w:r>
      <w:r w:rsidRPr="00CB2133">
        <w:rPr>
          <w:szCs w:val="24"/>
          <w:lang w:eastAsia="en-US"/>
        </w:rPr>
        <w:t xml:space="preserve"> saasteaine või saasteainete rühma selline kontsentratsioon vees, settes või elustikus, mille ületamine ei ole inimeste tervise ja keskkonna kaitsmiseks lubatud, või sellist saasteainet või saasteainete rühma iseloomustav inimeste tervisele või keskkonnale kahjuliku mõju avaldumise künnisväärtus, mille mõõtmiseks on kasutatud sobivat </w:t>
      </w:r>
      <w:r w:rsidRPr="00CB2133">
        <w:rPr>
          <w:b/>
          <w:i/>
          <w:szCs w:val="24"/>
          <w:lang w:eastAsia="en-US"/>
        </w:rPr>
        <w:t xml:space="preserve">ja teaduslikult tõestatud </w:t>
      </w:r>
      <w:r w:rsidRPr="00CB2133">
        <w:rPr>
          <w:szCs w:val="24"/>
          <w:lang w:eastAsia="en-US"/>
        </w:rPr>
        <w:t>mõjupõhist meetodit;</w:t>
      </w:r>
      <w:r w:rsidRPr="00CB2133">
        <w:rPr>
          <w:strike/>
          <w:szCs w:val="24"/>
          <w:lang w:eastAsia="en-US"/>
        </w:rPr>
        <w:t>“.</w:t>
      </w:r>
      <w:r w:rsidR="00F21202" w:rsidRPr="00CB2133">
        <w:rPr>
          <w:b/>
          <w:szCs w:val="24"/>
          <w:lang w:eastAsia="en-US"/>
        </w:rPr>
        <w:t xml:space="preserve"> [ME 58]</w:t>
      </w:r>
    </w:p>
    <w:p w14:paraId="0E6F3B15" w14:textId="77777777" w:rsidR="00C45ED4" w:rsidRPr="00CB2133" w:rsidRDefault="00C45ED4" w:rsidP="00C45ED4">
      <w:pPr>
        <w:spacing w:before="120" w:after="120" w:line="360" w:lineRule="auto"/>
        <w:ind w:left="1982"/>
        <w:rPr>
          <w:szCs w:val="24"/>
          <w:lang w:eastAsia="en-US"/>
        </w:rPr>
      </w:pPr>
      <w:r w:rsidRPr="00CB2133">
        <w:rPr>
          <w:szCs w:val="24"/>
          <w:lang w:eastAsia="en-US"/>
        </w:rPr>
        <w:t>* Euroopa Parlamendi ja nõukogu direktiiv 2008/105/EÜ, milles käsitletakse pinnavee reostuse ärahoidmist ja tõrjet ning millega muudetakse nõukogu direktiive 82/176/EMÜ, 83/513/EMÜ, 84/156/EMÜ, 84/491/EMÜ ja 86/280/EMÜ ning tunnistatakse need seejärel kehtetuks ning muudetakse Euroopa Parlamendi ja nõukogu direktiivi 2000/60/EÜ (ELT L 348, 24.12.2008, lk 84).“</w:t>
      </w:r>
    </w:p>
    <w:p w14:paraId="5C3A5358"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da)</w:t>
      </w:r>
      <w:r w:rsidRPr="00CB2133">
        <w:rPr>
          <w:szCs w:val="24"/>
          <w:lang w:eastAsia="en-US"/>
        </w:rPr>
        <w:tab/>
      </w:r>
      <w:r w:rsidRPr="00CB2133">
        <w:rPr>
          <w:b/>
          <w:i/>
          <w:szCs w:val="24"/>
          <w:lang w:eastAsia="en-US"/>
        </w:rPr>
        <w:t>punkt 37 asendatakse järgmisega:</w:t>
      </w:r>
    </w:p>
    <w:p w14:paraId="449C3215" w14:textId="23F49049" w:rsidR="00C45ED4" w:rsidRPr="00CB2133" w:rsidRDefault="00C45ED4" w:rsidP="00C45ED4">
      <w:pPr>
        <w:spacing w:before="120" w:after="120" w:line="360" w:lineRule="auto"/>
        <w:ind w:left="1982" w:hanging="566"/>
        <w:rPr>
          <w:b/>
          <w:szCs w:val="24"/>
          <w:lang w:eastAsia="en-US"/>
        </w:rPr>
      </w:pPr>
      <w:r w:rsidRPr="00CB2133">
        <w:rPr>
          <w:szCs w:val="24"/>
          <w:lang w:eastAsia="en-US"/>
        </w:rPr>
        <w:t>„</w:t>
      </w:r>
      <w:r w:rsidRPr="00CB2133">
        <w:rPr>
          <w:b/>
          <w:i/>
          <w:szCs w:val="24"/>
          <w:lang w:eastAsia="en-US"/>
        </w:rPr>
        <w:t>37)</w:t>
      </w:r>
      <w:r w:rsidRPr="00CB2133">
        <w:rPr>
          <w:szCs w:val="24"/>
          <w:lang w:eastAsia="en-US"/>
        </w:rPr>
        <w:tab/>
      </w:r>
      <w:r w:rsidRPr="00CB2133">
        <w:rPr>
          <w:b/>
          <w:i/>
          <w:szCs w:val="24"/>
          <w:lang w:eastAsia="en-US"/>
        </w:rPr>
        <w:t>„olmevesi“ — sama tähendus nagu direktiivis (EL) 2020/2184;“</w:t>
      </w:r>
      <w:r w:rsidR="00F21202" w:rsidRPr="00CB2133">
        <w:rPr>
          <w:b/>
          <w:szCs w:val="24"/>
          <w:lang w:eastAsia="en-US"/>
        </w:rPr>
        <w:t xml:space="preserve"> [ME 59]</w:t>
      </w:r>
    </w:p>
    <w:p w14:paraId="58F61FCB" w14:textId="77777777" w:rsidR="00D71270" w:rsidRPr="00CB2133" w:rsidRDefault="00D71270">
      <w:pPr>
        <w:widowControl/>
        <w:rPr>
          <w:b/>
          <w:i/>
          <w:szCs w:val="24"/>
          <w:lang w:eastAsia="en-US"/>
        </w:rPr>
      </w:pPr>
      <w:r w:rsidRPr="00CB2133">
        <w:rPr>
          <w:b/>
          <w:i/>
          <w:szCs w:val="24"/>
          <w:lang w:eastAsia="en-US"/>
        </w:rPr>
        <w:br w:type="page"/>
      </w:r>
    </w:p>
    <w:p w14:paraId="373A24AC" w14:textId="22AD828F" w:rsidR="00C45ED4" w:rsidRPr="00CB2133" w:rsidRDefault="00C45ED4" w:rsidP="00C45ED4">
      <w:pPr>
        <w:spacing w:before="120" w:after="120" w:line="360" w:lineRule="auto"/>
        <w:ind w:left="1416" w:hanging="566"/>
        <w:rPr>
          <w:szCs w:val="24"/>
          <w:lang w:eastAsia="en-US"/>
        </w:rPr>
      </w:pPr>
      <w:r w:rsidRPr="00CB2133">
        <w:rPr>
          <w:b/>
          <w:i/>
          <w:szCs w:val="24"/>
          <w:lang w:eastAsia="en-US"/>
        </w:rPr>
        <w:lastRenderedPageBreak/>
        <w:t>db)</w:t>
      </w:r>
      <w:r w:rsidRPr="00CB2133">
        <w:rPr>
          <w:szCs w:val="24"/>
          <w:lang w:eastAsia="en-US"/>
        </w:rPr>
        <w:tab/>
      </w:r>
      <w:r w:rsidRPr="00CB2133">
        <w:rPr>
          <w:b/>
          <w:i/>
          <w:szCs w:val="24"/>
          <w:lang w:eastAsia="en-US"/>
        </w:rPr>
        <w:t>punkti 40 esimene lõik asendatakse järgmisega:</w:t>
      </w:r>
    </w:p>
    <w:p w14:paraId="4C9DBA8B" w14:textId="7C6D828A" w:rsidR="00C45ED4" w:rsidRPr="00CB2133" w:rsidRDefault="00C45ED4" w:rsidP="00C45ED4">
      <w:pPr>
        <w:spacing w:before="120" w:after="120" w:line="360" w:lineRule="auto"/>
        <w:ind w:left="1982" w:hanging="566"/>
        <w:rPr>
          <w:b/>
          <w:szCs w:val="24"/>
          <w:lang w:eastAsia="en-US"/>
        </w:rPr>
      </w:pPr>
      <w:r w:rsidRPr="00CB2133">
        <w:rPr>
          <w:szCs w:val="24"/>
          <w:lang w:eastAsia="en-US"/>
        </w:rPr>
        <w:t>„</w:t>
      </w:r>
      <w:r w:rsidRPr="00CB2133">
        <w:rPr>
          <w:b/>
          <w:i/>
          <w:szCs w:val="24"/>
          <w:lang w:eastAsia="en-US"/>
        </w:rPr>
        <w:t>40)</w:t>
      </w:r>
      <w:r w:rsidRPr="00CB2133">
        <w:rPr>
          <w:szCs w:val="24"/>
          <w:lang w:eastAsia="en-US"/>
        </w:rPr>
        <w:tab/>
      </w:r>
      <w:r w:rsidRPr="00CB2133">
        <w:rPr>
          <w:b/>
          <w:i/>
          <w:szCs w:val="24"/>
          <w:lang w:eastAsia="en-US"/>
        </w:rPr>
        <w:t>„heite piirväärtused — heidete teatavates konkreetsetes parameetrites väljendatud mass, kontsentratsioon ja/või tase, mida ei või ühe või mitme ajavahemiku kestel ületada. Heite piirväärtused võivad ette näha ka teatavate ainerühmade, -liikide või -kategooriate jaoks, eelkõige nende jaoks, mis on loetletud direktiivi 2008/105/EÜ I lisas.“</w:t>
      </w:r>
      <w:r w:rsidR="00F21202" w:rsidRPr="00CB2133">
        <w:rPr>
          <w:b/>
          <w:szCs w:val="24"/>
          <w:lang w:eastAsia="en-US"/>
        </w:rPr>
        <w:t xml:space="preserve"> [ME 60]</w:t>
      </w:r>
    </w:p>
    <w:p w14:paraId="5A0A3B17"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3)</w:t>
      </w:r>
      <w:r w:rsidRPr="00CB2133">
        <w:rPr>
          <w:szCs w:val="24"/>
          <w:lang w:eastAsia="en-US"/>
        </w:rPr>
        <w:tab/>
        <w:t>Artiklisse 3 lisatakse lõige 4a:</w:t>
      </w:r>
    </w:p>
    <w:p w14:paraId="5589BDF7"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„4a.</w:t>
      </w:r>
      <w:r w:rsidRPr="00CB2133">
        <w:rPr>
          <w:szCs w:val="24"/>
          <w:lang w:eastAsia="en-US"/>
        </w:rPr>
        <w:tab/>
        <w:t>Erandlike looduslike asjaolude või vääramatu jõu – eelkõige äärmuslike üleujutuste ja pikaajaliste põudade – ning oluliste reostusjuhtumite korral, mis võivad mõjutada allavoolu paiknevaid veekogusid teistes liikmesriikides, tagavad liikmesriigid, et asjaomaste allavoolu paiknevate veekogudega tegelevaid pädevaid asutusi niisugustes liikmesriikides ja ka komisjoni teavitatakse viivitamata ning alustatakse koostööd, et uurida asjaomase erandolukorra või juhtumi põhjuseid ja tegeleda selle tagajärgedega.</w:t>
      </w:r>
    </w:p>
    <w:p w14:paraId="1873AF0D" w14:textId="77777777" w:rsidR="00D71270" w:rsidRPr="00CB2133" w:rsidRDefault="00D71270">
      <w:pPr>
        <w:widowControl/>
        <w:rPr>
          <w:b/>
          <w:i/>
          <w:szCs w:val="24"/>
          <w:lang w:eastAsia="en-US"/>
        </w:rPr>
      </w:pPr>
      <w:r w:rsidRPr="00CB2133">
        <w:rPr>
          <w:b/>
          <w:i/>
          <w:szCs w:val="24"/>
          <w:lang w:eastAsia="en-US"/>
        </w:rPr>
        <w:br w:type="page"/>
      </w:r>
    </w:p>
    <w:p w14:paraId="20499A0E" w14:textId="752E9E16" w:rsidR="00C45ED4" w:rsidRPr="00CB2133" w:rsidRDefault="00C45ED4" w:rsidP="00C45ED4">
      <w:pPr>
        <w:spacing w:before="120" w:after="120" w:line="360" w:lineRule="auto"/>
        <w:ind w:left="1416"/>
        <w:rPr>
          <w:szCs w:val="24"/>
          <w:lang w:eastAsia="en-US"/>
        </w:rPr>
      </w:pPr>
      <w:r w:rsidRPr="00CB2133">
        <w:rPr>
          <w:b/>
          <w:i/>
          <w:szCs w:val="24"/>
          <w:lang w:eastAsia="en-US"/>
        </w:rPr>
        <w:lastRenderedPageBreak/>
        <w:t>Liikmesriigid teavitavad teisi liikmesriike, keda asjaomane reostusjuhtum võib kahjustada.</w:t>
      </w:r>
    </w:p>
    <w:p w14:paraId="42A7BF16" w14:textId="1363692C" w:rsidR="00C45ED4" w:rsidRPr="00CB2133" w:rsidRDefault="00C45ED4" w:rsidP="00C45ED4">
      <w:pPr>
        <w:spacing w:before="120" w:after="120" w:line="360" w:lineRule="auto"/>
        <w:ind w:left="1416"/>
        <w:rPr>
          <w:b/>
          <w:szCs w:val="24"/>
          <w:lang w:eastAsia="en-US"/>
        </w:rPr>
      </w:pPr>
      <w:r w:rsidRPr="00CB2133">
        <w:rPr>
          <w:b/>
          <w:i/>
          <w:szCs w:val="24"/>
          <w:lang w:eastAsia="en-US"/>
        </w:rPr>
        <w:t>Koostöö ja teabevahetuse edasiseks parandamiseks rahvusvahelistes valglapiirkondades kehtestatakse kõigis rahvusvahelistes valglapiirkondades hädaolukordade side- ja reageerimiskord.</w:t>
      </w:r>
      <w:r w:rsidRPr="00CB2133">
        <w:rPr>
          <w:szCs w:val="24"/>
          <w:lang w:eastAsia="en-US"/>
        </w:rPr>
        <w:t>“</w:t>
      </w:r>
      <w:r w:rsidR="00F21202" w:rsidRPr="00CB2133">
        <w:rPr>
          <w:b/>
          <w:szCs w:val="24"/>
          <w:lang w:eastAsia="en-US"/>
        </w:rPr>
        <w:t xml:space="preserve"> [ME 61]</w:t>
      </w:r>
    </w:p>
    <w:p w14:paraId="385A8B1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4)</w:t>
      </w:r>
      <w:r w:rsidRPr="00CB2133">
        <w:rPr>
          <w:szCs w:val="24"/>
          <w:lang w:eastAsia="en-US"/>
        </w:rPr>
        <w:tab/>
        <w:t>Artikli 4 lõiget 1 muudetakse järgmiselt:</w:t>
      </w:r>
    </w:p>
    <w:p w14:paraId="0496612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punkti a alapunkt iv asendatakse järgmisega:</w:t>
      </w:r>
    </w:p>
    <w:p w14:paraId="181AA5D6" w14:textId="6228DCE8" w:rsidR="00C45ED4" w:rsidRPr="00CB2133" w:rsidRDefault="00C45ED4" w:rsidP="00C45ED4">
      <w:pPr>
        <w:spacing w:before="120" w:after="120" w:line="360" w:lineRule="auto"/>
        <w:ind w:left="1982" w:hanging="566"/>
        <w:rPr>
          <w:b/>
          <w:szCs w:val="24"/>
          <w:lang w:eastAsia="en-US"/>
        </w:rPr>
      </w:pPr>
      <w:r w:rsidRPr="00CB2133">
        <w:rPr>
          <w:szCs w:val="24"/>
          <w:lang w:eastAsia="en-US"/>
        </w:rPr>
        <w:t>„iv)</w:t>
      </w:r>
      <w:r w:rsidRPr="00CB2133">
        <w:rPr>
          <w:szCs w:val="24"/>
          <w:lang w:eastAsia="en-US"/>
        </w:rPr>
        <w:tab/>
        <w:t>rakendavad liikmesriigid vajalikke meetmeid, et järk-järgult vähendada prioriteetsetest ainetest ja vesikonnaspetsiifilistest saasteainetest tulenevat reostust</w:t>
      </w:r>
      <w:r w:rsidRPr="00CB2133">
        <w:rPr>
          <w:b/>
          <w:i/>
          <w:szCs w:val="24"/>
          <w:lang w:eastAsia="en-US"/>
        </w:rPr>
        <w:t>, heidet, keskkonda juhtimist ja kadu</w:t>
      </w:r>
      <w:r w:rsidRPr="00CB2133">
        <w:rPr>
          <w:szCs w:val="24"/>
          <w:lang w:eastAsia="en-US"/>
        </w:rPr>
        <w:t xml:space="preserve"> ning teha korraga või järk-järgult lõpp prioriteetsete ohtlike ainete heitele, keskkonda juhtimisele ja kaole</w:t>
      </w:r>
      <w:r w:rsidRPr="00CB2133">
        <w:rPr>
          <w:b/>
          <w:i/>
          <w:szCs w:val="24"/>
          <w:lang w:eastAsia="en-US"/>
        </w:rPr>
        <w:t xml:space="preserve"> asjakohase tähtaja jooksul ja igal juhul mitte hiljem kui 20 aastat pärast seda</w:t>
      </w:r>
      <w:r w:rsidRPr="00CB2133">
        <w:rPr>
          <w:szCs w:val="24"/>
          <w:lang w:eastAsia="en-US"/>
        </w:rPr>
        <w:t>,</w:t>
      </w:r>
      <w:r w:rsidRPr="00CB2133">
        <w:rPr>
          <w:b/>
          <w:i/>
          <w:szCs w:val="24"/>
          <w:lang w:eastAsia="en-US"/>
        </w:rPr>
        <w:t xml:space="preserve"> kui asjaomane prioriteetne aine on kantud direktiivi 2008/105/EÜ I lisa A osas esitatud ohtlike ainete loetellu. Seda tähtaega kohaldatakse, ilma et see piiraks muudes kohaldatavates liidu õigusaktides sätestatud rangemate tähtaegade kohaldamist</w:t>
      </w:r>
      <w:r w:rsidRPr="00CB2133">
        <w:rPr>
          <w:szCs w:val="24"/>
          <w:lang w:eastAsia="en-US"/>
        </w:rPr>
        <w:t>;“</w:t>
      </w:r>
      <w:r w:rsidR="00F21202" w:rsidRPr="00CB2133">
        <w:rPr>
          <w:b/>
          <w:szCs w:val="24"/>
          <w:lang w:eastAsia="en-US"/>
        </w:rPr>
        <w:t xml:space="preserve"> [ME 62]</w:t>
      </w:r>
    </w:p>
    <w:p w14:paraId="48FDE098" w14:textId="77777777" w:rsidR="00D71270" w:rsidRPr="00CB2133" w:rsidRDefault="00D71270">
      <w:pPr>
        <w:widowControl/>
        <w:rPr>
          <w:szCs w:val="24"/>
          <w:lang w:eastAsia="en-US"/>
        </w:rPr>
      </w:pPr>
      <w:r w:rsidRPr="00CB2133">
        <w:rPr>
          <w:szCs w:val="24"/>
          <w:lang w:eastAsia="en-US"/>
        </w:rPr>
        <w:br w:type="page"/>
      </w:r>
    </w:p>
    <w:p w14:paraId="5158B5D8" w14:textId="290F3F58"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b)</w:t>
      </w:r>
      <w:r w:rsidRPr="00CB2133">
        <w:rPr>
          <w:szCs w:val="24"/>
          <w:lang w:eastAsia="en-US"/>
        </w:rPr>
        <w:tab/>
        <w:t>punkti b alapunkti iii teine lõik asendatakse järgmisega:</w:t>
      </w:r>
    </w:p>
    <w:p w14:paraId="5344F4A9" w14:textId="77777777" w:rsidR="00C45ED4" w:rsidRPr="00CB2133" w:rsidRDefault="00C45ED4" w:rsidP="00C45ED4">
      <w:pPr>
        <w:spacing w:before="120" w:after="120" w:line="360" w:lineRule="auto"/>
        <w:ind w:left="1416"/>
        <w:rPr>
          <w:szCs w:val="24"/>
          <w:lang w:eastAsia="en-US"/>
        </w:rPr>
      </w:pPr>
      <w:r w:rsidRPr="00CB2133">
        <w:rPr>
          <w:szCs w:val="24"/>
          <w:lang w:eastAsia="en-US"/>
        </w:rPr>
        <w:t>„Kasvutendentsi langusele pööramise meetmeid rakendatakse kooskõlas direktiivi 2006/118/EÜ artikliga 5 ja kõnealuse direktiivi IV lisaga ning seejuures võetakse arvesse käesoleva artikli lõigete 6 ja 7 kohaldamist, ilma et see piiraks käesoleva artikli lõike 8 kohaldamist;.“</w:t>
      </w:r>
    </w:p>
    <w:p w14:paraId="176AE564"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ba)</w:t>
      </w:r>
      <w:r w:rsidRPr="00CB2133">
        <w:rPr>
          <w:szCs w:val="24"/>
          <w:lang w:eastAsia="en-US"/>
        </w:rPr>
        <w:tab/>
      </w:r>
      <w:r w:rsidRPr="00CB2133">
        <w:rPr>
          <w:b/>
          <w:i/>
          <w:szCs w:val="24"/>
          <w:lang w:eastAsia="en-US"/>
        </w:rPr>
        <w:t>punkti c lisatakse järgmine lõik 1a:</w:t>
      </w:r>
    </w:p>
    <w:p w14:paraId="7AEEF9AD" w14:textId="22863099" w:rsidR="00C45ED4" w:rsidRPr="00CB2133" w:rsidRDefault="00C45ED4" w:rsidP="00C45ED4">
      <w:pPr>
        <w:spacing w:before="120" w:after="120" w:line="360" w:lineRule="auto"/>
        <w:ind w:left="1416"/>
        <w:rPr>
          <w:b/>
          <w:szCs w:val="24"/>
          <w:lang w:eastAsia="en-US"/>
        </w:rPr>
      </w:pPr>
      <w:r w:rsidRPr="00CB2133">
        <w:rPr>
          <w:b/>
          <w:i/>
          <w:szCs w:val="24"/>
          <w:lang w:eastAsia="en-US"/>
        </w:rPr>
        <w:t>„Liikmesriigid kehtestavad vajaduse korral rangemad standardid või läviväärtused, et nõuetekohaselt kaitsta käesoleva direktiivi IV lisas loetletud alasid, sealhulgas nõukogu direktiivi 92/43/EMÜ kohaseid erikaitsealasid. Selliste läviväärtuste kehtestamiseks vajalikke programme ja meetmeid kohaldatakse ka direktiivi 91/676/EMÜ reguleerimisalasse kuuluvate tegevuste suhtes.“</w:t>
      </w:r>
      <w:r w:rsidR="00F21202" w:rsidRPr="00CB2133">
        <w:rPr>
          <w:b/>
          <w:szCs w:val="24"/>
          <w:lang w:eastAsia="en-US"/>
        </w:rPr>
        <w:t xml:space="preserve"> [ME 63]</w:t>
      </w:r>
    </w:p>
    <w:p w14:paraId="1FA3E23A" w14:textId="77777777" w:rsidR="00D71270" w:rsidRPr="00CB2133" w:rsidRDefault="00D71270">
      <w:pPr>
        <w:widowControl/>
        <w:rPr>
          <w:szCs w:val="24"/>
          <w:lang w:eastAsia="en-US"/>
        </w:rPr>
      </w:pPr>
      <w:r w:rsidRPr="00CB2133">
        <w:rPr>
          <w:szCs w:val="24"/>
          <w:lang w:eastAsia="en-US"/>
        </w:rPr>
        <w:br w:type="page"/>
      </w:r>
    </w:p>
    <w:p w14:paraId="3CED6592" w14:textId="4E9E07F3"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5)</w:t>
      </w:r>
      <w:r w:rsidRPr="00CB2133">
        <w:rPr>
          <w:szCs w:val="24"/>
          <w:lang w:eastAsia="en-US"/>
        </w:rPr>
        <w:tab/>
        <w:t>Artikli 7 lõige 2 asendatakse järgmisega:</w:t>
      </w:r>
    </w:p>
    <w:p w14:paraId="7A5E7876"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Iga lõike 1 alusel kindlaks tehtud veekogu puhul peavad liikmesriigid lisaks käesoleva direktiivi nõuete kohasele artiklis 4 pinnaveekogude jaoks sätestatud eesmärkide täitmisele, sealhulgas liidu tasandil kehtestatud kvaliteedistandardite järgimisele tagama, et kohaldatava veepuhastusrežiimi puhul vastab saadav vesi kooskõlas liidu õigusaktidega Euroopa Parlamendi ja nõukogu direktiivi (EL) 2020/2184* nõuetele.</w:t>
      </w:r>
    </w:p>
    <w:p w14:paraId="154052B0"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16. detsembri 2020. aasta direktiiv (EL) 2020/2184 olmevee kvaliteedi kohta (ELT L 435, 23.12.2020, lk 1).“</w:t>
      </w:r>
    </w:p>
    <w:p w14:paraId="12E0CB8D" w14:textId="77777777" w:rsidR="00D71270" w:rsidRPr="00CB2133" w:rsidRDefault="00D71270">
      <w:pPr>
        <w:widowControl/>
        <w:rPr>
          <w:szCs w:val="24"/>
          <w:lang w:eastAsia="en-US"/>
        </w:rPr>
      </w:pPr>
      <w:r w:rsidRPr="00CB2133">
        <w:rPr>
          <w:szCs w:val="24"/>
          <w:lang w:eastAsia="en-US"/>
        </w:rPr>
        <w:br w:type="page"/>
      </w:r>
    </w:p>
    <w:p w14:paraId="5FB0DB50" w14:textId="6D2A8297"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6)</w:t>
      </w:r>
      <w:r w:rsidRPr="00CB2133">
        <w:rPr>
          <w:szCs w:val="24"/>
          <w:lang w:eastAsia="en-US"/>
        </w:rPr>
        <w:tab/>
        <w:t>Artiklit 8 muudetakse järgmiselt:</w:t>
      </w:r>
    </w:p>
    <w:p w14:paraId="1EDA80CE"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lõige 3 asendatakse järgmisega:</w:t>
      </w:r>
    </w:p>
    <w:p w14:paraId="3F8C122A" w14:textId="03F0A550" w:rsidR="00C45ED4" w:rsidRPr="00CB2133" w:rsidRDefault="00C45ED4" w:rsidP="00C45ED4">
      <w:pPr>
        <w:spacing w:before="120" w:after="120" w:line="360" w:lineRule="auto"/>
        <w:ind w:left="1982" w:hanging="566"/>
        <w:rPr>
          <w:b/>
          <w:szCs w:val="24"/>
          <w:lang w:eastAsia="en-US"/>
        </w:rPr>
      </w:pPr>
      <w:r w:rsidRPr="00CB2133">
        <w:rPr>
          <w:szCs w:val="24"/>
          <w:lang w:eastAsia="en-US"/>
        </w:rPr>
        <w:t>„3.</w:t>
      </w:r>
      <w:r w:rsidRPr="00CB2133">
        <w:rPr>
          <w:szCs w:val="24"/>
          <w:lang w:eastAsia="en-US"/>
        </w:rPr>
        <w:tab/>
        <w:t xml:space="preserve">Komisjonil on õigus võtta </w:t>
      </w:r>
      <w:r w:rsidRPr="00CB2133">
        <w:rPr>
          <w:b/>
          <w:i/>
          <w:szCs w:val="24"/>
          <w:lang w:eastAsia="en-US"/>
        </w:rPr>
        <w:t xml:space="preserve">kooskõlas artikliga 20a </w:t>
      </w:r>
      <w:r w:rsidRPr="00CB2133">
        <w:rPr>
          <w:szCs w:val="24"/>
          <w:lang w:eastAsia="en-US"/>
        </w:rPr>
        <w:t xml:space="preserve">vastu </w:t>
      </w:r>
      <w:r w:rsidRPr="00CB2133">
        <w:rPr>
          <w:strike/>
          <w:szCs w:val="24"/>
          <w:lang w:eastAsia="en-US"/>
        </w:rPr>
        <w:t>rakendusakte</w:t>
      </w:r>
      <w:r w:rsidRPr="00CB2133">
        <w:rPr>
          <w:b/>
          <w:i/>
          <w:szCs w:val="24"/>
          <w:lang w:eastAsia="en-US"/>
        </w:rPr>
        <w:t>delegeeritud õigusakte käesoleva direktiivi täiendamiseks</w:t>
      </w:r>
      <w:r w:rsidRPr="00CB2133">
        <w:rPr>
          <w:szCs w:val="24"/>
          <w:lang w:eastAsia="en-US"/>
        </w:rPr>
        <w:t>, et kehtestada tehnilised näitajad ja standardmeetodid V lisa kohaseks vee seisundi analüüsimiseks ja seireks</w:t>
      </w:r>
      <w:r w:rsidRPr="00CB2133">
        <w:rPr>
          <w:b/>
          <w:i/>
          <w:szCs w:val="24"/>
          <w:lang w:eastAsia="en-US"/>
        </w:rPr>
        <w:t>. Komisjonil on õigus võtta vastu rakendusakte, et kehtestada</w:t>
      </w:r>
      <w:r w:rsidRPr="00CB2133">
        <w:rPr>
          <w:strike/>
          <w:szCs w:val="24"/>
          <w:lang w:eastAsia="en-US"/>
        </w:rPr>
        <w:t xml:space="preserve"> ning</w:t>
      </w:r>
      <w:r w:rsidRPr="00CB2133">
        <w:rPr>
          <w:szCs w:val="24"/>
          <w:lang w:eastAsia="en-US"/>
        </w:rPr>
        <w:t xml:space="preserve"> vormid seire- ja seisundiandmete esitamiseks vastavalt lõikele 4. Need rakendusaktid võetakse vastu artikli 21 lõikes 2 osutatud kontrollimenetluse teel.“</w:t>
      </w:r>
      <w:r w:rsidR="00F21202" w:rsidRPr="00CB2133">
        <w:rPr>
          <w:szCs w:val="24"/>
          <w:lang w:eastAsia="en-US"/>
        </w:rPr>
        <w:t>;</w:t>
      </w:r>
      <w:r w:rsidR="00F21202" w:rsidRPr="00CB2133">
        <w:rPr>
          <w:b/>
          <w:szCs w:val="24"/>
          <w:lang w:eastAsia="en-US"/>
        </w:rPr>
        <w:t xml:space="preserve"> [ME 64]</w:t>
      </w:r>
    </w:p>
    <w:p w14:paraId="3A5BFF49" w14:textId="77777777" w:rsidR="00D71270" w:rsidRPr="00CB2133" w:rsidRDefault="00D71270">
      <w:pPr>
        <w:widowControl/>
        <w:rPr>
          <w:b/>
          <w:i/>
          <w:szCs w:val="24"/>
          <w:lang w:eastAsia="en-US"/>
        </w:rPr>
      </w:pPr>
      <w:r w:rsidRPr="00CB2133">
        <w:rPr>
          <w:b/>
          <w:i/>
          <w:szCs w:val="24"/>
          <w:lang w:eastAsia="en-US"/>
        </w:rPr>
        <w:br w:type="page"/>
      </w:r>
    </w:p>
    <w:p w14:paraId="7BA198FD" w14:textId="54ED9AE4" w:rsidR="00C45ED4" w:rsidRPr="00CB2133" w:rsidRDefault="00C45ED4" w:rsidP="00C45ED4">
      <w:pPr>
        <w:spacing w:before="120" w:after="120" w:line="360" w:lineRule="auto"/>
        <w:ind w:left="1416" w:hanging="566"/>
        <w:rPr>
          <w:szCs w:val="24"/>
          <w:lang w:eastAsia="en-US"/>
        </w:rPr>
      </w:pPr>
      <w:r w:rsidRPr="00CB2133">
        <w:rPr>
          <w:b/>
          <w:i/>
          <w:szCs w:val="24"/>
          <w:lang w:eastAsia="en-US"/>
        </w:rPr>
        <w:lastRenderedPageBreak/>
        <w:t>aa)</w:t>
      </w:r>
      <w:r w:rsidRPr="00CB2133">
        <w:rPr>
          <w:szCs w:val="24"/>
          <w:lang w:eastAsia="en-US"/>
        </w:rPr>
        <w:tab/>
      </w:r>
      <w:r w:rsidRPr="00CB2133">
        <w:rPr>
          <w:b/>
          <w:i/>
          <w:szCs w:val="24"/>
          <w:lang w:eastAsia="en-US"/>
        </w:rPr>
        <w:t>lisatakse järgmine lõige:</w:t>
      </w:r>
    </w:p>
    <w:p w14:paraId="017729E9"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w:t>
      </w:r>
      <w:r w:rsidRPr="00CB2133">
        <w:rPr>
          <w:b/>
          <w:i/>
          <w:szCs w:val="24"/>
          <w:lang w:eastAsia="en-US"/>
        </w:rPr>
        <w:t>1.</w:t>
      </w:r>
      <w:r w:rsidRPr="00CB2133">
        <w:rPr>
          <w:szCs w:val="24"/>
          <w:lang w:eastAsia="en-US"/>
        </w:rPr>
        <w:tab/>
      </w:r>
      <w:r w:rsidRPr="00CB2133">
        <w:rPr>
          <w:b/>
          <w:i/>
          <w:szCs w:val="24"/>
          <w:lang w:eastAsia="en-US"/>
        </w:rPr>
        <w:t>Hiljemalt [kaks aastat pärast käesoleva direktiivi jõustumist] avaldab komisjon põhjaliku hinnangu veekvaliteedi mõõtmise pidevate, täpsete ja reaalajas toimivate (veebipõhiste) saasteseiresüsteemide võimaliku kohaldamise kohta, sealhulgas selliste süsteemide majandusliku ja tehnilise teostatavuse aspektide kohta, mis on asjakohased liikmesriikide jaoks, ning ühtlustatud standardite kasutamise kohta.</w:t>
      </w:r>
    </w:p>
    <w:p w14:paraId="538F76D5" w14:textId="4A8D16A8" w:rsidR="00C45ED4" w:rsidRPr="00CB2133" w:rsidRDefault="00C45ED4" w:rsidP="00C45ED4">
      <w:pPr>
        <w:spacing w:before="120" w:after="120" w:line="360" w:lineRule="auto"/>
        <w:ind w:left="1982"/>
        <w:rPr>
          <w:b/>
          <w:szCs w:val="24"/>
          <w:lang w:eastAsia="en-US"/>
        </w:rPr>
      </w:pPr>
      <w:r w:rsidRPr="00CB2133">
        <w:rPr>
          <w:b/>
          <w:i/>
          <w:szCs w:val="24"/>
          <w:lang w:eastAsia="en-US"/>
        </w:rPr>
        <w:t>Komisjon võtab vajaduse korral kooskõlas artikli 21 lõikes 2 osutatud kontrollimenetlusega vastu rakendusakti, et kehtestada veebipõhise veeseire ühtlustatud standardid.“Komisjon võtab vajaduse korral kooskõlas artikli 21 lõikes 2 osutatud kontrollimenetlusega vastu rakendusakti, et kehtestada veebipõhise veeseire ühtlustatud standardid.“</w:t>
      </w:r>
      <w:r w:rsidR="00F21202" w:rsidRPr="00CB2133">
        <w:rPr>
          <w:b/>
          <w:szCs w:val="24"/>
          <w:lang w:eastAsia="en-US"/>
        </w:rPr>
        <w:t xml:space="preserve"> [ME 65]</w:t>
      </w:r>
    </w:p>
    <w:p w14:paraId="775C098F" w14:textId="77777777" w:rsidR="00D71270" w:rsidRPr="00CB2133" w:rsidRDefault="00D71270">
      <w:pPr>
        <w:widowControl/>
        <w:rPr>
          <w:szCs w:val="24"/>
          <w:lang w:eastAsia="en-US"/>
        </w:rPr>
      </w:pPr>
      <w:r w:rsidRPr="00CB2133">
        <w:rPr>
          <w:szCs w:val="24"/>
          <w:lang w:eastAsia="en-US"/>
        </w:rPr>
        <w:br w:type="page"/>
      </w:r>
    </w:p>
    <w:p w14:paraId="41CEA325" w14:textId="765D60EB"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b)</w:t>
      </w:r>
      <w:r w:rsidRPr="00CB2133">
        <w:rPr>
          <w:szCs w:val="24"/>
          <w:lang w:eastAsia="en-US"/>
        </w:rPr>
        <w:tab/>
        <w:t>lisatakse lõiked 4 ja 5:</w:t>
      </w:r>
    </w:p>
    <w:p w14:paraId="2F55989C" w14:textId="327A7614" w:rsidR="00C45ED4" w:rsidRPr="00CB2133" w:rsidRDefault="00C45ED4" w:rsidP="00C45ED4">
      <w:pPr>
        <w:spacing w:before="120" w:after="120" w:line="360" w:lineRule="auto"/>
        <w:ind w:left="1982" w:hanging="566"/>
        <w:rPr>
          <w:b/>
          <w:szCs w:val="24"/>
          <w:lang w:eastAsia="en-US"/>
        </w:rPr>
      </w:pPr>
      <w:r w:rsidRPr="00CB2133">
        <w:rPr>
          <w:szCs w:val="24"/>
          <w:lang w:eastAsia="en-US"/>
        </w:rPr>
        <w:t>„4.</w:t>
      </w:r>
      <w:r w:rsidRPr="00CB2133">
        <w:rPr>
          <w:szCs w:val="24"/>
          <w:lang w:eastAsia="en-US"/>
        </w:rPr>
        <w:tab/>
        <w:t xml:space="preserve">Liikmesriigid tagavad, et V lisa </w:t>
      </w:r>
      <w:r w:rsidRPr="00CB2133">
        <w:rPr>
          <w:strike/>
          <w:szCs w:val="24"/>
          <w:lang w:eastAsia="en-US"/>
        </w:rPr>
        <w:t>punkti</w:t>
      </w:r>
      <w:r w:rsidRPr="00CB2133">
        <w:rPr>
          <w:b/>
          <w:i/>
          <w:szCs w:val="24"/>
          <w:lang w:eastAsia="en-US"/>
        </w:rPr>
        <w:t>punktide</w:t>
      </w:r>
      <w:r w:rsidRPr="00CB2133">
        <w:rPr>
          <w:szCs w:val="24"/>
          <w:lang w:eastAsia="en-US"/>
        </w:rPr>
        <w:t xml:space="preserve"> 1.3.4</w:t>
      </w:r>
      <w:r w:rsidRPr="00CB2133">
        <w:rPr>
          <w:b/>
          <w:i/>
          <w:szCs w:val="24"/>
          <w:lang w:eastAsia="en-US"/>
        </w:rPr>
        <w:t xml:space="preserve"> ja 2.4.3</w:t>
      </w:r>
      <w:r w:rsidRPr="00CB2133">
        <w:rPr>
          <w:szCs w:val="24"/>
          <w:lang w:eastAsia="en-US"/>
        </w:rPr>
        <w:t xml:space="preserve"> kohaselt kogutud kättesaadavad individuaalsed seireandmed ja teave V lisa kohase neist tuleneva seisundi kohta tehakse kooskõlas Euroopa Parlamendi ja nõukogu direktiiviga 2003/4/EÜ*, Euroopa Parlamendi ja nõukogu direktiiviga 2007/2/EÜ** ning Euroopa Parlamendi ja nõukogu direktiiviga (EL) 2019/1024*** </w:t>
      </w:r>
      <w:r w:rsidRPr="00CB2133">
        <w:rPr>
          <w:strike/>
          <w:szCs w:val="24"/>
          <w:lang w:eastAsia="en-US"/>
        </w:rPr>
        <w:t xml:space="preserve">üldsusele ja </w:t>
      </w:r>
      <w:r w:rsidRPr="00CB2133">
        <w:rPr>
          <w:szCs w:val="24"/>
          <w:lang w:eastAsia="en-US"/>
        </w:rPr>
        <w:t>Euroopa Keskkonnaametile</w:t>
      </w:r>
      <w:r w:rsidRPr="00CB2133">
        <w:rPr>
          <w:b/>
          <w:i/>
          <w:szCs w:val="24"/>
          <w:lang w:eastAsia="en-US"/>
        </w:rPr>
        <w:t xml:space="preserve"> ning põhjendamatu viivituseta ja kergesti juurdepääsetaval viisil üldsusele</w:t>
      </w:r>
      <w:r w:rsidRPr="00CB2133">
        <w:rPr>
          <w:szCs w:val="24"/>
          <w:lang w:eastAsia="en-US"/>
        </w:rPr>
        <w:t xml:space="preserve"> vähemalt kord aastas masinloetaval kujul elektrooniliselt kättesaadavaks. Selleks kasutavad liikmesriigid käesoleva artikli lõike 3 kohaselt kehtestatud vorme.</w:t>
      </w:r>
      <w:r w:rsidR="00F21202" w:rsidRPr="00CB2133">
        <w:rPr>
          <w:b/>
          <w:szCs w:val="24"/>
          <w:lang w:eastAsia="en-US"/>
        </w:rPr>
        <w:t xml:space="preserve"> [ME 66]</w:t>
      </w:r>
    </w:p>
    <w:p w14:paraId="72C83CCF" w14:textId="77777777" w:rsidR="00D71270" w:rsidRPr="00CB2133" w:rsidRDefault="00D71270">
      <w:pPr>
        <w:widowControl/>
        <w:rPr>
          <w:szCs w:val="24"/>
          <w:lang w:eastAsia="en-US"/>
        </w:rPr>
      </w:pPr>
      <w:r w:rsidRPr="00CB2133">
        <w:rPr>
          <w:szCs w:val="24"/>
          <w:lang w:eastAsia="en-US"/>
        </w:rPr>
        <w:br w:type="page"/>
      </w:r>
    </w:p>
    <w:p w14:paraId="01CC6E2B" w14:textId="20E7AC43"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5.</w:t>
      </w:r>
      <w:r w:rsidRPr="00CB2133">
        <w:rPr>
          <w:szCs w:val="24"/>
          <w:lang w:eastAsia="en-US"/>
        </w:rPr>
        <w:tab/>
        <w:t>Euroopa Keskkonnaamet tagab kooskõlas Euroopa Parlamendi ja nõukogu määrusega (EÜ) nr 401/2009****, et lõike 4 kohaselt kättesaadavaks tehtud teavet töödeldakse ja analüüsitakse korrapäraselt eesmärgiga teha see asjakohaste liidu portaalide kaudu komisjonile ja asjakohastele liidu ametitele taaskasutamiseks kättesaadavaks ning esitada komisjonile, liikmesriikidele ja üldsusele ajakohastatud objektiivset, usaldusväärset ja võrreldavat teavet, eelkõige seisundi kohta.</w:t>
      </w:r>
    </w:p>
    <w:p w14:paraId="1AAB24C4"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28. jaanuari 2003. aasta direktiiv 2003/4/EÜ keskkonnateabele avaliku juurdepääsu ja nõukogu direktiivi 90/313/EMÜ kehtetuks tunnistamise kohta (ELT L 41, 14.2.2003, lk 26).</w:t>
      </w:r>
    </w:p>
    <w:p w14:paraId="32AE2F13"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14. märtsi 2007. aasta direktiiv 2007/2/EÜ, millega rajatakse Euroopa Ühenduse ruumiandmete infrastruktuur (INSPIRE) (ELT L 108, 25.4.2007, lk 1).</w:t>
      </w:r>
    </w:p>
    <w:p w14:paraId="5F50BB66"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20. juuni 2019. aasta direktiiv (EL) 2019/1024 avaandmete ja avaliku sektori valduses oleva teabe taaskasutamise kohta (ELT L 172, 26.6.2019, lk 56).</w:t>
      </w:r>
    </w:p>
    <w:p w14:paraId="37322D8B"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23. aprilli 2009. aasta määrus (EÜ) nr 401/2009 Euroopa Keskkonnaameti ja Euroopa keskkonnateabe- ja -vaatlusvõrgu kohta (ELT L 126, 21.5.2009, lk 13).“</w:t>
      </w:r>
    </w:p>
    <w:p w14:paraId="3AA8CAC0" w14:textId="77777777" w:rsidR="00D71270" w:rsidRPr="00CB2133" w:rsidRDefault="00D71270">
      <w:pPr>
        <w:widowControl/>
        <w:rPr>
          <w:szCs w:val="24"/>
          <w:lang w:eastAsia="en-US"/>
        </w:rPr>
      </w:pPr>
      <w:r w:rsidRPr="00CB2133">
        <w:rPr>
          <w:szCs w:val="24"/>
          <w:lang w:eastAsia="en-US"/>
        </w:rPr>
        <w:br w:type="page"/>
      </w:r>
    </w:p>
    <w:p w14:paraId="1B0A0025" w14:textId="06D1D36E"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7)</w:t>
      </w:r>
      <w:r w:rsidRPr="00CB2133">
        <w:rPr>
          <w:szCs w:val="24"/>
          <w:lang w:eastAsia="en-US"/>
        </w:rPr>
        <w:tab/>
        <w:t>Artiklit 10 muudetakse järgmiselt:</w:t>
      </w:r>
    </w:p>
    <w:p w14:paraId="69B44C5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lõige 2 asendatakse järgmisega:</w:t>
      </w:r>
    </w:p>
    <w:p w14:paraId="44E117E5"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„2.</w:t>
      </w:r>
      <w:r w:rsidRPr="00CB2133">
        <w:rPr>
          <w:szCs w:val="24"/>
          <w:lang w:eastAsia="en-US"/>
        </w:rPr>
        <w:tab/>
        <w:t>Käesoleva direktiivi kohaselt kehtestatud eesmärkide, kvaliteedistandardite ja läviväärtuste järgimiseks tagavad liikmesriigid järgmiste meetmete kehtestamise ja rakendamise:</w:t>
      </w:r>
    </w:p>
    <w:p w14:paraId="0A5E7CD1" w14:textId="77777777" w:rsidR="00C45ED4" w:rsidRPr="00CB2133" w:rsidRDefault="00C45ED4" w:rsidP="00C45ED4">
      <w:pPr>
        <w:spacing w:before="120" w:after="120" w:line="360" w:lineRule="auto"/>
        <w:ind w:left="2548" w:hanging="566"/>
        <w:rPr>
          <w:szCs w:val="24"/>
          <w:lang w:eastAsia="en-US"/>
        </w:rPr>
      </w:pPr>
      <w:r w:rsidRPr="00CB2133">
        <w:rPr>
          <w:szCs w:val="24"/>
          <w:lang w:eastAsia="en-US"/>
        </w:rPr>
        <w:t>a)</w:t>
      </w:r>
      <w:r w:rsidRPr="00CB2133">
        <w:rPr>
          <w:szCs w:val="24"/>
          <w:lang w:eastAsia="en-US"/>
        </w:rPr>
        <w:tab/>
        <w:t>heitkoguste vähendamise meetmed lähtuvalt parimast võimalikust tehnikast;</w:t>
      </w:r>
    </w:p>
    <w:p w14:paraId="65E7227C" w14:textId="77777777" w:rsidR="00C45ED4" w:rsidRPr="00CB2133" w:rsidRDefault="00C45ED4" w:rsidP="00C45ED4">
      <w:pPr>
        <w:spacing w:before="120" w:after="120" w:line="360" w:lineRule="auto"/>
        <w:ind w:left="2548" w:hanging="566"/>
        <w:rPr>
          <w:szCs w:val="24"/>
          <w:lang w:eastAsia="en-US"/>
        </w:rPr>
      </w:pPr>
      <w:r w:rsidRPr="00CB2133">
        <w:rPr>
          <w:szCs w:val="24"/>
          <w:lang w:eastAsia="en-US"/>
        </w:rPr>
        <w:t>b)</w:t>
      </w:r>
      <w:r w:rsidRPr="00CB2133">
        <w:rPr>
          <w:szCs w:val="24"/>
          <w:lang w:eastAsia="en-US"/>
        </w:rPr>
        <w:tab/>
        <w:t>asjakohased heite piirnormid;</w:t>
      </w:r>
    </w:p>
    <w:p w14:paraId="055D13DF" w14:textId="77777777" w:rsidR="00D71270" w:rsidRPr="00CB2133" w:rsidRDefault="00D71270">
      <w:pPr>
        <w:widowControl/>
        <w:rPr>
          <w:szCs w:val="24"/>
          <w:lang w:eastAsia="en-US"/>
        </w:rPr>
      </w:pPr>
      <w:r w:rsidRPr="00CB2133">
        <w:rPr>
          <w:szCs w:val="24"/>
          <w:lang w:eastAsia="en-US"/>
        </w:rPr>
        <w:br w:type="page"/>
      </w:r>
    </w:p>
    <w:p w14:paraId="6F22D09A" w14:textId="7876EC88" w:rsidR="00C45ED4" w:rsidRPr="00CB2133" w:rsidRDefault="00C45ED4" w:rsidP="00C45ED4">
      <w:pPr>
        <w:spacing w:before="120" w:after="120" w:line="360" w:lineRule="auto"/>
        <w:ind w:left="2548" w:hanging="566"/>
        <w:rPr>
          <w:szCs w:val="24"/>
          <w:lang w:eastAsia="en-US"/>
        </w:rPr>
      </w:pPr>
      <w:r w:rsidRPr="00CB2133">
        <w:rPr>
          <w:szCs w:val="24"/>
          <w:lang w:eastAsia="en-US"/>
        </w:rPr>
        <w:lastRenderedPageBreak/>
        <w:t>c)</w:t>
      </w:r>
      <w:r w:rsidRPr="00CB2133">
        <w:rPr>
          <w:szCs w:val="24"/>
          <w:lang w:eastAsia="en-US"/>
        </w:rPr>
        <w:tab/>
        <w:t>vähendusmeetmed hajureostuskoormuse puhul, sealhulgas vastavalt vajadusele parim keskkonnatava, mis on sätestatud:</w:t>
      </w:r>
    </w:p>
    <w:p w14:paraId="25A990D1" w14:textId="77777777" w:rsidR="00C45ED4" w:rsidRPr="00CB2133" w:rsidRDefault="00C45ED4" w:rsidP="00C45ED4">
      <w:pPr>
        <w:spacing w:before="120" w:after="120" w:line="360" w:lineRule="auto"/>
        <w:ind w:left="3114" w:hanging="566"/>
        <w:rPr>
          <w:szCs w:val="24"/>
          <w:lang w:eastAsia="en-US"/>
        </w:rPr>
      </w:pPr>
      <w:r w:rsidRPr="00CB2133">
        <w:rPr>
          <w:szCs w:val="24"/>
          <w:lang w:eastAsia="en-US"/>
        </w:rPr>
        <w:t>-</w:t>
      </w:r>
      <w:r w:rsidRPr="00CB2133">
        <w:rPr>
          <w:szCs w:val="24"/>
          <w:lang w:eastAsia="en-US"/>
        </w:rPr>
        <w:tab/>
        <w:t>Euroopa Parlamendi ja nõukogu direktiivis 2009/128/EÜ*;</w:t>
      </w:r>
    </w:p>
    <w:p w14:paraId="752578EA" w14:textId="77777777" w:rsidR="00C45ED4" w:rsidRPr="00CB2133" w:rsidRDefault="00C45ED4" w:rsidP="00C45ED4">
      <w:pPr>
        <w:spacing w:before="120" w:after="120" w:line="360" w:lineRule="auto"/>
        <w:ind w:left="3114" w:hanging="566"/>
        <w:rPr>
          <w:szCs w:val="24"/>
          <w:lang w:eastAsia="en-US"/>
        </w:rPr>
      </w:pPr>
      <w:r w:rsidRPr="00CB2133">
        <w:rPr>
          <w:szCs w:val="24"/>
          <w:lang w:eastAsia="en-US"/>
        </w:rPr>
        <w:t>-</w:t>
      </w:r>
      <w:r w:rsidRPr="00CB2133">
        <w:rPr>
          <w:szCs w:val="24"/>
          <w:lang w:eastAsia="en-US"/>
        </w:rPr>
        <w:tab/>
        <w:t>Euroopa Parlamendi ja nõukogu direktiivis 2010/75/EL**;</w:t>
      </w:r>
    </w:p>
    <w:p w14:paraId="399CA4CA" w14:textId="77777777" w:rsidR="00C45ED4" w:rsidRPr="00CB2133" w:rsidRDefault="00C45ED4" w:rsidP="00C45ED4">
      <w:pPr>
        <w:spacing w:before="120" w:after="120" w:line="360" w:lineRule="auto"/>
        <w:ind w:left="3114" w:hanging="566"/>
        <w:rPr>
          <w:szCs w:val="24"/>
          <w:lang w:eastAsia="en-US"/>
        </w:rPr>
      </w:pPr>
      <w:r w:rsidRPr="00CB2133">
        <w:rPr>
          <w:szCs w:val="24"/>
          <w:lang w:eastAsia="en-US"/>
        </w:rPr>
        <w:t>-</w:t>
      </w:r>
      <w:r w:rsidRPr="00CB2133">
        <w:rPr>
          <w:szCs w:val="24"/>
          <w:lang w:eastAsia="en-US"/>
        </w:rPr>
        <w:tab/>
        <w:t>nõukogu direktiivis 91/271/EMÜ***;</w:t>
      </w:r>
    </w:p>
    <w:p w14:paraId="496AB5EB" w14:textId="77777777" w:rsidR="00C45ED4" w:rsidRPr="00CB2133" w:rsidRDefault="00C45ED4" w:rsidP="00C45ED4">
      <w:pPr>
        <w:spacing w:before="120" w:after="120" w:line="360" w:lineRule="auto"/>
        <w:ind w:left="3114" w:hanging="566"/>
        <w:rPr>
          <w:szCs w:val="24"/>
          <w:lang w:eastAsia="en-US"/>
        </w:rPr>
      </w:pPr>
      <w:r w:rsidRPr="00CB2133">
        <w:rPr>
          <w:szCs w:val="24"/>
          <w:lang w:eastAsia="en-US"/>
        </w:rPr>
        <w:t>-</w:t>
      </w:r>
      <w:r w:rsidRPr="00CB2133">
        <w:rPr>
          <w:szCs w:val="24"/>
          <w:lang w:eastAsia="en-US"/>
        </w:rPr>
        <w:tab/>
        <w:t>nõukogu direktiivis 91/676/EMÜ****;</w:t>
      </w:r>
    </w:p>
    <w:p w14:paraId="1DD1DEBA" w14:textId="77777777" w:rsidR="00C45ED4" w:rsidRPr="00CB2133" w:rsidRDefault="00C45ED4" w:rsidP="00C45ED4">
      <w:pPr>
        <w:spacing w:before="120" w:after="120" w:line="360" w:lineRule="auto"/>
        <w:ind w:left="3114" w:hanging="566"/>
        <w:rPr>
          <w:szCs w:val="24"/>
          <w:lang w:eastAsia="en-US"/>
        </w:rPr>
      </w:pPr>
      <w:r w:rsidRPr="00CB2133">
        <w:rPr>
          <w:szCs w:val="24"/>
          <w:lang w:eastAsia="en-US"/>
        </w:rPr>
        <w:t>-</w:t>
      </w:r>
      <w:r w:rsidRPr="00CB2133">
        <w:rPr>
          <w:szCs w:val="24"/>
          <w:lang w:eastAsia="en-US"/>
        </w:rPr>
        <w:tab/>
        <w:t>mis tahes muus punktallikast lähtuva või hajureostuse puhul asjakohases liidu õigusaktis.</w:t>
      </w:r>
    </w:p>
    <w:p w14:paraId="175A3DB2" w14:textId="77777777" w:rsidR="00C45ED4" w:rsidRPr="00CB2133" w:rsidRDefault="00C45ED4" w:rsidP="00C45ED4">
      <w:pPr>
        <w:spacing w:before="120" w:after="120" w:line="360" w:lineRule="auto"/>
        <w:ind w:left="2548"/>
        <w:rPr>
          <w:szCs w:val="24"/>
          <w:lang w:eastAsia="en-US"/>
        </w:rPr>
      </w:pPr>
      <w:r w:rsidRPr="00CB2133">
        <w:rPr>
          <w:szCs w:val="24"/>
          <w:lang w:eastAsia="en-US"/>
        </w:rPr>
        <w:t>* Euroopa Parlamendi ja nõukogu 21. oktoobri 2009. aasta direktiiv 2009/128/EÜ, millega kehtestatakse ühenduse tegevusraamistik pestitsiidide säästva kasutamise saavutamiseks (ELT L 309, 24.11.2009, lk 71).</w:t>
      </w:r>
    </w:p>
    <w:p w14:paraId="7BFD8B02" w14:textId="77777777" w:rsidR="00C45ED4" w:rsidRPr="00CB2133" w:rsidRDefault="00C45ED4" w:rsidP="00C45ED4">
      <w:pPr>
        <w:spacing w:before="120" w:after="120" w:line="360" w:lineRule="auto"/>
        <w:ind w:left="2548"/>
        <w:rPr>
          <w:szCs w:val="24"/>
          <w:lang w:eastAsia="en-US"/>
        </w:rPr>
      </w:pPr>
      <w:r w:rsidRPr="00CB2133">
        <w:rPr>
          <w:szCs w:val="24"/>
          <w:lang w:eastAsia="en-US"/>
        </w:rPr>
        <w:t>** Euroopa Parlamendi ja nõukogu 24. novembri 2010. aasta direktiiv 2010/75/EL tööstusheidete kohta (ELT L 334, 17.12.2010, lk 17).</w:t>
      </w:r>
    </w:p>
    <w:p w14:paraId="48CAD884" w14:textId="77777777" w:rsidR="00C45ED4" w:rsidRPr="00CB2133" w:rsidRDefault="00C45ED4" w:rsidP="00C45ED4">
      <w:pPr>
        <w:spacing w:before="120" w:after="120" w:line="360" w:lineRule="auto"/>
        <w:ind w:left="2548"/>
        <w:rPr>
          <w:szCs w:val="24"/>
          <w:lang w:eastAsia="en-US"/>
        </w:rPr>
      </w:pPr>
      <w:r w:rsidRPr="00CB2133">
        <w:rPr>
          <w:szCs w:val="24"/>
          <w:lang w:eastAsia="en-US"/>
        </w:rPr>
        <w:t>*** Nõukogu 21. mai 1991. aasta direktiiv 91/271/EMÜ asulareovee puhastamise kohta (EÜT L 135, 30.5.1991, lk 40).</w:t>
      </w:r>
    </w:p>
    <w:p w14:paraId="28E1257C" w14:textId="77777777" w:rsidR="00C45ED4" w:rsidRPr="00CB2133" w:rsidRDefault="00C45ED4" w:rsidP="00C45ED4">
      <w:pPr>
        <w:spacing w:before="120" w:after="120" w:line="360" w:lineRule="auto"/>
        <w:ind w:left="2548"/>
        <w:rPr>
          <w:szCs w:val="24"/>
          <w:lang w:eastAsia="en-US"/>
        </w:rPr>
      </w:pPr>
      <w:r w:rsidRPr="00CB2133">
        <w:rPr>
          <w:szCs w:val="24"/>
          <w:lang w:eastAsia="en-US"/>
        </w:rPr>
        <w:t>**** Nõukogu 12. detsembri 1991. aasta direktiiv 91/676/EMÜ veekogude kaitsmise kohta põllumajandusest lähtuva nitraadireostuse eest (EÜT L 375, 31.12.1991, lk 1).;“</w:t>
      </w:r>
    </w:p>
    <w:p w14:paraId="6E721271" w14:textId="77777777" w:rsidR="00D71270" w:rsidRPr="00CB2133" w:rsidRDefault="00D71270">
      <w:pPr>
        <w:widowControl/>
        <w:rPr>
          <w:szCs w:val="24"/>
          <w:lang w:eastAsia="en-US"/>
        </w:rPr>
      </w:pPr>
      <w:r w:rsidRPr="00CB2133">
        <w:rPr>
          <w:szCs w:val="24"/>
          <w:lang w:eastAsia="en-US"/>
        </w:rPr>
        <w:br w:type="page"/>
      </w:r>
    </w:p>
    <w:p w14:paraId="6067BE3E" w14:textId="5ED00C3B"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b)</w:t>
      </w:r>
      <w:r w:rsidRPr="00CB2133">
        <w:rPr>
          <w:szCs w:val="24"/>
          <w:lang w:eastAsia="en-US"/>
        </w:rPr>
        <w:tab/>
        <w:t>lõige 3 asendatakse järgmisega:</w:t>
      </w:r>
    </w:p>
    <w:p w14:paraId="06FA3335"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„3.</w:t>
      </w:r>
      <w:r w:rsidRPr="00CB2133">
        <w:rPr>
          <w:szCs w:val="24"/>
          <w:lang w:eastAsia="en-US"/>
        </w:rPr>
        <w:tab/>
        <w:t>Kui käesoleva direktiivi, direktiivide 2006/118/EÜ või 2008/105/EÜ või mis tahes muu liidu õigusakti alusel kehtestatud kvaliteedieesmärk, kvaliteedistandard või läviväärtus nõuab lõike 2 kohaldamisest tulenevatest tingimustest rangemate tingimuste seadmist, kehtestatakse vastavalt sellele rangemad heitkoguste vähendamise meetmed.“</w:t>
      </w:r>
    </w:p>
    <w:p w14:paraId="3F62315E" w14:textId="77777777" w:rsidR="00D71270" w:rsidRPr="00CB2133" w:rsidRDefault="00D71270">
      <w:pPr>
        <w:widowControl/>
        <w:rPr>
          <w:b/>
          <w:i/>
          <w:szCs w:val="24"/>
          <w:lang w:eastAsia="en-US"/>
        </w:rPr>
      </w:pPr>
      <w:r w:rsidRPr="00CB2133">
        <w:rPr>
          <w:b/>
          <w:i/>
          <w:szCs w:val="24"/>
          <w:lang w:eastAsia="en-US"/>
        </w:rPr>
        <w:br w:type="page"/>
      </w:r>
    </w:p>
    <w:p w14:paraId="478B3432" w14:textId="293A5F2E"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7a)</w:t>
      </w:r>
      <w:r w:rsidRPr="00CB2133">
        <w:rPr>
          <w:szCs w:val="24"/>
          <w:lang w:eastAsia="en-US"/>
        </w:rPr>
        <w:tab/>
      </w:r>
      <w:r w:rsidRPr="00CB2133">
        <w:rPr>
          <w:b/>
          <w:i/>
          <w:szCs w:val="24"/>
          <w:lang w:eastAsia="en-US"/>
        </w:rPr>
        <w:t>Artikli 11 lõige 1 asendatakse järgmisega.</w:t>
      </w:r>
    </w:p>
    <w:p w14:paraId="425E47FE" w14:textId="0931CDEF" w:rsidR="00C45ED4" w:rsidRPr="00CB2133" w:rsidRDefault="00C45ED4" w:rsidP="00C45ED4">
      <w:pPr>
        <w:spacing w:before="120" w:after="120" w:line="360" w:lineRule="auto"/>
        <w:ind w:left="1416" w:hanging="566"/>
        <w:rPr>
          <w:b/>
          <w:szCs w:val="24"/>
          <w:lang w:eastAsia="en-US"/>
        </w:rPr>
      </w:pPr>
      <w:r w:rsidRPr="00CB2133">
        <w:rPr>
          <w:szCs w:val="24"/>
          <w:lang w:eastAsia="en-US"/>
        </w:rPr>
        <w:t>„</w:t>
      </w:r>
      <w:r w:rsidRPr="00CB2133">
        <w:rPr>
          <w:b/>
          <w:i/>
          <w:szCs w:val="24"/>
          <w:lang w:eastAsia="en-US"/>
        </w:rPr>
        <w:t>1.</w:t>
      </w:r>
      <w:r w:rsidRPr="00CB2133">
        <w:rPr>
          <w:szCs w:val="24"/>
          <w:lang w:eastAsia="en-US"/>
        </w:rPr>
        <w:tab/>
      </w:r>
      <w:r w:rsidRPr="00CB2133">
        <w:rPr>
          <w:b/>
          <w:i/>
          <w:szCs w:val="24"/>
          <w:lang w:eastAsia="en-US"/>
        </w:rPr>
        <w:t>Iga liikmesriik tagab iga valglapiirkonna või tema territooriumile jääva rahvusvahelise valglapiirkonna osa jaoks meetmeprogrammi kehtestamise, võttes arvesse artikli 5 alusel nõutavate analüüside tulemusi, et saavutada artiklis 4 kehtestatud eesmärke. Sellistes meetmeprogrammides seatakse prioriteediks tekkekohas kohaldatavad meetmed kooskõlas saastet käsitlevate liidu valdkondlike õigusaktidega. Lisaks tekkekohas kohaldatavatele meetmetele kohaldatakse keskkonda juhtimise kohas rakendatavaid meetmeid, kui on oht, et tekkekohas kohaldatavate meetmetega ei saavutata veekogude head seisundit. Meetmeprogrammid võivad viidata siseriiklikul tasandil vastu võetud õigusaktidest tulenevatele meetmetele, mis hõlmavad kogu liikmesriigi territooriumi. Vajaduse korral võib liikmesriik vastu võtta meetmeid, mida kohaldatakse kõigi valglapiirkondade ja/või tema territooriumile jääva rahvusvahelise valglapiirkonna osade suhtes. Komisjon töötab välja suunised tekkekohas kohaldatavate meetmete parimate tavade ning keskkonda juhtimise kohas rakendatavate meetmete vastastikuse täiendavuse kohta.</w:t>
      </w:r>
      <w:r w:rsidRPr="00CB2133">
        <w:rPr>
          <w:szCs w:val="24"/>
          <w:lang w:eastAsia="en-US"/>
        </w:rPr>
        <w:t>“</w:t>
      </w:r>
      <w:r w:rsidR="00F21202" w:rsidRPr="00CB2133">
        <w:rPr>
          <w:b/>
          <w:szCs w:val="24"/>
          <w:lang w:eastAsia="en-US"/>
        </w:rPr>
        <w:t xml:space="preserve"> [ME 67]</w:t>
      </w:r>
    </w:p>
    <w:p w14:paraId="4228C533" w14:textId="77777777" w:rsidR="00D71270" w:rsidRPr="00CB2133" w:rsidRDefault="00D71270">
      <w:pPr>
        <w:widowControl/>
        <w:rPr>
          <w:b/>
          <w:i/>
          <w:szCs w:val="24"/>
          <w:lang w:eastAsia="en-US"/>
        </w:rPr>
      </w:pPr>
      <w:r w:rsidRPr="00CB2133">
        <w:rPr>
          <w:b/>
          <w:i/>
          <w:szCs w:val="24"/>
          <w:lang w:eastAsia="en-US"/>
        </w:rPr>
        <w:br w:type="page"/>
      </w:r>
    </w:p>
    <w:p w14:paraId="35FCAF58" w14:textId="350CABD4"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7b)</w:t>
      </w:r>
      <w:r w:rsidRPr="00CB2133">
        <w:rPr>
          <w:szCs w:val="24"/>
          <w:lang w:eastAsia="en-US"/>
        </w:rPr>
        <w:tab/>
      </w:r>
      <w:r w:rsidRPr="00CB2133">
        <w:rPr>
          <w:b/>
          <w:i/>
          <w:szCs w:val="24"/>
          <w:lang w:eastAsia="en-US"/>
        </w:rPr>
        <w:t>Artikli 11 lõike 3 punkt c asendatakse järgmisega:</w:t>
      </w:r>
    </w:p>
    <w:p w14:paraId="39DF952A" w14:textId="1635AE62" w:rsidR="00C45ED4" w:rsidRPr="00CB2133" w:rsidRDefault="00C45ED4" w:rsidP="00C45ED4">
      <w:pPr>
        <w:spacing w:before="120" w:after="120" w:line="360" w:lineRule="auto"/>
        <w:ind w:left="1416" w:hanging="566"/>
        <w:rPr>
          <w:b/>
          <w:szCs w:val="24"/>
          <w:lang w:eastAsia="en-US"/>
        </w:rPr>
      </w:pPr>
      <w:r w:rsidRPr="00CB2133">
        <w:rPr>
          <w:szCs w:val="24"/>
          <w:lang w:eastAsia="en-US"/>
        </w:rPr>
        <w:t>„</w:t>
      </w:r>
      <w:r w:rsidRPr="00CB2133">
        <w:rPr>
          <w:b/>
          <w:i/>
          <w:szCs w:val="24"/>
          <w:lang w:eastAsia="en-US"/>
        </w:rPr>
        <w:t>a)</w:t>
      </w:r>
      <w:r w:rsidRPr="00CB2133">
        <w:rPr>
          <w:szCs w:val="24"/>
          <w:lang w:eastAsia="en-US"/>
        </w:rPr>
        <w:tab/>
      </w:r>
      <w:r w:rsidRPr="00CB2133">
        <w:rPr>
          <w:b/>
          <w:i/>
          <w:szCs w:val="24"/>
          <w:lang w:eastAsia="en-US"/>
        </w:rPr>
        <w:t>meetmed tõhusa ja kestliku veekasutuse edendamiseks, sealhulgas põllumajanduses, et mitte seada ohtu artiklis 4 osutatud eesmärkide saavutamist;</w:t>
      </w:r>
      <w:r w:rsidRPr="00CB2133">
        <w:rPr>
          <w:szCs w:val="24"/>
          <w:lang w:eastAsia="en-US"/>
        </w:rPr>
        <w:t>“</w:t>
      </w:r>
      <w:r w:rsidR="00F21202" w:rsidRPr="00CB2133">
        <w:rPr>
          <w:b/>
          <w:szCs w:val="24"/>
          <w:lang w:eastAsia="en-US"/>
        </w:rPr>
        <w:t xml:space="preserve"> [ME 68]</w:t>
      </w:r>
    </w:p>
    <w:p w14:paraId="516A5010"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8)</w:t>
      </w:r>
      <w:r w:rsidRPr="00CB2133">
        <w:rPr>
          <w:szCs w:val="24"/>
          <w:lang w:eastAsia="en-US"/>
        </w:rPr>
        <w:tab/>
        <w:t>Artikli 11 lõike 3 punkt k asendatakse järgmisega:</w:t>
      </w:r>
    </w:p>
    <w:p w14:paraId="768E4D8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„k)</w:t>
      </w:r>
      <w:r w:rsidRPr="00CB2133">
        <w:rPr>
          <w:szCs w:val="24"/>
          <w:lang w:eastAsia="en-US"/>
        </w:rPr>
        <w:tab/>
        <w:t>meetmed, mille siht on likvideerida prioriteetsetest ohtlikest ainetest tulenev pinnavee reostus ning järk-järgult vähendada muudest ainetest põhjustatud reostust, mis muidu takistaks liikmesriikidel saavutamast pinnaveekogusid käsitlevaid artiklis 4 sätestatud keskkonnaeesmärke;.“</w:t>
      </w:r>
    </w:p>
    <w:p w14:paraId="4C420EF6"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8a)</w:t>
      </w:r>
      <w:r w:rsidRPr="00CB2133">
        <w:rPr>
          <w:szCs w:val="24"/>
          <w:lang w:eastAsia="en-US"/>
        </w:rPr>
        <w:tab/>
      </w:r>
      <w:r w:rsidRPr="00CB2133">
        <w:rPr>
          <w:b/>
          <w:i/>
          <w:szCs w:val="24"/>
          <w:lang w:eastAsia="en-US"/>
        </w:rPr>
        <w:t>Artikli 11 lõikes 5 asendatakse teine taane järgmisega:</w:t>
      </w:r>
    </w:p>
    <w:p w14:paraId="1D44CD35" w14:textId="4D5EAFB8" w:rsidR="00C45ED4" w:rsidRPr="00CB2133" w:rsidRDefault="00C45ED4" w:rsidP="00C45ED4">
      <w:pPr>
        <w:spacing w:before="120" w:after="120" w:line="360" w:lineRule="auto"/>
        <w:ind w:left="1416" w:hanging="566"/>
        <w:rPr>
          <w:b/>
          <w:szCs w:val="24"/>
          <w:lang w:eastAsia="en-US"/>
        </w:rPr>
      </w:pPr>
      <w:r w:rsidRPr="00CB2133">
        <w:rPr>
          <w:szCs w:val="24"/>
          <w:lang w:eastAsia="en-US"/>
        </w:rPr>
        <w:t>„</w:t>
      </w:r>
      <w:r w:rsidRPr="00CB2133">
        <w:rPr>
          <w:b/>
          <w:i/>
          <w:szCs w:val="24"/>
          <w:lang w:eastAsia="en-US"/>
        </w:rPr>
        <w:t>-</w:t>
      </w:r>
      <w:r w:rsidRPr="00CB2133">
        <w:rPr>
          <w:szCs w:val="24"/>
          <w:lang w:eastAsia="en-US"/>
        </w:rPr>
        <w:tab/>
      </w:r>
      <w:r w:rsidRPr="00CB2133">
        <w:rPr>
          <w:b/>
          <w:i/>
          <w:szCs w:val="24"/>
          <w:lang w:eastAsia="en-US"/>
        </w:rPr>
        <w:t>– asjaomaseid lube kontrollitakse ja vaadatakse läbi ning nõuetekohaselt põhjendatud juhtudel need peatatakse, kui see on asjakohane,</w:t>
      </w:r>
      <w:r w:rsidRPr="00CB2133">
        <w:rPr>
          <w:szCs w:val="24"/>
          <w:lang w:eastAsia="en-US"/>
        </w:rPr>
        <w:t>“</w:t>
      </w:r>
      <w:r w:rsidR="00F21202" w:rsidRPr="00CB2133">
        <w:rPr>
          <w:b/>
          <w:szCs w:val="24"/>
          <w:lang w:eastAsia="en-US"/>
        </w:rPr>
        <w:t xml:space="preserve"> [ME 69]</w:t>
      </w:r>
    </w:p>
    <w:p w14:paraId="0055D61D" w14:textId="77777777" w:rsidR="00D71270" w:rsidRPr="00CB2133" w:rsidRDefault="00D71270">
      <w:pPr>
        <w:widowControl/>
        <w:rPr>
          <w:szCs w:val="24"/>
          <w:lang w:eastAsia="en-US"/>
        </w:rPr>
      </w:pPr>
      <w:r w:rsidRPr="00CB2133">
        <w:rPr>
          <w:szCs w:val="24"/>
          <w:lang w:eastAsia="en-US"/>
        </w:rPr>
        <w:br w:type="page"/>
      </w:r>
    </w:p>
    <w:p w14:paraId="73813BEC" w14:textId="3121FF8F"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9)</w:t>
      </w:r>
      <w:r w:rsidRPr="00CB2133">
        <w:rPr>
          <w:szCs w:val="24"/>
          <w:lang w:eastAsia="en-US"/>
        </w:rPr>
        <w:tab/>
        <w:t>Artikkel 12 asendatakse järgmisega:</w:t>
      </w:r>
    </w:p>
    <w:p w14:paraId="3FE4CC7D"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12</w:t>
      </w:r>
    </w:p>
    <w:p w14:paraId="4785A5B6" w14:textId="77777777" w:rsidR="00C45ED4" w:rsidRPr="00CB2133" w:rsidRDefault="00C45ED4" w:rsidP="00C45ED4">
      <w:pPr>
        <w:spacing w:before="120" w:after="120" w:line="360" w:lineRule="auto"/>
        <w:ind w:left="850"/>
        <w:rPr>
          <w:szCs w:val="24"/>
          <w:lang w:eastAsia="en-US"/>
        </w:rPr>
      </w:pPr>
      <w:r w:rsidRPr="00CB2133">
        <w:rPr>
          <w:szCs w:val="24"/>
          <w:lang w:eastAsia="en-US"/>
        </w:rPr>
        <w:t>Probleemid, mida ei saa lahendada liikmesriigi tasandil</w:t>
      </w:r>
    </w:p>
    <w:p w14:paraId="6D3309D6"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Kui liikmesriik tuvastab probleemi, mis mõjutab tema veemajandust, kuid mida ta ei saa lahendada, teatab ta probleemist komisjonile ja kõikidele teistele asjaomastele liikmesriikidele ning esitab soovitused selle lahendamiseks.</w:t>
      </w:r>
    </w:p>
    <w:p w14:paraId="5A0D44F6" w14:textId="0606EC5D" w:rsidR="00C45ED4" w:rsidRPr="00CB2133" w:rsidRDefault="00C45ED4" w:rsidP="00C45ED4">
      <w:pPr>
        <w:spacing w:before="120" w:after="120" w:line="360" w:lineRule="auto"/>
        <w:ind w:left="1416"/>
        <w:rPr>
          <w:b/>
          <w:szCs w:val="24"/>
          <w:lang w:eastAsia="en-US"/>
        </w:rPr>
      </w:pPr>
      <w:r w:rsidRPr="00CB2133">
        <w:rPr>
          <w:b/>
          <w:i/>
          <w:szCs w:val="24"/>
          <w:lang w:eastAsia="en-US"/>
        </w:rPr>
        <w:t>Komisjon vastab liikmesriigi teatele kuue kuu jooksul. Kui teade puudutab heale keemilisele seisundile mittevastavust, tegutseb komisjon direktiivi 2008/105/EÜ artikli 7a kohaselt.</w:t>
      </w:r>
      <w:r w:rsidR="00F21202" w:rsidRPr="00CB2133">
        <w:rPr>
          <w:b/>
          <w:szCs w:val="24"/>
          <w:lang w:eastAsia="en-US"/>
        </w:rPr>
        <w:t xml:space="preserve"> [ME 70]</w:t>
      </w:r>
    </w:p>
    <w:p w14:paraId="4A1B72B3"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Asjaomased liikmesriigid teevad koostööd lõikes 1 osutatud probleemi allikate tuvastamiseks ja probleemi lahendamiseks vajalike meetmete kindlaksmääramiseks.</w:t>
      </w:r>
    </w:p>
    <w:p w14:paraId="426CDDA7" w14:textId="77777777" w:rsidR="00D71270" w:rsidRPr="00CB2133" w:rsidRDefault="00D71270">
      <w:pPr>
        <w:widowControl/>
        <w:rPr>
          <w:szCs w:val="24"/>
          <w:lang w:eastAsia="en-US"/>
        </w:rPr>
      </w:pPr>
      <w:r w:rsidRPr="00CB2133">
        <w:rPr>
          <w:szCs w:val="24"/>
          <w:lang w:eastAsia="en-US"/>
        </w:rPr>
        <w:br w:type="page"/>
      </w:r>
    </w:p>
    <w:p w14:paraId="1A0C14FF" w14:textId="439E9AD7" w:rsidR="00C45ED4" w:rsidRPr="00CB2133" w:rsidRDefault="00C45ED4" w:rsidP="00C45ED4">
      <w:pPr>
        <w:spacing w:before="120" w:after="120" w:line="360" w:lineRule="auto"/>
        <w:ind w:left="1416"/>
        <w:rPr>
          <w:b/>
          <w:szCs w:val="24"/>
          <w:lang w:eastAsia="en-US"/>
        </w:rPr>
      </w:pPr>
      <w:r w:rsidRPr="00CB2133">
        <w:rPr>
          <w:szCs w:val="24"/>
          <w:lang w:eastAsia="en-US"/>
        </w:rPr>
        <w:lastRenderedPageBreak/>
        <w:t xml:space="preserve">Liikmesriigid vastavad üksteisele õigeaegselt ja mitte hiljem kui </w:t>
      </w:r>
      <w:r w:rsidRPr="00CB2133">
        <w:rPr>
          <w:strike/>
          <w:szCs w:val="24"/>
          <w:lang w:eastAsia="en-US"/>
        </w:rPr>
        <w:t>3</w:t>
      </w:r>
      <w:r w:rsidRPr="00CB2133">
        <w:rPr>
          <w:b/>
          <w:i/>
          <w:szCs w:val="24"/>
          <w:lang w:eastAsia="en-US"/>
        </w:rPr>
        <w:t>2</w:t>
      </w:r>
      <w:r w:rsidRPr="00CB2133">
        <w:rPr>
          <w:szCs w:val="24"/>
          <w:lang w:eastAsia="en-US"/>
        </w:rPr>
        <w:t xml:space="preserve"> kuud pärast teiselt liikmesriigilt lõike 1 kohase teate saamist.</w:t>
      </w:r>
      <w:r w:rsidR="00F21202" w:rsidRPr="00CB2133">
        <w:rPr>
          <w:b/>
          <w:szCs w:val="24"/>
          <w:lang w:eastAsia="en-US"/>
        </w:rPr>
        <w:t xml:space="preserve"> [ME 71]</w:t>
      </w:r>
    </w:p>
    <w:p w14:paraId="5C8E378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Komisjoni teavitatakse igasugusest lõikes 2 osutatud koostööst ja kutsutakse teda selles abi osutama. Vajaduse korral kaalub komisjon vajadust võtta liidu tasandil täiendavaid meetmeid veekogudele avalduva piiriülese mõju vähendamiseks, võttes seejuures arvesse artikli 13 kohaselt koostatud aruandeid.“</w:t>
      </w:r>
    </w:p>
    <w:p w14:paraId="56F60FE9"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9a)</w:t>
      </w:r>
      <w:r w:rsidRPr="00CB2133">
        <w:rPr>
          <w:szCs w:val="24"/>
          <w:lang w:eastAsia="en-US"/>
        </w:rPr>
        <w:tab/>
      </w:r>
      <w:r w:rsidRPr="00CB2133">
        <w:rPr>
          <w:b/>
          <w:i/>
          <w:szCs w:val="24"/>
          <w:lang w:eastAsia="en-US"/>
        </w:rPr>
        <w:t>Artiklisse 13 lisatakse järgmine lõige:</w:t>
      </w:r>
    </w:p>
    <w:p w14:paraId="38CD48DE" w14:textId="00F3C7D4" w:rsidR="00C45ED4" w:rsidRPr="00CB2133" w:rsidRDefault="00C45ED4" w:rsidP="00C45ED4">
      <w:pPr>
        <w:spacing w:before="120" w:after="120" w:line="360" w:lineRule="auto"/>
        <w:ind w:left="1416" w:hanging="566"/>
        <w:rPr>
          <w:b/>
          <w:szCs w:val="24"/>
          <w:lang w:eastAsia="en-US"/>
        </w:rPr>
      </w:pPr>
      <w:r w:rsidRPr="00CB2133">
        <w:rPr>
          <w:szCs w:val="24"/>
          <w:lang w:eastAsia="en-US"/>
        </w:rPr>
        <w:t>„</w:t>
      </w:r>
      <w:r w:rsidRPr="00CB2133">
        <w:rPr>
          <w:b/>
          <w:i/>
          <w:szCs w:val="24"/>
          <w:lang w:eastAsia="en-US"/>
        </w:rPr>
        <w:t>1.</w:t>
      </w:r>
      <w:r w:rsidRPr="00CB2133">
        <w:rPr>
          <w:szCs w:val="24"/>
          <w:lang w:eastAsia="en-US"/>
        </w:rPr>
        <w:tab/>
      </w:r>
      <w:r w:rsidRPr="00CB2133">
        <w:rPr>
          <w:b/>
          <w:i/>
          <w:szCs w:val="24"/>
          <w:lang w:eastAsia="en-US"/>
        </w:rPr>
        <w:t>Komisjon lükkab tagasi liikmesriikide esitatud vesikonna majandamiskavad, kui need kavad ei sisalda VII lisas loetletud elemente.</w:t>
      </w:r>
      <w:r w:rsidRPr="00CB2133">
        <w:rPr>
          <w:szCs w:val="24"/>
          <w:lang w:eastAsia="en-US"/>
        </w:rPr>
        <w:t>“</w:t>
      </w:r>
      <w:r w:rsidR="00F21202" w:rsidRPr="00CB2133">
        <w:rPr>
          <w:b/>
          <w:szCs w:val="24"/>
          <w:lang w:eastAsia="en-US"/>
        </w:rPr>
        <w:t xml:space="preserve"> [ME 72]</w:t>
      </w:r>
    </w:p>
    <w:p w14:paraId="02F2D8D0" w14:textId="77777777" w:rsidR="00D71270" w:rsidRPr="00CB2133" w:rsidRDefault="00D71270">
      <w:pPr>
        <w:widowControl/>
        <w:rPr>
          <w:b/>
          <w:i/>
          <w:szCs w:val="24"/>
          <w:lang w:eastAsia="en-US"/>
        </w:rPr>
      </w:pPr>
      <w:r w:rsidRPr="00CB2133">
        <w:rPr>
          <w:b/>
          <w:i/>
          <w:szCs w:val="24"/>
          <w:lang w:eastAsia="en-US"/>
        </w:rPr>
        <w:br w:type="page"/>
      </w:r>
    </w:p>
    <w:p w14:paraId="367143B7" w14:textId="6580380B"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9b)</w:t>
      </w:r>
      <w:r w:rsidRPr="00CB2133">
        <w:rPr>
          <w:szCs w:val="24"/>
          <w:lang w:eastAsia="en-US"/>
        </w:rPr>
        <w:tab/>
      </w:r>
      <w:r w:rsidRPr="00CB2133">
        <w:rPr>
          <w:b/>
          <w:i/>
          <w:szCs w:val="24"/>
          <w:lang w:eastAsia="en-US"/>
        </w:rPr>
        <w:t>Lisatakse järgmine artikkel:</w:t>
      </w:r>
    </w:p>
    <w:p w14:paraId="323F9FDE"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14a</w:t>
      </w:r>
      <w:r w:rsidRPr="00CB2133">
        <w:rPr>
          <w:szCs w:val="24"/>
          <w:lang w:eastAsia="en-US"/>
        </w:rPr>
        <w:br/>
      </w:r>
      <w:r w:rsidRPr="00CB2133">
        <w:rPr>
          <w:b/>
          <w:i/>
          <w:szCs w:val="24"/>
          <w:lang w:eastAsia="en-US"/>
        </w:rPr>
        <w:t>Õiguskaitse kättesaadavus</w:t>
      </w:r>
    </w:p>
    <w:p w14:paraId="4DE4E010"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1.</w:t>
      </w:r>
      <w:r w:rsidRPr="00CB2133">
        <w:rPr>
          <w:szCs w:val="24"/>
          <w:lang w:eastAsia="en-US"/>
        </w:rPr>
        <w:tab/>
      </w:r>
      <w:r w:rsidRPr="00CB2133">
        <w:rPr>
          <w:b/>
          <w:i/>
          <w:szCs w:val="24"/>
          <w:lang w:eastAsia="en-US"/>
        </w:rPr>
        <w:t>Liikmesriigid tagavad, et kooskõlas siseriikliku õigusega oleks üldsuse esindajatel, kellel on küllaldane huvi või kes väidavad, et nende õigust on kahjustatud, juurdepääs kaebuste lahendamisele kohtus või mõnes muus sõltumatus ja erapooletus organis, mis on seaduslikult asutatud, et vaidlustada kõikide käesoleva direktiivi kohaste otsuste, seaduste ja tegevusetuse, sealhulgas selliste elementide sisulist või protseduurilist seaduslikkust, nagu:</w:t>
      </w:r>
    </w:p>
    <w:p w14:paraId="6074AC8A" w14:textId="77777777" w:rsidR="00C45ED4" w:rsidRPr="00CB2133" w:rsidRDefault="00C45ED4" w:rsidP="00C45ED4">
      <w:pPr>
        <w:spacing w:before="120" w:after="120" w:line="360" w:lineRule="auto"/>
        <w:ind w:left="1982" w:hanging="566"/>
        <w:rPr>
          <w:szCs w:val="24"/>
          <w:lang w:eastAsia="en-US"/>
        </w:rPr>
      </w:pPr>
      <w:r w:rsidRPr="00CB2133">
        <w:rPr>
          <w:b/>
          <w:i/>
          <w:szCs w:val="24"/>
          <w:lang w:eastAsia="en-US"/>
        </w:rPr>
        <w:t>a)</w:t>
      </w:r>
      <w:r w:rsidRPr="00CB2133">
        <w:rPr>
          <w:szCs w:val="24"/>
          <w:lang w:eastAsia="en-US"/>
        </w:rPr>
        <w:tab/>
      </w:r>
      <w:r w:rsidRPr="00CB2133">
        <w:rPr>
          <w:b/>
          <w:i/>
          <w:szCs w:val="24"/>
          <w:lang w:eastAsia="en-US"/>
        </w:rPr>
        <w:t>kavad ja projektid, mis võivad olla vastuolus artikli 4 nõuetega, sealhulgas selleks, et vältida veekogude seisundi halvenemist ja saavutada vee hea seisund, hea ökoloogiline potentsiaal ja/või vee hea keemiline seisund, kui neid nõudeid ei ole juba sätestatud direktiivi 2011/92/EL artiklis 11;</w:t>
      </w:r>
    </w:p>
    <w:p w14:paraId="4016627B" w14:textId="77777777" w:rsidR="00D71270" w:rsidRPr="00CB2133" w:rsidRDefault="00D71270">
      <w:pPr>
        <w:widowControl/>
        <w:rPr>
          <w:b/>
          <w:i/>
          <w:szCs w:val="24"/>
          <w:lang w:eastAsia="en-US"/>
        </w:rPr>
      </w:pPr>
      <w:r w:rsidRPr="00CB2133">
        <w:rPr>
          <w:b/>
          <w:i/>
          <w:szCs w:val="24"/>
          <w:lang w:eastAsia="en-US"/>
        </w:rPr>
        <w:br w:type="page"/>
      </w:r>
    </w:p>
    <w:p w14:paraId="770C0518" w14:textId="39745CBC" w:rsidR="00C45ED4" w:rsidRPr="00CB2133" w:rsidRDefault="00C45ED4" w:rsidP="00C45ED4">
      <w:pPr>
        <w:spacing w:before="120" w:after="120" w:line="360" w:lineRule="auto"/>
        <w:ind w:left="1982" w:hanging="566"/>
        <w:rPr>
          <w:szCs w:val="24"/>
          <w:lang w:eastAsia="en-US"/>
        </w:rPr>
      </w:pPr>
      <w:r w:rsidRPr="00CB2133">
        <w:rPr>
          <w:b/>
          <w:i/>
          <w:szCs w:val="24"/>
          <w:lang w:eastAsia="en-US"/>
        </w:rPr>
        <w:lastRenderedPageBreak/>
        <w:t>b)</w:t>
      </w:r>
      <w:r w:rsidRPr="00CB2133">
        <w:rPr>
          <w:szCs w:val="24"/>
          <w:lang w:eastAsia="en-US"/>
        </w:rPr>
        <w:tab/>
      </w:r>
      <w:r w:rsidRPr="00CB2133">
        <w:rPr>
          <w:b/>
          <w:i/>
          <w:szCs w:val="24"/>
          <w:lang w:eastAsia="en-US"/>
        </w:rPr>
        <w:t>artiklis 11 osutatud meetmeprogrammid, artikli 13 lõikes 1 osutatud liikmesriikide vesikonna majandamiskavad ja artikli 13 lõikes 5 osutatud liikmesriikide täiendavad programmid või majandamiskavad.</w:t>
      </w:r>
    </w:p>
    <w:p w14:paraId="232C5731"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2.</w:t>
      </w:r>
      <w:r w:rsidRPr="00CB2133">
        <w:rPr>
          <w:szCs w:val="24"/>
          <w:lang w:eastAsia="en-US"/>
        </w:rPr>
        <w:tab/>
      </w:r>
      <w:r w:rsidRPr="00CB2133">
        <w:rPr>
          <w:b/>
          <w:i/>
          <w:szCs w:val="24"/>
          <w:lang w:eastAsia="en-US"/>
        </w:rPr>
        <w:t>Kooskõlas eesmärgiga tagada üldsusele laialdane õiguskaitse kättesaadavus, määravad liikmesriigid kindlaks, mida käsitatakse küllaldase huvi ja õiguste kahjustamisena. Lõike 1 kohaldamisel loetakse, et igal valitsusvälisel organisatsioonil, mis edendab keskkonnakaitset ja vastab kõigile siseriikliku õiguse nõuetele, on õigused, mida on võimalik kahjustada, ning tema huvi on küllaldane.</w:t>
      </w:r>
    </w:p>
    <w:p w14:paraId="7719B4CF"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3.</w:t>
      </w:r>
      <w:r w:rsidRPr="00CB2133">
        <w:rPr>
          <w:szCs w:val="24"/>
          <w:lang w:eastAsia="en-US"/>
        </w:rPr>
        <w:tab/>
      </w:r>
      <w:r w:rsidRPr="00CB2133">
        <w:rPr>
          <w:b/>
          <w:i/>
          <w:szCs w:val="24"/>
          <w:lang w:eastAsia="en-US"/>
        </w:rPr>
        <w:t>Lõikes 1 osutatud läbivaatamismenetlused peavad olema erapooletud, õiglased, õigeaegselt lõpule viidud ja mitte üle jõu käivalt kulukad. Need menetlused hõlmavad ka piisava ja tõhusa õiguskaitse tagamist, sealhulgas vajaduse korral esialgset õiguskaitset.</w:t>
      </w:r>
    </w:p>
    <w:p w14:paraId="0CCB0682" w14:textId="77777777" w:rsidR="00D71270" w:rsidRPr="00CB2133" w:rsidRDefault="00D71270">
      <w:pPr>
        <w:widowControl/>
        <w:rPr>
          <w:b/>
          <w:i/>
          <w:szCs w:val="24"/>
          <w:lang w:eastAsia="en-US"/>
        </w:rPr>
      </w:pPr>
      <w:r w:rsidRPr="00CB2133">
        <w:rPr>
          <w:b/>
          <w:i/>
          <w:szCs w:val="24"/>
          <w:lang w:eastAsia="en-US"/>
        </w:rPr>
        <w:br w:type="page"/>
      </w:r>
    </w:p>
    <w:p w14:paraId="303A6A60" w14:textId="5F43466D" w:rsidR="00C45ED4" w:rsidRPr="00CB2133" w:rsidRDefault="00C45ED4" w:rsidP="00C45ED4">
      <w:pPr>
        <w:spacing w:before="120" w:after="120" w:line="360" w:lineRule="auto"/>
        <w:ind w:left="1416" w:hanging="566"/>
        <w:rPr>
          <w:b/>
          <w:szCs w:val="24"/>
          <w:lang w:eastAsia="en-US"/>
        </w:rPr>
      </w:pPr>
      <w:r w:rsidRPr="00CB2133">
        <w:rPr>
          <w:b/>
          <w:i/>
          <w:szCs w:val="24"/>
          <w:lang w:eastAsia="en-US"/>
        </w:rPr>
        <w:lastRenderedPageBreak/>
        <w:t>4.</w:t>
      </w:r>
      <w:r w:rsidRPr="00CB2133">
        <w:rPr>
          <w:szCs w:val="24"/>
          <w:lang w:eastAsia="en-US"/>
        </w:rPr>
        <w:tab/>
      </w:r>
      <w:r w:rsidRPr="00CB2133">
        <w:rPr>
          <w:b/>
          <w:i/>
          <w:szCs w:val="24"/>
          <w:lang w:eastAsia="en-US"/>
        </w:rPr>
        <w:t>Liikmesriigid tagavad, et üldsusele tehakse kättesaadavaks praktiline teave võimaluste kohta kasutada käesolevas artiklis viidatud haldusliku ja kohtuliku läbivaatamise menetlusi.“</w:t>
      </w:r>
      <w:r w:rsidR="00F21202" w:rsidRPr="00CB2133">
        <w:rPr>
          <w:b/>
          <w:szCs w:val="24"/>
          <w:lang w:eastAsia="en-US"/>
        </w:rPr>
        <w:t xml:space="preserve"> [ME 73]</w:t>
      </w:r>
    </w:p>
    <w:p w14:paraId="4C0FC468" w14:textId="04686407" w:rsidR="00C45ED4" w:rsidRPr="00CB2133" w:rsidRDefault="00C45ED4" w:rsidP="00C45ED4">
      <w:pPr>
        <w:spacing w:before="120" w:after="120" w:line="360" w:lineRule="auto"/>
        <w:ind w:left="850" w:hanging="850"/>
        <w:rPr>
          <w:b/>
          <w:szCs w:val="24"/>
          <w:lang w:eastAsia="en-US"/>
        </w:rPr>
      </w:pPr>
      <w:r w:rsidRPr="00CB2133">
        <w:rPr>
          <w:strike/>
          <w:szCs w:val="24"/>
          <w:lang w:eastAsia="en-US"/>
        </w:rPr>
        <w:t>10)</w:t>
      </w:r>
      <w:r w:rsidRPr="00CB2133">
        <w:rPr>
          <w:szCs w:val="24"/>
          <w:lang w:eastAsia="en-US"/>
        </w:rPr>
        <w:tab/>
      </w:r>
      <w:r w:rsidRPr="00CB2133">
        <w:rPr>
          <w:strike/>
          <w:szCs w:val="24"/>
          <w:lang w:eastAsia="en-US"/>
        </w:rPr>
        <w:t>Artikli 15 lõige 3 jäetakse välja.</w:t>
      </w:r>
      <w:r w:rsidR="00F21202" w:rsidRPr="00CB2133">
        <w:rPr>
          <w:b/>
          <w:szCs w:val="24"/>
          <w:lang w:eastAsia="en-US"/>
        </w:rPr>
        <w:t xml:space="preserve"> [ME 74]</w:t>
      </w:r>
    </w:p>
    <w:p w14:paraId="13EEBA54"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10a)</w:t>
      </w:r>
      <w:r w:rsidRPr="00CB2133">
        <w:rPr>
          <w:szCs w:val="24"/>
          <w:lang w:eastAsia="en-US"/>
        </w:rPr>
        <w:tab/>
      </w:r>
      <w:r w:rsidRPr="00CB2133">
        <w:rPr>
          <w:b/>
          <w:i/>
          <w:szCs w:val="24"/>
          <w:lang w:eastAsia="en-US"/>
        </w:rPr>
        <w:t>Artikli 15 lõikele 3 lisatakse järgmine lõik:</w:t>
      </w:r>
    </w:p>
    <w:p w14:paraId="486ED53F" w14:textId="6BB032AA" w:rsidR="00C45ED4" w:rsidRPr="00CB2133" w:rsidRDefault="00C45ED4" w:rsidP="00C45ED4">
      <w:pPr>
        <w:spacing w:before="120" w:after="120" w:line="360" w:lineRule="auto"/>
        <w:ind w:left="850"/>
        <w:rPr>
          <w:b/>
          <w:szCs w:val="24"/>
          <w:lang w:eastAsia="en-US"/>
        </w:rPr>
      </w:pPr>
      <w:r w:rsidRPr="00CB2133">
        <w:rPr>
          <w:szCs w:val="24"/>
          <w:lang w:eastAsia="en-US"/>
        </w:rPr>
        <w:t>„</w:t>
      </w:r>
      <w:r w:rsidRPr="00CB2133">
        <w:rPr>
          <w:b/>
          <w:i/>
          <w:szCs w:val="24"/>
          <w:lang w:eastAsia="en-US"/>
        </w:rPr>
        <w:t>Komisjon võtab esimeses lõigus osutatud vahearuannete sisu, struktuuri ja vormi käsitlevad suunised ja vormid vastu hiljemalt ... [kuus kuud pärast käesoleva direktiivi jõustumist].</w:t>
      </w:r>
      <w:r w:rsidRPr="00CB2133">
        <w:rPr>
          <w:szCs w:val="24"/>
          <w:lang w:eastAsia="en-US"/>
        </w:rPr>
        <w:t>“</w:t>
      </w:r>
      <w:r w:rsidR="00F21202" w:rsidRPr="00CB2133">
        <w:rPr>
          <w:b/>
          <w:szCs w:val="24"/>
          <w:lang w:eastAsia="en-US"/>
        </w:rPr>
        <w:t xml:space="preserve"> [ME 75]</w:t>
      </w:r>
    </w:p>
    <w:p w14:paraId="5EF7BC95"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11)</w:t>
      </w:r>
      <w:r w:rsidRPr="00CB2133">
        <w:rPr>
          <w:szCs w:val="24"/>
          <w:lang w:eastAsia="en-US"/>
        </w:rPr>
        <w:tab/>
        <w:t>Artiklid 16 ja 17 jäetakse välja.</w:t>
      </w:r>
    </w:p>
    <w:p w14:paraId="610A932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12)</w:t>
      </w:r>
      <w:r w:rsidRPr="00CB2133">
        <w:rPr>
          <w:szCs w:val="24"/>
          <w:lang w:eastAsia="en-US"/>
        </w:rPr>
        <w:tab/>
        <w:t>Artiklit 18 muudetakse järgmiselt:</w:t>
      </w:r>
    </w:p>
    <w:p w14:paraId="6DBBC54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lõike 2 punkt e asendatakse järgmisega:</w:t>
      </w:r>
    </w:p>
    <w:p w14:paraId="578D63DB"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„e)</w:t>
      </w:r>
      <w:r w:rsidRPr="00CB2133">
        <w:rPr>
          <w:szCs w:val="24"/>
          <w:lang w:eastAsia="en-US"/>
        </w:rPr>
        <w:tab/>
        <w:t>kokkuvõte kõikidest ettepanekutest, meetmetest ja strateegiatest keemilise reostuse vähendamiseks ja ohtlike ainete korraga või järk-järgult kasutuselt kõrvaldamiseks;“</w:t>
      </w:r>
    </w:p>
    <w:p w14:paraId="663CA1A5" w14:textId="2E90EDAF" w:rsidR="00C45ED4" w:rsidRPr="00CB2133" w:rsidRDefault="00C45ED4" w:rsidP="00C45ED4">
      <w:pPr>
        <w:spacing w:before="120" w:after="120" w:line="360" w:lineRule="auto"/>
        <w:ind w:left="1416" w:hanging="566"/>
        <w:rPr>
          <w:b/>
          <w:szCs w:val="24"/>
          <w:lang w:eastAsia="en-US"/>
        </w:rPr>
      </w:pPr>
      <w:r w:rsidRPr="00CB2133">
        <w:rPr>
          <w:strike/>
          <w:szCs w:val="24"/>
          <w:lang w:eastAsia="en-US"/>
        </w:rPr>
        <w:t>b)</w:t>
      </w:r>
      <w:r w:rsidRPr="00CB2133">
        <w:rPr>
          <w:szCs w:val="24"/>
          <w:lang w:eastAsia="en-US"/>
        </w:rPr>
        <w:tab/>
      </w:r>
      <w:r w:rsidRPr="00CB2133">
        <w:rPr>
          <w:strike/>
          <w:szCs w:val="24"/>
          <w:lang w:eastAsia="en-US"/>
        </w:rPr>
        <w:t>lõige 4 jäetakse välja.</w:t>
      </w:r>
      <w:r w:rsidR="00F21202" w:rsidRPr="00CB2133">
        <w:rPr>
          <w:b/>
          <w:szCs w:val="24"/>
          <w:lang w:eastAsia="en-US"/>
        </w:rPr>
        <w:t xml:space="preserve"> [ME 76]</w:t>
      </w:r>
    </w:p>
    <w:p w14:paraId="23A7EC67" w14:textId="77777777" w:rsidR="00D71270" w:rsidRPr="00CB2133" w:rsidRDefault="00D71270">
      <w:pPr>
        <w:widowControl/>
        <w:rPr>
          <w:szCs w:val="24"/>
          <w:lang w:eastAsia="en-US"/>
        </w:rPr>
      </w:pPr>
      <w:r w:rsidRPr="00CB2133">
        <w:rPr>
          <w:szCs w:val="24"/>
          <w:lang w:eastAsia="en-US"/>
        </w:rPr>
        <w:br w:type="page"/>
      </w:r>
    </w:p>
    <w:p w14:paraId="3F123605" w14:textId="63C55056"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13)</w:t>
      </w:r>
      <w:r w:rsidRPr="00CB2133">
        <w:rPr>
          <w:szCs w:val="24"/>
          <w:lang w:eastAsia="en-US"/>
        </w:rPr>
        <w:tab/>
        <w:t>Artikkel 20 asendatakse järgmisega:</w:t>
      </w:r>
    </w:p>
    <w:p w14:paraId="38AF3A0E"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20</w:t>
      </w:r>
    </w:p>
    <w:p w14:paraId="3552F591" w14:textId="77777777" w:rsidR="00C45ED4" w:rsidRPr="00CB2133" w:rsidRDefault="00C45ED4" w:rsidP="00C45ED4">
      <w:pPr>
        <w:spacing w:before="120" w:after="120" w:line="360" w:lineRule="auto"/>
        <w:ind w:left="850"/>
        <w:rPr>
          <w:szCs w:val="24"/>
          <w:lang w:eastAsia="en-US"/>
        </w:rPr>
      </w:pPr>
      <w:r w:rsidRPr="00CB2133">
        <w:rPr>
          <w:szCs w:val="24"/>
          <w:lang w:eastAsia="en-US"/>
        </w:rPr>
        <w:t>Käesoleva direktiivi tehniline kohandamine ja rakendamine</w:t>
      </w:r>
    </w:p>
    <w:p w14:paraId="4AA38448"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Komisjonil on õigus võtta kooskõlas artikliga 20a vastu delegeeritud õigusakte I ja III lisa ning V lisa punkti 1.3.6 muutmiseks, et kohandada vastavalt pädevate asutustega seotud teabenõudeid, majandusanalüüsi sisu ja valitud seirestandardeid teaduse ja tehnika arenguga.</w:t>
      </w:r>
    </w:p>
    <w:p w14:paraId="7E16985E"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Komisjonil on õigus võtta kooskõlas artikliga 20a vastu delegeeritud õigusakte käesoleva direktiivi täiendamiseks, et määrata vastavalt V lisa punktis 1.4.1 kirjeldatud interkalibreerimise korrale kindlaks liikmesriikide seiresüsteemides kasutatava liigituse jaoks kehtestatud väärtused.</w:t>
      </w:r>
    </w:p>
    <w:p w14:paraId="43E042A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Komisjonil on õigus võtta vastu rakendusakte artikli 8 lõikes 4 osutatud andmete edastamiseks kasutatavate tehniliste vormingute kehtestamiseks. Kõnealused rakendusaktid võetakse vastu artikli 21 lõikes 2 osutatud kontrollimenetluse teel. Nimetatud vormingute kehtestamisel abistab komisjoni vajaduse korral Euroopa Keskkonnaamet.“</w:t>
      </w:r>
    </w:p>
    <w:p w14:paraId="31A0F9A9" w14:textId="77777777" w:rsidR="00D71270" w:rsidRPr="00CB2133" w:rsidRDefault="00D71270">
      <w:pPr>
        <w:widowControl/>
        <w:rPr>
          <w:szCs w:val="24"/>
          <w:lang w:eastAsia="en-US"/>
        </w:rPr>
      </w:pPr>
      <w:r w:rsidRPr="00CB2133">
        <w:rPr>
          <w:szCs w:val="24"/>
          <w:lang w:eastAsia="en-US"/>
        </w:rPr>
        <w:br w:type="page"/>
      </w:r>
    </w:p>
    <w:p w14:paraId="0D6A389F" w14:textId="7C24FA3D"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14)</w:t>
      </w:r>
      <w:r w:rsidRPr="00CB2133">
        <w:rPr>
          <w:szCs w:val="24"/>
          <w:lang w:eastAsia="en-US"/>
        </w:rPr>
        <w:tab/>
        <w:t>Lisatakse artikkel 20a:</w:t>
      </w:r>
    </w:p>
    <w:p w14:paraId="3F0ADC77"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20a</w:t>
      </w:r>
    </w:p>
    <w:p w14:paraId="1EB89D9F" w14:textId="77777777" w:rsidR="00C45ED4" w:rsidRPr="00CB2133" w:rsidRDefault="00C45ED4" w:rsidP="00C45ED4">
      <w:pPr>
        <w:spacing w:before="120" w:after="120" w:line="360" w:lineRule="auto"/>
        <w:ind w:left="850"/>
        <w:rPr>
          <w:szCs w:val="24"/>
          <w:lang w:eastAsia="en-US"/>
        </w:rPr>
      </w:pPr>
      <w:r w:rsidRPr="00CB2133">
        <w:rPr>
          <w:szCs w:val="24"/>
          <w:lang w:eastAsia="en-US"/>
        </w:rPr>
        <w:t>Delegeeritud volituste rakendamine</w:t>
      </w:r>
    </w:p>
    <w:p w14:paraId="2B838ED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Komisjonile antakse õigus võtta vastu delegeeritud õigusakte käesolevas artiklis sätestatud tingimustel.</w:t>
      </w:r>
    </w:p>
    <w:p w14:paraId="710AA849" w14:textId="40EE3010"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Artikli 20 lõikes 1 osutatud õigus võtta vastu delegeeritud õigusakte antakse komisjonile määramata ajaks alates</w:t>
      </w:r>
      <w:r w:rsidR="00D71270" w:rsidRPr="00CB2133">
        <w:rPr>
          <w:szCs w:val="24"/>
          <w:lang w:eastAsia="en-US"/>
        </w:rPr>
        <w:t xml:space="preserve"> ...</w:t>
      </w:r>
      <w:r w:rsidRPr="00CB2133">
        <w:rPr>
          <w:szCs w:val="24"/>
          <w:lang w:eastAsia="en-US"/>
        </w:rPr>
        <w:t xml:space="preserve"> [väljaannete talitus: palun sisestada käesoleva direktiivi jõustumise kuupäev].</w:t>
      </w:r>
    </w:p>
    <w:p w14:paraId="40E6F9D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 xml:space="preserve">Euroopa Parlament ja nõukogu võivad artikli 20 lõikes 1 osutatud volituste delegeerimise igal ajal tagasi võtta. Tagasivõtmise otsusega lõpetatakse otsuses nimetatud volituste delegeerimine. Otsus jõustub järgmisel päeval pärast selle avaldamist </w:t>
      </w:r>
      <w:r w:rsidRPr="00CB2133">
        <w:rPr>
          <w:i/>
          <w:szCs w:val="24"/>
          <w:lang w:eastAsia="en-US"/>
        </w:rPr>
        <w:t>Euroopa Liidu Teatajas</w:t>
      </w:r>
      <w:r w:rsidRPr="00CB2133">
        <w:rPr>
          <w:szCs w:val="24"/>
          <w:lang w:eastAsia="en-US"/>
        </w:rPr>
        <w:t xml:space="preserve"> või otsuses nimetatud hilisemal kuupäeval. See ei mõjuta juba jõustunud delegeeritud õigusaktide kehtivust.</w:t>
      </w:r>
    </w:p>
    <w:p w14:paraId="56FEF107" w14:textId="77777777" w:rsidR="00D71270" w:rsidRPr="00CB2133" w:rsidRDefault="00D71270">
      <w:pPr>
        <w:widowControl/>
        <w:rPr>
          <w:szCs w:val="24"/>
          <w:lang w:eastAsia="en-US"/>
        </w:rPr>
      </w:pPr>
      <w:r w:rsidRPr="00CB2133">
        <w:rPr>
          <w:szCs w:val="24"/>
          <w:lang w:eastAsia="en-US"/>
        </w:rPr>
        <w:br w:type="page"/>
      </w:r>
    </w:p>
    <w:p w14:paraId="780BC116" w14:textId="0CB6AC5C"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4.</w:t>
      </w:r>
      <w:r w:rsidRPr="00CB2133">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14:paraId="75FB5F3A"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5.</w:t>
      </w:r>
      <w:r w:rsidRPr="00CB2133">
        <w:rPr>
          <w:szCs w:val="24"/>
          <w:lang w:eastAsia="en-US"/>
        </w:rPr>
        <w:tab/>
        <w:t>Niipea kui komisjon on delegeeritud õigusakti vastu võtnud, teavitab ta sellest üheaegselt Euroopa Parlamenti ja nõukogu.</w:t>
      </w:r>
    </w:p>
    <w:p w14:paraId="47812630"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6.</w:t>
      </w:r>
      <w:r w:rsidRPr="00CB2133">
        <w:rPr>
          <w:szCs w:val="24"/>
          <w:lang w:eastAsia="en-US"/>
        </w:rPr>
        <w:tab/>
        <w:t>Artikli 20 lõike 1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p w14:paraId="588058F0" w14:textId="77777777" w:rsidR="00D71270" w:rsidRPr="00CB2133" w:rsidRDefault="00D71270">
      <w:pPr>
        <w:widowControl/>
        <w:rPr>
          <w:szCs w:val="24"/>
          <w:lang w:eastAsia="en-US"/>
        </w:rPr>
      </w:pPr>
      <w:r w:rsidRPr="00CB2133">
        <w:rPr>
          <w:szCs w:val="24"/>
          <w:lang w:eastAsia="en-US"/>
        </w:rPr>
        <w:br w:type="page"/>
      </w:r>
    </w:p>
    <w:p w14:paraId="40A2CB7D" w14:textId="0D718ECF"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15)</w:t>
      </w:r>
      <w:r w:rsidRPr="00CB2133">
        <w:rPr>
          <w:szCs w:val="24"/>
          <w:lang w:eastAsia="en-US"/>
        </w:rPr>
        <w:tab/>
        <w:t>Artikkel 21 asendatakse järgmisega:</w:t>
      </w:r>
    </w:p>
    <w:p w14:paraId="40656243"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21</w:t>
      </w:r>
    </w:p>
    <w:p w14:paraId="0C7774BE" w14:textId="77777777" w:rsidR="00C45ED4" w:rsidRPr="00CB2133" w:rsidRDefault="00C45ED4" w:rsidP="00C45ED4">
      <w:pPr>
        <w:spacing w:before="120" w:after="120" w:line="360" w:lineRule="auto"/>
        <w:ind w:left="850"/>
        <w:rPr>
          <w:szCs w:val="24"/>
          <w:lang w:eastAsia="en-US"/>
        </w:rPr>
      </w:pPr>
      <w:r w:rsidRPr="00CB2133">
        <w:rPr>
          <w:szCs w:val="24"/>
          <w:lang w:eastAsia="en-US"/>
        </w:rPr>
        <w:t>Komiteemenetlus</w:t>
      </w:r>
    </w:p>
    <w:p w14:paraId="5DC64CA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 abistab komitee. Nimetatud komitee on komitee Euroopa Parlamendi ja nõukogu määruse (EL) nr 182/2011* tähenduses.</w:t>
      </w:r>
    </w:p>
    <w:p w14:paraId="1B7876C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Käesolevale lõikele viitamisel kohaldatakse määruse (EL) nr 182/2011 artiklit 5.</w:t>
      </w:r>
    </w:p>
    <w:p w14:paraId="777128F2" w14:textId="77777777" w:rsidR="00C45ED4" w:rsidRPr="00CB2133" w:rsidRDefault="00C45ED4" w:rsidP="00C45ED4">
      <w:pPr>
        <w:spacing w:before="120" w:after="120" w:line="360" w:lineRule="auto"/>
        <w:ind w:left="1416"/>
        <w:rPr>
          <w:szCs w:val="24"/>
          <w:lang w:eastAsia="en-US"/>
        </w:rPr>
      </w:pPr>
      <w:r w:rsidRPr="00CB2133">
        <w:rPr>
          <w:szCs w:val="24"/>
          <w:lang w:eastAsia="en-US"/>
        </w:rPr>
        <w:t>Kui komitee arvamust ei esita, ei võta komisjon rakendusakti eelnõu vastu ja kohaldatakse määruse (EL) nr 182/2011 artikli 5 lõike 4 kolmandat lõiku.</w:t>
      </w:r>
    </w:p>
    <w:p w14:paraId="4B3CD3C2"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p w14:paraId="2469B6BB" w14:textId="77777777" w:rsidR="00D71270" w:rsidRPr="00CB2133" w:rsidRDefault="00D71270">
      <w:pPr>
        <w:widowControl/>
        <w:rPr>
          <w:szCs w:val="24"/>
          <w:lang w:eastAsia="en-US"/>
        </w:rPr>
      </w:pPr>
      <w:r w:rsidRPr="00CB2133">
        <w:rPr>
          <w:szCs w:val="24"/>
          <w:lang w:eastAsia="en-US"/>
        </w:rPr>
        <w:br w:type="page"/>
      </w:r>
    </w:p>
    <w:p w14:paraId="77949F73" w14:textId="4EE0E2CD"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16)</w:t>
      </w:r>
      <w:r w:rsidRPr="00CB2133">
        <w:rPr>
          <w:szCs w:val="24"/>
          <w:lang w:eastAsia="en-US"/>
        </w:rPr>
        <w:tab/>
        <w:t>Artikli 22 lõige 4 asendatakse järgmisega:</w:t>
      </w:r>
    </w:p>
    <w:p w14:paraId="1BB60726"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„4.</w:t>
      </w:r>
      <w:r w:rsidRPr="00CB2133">
        <w:rPr>
          <w:szCs w:val="24"/>
          <w:lang w:eastAsia="en-US"/>
        </w:rPr>
        <w:tab/>
        <w:t>Artiklis 4 sätestatud keskkonnaeesmärke, direktiivi 2008/105/EÜ I lisa A osas esitatud keskkonnakvaliteedi standardeid ning nimetatud direktiivi artiklite 8 ja 8d kohaselt vesikonnaspetsiifiliste saasteainete jaoks kehtestatud läviväärtusi käsitatakse direktiivi 2010/75/EL kohaldamisel keskkonnakvaliteedi standarditena.“</w:t>
      </w:r>
    </w:p>
    <w:p w14:paraId="313D06C3"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17)</w:t>
      </w:r>
      <w:r w:rsidRPr="00CB2133">
        <w:rPr>
          <w:szCs w:val="24"/>
          <w:lang w:eastAsia="en-US"/>
        </w:rPr>
        <w:tab/>
        <w:t>V lisa muudetakse vastavalt käesoleva direktiivi I lisale.</w:t>
      </w:r>
    </w:p>
    <w:p w14:paraId="0D392509"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18)</w:t>
      </w:r>
      <w:r w:rsidRPr="00CB2133">
        <w:rPr>
          <w:szCs w:val="24"/>
          <w:lang w:eastAsia="en-US"/>
        </w:rPr>
        <w:tab/>
        <w:t>VII lisa A osa punkt 7.7 asendatakse järgmisega:</w:t>
      </w:r>
    </w:p>
    <w:p w14:paraId="644E749A" w14:textId="317C60A9" w:rsidR="00C45ED4" w:rsidRPr="00CB2133" w:rsidRDefault="00C45ED4" w:rsidP="00C45ED4">
      <w:pPr>
        <w:spacing w:before="120" w:after="120" w:line="360" w:lineRule="auto"/>
        <w:ind w:left="1416" w:hanging="566"/>
        <w:rPr>
          <w:szCs w:val="24"/>
          <w:lang w:eastAsia="en-US"/>
        </w:rPr>
      </w:pPr>
      <w:r w:rsidRPr="00CB2133">
        <w:rPr>
          <w:szCs w:val="24"/>
          <w:lang w:eastAsia="en-US"/>
        </w:rPr>
        <w:t>„7.7.</w:t>
      </w:r>
      <w:r w:rsidRPr="00CB2133">
        <w:rPr>
          <w:szCs w:val="24"/>
          <w:lang w:eastAsia="en-US"/>
        </w:rPr>
        <w:tab/>
        <w:t>prioriteetsete ainete heitkoguste vähendamiseks ja prioriteetsete ohtlike ainete heite järkjärguliseks lõpetami</w:t>
      </w:r>
      <w:r w:rsidR="00EE61CD" w:rsidRPr="00CB2133">
        <w:rPr>
          <w:szCs w:val="24"/>
          <w:lang w:eastAsia="en-US"/>
        </w:rPr>
        <w:t>seks võetud meetmete kokkuvõte;</w:t>
      </w:r>
      <w:r w:rsidRPr="00CB2133">
        <w:rPr>
          <w:szCs w:val="24"/>
          <w:lang w:eastAsia="en-US"/>
        </w:rPr>
        <w:t>“</w:t>
      </w:r>
      <w:r w:rsidR="00EE61CD" w:rsidRPr="00CB2133">
        <w:rPr>
          <w:szCs w:val="24"/>
          <w:lang w:eastAsia="en-US"/>
        </w:rPr>
        <w:t>.</w:t>
      </w:r>
    </w:p>
    <w:p w14:paraId="30DC29D6"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18a)</w:t>
      </w:r>
      <w:r w:rsidRPr="00CB2133">
        <w:rPr>
          <w:szCs w:val="24"/>
          <w:lang w:eastAsia="en-US"/>
        </w:rPr>
        <w:tab/>
      </w:r>
      <w:r w:rsidRPr="00CB2133">
        <w:rPr>
          <w:b/>
          <w:i/>
          <w:szCs w:val="24"/>
          <w:lang w:eastAsia="en-US"/>
        </w:rPr>
        <w:t>VII lisa A osasse lisatakse järgmine punkt:</w:t>
      </w:r>
    </w:p>
    <w:p w14:paraId="093DD42E" w14:textId="0B94FC27" w:rsidR="00C45ED4" w:rsidRPr="00CB2133" w:rsidRDefault="00C45ED4" w:rsidP="00EE61CD">
      <w:pPr>
        <w:spacing w:before="120" w:after="120" w:line="360" w:lineRule="auto"/>
        <w:ind w:left="851" w:hanging="1"/>
        <w:rPr>
          <w:b/>
          <w:szCs w:val="24"/>
          <w:lang w:eastAsia="en-US"/>
        </w:rPr>
      </w:pPr>
      <w:r w:rsidRPr="00CB2133">
        <w:rPr>
          <w:szCs w:val="24"/>
          <w:lang w:eastAsia="en-US"/>
        </w:rPr>
        <w:t>„</w:t>
      </w:r>
      <w:r w:rsidRPr="00CB2133">
        <w:rPr>
          <w:b/>
          <w:i/>
          <w:szCs w:val="24"/>
          <w:lang w:eastAsia="en-US"/>
        </w:rPr>
        <w:t>7.7.a. kokkuvõte meetmetest, mida on võetud veesektori seireaspektide digiteerimiseks;</w:t>
      </w:r>
      <w:r w:rsidRPr="00CB2133">
        <w:rPr>
          <w:szCs w:val="24"/>
          <w:lang w:eastAsia="en-US"/>
        </w:rPr>
        <w:t>“</w:t>
      </w:r>
      <w:r w:rsidR="00EE61CD" w:rsidRPr="00CB2133">
        <w:rPr>
          <w:szCs w:val="24"/>
          <w:lang w:eastAsia="en-US"/>
        </w:rPr>
        <w:t>.</w:t>
      </w:r>
      <w:r w:rsidR="00EE61CD" w:rsidRPr="00CB2133">
        <w:rPr>
          <w:b/>
          <w:szCs w:val="24"/>
          <w:lang w:eastAsia="en-US"/>
        </w:rPr>
        <w:t xml:space="preserve"> [ME 77]</w:t>
      </w:r>
    </w:p>
    <w:p w14:paraId="2401AF98"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19)</w:t>
      </w:r>
      <w:r w:rsidRPr="00CB2133">
        <w:rPr>
          <w:szCs w:val="24"/>
          <w:lang w:eastAsia="en-US"/>
        </w:rPr>
        <w:tab/>
        <w:t>VIII lisa muudetakse vastavalt käesoleva direktiivi II lisale.</w:t>
      </w:r>
    </w:p>
    <w:p w14:paraId="6FBA2D9D" w14:textId="7BAAF5D9" w:rsidR="00C45ED4" w:rsidRPr="00CB2133" w:rsidRDefault="00C45ED4" w:rsidP="00C45ED4">
      <w:pPr>
        <w:spacing w:before="120" w:after="120" w:line="360" w:lineRule="auto"/>
        <w:ind w:left="850" w:hanging="850"/>
        <w:rPr>
          <w:b/>
          <w:szCs w:val="24"/>
          <w:lang w:eastAsia="en-US"/>
        </w:rPr>
      </w:pPr>
      <w:r w:rsidRPr="00CB2133">
        <w:rPr>
          <w:szCs w:val="24"/>
          <w:lang w:eastAsia="en-US"/>
        </w:rPr>
        <w:t>20)</w:t>
      </w:r>
      <w:r w:rsidRPr="00CB2133">
        <w:rPr>
          <w:szCs w:val="24"/>
          <w:lang w:eastAsia="en-US"/>
        </w:rPr>
        <w:tab/>
      </w:r>
      <w:r w:rsidRPr="00CB2133">
        <w:rPr>
          <w:b/>
          <w:i/>
          <w:szCs w:val="24"/>
          <w:lang w:eastAsia="en-US"/>
        </w:rPr>
        <w:t xml:space="preserve">IX ja </w:t>
      </w:r>
      <w:r w:rsidRPr="00CB2133">
        <w:rPr>
          <w:szCs w:val="24"/>
          <w:lang w:eastAsia="en-US"/>
        </w:rPr>
        <w:t>X lisa jäetakse välja.</w:t>
      </w:r>
      <w:r w:rsidR="00EE61CD" w:rsidRPr="00CB2133">
        <w:rPr>
          <w:b/>
          <w:szCs w:val="24"/>
          <w:lang w:eastAsia="en-US"/>
        </w:rPr>
        <w:t xml:space="preserve"> [ME 78]</w:t>
      </w:r>
    </w:p>
    <w:p w14:paraId="70EF667C" w14:textId="77777777" w:rsidR="00D71270" w:rsidRPr="00CB2133" w:rsidRDefault="00D71270">
      <w:pPr>
        <w:widowControl/>
        <w:rPr>
          <w:szCs w:val="24"/>
          <w:lang w:eastAsia="en-US"/>
        </w:rPr>
      </w:pPr>
      <w:r w:rsidRPr="00CB2133">
        <w:rPr>
          <w:szCs w:val="24"/>
          <w:lang w:eastAsia="en-US"/>
        </w:rPr>
        <w:br w:type="page"/>
      </w:r>
    </w:p>
    <w:p w14:paraId="5474C03E" w14:textId="0693D8C3" w:rsidR="00C45ED4" w:rsidRPr="00CB2133" w:rsidRDefault="00C45ED4" w:rsidP="00C45ED4">
      <w:pPr>
        <w:spacing w:before="120" w:after="120" w:line="360" w:lineRule="auto"/>
        <w:jc w:val="center"/>
        <w:rPr>
          <w:szCs w:val="24"/>
          <w:lang w:eastAsia="en-US"/>
        </w:rPr>
      </w:pPr>
      <w:r w:rsidRPr="00CB2133">
        <w:rPr>
          <w:szCs w:val="24"/>
          <w:lang w:eastAsia="en-US"/>
        </w:rPr>
        <w:lastRenderedPageBreak/>
        <w:t>Artikkel 2</w:t>
      </w:r>
      <w:r w:rsidRPr="00CB2133">
        <w:rPr>
          <w:szCs w:val="24"/>
          <w:lang w:eastAsia="en-US"/>
        </w:rPr>
        <w:br/>
        <w:t>Direktiivi 2006/118/EÜ muutmine</w:t>
      </w:r>
    </w:p>
    <w:p w14:paraId="1DFFED0E" w14:textId="77777777" w:rsidR="00C45ED4" w:rsidRPr="00CB2133" w:rsidRDefault="00C45ED4" w:rsidP="00C45ED4">
      <w:pPr>
        <w:spacing w:before="120" w:after="120" w:line="360" w:lineRule="auto"/>
        <w:rPr>
          <w:szCs w:val="24"/>
          <w:lang w:eastAsia="en-US"/>
        </w:rPr>
      </w:pPr>
      <w:r w:rsidRPr="00CB2133">
        <w:rPr>
          <w:szCs w:val="24"/>
          <w:lang w:eastAsia="en-US"/>
        </w:rPr>
        <w:t>Direktiivi 2006/118/EÜ muudetakse järgmiselt.</w:t>
      </w:r>
    </w:p>
    <w:p w14:paraId="7E36067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Pealkiri asendatakse järgmisega:</w:t>
      </w:r>
    </w:p>
    <w:p w14:paraId="79A27E35" w14:textId="77777777" w:rsidR="00C45ED4" w:rsidRPr="00CB2133" w:rsidRDefault="00C45ED4" w:rsidP="00C45ED4">
      <w:pPr>
        <w:spacing w:before="120" w:after="120" w:line="360" w:lineRule="auto"/>
        <w:ind w:left="850"/>
        <w:rPr>
          <w:szCs w:val="24"/>
          <w:lang w:eastAsia="en-US"/>
        </w:rPr>
      </w:pPr>
      <w:r w:rsidRPr="00CB2133">
        <w:rPr>
          <w:szCs w:val="24"/>
          <w:lang w:eastAsia="en-US"/>
        </w:rPr>
        <w:t>„Euroopa Parlamendi ja nõukogu direktiiv 2006/118/EÜ, 12. detsember 2006, põhjavee reostuse ärahoidmise ja tõrje kohta.“</w:t>
      </w:r>
    </w:p>
    <w:p w14:paraId="69D0B103"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w:t>
      </w:r>
      <w:r w:rsidRPr="00CB2133">
        <w:rPr>
          <w:szCs w:val="24"/>
          <w:lang w:eastAsia="en-US"/>
        </w:rPr>
        <w:tab/>
        <w:t>Artikli 1 lõige 1 asendatakse järgmisega:</w:t>
      </w:r>
    </w:p>
    <w:p w14:paraId="0623A060" w14:textId="0B9A506D" w:rsidR="00C45ED4" w:rsidRPr="00CB2133" w:rsidRDefault="00C45ED4" w:rsidP="00C45ED4">
      <w:pPr>
        <w:spacing w:before="120" w:after="120" w:line="360" w:lineRule="auto"/>
        <w:ind w:left="1416" w:hanging="566"/>
        <w:rPr>
          <w:b/>
          <w:szCs w:val="24"/>
          <w:lang w:eastAsia="en-US"/>
        </w:rPr>
      </w:pPr>
      <w:r w:rsidRPr="00CB2133">
        <w:rPr>
          <w:szCs w:val="24"/>
          <w:lang w:eastAsia="en-US"/>
        </w:rPr>
        <w:t>„1.</w:t>
      </w:r>
      <w:r w:rsidRPr="00CB2133">
        <w:rPr>
          <w:szCs w:val="24"/>
          <w:lang w:eastAsia="en-US"/>
        </w:rPr>
        <w:tab/>
        <w:t xml:space="preserve">Käesoleva direktiiviga kehtestatakse konkreetsed meetmed põhjavee reostuse ärahoidmiseks ja tõrjeks eesmärgiga saavutada direktiivi 2000/60/EÜ artikli 4 lõike 1 punktis b sätestatud keskkonnaeesmärgid. </w:t>
      </w:r>
      <w:r w:rsidRPr="00CB2133">
        <w:rPr>
          <w:b/>
          <w:i/>
          <w:szCs w:val="24"/>
          <w:lang w:eastAsia="en-US"/>
        </w:rPr>
        <w:t xml:space="preserve">Võetavate meetmete hierarhias seatakse esikohale piirangud ja muud tekkekohas kohaldatavad meetmed, ilma et see piiraks vajaduse korral keskkonda juhtimise kohas rakendatavate meetmete tähtsust. </w:t>
      </w:r>
      <w:r w:rsidRPr="00CB2133">
        <w:rPr>
          <w:szCs w:val="24"/>
          <w:lang w:eastAsia="en-US"/>
        </w:rPr>
        <w:t>Need meetmed hõlmavad järgmist:</w:t>
      </w:r>
      <w:r w:rsidR="00EE61CD" w:rsidRPr="00CB2133">
        <w:rPr>
          <w:b/>
          <w:szCs w:val="24"/>
          <w:lang w:eastAsia="en-US"/>
        </w:rPr>
        <w:t xml:space="preserve"> [ME 79]</w:t>
      </w:r>
    </w:p>
    <w:p w14:paraId="1FCC4603"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kriteeriumid põhjavee hea keemilise seisundi hindamiseks;</w:t>
      </w:r>
    </w:p>
    <w:p w14:paraId="2A431C61" w14:textId="77777777" w:rsidR="00D71270" w:rsidRPr="00CB2133" w:rsidRDefault="00D71270">
      <w:pPr>
        <w:widowControl/>
        <w:rPr>
          <w:szCs w:val="24"/>
          <w:lang w:eastAsia="en-US"/>
        </w:rPr>
      </w:pPr>
      <w:r w:rsidRPr="00CB2133">
        <w:rPr>
          <w:szCs w:val="24"/>
          <w:lang w:eastAsia="en-US"/>
        </w:rPr>
        <w:br w:type="page"/>
      </w:r>
    </w:p>
    <w:p w14:paraId="7AA6B156" w14:textId="2B3BA559"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b)</w:t>
      </w:r>
      <w:r w:rsidRPr="00CB2133">
        <w:rPr>
          <w:szCs w:val="24"/>
          <w:lang w:eastAsia="en-US"/>
        </w:rPr>
        <w:tab/>
        <w:t>kriteeriumid oluliste ja püsivate kasvutendentside tuvastamiseks ja nende langusele pööramiseks ning nende langusele pööramise alguspunktide kindlaksmääramiseks.</w:t>
      </w:r>
    </w:p>
    <w:p w14:paraId="67EE1EAF" w14:textId="6D78503C" w:rsidR="00C45ED4" w:rsidRPr="00CB2133" w:rsidRDefault="00C45ED4" w:rsidP="00C45ED4">
      <w:pPr>
        <w:spacing w:before="120" w:after="120" w:line="360" w:lineRule="auto"/>
        <w:ind w:left="1982" w:hanging="566"/>
        <w:rPr>
          <w:b/>
          <w:szCs w:val="24"/>
          <w:lang w:eastAsia="en-US"/>
        </w:rPr>
      </w:pPr>
      <w:r w:rsidRPr="00CB2133">
        <w:rPr>
          <w:b/>
          <w:i/>
          <w:szCs w:val="24"/>
          <w:lang w:eastAsia="en-US"/>
        </w:rPr>
        <w:t>ba)</w:t>
      </w:r>
      <w:r w:rsidRPr="00CB2133">
        <w:rPr>
          <w:szCs w:val="24"/>
          <w:lang w:eastAsia="en-US"/>
        </w:rPr>
        <w:tab/>
      </w:r>
      <w:r w:rsidRPr="00CB2133">
        <w:rPr>
          <w:b/>
          <w:i/>
          <w:szCs w:val="24"/>
          <w:lang w:eastAsia="en-US"/>
        </w:rPr>
        <w:t>kriteeriumid põhjavee hea ökoloogilise seisundi hindamiseks.</w:t>
      </w:r>
      <w:r w:rsidRPr="00CB2133">
        <w:rPr>
          <w:szCs w:val="24"/>
          <w:lang w:eastAsia="en-US"/>
        </w:rPr>
        <w:t>“</w:t>
      </w:r>
      <w:r w:rsidR="00EE61CD" w:rsidRPr="00CB2133">
        <w:rPr>
          <w:b/>
          <w:szCs w:val="24"/>
          <w:lang w:eastAsia="en-US"/>
        </w:rPr>
        <w:t xml:space="preserve"> [ME 80]</w:t>
      </w:r>
    </w:p>
    <w:p w14:paraId="351C15E3"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3)</w:t>
      </w:r>
      <w:r w:rsidRPr="00CB2133">
        <w:rPr>
          <w:szCs w:val="24"/>
          <w:lang w:eastAsia="en-US"/>
        </w:rPr>
        <w:tab/>
        <w:t>Artikli 2 punkt 2 asendatakse järgmisega:</w:t>
      </w:r>
    </w:p>
    <w:p w14:paraId="1180780A" w14:textId="6D393AAF"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läviväärtus – põhjavee kvaliteedi standard, mille liikmesriigid on kehtestanud vastavalt artikli 3 lõike 1 punktile b või mis on kehtestatud liidu tasandil</w:t>
      </w:r>
      <w:r w:rsidR="00EE61CD" w:rsidRPr="00CB2133">
        <w:rPr>
          <w:szCs w:val="24"/>
          <w:lang w:eastAsia="en-US"/>
        </w:rPr>
        <w:t xml:space="preserve"> vastavalt artikli 8 lõikele 3;</w:t>
      </w:r>
      <w:r w:rsidRPr="00CB2133">
        <w:rPr>
          <w:szCs w:val="24"/>
          <w:lang w:eastAsia="en-US"/>
        </w:rPr>
        <w:t>“</w:t>
      </w:r>
      <w:r w:rsidR="00EE61CD" w:rsidRPr="00CB2133">
        <w:rPr>
          <w:szCs w:val="24"/>
          <w:lang w:eastAsia="en-US"/>
        </w:rPr>
        <w:t>.</w:t>
      </w:r>
    </w:p>
    <w:p w14:paraId="0889D18E"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4)</w:t>
      </w:r>
      <w:r w:rsidRPr="00CB2133">
        <w:rPr>
          <w:szCs w:val="24"/>
          <w:lang w:eastAsia="en-US"/>
        </w:rPr>
        <w:tab/>
        <w:t>Artiklit 3 muudetakse järgmiselt:</w:t>
      </w:r>
    </w:p>
    <w:p w14:paraId="2A38F7B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lõike 1 esimesse lõiku lisatakse punkt c:</w:t>
      </w:r>
    </w:p>
    <w:p w14:paraId="66844474"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„c)</w:t>
      </w:r>
      <w:r w:rsidRPr="00CB2133">
        <w:rPr>
          <w:szCs w:val="24"/>
          <w:lang w:eastAsia="en-US"/>
        </w:rPr>
        <w:tab/>
        <w:t>artikli 8 lõike 3 kohaselt liidu tasandil kehtestatud, käesoleva direktiivi II lisa D osas loetletud läviväärtused.;“</w:t>
      </w:r>
    </w:p>
    <w:p w14:paraId="1E409B6C" w14:textId="77777777" w:rsidR="00D71270" w:rsidRPr="00CB2133" w:rsidRDefault="00D71270">
      <w:pPr>
        <w:widowControl/>
        <w:rPr>
          <w:b/>
          <w:i/>
          <w:szCs w:val="24"/>
          <w:lang w:eastAsia="en-US"/>
        </w:rPr>
      </w:pPr>
      <w:r w:rsidRPr="00CB2133">
        <w:rPr>
          <w:b/>
          <w:i/>
          <w:szCs w:val="24"/>
          <w:lang w:eastAsia="en-US"/>
        </w:rPr>
        <w:br w:type="page"/>
      </w:r>
    </w:p>
    <w:p w14:paraId="7B430495" w14:textId="6BA46EEE" w:rsidR="00C45ED4" w:rsidRPr="00CB2133" w:rsidRDefault="00C45ED4" w:rsidP="00C45ED4">
      <w:pPr>
        <w:spacing w:before="120" w:after="120" w:line="360" w:lineRule="auto"/>
        <w:ind w:left="1416" w:hanging="566"/>
        <w:rPr>
          <w:szCs w:val="24"/>
          <w:lang w:eastAsia="en-US"/>
        </w:rPr>
      </w:pPr>
      <w:r w:rsidRPr="00CB2133">
        <w:rPr>
          <w:b/>
          <w:i/>
          <w:szCs w:val="24"/>
          <w:lang w:eastAsia="en-US"/>
        </w:rPr>
        <w:lastRenderedPageBreak/>
        <w:t>aa)</w:t>
      </w:r>
      <w:r w:rsidRPr="00CB2133">
        <w:rPr>
          <w:szCs w:val="24"/>
          <w:lang w:eastAsia="en-US"/>
        </w:rPr>
        <w:tab/>
      </w:r>
      <w:r w:rsidRPr="00CB2133">
        <w:rPr>
          <w:b/>
          <w:i/>
          <w:szCs w:val="24"/>
          <w:lang w:eastAsia="en-US"/>
        </w:rPr>
        <w:t>lõikele 1 lisatakse järgmine lõik:</w:t>
      </w:r>
    </w:p>
    <w:p w14:paraId="5513BE4A" w14:textId="3C374F6B" w:rsidR="00C45ED4" w:rsidRPr="00CB2133" w:rsidRDefault="00C45ED4" w:rsidP="00C45ED4">
      <w:pPr>
        <w:spacing w:before="120" w:after="120" w:line="360" w:lineRule="auto"/>
        <w:ind w:left="1416"/>
        <w:rPr>
          <w:b/>
          <w:szCs w:val="24"/>
          <w:lang w:eastAsia="en-US"/>
        </w:rPr>
      </w:pPr>
      <w:r w:rsidRPr="00CB2133">
        <w:rPr>
          <w:szCs w:val="24"/>
          <w:lang w:eastAsia="en-US"/>
        </w:rPr>
        <w:t>„</w:t>
      </w:r>
      <w:r w:rsidRPr="00CB2133">
        <w:rPr>
          <w:b/>
          <w:i/>
          <w:szCs w:val="24"/>
          <w:lang w:eastAsia="en-US"/>
        </w:rPr>
        <w:t>Põhjavee suhtes kohaldatavad läviväärtused on 10 korda madalamad kui vastavad pinnavee keskkonnakvaliteedi standardid, välja arvatud juhul, kui on võimalik kindlaks teha tegelik oht põhjavee ökosüsteemidele, millisel puhul võib olla asjakohane kehtestada põhjavee läviväärtused teistsugusel tasemel.</w:t>
      </w:r>
      <w:r w:rsidRPr="00CB2133">
        <w:rPr>
          <w:szCs w:val="24"/>
          <w:lang w:eastAsia="en-US"/>
        </w:rPr>
        <w:t>“</w:t>
      </w:r>
      <w:r w:rsidR="00EE61CD" w:rsidRPr="00CB2133">
        <w:rPr>
          <w:b/>
          <w:szCs w:val="24"/>
          <w:lang w:eastAsia="en-US"/>
        </w:rPr>
        <w:t xml:space="preserve"> [ME 81]</w:t>
      </w:r>
    </w:p>
    <w:p w14:paraId="717807F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lõige 2 asendatakse järgmisega:</w:t>
      </w:r>
    </w:p>
    <w:p w14:paraId="24D60B23"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„2.</w:t>
      </w:r>
      <w:r w:rsidRPr="00CB2133">
        <w:rPr>
          <w:szCs w:val="24"/>
          <w:lang w:eastAsia="en-US"/>
        </w:rPr>
        <w:tab/>
        <w:t>Lõike 1 punktis b osutatud läviväärtused võib kehtestada riigi tasandil, valglapiirkonna või liikmesriigi territooriumile jääva rahvusvahelise valglapiirkonna osa tasandil või põhjaveekogumi või põhjaveekogumite rühma tasandil.;“</w:t>
      </w:r>
    </w:p>
    <w:p w14:paraId="56C81FE0" w14:textId="77777777" w:rsidR="00D71270" w:rsidRPr="00CB2133" w:rsidRDefault="00D71270">
      <w:pPr>
        <w:widowControl/>
        <w:rPr>
          <w:szCs w:val="24"/>
          <w:lang w:eastAsia="en-US"/>
        </w:rPr>
      </w:pPr>
      <w:r w:rsidRPr="00CB2133">
        <w:rPr>
          <w:szCs w:val="24"/>
          <w:lang w:eastAsia="en-US"/>
        </w:rPr>
        <w:br w:type="page"/>
      </w:r>
    </w:p>
    <w:p w14:paraId="4275FBFB" w14:textId="2F97348F"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c)</w:t>
      </w:r>
      <w:r w:rsidRPr="00CB2133">
        <w:rPr>
          <w:szCs w:val="24"/>
          <w:lang w:eastAsia="en-US"/>
        </w:rPr>
        <w:tab/>
        <w:t>lõige 5 asendatakse järgmisega:</w:t>
      </w:r>
    </w:p>
    <w:p w14:paraId="4350A3DA"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„5.</w:t>
      </w:r>
      <w:r w:rsidRPr="00CB2133">
        <w:rPr>
          <w:szCs w:val="24"/>
          <w:lang w:eastAsia="en-US"/>
        </w:rPr>
        <w:tab/>
        <w:t>Kõik lõikes 1 osutatud läviväärtused koos käesoleva direktiivi II lisa C osas kirjeldatud teabe kokkuvõttega avaldatakse vesikonna majandamiskavades, mis tuleb koostada direktiivi 2000/60/EÜ artikli 13 alusel.</w:t>
      </w:r>
    </w:p>
    <w:p w14:paraId="07AAA99B" w14:textId="77777777" w:rsidR="00C45ED4" w:rsidRPr="00CB2133" w:rsidRDefault="00C45ED4" w:rsidP="00C45ED4">
      <w:pPr>
        <w:spacing w:before="120" w:after="120" w:line="360" w:lineRule="auto"/>
        <w:ind w:left="1982"/>
        <w:rPr>
          <w:szCs w:val="24"/>
          <w:lang w:eastAsia="en-US"/>
        </w:rPr>
      </w:pPr>
      <w:r w:rsidRPr="00CB2133">
        <w:rPr>
          <w:szCs w:val="24"/>
          <w:lang w:eastAsia="en-US"/>
        </w:rPr>
        <w:t>Liikmesriigid teavitavad Euroopa Kemikaaliametit lõike 1 punktis b osutatud riiklikest läviväärtustest hiljemalt [väljaannete talitus: palun lisada kuupäevana selle kuu esimene päev, mis järgneb kuule, mil möödub 18 kuud käesoleva direktiivi jõustumise kuupäevast]. Euroopa Kemikaaliamet teeb selle teabe üldsusele kättesaadavaks.;</w:t>
      </w:r>
    </w:p>
    <w:p w14:paraId="393956C2" w14:textId="77777777" w:rsidR="00C45ED4" w:rsidRPr="00CB2133" w:rsidRDefault="00C45ED4" w:rsidP="00C45ED4">
      <w:pPr>
        <w:spacing w:before="120" w:after="120" w:line="360" w:lineRule="auto"/>
        <w:ind w:left="1418" w:hanging="567"/>
        <w:rPr>
          <w:b/>
          <w:i/>
          <w:szCs w:val="24"/>
          <w:lang w:eastAsia="en-US"/>
        </w:rPr>
      </w:pPr>
      <w:r w:rsidRPr="00CB2133">
        <w:rPr>
          <w:b/>
          <w:i/>
          <w:szCs w:val="24"/>
          <w:lang w:eastAsia="en-US"/>
        </w:rPr>
        <w:t>ca)</w:t>
      </w:r>
      <w:r w:rsidRPr="00CB2133">
        <w:rPr>
          <w:b/>
          <w:i/>
          <w:szCs w:val="24"/>
          <w:lang w:eastAsia="en-US"/>
        </w:rPr>
        <w:tab/>
        <w:t>lõikele 5 lisatakse järgmine lõik:</w:t>
      </w:r>
    </w:p>
    <w:p w14:paraId="67C213D6" w14:textId="56201B6B" w:rsidR="00C45ED4" w:rsidRPr="00CB2133" w:rsidRDefault="00C45ED4" w:rsidP="00C45ED4">
      <w:pPr>
        <w:spacing w:before="120" w:after="120" w:line="360" w:lineRule="auto"/>
        <w:ind w:left="1416"/>
        <w:rPr>
          <w:b/>
          <w:szCs w:val="24"/>
          <w:lang w:eastAsia="en-US"/>
        </w:rPr>
      </w:pPr>
      <w:r w:rsidRPr="00CB2133">
        <w:rPr>
          <w:b/>
          <w:i/>
          <w:szCs w:val="24"/>
          <w:lang w:eastAsia="en-US"/>
        </w:rPr>
        <w:t>„Liikmesriigid tagavad, et asjaomase valglapiirkonna või liikmesriigi territooriumil asuva rahvusvahelise valglapiirkonna osa elanikke teavitatakse asjakohaselt ja õigeaegselt.“;</w:t>
      </w:r>
      <w:r w:rsidR="00EE61CD" w:rsidRPr="00CB2133">
        <w:rPr>
          <w:b/>
          <w:szCs w:val="24"/>
          <w:lang w:eastAsia="en-US"/>
        </w:rPr>
        <w:t xml:space="preserve"> [ME 82]</w:t>
      </w:r>
    </w:p>
    <w:p w14:paraId="614D4BDC" w14:textId="77777777" w:rsidR="00D71270" w:rsidRPr="00CB2133" w:rsidRDefault="00D71270">
      <w:pPr>
        <w:widowControl/>
        <w:rPr>
          <w:szCs w:val="24"/>
          <w:lang w:eastAsia="en-US"/>
        </w:rPr>
      </w:pPr>
      <w:r w:rsidRPr="00CB2133">
        <w:rPr>
          <w:szCs w:val="24"/>
          <w:lang w:eastAsia="en-US"/>
        </w:rPr>
        <w:br w:type="page"/>
      </w:r>
    </w:p>
    <w:p w14:paraId="1B7FDDE6" w14:textId="567BAA9E"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d)</w:t>
      </w:r>
      <w:r w:rsidRPr="00CB2133">
        <w:rPr>
          <w:szCs w:val="24"/>
          <w:lang w:eastAsia="en-US"/>
        </w:rPr>
        <w:tab/>
        <w:t>lõike 6 esimene lõik asendatakse järgmisega:</w:t>
      </w:r>
    </w:p>
    <w:p w14:paraId="13707C47" w14:textId="3FF6950C" w:rsidR="00C45ED4" w:rsidRPr="00CB2133" w:rsidRDefault="00C45ED4" w:rsidP="00C45ED4">
      <w:pPr>
        <w:spacing w:before="120" w:after="120" w:line="360" w:lineRule="auto"/>
        <w:ind w:left="1416"/>
        <w:rPr>
          <w:b/>
          <w:szCs w:val="24"/>
          <w:lang w:eastAsia="en-US"/>
        </w:rPr>
      </w:pPr>
      <w:r w:rsidRPr="00CB2133">
        <w:rPr>
          <w:szCs w:val="24"/>
          <w:lang w:eastAsia="en-US"/>
        </w:rPr>
        <w:t>„Liikmesriigid muudavad nende territooriumil kohaldatavate läviväärtuste loetelu iga kord, kui saasteaineid, saasteainete rühmi või reostuse näitajaid käsitlevast uuest teabest</w:t>
      </w:r>
      <w:r w:rsidRPr="00CB2133">
        <w:rPr>
          <w:b/>
          <w:i/>
          <w:szCs w:val="24"/>
          <w:lang w:eastAsia="en-US"/>
        </w:rPr>
        <w:t xml:space="preserve"> (võttes arvesse ka ettevaatuspõhimõtet)</w:t>
      </w:r>
      <w:r w:rsidRPr="00CB2133">
        <w:rPr>
          <w:szCs w:val="24"/>
          <w:lang w:eastAsia="en-US"/>
        </w:rPr>
        <w:t xml:space="preserve"> nähtub, et tuleb kehtestada läviväärtus veel mõne aine jaoks või et kehtivat läviväärtust on vaja muuta või et mõni varem loetelust välja jäetud läviväärtus tuleb taas loetellu lisada. Kui asjakohased läviväärtused kehtestatakse või neid muudetakse liidu tasandil, kohandavad liikmesriigid </w:t>
      </w:r>
      <w:r w:rsidRPr="00CB2133">
        <w:rPr>
          <w:strike/>
          <w:szCs w:val="24"/>
          <w:lang w:eastAsia="en-US"/>
        </w:rPr>
        <w:t>nende</w:t>
      </w:r>
      <w:r w:rsidRPr="00CB2133">
        <w:rPr>
          <w:b/>
          <w:i/>
          <w:szCs w:val="24"/>
          <w:lang w:eastAsia="en-US"/>
        </w:rPr>
        <w:t>oma</w:t>
      </w:r>
      <w:r w:rsidRPr="00CB2133">
        <w:rPr>
          <w:szCs w:val="24"/>
          <w:lang w:eastAsia="en-US"/>
        </w:rPr>
        <w:t xml:space="preserve"> territooriumil kohaldatavate läviväärtuste loetelu neist väärtustest lähtuvalt.“</w:t>
      </w:r>
      <w:r w:rsidR="00EE61CD" w:rsidRPr="00CB2133">
        <w:rPr>
          <w:szCs w:val="24"/>
          <w:lang w:eastAsia="en-US"/>
        </w:rPr>
        <w:t>;</w:t>
      </w:r>
      <w:r w:rsidR="00EE61CD" w:rsidRPr="00CB2133">
        <w:rPr>
          <w:b/>
          <w:szCs w:val="24"/>
          <w:lang w:eastAsia="en-US"/>
        </w:rPr>
        <w:t xml:space="preserve"> [ME 83]</w:t>
      </w:r>
    </w:p>
    <w:p w14:paraId="5D5C5A5A" w14:textId="15F86D0C" w:rsidR="00C45ED4" w:rsidRPr="00CB2133" w:rsidRDefault="00EE61CD" w:rsidP="00EE61CD">
      <w:pPr>
        <w:spacing w:before="120" w:after="120" w:line="360" w:lineRule="auto"/>
        <w:ind w:left="1418" w:hanging="567"/>
        <w:rPr>
          <w:szCs w:val="24"/>
          <w:lang w:eastAsia="en-US"/>
        </w:rPr>
      </w:pPr>
      <w:r w:rsidRPr="00CB2133">
        <w:rPr>
          <w:szCs w:val="24"/>
          <w:lang w:eastAsia="en-US"/>
        </w:rPr>
        <w:t>e)</w:t>
      </w:r>
      <w:r w:rsidRPr="00CB2133">
        <w:rPr>
          <w:szCs w:val="24"/>
          <w:lang w:eastAsia="en-US"/>
        </w:rPr>
        <w:tab/>
      </w:r>
      <w:r w:rsidRPr="00CB2133">
        <w:rPr>
          <w:b/>
          <w:i/>
          <w:szCs w:val="24"/>
          <w:lang w:eastAsia="en-US"/>
        </w:rPr>
        <w:t>l</w:t>
      </w:r>
      <w:r w:rsidR="00C45ED4" w:rsidRPr="00CB2133">
        <w:rPr>
          <w:b/>
          <w:i/>
          <w:szCs w:val="24"/>
          <w:lang w:eastAsia="en-US"/>
        </w:rPr>
        <w:t>õige 7 asendatakse järgmisega:</w:t>
      </w:r>
    </w:p>
    <w:p w14:paraId="3B030F21" w14:textId="7CB4A063" w:rsidR="00C45ED4" w:rsidRPr="00CB2133" w:rsidRDefault="00C45ED4" w:rsidP="00EE61CD">
      <w:pPr>
        <w:spacing w:before="120" w:after="120" w:line="360" w:lineRule="auto"/>
        <w:ind w:left="1985" w:hanging="566"/>
        <w:rPr>
          <w:b/>
          <w:szCs w:val="24"/>
          <w:lang w:eastAsia="en-US"/>
        </w:rPr>
      </w:pPr>
      <w:r w:rsidRPr="00CB2133">
        <w:rPr>
          <w:szCs w:val="24"/>
          <w:lang w:eastAsia="en-US"/>
        </w:rPr>
        <w:t>„</w:t>
      </w:r>
      <w:r w:rsidRPr="00CB2133">
        <w:rPr>
          <w:b/>
          <w:i/>
          <w:szCs w:val="24"/>
          <w:lang w:eastAsia="en-US"/>
        </w:rPr>
        <w:t>7.</w:t>
      </w:r>
      <w:r w:rsidRPr="00CB2133">
        <w:rPr>
          <w:szCs w:val="24"/>
          <w:lang w:eastAsia="en-US"/>
        </w:rPr>
        <w:tab/>
      </w:r>
      <w:r w:rsidRPr="00CB2133">
        <w:rPr>
          <w:b/>
          <w:i/>
          <w:szCs w:val="24"/>
          <w:lang w:eastAsia="en-US"/>
        </w:rPr>
        <w:t>Komisjon avaldab aruande lõike 1 punktis b osutatud riiklike läviväärtuste kohta üks aasta pärast seda, kui liikmesriigid on esitanud selle teabe ECHA-le kooskõlas lõikega 5.</w:t>
      </w:r>
      <w:r w:rsidRPr="00CB2133">
        <w:rPr>
          <w:szCs w:val="24"/>
          <w:lang w:eastAsia="en-US"/>
        </w:rPr>
        <w:t>“</w:t>
      </w:r>
      <w:r w:rsidR="00EE61CD" w:rsidRPr="00CB2133">
        <w:rPr>
          <w:b/>
          <w:szCs w:val="24"/>
          <w:lang w:eastAsia="en-US"/>
        </w:rPr>
        <w:t xml:space="preserve"> [ME 84]</w:t>
      </w:r>
    </w:p>
    <w:p w14:paraId="33B890F1" w14:textId="77777777" w:rsidR="00D71270" w:rsidRPr="00CB2133" w:rsidRDefault="00D71270">
      <w:pPr>
        <w:widowControl/>
        <w:rPr>
          <w:szCs w:val="24"/>
          <w:lang w:eastAsia="en-US"/>
        </w:rPr>
      </w:pPr>
      <w:r w:rsidRPr="00CB2133">
        <w:rPr>
          <w:szCs w:val="24"/>
          <w:lang w:eastAsia="en-US"/>
        </w:rPr>
        <w:br w:type="page"/>
      </w:r>
    </w:p>
    <w:p w14:paraId="7F68360F" w14:textId="6D64164E"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5)</w:t>
      </w:r>
      <w:r w:rsidRPr="00CB2133">
        <w:rPr>
          <w:szCs w:val="24"/>
          <w:lang w:eastAsia="en-US"/>
        </w:rPr>
        <w:tab/>
        <w:t>Artikli 4 lõike 2 punkt b asendatakse järgmisega:</w:t>
      </w:r>
    </w:p>
    <w:p w14:paraId="5BEECBD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selle põhjaveekogumi või põhjaveekogumite rühma üheski seirepunktis ei ole ületatud I lisas loetletud põhjavee kvaliteedi standardite väärtusi ega artikli 3 lõike 1 punktides b ja c osutatud läviväärtusi või.“</w:t>
      </w:r>
    </w:p>
    <w:p w14:paraId="730E0031"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6)</w:t>
      </w:r>
      <w:r w:rsidRPr="00CB2133">
        <w:rPr>
          <w:szCs w:val="24"/>
          <w:lang w:eastAsia="en-US"/>
        </w:rPr>
        <w:tab/>
        <w:t>Lisatakse artikkel 6a:</w:t>
      </w:r>
    </w:p>
    <w:p w14:paraId="7B2A4DE2"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6a</w:t>
      </w:r>
    </w:p>
    <w:p w14:paraId="20FAE17F" w14:textId="77777777" w:rsidR="00C45ED4" w:rsidRPr="00CB2133" w:rsidRDefault="00C45ED4" w:rsidP="00C45ED4">
      <w:pPr>
        <w:spacing w:before="120" w:after="120" w:line="360" w:lineRule="auto"/>
        <w:ind w:left="850"/>
        <w:rPr>
          <w:szCs w:val="24"/>
          <w:lang w:eastAsia="en-US"/>
        </w:rPr>
      </w:pPr>
      <w:r w:rsidRPr="00CB2133">
        <w:rPr>
          <w:szCs w:val="24"/>
          <w:lang w:eastAsia="en-US"/>
        </w:rPr>
        <w:t>Jälgimisnimekiri</w:t>
      </w:r>
    </w:p>
    <w:p w14:paraId="53A98B7E"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Komisjonil on õigus võtta vastu rakendusakte, et kehtestada Euroopa Kemikaaliameti teaduslikke aruandeid arvesse võttes jälgimisnimekiri ainetest, mille kohta liikmesriigid peavad koguma kogu liitu hõlmavaid seireandmeid, ning sätestada vormid, mida liikmesriigid peavad kasutama nende seiretulemuste ja nendega seotud teabe esitamiseks komisjonile. Kõnealused rakendusaktid võetakse vastu artikli 9 lõikes 2 osutatud kontrollimenetluse teel.</w:t>
      </w:r>
    </w:p>
    <w:p w14:paraId="0F02166B" w14:textId="77777777" w:rsidR="00D71270" w:rsidRPr="00CB2133" w:rsidRDefault="00D71270">
      <w:pPr>
        <w:widowControl/>
        <w:rPr>
          <w:szCs w:val="24"/>
          <w:lang w:eastAsia="en-US"/>
        </w:rPr>
      </w:pPr>
      <w:r w:rsidRPr="00CB2133">
        <w:rPr>
          <w:szCs w:val="24"/>
          <w:lang w:eastAsia="en-US"/>
        </w:rPr>
        <w:br w:type="page"/>
      </w:r>
    </w:p>
    <w:p w14:paraId="2A59501E" w14:textId="4A9D48E3" w:rsidR="00C45ED4" w:rsidRPr="00CB2133" w:rsidRDefault="00C45ED4" w:rsidP="00C45ED4">
      <w:pPr>
        <w:spacing w:before="120" w:after="120" w:line="360" w:lineRule="auto"/>
        <w:ind w:left="1416"/>
        <w:rPr>
          <w:szCs w:val="24"/>
          <w:lang w:eastAsia="en-US"/>
        </w:rPr>
      </w:pPr>
      <w:r w:rsidRPr="00CB2133">
        <w:rPr>
          <w:szCs w:val="24"/>
          <w:lang w:eastAsia="en-US"/>
        </w:rPr>
        <w:lastRenderedPageBreak/>
        <w:t xml:space="preserve">Jälgimisnimekiri sisaldab </w:t>
      </w:r>
      <w:r w:rsidRPr="00CB2133">
        <w:rPr>
          <w:strike/>
          <w:szCs w:val="24"/>
          <w:lang w:eastAsia="en-US"/>
        </w:rPr>
        <w:t>kuni</w:t>
      </w:r>
      <w:r w:rsidRPr="00CB2133">
        <w:rPr>
          <w:b/>
          <w:i/>
          <w:szCs w:val="24"/>
          <w:lang w:eastAsia="en-US"/>
        </w:rPr>
        <w:t>vähemalt</w:t>
      </w:r>
      <w:r w:rsidRPr="00CB2133">
        <w:rPr>
          <w:szCs w:val="24"/>
          <w:lang w:eastAsia="en-US"/>
        </w:rPr>
        <w:t xml:space="preserve"> viit ainet või </w:t>
      </w:r>
      <w:r w:rsidRPr="00CB2133">
        <w:rPr>
          <w:strike/>
          <w:szCs w:val="24"/>
          <w:lang w:eastAsia="en-US"/>
        </w:rPr>
        <w:t xml:space="preserve">ainerühma ning selles märgitakse iga aine puhul kasutatavad seiremaatriksid ja võimalikud analüüsimeetodid. Nende seiremaatriksite ja meetodite kasutamine ei tohi tuua pädevatele asutustele kaasa ülemääraseid kulusid. Jälgimisnimekirja lisatavad ained valitakse </w:t>
      </w:r>
      <w:r w:rsidRPr="00CB2133">
        <w:rPr>
          <w:szCs w:val="24"/>
          <w:lang w:eastAsia="en-US"/>
        </w:rPr>
        <w:t>selliste</w:t>
      </w:r>
      <w:r w:rsidRPr="00CB2133">
        <w:rPr>
          <w:b/>
          <w:i/>
          <w:szCs w:val="24"/>
          <w:lang w:eastAsia="en-US"/>
        </w:rPr>
        <w:t xml:space="preserve"> uute probleemsete ainete rühma, mis on valitud nende</w:t>
      </w:r>
      <w:r w:rsidRPr="00CB2133">
        <w:rPr>
          <w:szCs w:val="24"/>
          <w:lang w:eastAsia="en-US"/>
        </w:rPr>
        <w:t xml:space="preserve"> ainete hulgast, mille kohta kättesaadavast teabest </w:t>
      </w:r>
      <w:r w:rsidRPr="00CB2133">
        <w:rPr>
          <w:strike/>
          <w:szCs w:val="24"/>
          <w:lang w:eastAsia="en-US"/>
        </w:rPr>
        <w:t>nähtub, et nendest võib</w:t>
      </w:r>
      <w:r w:rsidRPr="00CB2133">
        <w:rPr>
          <w:b/>
          <w:i/>
          <w:szCs w:val="24"/>
          <w:lang w:eastAsia="en-US"/>
        </w:rPr>
        <w:t>ilmneb muu hulgas vastavalt allpool toodud neljandale lõigule, et need võivad kujutada endast</w:t>
      </w:r>
      <w:r w:rsidRPr="00CB2133">
        <w:rPr>
          <w:szCs w:val="24"/>
          <w:lang w:eastAsia="en-US"/>
        </w:rPr>
        <w:t xml:space="preserve"> liidu tasandil</w:t>
      </w:r>
      <w:r w:rsidRPr="00CB2133">
        <w:rPr>
          <w:strike/>
          <w:szCs w:val="24"/>
          <w:lang w:eastAsia="en-US"/>
        </w:rPr>
        <w:t xml:space="preserve"> tuleneda märkimisväärne</w:t>
      </w:r>
      <w:r w:rsidRPr="00CB2133">
        <w:rPr>
          <w:szCs w:val="24"/>
          <w:lang w:eastAsia="en-US"/>
        </w:rPr>
        <w:t xml:space="preserve"> veekeskkonnale või </w:t>
      </w:r>
      <w:r w:rsidRPr="00CB2133">
        <w:rPr>
          <w:strike/>
          <w:szCs w:val="24"/>
          <w:lang w:eastAsia="en-US"/>
        </w:rPr>
        <w:t>veekeskkonna</w:t>
      </w:r>
      <w:r w:rsidRPr="00CB2133">
        <w:rPr>
          <w:b/>
          <w:i/>
          <w:szCs w:val="24"/>
          <w:lang w:eastAsia="en-US"/>
        </w:rPr>
        <w:t>selle</w:t>
      </w:r>
      <w:r w:rsidRPr="00CB2133">
        <w:rPr>
          <w:szCs w:val="24"/>
          <w:lang w:eastAsia="en-US"/>
        </w:rPr>
        <w:t xml:space="preserve"> kaudu </w:t>
      </w:r>
      <w:r w:rsidRPr="00CB2133">
        <w:rPr>
          <w:strike/>
          <w:szCs w:val="24"/>
          <w:lang w:eastAsia="en-US"/>
        </w:rPr>
        <w:t>avalduv risk,</w:t>
      </w:r>
      <w:r w:rsidRPr="00CB2133">
        <w:rPr>
          <w:b/>
          <w:i/>
          <w:szCs w:val="24"/>
          <w:lang w:eastAsia="en-US"/>
        </w:rPr>
        <w:t>märkimisväärset ohtu</w:t>
      </w:r>
      <w:r w:rsidRPr="00CB2133">
        <w:rPr>
          <w:szCs w:val="24"/>
          <w:lang w:eastAsia="en-US"/>
        </w:rPr>
        <w:t xml:space="preserve"> ning mille puhul seireandmed on ebapiisavad</w:t>
      </w:r>
      <w:r w:rsidRPr="00CB2133">
        <w:rPr>
          <w:strike/>
          <w:szCs w:val="24"/>
          <w:lang w:eastAsia="en-US"/>
        </w:rPr>
        <w:t>. Kõnealune</w:t>
      </w:r>
      <w:r w:rsidRPr="00CB2133">
        <w:rPr>
          <w:b/>
          <w:i/>
          <w:szCs w:val="24"/>
          <w:lang w:eastAsia="en-US"/>
        </w:rPr>
        <w:t>, välja arvatud juhul, kui selliste ainete või ainerühmade arv, mille kohta kättesaadav teave näitab, et need võivad kujutada endast veekeskkonnale või selle kaudu olulist ohtu, on alla viie, millisel juhul sisaldab</w:t>
      </w:r>
      <w:r w:rsidRPr="00CB2133">
        <w:rPr>
          <w:szCs w:val="24"/>
          <w:lang w:eastAsia="en-US"/>
        </w:rPr>
        <w:t xml:space="preserve"> jälgimisnimekiri </w:t>
      </w:r>
      <w:r w:rsidRPr="00CB2133">
        <w:rPr>
          <w:strike/>
          <w:szCs w:val="24"/>
          <w:lang w:eastAsia="en-US"/>
        </w:rPr>
        <w:t>sisaldab uusi probleemseid</w:t>
      </w:r>
      <w:r w:rsidRPr="00CB2133">
        <w:rPr>
          <w:b/>
          <w:i/>
          <w:szCs w:val="24"/>
          <w:lang w:eastAsia="en-US"/>
        </w:rPr>
        <w:t>kõiki neid</w:t>
      </w:r>
      <w:r w:rsidRPr="00CB2133">
        <w:rPr>
          <w:szCs w:val="24"/>
          <w:lang w:eastAsia="en-US"/>
        </w:rPr>
        <w:t xml:space="preserve"> aineid.</w:t>
      </w:r>
    </w:p>
    <w:p w14:paraId="3F636597" w14:textId="77777777" w:rsidR="00C45ED4" w:rsidRPr="00CB2133" w:rsidRDefault="00C45ED4" w:rsidP="00C45ED4">
      <w:pPr>
        <w:spacing w:before="120" w:after="120" w:line="360" w:lineRule="auto"/>
        <w:ind w:left="1416"/>
        <w:rPr>
          <w:szCs w:val="24"/>
          <w:lang w:eastAsia="en-US"/>
        </w:rPr>
      </w:pPr>
      <w:r w:rsidRPr="00CB2133">
        <w:rPr>
          <w:b/>
          <w:i/>
          <w:szCs w:val="24"/>
          <w:lang w:eastAsia="en-US"/>
        </w:rPr>
        <w:t>Lisaks minimaalsele arvule ainetele või ainerühmale võib jälgimisnimekiri sisaldada ka reostuse näitajaid.</w:t>
      </w:r>
    </w:p>
    <w:p w14:paraId="7468049B" w14:textId="77777777" w:rsidR="00D71270" w:rsidRPr="00CB2133" w:rsidRDefault="00D71270">
      <w:pPr>
        <w:widowControl/>
        <w:rPr>
          <w:b/>
          <w:i/>
          <w:szCs w:val="24"/>
          <w:lang w:eastAsia="en-US"/>
        </w:rPr>
      </w:pPr>
      <w:r w:rsidRPr="00CB2133">
        <w:rPr>
          <w:b/>
          <w:i/>
          <w:szCs w:val="24"/>
          <w:lang w:eastAsia="en-US"/>
        </w:rPr>
        <w:br w:type="page"/>
      </w:r>
    </w:p>
    <w:p w14:paraId="633D31C3" w14:textId="1203B4D0" w:rsidR="00C45ED4" w:rsidRPr="00CB2133" w:rsidRDefault="00C45ED4" w:rsidP="00C45ED4">
      <w:pPr>
        <w:spacing w:before="120" w:after="120" w:line="360" w:lineRule="auto"/>
        <w:ind w:left="1416"/>
        <w:rPr>
          <w:b/>
          <w:szCs w:val="24"/>
          <w:lang w:eastAsia="en-US"/>
        </w:rPr>
      </w:pPr>
      <w:r w:rsidRPr="00CB2133">
        <w:rPr>
          <w:b/>
          <w:i/>
          <w:szCs w:val="24"/>
          <w:lang w:eastAsia="en-US"/>
        </w:rPr>
        <w:lastRenderedPageBreak/>
        <w:t>Jälgimisnimekirjas täpsustatakse iga aine puhul kasutatavad seiremaatriksid ja võimalikud analüüsimeetodid. Nende seiremaatriksite ja meetodite kasutamine ei tohi tuua pädevatele asutustele kaasa ülemääraseid kulusid.</w:t>
      </w:r>
      <w:r w:rsidR="00EE61CD" w:rsidRPr="00CB2133">
        <w:rPr>
          <w:b/>
          <w:szCs w:val="24"/>
          <w:lang w:eastAsia="en-US"/>
        </w:rPr>
        <w:t xml:space="preserve"> [ME 85]</w:t>
      </w:r>
    </w:p>
    <w:p w14:paraId="3DAAF2DC" w14:textId="0F630903" w:rsidR="00C45ED4" w:rsidRPr="00CB2133" w:rsidRDefault="00C45ED4" w:rsidP="00C45ED4">
      <w:pPr>
        <w:spacing w:before="120" w:after="120" w:line="360" w:lineRule="auto"/>
        <w:ind w:left="1416"/>
        <w:rPr>
          <w:b/>
          <w:szCs w:val="24"/>
          <w:lang w:eastAsia="en-US"/>
        </w:rPr>
      </w:pPr>
      <w:r w:rsidRPr="00CB2133">
        <w:rPr>
          <w:strike/>
          <w:szCs w:val="24"/>
          <w:lang w:eastAsia="en-US"/>
        </w:rPr>
        <w:t>Jälgimisnimekirja</w:t>
      </w:r>
      <w:r w:rsidRPr="00CB2133">
        <w:rPr>
          <w:b/>
          <w:i/>
          <w:szCs w:val="24"/>
          <w:lang w:eastAsia="en-US"/>
        </w:rPr>
        <w:t>Mikroplasti ja valitud antimikroobikumiresistentsuse geenide jaoks sobivad seiremeetodid tehakse kindlaks võimalikult kiiresti ja hiljemalt ... [käesoleva muutmisdirektiivi jõustumise kuupäevast möödunud 18 kuule järgneva kuu esimesel päeval]. Niipea, kui need seiremeetodid on kindlaks tehtud,</w:t>
      </w:r>
      <w:r w:rsidRPr="00CB2133">
        <w:rPr>
          <w:szCs w:val="24"/>
          <w:lang w:eastAsia="en-US"/>
        </w:rPr>
        <w:t xml:space="preserve"> lisatakse mikroplast ja valitud antimikroobikumiresistentsuse geenid </w:t>
      </w:r>
      <w:r w:rsidRPr="00CB2133">
        <w:rPr>
          <w:strike/>
          <w:szCs w:val="24"/>
          <w:lang w:eastAsia="en-US"/>
        </w:rPr>
        <w:t>niipea, kui on tehtud kindlaks</w:t>
      </w:r>
      <w:r w:rsidRPr="00CB2133">
        <w:rPr>
          <w:b/>
          <w:i/>
          <w:szCs w:val="24"/>
          <w:lang w:eastAsia="en-US"/>
        </w:rPr>
        <w:t>jälgimisnimekirja kooskõlas artikli 6a lõike 2 esimese lõiguga. Komisjon kaalub ühtlasi, kas esimesse jälgimisnimekirja tuleb lisada sulfaadid, et parandada seoses käesoleva direktiivi kohaldamisalaga</w:t>
      </w:r>
      <w:r w:rsidRPr="00CB2133">
        <w:rPr>
          <w:szCs w:val="24"/>
          <w:lang w:eastAsia="en-US"/>
        </w:rPr>
        <w:t xml:space="preserve"> nende </w:t>
      </w:r>
      <w:r w:rsidRPr="00CB2133">
        <w:rPr>
          <w:strike/>
          <w:szCs w:val="24"/>
          <w:lang w:eastAsia="en-US"/>
        </w:rPr>
        <w:t>jaoks sobivad seiremeetodid</w:t>
      </w:r>
      <w:r w:rsidRPr="00CB2133">
        <w:rPr>
          <w:b/>
          <w:i/>
          <w:szCs w:val="24"/>
          <w:lang w:eastAsia="en-US"/>
        </w:rPr>
        <w:t>esinemist puudutavate andmete kättesaadavust</w:t>
      </w:r>
      <w:r w:rsidRPr="00CB2133">
        <w:rPr>
          <w:szCs w:val="24"/>
          <w:lang w:eastAsia="en-US"/>
        </w:rPr>
        <w:t>.</w:t>
      </w:r>
      <w:r w:rsidR="00EE61CD" w:rsidRPr="00CB2133">
        <w:rPr>
          <w:b/>
          <w:szCs w:val="24"/>
          <w:lang w:eastAsia="en-US"/>
        </w:rPr>
        <w:t xml:space="preserve"> [ME 86]</w:t>
      </w:r>
    </w:p>
    <w:p w14:paraId="0359B6CA" w14:textId="77777777" w:rsidR="00D71270" w:rsidRPr="00CB2133" w:rsidRDefault="00D71270">
      <w:pPr>
        <w:widowControl/>
        <w:rPr>
          <w:szCs w:val="24"/>
          <w:lang w:eastAsia="en-US"/>
        </w:rPr>
      </w:pPr>
      <w:r w:rsidRPr="00CB2133">
        <w:rPr>
          <w:szCs w:val="24"/>
          <w:lang w:eastAsia="en-US"/>
        </w:rPr>
        <w:br w:type="page"/>
      </w:r>
    </w:p>
    <w:p w14:paraId="6233C6C6" w14:textId="78FDB8F8" w:rsidR="00C45ED4" w:rsidRPr="00CB2133" w:rsidRDefault="00C45ED4" w:rsidP="00C45ED4">
      <w:pPr>
        <w:spacing w:before="120" w:after="120" w:line="360" w:lineRule="auto"/>
        <w:ind w:left="1416"/>
        <w:rPr>
          <w:b/>
          <w:szCs w:val="24"/>
          <w:lang w:eastAsia="en-US"/>
        </w:rPr>
      </w:pPr>
      <w:r w:rsidRPr="00CB2133">
        <w:rPr>
          <w:szCs w:val="24"/>
          <w:lang w:eastAsia="en-US"/>
        </w:rPr>
        <w:lastRenderedPageBreak/>
        <w:t xml:space="preserve">Euroopa Kemikaaliamet koostab teaduslikke aruandeid, et abistada komisjoni jälgimisnimekirja lisatavate ainete </w:t>
      </w:r>
      <w:r w:rsidRPr="00CB2133">
        <w:rPr>
          <w:b/>
          <w:i/>
          <w:szCs w:val="24"/>
          <w:lang w:eastAsia="en-US"/>
        </w:rPr>
        <w:t xml:space="preserve">ja reostuse näitajate </w:t>
      </w:r>
      <w:r w:rsidRPr="00CB2133">
        <w:rPr>
          <w:szCs w:val="24"/>
          <w:lang w:eastAsia="en-US"/>
        </w:rPr>
        <w:t>valimisel, võttes arvesse järgmist teavet:</w:t>
      </w:r>
      <w:r w:rsidR="00EE61CD" w:rsidRPr="00CB2133">
        <w:rPr>
          <w:b/>
          <w:szCs w:val="24"/>
          <w:lang w:eastAsia="en-US"/>
        </w:rPr>
        <w:t xml:space="preserve"> [ME 87]</w:t>
      </w:r>
    </w:p>
    <w:p w14:paraId="775D867F"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Euroopa Parlamendi ja nõukogu direktiivi 2008/105/EÜ* I lisa ja nimetatud lisa kõige viimase läbivaatamise tulemused;</w:t>
      </w:r>
    </w:p>
    <w:p w14:paraId="59FDBDE8"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direktiivi 2008/105/EÜ ning Euroopa Parlamendi ja nõukogu direktiivi (EL) 2020/2184** kohaselt kehtestatud jälgimisnimekirjad;</w:t>
      </w:r>
    </w:p>
    <w:p w14:paraId="766B4C36"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c)</w:t>
      </w:r>
      <w:r w:rsidRPr="00CB2133">
        <w:rPr>
          <w:szCs w:val="24"/>
          <w:lang w:eastAsia="en-US"/>
        </w:rPr>
        <w:tab/>
        <w:t>pinnasereostuse vähendamise nõuded, sealhulgas nendega seotud seireandmed;</w:t>
      </w:r>
    </w:p>
    <w:p w14:paraId="0D57B925"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d)</w:t>
      </w:r>
      <w:r w:rsidRPr="00CB2133">
        <w:rPr>
          <w:szCs w:val="24"/>
          <w:lang w:eastAsia="en-US"/>
        </w:rPr>
        <w:tab/>
        <w:t>liikmesriikide koostatud valglapiirkondade kirjeldus vastavalt direktiivi 2000/60/EÜ artiklile 5 ning nimetatud direktiivi artikli 8 kohaselt kehtestatud seireprogrammide tulemused;</w:t>
      </w:r>
    </w:p>
    <w:p w14:paraId="035ED0F7" w14:textId="77777777" w:rsidR="00D71270" w:rsidRPr="00CB2133" w:rsidRDefault="00D71270">
      <w:pPr>
        <w:widowControl/>
        <w:rPr>
          <w:szCs w:val="24"/>
          <w:lang w:eastAsia="en-US"/>
        </w:rPr>
      </w:pPr>
      <w:r w:rsidRPr="00CB2133">
        <w:rPr>
          <w:szCs w:val="24"/>
          <w:lang w:eastAsia="en-US"/>
        </w:rPr>
        <w:br w:type="page"/>
      </w:r>
    </w:p>
    <w:p w14:paraId="796667ED" w14:textId="23C623F9"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e)</w:t>
      </w:r>
      <w:r w:rsidRPr="00CB2133">
        <w:rPr>
          <w:szCs w:val="24"/>
          <w:lang w:eastAsia="en-US"/>
        </w:rPr>
        <w:tab/>
        <w:t>teave konkreetse aine või ainerühma tootmise mahtude, kasutusviiside, olemuslike omaduste (sealhulgas pinnases liikuvuse ja vajaduse korral osakeste suuruse), keskkonnas täheldatavate kontsentratsioonide ning inimeste tervisele ja veekeskkonnale avalduva kahjuliku mõju kohta, sealhulgas Euroopa Parlamendi ja nõukogu määruse (EÜ) nr 1907/2006***, Euroopa Parlamendi ja nõukogu määruse (EÜ) nr 1107/2009****, Euroopa Parlamendi ja nõukogu määruse (EL) nr 528/2012*****, Euroopa Parlamendi ja nõukogu määruse (EL) 2019/6******, Euroopa Parlamendi ja nõukogu direktiivi 2001/83/EÜ******* ning Euroopa Parlamendi ja nõukogu direktiivi 2009/128/EÜ******** kohaselt kogutud teave;</w:t>
      </w:r>
    </w:p>
    <w:p w14:paraId="33666162" w14:textId="77777777" w:rsidR="00D71270" w:rsidRPr="00CB2133" w:rsidRDefault="00D71270">
      <w:pPr>
        <w:widowControl/>
        <w:rPr>
          <w:szCs w:val="24"/>
          <w:lang w:eastAsia="en-US"/>
        </w:rPr>
      </w:pPr>
      <w:r w:rsidRPr="00CB2133">
        <w:rPr>
          <w:szCs w:val="24"/>
          <w:lang w:eastAsia="en-US"/>
        </w:rPr>
        <w:br w:type="page"/>
      </w:r>
    </w:p>
    <w:p w14:paraId="68ADE4BC" w14:textId="5195000B" w:rsidR="00C45ED4" w:rsidRPr="00CB2133" w:rsidRDefault="00C45ED4" w:rsidP="00C45ED4">
      <w:pPr>
        <w:spacing w:before="120" w:after="120" w:line="360" w:lineRule="auto"/>
        <w:ind w:left="1982" w:hanging="566"/>
        <w:rPr>
          <w:b/>
          <w:szCs w:val="24"/>
          <w:lang w:eastAsia="en-US"/>
        </w:rPr>
      </w:pPr>
      <w:r w:rsidRPr="00CB2133">
        <w:rPr>
          <w:szCs w:val="24"/>
          <w:lang w:eastAsia="en-US"/>
        </w:rPr>
        <w:lastRenderedPageBreak/>
        <w:t>f)</w:t>
      </w:r>
      <w:r w:rsidRPr="00CB2133">
        <w:rPr>
          <w:szCs w:val="24"/>
          <w:lang w:eastAsia="en-US"/>
        </w:rPr>
        <w:tab/>
        <w:t>teadusprojektid</w:t>
      </w:r>
      <w:r w:rsidRPr="00CB2133">
        <w:rPr>
          <w:strike/>
          <w:szCs w:val="24"/>
          <w:lang w:eastAsia="en-US"/>
        </w:rPr>
        <w:t xml:space="preserve"> ja</w:t>
      </w:r>
      <w:r w:rsidRPr="00CB2133">
        <w:rPr>
          <w:b/>
          <w:i/>
          <w:szCs w:val="24"/>
          <w:lang w:eastAsia="en-US"/>
        </w:rPr>
        <w:t>,</w:t>
      </w:r>
      <w:r w:rsidRPr="00CB2133">
        <w:rPr>
          <w:szCs w:val="24"/>
          <w:lang w:eastAsia="en-US"/>
        </w:rPr>
        <w:t xml:space="preserve"> teadusartiklid</w:t>
      </w:r>
      <w:r w:rsidRPr="00CB2133">
        <w:rPr>
          <w:b/>
          <w:i/>
          <w:szCs w:val="24"/>
          <w:lang w:eastAsia="en-US"/>
        </w:rPr>
        <w:t xml:space="preserve"> ja teaduslikud tõendid</w:t>
      </w:r>
      <w:r w:rsidRPr="00CB2133">
        <w:rPr>
          <w:szCs w:val="24"/>
          <w:lang w:eastAsia="en-US"/>
        </w:rPr>
        <w:t>, sealhulgas</w:t>
      </w:r>
      <w:r w:rsidRPr="00CB2133">
        <w:rPr>
          <w:b/>
          <w:i/>
          <w:szCs w:val="24"/>
          <w:lang w:eastAsia="en-US"/>
        </w:rPr>
        <w:t xml:space="preserve"> teave materiaalsete ja termiliste saasteainete mõju ning maapealsee ja maa-aluse kaevandus- ja taristutegevuse mõju kohta põhjavee ökosüsteemidele ja põhjaveest sõltuvatele ökosüsteemidele ning nende elurikkusele,</w:t>
      </w:r>
      <w:r w:rsidRPr="00CB2133">
        <w:rPr>
          <w:szCs w:val="24"/>
          <w:lang w:eastAsia="en-US"/>
        </w:rPr>
        <w:t xml:space="preserve"> modelleerimisel või muud liiki prognooshindamisel põhinev teave suundumuste ja prognooside kohta, samuti kaugseiretehnoloogia, Maa seire (Copernicuse programmi teenused)</w:t>
      </w:r>
      <w:r w:rsidRPr="00CB2133">
        <w:rPr>
          <w:strike/>
          <w:szCs w:val="24"/>
          <w:lang w:eastAsia="en-US"/>
        </w:rPr>
        <w:t xml:space="preserve"> ning</w:t>
      </w:r>
      <w:r w:rsidRPr="00CB2133">
        <w:rPr>
          <w:b/>
          <w:i/>
          <w:szCs w:val="24"/>
          <w:lang w:eastAsia="en-US"/>
        </w:rPr>
        <w:t>,</w:t>
      </w:r>
      <w:r w:rsidRPr="00CB2133">
        <w:rPr>
          <w:szCs w:val="24"/>
          <w:lang w:eastAsia="en-US"/>
        </w:rPr>
        <w:t xml:space="preserve"> kohapealsete andurite ja seadmete abil saadud </w:t>
      </w:r>
      <w:r w:rsidRPr="00CB2133">
        <w:rPr>
          <w:b/>
          <w:i/>
          <w:szCs w:val="24"/>
          <w:lang w:eastAsia="en-US"/>
        </w:rPr>
        <w:t xml:space="preserve">teave ja </w:t>
      </w:r>
      <w:r w:rsidRPr="00CB2133">
        <w:rPr>
          <w:szCs w:val="24"/>
          <w:lang w:eastAsia="en-US"/>
        </w:rPr>
        <w:t>andmed</w:t>
      </w:r>
      <w:r w:rsidRPr="00CB2133">
        <w:rPr>
          <w:strike/>
          <w:szCs w:val="24"/>
          <w:lang w:eastAsia="en-US"/>
        </w:rPr>
        <w:t xml:space="preserve"> ja teave</w:t>
      </w:r>
      <w:r w:rsidRPr="00CB2133">
        <w:rPr>
          <w:szCs w:val="24"/>
          <w:lang w:eastAsia="en-US"/>
        </w:rPr>
        <w:t xml:space="preserve"> ning kodanikelt saadud teadusandmed, </w:t>
      </w:r>
      <w:r w:rsidRPr="00CB2133">
        <w:rPr>
          <w:strike/>
          <w:szCs w:val="24"/>
          <w:lang w:eastAsia="en-US"/>
        </w:rPr>
        <w:t>mis võimaldavad kasutada</w:t>
      </w:r>
      <w:r w:rsidRPr="00CB2133">
        <w:rPr>
          <w:b/>
          <w:i/>
          <w:szCs w:val="24"/>
          <w:lang w:eastAsia="en-US"/>
        </w:rPr>
        <w:t>kasutades</w:t>
      </w:r>
      <w:r w:rsidRPr="00CB2133">
        <w:rPr>
          <w:szCs w:val="24"/>
          <w:lang w:eastAsia="en-US"/>
        </w:rPr>
        <w:t xml:space="preserve"> ära tehisintellekti ning kõrgetasemelise andmeanalüüsi ja -</w:t>
      </w:r>
      <w:r w:rsidRPr="00CB2133">
        <w:rPr>
          <w:strike/>
          <w:szCs w:val="24"/>
          <w:lang w:eastAsia="en-US"/>
        </w:rPr>
        <w:t>töötlusega seotud</w:t>
      </w:r>
      <w:r w:rsidRPr="00CB2133">
        <w:rPr>
          <w:b/>
          <w:i/>
          <w:szCs w:val="24"/>
          <w:lang w:eastAsia="en-US"/>
        </w:rPr>
        <w:t>töötluse pakutavaid</w:t>
      </w:r>
      <w:r w:rsidRPr="00CB2133">
        <w:rPr>
          <w:szCs w:val="24"/>
          <w:lang w:eastAsia="en-US"/>
        </w:rPr>
        <w:t xml:space="preserve"> võimalusi;</w:t>
      </w:r>
      <w:r w:rsidR="00EE61CD" w:rsidRPr="00CB2133">
        <w:rPr>
          <w:b/>
          <w:szCs w:val="24"/>
          <w:lang w:eastAsia="en-US"/>
        </w:rPr>
        <w:t xml:space="preserve"> [ME 88]</w:t>
      </w:r>
    </w:p>
    <w:p w14:paraId="722CE107"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g)</w:t>
      </w:r>
      <w:r w:rsidRPr="00CB2133">
        <w:rPr>
          <w:szCs w:val="24"/>
          <w:lang w:eastAsia="en-US"/>
        </w:rPr>
        <w:tab/>
        <w:t>sidusrühmade soovitused.</w:t>
      </w:r>
    </w:p>
    <w:p w14:paraId="3EC1B67D" w14:textId="77777777" w:rsidR="00C45ED4" w:rsidRPr="00CB2133" w:rsidRDefault="00C45ED4" w:rsidP="00C45ED4">
      <w:pPr>
        <w:spacing w:before="120" w:after="120" w:line="360" w:lineRule="auto"/>
        <w:ind w:left="1416"/>
        <w:rPr>
          <w:szCs w:val="24"/>
          <w:lang w:eastAsia="en-US"/>
        </w:rPr>
      </w:pPr>
      <w:r w:rsidRPr="00CB2133">
        <w:rPr>
          <w:szCs w:val="24"/>
          <w:lang w:eastAsia="en-US"/>
        </w:rPr>
        <w:t>Euroopa Kemikaaliamet koostab iga kolme aasta järel aruande, milles esitatakse kokkuvõte neljanda lõigu kohaselt koostatud teaduslikes aruannetes esitatud järelduste kohta, ning teeb selle üldsusele kättesaadavaks. Esimene selline aruanne tehakse kättesaadavaks hiljemalt X [väljaannete talitus: palun lisada kuupäevana kahekümne esimese kuu esimene päev pärast käesoleva direktiivi jõustumise kuupäeva].</w:t>
      </w:r>
    </w:p>
    <w:p w14:paraId="57F86B4D" w14:textId="77777777" w:rsidR="00D71270" w:rsidRPr="00CB2133" w:rsidRDefault="00D71270">
      <w:pPr>
        <w:widowControl/>
        <w:rPr>
          <w:szCs w:val="24"/>
          <w:lang w:eastAsia="en-US"/>
        </w:rPr>
      </w:pPr>
      <w:r w:rsidRPr="00CB2133">
        <w:rPr>
          <w:szCs w:val="24"/>
          <w:lang w:eastAsia="en-US"/>
        </w:rPr>
        <w:br w:type="page"/>
      </w:r>
    </w:p>
    <w:p w14:paraId="2882B772" w14:textId="5995ED44"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2.</w:t>
      </w:r>
      <w:r w:rsidRPr="00CB2133">
        <w:rPr>
          <w:szCs w:val="24"/>
          <w:lang w:eastAsia="en-US"/>
        </w:rPr>
        <w:tab/>
        <w:t>Esimene jälgimisnimekiri kehtestatakse hiljemalt ... [väljaannete talitus</w:t>
      </w:r>
      <w:r w:rsidRPr="00CB2133">
        <w:rPr>
          <w:strike/>
          <w:szCs w:val="24"/>
          <w:lang w:eastAsia="en-US"/>
        </w:rPr>
        <w:t>:</w:t>
      </w:r>
      <w:r w:rsidRPr="00CB2133">
        <w:rPr>
          <w:szCs w:val="24"/>
          <w:lang w:eastAsia="en-US"/>
        </w:rPr>
        <w:t xml:space="preserve"> palun lisada kuupäevana selle kuu esimene päev, mis järgneb kuule, mil möödub 24 kuud käesoleva direktiivi jõustumise kuupäevast]. Jälgimisnimekirja ajakohastatakse seejärel </w:t>
      </w:r>
      <w:r w:rsidRPr="00CB2133">
        <w:rPr>
          <w:b/>
          <w:i/>
          <w:szCs w:val="24"/>
          <w:lang w:eastAsia="en-US"/>
        </w:rPr>
        <w:t xml:space="preserve">vähemalt </w:t>
      </w:r>
      <w:r w:rsidRPr="00CB2133">
        <w:rPr>
          <w:szCs w:val="24"/>
          <w:lang w:eastAsia="en-US"/>
        </w:rPr>
        <w:t>iga 36 kuu järel</w:t>
      </w:r>
      <w:r w:rsidRPr="00CB2133">
        <w:rPr>
          <w:b/>
          <w:i/>
          <w:szCs w:val="24"/>
          <w:lang w:eastAsia="en-US"/>
        </w:rPr>
        <w:t xml:space="preserve"> või sagedamini, kui ilmnevad uued teaduslikud tõendid, mille tõttu tuleb nimekirja ajakohastada kahe läbivaatamise vahelisel ajal</w:t>
      </w:r>
      <w:r w:rsidRPr="00CB2133">
        <w:rPr>
          <w:szCs w:val="24"/>
          <w:lang w:eastAsia="en-US"/>
        </w:rPr>
        <w:t>.</w:t>
      </w:r>
      <w:r w:rsidR="00EE61CD" w:rsidRPr="00CB2133">
        <w:rPr>
          <w:b/>
          <w:szCs w:val="24"/>
          <w:lang w:eastAsia="en-US"/>
        </w:rPr>
        <w:t xml:space="preserve"> [ME 89]</w:t>
      </w:r>
    </w:p>
    <w:p w14:paraId="39C468AE" w14:textId="4587E5D0" w:rsidR="00C45ED4" w:rsidRPr="00CB2133" w:rsidRDefault="00C45ED4" w:rsidP="00C45ED4">
      <w:pPr>
        <w:spacing w:before="120" w:after="120" w:line="360" w:lineRule="auto"/>
        <w:ind w:left="1416"/>
        <w:rPr>
          <w:b/>
          <w:szCs w:val="24"/>
          <w:lang w:eastAsia="en-US"/>
        </w:rPr>
      </w:pPr>
      <w:r w:rsidRPr="00CB2133">
        <w:rPr>
          <w:b/>
          <w:i/>
          <w:szCs w:val="24"/>
          <w:lang w:eastAsia="en-US"/>
        </w:rPr>
        <w:t>Liikmesriigid hindavad iga kahe aasta järel, kuidas mõjutab veekvaliteeti energiasüsteemi ümberkujundamisega seotud tööstustegevus, ja teavitavad komisjoni uutest tuvastatud ohtudest, et komisjon saaks jälgimisnimekirja ajakohastada. Hindamistulemused tehakse üldsusele kergesti kättesaadavaks.</w:t>
      </w:r>
      <w:r w:rsidR="00EE61CD" w:rsidRPr="00CB2133">
        <w:rPr>
          <w:b/>
          <w:szCs w:val="24"/>
          <w:lang w:eastAsia="en-US"/>
        </w:rPr>
        <w:t xml:space="preserve"> [ME 90]</w:t>
      </w:r>
    </w:p>
    <w:p w14:paraId="63F806DD" w14:textId="77777777" w:rsidR="00D71270" w:rsidRPr="00CB2133" w:rsidRDefault="00D71270">
      <w:pPr>
        <w:widowControl/>
        <w:rPr>
          <w:szCs w:val="24"/>
          <w:lang w:eastAsia="en-US"/>
        </w:rPr>
      </w:pPr>
      <w:r w:rsidRPr="00CB2133">
        <w:rPr>
          <w:szCs w:val="24"/>
          <w:lang w:eastAsia="en-US"/>
        </w:rPr>
        <w:br w:type="page"/>
      </w:r>
    </w:p>
    <w:p w14:paraId="3EF0B400" w14:textId="70395ED5" w:rsidR="00C45ED4" w:rsidRPr="00CB2133" w:rsidRDefault="00C45ED4" w:rsidP="00C45ED4">
      <w:pPr>
        <w:spacing w:before="120" w:after="120" w:line="360" w:lineRule="auto"/>
        <w:ind w:left="1416"/>
        <w:rPr>
          <w:szCs w:val="24"/>
          <w:lang w:eastAsia="en-US"/>
        </w:rPr>
      </w:pPr>
      <w:r w:rsidRPr="00CB2133">
        <w:rPr>
          <w:szCs w:val="24"/>
          <w:lang w:eastAsia="en-US"/>
        </w:rPr>
        <w:lastRenderedPageBreak/>
        <w:t>Jälgimisnimekirja ajakohastamisel jätab komisjon kehtivast nimekirjast välja kõik ained või ainerühmad, mille puhul ta peab võimalikuks hinnata nendest veekeskkonnale tulenevat riski ilma täiendavate seireandmeteta. Kui konkreetse aine või ainerühma puhul on veekeskkonnale avalduva riski hindamiseks vaja täiendavaid seireandmeid, võib jälgimisnimekirja ajakohastamisel jätta selle aine või ainerühma veel kolmeks aastaks jälgimisnimekirja. Ajakohastatud jälgimisnimekiri sisaldab ka ühte või mitut täiendavat ainet, mille puhul komisjon leiab Euroopa Kemikaaliameti teaduslikest aruannetest lähtuvalt, et sellest või nendest võib tuleneda risk veekeskkonnale.</w:t>
      </w:r>
    </w:p>
    <w:p w14:paraId="3336473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Liikmesriigid teevad kõikide jälgimisnimekirja kantud ainete ja ainerühmade seiret selleks valitud representatiivsetes seirejaamades 24 kuu vältel. Nimetatud seireperiood algab kuue kuu jooksul pärast jälgimisnimekirja kehtestamist.</w:t>
      </w:r>
    </w:p>
    <w:p w14:paraId="4456829D" w14:textId="5E72777B" w:rsidR="00C45ED4" w:rsidRPr="00CB2133" w:rsidRDefault="00C45ED4" w:rsidP="00C45ED4">
      <w:pPr>
        <w:spacing w:before="120" w:after="120" w:line="360" w:lineRule="auto"/>
        <w:ind w:left="1416"/>
        <w:rPr>
          <w:b/>
          <w:szCs w:val="24"/>
          <w:lang w:eastAsia="en-US"/>
        </w:rPr>
      </w:pPr>
      <w:r w:rsidRPr="00CB2133">
        <w:rPr>
          <w:szCs w:val="24"/>
          <w:lang w:eastAsia="en-US"/>
        </w:rPr>
        <w:t xml:space="preserve">Iga liikmesriik valib vähemalt </w:t>
      </w:r>
      <w:r w:rsidRPr="00CB2133">
        <w:rPr>
          <w:strike/>
          <w:szCs w:val="24"/>
          <w:lang w:eastAsia="en-US"/>
        </w:rPr>
        <w:t>ühe</w:t>
      </w:r>
      <w:r w:rsidRPr="00CB2133">
        <w:rPr>
          <w:b/>
          <w:i/>
          <w:szCs w:val="24"/>
          <w:lang w:eastAsia="en-US"/>
        </w:rPr>
        <w:t>kaks</w:t>
      </w:r>
      <w:r w:rsidRPr="00CB2133">
        <w:rPr>
          <w:szCs w:val="24"/>
          <w:lang w:eastAsia="en-US"/>
        </w:rPr>
        <w:t xml:space="preserve"> seirejaama ja lisaks veel sellise arvu seirejaamu, mis on võrdne liikmesriigi põhjaveekogumite ruutkilomeetrites väljendatud kogupindala ja arvu </w:t>
      </w:r>
      <w:r w:rsidRPr="00CB2133">
        <w:rPr>
          <w:strike/>
          <w:szCs w:val="24"/>
          <w:lang w:eastAsia="en-US"/>
        </w:rPr>
        <w:t>60 000</w:t>
      </w:r>
      <w:r w:rsidRPr="00CB2133">
        <w:rPr>
          <w:b/>
          <w:i/>
          <w:szCs w:val="24"/>
          <w:lang w:eastAsia="en-US"/>
        </w:rPr>
        <w:t>30 000</w:t>
      </w:r>
      <w:r w:rsidRPr="00CB2133">
        <w:rPr>
          <w:szCs w:val="24"/>
          <w:lang w:eastAsia="en-US"/>
        </w:rPr>
        <w:t xml:space="preserve"> jagatisega (ümardatuna lähima täisarvuni).</w:t>
      </w:r>
      <w:r w:rsidR="00EE61CD" w:rsidRPr="00CB2133">
        <w:rPr>
          <w:b/>
          <w:szCs w:val="24"/>
          <w:lang w:eastAsia="en-US"/>
        </w:rPr>
        <w:t xml:space="preserve"> [ME 91]</w:t>
      </w:r>
    </w:p>
    <w:p w14:paraId="666B357F" w14:textId="77777777" w:rsidR="00D71270" w:rsidRPr="00CB2133" w:rsidRDefault="00D71270">
      <w:pPr>
        <w:widowControl/>
        <w:rPr>
          <w:szCs w:val="24"/>
          <w:lang w:eastAsia="en-US"/>
        </w:rPr>
      </w:pPr>
      <w:r w:rsidRPr="00CB2133">
        <w:rPr>
          <w:szCs w:val="24"/>
          <w:lang w:eastAsia="en-US"/>
        </w:rPr>
        <w:br w:type="page"/>
      </w:r>
    </w:p>
    <w:p w14:paraId="45DD8A04" w14:textId="3D2C454B" w:rsidR="00C45ED4" w:rsidRPr="00CB2133" w:rsidRDefault="00C45ED4" w:rsidP="00C45ED4">
      <w:pPr>
        <w:spacing w:before="120" w:after="120" w:line="360" w:lineRule="auto"/>
        <w:ind w:left="1416"/>
        <w:rPr>
          <w:szCs w:val="24"/>
          <w:lang w:eastAsia="en-US"/>
        </w:rPr>
      </w:pPr>
      <w:r w:rsidRPr="00CB2133">
        <w:rPr>
          <w:szCs w:val="24"/>
          <w:lang w:eastAsia="en-US"/>
        </w:rPr>
        <w:lastRenderedPageBreak/>
        <w:t>Iga aine või ainerühma jaoks representatiivsete seirejaamade, seiresageduse ja hooajast lähtuva ajastuse valimisel võtavad liikmesriigid arvesse asjaomase üksikaine või asjaomaste ainerühma kuuluvate ainete kasutusviise ja võimalikku esinemist. Vähim seiresagedus on kord aastas.</w:t>
      </w:r>
    </w:p>
    <w:p w14:paraId="5F049225" w14:textId="77777777" w:rsidR="00C45ED4" w:rsidRPr="00CB2133" w:rsidRDefault="00C45ED4" w:rsidP="00C45ED4">
      <w:pPr>
        <w:spacing w:before="120" w:after="120" w:line="360" w:lineRule="auto"/>
        <w:ind w:left="1416"/>
        <w:rPr>
          <w:szCs w:val="24"/>
          <w:lang w:eastAsia="en-US"/>
        </w:rPr>
      </w:pPr>
      <w:r w:rsidRPr="00CB2133">
        <w:rPr>
          <w:szCs w:val="24"/>
          <w:lang w:eastAsia="en-US"/>
        </w:rPr>
        <w:t>Kui liikmesriigil on konkreetse aine või ainerühma kohta võimalik koguda piisavad võrreldavad representatiivsed ja ajakohased andmed juba käimasolevate programmide või uuringute kaudu, võib ta otsustada mitte teha asjaomase aine või ainerühma puhul täiendavat seiret jälgimisnimekirja mehhanismi raames, kui selle aine või ainerühma seireks kasutatud metoodika puhul on tagatud vastavus nendele seiremaatriksitele ja analüüsimeetoditele, millele on osutatud rakendusaktis, millega on kehtestatud jälgimisnimekiri.</w:t>
      </w:r>
    </w:p>
    <w:p w14:paraId="4E354E93" w14:textId="77777777" w:rsidR="00D71270" w:rsidRPr="00CB2133" w:rsidRDefault="00D71270">
      <w:pPr>
        <w:widowControl/>
        <w:rPr>
          <w:szCs w:val="24"/>
          <w:lang w:eastAsia="en-US"/>
        </w:rPr>
      </w:pPr>
      <w:r w:rsidRPr="00CB2133">
        <w:rPr>
          <w:szCs w:val="24"/>
          <w:lang w:eastAsia="en-US"/>
        </w:rPr>
        <w:br w:type="page"/>
      </w:r>
    </w:p>
    <w:p w14:paraId="4D677559" w14:textId="39F02E84"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4.</w:t>
      </w:r>
      <w:r w:rsidRPr="00CB2133">
        <w:rPr>
          <w:szCs w:val="24"/>
          <w:lang w:eastAsia="en-US"/>
        </w:rPr>
        <w:tab/>
        <w:t>Liikmesriigid teevad käesoleva artikli lõikes 3 osutatud seire tulemused kättesaadavaks kooskõlas direktiivi 2000/60/EÜ artikli 8 lõikega 4 ja lõike 1 kohaselt vastu võetud rakendusaktiga, millega on kehtestatud jälgimisnimekiri. Samuti teevad nad kättesaadavaks teabe seirejaamade representatiivsuse ja seirestrateegia kohta.</w:t>
      </w:r>
    </w:p>
    <w:p w14:paraId="150DC45B"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5.</w:t>
      </w:r>
      <w:r w:rsidRPr="00CB2133">
        <w:rPr>
          <w:szCs w:val="24"/>
          <w:lang w:eastAsia="en-US"/>
        </w:rPr>
        <w:tab/>
        <w:t>Euroopa Keskkonnaamet vaatab seiretulemused lõikes 3 osutatud 24 kuu pikkuse perioodi lõppedes läbi ja hindab, millised ained või ainerühmad vajavad seiret veel 24 kuu vältel ja tuleb seepärast jälgimisnimekirja jätta ning millised ained või ainerühmad võib jälgimisnimekirjast välja jätta.</w:t>
      </w:r>
    </w:p>
    <w:p w14:paraId="4C32958C" w14:textId="77777777" w:rsidR="00C45ED4" w:rsidRPr="00CB2133" w:rsidRDefault="00C45ED4" w:rsidP="00C45ED4">
      <w:pPr>
        <w:spacing w:before="120" w:after="120" w:line="360" w:lineRule="auto"/>
        <w:ind w:left="1416"/>
        <w:rPr>
          <w:szCs w:val="24"/>
          <w:lang w:eastAsia="en-US"/>
        </w:rPr>
      </w:pPr>
      <w:r w:rsidRPr="00CB2133">
        <w:rPr>
          <w:szCs w:val="24"/>
          <w:lang w:eastAsia="en-US"/>
        </w:rPr>
        <w:t>Kui komisjon jõuab esimeses lõigus osutatud Euroopa Kemikaaliameti hindamisest lähtuvalt järeldusele, et edasine seire veekeskkonnale avalduva riski täiendavaks hindamiseks ei ole vajalik, võetakse kõnealust hindamist arvesse I ja II lisa läbivaatamisel, millele on osutatud artiklis 8.</w:t>
      </w:r>
    </w:p>
    <w:p w14:paraId="1B2779B6" w14:textId="77777777" w:rsidR="00D71270" w:rsidRPr="00CB2133" w:rsidRDefault="00D71270">
      <w:pPr>
        <w:widowControl/>
        <w:rPr>
          <w:szCs w:val="24"/>
          <w:lang w:eastAsia="en-US"/>
        </w:rPr>
      </w:pPr>
      <w:r w:rsidRPr="00CB2133">
        <w:rPr>
          <w:szCs w:val="24"/>
          <w:lang w:eastAsia="en-US"/>
        </w:rPr>
        <w:br w:type="page"/>
      </w:r>
    </w:p>
    <w:p w14:paraId="4BA0086E" w14:textId="6E144853" w:rsidR="00C45ED4" w:rsidRPr="00CB2133" w:rsidRDefault="00C45ED4" w:rsidP="00C45ED4">
      <w:pPr>
        <w:spacing w:before="120" w:after="120" w:line="360" w:lineRule="auto"/>
        <w:ind w:left="1416"/>
        <w:rPr>
          <w:szCs w:val="24"/>
          <w:lang w:eastAsia="en-US"/>
        </w:rPr>
      </w:pPr>
      <w:r w:rsidRPr="00CB2133">
        <w:rPr>
          <w:szCs w:val="24"/>
          <w:lang w:eastAsia="en-US"/>
        </w:rPr>
        <w:lastRenderedPageBreak/>
        <w:t>* Euroopa Parlamendi ja nõukogu direktiiv 2008/105/EÜ, milles käsitletakse pinnavee reostuse ärahoidmist ja tõrjet ning millega muudetakse nõukogu direktiive 82/176/EMÜ, 83/513/EMÜ, 84/156/EMÜ, 84/491/EMÜ ja 86/280/EMÜ ning tunnistatakse need seejärel kehtetuks ning muudetakse Euroopa Parlamendi ja nõukogu direktiivi 2000/60/EÜ (ELT L 348, 24.12.2008, lk 84).</w:t>
      </w:r>
    </w:p>
    <w:p w14:paraId="5570455E"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16. detsembri 2020. aasta direktiiv (EL) 2020/2184 olmevee kvaliteedi kohta (ELT L 435, 23.12.2020, lk 1).</w:t>
      </w:r>
    </w:p>
    <w:p w14:paraId="4F220615"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18. detsembri 2006. aasta määrus (EÜ) nr 1907/2006, mis käsitleb kemikaalide registreerimist, hindamist, autoriseerimist ja piiramist (REACH) (ELT L 396, 30.12.2006, lk 1).</w:t>
      </w:r>
    </w:p>
    <w:p w14:paraId="675032C9"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21. oktoobri 2009. aasta määrus (EÜ) nr 1107/2009 taimekaitsevahendite turulelaskmise kohta (ELT L 309, 24.11.2009, lk 1).</w:t>
      </w:r>
    </w:p>
    <w:p w14:paraId="27D1EDC9" w14:textId="77777777" w:rsidR="00D71270" w:rsidRPr="00CB2133" w:rsidRDefault="00D71270">
      <w:pPr>
        <w:widowControl/>
        <w:rPr>
          <w:szCs w:val="24"/>
          <w:lang w:eastAsia="en-US"/>
        </w:rPr>
      </w:pPr>
      <w:r w:rsidRPr="00CB2133">
        <w:rPr>
          <w:szCs w:val="24"/>
          <w:lang w:eastAsia="en-US"/>
        </w:rPr>
        <w:br w:type="page"/>
      </w:r>
    </w:p>
    <w:p w14:paraId="0AB93D16" w14:textId="547501C6" w:rsidR="00C45ED4" w:rsidRPr="00CB2133" w:rsidRDefault="00C45ED4" w:rsidP="00C45ED4">
      <w:pPr>
        <w:spacing w:before="120" w:after="120" w:line="360" w:lineRule="auto"/>
        <w:ind w:left="1416"/>
        <w:rPr>
          <w:szCs w:val="24"/>
          <w:lang w:eastAsia="en-US"/>
        </w:rPr>
      </w:pPr>
      <w:r w:rsidRPr="00CB2133">
        <w:rPr>
          <w:szCs w:val="24"/>
          <w:lang w:eastAsia="en-US"/>
        </w:rPr>
        <w:lastRenderedPageBreak/>
        <w:t>***** Euroopa Parlamendi ja nõukogu 22. mai 2012. aasta määrus (EL) nr 528/2012, milles käsitletakse biotsiidide turul kättesaadavaks tegemist ja kasutamist (ELT L 167, 27.6.2012, lk 1).</w:t>
      </w:r>
    </w:p>
    <w:p w14:paraId="7F693653"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11. detsembri 2018. aasta määrus (EL) 2019/6, mis käsitleb veterinaarravimeid (ELT L 4, 7.1.2019, lk 43).</w:t>
      </w:r>
    </w:p>
    <w:p w14:paraId="02561D58"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6. novembri 2001. aasta direktiiv 2001/83/EÜ inimtervishoius kasutatavaid ravimeid käsitlevate ühenduse eeskirjade kohta (EÜT L 311, 28.11.2001, lk 67).</w:t>
      </w:r>
    </w:p>
    <w:p w14:paraId="3CB070F1" w14:textId="77777777" w:rsidR="00C45ED4" w:rsidRPr="00CB2133" w:rsidRDefault="00C45ED4" w:rsidP="00C45ED4">
      <w:pPr>
        <w:spacing w:before="120" w:after="120" w:line="360" w:lineRule="auto"/>
        <w:ind w:left="1416"/>
        <w:rPr>
          <w:szCs w:val="24"/>
          <w:lang w:eastAsia="en-US"/>
        </w:rPr>
      </w:pPr>
      <w:r w:rsidRPr="00CB2133">
        <w:rPr>
          <w:szCs w:val="24"/>
          <w:lang w:eastAsia="en-US"/>
        </w:rPr>
        <w:t>******** Euroopa Parlamendi ja nõukogu 21. oktoobri 2009. aasta direktiiv 2009/128/EÜ, millega kehtestatakse ühenduse tegevusraamistik pestitsiidide säästva kasutamise saavutamiseks (ELT L 309, 24.11.2009, lk 71).“</w:t>
      </w:r>
    </w:p>
    <w:p w14:paraId="6A74D87A" w14:textId="77777777" w:rsidR="00D71270" w:rsidRPr="00CB2133" w:rsidRDefault="00D71270">
      <w:pPr>
        <w:widowControl/>
        <w:rPr>
          <w:b/>
          <w:i/>
          <w:szCs w:val="24"/>
          <w:lang w:eastAsia="en-US"/>
        </w:rPr>
      </w:pPr>
      <w:r w:rsidRPr="00CB2133">
        <w:rPr>
          <w:b/>
          <w:i/>
          <w:szCs w:val="24"/>
          <w:lang w:eastAsia="en-US"/>
        </w:rPr>
        <w:br w:type="page"/>
      </w:r>
    </w:p>
    <w:p w14:paraId="57E99B54" w14:textId="3B9BFE3A"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6a)</w:t>
      </w:r>
      <w:r w:rsidRPr="00CB2133">
        <w:rPr>
          <w:szCs w:val="24"/>
          <w:lang w:eastAsia="en-US"/>
        </w:rPr>
        <w:tab/>
      </w:r>
      <w:r w:rsidRPr="00CB2133">
        <w:rPr>
          <w:b/>
          <w:i/>
          <w:szCs w:val="24"/>
          <w:lang w:eastAsia="en-US"/>
        </w:rPr>
        <w:t>Lisatakse järgmine artikkel:</w:t>
      </w:r>
    </w:p>
    <w:p w14:paraId="37F8C4D3"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6aa</w:t>
      </w:r>
      <w:r w:rsidRPr="00CB2133">
        <w:rPr>
          <w:szCs w:val="24"/>
          <w:lang w:eastAsia="en-US"/>
        </w:rPr>
        <w:br/>
      </w:r>
      <w:r w:rsidRPr="00CB2133">
        <w:rPr>
          <w:b/>
          <w:i/>
          <w:szCs w:val="24"/>
          <w:lang w:eastAsia="en-US"/>
        </w:rPr>
        <w:t>Põhjavee ökosüsteemide kaitse parandamine</w:t>
      </w:r>
    </w:p>
    <w:p w14:paraId="5DA3AE4A" w14:textId="19669F52" w:rsidR="00C45ED4" w:rsidRPr="00CB2133" w:rsidRDefault="00C45ED4" w:rsidP="00C45ED4">
      <w:pPr>
        <w:spacing w:before="120" w:after="120" w:line="360" w:lineRule="auto"/>
        <w:ind w:left="850"/>
        <w:rPr>
          <w:b/>
          <w:szCs w:val="24"/>
          <w:lang w:eastAsia="en-US"/>
        </w:rPr>
      </w:pPr>
      <w:r w:rsidRPr="00CB2133">
        <w:rPr>
          <w:b/>
          <w:i/>
          <w:szCs w:val="24"/>
          <w:lang w:eastAsia="en-US"/>
        </w:rPr>
        <w:t>Komisjon avaldab hiljemalt ... [väljaannete talitus: palun sisestada kuupäev: neli aastat pärast käesoleva direktiivi jõustumise kuupäeva] hinnangu füüsikalis-keemiliste elementide (nt pH, hapnikuga varustamine ja temperatuur) mõju kohta põhjavee ökosüsteemide tervisele, millele on vajaduse korral lisatud seadusandlik ettepanek käesoleva direktiivi vastava läbivaatamise kohta, et kehtestada vastavad parameetrid, näha ette ühtlustatud seiremeetodid ja määratleda põhjavee hea ökoloogiline seisund.</w:t>
      </w:r>
      <w:r w:rsidRPr="00CB2133">
        <w:rPr>
          <w:szCs w:val="24"/>
          <w:lang w:eastAsia="en-US"/>
        </w:rPr>
        <w:t>“</w:t>
      </w:r>
      <w:r w:rsidR="00EE61CD" w:rsidRPr="00CB2133">
        <w:rPr>
          <w:b/>
          <w:szCs w:val="24"/>
          <w:lang w:eastAsia="en-US"/>
        </w:rPr>
        <w:t xml:space="preserve"> [ME 92]</w:t>
      </w:r>
    </w:p>
    <w:p w14:paraId="16675FC6" w14:textId="77777777" w:rsidR="00D71270" w:rsidRPr="00CB2133" w:rsidRDefault="00D71270">
      <w:pPr>
        <w:widowControl/>
        <w:rPr>
          <w:b/>
          <w:i/>
          <w:szCs w:val="24"/>
          <w:lang w:eastAsia="en-US"/>
        </w:rPr>
      </w:pPr>
      <w:r w:rsidRPr="00CB2133">
        <w:rPr>
          <w:b/>
          <w:i/>
          <w:szCs w:val="24"/>
          <w:lang w:eastAsia="en-US"/>
        </w:rPr>
        <w:br w:type="page"/>
      </w:r>
    </w:p>
    <w:p w14:paraId="6B622C57" w14:textId="1FA19F42"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6b)</w:t>
      </w:r>
      <w:r w:rsidRPr="00CB2133">
        <w:rPr>
          <w:szCs w:val="24"/>
          <w:lang w:eastAsia="en-US"/>
        </w:rPr>
        <w:tab/>
      </w:r>
      <w:r w:rsidRPr="00CB2133">
        <w:rPr>
          <w:b/>
          <w:i/>
          <w:szCs w:val="24"/>
          <w:lang w:eastAsia="en-US"/>
        </w:rPr>
        <w:t>Lisatakse järgmine artikkel:</w:t>
      </w:r>
    </w:p>
    <w:p w14:paraId="304BEF2E"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6ab</w:t>
      </w:r>
      <w:r w:rsidRPr="00CB2133">
        <w:rPr>
          <w:szCs w:val="24"/>
          <w:lang w:eastAsia="en-US"/>
        </w:rPr>
        <w:br/>
      </w:r>
      <w:r w:rsidRPr="00CB2133">
        <w:rPr>
          <w:b/>
          <w:i/>
          <w:szCs w:val="24"/>
          <w:lang w:eastAsia="en-US"/>
        </w:rPr>
        <w:t>Suure ökoloogilise väärtusega, haavatavate või reostusega alade erikohtlemine</w:t>
      </w:r>
    </w:p>
    <w:p w14:paraId="6C238F00" w14:textId="633D8655" w:rsidR="00C45ED4" w:rsidRPr="00CB2133" w:rsidRDefault="00C45ED4" w:rsidP="00C45ED4">
      <w:pPr>
        <w:spacing w:before="120" w:after="120" w:line="360" w:lineRule="auto"/>
        <w:ind w:left="850"/>
        <w:rPr>
          <w:b/>
          <w:szCs w:val="24"/>
          <w:lang w:eastAsia="en-US"/>
        </w:rPr>
      </w:pPr>
      <w:r w:rsidRPr="00CB2133">
        <w:rPr>
          <w:b/>
          <w:i/>
          <w:szCs w:val="24"/>
          <w:lang w:eastAsia="en-US"/>
        </w:rPr>
        <w:t>Komisjon avaldab ... [mitte hiljem kui neli aastat pärast käesoleva direktiivi jõustumist] hinnangu suure ökoloogilise väärtusega, haavatavate või reostusega alade, näiteks koobaste ja karstialade, endiste tööstusalade ja muude teadaoleva ajaloolise saastatusega alade keemilise seisundi kohta, millele on vajaduse korral lisatud seadusandlik ettepanek käesoleva direktiivi läbivaatamiseks.</w:t>
      </w:r>
      <w:r w:rsidRPr="00CB2133">
        <w:rPr>
          <w:szCs w:val="24"/>
          <w:lang w:eastAsia="en-US"/>
        </w:rPr>
        <w:t>“</w:t>
      </w:r>
      <w:r w:rsidR="00EE61CD" w:rsidRPr="00CB2133">
        <w:rPr>
          <w:b/>
          <w:szCs w:val="24"/>
          <w:lang w:eastAsia="en-US"/>
        </w:rPr>
        <w:t xml:space="preserve"> [ME 93]</w:t>
      </w:r>
    </w:p>
    <w:p w14:paraId="10D59431" w14:textId="77777777" w:rsidR="00D71270" w:rsidRPr="00CB2133" w:rsidRDefault="00D71270">
      <w:pPr>
        <w:widowControl/>
        <w:rPr>
          <w:b/>
          <w:i/>
          <w:szCs w:val="24"/>
          <w:lang w:eastAsia="en-US"/>
        </w:rPr>
      </w:pPr>
      <w:r w:rsidRPr="00CB2133">
        <w:rPr>
          <w:b/>
          <w:i/>
          <w:szCs w:val="24"/>
          <w:lang w:eastAsia="en-US"/>
        </w:rPr>
        <w:br w:type="page"/>
      </w:r>
    </w:p>
    <w:p w14:paraId="2B31E44B" w14:textId="16D1FCA2"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6c)</w:t>
      </w:r>
      <w:r w:rsidRPr="00CB2133">
        <w:rPr>
          <w:szCs w:val="24"/>
          <w:lang w:eastAsia="en-US"/>
        </w:rPr>
        <w:tab/>
      </w:r>
      <w:r w:rsidRPr="00CB2133">
        <w:rPr>
          <w:b/>
          <w:i/>
          <w:szCs w:val="24"/>
          <w:lang w:eastAsia="en-US"/>
        </w:rPr>
        <w:t>Lisatakse järgmine artikkel:</w:t>
      </w:r>
    </w:p>
    <w:p w14:paraId="340FDD4D"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6ac</w:t>
      </w:r>
    </w:p>
    <w:p w14:paraId="5FA99475" w14:textId="598E6142" w:rsidR="00C45ED4" w:rsidRPr="00CB2133" w:rsidRDefault="00C45ED4" w:rsidP="00C45ED4">
      <w:pPr>
        <w:spacing w:before="120" w:after="120" w:line="360" w:lineRule="auto"/>
        <w:ind w:left="850"/>
        <w:rPr>
          <w:b/>
          <w:szCs w:val="24"/>
          <w:lang w:eastAsia="en-US"/>
        </w:rPr>
      </w:pPr>
      <w:r w:rsidRPr="00CB2133">
        <w:rPr>
          <w:b/>
          <w:i/>
          <w:szCs w:val="24"/>
          <w:lang w:eastAsia="en-US"/>
        </w:rPr>
        <w:t>Hiljemalt ... [üks aasta pärast käesoleva direktiivi jõustumise kuupäeva] esitab komisjon mõjuhinnangu, milles analüüsitakse, kas käesolevasse direktiivi tuleks lisada laiendatud tootjavastutuse mehhanism, millega tagatakse, et tootjad, kes lasevad turule tooteid, mis sisaldavad I lisas loetletud aineid või ühendeid, samuti käesoleva direktiivi kohasesse jälgimisnimekirja kantud uusi probleemseid aineid, aitavad katta direktiivi 2000/60/EÜ artikli 8 alusel kavandatud seireprogrammide kulusid. Vajaduse korral lisatakse mõjuhinnangule seadusandlik ettepanek käesoleva direktiivi läbivaatamiseks.</w:t>
      </w:r>
      <w:r w:rsidRPr="00CB2133">
        <w:rPr>
          <w:szCs w:val="24"/>
          <w:lang w:eastAsia="en-US"/>
        </w:rPr>
        <w:t>“</w:t>
      </w:r>
      <w:r w:rsidR="00EE61CD" w:rsidRPr="00CB2133">
        <w:rPr>
          <w:b/>
          <w:szCs w:val="24"/>
          <w:lang w:eastAsia="en-US"/>
        </w:rPr>
        <w:t xml:space="preserve"> [ME 94]</w:t>
      </w:r>
    </w:p>
    <w:p w14:paraId="3F358E9A" w14:textId="77777777" w:rsidR="00D71270" w:rsidRPr="00CB2133" w:rsidRDefault="00D71270">
      <w:pPr>
        <w:widowControl/>
        <w:rPr>
          <w:b/>
          <w:i/>
          <w:szCs w:val="24"/>
          <w:lang w:eastAsia="en-US"/>
        </w:rPr>
      </w:pPr>
      <w:r w:rsidRPr="00CB2133">
        <w:rPr>
          <w:b/>
          <w:i/>
          <w:szCs w:val="24"/>
          <w:lang w:eastAsia="en-US"/>
        </w:rPr>
        <w:br w:type="page"/>
      </w:r>
    </w:p>
    <w:p w14:paraId="07B14345" w14:textId="6CA2DE43"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6d)</w:t>
      </w:r>
      <w:r w:rsidRPr="00CB2133">
        <w:rPr>
          <w:szCs w:val="24"/>
          <w:lang w:eastAsia="en-US"/>
        </w:rPr>
        <w:tab/>
      </w:r>
      <w:r w:rsidRPr="00CB2133">
        <w:rPr>
          <w:b/>
          <w:i/>
          <w:szCs w:val="24"/>
          <w:lang w:eastAsia="en-US"/>
        </w:rPr>
        <w:t>Lisatakse järgmine artikkel:</w:t>
      </w:r>
    </w:p>
    <w:p w14:paraId="366E5DB9"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6ad</w:t>
      </w:r>
      <w:r w:rsidRPr="00CB2133">
        <w:rPr>
          <w:szCs w:val="24"/>
          <w:lang w:eastAsia="en-US"/>
        </w:rPr>
        <w:br/>
      </w:r>
      <w:r w:rsidRPr="00CB2133">
        <w:rPr>
          <w:b/>
          <w:i/>
          <w:szCs w:val="24"/>
          <w:lang w:eastAsia="en-US"/>
        </w:rPr>
        <w:t>Euroopa seirevahend</w:t>
      </w:r>
    </w:p>
    <w:p w14:paraId="430E49C4" w14:textId="77777777" w:rsidR="00C45ED4" w:rsidRPr="00CB2133" w:rsidRDefault="00C45ED4" w:rsidP="00C45ED4">
      <w:pPr>
        <w:spacing w:before="120" w:after="120" w:line="360" w:lineRule="auto"/>
        <w:ind w:left="850"/>
        <w:rPr>
          <w:szCs w:val="24"/>
          <w:lang w:eastAsia="en-US"/>
        </w:rPr>
      </w:pPr>
      <w:r w:rsidRPr="00CB2133">
        <w:rPr>
          <w:b/>
          <w:i/>
          <w:szCs w:val="24"/>
          <w:lang w:eastAsia="en-US"/>
        </w:rPr>
        <w:t>Kui liikmesriigid seda taotlevad, loob komisjon hiljemalt ... [üks aasta pärast käesoleva direktiivi jõustumise kuupäeva] seirenõuete haldamiseks ühise seirevahendi.</w:t>
      </w:r>
    </w:p>
    <w:p w14:paraId="1630A997" w14:textId="77777777" w:rsidR="00C45ED4" w:rsidRPr="00CB2133" w:rsidRDefault="00C45ED4" w:rsidP="00C45ED4">
      <w:pPr>
        <w:spacing w:before="120" w:after="120" w:line="360" w:lineRule="auto"/>
        <w:ind w:left="850"/>
        <w:rPr>
          <w:szCs w:val="24"/>
          <w:lang w:eastAsia="en-US"/>
        </w:rPr>
      </w:pPr>
      <w:r w:rsidRPr="00CB2133">
        <w:rPr>
          <w:b/>
          <w:i/>
          <w:szCs w:val="24"/>
          <w:lang w:eastAsia="en-US"/>
        </w:rPr>
        <w:t>Komisjon määrab kindlaks seirevahendi toimimise korra, mis hõlmab muu hulgas järgmist:</w:t>
      </w:r>
    </w:p>
    <w:p w14:paraId="63E6C0F9"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a)</w:t>
      </w:r>
      <w:r w:rsidRPr="00CB2133">
        <w:rPr>
          <w:szCs w:val="24"/>
          <w:lang w:eastAsia="en-US"/>
        </w:rPr>
        <w:tab/>
      </w:r>
      <w:r w:rsidRPr="00CB2133">
        <w:rPr>
          <w:b/>
          <w:i/>
          <w:szCs w:val="24"/>
          <w:lang w:eastAsia="en-US"/>
        </w:rPr>
        <w:t>asjaolu, et seirevahendi kasutamine on vabatahtlik ja sellega ei piirata liikmesriikides juba kehtestatud süsteeme;</w:t>
      </w:r>
    </w:p>
    <w:p w14:paraId="2685F65D"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b)</w:t>
      </w:r>
      <w:r w:rsidRPr="00CB2133">
        <w:rPr>
          <w:szCs w:val="24"/>
          <w:lang w:eastAsia="en-US"/>
        </w:rPr>
        <w:tab/>
      </w:r>
      <w:r w:rsidRPr="00CB2133">
        <w:rPr>
          <w:b/>
          <w:i/>
          <w:szCs w:val="24"/>
          <w:lang w:eastAsia="en-US"/>
        </w:rPr>
        <w:t>tegevuskord, mis on mõeldud liikmesriikidele, kes kavatsevad seirevahendit kasutada ja mis hõlmab muu hulgas kohustuslikku komisjoni teavitamist, riikide täpseid seirevajadusi ja -suutlikkust, proovide haldamise kohta täpsete protokollide pidamist ning ajavahemikku, mille jooksul nad kavatsevad mehhanismi kuuluda;</w:t>
      </w:r>
    </w:p>
    <w:p w14:paraId="66742848" w14:textId="77777777" w:rsidR="00D71270" w:rsidRPr="00CB2133" w:rsidRDefault="00D71270">
      <w:pPr>
        <w:widowControl/>
        <w:rPr>
          <w:b/>
          <w:i/>
          <w:szCs w:val="24"/>
          <w:lang w:eastAsia="en-US"/>
        </w:rPr>
      </w:pPr>
      <w:r w:rsidRPr="00CB2133">
        <w:rPr>
          <w:b/>
          <w:i/>
          <w:szCs w:val="24"/>
          <w:lang w:eastAsia="en-US"/>
        </w:rPr>
        <w:br w:type="page"/>
      </w:r>
    </w:p>
    <w:p w14:paraId="7C490275" w14:textId="3D318EF4" w:rsidR="00C45ED4" w:rsidRPr="00CB2133" w:rsidRDefault="00C45ED4" w:rsidP="00C45ED4">
      <w:pPr>
        <w:spacing w:before="120" w:after="120" w:line="360" w:lineRule="auto"/>
        <w:ind w:left="1416" w:hanging="566"/>
        <w:rPr>
          <w:b/>
          <w:szCs w:val="24"/>
          <w:lang w:eastAsia="en-US"/>
        </w:rPr>
      </w:pPr>
      <w:r w:rsidRPr="00CB2133">
        <w:rPr>
          <w:b/>
          <w:i/>
          <w:szCs w:val="24"/>
          <w:lang w:eastAsia="en-US"/>
        </w:rPr>
        <w:lastRenderedPageBreak/>
        <w:t>c)</w:t>
      </w:r>
      <w:r w:rsidRPr="00CB2133">
        <w:rPr>
          <w:szCs w:val="24"/>
          <w:lang w:eastAsia="en-US"/>
        </w:rPr>
        <w:tab/>
      </w:r>
      <w:r w:rsidRPr="00CB2133">
        <w:rPr>
          <w:b/>
          <w:i/>
          <w:szCs w:val="24"/>
          <w:lang w:eastAsia="en-US"/>
        </w:rPr>
        <w:t>rahastamisallikad, mis võivad hõlmata asjakohaseid liidu struktuurifonde ja programme, samuti erasektori tehtavaid osamakseid, sealhulgas laiendatud tootjavastutuse mehhanismi raames, kui see on kooskõlas artikliga 6ac kehtestatud.</w:t>
      </w:r>
      <w:r w:rsidRPr="00CB2133">
        <w:rPr>
          <w:szCs w:val="24"/>
          <w:lang w:eastAsia="en-US"/>
        </w:rPr>
        <w:t>“</w:t>
      </w:r>
      <w:r w:rsidR="00EE61CD" w:rsidRPr="00CB2133">
        <w:rPr>
          <w:b/>
          <w:szCs w:val="24"/>
          <w:lang w:eastAsia="en-US"/>
        </w:rPr>
        <w:t xml:space="preserve"> [ME 95]</w:t>
      </w:r>
    </w:p>
    <w:p w14:paraId="17F036F2"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7)</w:t>
      </w:r>
      <w:r w:rsidRPr="00CB2133">
        <w:rPr>
          <w:szCs w:val="24"/>
          <w:lang w:eastAsia="en-US"/>
        </w:rPr>
        <w:tab/>
        <w:t>Artikkel 8 asendatakse järgmisega:</w:t>
      </w:r>
    </w:p>
    <w:p w14:paraId="75789FE0"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8</w:t>
      </w:r>
    </w:p>
    <w:p w14:paraId="2F9A5CE5" w14:textId="77777777" w:rsidR="00C45ED4" w:rsidRPr="00CB2133" w:rsidRDefault="00C45ED4" w:rsidP="00C45ED4">
      <w:pPr>
        <w:spacing w:before="120" w:after="120" w:line="360" w:lineRule="auto"/>
        <w:ind w:left="850"/>
        <w:rPr>
          <w:szCs w:val="24"/>
          <w:lang w:eastAsia="en-US"/>
        </w:rPr>
      </w:pPr>
      <w:r w:rsidRPr="00CB2133">
        <w:rPr>
          <w:szCs w:val="24"/>
          <w:lang w:eastAsia="en-US"/>
        </w:rPr>
        <w:t xml:space="preserve">I–IV lisa läbivaatamine </w:t>
      </w:r>
    </w:p>
    <w:p w14:paraId="4FEA953B" w14:textId="45DBCF8D" w:rsidR="00C45ED4" w:rsidRPr="00CB2133" w:rsidRDefault="00C45ED4" w:rsidP="00C45ED4">
      <w:pPr>
        <w:spacing w:before="120" w:after="120" w:line="360" w:lineRule="auto"/>
        <w:ind w:left="1416" w:hanging="566"/>
        <w:rPr>
          <w:b/>
          <w:szCs w:val="24"/>
          <w:lang w:eastAsia="en-US"/>
        </w:rPr>
      </w:pPr>
      <w:r w:rsidRPr="00CB2133">
        <w:rPr>
          <w:szCs w:val="24"/>
          <w:lang w:eastAsia="en-US"/>
        </w:rPr>
        <w:t>1.</w:t>
      </w:r>
      <w:r w:rsidRPr="00CB2133">
        <w:rPr>
          <w:szCs w:val="24"/>
          <w:lang w:eastAsia="en-US"/>
        </w:rPr>
        <w:tab/>
        <w:t>Komisjon vaatab I lisas esitatud saasteainete loetelu ja nimetatud lisas nende saasteainete jaoks esitatud kvaliteedistandardid, samuti II lisa B osas esitatud saasteainete loetelu ja näitajad esimest korda läbi ... [väljaannete talitus</w:t>
      </w:r>
      <w:r w:rsidRPr="00CB2133">
        <w:rPr>
          <w:strike/>
          <w:szCs w:val="24"/>
          <w:lang w:eastAsia="en-US"/>
        </w:rPr>
        <w:t>:</w:t>
      </w:r>
      <w:r w:rsidRPr="00CB2133">
        <w:rPr>
          <w:szCs w:val="24"/>
          <w:lang w:eastAsia="en-US"/>
        </w:rPr>
        <w:t xml:space="preserve"> palun lisada kuupäev, mil möödub </w:t>
      </w:r>
      <w:r w:rsidRPr="00CB2133">
        <w:rPr>
          <w:strike/>
          <w:szCs w:val="24"/>
          <w:lang w:eastAsia="en-US"/>
        </w:rPr>
        <w:t>kuus</w:t>
      </w:r>
      <w:r w:rsidRPr="00CB2133">
        <w:rPr>
          <w:b/>
          <w:i/>
          <w:szCs w:val="24"/>
          <w:lang w:eastAsia="en-US"/>
        </w:rPr>
        <w:t>neli</w:t>
      </w:r>
      <w:r w:rsidRPr="00CB2133">
        <w:rPr>
          <w:szCs w:val="24"/>
          <w:lang w:eastAsia="en-US"/>
        </w:rPr>
        <w:t xml:space="preserve"> aastat käesoleva direktiivi jõustumise kuupäevast] ning seejärel iga </w:t>
      </w:r>
      <w:r w:rsidRPr="00CB2133">
        <w:rPr>
          <w:strike/>
          <w:szCs w:val="24"/>
          <w:lang w:eastAsia="en-US"/>
        </w:rPr>
        <w:t>kuue</w:t>
      </w:r>
      <w:r w:rsidRPr="00CB2133">
        <w:rPr>
          <w:b/>
          <w:i/>
          <w:szCs w:val="24"/>
          <w:lang w:eastAsia="en-US"/>
        </w:rPr>
        <w:t>nelja</w:t>
      </w:r>
      <w:r w:rsidRPr="00CB2133">
        <w:rPr>
          <w:szCs w:val="24"/>
          <w:lang w:eastAsia="en-US"/>
        </w:rPr>
        <w:t xml:space="preserve"> aasta järel.</w:t>
      </w:r>
      <w:r w:rsidR="00EE61CD" w:rsidRPr="00CB2133">
        <w:rPr>
          <w:b/>
          <w:szCs w:val="24"/>
          <w:lang w:eastAsia="en-US"/>
        </w:rPr>
        <w:t xml:space="preserve"> [ME 96]</w:t>
      </w:r>
    </w:p>
    <w:p w14:paraId="000CE36F" w14:textId="77777777" w:rsidR="00D71270" w:rsidRPr="00CB2133" w:rsidRDefault="00D71270">
      <w:pPr>
        <w:widowControl/>
        <w:rPr>
          <w:szCs w:val="24"/>
          <w:lang w:eastAsia="en-US"/>
        </w:rPr>
      </w:pPr>
      <w:r w:rsidRPr="00CB2133">
        <w:rPr>
          <w:szCs w:val="24"/>
          <w:lang w:eastAsia="en-US"/>
        </w:rPr>
        <w:br w:type="page"/>
      </w:r>
    </w:p>
    <w:p w14:paraId="756BE2AE" w14:textId="610B48CE"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2.</w:t>
      </w:r>
      <w:r w:rsidRPr="00CB2133">
        <w:rPr>
          <w:szCs w:val="24"/>
          <w:lang w:eastAsia="en-US"/>
        </w:rPr>
        <w:tab/>
      </w:r>
      <w:r w:rsidRPr="00CB2133">
        <w:rPr>
          <w:strike/>
          <w:szCs w:val="24"/>
          <w:lang w:eastAsia="en-US"/>
        </w:rPr>
        <w:t>Komisjonil on õigus võtta kooskõlas artikliga 8a vastu delegeeritud õigusakte</w:t>
      </w:r>
      <w:r w:rsidRPr="00CB2133">
        <w:rPr>
          <w:b/>
          <w:i/>
          <w:szCs w:val="24"/>
          <w:lang w:eastAsia="en-US"/>
        </w:rPr>
        <w:t>Läbivaatamistulemuste põhjal esitab komisjon asjakohasel juhul seadusandlikud ettepanekud</w:t>
      </w:r>
      <w:r w:rsidRPr="00CB2133">
        <w:rPr>
          <w:szCs w:val="24"/>
          <w:lang w:eastAsia="en-US"/>
        </w:rPr>
        <w:t xml:space="preserve"> I lisa muutmiseks, et kohandada seda teaduse ja tehnika arenguga selles lisas loetletud põhjavee saasteainete ja nende saasteainete kvaliteedistandardite lisamise või väljajätmise teel</w:t>
      </w:r>
      <w:r w:rsidRPr="00CB2133">
        <w:rPr>
          <w:strike/>
          <w:szCs w:val="24"/>
          <w:lang w:eastAsia="en-US"/>
        </w:rPr>
        <w:t>, ning</w:t>
      </w:r>
      <w:r w:rsidRPr="00CB2133">
        <w:rPr>
          <w:b/>
          <w:i/>
          <w:szCs w:val="24"/>
          <w:lang w:eastAsia="en-US"/>
        </w:rPr>
        <w:t>. Komisjonil on õigus võtta kooskõlas artikliga 8a vastu delegeeritud õigusakte II lisa</w:t>
      </w:r>
      <w:r w:rsidRPr="00CB2133">
        <w:rPr>
          <w:szCs w:val="24"/>
          <w:lang w:eastAsia="en-US"/>
        </w:rPr>
        <w:t xml:space="preserve"> B osa muutmiseks, et kohandada seda teaduse ja tehnika arenguga selliste saasteainete või näitajate lisamise teel, mille puhul liikmesriigid peavad kaaluma riiklike läviväärtuste kehtestamist.</w:t>
      </w:r>
      <w:r w:rsidR="00EE61CD" w:rsidRPr="00CB2133">
        <w:rPr>
          <w:b/>
          <w:szCs w:val="24"/>
          <w:lang w:eastAsia="en-US"/>
        </w:rPr>
        <w:t xml:space="preserve"> [ME 97]</w:t>
      </w:r>
    </w:p>
    <w:p w14:paraId="46E41CC7"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Komisjonil on õigus võtta kooskõlas artikliga 8a vastu delegeeritud õigusakte II lisa D osa muutmiseks, et kohandada seda teaduse ja tehnika arenguga selle lisa B osas loetletud ühe või mitme põhjavee saasteaine ühtlustatud läviväärtuste lisamise või muutmise teel.</w:t>
      </w:r>
    </w:p>
    <w:p w14:paraId="3830E9F7" w14:textId="7D2DDC1A" w:rsidR="00C45ED4" w:rsidRPr="00CB2133" w:rsidRDefault="00C45ED4" w:rsidP="00C45ED4">
      <w:pPr>
        <w:spacing w:before="120" w:after="120" w:line="360" w:lineRule="auto"/>
        <w:ind w:left="1416" w:hanging="566"/>
        <w:rPr>
          <w:b/>
          <w:szCs w:val="24"/>
          <w:lang w:eastAsia="en-US"/>
        </w:rPr>
      </w:pPr>
      <w:r w:rsidRPr="00CB2133">
        <w:rPr>
          <w:szCs w:val="24"/>
          <w:lang w:eastAsia="en-US"/>
        </w:rPr>
        <w:t>4.</w:t>
      </w:r>
      <w:r w:rsidRPr="00CB2133">
        <w:rPr>
          <w:szCs w:val="24"/>
          <w:lang w:eastAsia="en-US"/>
        </w:rPr>
        <w:tab/>
        <w:t>Lõigetes 2 ja 3 osutatud</w:t>
      </w:r>
      <w:r w:rsidRPr="00CB2133">
        <w:rPr>
          <w:b/>
          <w:i/>
          <w:szCs w:val="24"/>
          <w:lang w:eastAsia="en-US"/>
        </w:rPr>
        <w:t xml:space="preserve"> seadusandlike ettepanekute ja</w:t>
      </w:r>
      <w:r w:rsidRPr="00CB2133">
        <w:rPr>
          <w:szCs w:val="24"/>
          <w:lang w:eastAsia="en-US"/>
        </w:rPr>
        <w:t xml:space="preserve"> delegeeritud õigusaktide vastuvõtmisel võtab komisjon arvesse käesoleva artikli lõike 6 kohaselt Euroopa Kemikaaliameti koostatud teaduslikke aruandeid.</w:t>
      </w:r>
      <w:r w:rsidR="00EE61CD" w:rsidRPr="00CB2133">
        <w:rPr>
          <w:b/>
          <w:szCs w:val="24"/>
          <w:lang w:eastAsia="en-US"/>
        </w:rPr>
        <w:t xml:space="preserve"> [ME 98]</w:t>
      </w:r>
    </w:p>
    <w:p w14:paraId="38CDB5AA" w14:textId="77777777" w:rsidR="00D71270" w:rsidRPr="00CB2133" w:rsidRDefault="00D71270">
      <w:pPr>
        <w:widowControl/>
        <w:rPr>
          <w:szCs w:val="24"/>
          <w:lang w:eastAsia="en-US"/>
        </w:rPr>
      </w:pPr>
      <w:r w:rsidRPr="00CB2133">
        <w:rPr>
          <w:szCs w:val="24"/>
          <w:lang w:eastAsia="en-US"/>
        </w:rPr>
        <w:br w:type="page"/>
      </w:r>
    </w:p>
    <w:p w14:paraId="478C833E" w14:textId="097DC3D0"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5.</w:t>
      </w:r>
      <w:r w:rsidRPr="00CB2133">
        <w:rPr>
          <w:szCs w:val="24"/>
          <w:lang w:eastAsia="en-US"/>
        </w:rPr>
        <w:tab/>
        <w:t>Komisjonil on õigus võtta kooskõlas artikliga 8a vastu delegeeritud õigusakte II lisa A ja C osa ning III ja IV lisa muutmiseks, et kohandada neid teaduse ja tehnika arenguga.</w:t>
      </w:r>
    </w:p>
    <w:p w14:paraId="7493CB8B"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6.</w:t>
      </w:r>
      <w:r w:rsidRPr="00CB2133">
        <w:rPr>
          <w:szCs w:val="24"/>
          <w:lang w:eastAsia="en-US"/>
        </w:rPr>
        <w:tab/>
        <w:t>Euroopa Kemikaaliamet koostab teaduslikke aruandeid, et abistada komisjoni seoses I ja II lisa läbivaatamisega. Nendes aruannetes võetakse arvesse:</w:t>
      </w:r>
    </w:p>
    <w:p w14:paraId="64F49485"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ameti riskihindamise komitee ja sotsiaal-majandusliku analüüsi komitee arvamust;</w:t>
      </w:r>
    </w:p>
    <w:p w14:paraId="15F2AA6E"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direktiivi 2000/60/EÜ artikli 8 alusel kehtestatud seireprogrammide tulemusi;</w:t>
      </w:r>
    </w:p>
    <w:p w14:paraId="1980F7F5"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c)</w:t>
      </w:r>
      <w:r w:rsidRPr="00CB2133">
        <w:rPr>
          <w:szCs w:val="24"/>
          <w:lang w:eastAsia="en-US"/>
        </w:rPr>
        <w:tab/>
        <w:t>käesoleva direktiivi artikli 6a lõike 4 kohaselt kogutud seireandmeid;</w:t>
      </w:r>
    </w:p>
    <w:p w14:paraId="03B53C1D"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d)</w:t>
      </w:r>
      <w:r w:rsidRPr="00CB2133">
        <w:rPr>
          <w:szCs w:val="24"/>
          <w:lang w:eastAsia="en-US"/>
        </w:rPr>
        <w:tab/>
        <w:t>direktiivi 2008/105/EÜ ja direktiivi (EL) 2020/2184 lisade läbivaatamise tulemusi;</w:t>
      </w:r>
    </w:p>
    <w:p w14:paraId="2CDFABAF" w14:textId="77777777" w:rsidR="00D71270" w:rsidRPr="00CB2133" w:rsidRDefault="00D71270">
      <w:pPr>
        <w:widowControl/>
        <w:rPr>
          <w:szCs w:val="24"/>
          <w:lang w:eastAsia="en-US"/>
        </w:rPr>
      </w:pPr>
      <w:r w:rsidRPr="00CB2133">
        <w:rPr>
          <w:szCs w:val="24"/>
          <w:lang w:eastAsia="en-US"/>
        </w:rPr>
        <w:br w:type="page"/>
      </w:r>
    </w:p>
    <w:p w14:paraId="5ACFCA4C" w14:textId="46BF1D9B"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e)</w:t>
      </w:r>
      <w:r w:rsidRPr="00CB2133">
        <w:rPr>
          <w:szCs w:val="24"/>
          <w:lang w:eastAsia="en-US"/>
        </w:rPr>
        <w:tab/>
        <w:t>pinnasereostuse vähendamisega seotud teavet ja nõudeid;</w:t>
      </w:r>
    </w:p>
    <w:p w14:paraId="7090B46D" w14:textId="732D6257" w:rsidR="00C45ED4" w:rsidRPr="00CB2133" w:rsidRDefault="00C45ED4" w:rsidP="00C45ED4">
      <w:pPr>
        <w:spacing w:before="120" w:after="120" w:line="360" w:lineRule="auto"/>
        <w:ind w:left="1982" w:hanging="566"/>
        <w:rPr>
          <w:b/>
          <w:szCs w:val="24"/>
          <w:lang w:eastAsia="en-US"/>
        </w:rPr>
      </w:pPr>
      <w:r w:rsidRPr="00CB2133">
        <w:rPr>
          <w:szCs w:val="24"/>
          <w:lang w:eastAsia="en-US"/>
        </w:rPr>
        <w:t>f)</w:t>
      </w:r>
      <w:r w:rsidRPr="00CB2133">
        <w:rPr>
          <w:szCs w:val="24"/>
          <w:lang w:eastAsia="en-US"/>
        </w:rPr>
        <w:tab/>
        <w:t xml:space="preserve">liidu teadusprogramme ja teadusartikleid, sealhulgas kaugseiretehnoloogia, Maa seire (Copernicuse programmi teenused) ning kohapealsete andurite ja seadmete abil saadud </w:t>
      </w:r>
      <w:r w:rsidRPr="00CB2133">
        <w:rPr>
          <w:b/>
          <w:i/>
          <w:szCs w:val="24"/>
          <w:lang w:eastAsia="en-US"/>
        </w:rPr>
        <w:t xml:space="preserve">ajakohast </w:t>
      </w:r>
      <w:r w:rsidRPr="00CB2133">
        <w:rPr>
          <w:szCs w:val="24"/>
          <w:lang w:eastAsia="en-US"/>
        </w:rPr>
        <w:t xml:space="preserve">teavet, ja/või kodanikelt saadud teadusandmeid, et kasutada ära </w:t>
      </w:r>
      <w:r w:rsidRPr="00CB2133">
        <w:rPr>
          <w:b/>
          <w:i/>
          <w:szCs w:val="24"/>
          <w:lang w:eastAsia="en-US"/>
        </w:rPr>
        <w:t xml:space="preserve">võimalusi, mida pakub parim võimalik tehnika, mis võib hõlmata </w:t>
      </w:r>
      <w:r w:rsidRPr="00CB2133">
        <w:rPr>
          <w:szCs w:val="24"/>
          <w:lang w:eastAsia="en-US"/>
        </w:rPr>
        <w:t>tehisintellekti</w:t>
      </w:r>
      <w:r w:rsidRPr="00CB2133">
        <w:rPr>
          <w:strike/>
          <w:szCs w:val="24"/>
          <w:lang w:eastAsia="en-US"/>
        </w:rPr>
        <w:t xml:space="preserve"> ning kõrgetasemelise</w:t>
      </w:r>
      <w:r w:rsidRPr="00CB2133">
        <w:rPr>
          <w:b/>
          <w:i/>
          <w:szCs w:val="24"/>
          <w:lang w:eastAsia="en-US"/>
        </w:rPr>
        <w:t>, kõrgetasemelist</w:t>
      </w:r>
      <w:r w:rsidRPr="00CB2133">
        <w:rPr>
          <w:szCs w:val="24"/>
          <w:lang w:eastAsia="en-US"/>
        </w:rPr>
        <w:t xml:space="preserve"> andmeanalüüsi ja -</w:t>
      </w:r>
      <w:r w:rsidRPr="00CB2133">
        <w:rPr>
          <w:strike/>
          <w:szCs w:val="24"/>
          <w:lang w:eastAsia="en-US"/>
        </w:rPr>
        <w:t>töötlusega seotud võimalusi</w:t>
      </w:r>
      <w:r w:rsidRPr="00CB2133">
        <w:rPr>
          <w:b/>
          <w:i/>
          <w:szCs w:val="24"/>
          <w:lang w:eastAsia="en-US"/>
        </w:rPr>
        <w:t>töötlust</w:t>
      </w:r>
      <w:r w:rsidRPr="00CB2133">
        <w:rPr>
          <w:szCs w:val="24"/>
          <w:lang w:eastAsia="en-US"/>
        </w:rPr>
        <w:t>;</w:t>
      </w:r>
      <w:r w:rsidR="00EE61CD" w:rsidRPr="00CB2133">
        <w:rPr>
          <w:b/>
          <w:szCs w:val="24"/>
          <w:lang w:eastAsia="en-US"/>
        </w:rPr>
        <w:t xml:space="preserve"> [ME 99]</w:t>
      </w:r>
    </w:p>
    <w:p w14:paraId="7A66AC3C" w14:textId="6829E27D" w:rsidR="00C45ED4" w:rsidRPr="00CB2133" w:rsidRDefault="00C45ED4" w:rsidP="00C45ED4">
      <w:pPr>
        <w:spacing w:before="120" w:after="120" w:line="360" w:lineRule="auto"/>
        <w:ind w:left="1982" w:hanging="566"/>
        <w:rPr>
          <w:b/>
          <w:szCs w:val="24"/>
          <w:lang w:eastAsia="en-US"/>
        </w:rPr>
      </w:pPr>
      <w:r w:rsidRPr="00CB2133">
        <w:rPr>
          <w:szCs w:val="24"/>
          <w:lang w:eastAsia="en-US"/>
        </w:rPr>
        <w:t>g)</w:t>
      </w:r>
      <w:r w:rsidRPr="00CB2133">
        <w:rPr>
          <w:szCs w:val="24"/>
          <w:lang w:eastAsia="en-US"/>
        </w:rPr>
        <w:tab/>
        <w:t>asjaomastelt sidusrühmadelt</w:t>
      </w:r>
      <w:r w:rsidRPr="00CB2133">
        <w:rPr>
          <w:b/>
          <w:i/>
          <w:szCs w:val="24"/>
          <w:lang w:eastAsia="en-US"/>
        </w:rPr>
        <w:t>, sealhulgas liikmesriikide reguleerivatelt asutustelt ja muudelt asjakohastelt organitelt</w:t>
      </w:r>
      <w:r w:rsidRPr="00CB2133">
        <w:rPr>
          <w:szCs w:val="24"/>
          <w:lang w:eastAsia="en-US"/>
        </w:rPr>
        <w:t xml:space="preserve"> saadud märkusi ja teavet.</w:t>
      </w:r>
      <w:r w:rsidR="00EE61CD" w:rsidRPr="00CB2133">
        <w:rPr>
          <w:b/>
          <w:szCs w:val="24"/>
          <w:lang w:eastAsia="en-US"/>
        </w:rPr>
        <w:t xml:space="preserve"> [ME 100]</w:t>
      </w:r>
    </w:p>
    <w:p w14:paraId="4FEA76B4" w14:textId="18337D8C" w:rsidR="00C45ED4" w:rsidRPr="00CB2133" w:rsidRDefault="00C45ED4" w:rsidP="00C45ED4">
      <w:pPr>
        <w:spacing w:before="120" w:after="120" w:line="360" w:lineRule="auto"/>
        <w:ind w:left="1416" w:hanging="566"/>
        <w:rPr>
          <w:b/>
          <w:szCs w:val="24"/>
          <w:lang w:eastAsia="en-US"/>
        </w:rPr>
      </w:pPr>
      <w:r w:rsidRPr="00CB2133">
        <w:rPr>
          <w:b/>
          <w:i/>
          <w:szCs w:val="24"/>
          <w:lang w:eastAsia="en-US"/>
        </w:rPr>
        <w:t>6a.</w:t>
      </w:r>
      <w:r w:rsidRPr="00CB2133">
        <w:rPr>
          <w:szCs w:val="24"/>
          <w:lang w:eastAsia="en-US"/>
        </w:rPr>
        <w:tab/>
      </w:r>
      <w:r w:rsidRPr="00CB2133">
        <w:rPr>
          <w:b/>
          <w:i/>
          <w:szCs w:val="24"/>
          <w:lang w:eastAsia="en-US"/>
        </w:rPr>
        <w:t>Komisjon koostab hiljemalt 12. jaanuariks 2025 tehnilised suunised, mis käsitlevad parameetri „PFASid kokku“ alusel tehtavaks per- ja polüfluoritud alküülühendite seireks kasutatava analüüsi meetodeid. Komisjonil on õigus võtta kooskõlas artikliga 8a vastu delegeeritud õigusakte käesoleva direktiivi muutmiseks, kehtestades parameetrile „PFASid kokku“ kvaliteedistandardi ja muutes sellega seoses I lisa. Komisjon võtab kõnealused delegeeritud õigusaktid vastu hiljemalt 12. jaanuariks 2026.</w:t>
      </w:r>
      <w:r w:rsidR="00EE61CD" w:rsidRPr="00CB2133">
        <w:rPr>
          <w:b/>
          <w:szCs w:val="24"/>
          <w:lang w:eastAsia="en-US"/>
        </w:rPr>
        <w:t xml:space="preserve"> [ME 101]</w:t>
      </w:r>
    </w:p>
    <w:p w14:paraId="37223C80" w14:textId="77777777" w:rsidR="00D71270" w:rsidRPr="00CB2133" w:rsidRDefault="00D71270">
      <w:pPr>
        <w:widowControl/>
        <w:rPr>
          <w:szCs w:val="24"/>
          <w:lang w:eastAsia="en-US"/>
        </w:rPr>
      </w:pPr>
      <w:r w:rsidRPr="00CB2133">
        <w:rPr>
          <w:szCs w:val="24"/>
          <w:lang w:eastAsia="en-US"/>
        </w:rPr>
        <w:br w:type="page"/>
      </w:r>
    </w:p>
    <w:p w14:paraId="70D8A96F" w14:textId="1A28157F"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7.</w:t>
      </w:r>
      <w:r w:rsidRPr="00CB2133">
        <w:rPr>
          <w:szCs w:val="24"/>
          <w:lang w:eastAsia="en-US"/>
        </w:rPr>
        <w:tab/>
        <w:t xml:space="preserve">Euroopa Kemikaaliamet koostab iga </w:t>
      </w:r>
      <w:r w:rsidRPr="00CB2133">
        <w:rPr>
          <w:strike/>
          <w:szCs w:val="24"/>
          <w:lang w:eastAsia="en-US"/>
        </w:rPr>
        <w:t>kuue</w:t>
      </w:r>
      <w:r w:rsidRPr="00CB2133">
        <w:rPr>
          <w:b/>
          <w:i/>
          <w:szCs w:val="24"/>
          <w:lang w:eastAsia="en-US"/>
        </w:rPr>
        <w:t>nelja</w:t>
      </w:r>
      <w:r w:rsidRPr="00CB2133">
        <w:rPr>
          <w:szCs w:val="24"/>
          <w:lang w:eastAsia="en-US"/>
        </w:rPr>
        <w:t xml:space="preserve"> aasta järel aruande, milles esitatakse kokkuvõte lõigetes 2 ja 3 osutatud läbivaatamise tulemuste kohta, ning teeb selle üldsusele kättesaadavaks. Esimene aruanne esitatakse komisjonile ... [väljaannete talitus: palun lisada kuupäev, mil möödub </w:t>
      </w:r>
      <w:r w:rsidRPr="00CB2133">
        <w:rPr>
          <w:strike/>
          <w:szCs w:val="24"/>
          <w:lang w:eastAsia="en-US"/>
        </w:rPr>
        <w:t>viis</w:t>
      </w:r>
      <w:r w:rsidRPr="00CB2133">
        <w:rPr>
          <w:b/>
          <w:i/>
          <w:szCs w:val="24"/>
          <w:lang w:eastAsia="en-US"/>
        </w:rPr>
        <w:t>kolm</w:t>
      </w:r>
      <w:r w:rsidRPr="00CB2133">
        <w:rPr>
          <w:szCs w:val="24"/>
          <w:lang w:eastAsia="en-US"/>
        </w:rPr>
        <w:t xml:space="preserve"> aastat käesoleva direktiivi jõustumise kuupäevast].“</w:t>
      </w:r>
      <w:r w:rsidR="00D1072B" w:rsidRPr="00CB2133">
        <w:rPr>
          <w:b/>
          <w:szCs w:val="24"/>
          <w:lang w:eastAsia="en-US"/>
        </w:rPr>
        <w:t xml:space="preserve"> [ME 102]</w:t>
      </w:r>
    </w:p>
    <w:p w14:paraId="42E9038E"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8)</w:t>
      </w:r>
      <w:r w:rsidRPr="00CB2133">
        <w:rPr>
          <w:szCs w:val="24"/>
          <w:lang w:eastAsia="en-US"/>
        </w:rPr>
        <w:tab/>
        <w:t>Lisatakse artikkel 8a:</w:t>
      </w:r>
    </w:p>
    <w:p w14:paraId="003A3EB9"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8a</w:t>
      </w:r>
    </w:p>
    <w:p w14:paraId="5584F468" w14:textId="77777777" w:rsidR="00C45ED4" w:rsidRPr="00CB2133" w:rsidRDefault="00C45ED4" w:rsidP="00C45ED4">
      <w:pPr>
        <w:spacing w:before="120" w:after="120" w:line="360" w:lineRule="auto"/>
        <w:ind w:left="850"/>
        <w:rPr>
          <w:szCs w:val="24"/>
          <w:lang w:eastAsia="en-US"/>
        </w:rPr>
      </w:pPr>
      <w:r w:rsidRPr="00CB2133">
        <w:rPr>
          <w:szCs w:val="24"/>
          <w:lang w:eastAsia="en-US"/>
        </w:rPr>
        <w:t>Delegeeritud volituste rakendamine</w:t>
      </w:r>
    </w:p>
    <w:p w14:paraId="68A1124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Komisjonile antakse õigus võtta vastu delegeeritud õigusakte käesolevas artiklis sätestatud tingimustel.</w:t>
      </w:r>
    </w:p>
    <w:p w14:paraId="0646DD27" w14:textId="493589D2" w:rsidR="00C45ED4" w:rsidRPr="00CB2133" w:rsidRDefault="00C45ED4" w:rsidP="00C45ED4">
      <w:pPr>
        <w:spacing w:before="120" w:after="120" w:line="360" w:lineRule="auto"/>
        <w:ind w:left="1416" w:hanging="566"/>
        <w:rPr>
          <w:b/>
          <w:szCs w:val="24"/>
          <w:lang w:eastAsia="en-US"/>
        </w:rPr>
      </w:pPr>
      <w:r w:rsidRPr="00CB2133">
        <w:rPr>
          <w:szCs w:val="24"/>
          <w:lang w:eastAsia="en-US"/>
        </w:rPr>
        <w:t>2.</w:t>
      </w:r>
      <w:r w:rsidRPr="00CB2133">
        <w:rPr>
          <w:szCs w:val="24"/>
          <w:lang w:eastAsia="en-US"/>
        </w:rPr>
        <w:tab/>
        <w:t xml:space="preserve">Artikli 8 lõigetes </w:t>
      </w:r>
      <w:r w:rsidRPr="00CB2133">
        <w:rPr>
          <w:strike/>
          <w:szCs w:val="24"/>
          <w:lang w:eastAsia="en-US"/>
        </w:rPr>
        <w:t>1 ja 2</w:t>
      </w:r>
      <w:r w:rsidRPr="00CB2133">
        <w:rPr>
          <w:b/>
          <w:i/>
          <w:szCs w:val="24"/>
          <w:lang w:eastAsia="en-US"/>
        </w:rPr>
        <w:t>2, 3 ja 6a</w:t>
      </w:r>
      <w:r w:rsidRPr="00CB2133">
        <w:rPr>
          <w:szCs w:val="24"/>
          <w:lang w:eastAsia="en-US"/>
        </w:rPr>
        <w:t xml:space="preserve"> osutatud õigus võtta vastu delegeeritud õigusakte antakse komisjonile </w:t>
      </w:r>
      <w:r w:rsidRPr="00CB2133">
        <w:rPr>
          <w:strike/>
          <w:szCs w:val="24"/>
          <w:lang w:eastAsia="en-US"/>
        </w:rPr>
        <w:t>määramata ajaks</w:t>
      </w:r>
      <w:r w:rsidRPr="00CB2133">
        <w:rPr>
          <w:b/>
          <w:i/>
          <w:szCs w:val="24"/>
          <w:lang w:eastAsia="en-US"/>
        </w:rPr>
        <w:t>kuueks aastaks</w:t>
      </w:r>
      <w:r w:rsidRPr="00CB2133">
        <w:rPr>
          <w:szCs w:val="24"/>
          <w:lang w:eastAsia="en-US"/>
        </w:rPr>
        <w:t xml:space="preserve"> alates </w:t>
      </w:r>
      <w:r w:rsidRPr="00CB2133">
        <w:rPr>
          <w:strike/>
          <w:szCs w:val="24"/>
          <w:lang w:eastAsia="en-US"/>
        </w:rPr>
        <w:t xml:space="preserve">[väljaannete talitus: palun sisestada </w:t>
      </w:r>
      <w:r w:rsidRPr="00CB2133">
        <w:rPr>
          <w:b/>
          <w:i/>
          <w:szCs w:val="24"/>
          <w:lang w:eastAsia="en-US"/>
        </w:rPr>
        <w:t>… [</w:t>
      </w:r>
      <w:r w:rsidRPr="00CB2133">
        <w:rPr>
          <w:szCs w:val="24"/>
          <w:lang w:eastAsia="en-US"/>
        </w:rPr>
        <w:t>käesoleva direktiivi jõustumise kuupäev].</w:t>
      </w:r>
      <w:r w:rsidRPr="00CB2133">
        <w:rPr>
          <w:b/>
          <w:i/>
          <w:szCs w:val="24"/>
          <w:lang w:eastAsia="en-US"/>
        </w:rPr>
        <w:t xml:space="preserve"> Komisjon esitab delegeeritud volituste kohta aruande hiljemalt üheksa kuud enne kuueaastase tähtaja möödumist. Volituste delegeerimist pikendatakse automaatselt samaks ajavahemikuks, välja arvatud juhul, kui Euroopa Parlament või nõukogu esitab selle suhtes vastuväite hiljemalt kolm kuud enne iga ajavahemiku lõppemist.</w:t>
      </w:r>
      <w:r w:rsidR="00D1072B" w:rsidRPr="00CB2133">
        <w:rPr>
          <w:b/>
          <w:szCs w:val="24"/>
          <w:lang w:eastAsia="en-US"/>
        </w:rPr>
        <w:t xml:space="preserve"> [ME 103]</w:t>
      </w:r>
    </w:p>
    <w:p w14:paraId="08C11A4F" w14:textId="77777777" w:rsidR="00D71270" w:rsidRPr="00CB2133" w:rsidRDefault="00D71270">
      <w:pPr>
        <w:widowControl/>
        <w:rPr>
          <w:szCs w:val="24"/>
          <w:lang w:eastAsia="en-US"/>
        </w:rPr>
      </w:pPr>
      <w:r w:rsidRPr="00CB2133">
        <w:rPr>
          <w:szCs w:val="24"/>
          <w:lang w:eastAsia="en-US"/>
        </w:rPr>
        <w:br w:type="page"/>
      </w:r>
    </w:p>
    <w:p w14:paraId="679ECCD9" w14:textId="43FD9D45"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3.</w:t>
      </w:r>
      <w:r w:rsidRPr="00CB2133">
        <w:rPr>
          <w:szCs w:val="24"/>
          <w:lang w:eastAsia="en-US"/>
        </w:rPr>
        <w:tab/>
        <w:t xml:space="preserve">Euroopa Parlament ja nõukogu võivad artikli 8 lõigetes </w:t>
      </w:r>
      <w:r w:rsidRPr="00CB2133">
        <w:rPr>
          <w:strike/>
          <w:szCs w:val="24"/>
          <w:lang w:eastAsia="en-US"/>
        </w:rPr>
        <w:t>1 ja 2</w:t>
      </w:r>
      <w:r w:rsidRPr="00CB2133">
        <w:rPr>
          <w:b/>
          <w:i/>
          <w:szCs w:val="24"/>
          <w:lang w:eastAsia="en-US"/>
        </w:rPr>
        <w:t>2, 3 ja 6a</w:t>
      </w:r>
      <w:r w:rsidRPr="00CB2133">
        <w:rPr>
          <w:szCs w:val="24"/>
          <w:lang w:eastAsia="en-US"/>
        </w:rPr>
        <w:t xml:space="preserve"> osutatud volituste delegeerimise igal ajal tagasi võtta. Tagasivõtmise otsusega lõpetatakse otsuses nimetatud volituste delegeerimine. Otsus jõustub järgmisel päeval pärast selle avaldamist </w:t>
      </w:r>
      <w:r w:rsidRPr="00CB2133">
        <w:rPr>
          <w:i/>
          <w:szCs w:val="24"/>
          <w:lang w:eastAsia="en-US"/>
        </w:rPr>
        <w:t>Euroopa Liidu Teatajas</w:t>
      </w:r>
      <w:r w:rsidRPr="00CB2133">
        <w:rPr>
          <w:szCs w:val="24"/>
          <w:lang w:eastAsia="en-US"/>
        </w:rPr>
        <w:t xml:space="preserve"> või otsuses nimetatud hilisemal kuupäeval. See ei mõjuta juba jõustunud delegeeritud õigusaktide kehtivust.</w:t>
      </w:r>
      <w:r w:rsidR="00D1072B" w:rsidRPr="00CB2133">
        <w:rPr>
          <w:b/>
          <w:szCs w:val="24"/>
          <w:lang w:eastAsia="en-US"/>
        </w:rPr>
        <w:t xml:space="preserve"> [ME 104]</w:t>
      </w:r>
    </w:p>
    <w:p w14:paraId="52259D10" w14:textId="1B54570E" w:rsidR="00C45ED4" w:rsidRPr="00CB2133" w:rsidRDefault="00C45ED4" w:rsidP="00C45ED4">
      <w:pPr>
        <w:spacing w:before="120" w:after="120" w:line="360" w:lineRule="auto"/>
        <w:ind w:left="1416" w:hanging="566"/>
        <w:rPr>
          <w:b/>
          <w:szCs w:val="24"/>
          <w:lang w:eastAsia="en-US"/>
        </w:rPr>
      </w:pPr>
      <w:r w:rsidRPr="00CB2133">
        <w:rPr>
          <w:szCs w:val="24"/>
          <w:lang w:eastAsia="en-US"/>
        </w:rPr>
        <w:t>4.</w:t>
      </w:r>
      <w:r w:rsidRPr="00CB2133">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r w:rsidR="00862394" w:rsidRPr="00CB2133">
        <w:rPr>
          <w:b/>
          <w:szCs w:val="24"/>
          <w:lang w:eastAsia="en-US"/>
        </w:rPr>
        <w:t xml:space="preserve"> [ME 105 ei mõjuta eestikeelset versiooni]</w:t>
      </w:r>
    </w:p>
    <w:p w14:paraId="08074EC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5.</w:t>
      </w:r>
      <w:r w:rsidRPr="00CB2133">
        <w:rPr>
          <w:szCs w:val="24"/>
          <w:lang w:eastAsia="en-US"/>
        </w:rPr>
        <w:tab/>
        <w:t>Niipea kui komisjon on delegeeritud õigusakti vastu võtnud, teavitab ta sellest üheaegselt Euroopa Parlamenti ja nõukogu.</w:t>
      </w:r>
    </w:p>
    <w:p w14:paraId="6FCFDEEB" w14:textId="77777777" w:rsidR="00D71270" w:rsidRPr="00CB2133" w:rsidRDefault="00D71270">
      <w:pPr>
        <w:widowControl/>
        <w:rPr>
          <w:szCs w:val="24"/>
          <w:lang w:eastAsia="en-US"/>
        </w:rPr>
      </w:pPr>
      <w:r w:rsidRPr="00CB2133">
        <w:rPr>
          <w:szCs w:val="24"/>
          <w:lang w:eastAsia="en-US"/>
        </w:rPr>
        <w:br w:type="page"/>
      </w:r>
    </w:p>
    <w:p w14:paraId="1B66B5BD" w14:textId="13AA6F45"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6.</w:t>
      </w:r>
      <w:r w:rsidRPr="00CB2133">
        <w:rPr>
          <w:szCs w:val="24"/>
          <w:lang w:eastAsia="en-US"/>
        </w:rPr>
        <w:tab/>
        <w:t xml:space="preserve">Artikli 8 lõike </w:t>
      </w:r>
      <w:r w:rsidRPr="00CB2133">
        <w:rPr>
          <w:strike/>
          <w:szCs w:val="24"/>
          <w:lang w:eastAsia="en-US"/>
        </w:rPr>
        <w:t>1 või 2</w:t>
      </w:r>
      <w:r w:rsidRPr="00CB2133">
        <w:rPr>
          <w:b/>
          <w:i/>
          <w:szCs w:val="24"/>
          <w:lang w:eastAsia="en-US"/>
        </w:rPr>
        <w:t>2, 3 või 6a</w:t>
      </w:r>
      <w:r w:rsidRPr="00CB2133">
        <w:rPr>
          <w:szCs w:val="24"/>
          <w:lang w:eastAsia="en-US"/>
        </w:rPr>
        <w:t xml:space="preserve">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r w:rsidR="00862394" w:rsidRPr="00CB2133">
        <w:rPr>
          <w:b/>
          <w:szCs w:val="24"/>
          <w:lang w:eastAsia="en-US"/>
        </w:rPr>
        <w:t xml:space="preserve"> [ME 106]</w:t>
      </w:r>
    </w:p>
    <w:p w14:paraId="4E56CE07"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9)</w:t>
      </w:r>
      <w:r w:rsidRPr="00CB2133">
        <w:rPr>
          <w:szCs w:val="24"/>
          <w:lang w:eastAsia="en-US"/>
        </w:rPr>
        <w:tab/>
        <w:t>Artikkel 9 asendatakse järgmisega:</w:t>
      </w:r>
    </w:p>
    <w:p w14:paraId="732ACF7C"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9</w:t>
      </w:r>
    </w:p>
    <w:p w14:paraId="4C66CC4B" w14:textId="77777777" w:rsidR="00C45ED4" w:rsidRPr="00CB2133" w:rsidRDefault="00C45ED4" w:rsidP="00C45ED4">
      <w:pPr>
        <w:spacing w:before="120" w:after="120" w:line="360" w:lineRule="auto"/>
        <w:ind w:left="850"/>
        <w:rPr>
          <w:szCs w:val="24"/>
          <w:lang w:eastAsia="en-US"/>
        </w:rPr>
      </w:pPr>
      <w:r w:rsidRPr="00CB2133">
        <w:rPr>
          <w:szCs w:val="24"/>
          <w:lang w:eastAsia="en-US"/>
        </w:rPr>
        <w:t>Komiteemenetlus</w:t>
      </w:r>
    </w:p>
    <w:p w14:paraId="1EB84A0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 abistab komitee. Nimetatud komitee on komitee Euroopa Parlamendi ja nõukogu määruse (EL) nr 182/2011* tähenduses.</w:t>
      </w:r>
    </w:p>
    <w:p w14:paraId="05E3AE0D" w14:textId="77777777" w:rsidR="00D71270" w:rsidRPr="00CB2133" w:rsidRDefault="00D71270">
      <w:pPr>
        <w:widowControl/>
        <w:rPr>
          <w:szCs w:val="24"/>
          <w:lang w:eastAsia="en-US"/>
        </w:rPr>
      </w:pPr>
      <w:r w:rsidRPr="00CB2133">
        <w:rPr>
          <w:szCs w:val="24"/>
          <w:lang w:eastAsia="en-US"/>
        </w:rPr>
        <w:br w:type="page"/>
      </w:r>
    </w:p>
    <w:p w14:paraId="1EFC3D18" w14:textId="14A7D6AF"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2.</w:t>
      </w:r>
      <w:r w:rsidRPr="00CB2133">
        <w:rPr>
          <w:szCs w:val="24"/>
          <w:lang w:eastAsia="en-US"/>
        </w:rPr>
        <w:tab/>
        <w:t>Käesolevale lõikele viitamisel kohaldatakse määruse (EL) nr 182/2011 artiklit 5.</w:t>
      </w:r>
    </w:p>
    <w:p w14:paraId="4DC079B1" w14:textId="77777777" w:rsidR="00C45ED4" w:rsidRPr="00CB2133" w:rsidRDefault="00C45ED4" w:rsidP="00C45ED4">
      <w:pPr>
        <w:spacing w:before="120" w:after="120" w:line="360" w:lineRule="auto"/>
        <w:ind w:left="850"/>
        <w:rPr>
          <w:szCs w:val="24"/>
          <w:lang w:eastAsia="en-US"/>
        </w:rPr>
      </w:pPr>
      <w:r w:rsidRPr="00CB2133">
        <w:rPr>
          <w:szCs w:val="24"/>
          <w:lang w:eastAsia="en-US"/>
        </w:rPr>
        <w:t>Kui komitee arvamust ei esita, ei võta komisjon rakendusakti eelnõu vastu ja kohaldatakse määruse (EL) nr 182/2011 artikli 5 lõike 4 kolmandat lõiku.</w:t>
      </w:r>
    </w:p>
    <w:p w14:paraId="6C094913"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p w14:paraId="3B454C92"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10)</w:t>
      </w:r>
      <w:r w:rsidRPr="00CB2133">
        <w:rPr>
          <w:szCs w:val="24"/>
          <w:lang w:eastAsia="en-US"/>
        </w:rPr>
        <w:tab/>
        <w:t>Artikkel 10 jäetakse välja.</w:t>
      </w:r>
    </w:p>
    <w:p w14:paraId="6C9761D1"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11)</w:t>
      </w:r>
      <w:r w:rsidRPr="00CB2133">
        <w:rPr>
          <w:szCs w:val="24"/>
          <w:lang w:eastAsia="en-US"/>
        </w:rPr>
        <w:tab/>
        <w:t>I lisa asendatakse käesoleva direktiivi III lisa tekstiga.</w:t>
      </w:r>
    </w:p>
    <w:p w14:paraId="06907488"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12)</w:t>
      </w:r>
      <w:r w:rsidRPr="00CB2133">
        <w:rPr>
          <w:szCs w:val="24"/>
          <w:lang w:eastAsia="en-US"/>
        </w:rPr>
        <w:tab/>
        <w:t>II lisa muudetakse vastavalt käesoleva direktiivi IV lisale.</w:t>
      </w:r>
    </w:p>
    <w:p w14:paraId="2591FEB6" w14:textId="77777777" w:rsidR="00D71270" w:rsidRPr="00CB2133" w:rsidRDefault="00D71270">
      <w:pPr>
        <w:widowControl/>
        <w:rPr>
          <w:szCs w:val="24"/>
          <w:lang w:eastAsia="en-US"/>
        </w:rPr>
      </w:pPr>
      <w:r w:rsidRPr="00CB2133">
        <w:rPr>
          <w:szCs w:val="24"/>
          <w:lang w:eastAsia="en-US"/>
        </w:rPr>
        <w:br w:type="page"/>
      </w:r>
    </w:p>
    <w:p w14:paraId="6ED34491" w14:textId="0A98DE3A"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13)</w:t>
      </w:r>
      <w:r w:rsidRPr="00CB2133">
        <w:rPr>
          <w:szCs w:val="24"/>
          <w:lang w:eastAsia="en-US"/>
        </w:rPr>
        <w:tab/>
        <w:t>III lisas asendatakse punkti 2 alapunkt c järgmisega:</w:t>
      </w:r>
    </w:p>
    <w:p w14:paraId="39FA739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„c)</w:t>
      </w:r>
      <w:r w:rsidRPr="00CB2133">
        <w:rPr>
          <w:szCs w:val="24"/>
          <w:lang w:eastAsia="en-US"/>
        </w:rPr>
        <w:tab/>
        <w:t>mis tahes muud asjakohast teavet, sealhulgas seirepunktis täheldatud asjaomaste saasteainete kontsentratsiooni aastase aritmeetilise keskmise võrdlust põhjavee kvaliteedi standarditega, mis on esitatud I lisas, ja läviväärtustega, millele on osutatud artikli 3 lõike 1 punktides b ja c.“</w:t>
      </w:r>
    </w:p>
    <w:p w14:paraId="58319769"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14)</w:t>
      </w:r>
      <w:r w:rsidRPr="00CB2133">
        <w:rPr>
          <w:szCs w:val="24"/>
          <w:lang w:eastAsia="en-US"/>
        </w:rPr>
        <w:tab/>
        <w:t>IV lisa B osa punkti 1 sissejuhatav lauseosa asendatakse järgmisega:</w:t>
      </w:r>
    </w:p>
    <w:p w14:paraId="018A8764" w14:textId="60BD27F7" w:rsidR="00C45ED4" w:rsidRPr="00CB2133" w:rsidRDefault="00C45ED4" w:rsidP="00C45ED4">
      <w:pPr>
        <w:spacing w:before="120" w:after="120" w:line="360" w:lineRule="auto"/>
        <w:ind w:left="850"/>
        <w:rPr>
          <w:b/>
          <w:szCs w:val="24"/>
          <w:lang w:eastAsia="en-US"/>
        </w:rPr>
      </w:pPr>
      <w:r w:rsidRPr="00CB2133">
        <w:rPr>
          <w:szCs w:val="24"/>
          <w:lang w:eastAsia="en-US"/>
        </w:rPr>
        <w:t xml:space="preserve">„olulise ja </w:t>
      </w:r>
      <w:r w:rsidRPr="00CB2133">
        <w:rPr>
          <w:strike/>
          <w:szCs w:val="24"/>
          <w:lang w:eastAsia="en-US"/>
        </w:rPr>
        <w:t>püsiva</w:t>
      </w:r>
      <w:r w:rsidRPr="00CB2133">
        <w:rPr>
          <w:b/>
          <w:i/>
          <w:szCs w:val="24"/>
          <w:lang w:eastAsia="en-US"/>
        </w:rPr>
        <w:t>jätkuva kasvutendentsi, sealhulgas ka veekogu aeglase voolu põhjustatud hooajalise</w:t>
      </w:r>
      <w:r w:rsidRPr="00CB2133">
        <w:rPr>
          <w:szCs w:val="24"/>
          <w:lang w:eastAsia="en-US"/>
        </w:rPr>
        <w:t xml:space="preserve"> kasvutendentsi langusele pööramise meetmete rakendamise alguspunkt on punkt, kus saasteaine kontsentratsioon jõuab 75 protsendini I lisas sätestatud põhjavee kvaliteedi standardi väärtusest ning artikli 3 lõike 1 punktides b ja c osutatud läviväärtusest, välja arvatud juhul, kui:“</w:t>
      </w:r>
      <w:r w:rsidR="00862394" w:rsidRPr="00CB2133">
        <w:rPr>
          <w:b/>
          <w:szCs w:val="24"/>
          <w:lang w:eastAsia="en-US"/>
        </w:rPr>
        <w:t xml:space="preserve"> [ME 107]</w:t>
      </w:r>
    </w:p>
    <w:p w14:paraId="3246D612" w14:textId="77777777" w:rsidR="00D71270" w:rsidRPr="00CB2133" w:rsidRDefault="00D71270">
      <w:pPr>
        <w:widowControl/>
        <w:rPr>
          <w:szCs w:val="24"/>
          <w:lang w:eastAsia="en-US"/>
        </w:rPr>
      </w:pPr>
      <w:r w:rsidRPr="00CB2133">
        <w:rPr>
          <w:szCs w:val="24"/>
          <w:lang w:eastAsia="en-US"/>
        </w:rPr>
        <w:br w:type="page"/>
      </w:r>
    </w:p>
    <w:p w14:paraId="3A78BE8D" w14:textId="6CE542F6" w:rsidR="00C45ED4" w:rsidRPr="00CB2133" w:rsidRDefault="00C45ED4" w:rsidP="00C45ED4">
      <w:pPr>
        <w:spacing w:before="120" w:after="120" w:line="360" w:lineRule="auto"/>
        <w:jc w:val="center"/>
        <w:rPr>
          <w:szCs w:val="24"/>
          <w:lang w:eastAsia="en-US"/>
        </w:rPr>
      </w:pPr>
      <w:r w:rsidRPr="00CB2133">
        <w:rPr>
          <w:szCs w:val="24"/>
          <w:lang w:eastAsia="en-US"/>
        </w:rPr>
        <w:lastRenderedPageBreak/>
        <w:t>Artikkel 3</w:t>
      </w:r>
      <w:r w:rsidRPr="00CB2133">
        <w:rPr>
          <w:szCs w:val="24"/>
          <w:lang w:eastAsia="en-US"/>
        </w:rPr>
        <w:br/>
        <w:t>Direktiivi 2008/105/EÜ muutmine</w:t>
      </w:r>
    </w:p>
    <w:p w14:paraId="4532FC0B" w14:textId="77777777" w:rsidR="00C45ED4" w:rsidRPr="00CB2133" w:rsidRDefault="00C45ED4" w:rsidP="00C45ED4">
      <w:pPr>
        <w:spacing w:before="120" w:after="120" w:line="360" w:lineRule="auto"/>
        <w:rPr>
          <w:szCs w:val="24"/>
          <w:lang w:eastAsia="en-US"/>
        </w:rPr>
      </w:pPr>
      <w:r w:rsidRPr="00CB2133">
        <w:rPr>
          <w:szCs w:val="24"/>
          <w:lang w:eastAsia="en-US"/>
        </w:rPr>
        <w:t>Direktiivi 2008/105/EÜ muudetakse järgmiselt.</w:t>
      </w:r>
    </w:p>
    <w:p w14:paraId="4FFC089D"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Pealkiri asendatakse järgmisega:</w:t>
      </w:r>
    </w:p>
    <w:p w14:paraId="12E347FA" w14:textId="77777777" w:rsidR="00C45ED4" w:rsidRPr="00CB2133" w:rsidRDefault="00C45ED4" w:rsidP="00C45ED4">
      <w:pPr>
        <w:spacing w:before="120" w:after="120" w:line="360" w:lineRule="auto"/>
        <w:ind w:left="850"/>
        <w:rPr>
          <w:szCs w:val="24"/>
          <w:lang w:eastAsia="en-US"/>
        </w:rPr>
      </w:pPr>
      <w:r w:rsidRPr="00CB2133">
        <w:rPr>
          <w:szCs w:val="24"/>
          <w:lang w:eastAsia="en-US"/>
        </w:rPr>
        <w:t>„Euroopa Parlamendi ja nõukogu direktiiv 2008/105/EÜ, 16. detsember 2008, milles käsitletakse pinnavee reostuse ärahoidmist ja tõrjet ning millega muudetakse nõukogu direktiive 82/176/EMÜ, 83/513/EMÜ, 84/156/EMÜ, 84/491/EMÜ ja 86/280/EMÜ ning tunnistatakse need seejärel kehtetuks ning muudetakse Euroopa Parlamendi ja nõukogu direktiivi 2000/60/EÜ.“</w:t>
      </w:r>
    </w:p>
    <w:p w14:paraId="344D0C9A"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1a)</w:t>
      </w:r>
      <w:r w:rsidRPr="00CB2133">
        <w:rPr>
          <w:szCs w:val="24"/>
          <w:lang w:eastAsia="en-US"/>
        </w:rPr>
        <w:tab/>
      </w:r>
      <w:r w:rsidRPr="00CB2133">
        <w:rPr>
          <w:b/>
          <w:i/>
          <w:szCs w:val="24"/>
          <w:lang w:eastAsia="en-US"/>
        </w:rPr>
        <w:t>Artiklit 1 muudetakse järgmiselt:</w:t>
      </w:r>
    </w:p>
    <w:p w14:paraId="0AE92E10"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1</w:t>
      </w:r>
      <w:r w:rsidRPr="00CB2133">
        <w:rPr>
          <w:szCs w:val="24"/>
          <w:lang w:eastAsia="en-US"/>
        </w:rPr>
        <w:br/>
      </w:r>
      <w:r w:rsidRPr="00CB2133">
        <w:rPr>
          <w:b/>
          <w:i/>
          <w:szCs w:val="24"/>
          <w:lang w:eastAsia="en-US"/>
        </w:rPr>
        <w:t>Sisu</w:t>
      </w:r>
    </w:p>
    <w:p w14:paraId="2E98E58B" w14:textId="0961C769" w:rsidR="00C45ED4" w:rsidRPr="00CB2133" w:rsidRDefault="00C45ED4" w:rsidP="00C45ED4">
      <w:pPr>
        <w:spacing w:before="120" w:after="120" w:line="360" w:lineRule="auto"/>
        <w:ind w:left="850"/>
        <w:rPr>
          <w:b/>
          <w:szCs w:val="24"/>
          <w:lang w:eastAsia="en-US"/>
        </w:rPr>
      </w:pPr>
      <w:r w:rsidRPr="00CB2133">
        <w:rPr>
          <w:b/>
          <w:i/>
          <w:szCs w:val="24"/>
          <w:lang w:eastAsia="en-US"/>
        </w:rPr>
        <w:t>Käesoleva direktiiviga kehtestatakse prioriteetsete ainete ja prioriteetsete ohtlike ainete keskkonnakvaliteedi standardid, et saavutada pinnavee hea keemiline seisund ja tehes seda vastavalt direktiivi 2000/60/EÜ artikli 4 sätetele ja eesmärkidele.“</w:t>
      </w:r>
      <w:r w:rsidR="00862394" w:rsidRPr="00CB2133">
        <w:rPr>
          <w:b/>
          <w:szCs w:val="24"/>
          <w:lang w:eastAsia="en-US"/>
        </w:rPr>
        <w:t xml:space="preserve"> [ME 108]</w:t>
      </w:r>
    </w:p>
    <w:p w14:paraId="2F0B3291" w14:textId="77777777" w:rsidR="00D71270" w:rsidRPr="00CB2133" w:rsidRDefault="00D71270">
      <w:pPr>
        <w:widowControl/>
        <w:rPr>
          <w:szCs w:val="24"/>
          <w:lang w:eastAsia="en-US"/>
        </w:rPr>
      </w:pPr>
      <w:r w:rsidRPr="00CB2133">
        <w:rPr>
          <w:szCs w:val="24"/>
          <w:lang w:eastAsia="en-US"/>
        </w:rPr>
        <w:br w:type="page"/>
      </w:r>
    </w:p>
    <w:p w14:paraId="3AAAD525" w14:textId="628F505F"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w:t>
      </w:r>
      <w:r w:rsidRPr="00CB2133">
        <w:rPr>
          <w:szCs w:val="24"/>
          <w:lang w:eastAsia="en-US"/>
        </w:rPr>
        <w:tab/>
        <w:t>Artiklit 3 muudetakse järgmiselt:</w:t>
      </w:r>
    </w:p>
    <w:p w14:paraId="46BFC98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lõike 1a esimesse lõiku lisatakse punkt iii:</w:t>
      </w:r>
    </w:p>
    <w:p w14:paraId="46A22444"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„iii)</w:t>
      </w:r>
      <w:r w:rsidRPr="00CB2133">
        <w:rPr>
          <w:szCs w:val="24"/>
          <w:lang w:eastAsia="en-US"/>
        </w:rPr>
        <w:tab/>
        <w:t>I lisa A osas numbritega 5, 9, 13, 15, 17, 21, 23, 24, 28, 30, 34, 37, 41 ja 44 tähistatud ainete suhtes, mille jaoks on kehtestatud muudetud keskkonnakvaliteedi standardid, ning I lisa A osas numbritega 46–70 tähistatud hiljuti kindlaks määratud ainete suhtes alates ... [väljaannete talitus: palun lisada kuupäevana selle kuu esimene päev, mis järgneb kuule, mil möödub 18 kuud käesoleva direktiivi jõustumise kuupäevast], et hoida seoses nende ainetega ära pinnaveekogude keemilise seisundi halvenemist ja saavutada pinnavee hea keemiline seisund.;“</w:t>
      </w:r>
    </w:p>
    <w:p w14:paraId="55562CB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lõige 2 asendatakse järgmisega:</w:t>
      </w:r>
    </w:p>
    <w:p w14:paraId="65FDD3B9"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„2.</w:t>
      </w:r>
      <w:r w:rsidRPr="00CB2133">
        <w:rPr>
          <w:szCs w:val="24"/>
          <w:lang w:eastAsia="en-US"/>
        </w:rPr>
        <w:tab/>
        <w:t>Ainete suhtes, mille jaoks on I lisa A osas sätestatud elustikuga seotud keskkonnakvaliteedi standard või settega seotud keskkonnakvaliteedi standard, kohaldavad liikmesriigid asjaomast elustiku või settega seotud keskkonnakvaliteedi standardit.</w:t>
      </w:r>
    </w:p>
    <w:p w14:paraId="55B05458" w14:textId="77777777" w:rsidR="00C45ED4" w:rsidRPr="00CB2133" w:rsidRDefault="00C45ED4" w:rsidP="00C45ED4">
      <w:pPr>
        <w:spacing w:before="120" w:after="120" w:line="360" w:lineRule="auto"/>
        <w:ind w:left="1982"/>
        <w:rPr>
          <w:szCs w:val="24"/>
          <w:lang w:eastAsia="en-US"/>
        </w:rPr>
      </w:pPr>
      <w:r w:rsidRPr="00CB2133">
        <w:rPr>
          <w:szCs w:val="24"/>
          <w:lang w:eastAsia="en-US"/>
        </w:rPr>
        <w:t>Muude ainete kui esimeses lõigus osutatud ainete suhtes kohaldavad liikmesriigid I lisa A osas sätestatud veega seotud keskkonnakvaliteedi standardeid.;“</w:t>
      </w:r>
    </w:p>
    <w:p w14:paraId="16E187B8" w14:textId="77777777" w:rsidR="00D71270" w:rsidRPr="00CB2133" w:rsidRDefault="00D71270">
      <w:pPr>
        <w:widowControl/>
        <w:rPr>
          <w:szCs w:val="24"/>
          <w:lang w:eastAsia="en-US"/>
        </w:rPr>
      </w:pPr>
      <w:r w:rsidRPr="00CB2133">
        <w:rPr>
          <w:szCs w:val="24"/>
          <w:lang w:eastAsia="en-US"/>
        </w:rPr>
        <w:br w:type="page"/>
      </w:r>
    </w:p>
    <w:p w14:paraId="68A0A2A3" w14:textId="5B9FA749"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c)</w:t>
      </w:r>
      <w:r w:rsidRPr="00CB2133">
        <w:rPr>
          <w:szCs w:val="24"/>
          <w:lang w:eastAsia="en-US"/>
        </w:rPr>
        <w:tab/>
        <w:t>lõike 6 esimese lõigu esimene lause asendatakse järgmisega:</w:t>
      </w:r>
    </w:p>
    <w:p w14:paraId="758C2BEA" w14:textId="44A7345C" w:rsidR="00C45ED4" w:rsidRPr="00CB2133" w:rsidRDefault="00C45ED4" w:rsidP="00C45ED4">
      <w:pPr>
        <w:spacing w:before="120" w:after="120" w:line="360" w:lineRule="auto"/>
        <w:ind w:left="1416"/>
        <w:rPr>
          <w:szCs w:val="24"/>
          <w:lang w:eastAsia="en-US"/>
        </w:rPr>
      </w:pPr>
      <w:r w:rsidRPr="00CB2133">
        <w:rPr>
          <w:szCs w:val="24"/>
          <w:lang w:eastAsia="en-US"/>
        </w:rPr>
        <w:t>„Liikmesriigid korraldavad direktiivi 2000/60/EÜ artikli 8 kohaselt tehtava pinnavee seisundi seire osana läbi viidava sette või elustiku seire alusel pikaajalise dünaamika analüüse selliste prioriteetsete ainete kontsentratsiooni kohta, mis on I lisa A osas määratletud kui ained, millel on kalduvus akumul</w:t>
      </w:r>
      <w:r w:rsidR="00862394" w:rsidRPr="00CB2133">
        <w:rPr>
          <w:szCs w:val="24"/>
          <w:lang w:eastAsia="en-US"/>
        </w:rPr>
        <w:t>eeruda settes ja/või elustikus.</w:t>
      </w:r>
      <w:r w:rsidRPr="00CB2133">
        <w:rPr>
          <w:szCs w:val="24"/>
          <w:lang w:eastAsia="en-US"/>
        </w:rPr>
        <w:t>“</w:t>
      </w:r>
      <w:r w:rsidR="00862394" w:rsidRPr="00CB2133">
        <w:rPr>
          <w:szCs w:val="24"/>
          <w:lang w:eastAsia="en-US"/>
        </w:rPr>
        <w:t>;</w:t>
      </w:r>
    </w:p>
    <w:p w14:paraId="1D7DB502"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d)</w:t>
      </w:r>
      <w:r w:rsidRPr="00CB2133">
        <w:rPr>
          <w:szCs w:val="24"/>
          <w:lang w:eastAsia="en-US"/>
        </w:rPr>
        <w:tab/>
        <w:t>lõige 7 jäetakse välja;</w:t>
      </w:r>
    </w:p>
    <w:p w14:paraId="7A95D11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e)</w:t>
      </w:r>
      <w:r w:rsidRPr="00CB2133">
        <w:rPr>
          <w:szCs w:val="24"/>
          <w:lang w:eastAsia="en-US"/>
        </w:rPr>
        <w:tab/>
        <w:t>lõige 8 asendatakse järgmisega:</w:t>
      </w:r>
    </w:p>
    <w:p w14:paraId="60831E25"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„8.</w:t>
      </w:r>
      <w:r w:rsidRPr="00CB2133">
        <w:rPr>
          <w:szCs w:val="24"/>
          <w:lang w:eastAsia="en-US"/>
        </w:rPr>
        <w:tab/>
        <w:t>Komisjonil on õigus võtta kooskõlas artikliga 9a vastu delegeeritud õigusakte I lisa B osa punkti 3 muutmiseks, et kohandada seda teaduse ja tehnika arenguga.“</w:t>
      </w:r>
    </w:p>
    <w:p w14:paraId="2585F553" w14:textId="77777777" w:rsidR="00D71270" w:rsidRPr="00CB2133" w:rsidRDefault="00D71270">
      <w:pPr>
        <w:widowControl/>
        <w:rPr>
          <w:szCs w:val="24"/>
          <w:lang w:eastAsia="en-US"/>
        </w:rPr>
      </w:pPr>
      <w:r w:rsidRPr="00CB2133">
        <w:rPr>
          <w:szCs w:val="24"/>
          <w:lang w:eastAsia="en-US"/>
        </w:rPr>
        <w:br w:type="page"/>
      </w:r>
    </w:p>
    <w:p w14:paraId="212853AD" w14:textId="65205C68"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3)</w:t>
      </w:r>
      <w:r w:rsidRPr="00CB2133">
        <w:rPr>
          <w:szCs w:val="24"/>
          <w:lang w:eastAsia="en-US"/>
        </w:rPr>
        <w:tab/>
        <w:t>Artiklit 5 muudetakse järgmiselt:</w:t>
      </w:r>
    </w:p>
    <w:p w14:paraId="231ECC58"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lõige 1 asendatakse järgmisega:</w:t>
      </w:r>
    </w:p>
    <w:p w14:paraId="250BF01B" w14:textId="5788E1C2" w:rsidR="00D71270" w:rsidRPr="00CB2133" w:rsidRDefault="00C45ED4" w:rsidP="00D71270">
      <w:pPr>
        <w:spacing w:before="120" w:after="120" w:line="360" w:lineRule="auto"/>
        <w:ind w:left="1982" w:hanging="566"/>
        <w:rPr>
          <w:b/>
          <w:szCs w:val="24"/>
          <w:lang w:eastAsia="en-US"/>
        </w:rPr>
      </w:pPr>
      <w:r w:rsidRPr="00CB2133">
        <w:rPr>
          <w:szCs w:val="24"/>
          <w:lang w:eastAsia="en-US"/>
        </w:rPr>
        <w:t>„1.</w:t>
      </w:r>
      <w:r w:rsidRPr="00CB2133">
        <w:rPr>
          <w:szCs w:val="24"/>
          <w:lang w:eastAsia="en-US"/>
        </w:rPr>
        <w:tab/>
        <w:t>Liikmesriigid loovad direktiivi 2000/60/EÜ artiklite 5 ja 8</w:t>
      </w:r>
      <w:r w:rsidRPr="00CB2133">
        <w:rPr>
          <w:b/>
          <w:i/>
          <w:szCs w:val="24"/>
          <w:lang w:eastAsia="en-US"/>
        </w:rPr>
        <w:t xml:space="preserve"> ning Euroopa Parlamendi ja nõukogu määruse (EL) .../...</w:t>
      </w:r>
      <w:r w:rsidR="00D71270" w:rsidRPr="00CB2133">
        <w:rPr>
          <w:b/>
          <w:i/>
          <w:szCs w:val="24"/>
          <w:vertAlign w:val="superscript"/>
          <w:lang w:eastAsia="en-US"/>
        </w:rPr>
        <w:t>1a</w:t>
      </w:r>
      <w:r w:rsidRPr="00CB2133">
        <w:rPr>
          <w:szCs w:val="24"/>
          <w:lang w:eastAsia="en-US"/>
        </w:rPr>
        <w:t xml:space="preserve"> kohaselt kogutud teabe ning muude olemasolevate andmete alusel kõikide käesoleva direktiivi I lisa A osas loetletud prioriteetsete ainete ja kõikide käesoleva direktiivi II lisa A osas loetletud saasteainete heite, keskkonda laskmise ja kadude andmiku – võimaluse korral koos asjakohaste kaartidega – iga nende territooriumil asuva valglapiirkonna või valglapiirkonna osa kohta, esitades vajaduse korral ka kõnealuste ainete kontsentratsiooni settes ja elustikus.</w:t>
      </w:r>
      <w:r w:rsidR="00862394" w:rsidRPr="00CB2133">
        <w:rPr>
          <w:b/>
          <w:szCs w:val="24"/>
          <w:lang w:eastAsia="en-US"/>
        </w:rPr>
        <w:t xml:space="preserve"> [ME 109]</w:t>
      </w:r>
    </w:p>
    <w:p w14:paraId="65368D28" w14:textId="5BA005D0" w:rsidR="00D71270" w:rsidRPr="00CB2133" w:rsidRDefault="00D71270" w:rsidP="00D71270">
      <w:pPr>
        <w:spacing w:before="120" w:after="120" w:line="360" w:lineRule="auto"/>
        <w:ind w:left="1982" w:hanging="566"/>
        <w:rPr>
          <w:b/>
          <w:i/>
        </w:rPr>
      </w:pPr>
      <w:r w:rsidRPr="00CB2133">
        <w:rPr>
          <w:b/>
          <w:i/>
        </w:rPr>
        <w:t>_________________</w:t>
      </w:r>
    </w:p>
    <w:p w14:paraId="2ADA2413" w14:textId="31CB6DC7" w:rsidR="00D71270" w:rsidRPr="00CB2133" w:rsidRDefault="00D71270" w:rsidP="00D71270">
      <w:pPr>
        <w:spacing w:before="120" w:after="120" w:line="360" w:lineRule="auto"/>
        <w:ind w:left="1982" w:hanging="566"/>
        <w:rPr>
          <w:szCs w:val="24"/>
          <w:lang w:eastAsia="en-US"/>
        </w:rPr>
      </w:pPr>
      <w:r w:rsidRPr="00CB2133">
        <w:rPr>
          <w:b/>
          <w:i/>
          <w:vertAlign w:val="superscript"/>
        </w:rPr>
        <w:t>1a</w:t>
      </w:r>
      <w:r w:rsidRPr="00CB2133">
        <w:rPr>
          <w:b/>
        </w:rPr>
        <w:tab/>
      </w:r>
      <w:r w:rsidRPr="00CB2133">
        <w:rPr>
          <w:b/>
          <w:i/>
        </w:rPr>
        <w:t>ELT: palun sisestada teksti dokumendis COM(2022)157 sisalduva määruse number.</w:t>
      </w:r>
    </w:p>
    <w:p w14:paraId="54820AB7" w14:textId="118DAFE7" w:rsidR="00C45ED4" w:rsidRPr="00CB2133" w:rsidRDefault="00C45ED4" w:rsidP="00C45ED4">
      <w:pPr>
        <w:spacing w:before="120" w:after="120" w:line="360" w:lineRule="auto"/>
        <w:ind w:left="1982"/>
        <w:rPr>
          <w:b/>
          <w:szCs w:val="24"/>
          <w:lang w:eastAsia="en-US"/>
        </w:rPr>
      </w:pPr>
      <w:r w:rsidRPr="00CB2133">
        <w:rPr>
          <w:b/>
          <w:i/>
          <w:szCs w:val="24"/>
          <w:lang w:eastAsia="en-US"/>
        </w:rPr>
        <w:t>Heite andmikud tehakse kättesaadavaks elektroonilises andmebaasis, mida ajakohastatakse korrapäraselt ja mis on üldsusele kergesti kättesaadav.</w:t>
      </w:r>
      <w:r w:rsidR="00862394" w:rsidRPr="00CB2133">
        <w:rPr>
          <w:b/>
          <w:szCs w:val="24"/>
          <w:lang w:eastAsia="en-US"/>
        </w:rPr>
        <w:t xml:space="preserve"> [ME 110]</w:t>
      </w:r>
    </w:p>
    <w:p w14:paraId="560B4036" w14:textId="77777777" w:rsidR="00D71270" w:rsidRPr="00CB2133" w:rsidRDefault="00D71270">
      <w:pPr>
        <w:widowControl/>
        <w:rPr>
          <w:strike/>
          <w:szCs w:val="24"/>
          <w:lang w:eastAsia="en-US"/>
        </w:rPr>
      </w:pPr>
      <w:r w:rsidRPr="00CB2133">
        <w:rPr>
          <w:strike/>
          <w:szCs w:val="24"/>
          <w:lang w:eastAsia="en-US"/>
        </w:rPr>
        <w:br w:type="page"/>
      </w:r>
    </w:p>
    <w:p w14:paraId="1BE1F5CF" w14:textId="152C4C44" w:rsidR="00C45ED4" w:rsidRPr="00CB2133" w:rsidRDefault="00C45ED4" w:rsidP="00C45ED4">
      <w:pPr>
        <w:spacing w:before="120" w:after="120" w:line="360" w:lineRule="auto"/>
        <w:ind w:left="1982"/>
        <w:rPr>
          <w:b/>
          <w:szCs w:val="24"/>
          <w:lang w:eastAsia="en-US"/>
        </w:rPr>
      </w:pPr>
      <w:r w:rsidRPr="00CB2133">
        <w:rPr>
          <w:strike/>
          <w:szCs w:val="24"/>
          <w:lang w:eastAsia="en-US"/>
        </w:rPr>
        <w:lastRenderedPageBreak/>
        <w:t>Esimest lõiku ei kohaldata sellise heite ega keskkonda laskmise ega selliste kadude suhtes, millest teatatakse komisjonile elektrooniliselt kooskõlas Euroopa Parlamendi ja nõukogu määrusega (EL) .../....;</w:t>
      </w:r>
      <w:r w:rsidRPr="00CB2133">
        <w:rPr>
          <w:szCs w:val="24"/>
          <w:lang w:eastAsia="en-US"/>
        </w:rPr>
        <w:t>“</w:t>
      </w:r>
      <w:r w:rsidR="00862394" w:rsidRPr="00CB2133">
        <w:rPr>
          <w:b/>
          <w:szCs w:val="24"/>
          <w:lang w:eastAsia="en-US"/>
        </w:rPr>
        <w:t xml:space="preserve"> [ME 111]</w:t>
      </w:r>
    </w:p>
    <w:p w14:paraId="469FCC2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lõiked 2 ja 3 jäetakse välja;</w:t>
      </w:r>
    </w:p>
    <w:p w14:paraId="7B68F393"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c)</w:t>
      </w:r>
      <w:r w:rsidRPr="00CB2133">
        <w:rPr>
          <w:szCs w:val="24"/>
          <w:lang w:eastAsia="en-US"/>
        </w:rPr>
        <w:tab/>
        <w:t>lõige 4 asendatakse järgmisega:</w:t>
      </w:r>
    </w:p>
    <w:p w14:paraId="045539B4" w14:textId="51B9B710" w:rsidR="00C45ED4" w:rsidRPr="00CB2133" w:rsidRDefault="00C45ED4" w:rsidP="00C45ED4">
      <w:pPr>
        <w:spacing w:before="120" w:after="120" w:line="360" w:lineRule="auto"/>
        <w:ind w:left="1982" w:hanging="566"/>
        <w:rPr>
          <w:b/>
          <w:szCs w:val="24"/>
          <w:lang w:eastAsia="en-US"/>
        </w:rPr>
      </w:pPr>
      <w:r w:rsidRPr="00CB2133">
        <w:rPr>
          <w:szCs w:val="24"/>
          <w:lang w:eastAsia="en-US"/>
        </w:rPr>
        <w:t>„4.</w:t>
      </w:r>
      <w:r w:rsidRPr="00CB2133">
        <w:rPr>
          <w:szCs w:val="24"/>
          <w:lang w:eastAsia="en-US"/>
        </w:rPr>
        <w:tab/>
        <w:t xml:space="preserve">Liikmesriigid ajakohastavad oma andmikke direktiivi 2000/60/EÜ artikli 5 lõike 2 kohase analüüside läbivaatamise raames ning tagavad, et heitkogused, </w:t>
      </w:r>
      <w:r w:rsidRPr="00CB2133">
        <w:rPr>
          <w:b/>
          <w:i/>
          <w:szCs w:val="24"/>
          <w:lang w:eastAsia="en-US"/>
        </w:rPr>
        <w:t xml:space="preserve">sealhulgas heitkogused, </w:t>
      </w:r>
      <w:r w:rsidRPr="00CB2133">
        <w:rPr>
          <w:szCs w:val="24"/>
          <w:lang w:eastAsia="en-US"/>
        </w:rPr>
        <w:t xml:space="preserve">millest </w:t>
      </w:r>
      <w:r w:rsidRPr="00CB2133">
        <w:rPr>
          <w:strike/>
          <w:szCs w:val="24"/>
          <w:lang w:eastAsia="en-US"/>
        </w:rPr>
        <w:t>ei teatata</w:t>
      </w:r>
      <w:r w:rsidRPr="00CB2133">
        <w:rPr>
          <w:b/>
          <w:i/>
          <w:szCs w:val="24"/>
          <w:lang w:eastAsia="en-US"/>
        </w:rPr>
        <w:t>teatatakse</w:t>
      </w:r>
      <w:r w:rsidRPr="00CB2133">
        <w:rPr>
          <w:szCs w:val="24"/>
          <w:lang w:eastAsia="en-US"/>
        </w:rPr>
        <w:t xml:space="preserve"> määruse (EL) .../...</w:t>
      </w:r>
      <w:r w:rsidRPr="00CB2133">
        <w:rPr>
          <w:strike/>
          <w:szCs w:val="24"/>
          <w:lang w:eastAsia="en-US"/>
        </w:rPr>
        <w:t>++</w:t>
      </w:r>
      <w:r w:rsidRPr="00CB2133">
        <w:rPr>
          <w:b/>
          <w:i/>
          <w:szCs w:val="24"/>
          <w:lang w:eastAsia="en-US"/>
        </w:rPr>
        <w:t>++</w:t>
      </w:r>
      <w:r w:rsidRPr="00CB2133">
        <w:rPr>
          <w:szCs w:val="24"/>
          <w:lang w:eastAsia="en-US"/>
        </w:rPr>
        <w:t xml:space="preserve"> alusel loodud tööstusheite portaali kaudu, esitatakse liikmesriikide vesikonna majandamiskavades, mida on ajakohastatud vastavalt kõnealuse direktiivi artikli 13 lõikele 7.</w:t>
      </w:r>
      <w:r w:rsidR="00862394" w:rsidRPr="00CB2133">
        <w:rPr>
          <w:b/>
          <w:szCs w:val="24"/>
          <w:lang w:eastAsia="en-US"/>
        </w:rPr>
        <w:t xml:space="preserve"> [ME 112]</w:t>
      </w:r>
    </w:p>
    <w:p w14:paraId="54936610" w14:textId="77777777" w:rsidR="00C45ED4" w:rsidRPr="00CB2133" w:rsidRDefault="00C45ED4" w:rsidP="00C45ED4">
      <w:pPr>
        <w:spacing w:before="120" w:after="120" w:line="360" w:lineRule="auto"/>
        <w:ind w:left="1982"/>
        <w:rPr>
          <w:szCs w:val="24"/>
          <w:lang w:eastAsia="en-US"/>
        </w:rPr>
      </w:pPr>
      <w:r w:rsidRPr="00CB2133">
        <w:rPr>
          <w:szCs w:val="24"/>
          <w:lang w:eastAsia="en-US"/>
        </w:rPr>
        <w:t>Ajakohastatud andmikes kajastatavate väärtuste kindlakstegemisel võetakse võrdlusperioodiks esimeses lõigus osutatud analüüside kohustusliku lõpuleviimise aastale eelnev aasta.</w:t>
      </w:r>
    </w:p>
    <w:p w14:paraId="50E5EFAB" w14:textId="77777777" w:rsidR="000238DA" w:rsidRPr="00CB2133" w:rsidRDefault="000238DA">
      <w:pPr>
        <w:widowControl/>
        <w:rPr>
          <w:strike/>
          <w:szCs w:val="24"/>
          <w:lang w:eastAsia="en-US"/>
        </w:rPr>
      </w:pPr>
      <w:r w:rsidRPr="00CB2133">
        <w:rPr>
          <w:strike/>
          <w:szCs w:val="24"/>
          <w:lang w:eastAsia="en-US"/>
        </w:rPr>
        <w:br w:type="page"/>
      </w:r>
    </w:p>
    <w:p w14:paraId="35BF4C14" w14:textId="40EAB27E" w:rsidR="00C45ED4" w:rsidRPr="00CB2133" w:rsidRDefault="00C45ED4" w:rsidP="00C45ED4">
      <w:pPr>
        <w:spacing w:before="120" w:after="120" w:line="360" w:lineRule="auto"/>
        <w:ind w:left="1982"/>
        <w:rPr>
          <w:b/>
          <w:szCs w:val="24"/>
          <w:lang w:eastAsia="en-US"/>
        </w:rPr>
      </w:pPr>
      <w:r w:rsidRPr="00CB2133">
        <w:rPr>
          <w:strike/>
          <w:szCs w:val="24"/>
          <w:lang w:eastAsia="en-US"/>
        </w:rPr>
        <w:lastRenderedPageBreak/>
        <w:t>Määrusega (EÜ) nr 1107/2009 hõlmatud prioriteetsete ainete ja saasteainete puhul võib kanded arvutada esimeses lõigus osutatud analüüsi lõpuleviimisele eelneva kolme aasta keskmisena.</w:t>
      </w:r>
      <w:r w:rsidR="00862394" w:rsidRPr="00CB2133">
        <w:rPr>
          <w:b/>
          <w:szCs w:val="24"/>
          <w:lang w:eastAsia="en-US"/>
        </w:rPr>
        <w:t xml:space="preserve"> [ME 113]</w:t>
      </w:r>
    </w:p>
    <w:p w14:paraId="06D6740F" w14:textId="77777777" w:rsidR="00C45ED4" w:rsidRPr="00CB2133" w:rsidRDefault="00C45ED4" w:rsidP="00C45ED4">
      <w:pPr>
        <w:spacing w:before="120" w:after="120" w:line="360" w:lineRule="auto"/>
        <w:ind w:left="1982"/>
        <w:rPr>
          <w:szCs w:val="24"/>
          <w:lang w:eastAsia="en-US"/>
        </w:rPr>
      </w:pPr>
      <w:r w:rsidRPr="00CB2133">
        <w:rPr>
          <w:szCs w:val="24"/>
          <w:lang w:eastAsia="en-US"/>
        </w:rPr>
        <w:t>Selliste punktallikast pärit heitkoguste puhul, millest ei teatata määruse (EL).../...</w:t>
      </w:r>
      <w:r w:rsidRPr="00CB2133">
        <w:rPr>
          <w:szCs w:val="24"/>
          <w:vertAlign w:val="superscript"/>
          <w:lang w:eastAsia="en-US"/>
        </w:rPr>
        <w:t>+++</w:t>
      </w:r>
      <w:r w:rsidRPr="00CB2133">
        <w:rPr>
          <w:szCs w:val="24"/>
          <w:lang w:eastAsia="en-US"/>
        </w:rPr>
        <w:t xml:space="preserve"> alusel, sest need ei kuulu kõnealuse määruse kohaldamisalasse või jäävad allapoole kõnealuses määruses sätestatud iga-aastases aruandluses kajastamise künnist, kasutatakse käesoleva artikli esimeses lõigus sätestatud aruandluskohustuse täitmiseks elektroonilist aruandlust kõnealuse määruse alusel loodud tööstusheite portaali kaudu.</w:t>
      </w:r>
    </w:p>
    <w:p w14:paraId="6C2F204A" w14:textId="77777777" w:rsidR="00C45ED4" w:rsidRPr="00CB2133" w:rsidRDefault="00C45ED4" w:rsidP="00C45ED4">
      <w:pPr>
        <w:spacing w:before="120" w:after="120" w:line="360" w:lineRule="auto"/>
        <w:ind w:left="1982"/>
        <w:rPr>
          <w:szCs w:val="24"/>
          <w:lang w:eastAsia="en-US"/>
        </w:rPr>
      </w:pPr>
      <w:r w:rsidRPr="00CB2133">
        <w:rPr>
          <w:szCs w:val="24"/>
          <w:lang w:eastAsia="en-US"/>
        </w:rPr>
        <w:t>Komisjon võtab Euroopa Keskkonnaameti abiga vastu rakendusakti, millega kehtestatakse neljandas lõigus osutatud aruandluse vorm, detailsusaste ja sagedus. Kõnealune rakendusakt võetakse vastu artikli 9 lõikes 2 osutatud kontrollimenetluse teel.;“</w:t>
      </w:r>
    </w:p>
    <w:p w14:paraId="66F6A39A"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d)</w:t>
      </w:r>
      <w:r w:rsidRPr="00CB2133">
        <w:rPr>
          <w:szCs w:val="24"/>
          <w:lang w:eastAsia="en-US"/>
        </w:rPr>
        <w:tab/>
        <w:t>lõige 5 jäetakse välja.</w:t>
      </w:r>
    </w:p>
    <w:p w14:paraId="43A1DC1C" w14:textId="77777777" w:rsidR="000238DA" w:rsidRPr="00CB2133" w:rsidRDefault="000238DA">
      <w:pPr>
        <w:widowControl/>
        <w:rPr>
          <w:szCs w:val="24"/>
          <w:lang w:eastAsia="en-US"/>
        </w:rPr>
      </w:pPr>
      <w:r w:rsidRPr="00CB2133">
        <w:rPr>
          <w:szCs w:val="24"/>
          <w:lang w:eastAsia="en-US"/>
        </w:rPr>
        <w:br w:type="page"/>
      </w:r>
    </w:p>
    <w:p w14:paraId="1EEF3A5E" w14:textId="20284312"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4)</w:t>
      </w:r>
      <w:r w:rsidRPr="00CB2133">
        <w:rPr>
          <w:szCs w:val="24"/>
          <w:lang w:eastAsia="en-US"/>
        </w:rPr>
        <w:tab/>
        <w:t>Artikli 7a lõike 1 esimene lõik asendatakse järgmisega:</w:t>
      </w:r>
    </w:p>
    <w:p w14:paraId="5A9EDF72" w14:textId="1BE95179" w:rsidR="00C45ED4" w:rsidRPr="00CB2133" w:rsidRDefault="00C45ED4" w:rsidP="00C45ED4">
      <w:pPr>
        <w:spacing w:before="120" w:after="120" w:line="360" w:lineRule="auto"/>
        <w:ind w:left="1416" w:hanging="566"/>
        <w:rPr>
          <w:b/>
          <w:szCs w:val="24"/>
          <w:lang w:eastAsia="en-US"/>
        </w:rPr>
      </w:pPr>
      <w:r w:rsidRPr="00CB2133">
        <w:rPr>
          <w:szCs w:val="24"/>
          <w:lang w:eastAsia="en-US"/>
        </w:rPr>
        <w:t>„1.</w:t>
      </w:r>
      <w:r w:rsidRPr="00CB2133">
        <w:rPr>
          <w:szCs w:val="24"/>
          <w:lang w:eastAsia="en-US"/>
        </w:rPr>
        <w:tab/>
        <w:t xml:space="preserve">Prioriteetsete ainete puhul, mis jäävad määruse (EÜ) nr 1907/2006, määruse (EÜ) nr 1107/2009, määruse (EL) nr 528/2012, Euroopa Parlamendi ja nõukogu määruse (EL) 2019/6*, Euroopa Parlamendi ja nõukogu direktiivi 2001/83/EÜ**, Euroopa Parlamendi ja nõukogu direktiivi 2009/128/EÜ*** või direktiivi 2010/75/EL kohaldamisalasse, hindab komisjon </w:t>
      </w:r>
      <w:r w:rsidRPr="00CB2133">
        <w:rPr>
          <w:strike/>
          <w:szCs w:val="24"/>
          <w:lang w:eastAsia="en-US"/>
        </w:rPr>
        <w:t>direktiivi 2000/60/EÜ artikli 18 lõikes 1 osutatud aruande raames</w:t>
      </w:r>
      <w:r w:rsidRPr="00CB2133">
        <w:rPr>
          <w:b/>
          <w:i/>
          <w:szCs w:val="24"/>
          <w:lang w:eastAsia="en-US"/>
        </w:rPr>
        <w:t>iga kahe aasta järel</w:t>
      </w:r>
      <w:r w:rsidRPr="00CB2133">
        <w:rPr>
          <w:szCs w:val="24"/>
          <w:lang w:eastAsia="en-US"/>
        </w:rPr>
        <w:t>, kas liidu ja liikmesriigi tasandil kehtestatud meetmed on piisavad, et saavutada prioriteetsete ainete suhtes sätestatud keskkonnakvaliteedi standardid ning eesmärk teha korraga või järk-järgult lõpp prioriteetsete ohtlike ainete heitele, keskkonda juhtimisele ja kaole kooskõlas direktiivi 2000/60/EÜ artikli 4 lõike 1 punktiga a.</w:t>
      </w:r>
      <w:r w:rsidR="00862394" w:rsidRPr="00CB2133">
        <w:rPr>
          <w:b/>
          <w:szCs w:val="24"/>
          <w:lang w:eastAsia="en-US"/>
        </w:rPr>
        <w:t xml:space="preserve"> [ME 114]</w:t>
      </w:r>
    </w:p>
    <w:p w14:paraId="1BEEF434" w14:textId="445F79DC" w:rsidR="00C45ED4" w:rsidRPr="00CB2133" w:rsidRDefault="00C45ED4" w:rsidP="00C45ED4">
      <w:pPr>
        <w:spacing w:before="120" w:after="120" w:line="360" w:lineRule="auto"/>
        <w:ind w:left="1416"/>
        <w:rPr>
          <w:b/>
          <w:szCs w:val="24"/>
          <w:lang w:eastAsia="en-US"/>
        </w:rPr>
      </w:pPr>
      <w:r w:rsidRPr="00CB2133">
        <w:rPr>
          <w:b/>
          <w:i/>
          <w:szCs w:val="24"/>
          <w:lang w:eastAsia="en-US"/>
        </w:rPr>
        <w:t>Võetavate meetmete hierarhias seatakse esikohale piirangud ja muud tekkekohas kohaldatavad meetmed. Sellega seoses esitab komisjon asjakohasel juhul ettepanekud liidu õigusaktide muutmiseks, et tagada prioriteetsete ainete heite, keskkonda laskmise ja kao peatamine tekkekohas.</w:t>
      </w:r>
      <w:r w:rsidR="00862394" w:rsidRPr="00CB2133">
        <w:rPr>
          <w:b/>
          <w:szCs w:val="24"/>
          <w:lang w:eastAsia="en-US"/>
        </w:rPr>
        <w:t xml:space="preserve"> [ME 115]</w:t>
      </w:r>
    </w:p>
    <w:p w14:paraId="367F91A4" w14:textId="77777777" w:rsidR="000238DA" w:rsidRPr="00CB2133" w:rsidRDefault="000238DA">
      <w:pPr>
        <w:widowControl/>
        <w:rPr>
          <w:szCs w:val="24"/>
          <w:lang w:eastAsia="en-US"/>
        </w:rPr>
      </w:pPr>
      <w:r w:rsidRPr="00CB2133">
        <w:rPr>
          <w:szCs w:val="24"/>
          <w:lang w:eastAsia="en-US"/>
        </w:rPr>
        <w:br w:type="page"/>
      </w:r>
    </w:p>
    <w:p w14:paraId="391B35EC" w14:textId="3385FE75" w:rsidR="00C45ED4" w:rsidRPr="00CB2133" w:rsidRDefault="00C45ED4" w:rsidP="00C45ED4">
      <w:pPr>
        <w:spacing w:before="120" w:after="120" w:line="360" w:lineRule="auto"/>
        <w:ind w:left="850"/>
        <w:rPr>
          <w:szCs w:val="24"/>
          <w:lang w:eastAsia="en-US"/>
        </w:rPr>
      </w:pPr>
      <w:r w:rsidRPr="00CB2133">
        <w:rPr>
          <w:szCs w:val="24"/>
          <w:lang w:eastAsia="en-US"/>
        </w:rPr>
        <w:lastRenderedPageBreak/>
        <w:t>* Euroopa Parlamendi ja nõukogu 11. detsembri 2018. aasta määrus (EL) 2019/6, mis käsitleb veterinaarravimeid ning millega tunnistatakse kehtetuks direktiiv 2001/82/EÜ (ELT L 4, 7.1.2019, lk 43).</w:t>
      </w:r>
    </w:p>
    <w:p w14:paraId="63F08010"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6. novembri 2001. aasta direktiiv 2001/83/EÜ inimtervishoius kasutatavaid ravimeid käsitlevate ühenduse eeskirjade kohta (EÜT L 311, 28.11.2001, lk 67).</w:t>
      </w:r>
    </w:p>
    <w:p w14:paraId="1C6DE425"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21. oktoobri 2009. aasta direktiiv 2009/128/EÜ, millega kehtestatakse ühenduse tegevusraamistik pestitsiidide säästva kasutamise saavutamiseks (ELT L 309, 24.11.2009, lk 71).“</w:t>
      </w:r>
    </w:p>
    <w:p w14:paraId="3ED61C5C"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4a)</w:t>
      </w:r>
      <w:r w:rsidRPr="00CB2133">
        <w:rPr>
          <w:szCs w:val="24"/>
          <w:lang w:eastAsia="en-US"/>
        </w:rPr>
        <w:tab/>
      </w:r>
      <w:r w:rsidRPr="00CB2133">
        <w:rPr>
          <w:b/>
          <w:i/>
          <w:szCs w:val="24"/>
          <w:lang w:eastAsia="en-US"/>
        </w:rPr>
        <w:t>Artikli 7a lõige 2 asendatakse järgmisega:</w:t>
      </w:r>
    </w:p>
    <w:p w14:paraId="370AC2C0" w14:textId="41FA3E6B" w:rsidR="00C45ED4" w:rsidRPr="00CB2133" w:rsidRDefault="00C45ED4" w:rsidP="00C45ED4">
      <w:pPr>
        <w:spacing w:before="120" w:after="120" w:line="360" w:lineRule="auto"/>
        <w:ind w:left="1416" w:hanging="566"/>
        <w:rPr>
          <w:b/>
          <w:szCs w:val="24"/>
          <w:lang w:eastAsia="en-US"/>
        </w:rPr>
      </w:pPr>
      <w:r w:rsidRPr="00CB2133">
        <w:rPr>
          <w:szCs w:val="24"/>
          <w:lang w:eastAsia="en-US"/>
        </w:rPr>
        <w:t>„</w:t>
      </w:r>
      <w:r w:rsidR="000238DA" w:rsidRPr="00CB2133">
        <w:rPr>
          <w:b/>
          <w:i/>
          <w:szCs w:val="24"/>
          <w:lang w:eastAsia="en-US"/>
        </w:rPr>
        <w:t>2</w:t>
      </w:r>
      <w:r w:rsidRPr="00CB2133">
        <w:rPr>
          <w:b/>
          <w:i/>
          <w:szCs w:val="24"/>
          <w:lang w:eastAsia="en-US"/>
        </w:rPr>
        <w:t>.</w:t>
      </w:r>
      <w:r w:rsidRPr="00CB2133">
        <w:rPr>
          <w:szCs w:val="24"/>
          <w:lang w:eastAsia="en-US"/>
        </w:rPr>
        <w:tab/>
      </w:r>
      <w:r w:rsidRPr="00CB2133">
        <w:rPr>
          <w:b/>
          <w:i/>
          <w:szCs w:val="24"/>
          <w:lang w:eastAsia="en-US"/>
        </w:rPr>
        <w:t>Komisjon annab Euroopa Parlamendile ja nõukogule hiljemalt kuus kuud pärast hinnangu koostamist aru käesoleva artikli lõikes 1 nimetatud hindamise tulemustest ning lisab oma aruandele asjakohased ettepanekud, sealhulgas kontrollimeetmete kohta.</w:t>
      </w:r>
      <w:r w:rsidRPr="00CB2133">
        <w:rPr>
          <w:szCs w:val="24"/>
          <w:lang w:eastAsia="en-US"/>
        </w:rPr>
        <w:t>“</w:t>
      </w:r>
      <w:r w:rsidR="0097022D" w:rsidRPr="00CB2133">
        <w:rPr>
          <w:b/>
          <w:szCs w:val="24"/>
          <w:lang w:eastAsia="en-US"/>
        </w:rPr>
        <w:t xml:space="preserve"> [ME 116]</w:t>
      </w:r>
    </w:p>
    <w:p w14:paraId="23F23DD3" w14:textId="77777777" w:rsidR="000238DA" w:rsidRPr="00CB2133" w:rsidRDefault="000238DA">
      <w:pPr>
        <w:widowControl/>
        <w:rPr>
          <w:szCs w:val="24"/>
          <w:lang w:eastAsia="en-US"/>
        </w:rPr>
      </w:pPr>
      <w:r w:rsidRPr="00CB2133">
        <w:rPr>
          <w:szCs w:val="24"/>
          <w:lang w:eastAsia="en-US"/>
        </w:rPr>
        <w:br w:type="page"/>
      </w:r>
    </w:p>
    <w:p w14:paraId="32DE049C" w14:textId="19E93DBD"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5)</w:t>
      </w:r>
      <w:r w:rsidRPr="00CB2133">
        <w:rPr>
          <w:szCs w:val="24"/>
          <w:lang w:eastAsia="en-US"/>
        </w:rPr>
        <w:tab/>
        <w:t>Artikkel 8 asendatakse järgmisega:</w:t>
      </w:r>
    </w:p>
    <w:p w14:paraId="0A63ABBE"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8</w:t>
      </w:r>
    </w:p>
    <w:p w14:paraId="2CC04E0C" w14:textId="77777777" w:rsidR="00C45ED4" w:rsidRPr="00CB2133" w:rsidRDefault="00C45ED4" w:rsidP="00C45ED4">
      <w:pPr>
        <w:spacing w:before="120" w:after="120" w:line="360" w:lineRule="auto"/>
        <w:ind w:left="850"/>
        <w:rPr>
          <w:szCs w:val="24"/>
          <w:lang w:eastAsia="en-US"/>
        </w:rPr>
      </w:pPr>
      <w:r w:rsidRPr="00CB2133">
        <w:rPr>
          <w:szCs w:val="24"/>
          <w:lang w:eastAsia="en-US"/>
        </w:rPr>
        <w:t>I ja II lisa läbivaatamine</w:t>
      </w:r>
    </w:p>
    <w:p w14:paraId="687EFAC6" w14:textId="7C5EFD0E" w:rsidR="00C45ED4" w:rsidRPr="00CB2133" w:rsidRDefault="00C45ED4" w:rsidP="00C45ED4">
      <w:pPr>
        <w:spacing w:before="120" w:after="120" w:line="360" w:lineRule="auto"/>
        <w:ind w:left="1416" w:hanging="566"/>
        <w:rPr>
          <w:b/>
          <w:szCs w:val="24"/>
          <w:lang w:eastAsia="en-US"/>
        </w:rPr>
      </w:pPr>
      <w:r w:rsidRPr="00CB2133">
        <w:rPr>
          <w:szCs w:val="24"/>
          <w:lang w:eastAsia="en-US"/>
        </w:rPr>
        <w:t>1.</w:t>
      </w:r>
      <w:r w:rsidRPr="00CB2133">
        <w:rPr>
          <w:szCs w:val="24"/>
          <w:lang w:eastAsia="en-US"/>
        </w:rPr>
        <w:tab/>
        <w:t xml:space="preserve">Komisjon vaatab I lisa A osas esitatud prioriteetsete ainete nimistu ja nendele ainetele vastavad keskkonnakvaliteedi standardid, samuti II lisa A osas esitatud saasteainete loetelu esimest korda läbi... [väljaannete talitus: palun lisada kuupäev, mil möödub </w:t>
      </w:r>
      <w:r w:rsidRPr="00CB2133">
        <w:rPr>
          <w:strike/>
          <w:szCs w:val="24"/>
          <w:lang w:eastAsia="en-US"/>
        </w:rPr>
        <w:t>kuus</w:t>
      </w:r>
      <w:r w:rsidRPr="00CB2133">
        <w:rPr>
          <w:b/>
          <w:i/>
          <w:szCs w:val="24"/>
          <w:lang w:eastAsia="en-US"/>
        </w:rPr>
        <w:t>neli</w:t>
      </w:r>
      <w:r w:rsidRPr="00CB2133">
        <w:rPr>
          <w:szCs w:val="24"/>
          <w:lang w:eastAsia="en-US"/>
        </w:rPr>
        <w:t xml:space="preserve"> aastat käesoleva direktiivi jõustumise kuupäevast] ning seejärel iga </w:t>
      </w:r>
      <w:r w:rsidRPr="00CB2133">
        <w:rPr>
          <w:strike/>
          <w:szCs w:val="24"/>
          <w:lang w:eastAsia="en-US"/>
        </w:rPr>
        <w:t>kuue</w:t>
      </w:r>
      <w:r w:rsidRPr="00CB2133">
        <w:rPr>
          <w:b/>
          <w:i/>
          <w:szCs w:val="24"/>
          <w:lang w:eastAsia="en-US"/>
        </w:rPr>
        <w:t>nelja</w:t>
      </w:r>
      <w:r w:rsidRPr="00CB2133">
        <w:rPr>
          <w:szCs w:val="24"/>
          <w:lang w:eastAsia="en-US"/>
        </w:rPr>
        <w:t xml:space="preserve"> aasta järel.</w:t>
      </w:r>
      <w:r w:rsidR="0097022D" w:rsidRPr="00CB2133">
        <w:rPr>
          <w:b/>
          <w:szCs w:val="24"/>
          <w:lang w:eastAsia="en-US"/>
        </w:rPr>
        <w:t xml:space="preserve"> [ME 117]</w:t>
      </w:r>
    </w:p>
    <w:p w14:paraId="6A6764A7" w14:textId="4979DDDC" w:rsidR="00C45ED4" w:rsidRPr="00CB2133" w:rsidRDefault="00C45ED4" w:rsidP="00C45ED4">
      <w:pPr>
        <w:spacing w:before="120" w:after="120" w:line="360" w:lineRule="auto"/>
        <w:ind w:left="1416" w:hanging="566"/>
        <w:rPr>
          <w:b/>
          <w:szCs w:val="24"/>
          <w:lang w:eastAsia="en-US"/>
        </w:rPr>
      </w:pPr>
      <w:r w:rsidRPr="00CB2133">
        <w:rPr>
          <w:szCs w:val="24"/>
          <w:lang w:eastAsia="en-US"/>
        </w:rPr>
        <w:t>2.</w:t>
      </w:r>
      <w:r w:rsidRPr="00CB2133">
        <w:rPr>
          <w:szCs w:val="24"/>
          <w:lang w:eastAsia="en-US"/>
        </w:rPr>
        <w:tab/>
      </w:r>
      <w:r w:rsidRPr="00CB2133">
        <w:rPr>
          <w:strike/>
          <w:szCs w:val="24"/>
          <w:lang w:eastAsia="en-US"/>
        </w:rPr>
        <w:t>Komisjonil on õigus võtta kooskõlas artikliga 9a ning</w:t>
      </w:r>
      <w:r w:rsidRPr="00CB2133">
        <w:rPr>
          <w:b/>
          <w:i/>
          <w:szCs w:val="24"/>
          <w:lang w:eastAsia="en-US"/>
        </w:rPr>
        <w:t>Läbivaatamistulemuste põhjal esitab komisjon</w:t>
      </w:r>
      <w:r w:rsidRPr="00CB2133">
        <w:rPr>
          <w:szCs w:val="24"/>
          <w:lang w:eastAsia="en-US"/>
        </w:rPr>
        <w:t xml:space="preserve"> lähtuvalt teaduslikest aruannetest, mille on käesoleva artikli lõike 6 kohaselt koostanud Euroopa Kemikaaliamet, </w:t>
      </w:r>
      <w:r w:rsidRPr="00CB2133">
        <w:rPr>
          <w:strike/>
          <w:szCs w:val="24"/>
          <w:lang w:eastAsia="en-US"/>
        </w:rPr>
        <w:t>vastu delegeeritud õigusakte</w:t>
      </w:r>
      <w:r w:rsidRPr="00CB2133">
        <w:rPr>
          <w:b/>
          <w:i/>
          <w:szCs w:val="24"/>
          <w:lang w:eastAsia="en-US"/>
        </w:rPr>
        <w:t>asjakohasel juhul seadusandlikud ettepanekud</w:t>
      </w:r>
      <w:r w:rsidRPr="00CB2133">
        <w:rPr>
          <w:szCs w:val="24"/>
          <w:lang w:eastAsia="en-US"/>
        </w:rPr>
        <w:t xml:space="preserve"> I lisa muutmiseks, et kohandada seda teaduse ja tehnika arenguga järgmisel viisil:</w:t>
      </w:r>
      <w:r w:rsidR="0097022D" w:rsidRPr="00CB2133">
        <w:rPr>
          <w:b/>
          <w:szCs w:val="24"/>
          <w:lang w:eastAsia="en-US"/>
        </w:rPr>
        <w:t xml:space="preserve"> [ME 118]</w:t>
      </w:r>
    </w:p>
    <w:p w14:paraId="23CE78ED" w14:textId="77777777" w:rsidR="000238DA" w:rsidRPr="00CB2133" w:rsidRDefault="000238DA">
      <w:pPr>
        <w:widowControl/>
        <w:rPr>
          <w:szCs w:val="24"/>
          <w:lang w:eastAsia="en-US"/>
        </w:rPr>
      </w:pPr>
      <w:r w:rsidRPr="00CB2133">
        <w:rPr>
          <w:szCs w:val="24"/>
          <w:lang w:eastAsia="en-US"/>
        </w:rPr>
        <w:br w:type="page"/>
      </w:r>
    </w:p>
    <w:p w14:paraId="1B8D5BFF" w14:textId="1F3A8A0B"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a)</w:t>
      </w:r>
      <w:r w:rsidRPr="00CB2133">
        <w:rPr>
          <w:szCs w:val="24"/>
          <w:lang w:eastAsia="en-US"/>
        </w:rPr>
        <w:tab/>
        <w:t>ainete lisamisega prioriteetsete ainete nimistusse või nende väljajätmisega sellest nimistust;</w:t>
      </w:r>
    </w:p>
    <w:p w14:paraId="190F0CBF"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selles nimistus olevate ainete määratlemisega prioriteetse ohtliku ainena ja/või üldlevinud püsiva, bioakumuleeruva ja toksilise ainena ja/või ainena, millel on kalduvus akumuleeruda settes ja/või elustikus, või sellise määratluse ärajätmisega;</w:t>
      </w:r>
    </w:p>
    <w:p w14:paraId="7168BD52"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c)</w:t>
      </w:r>
      <w:r w:rsidRPr="00CB2133">
        <w:rPr>
          <w:szCs w:val="24"/>
          <w:lang w:eastAsia="en-US"/>
        </w:rPr>
        <w:tab/>
        <w:t>vastavate keskkonnakvaliteedi standardite kehtestamisega vastavalt vajadusele pinnavee, sette või elustiku jaoks.</w:t>
      </w:r>
    </w:p>
    <w:p w14:paraId="5A33ECF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Komisjonil on õigus võtta kooskõlas artikliga 9a ning lähtuvalt teaduslikest aruannetest, mille on käesoleva artikli lõike 6 kohaselt koostanud Euroopa Kemikaaliamet, vastu delegeeritud õigusakte II lisa muutmiseks, et kohandada seda teaduse ja tehnika arenguga järgmisel viisil:</w:t>
      </w:r>
    </w:p>
    <w:p w14:paraId="1517D65F"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saasteainete lisamisega II lisa A osas esitatud saasteainekategooriate loetellu või nende väljajätmisega sellest loetelust;</w:t>
      </w:r>
    </w:p>
    <w:p w14:paraId="4E87A4EC"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II lisa B osas esitatud metoodika ajakohastamisega;</w:t>
      </w:r>
    </w:p>
    <w:p w14:paraId="3B08C399" w14:textId="77777777" w:rsidR="000238DA" w:rsidRPr="00CB2133" w:rsidRDefault="000238DA">
      <w:pPr>
        <w:widowControl/>
        <w:rPr>
          <w:szCs w:val="24"/>
          <w:lang w:eastAsia="en-US"/>
        </w:rPr>
      </w:pPr>
      <w:r w:rsidRPr="00CB2133">
        <w:rPr>
          <w:szCs w:val="24"/>
          <w:lang w:eastAsia="en-US"/>
        </w:rPr>
        <w:br w:type="page"/>
      </w:r>
    </w:p>
    <w:p w14:paraId="44CEC43B" w14:textId="4301E707"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c)</w:t>
      </w:r>
      <w:r w:rsidRPr="00CB2133">
        <w:rPr>
          <w:szCs w:val="24"/>
          <w:lang w:eastAsia="en-US"/>
        </w:rPr>
        <w:tab/>
        <w:t>käesoleva direktiivi II lisa C osasse selliste vesikonnaspetsiifiliste saasteainete kandmisega, mille puhul komisjon on kindlaks teinud vajaduse kohaldada liidu tasandil kehtestatud keskkonnakvaliteedi standardeid, kui see on asjakohane, eesmärgiga tagada direktiivi 2000/60/EÜ artiklis 4 sätestatud eesmärkide saavutamine ühtlustatud ja teaduspõhisel viisil, ning selliste saasteainete jaoks vastavate keskkonnakvaliteedi standardite loetlemisega käesoleva direktiivi II lisa C osas.</w:t>
      </w:r>
    </w:p>
    <w:p w14:paraId="4B4AE4B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4.</w:t>
      </w:r>
      <w:r w:rsidRPr="00CB2133">
        <w:rPr>
          <w:szCs w:val="24"/>
          <w:lang w:eastAsia="en-US"/>
        </w:rPr>
        <w:tab/>
        <w:t>Selliste vesikonnaspetsiifiliste saasteainete kindlakstegemisel, mille jaoks võib olla vaja kehtestada keskkonnakvaliteedi standardid liidu tasandil, võtab komisjon arvesse järgmisi kriteeriume:</w:t>
      </w:r>
    </w:p>
    <w:p w14:paraId="13366103" w14:textId="23DA70EC" w:rsidR="00C45ED4" w:rsidRPr="00CB2133" w:rsidRDefault="00C45ED4" w:rsidP="00C45ED4">
      <w:pPr>
        <w:spacing w:before="120" w:after="120" w:line="360" w:lineRule="auto"/>
        <w:ind w:left="1982" w:hanging="566"/>
        <w:rPr>
          <w:b/>
          <w:szCs w:val="24"/>
          <w:lang w:eastAsia="en-US"/>
        </w:rPr>
      </w:pPr>
      <w:r w:rsidRPr="00CB2133">
        <w:rPr>
          <w:szCs w:val="24"/>
          <w:lang w:eastAsia="en-US"/>
        </w:rPr>
        <w:t>a)</w:t>
      </w:r>
      <w:r w:rsidRPr="00CB2133">
        <w:rPr>
          <w:szCs w:val="24"/>
          <w:lang w:eastAsia="en-US"/>
        </w:rPr>
        <w:tab/>
        <w:t>saasteainetest tulenev risk, sealhulgas nende ohtlikkus, sisaldus keskkonnas ja kontsentratsioon, mille ületamisel võib eeldada mõju</w:t>
      </w:r>
      <w:r w:rsidRPr="00CB2133">
        <w:rPr>
          <w:b/>
          <w:i/>
          <w:szCs w:val="24"/>
          <w:lang w:eastAsia="en-US"/>
        </w:rPr>
        <w:t>, sealhulgas kumulatiivse mõju</w:t>
      </w:r>
      <w:r w:rsidRPr="00CB2133">
        <w:rPr>
          <w:szCs w:val="24"/>
          <w:lang w:eastAsia="en-US"/>
        </w:rPr>
        <w:t xml:space="preserve"> ilmnemist;</w:t>
      </w:r>
      <w:r w:rsidR="0097022D" w:rsidRPr="00CB2133">
        <w:rPr>
          <w:b/>
          <w:szCs w:val="24"/>
          <w:lang w:eastAsia="en-US"/>
        </w:rPr>
        <w:t xml:space="preserve"> [ME 119]</w:t>
      </w:r>
    </w:p>
    <w:p w14:paraId="2834599A"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eri liikmesriikides vesikonnaspetsiifiliste saasteainete jaoks kehtestatud riiklike keskkonnakvaliteedi standardite varieeruvus ja sellise varieeruvuse põhjendatuse määr;</w:t>
      </w:r>
    </w:p>
    <w:p w14:paraId="11D830F1" w14:textId="77777777" w:rsidR="000238DA" w:rsidRPr="00CB2133" w:rsidRDefault="000238DA">
      <w:pPr>
        <w:widowControl/>
        <w:rPr>
          <w:szCs w:val="24"/>
          <w:lang w:eastAsia="en-US"/>
        </w:rPr>
      </w:pPr>
      <w:r w:rsidRPr="00CB2133">
        <w:rPr>
          <w:szCs w:val="24"/>
          <w:lang w:eastAsia="en-US"/>
        </w:rPr>
        <w:br w:type="page"/>
      </w:r>
    </w:p>
    <w:p w14:paraId="7B5E348B" w14:textId="5A448611"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c)</w:t>
      </w:r>
      <w:r w:rsidRPr="00CB2133">
        <w:rPr>
          <w:szCs w:val="24"/>
          <w:lang w:eastAsia="en-US"/>
        </w:rPr>
        <w:tab/>
        <w:t>nende liikmesriikide arv, kus juba rakendatakse keskkonnakvaliteedi standardeid vaadeldavate vesikonnaspetsiifiliste saasteainete jaoks.</w:t>
      </w:r>
    </w:p>
    <w:p w14:paraId="6812C343"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5.</w:t>
      </w:r>
      <w:r w:rsidRPr="00CB2133">
        <w:rPr>
          <w:szCs w:val="24"/>
          <w:lang w:eastAsia="en-US"/>
        </w:rPr>
        <w:tab/>
        <w:t>Prioriteetsed ained, mis on lõikes 1 osutatud läbivaatamise tulemusena prioriteetsete ainete nimistust välja jäetud, sest neist ei tulene enam kogu liitu hõlmavat riski, lisatakse II lisa C osasse, kus on loetletud vesikonnaspetsiifilised saasteained ja nendega seotud ühtlustatud keskkonnakvaliteedi standardid, mida tuleb rakendada riigi või piirkonna tasandil probleemsete saasteainete suhtes kooskõlas artikliga 8d.</w:t>
      </w:r>
    </w:p>
    <w:p w14:paraId="32D9CA77"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6.</w:t>
      </w:r>
      <w:r w:rsidRPr="00CB2133">
        <w:rPr>
          <w:szCs w:val="24"/>
          <w:lang w:eastAsia="en-US"/>
        </w:rPr>
        <w:tab/>
        <w:t>Euroopa Kemikaaliamet koostab teaduslikke aruandeid, et abistada komisjoni seoses I ja II lisa läbivaatamisega. Nendes aruannetes võetakse arvesse:</w:t>
      </w:r>
    </w:p>
    <w:p w14:paraId="68390B00"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ameti riskihindamise komitee ja sotsiaal-majandusliku analüüsi komitee arvamusi;</w:t>
      </w:r>
    </w:p>
    <w:p w14:paraId="6F67DBAF"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direktiivi 2000/60/EÜ artikli 8 alusel kehtestatud seireprogrammide tulemusi;</w:t>
      </w:r>
    </w:p>
    <w:p w14:paraId="286AE1D0" w14:textId="77777777" w:rsidR="000238DA" w:rsidRPr="00CB2133" w:rsidRDefault="000238DA">
      <w:pPr>
        <w:widowControl/>
        <w:rPr>
          <w:szCs w:val="24"/>
          <w:lang w:eastAsia="en-US"/>
        </w:rPr>
      </w:pPr>
      <w:r w:rsidRPr="00CB2133">
        <w:rPr>
          <w:szCs w:val="24"/>
          <w:lang w:eastAsia="en-US"/>
        </w:rPr>
        <w:br w:type="page"/>
      </w:r>
    </w:p>
    <w:p w14:paraId="7E63BCDC" w14:textId="2DDA3D35"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c)</w:t>
      </w:r>
      <w:r w:rsidRPr="00CB2133">
        <w:rPr>
          <w:szCs w:val="24"/>
          <w:lang w:eastAsia="en-US"/>
        </w:rPr>
        <w:tab/>
        <w:t>käesoleva direktiivi artikli 8b lõike 4 kohaselt kogutud seireandmeid;</w:t>
      </w:r>
    </w:p>
    <w:p w14:paraId="53514087"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d)</w:t>
      </w:r>
      <w:r w:rsidRPr="00CB2133">
        <w:rPr>
          <w:szCs w:val="24"/>
          <w:lang w:eastAsia="en-US"/>
        </w:rPr>
        <w:tab/>
        <w:t>Euroopa Parlamendi ja nõukogu direktiivi 2006/118/EÜ* ning Euroopa Parlamendi ja nõukogu direktiivi (EL) 2020/2184** lisade läbivaatamise tulemusi;</w:t>
      </w:r>
    </w:p>
    <w:p w14:paraId="6F255794"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e)</w:t>
      </w:r>
      <w:r w:rsidRPr="00CB2133">
        <w:rPr>
          <w:szCs w:val="24"/>
          <w:lang w:eastAsia="en-US"/>
        </w:rPr>
        <w:tab/>
        <w:t>pinnasereostuse vähendamise nõudeid, sealhulgas nendega seotud seireandmeid;</w:t>
      </w:r>
    </w:p>
    <w:p w14:paraId="069DAF1F"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f)</w:t>
      </w:r>
      <w:r w:rsidRPr="00CB2133">
        <w:rPr>
          <w:szCs w:val="24"/>
          <w:lang w:eastAsia="en-US"/>
        </w:rPr>
        <w:tab/>
        <w:t>liidu teadusprogramme ja teadusartikleid, sealhulgas kaugseiretehnoloogia, Maa seire (Copernicuse programmi teenused) ning kohapealsete andurite ja seadmete abil saadud teavet, ja/või kodanikelt saadud teadusandmeid, et kasutada ära tehisintellekti ning kõrgetasemelise andmeanalüüsi ja -töötlusega seotud võimalusi;</w:t>
      </w:r>
    </w:p>
    <w:p w14:paraId="6A53F088"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g)</w:t>
      </w:r>
      <w:r w:rsidRPr="00CB2133">
        <w:rPr>
          <w:szCs w:val="24"/>
          <w:lang w:eastAsia="en-US"/>
        </w:rPr>
        <w:tab/>
        <w:t>asjaomastelt sidusrühmadelt saadud märkusi ja teavet.</w:t>
      </w:r>
    </w:p>
    <w:p w14:paraId="02CEFE66" w14:textId="77777777" w:rsidR="000238DA" w:rsidRPr="00CB2133" w:rsidRDefault="000238DA">
      <w:pPr>
        <w:widowControl/>
        <w:rPr>
          <w:b/>
          <w:i/>
          <w:szCs w:val="24"/>
          <w:lang w:eastAsia="en-US"/>
        </w:rPr>
      </w:pPr>
      <w:r w:rsidRPr="00CB2133">
        <w:rPr>
          <w:b/>
          <w:i/>
          <w:szCs w:val="24"/>
          <w:lang w:eastAsia="en-US"/>
        </w:rPr>
        <w:br w:type="page"/>
      </w:r>
    </w:p>
    <w:p w14:paraId="313F7B0E" w14:textId="7494511C" w:rsidR="00C45ED4" w:rsidRPr="00CB2133" w:rsidRDefault="00C45ED4" w:rsidP="00C45ED4">
      <w:pPr>
        <w:spacing w:before="120" w:after="120" w:line="360" w:lineRule="auto"/>
        <w:ind w:left="1416" w:hanging="566"/>
        <w:rPr>
          <w:b/>
          <w:szCs w:val="24"/>
          <w:lang w:eastAsia="en-US"/>
        </w:rPr>
      </w:pPr>
      <w:r w:rsidRPr="00CB2133">
        <w:rPr>
          <w:b/>
          <w:i/>
          <w:szCs w:val="24"/>
          <w:lang w:eastAsia="en-US"/>
        </w:rPr>
        <w:lastRenderedPageBreak/>
        <w:t>6a.</w:t>
      </w:r>
      <w:r w:rsidRPr="00CB2133">
        <w:rPr>
          <w:szCs w:val="24"/>
          <w:lang w:eastAsia="en-US"/>
        </w:rPr>
        <w:tab/>
      </w:r>
      <w:r w:rsidRPr="00CB2133">
        <w:rPr>
          <w:b/>
          <w:i/>
          <w:szCs w:val="24"/>
          <w:lang w:eastAsia="en-US"/>
        </w:rPr>
        <w:t>Komisjon koostab hiljemalt 12. jaanuariks 2025 tehnilised suunised, mis käsitlevad parameetri „PFASid kokku“ alusel tehtavaks per- ja polüfluoritud alküülühendite seireks kasutatava analüüsi meetodeid. Komisjon võtab 12. jaanuariks 2026 kooskõlas artikliga 9a vastu delegeeritud õigusakti, millega muudetakse käesolevat direktiivi, kehtestades parameetri „PFASid kokku“ kvaliteedistandardi ja muutes sellega seoses I lisa.</w:t>
      </w:r>
      <w:r w:rsidR="0097022D" w:rsidRPr="00CB2133">
        <w:rPr>
          <w:b/>
          <w:szCs w:val="24"/>
          <w:lang w:eastAsia="en-US"/>
        </w:rPr>
        <w:t xml:space="preserve"> [ME 120]</w:t>
      </w:r>
    </w:p>
    <w:p w14:paraId="6B60A645" w14:textId="0AD62829" w:rsidR="00C45ED4" w:rsidRPr="00CB2133" w:rsidRDefault="00C45ED4" w:rsidP="00C45ED4">
      <w:pPr>
        <w:spacing w:before="120" w:after="120" w:line="360" w:lineRule="auto"/>
        <w:ind w:left="1416" w:hanging="566"/>
        <w:rPr>
          <w:b/>
          <w:szCs w:val="24"/>
          <w:lang w:eastAsia="en-US"/>
        </w:rPr>
      </w:pPr>
      <w:r w:rsidRPr="00CB2133">
        <w:rPr>
          <w:b/>
          <w:i/>
          <w:szCs w:val="24"/>
          <w:lang w:eastAsia="en-US"/>
        </w:rPr>
        <w:t>6b.</w:t>
      </w:r>
      <w:r w:rsidRPr="00CB2133">
        <w:rPr>
          <w:szCs w:val="24"/>
          <w:lang w:eastAsia="en-US"/>
        </w:rPr>
        <w:tab/>
      </w:r>
      <w:r w:rsidRPr="00CB2133">
        <w:rPr>
          <w:b/>
          <w:i/>
          <w:szCs w:val="24"/>
          <w:lang w:eastAsia="en-US"/>
        </w:rPr>
        <w:t>Hiljemalt ... [kaks aastat pärast käesoleva direktiivi jõustumist] koostab komisjon tehnilised suunised, mis käsitlevad parameetri „bisfenoolid kokku“ alusel tehtavaks bisfenoolide, sealhulgas vähemalt bisfenool A, bisfenool B ja bisfenool S-i seireks kasutatava analüüsi meetodeid. Hiljemalt ... [kolm aastat pärast käesoleva direktiivi jõustumist] võtab komisjon kooskõlas artikliga 9a vastu delegeeritud õigusakti, millega muudetakse käesolevat direktiivi, kehtestades parameetri „bisfenoolid kokku“ jaoks keskkonnakvaliteedi standardi, kasutades suhtelise potentsuse teguri meetodit, ja muutes sellega seoses I lisa.</w:t>
      </w:r>
      <w:r w:rsidR="0097022D" w:rsidRPr="00CB2133">
        <w:rPr>
          <w:b/>
          <w:szCs w:val="24"/>
          <w:lang w:eastAsia="en-US"/>
        </w:rPr>
        <w:t xml:space="preserve"> [ME 121]</w:t>
      </w:r>
    </w:p>
    <w:p w14:paraId="258DF843" w14:textId="77777777" w:rsidR="000238DA" w:rsidRPr="00CB2133" w:rsidRDefault="000238DA">
      <w:pPr>
        <w:widowControl/>
        <w:rPr>
          <w:szCs w:val="24"/>
          <w:lang w:eastAsia="en-US"/>
        </w:rPr>
      </w:pPr>
      <w:r w:rsidRPr="00CB2133">
        <w:rPr>
          <w:szCs w:val="24"/>
          <w:lang w:eastAsia="en-US"/>
        </w:rPr>
        <w:br w:type="page"/>
      </w:r>
    </w:p>
    <w:p w14:paraId="75D78B44" w14:textId="0D6A4867"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7.</w:t>
      </w:r>
      <w:r w:rsidRPr="00CB2133">
        <w:rPr>
          <w:szCs w:val="24"/>
          <w:lang w:eastAsia="en-US"/>
        </w:rPr>
        <w:tab/>
        <w:t xml:space="preserve">Euroopa Kemikaaliamet koostab iga </w:t>
      </w:r>
      <w:r w:rsidRPr="00CB2133">
        <w:rPr>
          <w:strike/>
          <w:szCs w:val="24"/>
          <w:lang w:eastAsia="en-US"/>
        </w:rPr>
        <w:t>kuue</w:t>
      </w:r>
      <w:r w:rsidRPr="00CB2133">
        <w:rPr>
          <w:b/>
          <w:i/>
          <w:szCs w:val="24"/>
          <w:lang w:eastAsia="en-US"/>
        </w:rPr>
        <w:t>nelja</w:t>
      </w:r>
      <w:r w:rsidRPr="00CB2133">
        <w:rPr>
          <w:szCs w:val="24"/>
          <w:lang w:eastAsia="en-US"/>
        </w:rPr>
        <w:t xml:space="preserve"> aasta järel aruande, milles esitatakse kokkuvõte lõike 6 kohaselt koostatud teaduslikes aruannetes esitatud järelduste kohta, ning teeb selle üldsusele kättesaadavaks. Esimene aruanne esitatakse komisjonile ... [väljaannete talitus: palun lisada kuupäev, mil möödub </w:t>
      </w:r>
      <w:r w:rsidRPr="00CB2133">
        <w:rPr>
          <w:strike/>
          <w:szCs w:val="24"/>
          <w:lang w:eastAsia="en-US"/>
        </w:rPr>
        <w:t>viis</w:t>
      </w:r>
      <w:r w:rsidRPr="00CB2133">
        <w:rPr>
          <w:b/>
          <w:i/>
          <w:szCs w:val="24"/>
          <w:lang w:eastAsia="en-US"/>
        </w:rPr>
        <w:t>kolm</w:t>
      </w:r>
      <w:r w:rsidRPr="00CB2133">
        <w:rPr>
          <w:szCs w:val="24"/>
          <w:lang w:eastAsia="en-US"/>
        </w:rPr>
        <w:t xml:space="preserve"> aastat käesoleva direktiivi jõustumise kuupäevast].</w:t>
      </w:r>
      <w:r w:rsidR="0097022D" w:rsidRPr="00CB2133">
        <w:rPr>
          <w:b/>
          <w:szCs w:val="24"/>
          <w:lang w:eastAsia="en-US"/>
        </w:rPr>
        <w:t xml:space="preserve"> [ME 122]</w:t>
      </w:r>
    </w:p>
    <w:p w14:paraId="6906A69D"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12. detsembri 2006. aasta direktiiv 2006/118/EÜ põhjavee reostuse ärahoidmise ja tõrje kohta (ELT L 372, 27.12.2006, lk 19).</w:t>
      </w:r>
    </w:p>
    <w:p w14:paraId="3F32B911"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16. detsembri 2020. aasta direktiiv (EL) 2020/2184 olmevee kvaliteedi kohta (ELT L 435, 23.12.2020, lk 1).“</w:t>
      </w:r>
    </w:p>
    <w:p w14:paraId="28BBB133" w14:textId="77777777" w:rsidR="000238DA" w:rsidRPr="00CB2133" w:rsidRDefault="000238DA">
      <w:pPr>
        <w:widowControl/>
        <w:rPr>
          <w:szCs w:val="24"/>
          <w:lang w:eastAsia="en-US"/>
        </w:rPr>
      </w:pPr>
      <w:r w:rsidRPr="00CB2133">
        <w:rPr>
          <w:szCs w:val="24"/>
          <w:lang w:eastAsia="en-US"/>
        </w:rPr>
        <w:br w:type="page"/>
      </w:r>
    </w:p>
    <w:p w14:paraId="17F28776" w14:textId="5279E10E"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6)</w:t>
      </w:r>
      <w:r w:rsidRPr="00CB2133">
        <w:rPr>
          <w:szCs w:val="24"/>
          <w:lang w:eastAsia="en-US"/>
        </w:rPr>
        <w:tab/>
        <w:t>Artikkel 8a asendatakse järgmisega:</w:t>
      </w:r>
    </w:p>
    <w:p w14:paraId="4E437BE1"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8a</w:t>
      </w:r>
    </w:p>
    <w:p w14:paraId="0DF4418E" w14:textId="77777777" w:rsidR="00C45ED4" w:rsidRPr="00CB2133" w:rsidRDefault="00C45ED4" w:rsidP="00C45ED4">
      <w:pPr>
        <w:spacing w:before="120" w:after="120" w:line="360" w:lineRule="auto"/>
        <w:ind w:left="850"/>
        <w:rPr>
          <w:szCs w:val="24"/>
          <w:lang w:eastAsia="en-US"/>
        </w:rPr>
      </w:pPr>
      <w:r w:rsidRPr="00CB2133">
        <w:rPr>
          <w:szCs w:val="24"/>
          <w:lang w:eastAsia="en-US"/>
        </w:rPr>
        <w:t>Erisätted teatavate ainete kohta</w:t>
      </w:r>
    </w:p>
    <w:p w14:paraId="6E839DC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Ilma et see piiraks direktiivi 2000/60/EÜ V lisa punktis 1.4.3 esitatud nõudeid üldise keemilise seisundi kirjeldamise kohta ning selle direktiivi artikli 4 lõike 1 punktis a sätestatud eesmärke ja kohustusi, võivad liikmesriigid esitada direktiivi 2000/60/EÜ artikli 13 kohaselt koostatud vesikonna majandamiskavades lisakaarte, millel esitatakse käesoleva direktiivi I lisa A osas loetletud ülejäänud aineid käsitlevast teabest eraldi ühe või mitme järgmise ainega seotud keemilist seisundit käsitlev teave:</w:t>
      </w:r>
    </w:p>
    <w:p w14:paraId="4A47E5A8"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ained, mis on I lisa A osas määratletud kui üldlevinud püsiva, bioakumuleeruva ja toksilise ainena käituvad ained;</w:t>
      </w:r>
    </w:p>
    <w:p w14:paraId="43423147"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artikli 8 kohase kõige viimase läbivaatamise käigus hiljuti kindlaks määratud ained;</w:t>
      </w:r>
    </w:p>
    <w:p w14:paraId="1793AF1A" w14:textId="77777777" w:rsidR="000238DA" w:rsidRPr="00CB2133" w:rsidRDefault="000238DA">
      <w:pPr>
        <w:widowControl/>
        <w:rPr>
          <w:szCs w:val="24"/>
          <w:lang w:eastAsia="en-US"/>
        </w:rPr>
      </w:pPr>
      <w:r w:rsidRPr="00CB2133">
        <w:rPr>
          <w:szCs w:val="24"/>
          <w:lang w:eastAsia="en-US"/>
        </w:rPr>
        <w:br w:type="page"/>
      </w:r>
    </w:p>
    <w:p w14:paraId="5D694310" w14:textId="4389C692"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c)</w:t>
      </w:r>
      <w:r w:rsidRPr="00CB2133">
        <w:rPr>
          <w:szCs w:val="24"/>
          <w:lang w:eastAsia="en-US"/>
        </w:rPr>
        <w:tab/>
        <w:t>ained, mille jaoks on artikli 8 kohase kõige viimase läbivaatamise käigus kehtestatud rangem keskkonnakvaliteedi standard.</w:t>
      </w:r>
    </w:p>
    <w:p w14:paraId="2A3EA796" w14:textId="1DB9B80D" w:rsidR="00C45ED4" w:rsidRPr="00CB2133" w:rsidRDefault="00C45ED4" w:rsidP="00C45ED4">
      <w:pPr>
        <w:spacing w:before="120" w:after="120" w:line="360" w:lineRule="auto"/>
        <w:ind w:left="1416"/>
        <w:rPr>
          <w:b/>
          <w:szCs w:val="24"/>
          <w:lang w:eastAsia="en-US"/>
        </w:rPr>
      </w:pPr>
      <w:r w:rsidRPr="00CB2133">
        <w:rPr>
          <w:szCs w:val="24"/>
          <w:lang w:eastAsia="en-US"/>
        </w:rPr>
        <w:t xml:space="preserve">Liikmesriigid </w:t>
      </w:r>
      <w:r w:rsidRPr="00CB2133">
        <w:rPr>
          <w:strike/>
          <w:szCs w:val="24"/>
          <w:lang w:eastAsia="en-US"/>
        </w:rPr>
        <w:t>võivad</w:t>
      </w:r>
      <w:r w:rsidRPr="00CB2133">
        <w:rPr>
          <w:b/>
          <w:i/>
          <w:szCs w:val="24"/>
          <w:lang w:eastAsia="en-US"/>
        </w:rPr>
        <w:t>esitavad</w:t>
      </w:r>
      <w:r w:rsidRPr="00CB2133">
        <w:rPr>
          <w:szCs w:val="24"/>
          <w:lang w:eastAsia="en-US"/>
        </w:rPr>
        <w:t xml:space="preserve"> direktiivi </w:t>
      </w:r>
      <w:r w:rsidRPr="00CB2133">
        <w:rPr>
          <w:strike/>
          <w:szCs w:val="24"/>
          <w:lang w:eastAsia="en-US"/>
        </w:rPr>
        <w:t>2000/60/EM</w:t>
      </w:r>
      <w:r w:rsidRPr="00CB2133">
        <w:rPr>
          <w:b/>
          <w:i/>
          <w:szCs w:val="24"/>
          <w:lang w:eastAsia="en-US"/>
        </w:rPr>
        <w:t>2000/60/E</w:t>
      </w:r>
      <w:r w:rsidRPr="00A66115">
        <w:rPr>
          <w:b/>
          <w:i/>
          <w:szCs w:val="24"/>
          <w:lang w:eastAsia="en-US"/>
        </w:rPr>
        <w:t>Ü</w:t>
      </w:r>
      <w:r w:rsidRPr="00CB2133">
        <w:rPr>
          <w:szCs w:val="24"/>
          <w:lang w:eastAsia="en-US"/>
        </w:rPr>
        <w:t xml:space="preserve"> artikli 13 kohaselt koostatud vesikonna majandamiskavas</w:t>
      </w:r>
      <w:r w:rsidRPr="00CB2133">
        <w:rPr>
          <w:strike/>
          <w:szCs w:val="24"/>
          <w:lang w:eastAsia="en-US"/>
        </w:rPr>
        <w:t xml:space="preserve"> esitada</w:t>
      </w:r>
      <w:r w:rsidRPr="00CB2133">
        <w:rPr>
          <w:szCs w:val="24"/>
          <w:lang w:eastAsia="en-US"/>
        </w:rPr>
        <w:t xml:space="preserve"> esimese lõigu punktides a, b ja c osutatud ainetega seotud keskkonnakvaliteedi standardite väärtusest kõrvalekaldumise määra. Esimeses lõigus osutatud lisakaarte esitavad liikmesriigid püüavad tagada nende omavahelise võrreldavuse vesikonna ja liidu tasandil ning teevad asjaomased andmed vastavalt direktiivile 2003/4/EÜ, Euroopa Parlamendi ja nõukogu direktiivile 2007/2/EÜ* ning Euroopa Parlamendi ja nõukogu direktiivile (EL) 2019/1024** kättesaadavaks.</w:t>
      </w:r>
      <w:r w:rsidR="0097022D" w:rsidRPr="00CB2133">
        <w:rPr>
          <w:b/>
          <w:szCs w:val="24"/>
          <w:lang w:eastAsia="en-US"/>
        </w:rPr>
        <w:t xml:space="preserve"> [ME 123]</w:t>
      </w:r>
    </w:p>
    <w:p w14:paraId="02259777" w14:textId="77777777" w:rsidR="000238DA" w:rsidRPr="00CB2133" w:rsidRDefault="000238DA">
      <w:pPr>
        <w:widowControl/>
        <w:rPr>
          <w:szCs w:val="24"/>
          <w:lang w:eastAsia="en-US"/>
        </w:rPr>
      </w:pPr>
      <w:r w:rsidRPr="00CB2133">
        <w:rPr>
          <w:szCs w:val="24"/>
          <w:lang w:eastAsia="en-US"/>
        </w:rPr>
        <w:br w:type="page"/>
      </w:r>
    </w:p>
    <w:p w14:paraId="40AFF91D" w14:textId="19C5394E" w:rsidR="00C45ED4" w:rsidRPr="00CB2133" w:rsidRDefault="00C45ED4" w:rsidP="00C45ED4">
      <w:pPr>
        <w:spacing w:before="120" w:after="120" w:line="360" w:lineRule="auto"/>
        <w:ind w:left="1416" w:hanging="566"/>
        <w:rPr>
          <w:b/>
          <w:szCs w:val="24"/>
          <w:lang w:eastAsia="en-US"/>
        </w:rPr>
      </w:pPr>
      <w:r w:rsidRPr="00CB2133">
        <w:rPr>
          <w:szCs w:val="24"/>
          <w:lang w:eastAsia="en-US"/>
        </w:rPr>
        <w:lastRenderedPageBreak/>
        <w:t>2.</w:t>
      </w:r>
      <w:r w:rsidRPr="00CB2133">
        <w:rPr>
          <w:szCs w:val="24"/>
          <w:lang w:eastAsia="en-US"/>
        </w:rPr>
        <w:tab/>
        <w:t>Liikmesriigid võivad ainete puhul, mis on I lisa A osas määratletud kui üldlevinud püsiva, bioakumuleeruva ja toksilise ainena käituvad ained</w:t>
      </w:r>
      <w:r w:rsidRPr="00CB2133">
        <w:rPr>
          <w:b/>
          <w:i/>
          <w:szCs w:val="24"/>
          <w:lang w:eastAsia="en-US"/>
        </w:rPr>
        <w:t xml:space="preserve"> ja millele enam luba ei anta ning mida liidus enam ei kasutata</w:t>
      </w:r>
      <w:r w:rsidRPr="00CB2133">
        <w:rPr>
          <w:szCs w:val="24"/>
          <w:lang w:eastAsia="en-US"/>
        </w:rPr>
        <w:t>, teha seiret väiksema intensiivsusega, kui on prioriteetsete ainete puhul nõutud vastavalt käesoleva direktiivi artikli 3 lõikele 4 ja direktiivi 2000/60/EÜ V lisale, tingimusel, et selline seire on representatiivne ja et kõnealuste ainete esinemise kohta veekeskkonnas on olemas statistiliselt usaldusväärne võrdlusalus. Vastavalt käesoleva direktiivi artikli 3 lõike 6 teisele lõigule peaks seire toimuma põhimõtteliselt iga kolme aasta järel, kui tehniliste teadmiste ja eksperdiarvamuse põhjal ei ole põhjendatud muu ajavahemik.</w:t>
      </w:r>
      <w:r w:rsidR="0097022D" w:rsidRPr="00CB2133">
        <w:rPr>
          <w:b/>
          <w:szCs w:val="24"/>
          <w:lang w:eastAsia="en-US"/>
        </w:rPr>
        <w:t xml:space="preserve"> [ME 124]</w:t>
      </w:r>
    </w:p>
    <w:p w14:paraId="13998905" w14:textId="77777777" w:rsidR="000238DA" w:rsidRPr="00CB2133" w:rsidRDefault="000238DA">
      <w:pPr>
        <w:widowControl/>
        <w:rPr>
          <w:szCs w:val="24"/>
          <w:lang w:eastAsia="en-US"/>
        </w:rPr>
      </w:pPr>
      <w:r w:rsidRPr="00CB2133">
        <w:rPr>
          <w:szCs w:val="24"/>
          <w:lang w:eastAsia="en-US"/>
        </w:rPr>
        <w:br w:type="page"/>
      </w:r>
    </w:p>
    <w:p w14:paraId="39F49C49" w14:textId="773050D2"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3.</w:t>
      </w:r>
      <w:r w:rsidRPr="00CB2133">
        <w:rPr>
          <w:szCs w:val="24"/>
          <w:lang w:eastAsia="en-US"/>
        </w:rPr>
        <w:tab/>
        <w:t>Liikmesriigid teevad alates ... [väljaannete talitus: palun lisada kuupäevana selle kuu esimene päev, mis järgneb kuule, mil möödub 18 kuud käesoleva direktiivi jõustumise kuupäevast] kahe aasta jooksul östrogeensete ainete seiret veekogudes, kasutades selleks mõjupõhiseid seiremeetodeid. Nad teevad kummalgi aastal seiret vähemalt neli korda kohtades, kus viiakse läbi käesoleva direktiivi I lisa A osas loetletud kolme östrogeense hormooni 7-β-östradiooli (E2), östrooni (E1) ja α-etinüülöstradiooli (EE2) seiret tavapäraste analüüsimeetodite abil vastavalt direktiivi 2000/60/EÜ artiklile 8 ja kõnealuse direktiivi V lisale. Liikmesriigid võivad kasutada seirekohtade võrgustikku, mis on määratud kindlaks representatiivsete pinnaveekogude kontrollseireks kooskõlas direktiivi 2000/60/EÜ V lisa punktiga 1.3.1.</w:t>
      </w:r>
    </w:p>
    <w:p w14:paraId="781C72AF"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3a.</w:t>
      </w:r>
      <w:r w:rsidRPr="00CB2133">
        <w:rPr>
          <w:szCs w:val="24"/>
          <w:lang w:eastAsia="en-US"/>
        </w:rPr>
        <w:tab/>
      </w:r>
      <w:r w:rsidRPr="00CB2133">
        <w:rPr>
          <w:b/>
          <w:i/>
          <w:szCs w:val="24"/>
          <w:lang w:eastAsia="en-US"/>
        </w:rPr>
        <w:t>Komisjon avaldab 12 kuu jooksul pärast lõikes 3 osutatud kaheaastast ajavahemikku mõjupõhiste meetodite usaldusväärsuse kohta aruande, milles mõjupõhise seire tulemusi võrreldakse tulemustega, mis on saadud lõikes 3 loetletud kolme östrogeense aine seire tavapäraste meetodite abil, ning mille põhjal võidakse läviväärtused tulevikus kindlaks määrata mõjupõhiselt.</w:t>
      </w:r>
    </w:p>
    <w:p w14:paraId="6689FB34" w14:textId="77777777" w:rsidR="000238DA" w:rsidRPr="00CB2133" w:rsidRDefault="000238DA">
      <w:pPr>
        <w:widowControl/>
        <w:rPr>
          <w:b/>
          <w:i/>
          <w:szCs w:val="24"/>
          <w:lang w:eastAsia="en-US"/>
        </w:rPr>
      </w:pPr>
      <w:r w:rsidRPr="00CB2133">
        <w:rPr>
          <w:b/>
          <w:i/>
          <w:szCs w:val="24"/>
          <w:lang w:eastAsia="en-US"/>
        </w:rPr>
        <w:br w:type="page"/>
      </w:r>
    </w:p>
    <w:p w14:paraId="76689F6D" w14:textId="2CDCD120" w:rsidR="00C45ED4" w:rsidRPr="00CB2133" w:rsidRDefault="00C45ED4" w:rsidP="00C45ED4">
      <w:pPr>
        <w:spacing w:before="120" w:after="120" w:line="360" w:lineRule="auto"/>
        <w:ind w:left="1416"/>
        <w:rPr>
          <w:b/>
          <w:szCs w:val="24"/>
          <w:lang w:eastAsia="en-US"/>
        </w:rPr>
      </w:pPr>
      <w:r w:rsidRPr="00CB2133">
        <w:rPr>
          <w:b/>
          <w:i/>
          <w:szCs w:val="24"/>
          <w:lang w:eastAsia="en-US"/>
        </w:rPr>
        <w:lastRenderedPageBreak/>
        <w:t>Kui mõjupõhiseid meetodeid on kunagi võimalik kasutada ka teiste ainete puhul, antakse komisjonile õigus võtta artikli 9a kohaselt vastu delegeeritud õigusakte, millega käesolevat direktiivi täiendatakse ja kohustatakse liikmesriike kasutama lisaks tavapärastele seiremeetoditele ka mõjupõhiseid seiremeetodeid, et hinnata nende ainete sisaldust veekogudes.</w:t>
      </w:r>
      <w:r w:rsidR="0097022D" w:rsidRPr="00CB2133">
        <w:rPr>
          <w:b/>
          <w:szCs w:val="24"/>
          <w:lang w:eastAsia="en-US"/>
        </w:rPr>
        <w:t xml:space="preserve"> [ME 125]</w:t>
      </w:r>
    </w:p>
    <w:p w14:paraId="26B9228B"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14. märtsi 2007. aasta direktiiv 2007/2/EÜ, millega rajatakse Euroopa Ühenduse ruumiandmete infrastruktuur (INSPIRE) (ELT L 108, 25.4.2007, lk 1).</w:t>
      </w:r>
    </w:p>
    <w:p w14:paraId="276EF169" w14:textId="77777777" w:rsidR="00C45ED4" w:rsidRPr="00CB2133" w:rsidRDefault="00C45ED4" w:rsidP="00C45ED4">
      <w:pPr>
        <w:spacing w:before="120" w:after="120" w:line="360" w:lineRule="auto"/>
        <w:ind w:left="850"/>
        <w:rPr>
          <w:szCs w:val="24"/>
          <w:lang w:eastAsia="en-US"/>
        </w:rPr>
      </w:pPr>
      <w:r w:rsidRPr="00CB2133">
        <w:rPr>
          <w:szCs w:val="24"/>
          <w:lang w:eastAsia="en-US"/>
        </w:rPr>
        <w:t>** Euroopa Parlamendi ja nõukogu 20. juuni 2019. aasta direktiiv (EL) 2019/1024 avaandmete ja avaliku sektori valduses oleva teabe taaskasutamise kohta (ELT L 172, 26.6.2019, lk 56).“</w:t>
      </w:r>
    </w:p>
    <w:p w14:paraId="2B8DD19A" w14:textId="77777777" w:rsidR="000238DA" w:rsidRPr="00CB2133" w:rsidRDefault="000238DA">
      <w:pPr>
        <w:widowControl/>
        <w:rPr>
          <w:szCs w:val="24"/>
          <w:lang w:eastAsia="en-US"/>
        </w:rPr>
      </w:pPr>
      <w:r w:rsidRPr="00CB2133">
        <w:rPr>
          <w:szCs w:val="24"/>
          <w:lang w:eastAsia="en-US"/>
        </w:rPr>
        <w:br w:type="page"/>
      </w:r>
    </w:p>
    <w:p w14:paraId="6630047C" w14:textId="5676EDCE"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7)</w:t>
      </w:r>
      <w:r w:rsidRPr="00CB2133">
        <w:rPr>
          <w:szCs w:val="24"/>
          <w:lang w:eastAsia="en-US"/>
        </w:rPr>
        <w:tab/>
        <w:t>Artikkel 8b asendatakse järgmisega:</w:t>
      </w:r>
    </w:p>
    <w:p w14:paraId="5B2903DA"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8b</w:t>
      </w:r>
    </w:p>
    <w:p w14:paraId="4F85B73C" w14:textId="77777777" w:rsidR="00C45ED4" w:rsidRPr="00CB2133" w:rsidRDefault="00C45ED4" w:rsidP="00C45ED4">
      <w:pPr>
        <w:spacing w:before="120" w:after="120" w:line="360" w:lineRule="auto"/>
        <w:ind w:left="850"/>
        <w:rPr>
          <w:szCs w:val="24"/>
          <w:lang w:eastAsia="en-US"/>
        </w:rPr>
      </w:pPr>
      <w:r w:rsidRPr="00CB2133">
        <w:rPr>
          <w:szCs w:val="24"/>
          <w:lang w:eastAsia="en-US"/>
        </w:rPr>
        <w:t>Jälgimisnimekiri</w:t>
      </w:r>
    </w:p>
    <w:p w14:paraId="57D347F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Komisjonil on õigus võtta vastu rakendusakte, et kehtestada Euroopa Kemikaaliameti teaduslikke aruandeid arvesse võttes jälgimisnimekiri ainetest, mille kohta tuleb liikmesriikidelt koguda kogu liitu hõlmavaid seireandmeid, ning sätestada vormid, mida liikmesriigid peavad kasutama nende seiretulemuste ja nendega seotud teabe esitamiseks komisjonile. Kõnealused rakendusaktid võetakse vastu artikli 9 lõikes 2 osutatud kontrollimenetluse teel.</w:t>
      </w:r>
    </w:p>
    <w:p w14:paraId="1EC77CD1" w14:textId="77777777" w:rsidR="000238DA" w:rsidRPr="00CB2133" w:rsidRDefault="000238DA">
      <w:pPr>
        <w:widowControl/>
        <w:rPr>
          <w:szCs w:val="24"/>
          <w:lang w:eastAsia="en-US"/>
        </w:rPr>
      </w:pPr>
      <w:r w:rsidRPr="00CB2133">
        <w:rPr>
          <w:szCs w:val="24"/>
          <w:lang w:eastAsia="en-US"/>
        </w:rPr>
        <w:br w:type="page"/>
      </w:r>
    </w:p>
    <w:p w14:paraId="5F7DDB40" w14:textId="7871FD84" w:rsidR="00C45ED4" w:rsidRPr="00CB2133" w:rsidRDefault="00C45ED4" w:rsidP="00C45ED4">
      <w:pPr>
        <w:spacing w:before="120" w:after="120" w:line="360" w:lineRule="auto"/>
        <w:ind w:left="1416"/>
        <w:rPr>
          <w:szCs w:val="24"/>
          <w:lang w:eastAsia="en-US"/>
        </w:rPr>
      </w:pPr>
      <w:r w:rsidRPr="00CB2133">
        <w:rPr>
          <w:szCs w:val="24"/>
          <w:lang w:eastAsia="en-US"/>
        </w:rPr>
        <w:lastRenderedPageBreak/>
        <w:t xml:space="preserve">Jälgimisnimekiri sisaldab </w:t>
      </w:r>
      <w:r w:rsidRPr="00CB2133">
        <w:rPr>
          <w:strike/>
          <w:szCs w:val="24"/>
          <w:lang w:eastAsia="en-US"/>
        </w:rPr>
        <w:t>korraga kuni 10</w:t>
      </w:r>
      <w:r w:rsidRPr="00CB2133">
        <w:rPr>
          <w:b/>
          <w:i/>
          <w:szCs w:val="24"/>
          <w:lang w:eastAsia="en-US"/>
        </w:rPr>
        <w:t>vähemalt viit</w:t>
      </w:r>
      <w:r w:rsidRPr="00CB2133">
        <w:rPr>
          <w:szCs w:val="24"/>
          <w:lang w:eastAsia="en-US"/>
        </w:rPr>
        <w:t xml:space="preserve"> ainet või </w:t>
      </w:r>
      <w:r w:rsidRPr="00CB2133">
        <w:rPr>
          <w:strike/>
          <w:szCs w:val="24"/>
          <w:lang w:eastAsia="en-US"/>
        </w:rPr>
        <w:t>ainerühma ning</w:t>
      </w:r>
      <w:r w:rsidRPr="00CB2133">
        <w:rPr>
          <w:b/>
          <w:i/>
          <w:szCs w:val="24"/>
          <w:lang w:eastAsia="en-US"/>
        </w:rPr>
        <w:t>selliste uute probleemsete ainete rühma, mis on valitud nende ainete hulgast, mille kohta muu hulgas kooskõlas neljanda lõiguga kättesaadavast teabest ilmneb, et need võivad kujutada endast liidu tasandil</w:t>
      </w:r>
      <w:r w:rsidR="000B7BF7" w:rsidRPr="00CB2133">
        <w:rPr>
          <w:b/>
          <w:i/>
          <w:szCs w:val="24"/>
          <w:lang w:eastAsia="en-US"/>
        </w:rPr>
        <w:t xml:space="preserve"> </w:t>
      </w:r>
      <w:r w:rsidRPr="00CB2133">
        <w:rPr>
          <w:b/>
          <w:i/>
          <w:szCs w:val="24"/>
          <w:lang w:eastAsia="en-US"/>
        </w:rPr>
        <w:t xml:space="preserve">veekeskkonnale või </w:t>
      </w:r>
      <w:r w:rsidR="000B7BF7" w:rsidRPr="00CB2133">
        <w:rPr>
          <w:b/>
          <w:i/>
          <w:szCs w:val="24"/>
          <w:lang w:eastAsia="en-US"/>
        </w:rPr>
        <w:t>s</w:t>
      </w:r>
      <w:r w:rsidRPr="00CB2133">
        <w:rPr>
          <w:b/>
          <w:i/>
          <w:szCs w:val="24"/>
          <w:lang w:eastAsia="en-US"/>
        </w:rPr>
        <w:t>elle kaudu märkimisväärset ohtu ning mille puhul seireandmed on ebapiisavad, välja arvatud juhul, kui selliste ainete või ainerühmade arv, mille kohta kättesaadav teave näitab, et need võivad kujutada endast veekeskkonnale või selle kaudu olulist ohtu, on alla viie, millisel juhul sisaldab jälgimisnimekiri kõiki neid aineid</w:t>
      </w:r>
      <w:r w:rsidRPr="00CB2133">
        <w:rPr>
          <w:szCs w:val="24"/>
          <w:lang w:eastAsia="en-US"/>
        </w:rPr>
        <w:t>.</w:t>
      </w:r>
    </w:p>
    <w:p w14:paraId="7A510960" w14:textId="77777777" w:rsidR="00C45ED4" w:rsidRPr="00CB2133" w:rsidRDefault="00C45ED4" w:rsidP="00C45ED4">
      <w:pPr>
        <w:spacing w:before="120" w:after="120" w:line="360" w:lineRule="auto"/>
        <w:ind w:left="1416"/>
        <w:rPr>
          <w:szCs w:val="24"/>
          <w:lang w:eastAsia="en-US"/>
        </w:rPr>
      </w:pPr>
      <w:r w:rsidRPr="00CB2133">
        <w:rPr>
          <w:b/>
          <w:i/>
          <w:szCs w:val="24"/>
          <w:lang w:eastAsia="en-US"/>
        </w:rPr>
        <w:t>Lisaks minimaalsele arvule ainetele või ainerühmale võib jälgimisnimekiri sisaldada ka reostuse näitajaid.</w:t>
      </w:r>
    </w:p>
    <w:p w14:paraId="11E1B3FE" w14:textId="586B84CB" w:rsidR="00C45ED4" w:rsidRPr="00CB2133" w:rsidRDefault="00C45ED4" w:rsidP="00C45ED4">
      <w:pPr>
        <w:spacing w:before="120" w:after="120" w:line="360" w:lineRule="auto"/>
        <w:ind w:left="1416"/>
        <w:rPr>
          <w:b/>
          <w:szCs w:val="24"/>
          <w:lang w:eastAsia="en-US"/>
        </w:rPr>
      </w:pPr>
      <w:r w:rsidRPr="00CB2133">
        <w:rPr>
          <w:b/>
          <w:i/>
          <w:szCs w:val="24"/>
          <w:lang w:eastAsia="en-US"/>
        </w:rPr>
        <w:t xml:space="preserve">Jälgimisnimekirjas täpsustatakse </w:t>
      </w:r>
      <w:r w:rsidRPr="00CB2133">
        <w:rPr>
          <w:szCs w:val="24"/>
          <w:lang w:eastAsia="en-US"/>
        </w:rPr>
        <w:t>iga aine puhul kasutatavad seiremaatriksid ja võimalikud analüüsimeetodid. Nende seiremaatriksite ja meetodite kasutamine ei tohi tuua pädevatele asutustele kaasa ülemääraseid kulusid.</w:t>
      </w:r>
      <w:r w:rsidR="000B7BF7" w:rsidRPr="00CB2133">
        <w:rPr>
          <w:szCs w:val="24"/>
          <w:lang w:eastAsia="en-US"/>
        </w:rPr>
        <w:t xml:space="preserve"> </w:t>
      </w:r>
      <w:r w:rsidR="000B7BF7" w:rsidRPr="00CB2133">
        <w:rPr>
          <w:strike/>
          <w:szCs w:val="24"/>
          <w:lang w:eastAsia="en-US"/>
        </w:rPr>
        <w:t>Jälgimisnimekirja lisatavad ained valitakse ainete hulgast, mille kohta kättesaadavast teabest nähtub, et nendest võib</w:t>
      </w:r>
      <w:r w:rsidR="000B7BF7" w:rsidRPr="00CB2133">
        <w:rPr>
          <w:b/>
          <w:i/>
          <w:strike/>
          <w:szCs w:val="24"/>
          <w:lang w:eastAsia="en-US"/>
        </w:rPr>
        <w:t xml:space="preserve"> </w:t>
      </w:r>
      <w:r w:rsidR="000B7BF7" w:rsidRPr="00CB2133">
        <w:rPr>
          <w:strike/>
          <w:szCs w:val="24"/>
          <w:lang w:eastAsia="en-US"/>
        </w:rPr>
        <w:t>liidu tasandil tuleneda märkimisväärne veekeskkonnale või veekeskkonna kaudu avalduv risk, ning mille puhul seireandmed on ebapiisavad. Kõnealune jälgimisnimekiri sisaldab uusi probleemseid</w:t>
      </w:r>
      <w:r w:rsidR="000B7BF7" w:rsidRPr="00CB2133">
        <w:rPr>
          <w:b/>
          <w:i/>
          <w:strike/>
          <w:szCs w:val="24"/>
          <w:lang w:eastAsia="en-US"/>
        </w:rPr>
        <w:t xml:space="preserve"> </w:t>
      </w:r>
      <w:r w:rsidR="000B7BF7" w:rsidRPr="00CB2133">
        <w:rPr>
          <w:strike/>
          <w:szCs w:val="24"/>
          <w:lang w:eastAsia="en-US"/>
        </w:rPr>
        <w:t>aineid.</w:t>
      </w:r>
      <w:r w:rsidR="0097022D" w:rsidRPr="00CB2133">
        <w:rPr>
          <w:b/>
          <w:szCs w:val="24"/>
          <w:lang w:eastAsia="en-US"/>
        </w:rPr>
        <w:t xml:space="preserve"> [ME 126]</w:t>
      </w:r>
    </w:p>
    <w:p w14:paraId="76D5520F" w14:textId="77777777" w:rsidR="000B7BF7" w:rsidRPr="00CB2133" w:rsidRDefault="000B7BF7">
      <w:pPr>
        <w:widowControl/>
        <w:rPr>
          <w:strike/>
          <w:szCs w:val="24"/>
          <w:lang w:eastAsia="en-US"/>
        </w:rPr>
      </w:pPr>
      <w:r w:rsidRPr="00CB2133">
        <w:rPr>
          <w:strike/>
          <w:szCs w:val="24"/>
          <w:lang w:eastAsia="en-US"/>
        </w:rPr>
        <w:br w:type="page"/>
      </w:r>
    </w:p>
    <w:p w14:paraId="1AC2E487" w14:textId="1C391F0C" w:rsidR="00C45ED4" w:rsidRPr="00CB2133" w:rsidRDefault="00C45ED4" w:rsidP="00C45ED4">
      <w:pPr>
        <w:spacing w:before="120" w:after="120" w:line="360" w:lineRule="auto"/>
        <w:ind w:left="1416"/>
        <w:rPr>
          <w:b/>
          <w:szCs w:val="24"/>
          <w:lang w:eastAsia="en-US"/>
        </w:rPr>
      </w:pPr>
      <w:r w:rsidRPr="00CB2133">
        <w:rPr>
          <w:strike/>
          <w:szCs w:val="24"/>
          <w:lang w:eastAsia="en-US"/>
        </w:rPr>
        <w:lastRenderedPageBreak/>
        <w:t>Jälgimisnimekirja</w:t>
      </w:r>
      <w:r w:rsidRPr="00CB2133">
        <w:rPr>
          <w:b/>
          <w:i/>
          <w:szCs w:val="24"/>
          <w:lang w:eastAsia="en-US"/>
        </w:rPr>
        <w:t>Võimalikult kiiresti, ent hiljemalt ... [käesoleva muutmisdirektiivi jõustumise kuupäevast möödunud 18 kuule järgneva kuu esimesel päeval] tehakse kindlaks mikroplasti ja valitud antimikroobikumiresistentsuse geenide seireks sobivad meetodid. Niipea, kui need seiremeetodid on kindlaks tehtud,</w:t>
      </w:r>
      <w:r w:rsidRPr="00CB2133">
        <w:rPr>
          <w:szCs w:val="24"/>
          <w:lang w:eastAsia="en-US"/>
        </w:rPr>
        <w:t xml:space="preserve"> lisatakse mikroplast ja valitud antimikroobikumiresistentsuse geenid </w:t>
      </w:r>
      <w:r w:rsidRPr="00CB2133">
        <w:rPr>
          <w:strike/>
          <w:szCs w:val="24"/>
          <w:lang w:eastAsia="en-US"/>
        </w:rPr>
        <w:t>niipea, kui on tehtud kindlaks</w:t>
      </w:r>
      <w:r w:rsidRPr="00CB2133">
        <w:rPr>
          <w:b/>
          <w:i/>
          <w:szCs w:val="24"/>
          <w:lang w:eastAsia="en-US"/>
        </w:rPr>
        <w:t>kooskõlas lõikega 2 jälgimisnimekirja. Komisjon kaalub ühtlasi, kas jälgimisnimekirja tuleb lisada sulfaadid, ksantaadid ja pestitsiidide väheolulised metaboliidid, et parandada seoses käesoleva direktiivi kohaldamisalaga</w:t>
      </w:r>
      <w:r w:rsidRPr="00CB2133">
        <w:rPr>
          <w:szCs w:val="24"/>
          <w:lang w:eastAsia="en-US"/>
        </w:rPr>
        <w:t xml:space="preserve"> nende </w:t>
      </w:r>
      <w:r w:rsidRPr="00CB2133">
        <w:rPr>
          <w:strike/>
          <w:szCs w:val="24"/>
          <w:lang w:eastAsia="en-US"/>
        </w:rPr>
        <w:t>jaoks sobivad seiremeetodid</w:t>
      </w:r>
      <w:r w:rsidRPr="00CB2133">
        <w:rPr>
          <w:b/>
          <w:i/>
          <w:szCs w:val="24"/>
          <w:lang w:eastAsia="en-US"/>
        </w:rPr>
        <w:t>esinemist puudutavate andmete kättesaadavust</w:t>
      </w:r>
      <w:r w:rsidRPr="00CB2133">
        <w:rPr>
          <w:szCs w:val="24"/>
          <w:lang w:eastAsia="en-US"/>
        </w:rPr>
        <w:t>.</w:t>
      </w:r>
      <w:r w:rsidR="0097022D" w:rsidRPr="00CB2133">
        <w:rPr>
          <w:b/>
          <w:szCs w:val="24"/>
          <w:lang w:eastAsia="en-US"/>
        </w:rPr>
        <w:t xml:space="preserve"> [ME 127]</w:t>
      </w:r>
    </w:p>
    <w:p w14:paraId="41C5CCEF" w14:textId="058D4863" w:rsidR="00C45ED4" w:rsidRPr="00CB2133" w:rsidRDefault="00C45ED4" w:rsidP="00C45ED4">
      <w:pPr>
        <w:spacing w:before="120" w:after="120" w:line="360" w:lineRule="auto"/>
        <w:ind w:left="1416"/>
        <w:rPr>
          <w:b/>
          <w:szCs w:val="24"/>
          <w:lang w:eastAsia="en-US"/>
        </w:rPr>
      </w:pPr>
      <w:r w:rsidRPr="00CB2133">
        <w:rPr>
          <w:szCs w:val="24"/>
          <w:lang w:eastAsia="en-US"/>
        </w:rPr>
        <w:t xml:space="preserve">Euroopa Kemikaaliamet koostab teaduslikke aruandeid, et abistada komisjoni jälgimisnimekirja lisatavate ainete </w:t>
      </w:r>
      <w:r w:rsidRPr="00CB2133">
        <w:rPr>
          <w:b/>
          <w:i/>
          <w:szCs w:val="24"/>
          <w:lang w:eastAsia="en-US"/>
        </w:rPr>
        <w:t xml:space="preserve">ja reostuse näitajate </w:t>
      </w:r>
      <w:r w:rsidRPr="00CB2133">
        <w:rPr>
          <w:szCs w:val="24"/>
          <w:lang w:eastAsia="en-US"/>
        </w:rPr>
        <w:t>valimisel, võttes arvesse järgmist teavet:</w:t>
      </w:r>
      <w:r w:rsidR="0097022D" w:rsidRPr="00CB2133">
        <w:rPr>
          <w:b/>
          <w:szCs w:val="24"/>
          <w:lang w:eastAsia="en-US"/>
        </w:rPr>
        <w:t xml:space="preserve"> [ME 128]</w:t>
      </w:r>
    </w:p>
    <w:p w14:paraId="5C53C803"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a)</w:t>
      </w:r>
      <w:r w:rsidRPr="00CB2133">
        <w:rPr>
          <w:szCs w:val="24"/>
          <w:lang w:eastAsia="en-US"/>
        </w:rPr>
        <w:tab/>
        <w:t>käesoleva direktiivi I lisa kõige viimase korrapärase läbivaatamise tulemused;</w:t>
      </w:r>
    </w:p>
    <w:p w14:paraId="152CF71B"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direktiivi 2008/105/EÜ artiklis 8 osutatud soovitused sidusrühmadelt;</w:t>
      </w:r>
    </w:p>
    <w:p w14:paraId="5B29D7C0" w14:textId="77777777" w:rsidR="005208EA" w:rsidRPr="00CB2133" w:rsidRDefault="005208EA">
      <w:pPr>
        <w:widowControl/>
        <w:rPr>
          <w:szCs w:val="24"/>
          <w:lang w:eastAsia="en-US"/>
        </w:rPr>
      </w:pPr>
      <w:r w:rsidRPr="00CB2133">
        <w:rPr>
          <w:szCs w:val="24"/>
          <w:lang w:eastAsia="en-US"/>
        </w:rPr>
        <w:br w:type="page"/>
      </w:r>
    </w:p>
    <w:p w14:paraId="79107C61" w14:textId="3A86A9B8"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c)</w:t>
      </w:r>
      <w:r w:rsidRPr="00CB2133">
        <w:rPr>
          <w:szCs w:val="24"/>
          <w:lang w:eastAsia="en-US"/>
        </w:rPr>
        <w:tab/>
        <w:t>liikmesriikide koostatud valglapiirkondade kirjeldus vastavalt direktiivi 2000/60/EÜ artiklile 5 ning nimetatud direktiivi artikli 8 kohaselt kehtestatud seireprogrammide tulemused;</w:t>
      </w:r>
    </w:p>
    <w:p w14:paraId="08809093"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d)</w:t>
      </w:r>
      <w:r w:rsidRPr="00CB2133">
        <w:rPr>
          <w:szCs w:val="24"/>
          <w:lang w:eastAsia="en-US"/>
        </w:rPr>
        <w:tab/>
        <w:t>teave aine tootmismahu, kasutusviiside, olemuslike omaduste (sealhulgas vajaduse korral osakeste suuruse), keskkonnas täheldatavate kontsentratsioonide ning inimeste tervisele ja veekeskkonnale avalduva kahjuliku mõju kohta, sealhulgas määruse (EÜ) nr 1907/2006, määruse (EÜ) nr 1107/2009, määruse (EL) nr 528/2012, määruse (EL) 2019/6, direktiivi 2001/83/EÜ ja direktiivi 2009/128/EÜ kohaselt kogutud teave;</w:t>
      </w:r>
    </w:p>
    <w:p w14:paraId="47370A47" w14:textId="36AC3190" w:rsidR="00C45ED4" w:rsidRPr="00CB2133" w:rsidRDefault="00C45ED4" w:rsidP="00C45ED4">
      <w:pPr>
        <w:spacing w:before="120" w:after="120" w:line="360" w:lineRule="auto"/>
        <w:ind w:left="1982" w:hanging="566"/>
        <w:rPr>
          <w:b/>
          <w:szCs w:val="24"/>
          <w:lang w:eastAsia="en-US"/>
        </w:rPr>
      </w:pPr>
      <w:r w:rsidRPr="00CB2133">
        <w:rPr>
          <w:szCs w:val="24"/>
          <w:lang w:eastAsia="en-US"/>
        </w:rPr>
        <w:t>e)</w:t>
      </w:r>
      <w:r w:rsidRPr="00CB2133">
        <w:rPr>
          <w:szCs w:val="24"/>
          <w:lang w:eastAsia="en-US"/>
        </w:rPr>
        <w:tab/>
        <w:t>teadusprojektid</w:t>
      </w:r>
      <w:r w:rsidRPr="00CB2133">
        <w:rPr>
          <w:strike/>
          <w:szCs w:val="24"/>
          <w:lang w:eastAsia="en-US"/>
        </w:rPr>
        <w:t xml:space="preserve"> ja</w:t>
      </w:r>
      <w:r w:rsidRPr="00CB2133">
        <w:rPr>
          <w:b/>
          <w:i/>
          <w:szCs w:val="24"/>
          <w:lang w:eastAsia="en-US"/>
        </w:rPr>
        <w:t>,</w:t>
      </w:r>
      <w:r w:rsidRPr="00CB2133">
        <w:rPr>
          <w:szCs w:val="24"/>
          <w:lang w:eastAsia="en-US"/>
        </w:rPr>
        <w:t xml:space="preserve"> teadusartiklid</w:t>
      </w:r>
      <w:r w:rsidRPr="00CB2133">
        <w:rPr>
          <w:b/>
          <w:i/>
          <w:szCs w:val="24"/>
          <w:lang w:eastAsia="en-US"/>
        </w:rPr>
        <w:t xml:space="preserve"> ja teaduslikud tõendid</w:t>
      </w:r>
      <w:r w:rsidRPr="00CB2133">
        <w:rPr>
          <w:szCs w:val="24"/>
          <w:lang w:eastAsia="en-US"/>
        </w:rPr>
        <w:t xml:space="preserve">, sealhulgas modelleerimisel või muud liiki prognooshindamisel põhinev teave suundumuste ja prognooside kohta, samuti kaugseiretehnoloogia, Maa seire (Copernicuse programmi teenused) ning kohapealsete andurite ja seadmete abil saadud </w:t>
      </w:r>
      <w:r w:rsidRPr="00CB2133">
        <w:rPr>
          <w:b/>
          <w:i/>
          <w:szCs w:val="24"/>
          <w:lang w:eastAsia="en-US"/>
        </w:rPr>
        <w:t xml:space="preserve">teave ja </w:t>
      </w:r>
      <w:r w:rsidRPr="00CB2133">
        <w:rPr>
          <w:szCs w:val="24"/>
          <w:lang w:eastAsia="en-US"/>
        </w:rPr>
        <w:t>andmed</w:t>
      </w:r>
      <w:r w:rsidRPr="00CB2133">
        <w:rPr>
          <w:strike/>
          <w:szCs w:val="24"/>
          <w:lang w:eastAsia="en-US"/>
        </w:rPr>
        <w:t xml:space="preserve"> ja teave</w:t>
      </w:r>
      <w:r w:rsidRPr="00CB2133">
        <w:rPr>
          <w:szCs w:val="24"/>
          <w:lang w:eastAsia="en-US"/>
        </w:rPr>
        <w:t xml:space="preserve"> ning kodanikelt saadud teadusandmed, </w:t>
      </w:r>
      <w:r w:rsidRPr="00CB2133">
        <w:rPr>
          <w:strike/>
          <w:szCs w:val="24"/>
          <w:lang w:eastAsia="en-US"/>
        </w:rPr>
        <w:t>mis võimaldavad kasutada</w:t>
      </w:r>
      <w:r w:rsidRPr="00CB2133">
        <w:rPr>
          <w:b/>
          <w:i/>
          <w:szCs w:val="24"/>
          <w:lang w:eastAsia="en-US"/>
        </w:rPr>
        <w:t>mille puhul kasutatakse</w:t>
      </w:r>
      <w:r w:rsidRPr="00CB2133">
        <w:rPr>
          <w:szCs w:val="24"/>
          <w:lang w:eastAsia="en-US"/>
        </w:rPr>
        <w:t xml:space="preserve"> ära tehisintellekti ning kõrgetasemelise andmeanalüüsi ja -töötlusega seotud võimalusi.</w:t>
      </w:r>
      <w:r w:rsidR="0097022D" w:rsidRPr="00CB2133">
        <w:rPr>
          <w:b/>
          <w:szCs w:val="24"/>
          <w:lang w:eastAsia="en-US"/>
        </w:rPr>
        <w:t xml:space="preserve"> [ME 129]</w:t>
      </w:r>
    </w:p>
    <w:p w14:paraId="0A50E36C" w14:textId="77777777" w:rsidR="005208EA" w:rsidRPr="00CB2133" w:rsidRDefault="005208EA">
      <w:pPr>
        <w:widowControl/>
        <w:rPr>
          <w:szCs w:val="24"/>
          <w:lang w:eastAsia="en-US"/>
        </w:rPr>
      </w:pPr>
      <w:r w:rsidRPr="00CB2133">
        <w:rPr>
          <w:szCs w:val="24"/>
          <w:lang w:eastAsia="en-US"/>
        </w:rPr>
        <w:br w:type="page"/>
      </w:r>
    </w:p>
    <w:p w14:paraId="25922C72" w14:textId="6F46CDC5" w:rsidR="00C45ED4" w:rsidRPr="00CB2133" w:rsidRDefault="00C45ED4" w:rsidP="00C45ED4">
      <w:pPr>
        <w:spacing w:before="120" w:after="120" w:line="360" w:lineRule="auto"/>
        <w:ind w:left="1416"/>
        <w:rPr>
          <w:szCs w:val="24"/>
          <w:lang w:eastAsia="en-US"/>
        </w:rPr>
      </w:pPr>
      <w:r w:rsidRPr="00CB2133">
        <w:rPr>
          <w:szCs w:val="24"/>
          <w:lang w:eastAsia="en-US"/>
        </w:rPr>
        <w:lastRenderedPageBreak/>
        <w:t>Euroopa Kemikaaliamet koostab iga kolme aasta järel aruande, milles esitatakse kokkuvõte neljanda lõigu kohaselt koostatud teaduslikes aruannetes esitatud järelduste kohta, ning teeb selle üldsusele kättesaadavaks. Euroopa Kemikaaliameti esimene aruanne tehakse kättesaadavaks hiljemalt ... [väljaannete talitus: palun lisada kuupäevana kahekümne esimese kuu esimene päev pärast käesoleva direktiivi jõustumise kuupäeva].</w:t>
      </w:r>
    </w:p>
    <w:p w14:paraId="73BFE568" w14:textId="5791F0CF"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Jälgimisnimekirja ajakohastatakse X-ks [väljaannete talitus</w:t>
      </w:r>
      <w:r w:rsidRPr="00CB2133">
        <w:rPr>
          <w:strike/>
          <w:szCs w:val="24"/>
          <w:lang w:eastAsia="en-US"/>
        </w:rPr>
        <w:t>:</w:t>
      </w:r>
      <w:r w:rsidRPr="00CB2133">
        <w:rPr>
          <w:szCs w:val="24"/>
          <w:lang w:eastAsia="en-US"/>
        </w:rPr>
        <w:t xml:space="preserve"> palun lisada kuupäevana kahekümne kolmanda kuu viimane päev pärast käesoleva direktiivi jõustumise kuupäeva] ja seejärel </w:t>
      </w:r>
      <w:r w:rsidRPr="00CB2133">
        <w:rPr>
          <w:b/>
          <w:i/>
          <w:szCs w:val="24"/>
          <w:lang w:eastAsia="en-US"/>
        </w:rPr>
        <w:t xml:space="preserve">vähemalt </w:t>
      </w:r>
      <w:r w:rsidRPr="00CB2133">
        <w:rPr>
          <w:szCs w:val="24"/>
          <w:lang w:eastAsia="en-US"/>
        </w:rPr>
        <w:t>iga 36 kuu järel</w:t>
      </w:r>
      <w:r w:rsidR="005208EA" w:rsidRPr="00CB2133">
        <w:rPr>
          <w:b/>
          <w:i/>
          <w:szCs w:val="24"/>
          <w:lang w:eastAsia="en-US"/>
        </w:rPr>
        <w:t xml:space="preserve"> </w:t>
      </w:r>
      <w:r w:rsidRPr="00CB2133">
        <w:rPr>
          <w:b/>
          <w:i/>
          <w:szCs w:val="24"/>
          <w:lang w:eastAsia="en-US"/>
        </w:rPr>
        <w:t>või sagedamini, kui ilmnevad uued teaduslikud tõendid</w:t>
      </w:r>
      <w:r w:rsidRPr="00CB2133">
        <w:rPr>
          <w:szCs w:val="24"/>
          <w:lang w:eastAsia="en-US"/>
        </w:rPr>
        <w:t xml:space="preserve">, mille </w:t>
      </w:r>
      <w:r w:rsidRPr="00CB2133">
        <w:rPr>
          <w:b/>
          <w:i/>
          <w:szCs w:val="24"/>
          <w:lang w:eastAsia="en-US"/>
        </w:rPr>
        <w:t>tõttu tuleb nimekirja ajakohastada kahe läbivaatamise vahelisel ajal</w:t>
      </w:r>
      <w:r w:rsidRPr="00CB2133">
        <w:rPr>
          <w:szCs w:val="24"/>
          <w:lang w:eastAsia="en-US"/>
        </w:rPr>
        <w:t>.</w:t>
      </w:r>
    </w:p>
    <w:p w14:paraId="23D0B860" w14:textId="77777777" w:rsidR="00C45ED4" w:rsidRPr="00CB2133" w:rsidRDefault="00C45ED4" w:rsidP="00C45ED4">
      <w:pPr>
        <w:spacing w:before="120" w:after="120" w:line="360" w:lineRule="auto"/>
        <w:ind w:left="1416"/>
        <w:rPr>
          <w:szCs w:val="24"/>
          <w:lang w:eastAsia="en-US"/>
        </w:rPr>
      </w:pPr>
      <w:r w:rsidRPr="00CB2133">
        <w:rPr>
          <w:b/>
          <w:i/>
          <w:szCs w:val="24"/>
          <w:lang w:eastAsia="en-US"/>
        </w:rPr>
        <w:t>Liikmesriigid hindavad iga kahe aasta järel, kuidas mõjutab veekvaliteeti energiasüsteemi ümberkujundamisega seotud tööstustegevus, ja teavitavad komisjoni uutest tuvastatud ohtudest, et komisjon saaks jälgimisnimekirja ajakohastada. Hindamistulemused tehakse üldsusele kergesti kättesaadavaks.</w:t>
      </w:r>
    </w:p>
    <w:p w14:paraId="0FBAC354" w14:textId="77777777" w:rsidR="005208EA" w:rsidRPr="00CB2133" w:rsidRDefault="005208EA">
      <w:pPr>
        <w:widowControl/>
        <w:rPr>
          <w:szCs w:val="24"/>
          <w:lang w:eastAsia="en-US"/>
        </w:rPr>
      </w:pPr>
      <w:r w:rsidRPr="00CB2133">
        <w:rPr>
          <w:szCs w:val="24"/>
          <w:lang w:eastAsia="en-US"/>
        </w:rPr>
        <w:br w:type="page"/>
      </w:r>
    </w:p>
    <w:p w14:paraId="193DFC71" w14:textId="4EDD69F5" w:rsidR="00C45ED4" w:rsidRPr="00CB2133" w:rsidRDefault="00C45ED4" w:rsidP="00C45ED4">
      <w:pPr>
        <w:spacing w:before="120" w:after="120" w:line="360" w:lineRule="auto"/>
        <w:ind w:left="1416"/>
        <w:rPr>
          <w:b/>
          <w:szCs w:val="24"/>
          <w:lang w:eastAsia="en-US"/>
        </w:rPr>
      </w:pPr>
      <w:r w:rsidRPr="00CB2133">
        <w:rPr>
          <w:szCs w:val="24"/>
          <w:lang w:eastAsia="en-US"/>
        </w:rPr>
        <w:lastRenderedPageBreak/>
        <w:t>Jälgimisnimekirja ajakohastamisel jätab komisjon kehtivast nimekirjast välja kõik ained, mille puhul ta peab võimalikuks hinnata nendest veekeskkonnale tulenevat riski ilma täiendavate seireandmeteta. Kui konkreetse aine või ainerühma puhul on veekeskkonnale avalduva riski hindamiseks vaja täiendavaid seireandmeid, võib jälgimisnimekirja ajakohastamisel jätta selle aine või ainerühma veel kuni kolmeks aastaks jälgimisnimekirja. Ajakohastatud jälgimisnimekiri sisaldab ka ühte või mitut uut ainet, mille puhul komisjon leiab Euroopa Kemikaaliameti teaduslikest aruannetest lähtuvalt, et sellest või nendest tuleneb risk veekeskkonnale.</w:t>
      </w:r>
      <w:r w:rsidR="0097022D" w:rsidRPr="00CB2133">
        <w:rPr>
          <w:b/>
          <w:szCs w:val="24"/>
          <w:lang w:eastAsia="en-US"/>
        </w:rPr>
        <w:t xml:space="preserve"> [ME 130]</w:t>
      </w:r>
    </w:p>
    <w:p w14:paraId="7A0A2C0D"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Liikmesriigid teevad kõikide jälgimisnimekirja kantud ainete ja ainerühmade seiret selleks valitud representatiivsetes seirejaamades 24 kuu vältel. Nimetatud seireperiood algab kuue kuu jooksul pärast asjaomase aine lisamist jälgimisnimekirja.</w:t>
      </w:r>
    </w:p>
    <w:p w14:paraId="7348E6FB" w14:textId="77777777" w:rsidR="00C45ED4" w:rsidRPr="00CB2133" w:rsidRDefault="00C45ED4" w:rsidP="00C45ED4">
      <w:pPr>
        <w:spacing w:before="120" w:after="120" w:line="360" w:lineRule="auto"/>
        <w:ind w:left="1416"/>
        <w:rPr>
          <w:szCs w:val="24"/>
          <w:lang w:eastAsia="en-US"/>
        </w:rPr>
      </w:pPr>
      <w:r w:rsidRPr="00CB2133">
        <w:rPr>
          <w:szCs w:val="24"/>
          <w:lang w:eastAsia="en-US"/>
        </w:rPr>
        <w:t>Iga liikmesriik valib vähemalt ühe seirejaama, millele lisandub veel üks seirejaam, kui liikmesriigi elanike arv on üle ühe miljoni, ning veel sellise arvu seirejaamu, mis on võrdne liikmesriigi geograafilise ruutkilomeetrites väljendatud pindala ja arvu 60 000 jagatisega (ümardatuna lähima täisarvuni), ning lisaks veel sellise arvu seirejaamu, mis on võrdne arvuga, mis saadakse liikmesriigi rahvaarvu jagamisel viie miljoniga (ümardatuna lähima täisarvuni).</w:t>
      </w:r>
    </w:p>
    <w:p w14:paraId="703F3A80" w14:textId="77777777" w:rsidR="005208EA" w:rsidRPr="00CB2133" w:rsidRDefault="005208EA">
      <w:pPr>
        <w:widowControl/>
        <w:rPr>
          <w:szCs w:val="24"/>
          <w:lang w:eastAsia="en-US"/>
        </w:rPr>
      </w:pPr>
      <w:r w:rsidRPr="00CB2133">
        <w:rPr>
          <w:szCs w:val="24"/>
          <w:lang w:eastAsia="en-US"/>
        </w:rPr>
        <w:br w:type="page"/>
      </w:r>
    </w:p>
    <w:p w14:paraId="4ED2198D" w14:textId="6DB5528D" w:rsidR="00C45ED4" w:rsidRPr="00CB2133" w:rsidRDefault="00C45ED4" w:rsidP="00C45ED4">
      <w:pPr>
        <w:spacing w:before="120" w:after="120" w:line="360" w:lineRule="auto"/>
        <w:ind w:left="1416"/>
        <w:rPr>
          <w:b/>
          <w:szCs w:val="24"/>
          <w:lang w:eastAsia="en-US"/>
        </w:rPr>
      </w:pPr>
      <w:r w:rsidRPr="00CB2133">
        <w:rPr>
          <w:szCs w:val="24"/>
          <w:lang w:eastAsia="en-US"/>
        </w:rPr>
        <w:lastRenderedPageBreak/>
        <w:t>Iga aine või ainerühma jaoks representatiivsete seirejaamade, seiresageduse ja hooajast lähtuva ajastuse valimisel võtavad liikmesriigid arvesse asjaomase üksikaine või asjaomaste ainerühma kuuluvate ainete kasutusviise ja võimalikku esinemist. Seire sagedus on vähemalt kaks korda aastas</w:t>
      </w:r>
      <w:r w:rsidRPr="00CB2133">
        <w:rPr>
          <w:b/>
          <w:i/>
          <w:szCs w:val="24"/>
          <w:lang w:eastAsia="en-US"/>
        </w:rPr>
        <w:t>. Ainete puhul, mis on tundlikud ilmastikutingimuste, sealhulgas vihma</w:t>
      </w:r>
      <w:r w:rsidRPr="00CB2133">
        <w:rPr>
          <w:strike/>
          <w:szCs w:val="24"/>
          <w:lang w:eastAsia="en-US"/>
        </w:rPr>
        <w:t>, välja arvatud kliima muutlikkuse või hooajaliste erinevuste</w:t>
      </w:r>
      <w:r w:rsidRPr="00CB2133">
        <w:rPr>
          <w:szCs w:val="24"/>
          <w:lang w:eastAsia="en-US"/>
        </w:rPr>
        <w:t xml:space="preserve"> suhtes</w:t>
      </w:r>
      <w:r w:rsidRPr="00CB2133">
        <w:rPr>
          <w:b/>
          <w:i/>
          <w:szCs w:val="24"/>
          <w:lang w:eastAsia="en-US"/>
        </w:rPr>
        <w:t>, ning</w:t>
      </w:r>
      <w:r w:rsidRPr="00CB2133">
        <w:rPr>
          <w:strike/>
          <w:szCs w:val="24"/>
          <w:lang w:eastAsia="en-US"/>
        </w:rPr>
        <w:t xml:space="preserve"> tundlike</w:t>
      </w:r>
      <w:r w:rsidRPr="00CB2133">
        <w:rPr>
          <w:szCs w:val="24"/>
          <w:lang w:eastAsia="en-US"/>
        </w:rPr>
        <w:t xml:space="preserve"> ainete puhul, mille </w:t>
      </w:r>
      <w:r w:rsidRPr="00CB2133">
        <w:rPr>
          <w:strike/>
          <w:szCs w:val="24"/>
          <w:lang w:eastAsia="en-US"/>
        </w:rPr>
        <w:t>seiret tehakse sagedamini</w:t>
      </w:r>
      <w:r w:rsidRPr="00CB2133">
        <w:rPr>
          <w:b/>
          <w:i/>
          <w:szCs w:val="24"/>
          <w:lang w:eastAsia="en-US"/>
        </w:rPr>
        <w:t>kontsentratsioon jõuab aine kasutamise hooajaliste kõikumiste tõttu lühikese aja jooksul tõenäoliselt tippu, peab sagedus olema suurem</w:t>
      </w:r>
      <w:r w:rsidRPr="00CB2133">
        <w:rPr>
          <w:szCs w:val="24"/>
          <w:lang w:eastAsia="en-US"/>
        </w:rPr>
        <w:t xml:space="preserve">, nagu on sätestatud lõike 1 kohaselt vastu võetud rakendusaktis, millega </w:t>
      </w:r>
      <w:r w:rsidRPr="00CB2133">
        <w:rPr>
          <w:strike/>
          <w:szCs w:val="24"/>
          <w:lang w:eastAsia="en-US"/>
        </w:rPr>
        <w:t>on kehtestatud</w:t>
      </w:r>
      <w:r w:rsidRPr="00CB2133">
        <w:rPr>
          <w:b/>
          <w:i/>
          <w:szCs w:val="24"/>
          <w:lang w:eastAsia="en-US"/>
        </w:rPr>
        <w:t>kehtestatakse</w:t>
      </w:r>
      <w:r w:rsidRPr="00CB2133">
        <w:rPr>
          <w:szCs w:val="24"/>
          <w:lang w:eastAsia="en-US"/>
        </w:rPr>
        <w:t xml:space="preserve"> jälgimisnimekiri.</w:t>
      </w:r>
      <w:r w:rsidR="0097022D" w:rsidRPr="00CB2133">
        <w:rPr>
          <w:b/>
          <w:szCs w:val="24"/>
          <w:lang w:eastAsia="en-US"/>
        </w:rPr>
        <w:t xml:space="preserve"> [ME 131]</w:t>
      </w:r>
    </w:p>
    <w:p w14:paraId="4DADDE8E" w14:textId="77777777" w:rsidR="005208EA" w:rsidRPr="00CB2133" w:rsidRDefault="005208EA">
      <w:pPr>
        <w:widowControl/>
        <w:rPr>
          <w:szCs w:val="24"/>
          <w:lang w:eastAsia="en-US"/>
        </w:rPr>
      </w:pPr>
      <w:r w:rsidRPr="00CB2133">
        <w:rPr>
          <w:szCs w:val="24"/>
          <w:lang w:eastAsia="en-US"/>
        </w:rPr>
        <w:br w:type="page"/>
      </w:r>
    </w:p>
    <w:p w14:paraId="6D2B257D" w14:textId="44B422F5" w:rsidR="00C45ED4" w:rsidRPr="00CB2133" w:rsidRDefault="00C45ED4" w:rsidP="00C45ED4">
      <w:pPr>
        <w:spacing w:before="120" w:after="120" w:line="360" w:lineRule="auto"/>
        <w:ind w:left="1416"/>
        <w:rPr>
          <w:szCs w:val="24"/>
          <w:lang w:eastAsia="en-US"/>
        </w:rPr>
      </w:pPr>
      <w:r w:rsidRPr="00CB2133">
        <w:rPr>
          <w:szCs w:val="24"/>
          <w:lang w:eastAsia="en-US"/>
        </w:rPr>
        <w:lastRenderedPageBreak/>
        <w:t>Kui liikmesriik on konkreetse aine või ainerühma kohta võimeline koguma ja komisjonile esitama piisavad võrreldavad representatiivsed ja ajakohased andmed juba käimasolevate programmide või uuringute kaudu, võib ta otsustada mitte teha asjaomase aine või ainerühma puhul täiendavat seiret jälgimisnimekirja mehhanismi raames, kui selle aine või ainerühma seireks kasutatud metoodika puhul on tagatud vastavus nendele seiremaatriksitele ja analüüsimeetoditele, millele on osutatud rakendusaktis, millega on kehtestatud jälgimisnimekiri, ning samuti vastavus direktiivile 2009/90/EÜ*.</w:t>
      </w:r>
    </w:p>
    <w:p w14:paraId="2B4A2280"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4.</w:t>
      </w:r>
      <w:r w:rsidRPr="00CB2133">
        <w:rPr>
          <w:szCs w:val="24"/>
          <w:lang w:eastAsia="en-US"/>
        </w:rPr>
        <w:tab/>
        <w:t>Liikmesriigid teevad käesoleva artikli lõikes 3 osutatud seire tulemused kättesaadavaks kooskõlas direktiivi 2000/60/EÜ artikli 8 lõikega 4 ja lõike 1 kohaselt vastu võetud rakendusaktiga, millega on kehtestatud jälgimisnimekiri. Samuti teevad nad kättesaadavaks teabe seirejaamade representatiivsuse ja seirestrateegia kohta.</w:t>
      </w:r>
    </w:p>
    <w:p w14:paraId="03CF9267" w14:textId="77777777" w:rsidR="005208EA" w:rsidRPr="00CB2133" w:rsidRDefault="005208EA">
      <w:pPr>
        <w:widowControl/>
        <w:rPr>
          <w:szCs w:val="24"/>
          <w:lang w:eastAsia="en-US"/>
        </w:rPr>
      </w:pPr>
      <w:r w:rsidRPr="00CB2133">
        <w:rPr>
          <w:szCs w:val="24"/>
          <w:lang w:eastAsia="en-US"/>
        </w:rPr>
        <w:br w:type="page"/>
      </w:r>
    </w:p>
    <w:p w14:paraId="561A462A" w14:textId="223FC75A"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5.</w:t>
      </w:r>
      <w:r w:rsidRPr="00CB2133">
        <w:rPr>
          <w:szCs w:val="24"/>
          <w:lang w:eastAsia="en-US"/>
        </w:rPr>
        <w:tab/>
        <w:t>Euroopa Keskkonnaamet vaatab seiretulemused lõikes 3 osutatud 24 kuu pikkuse perioodi lõppedes läbi ja hindab, millised ained või ainerühmad vajavad seiret veel 24 kuu vältel ja tuleb seepärast jälgimisnimekirja jätta ning millised ained või ainerühmad võib jälgimisnimekirjast välja jätta.</w:t>
      </w:r>
    </w:p>
    <w:p w14:paraId="4902A5E7" w14:textId="77777777" w:rsidR="00C45ED4" w:rsidRPr="00CB2133" w:rsidRDefault="00C45ED4" w:rsidP="00C45ED4">
      <w:pPr>
        <w:spacing w:before="120" w:after="120" w:line="360" w:lineRule="auto"/>
        <w:ind w:left="1416"/>
        <w:rPr>
          <w:szCs w:val="24"/>
          <w:lang w:eastAsia="en-US"/>
        </w:rPr>
      </w:pPr>
      <w:r w:rsidRPr="00CB2133">
        <w:rPr>
          <w:szCs w:val="24"/>
          <w:lang w:eastAsia="en-US"/>
        </w:rPr>
        <w:t>Kui komisjon jõuab esimeses lõigus osutatud Euroopa Kemikaaliameti hindamisest lähtuvalt järeldusele, et edasine seire veekeskkonnale avalduva riski täiendavaks hindamiseks ei ole vajalik, võetakse kõnealust hindamist arvesse I ja II lisa läbivaatamisel, millele on osutatud artiklis 8.</w:t>
      </w:r>
    </w:p>
    <w:p w14:paraId="05A3774C" w14:textId="77777777" w:rsidR="00C45ED4" w:rsidRPr="00CB2133" w:rsidRDefault="00C45ED4" w:rsidP="00C45ED4">
      <w:pPr>
        <w:spacing w:before="120" w:after="120" w:line="360" w:lineRule="auto"/>
        <w:ind w:left="1416"/>
        <w:rPr>
          <w:szCs w:val="24"/>
          <w:lang w:eastAsia="en-US"/>
        </w:rPr>
      </w:pPr>
      <w:r w:rsidRPr="00CB2133">
        <w:rPr>
          <w:szCs w:val="24"/>
          <w:lang w:eastAsia="en-US"/>
        </w:rPr>
        <w:t>* Komisjoni 31. juuli 2009. aasta direktiiv 2009/90/EÜ, millega sätestatakse vastavalt Euroopa Parlamendi ja nõukogu direktiivile 2000/60/EÜ vee seisundi keemilise analüüsi ja seire tehnilised näitajad (ELT L 201, 1.8.2009, lk 36).“</w:t>
      </w:r>
    </w:p>
    <w:p w14:paraId="4CC3F887" w14:textId="77777777" w:rsidR="005208EA" w:rsidRPr="00CB2133" w:rsidRDefault="005208EA">
      <w:pPr>
        <w:widowControl/>
        <w:rPr>
          <w:b/>
          <w:i/>
          <w:szCs w:val="24"/>
          <w:lang w:eastAsia="en-US"/>
        </w:rPr>
      </w:pPr>
      <w:r w:rsidRPr="00CB2133">
        <w:rPr>
          <w:b/>
          <w:i/>
          <w:szCs w:val="24"/>
          <w:lang w:eastAsia="en-US"/>
        </w:rPr>
        <w:br w:type="page"/>
      </w:r>
    </w:p>
    <w:p w14:paraId="6B24530F" w14:textId="4D303091"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7a)</w:t>
      </w:r>
      <w:r w:rsidRPr="00CB2133">
        <w:rPr>
          <w:szCs w:val="24"/>
          <w:lang w:eastAsia="en-US"/>
        </w:rPr>
        <w:tab/>
      </w:r>
      <w:r w:rsidRPr="00CB2133">
        <w:rPr>
          <w:b/>
          <w:i/>
          <w:szCs w:val="24"/>
          <w:lang w:eastAsia="en-US"/>
        </w:rPr>
        <w:t>Lisatakse artikkel 8ba:</w:t>
      </w:r>
    </w:p>
    <w:p w14:paraId="6B9345FB"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Artikel 8ba</w:t>
      </w:r>
    </w:p>
    <w:p w14:paraId="0BF09ECE" w14:textId="1732D842" w:rsidR="00C45ED4" w:rsidRPr="00CB2133" w:rsidRDefault="00C45ED4" w:rsidP="00C45ED4">
      <w:pPr>
        <w:spacing w:before="120" w:after="120" w:line="360" w:lineRule="auto"/>
        <w:ind w:left="850"/>
        <w:rPr>
          <w:b/>
          <w:szCs w:val="24"/>
          <w:lang w:eastAsia="en-US"/>
        </w:rPr>
      </w:pPr>
      <w:r w:rsidRPr="00CB2133">
        <w:rPr>
          <w:b/>
          <w:i/>
          <w:szCs w:val="24"/>
          <w:lang w:eastAsia="en-US"/>
        </w:rPr>
        <w:t>Hiljemalt ... [üks aasta pärast käesoleva direktiivi jõustumise kuupäeva] esitab komisjon mõjuhinnangu, milles analüüsitakse, kas käesolevasse direktiivi tuleks lisada laiendatud tootjavastutuse mehhanism, millega tagatakse, et tootjad, kes lasevad turule tooteid, mis sisaldavad I lisas loetletud aineid või ühendeid, samuti käesoleva direktiivi kohasesse jälgimisnimekirja kantud uusi probleemseid aineid, aitavad katta direktiivi 2000/60/EÜ artikli 8 alusel kavandatud seireprogrammide kulusid. Vajaduse korral lisatakse mõjuhinnangule seadusandlik ettepanek käesoleva direktiivi läbivaatamiseks.“</w:t>
      </w:r>
      <w:r w:rsidR="0097022D" w:rsidRPr="00CB2133">
        <w:rPr>
          <w:b/>
          <w:szCs w:val="24"/>
          <w:lang w:eastAsia="en-US"/>
        </w:rPr>
        <w:t xml:space="preserve"> [ME 132]</w:t>
      </w:r>
    </w:p>
    <w:p w14:paraId="598B5E02" w14:textId="77777777" w:rsidR="005208EA" w:rsidRPr="00CB2133" w:rsidRDefault="005208EA">
      <w:pPr>
        <w:widowControl/>
        <w:rPr>
          <w:b/>
          <w:i/>
          <w:szCs w:val="24"/>
          <w:lang w:eastAsia="en-US"/>
        </w:rPr>
      </w:pPr>
      <w:r w:rsidRPr="00CB2133">
        <w:rPr>
          <w:b/>
          <w:i/>
          <w:szCs w:val="24"/>
          <w:lang w:eastAsia="en-US"/>
        </w:rPr>
        <w:br w:type="page"/>
      </w:r>
    </w:p>
    <w:p w14:paraId="2908F89D" w14:textId="15222252"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7b)</w:t>
      </w:r>
      <w:r w:rsidRPr="00CB2133">
        <w:rPr>
          <w:szCs w:val="24"/>
          <w:lang w:eastAsia="en-US"/>
        </w:rPr>
        <w:tab/>
      </w:r>
      <w:r w:rsidRPr="00CB2133">
        <w:rPr>
          <w:b/>
          <w:i/>
          <w:szCs w:val="24"/>
          <w:lang w:eastAsia="en-US"/>
        </w:rPr>
        <w:t>Lisatakse järgmine artikkel:</w:t>
      </w:r>
    </w:p>
    <w:p w14:paraId="58366637" w14:textId="77777777" w:rsidR="00C45ED4" w:rsidRPr="00CB2133" w:rsidRDefault="00C45ED4" w:rsidP="00C45ED4">
      <w:pPr>
        <w:spacing w:before="120" w:after="120" w:line="360" w:lineRule="auto"/>
        <w:ind w:left="850"/>
        <w:rPr>
          <w:szCs w:val="24"/>
          <w:lang w:eastAsia="en-US"/>
        </w:rPr>
      </w:pPr>
      <w:r w:rsidRPr="00CB2133">
        <w:rPr>
          <w:szCs w:val="24"/>
          <w:lang w:eastAsia="en-US"/>
        </w:rPr>
        <w:t>„</w:t>
      </w:r>
      <w:r w:rsidRPr="00CB2133">
        <w:rPr>
          <w:b/>
          <w:i/>
          <w:szCs w:val="24"/>
          <w:lang w:eastAsia="en-US"/>
        </w:rPr>
        <w:t>Artikkel 8bb</w:t>
      </w:r>
      <w:r w:rsidRPr="00CB2133">
        <w:rPr>
          <w:szCs w:val="24"/>
          <w:lang w:eastAsia="en-US"/>
        </w:rPr>
        <w:br/>
      </w:r>
      <w:r w:rsidRPr="00CB2133">
        <w:rPr>
          <w:b/>
          <w:i/>
          <w:szCs w:val="24"/>
          <w:lang w:eastAsia="en-US"/>
        </w:rPr>
        <w:t>Euroopa seirevahend</w:t>
      </w:r>
    </w:p>
    <w:p w14:paraId="39FC3B40" w14:textId="77777777" w:rsidR="00C45ED4" w:rsidRPr="00CB2133" w:rsidRDefault="00C45ED4" w:rsidP="00C45ED4">
      <w:pPr>
        <w:spacing w:before="120" w:after="120" w:line="360" w:lineRule="auto"/>
        <w:ind w:left="850"/>
        <w:rPr>
          <w:szCs w:val="24"/>
          <w:lang w:eastAsia="en-US"/>
        </w:rPr>
      </w:pPr>
      <w:r w:rsidRPr="00CB2133">
        <w:rPr>
          <w:b/>
          <w:i/>
          <w:szCs w:val="24"/>
          <w:lang w:eastAsia="en-US"/>
        </w:rPr>
        <w:t>Kui liikmesriigid seda taotlevad, loob komisjon hiljemalt ... [üks aasta pärast käesoleva direktiivi jõustumise kuupäeva] seirenõuete haldamiseks ühise seirevahendi.</w:t>
      </w:r>
    </w:p>
    <w:p w14:paraId="1C79D5FA" w14:textId="77777777" w:rsidR="00C45ED4" w:rsidRPr="00CB2133" w:rsidRDefault="00C45ED4" w:rsidP="00C45ED4">
      <w:pPr>
        <w:spacing w:before="120" w:after="120" w:line="360" w:lineRule="auto"/>
        <w:ind w:left="850"/>
        <w:rPr>
          <w:szCs w:val="24"/>
          <w:lang w:eastAsia="en-US"/>
        </w:rPr>
      </w:pPr>
      <w:r w:rsidRPr="00CB2133">
        <w:rPr>
          <w:b/>
          <w:i/>
          <w:szCs w:val="24"/>
          <w:lang w:eastAsia="en-US"/>
        </w:rPr>
        <w:t>Komisjon määrab kindlaks seirevahendi toimimise korra, mis hõlmab muu hulgas järgmist:</w:t>
      </w:r>
    </w:p>
    <w:p w14:paraId="0912957D"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a)</w:t>
      </w:r>
      <w:r w:rsidRPr="00CB2133">
        <w:rPr>
          <w:szCs w:val="24"/>
          <w:lang w:eastAsia="en-US"/>
        </w:rPr>
        <w:tab/>
      </w:r>
      <w:r w:rsidRPr="00CB2133">
        <w:rPr>
          <w:b/>
          <w:i/>
          <w:szCs w:val="24"/>
          <w:lang w:eastAsia="en-US"/>
        </w:rPr>
        <w:t>asjaolu, et seirevahendi kasutamine on vabatahtlik ja sellega ei piirata liikmesriikides juba kehtestatud süsteeme;</w:t>
      </w:r>
    </w:p>
    <w:p w14:paraId="28FDA2B2" w14:textId="77777777" w:rsidR="00C45ED4" w:rsidRPr="00CB2133" w:rsidRDefault="00C45ED4" w:rsidP="00C45ED4">
      <w:pPr>
        <w:spacing w:before="120" w:after="120" w:line="360" w:lineRule="auto"/>
        <w:ind w:left="1416" w:hanging="566"/>
        <w:rPr>
          <w:szCs w:val="24"/>
          <w:lang w:eastAsia="en-US"/>
        </w:rPr>
      </w:pPr>
      <w:r w:rsidRPr="00CB2133">
        <w:rPr>
          <w:b/>
          <w:i/>
          <w:szCs w:val="24"/>
          <w:lang w:eastAsia="en-US"/>
        </w:rPr>
        <w:t>b)</w:t>
      </w:r>
      <w:r w:rsidRPr="00CB2133">
        <w:rPr>
          <w:szCs w:val="24"/>
          <w:lang w:eastAsia="en-US"/>
        </w:rPr>
        <w:tab/>
      </w:r>
      <w:r w:rsidRPr="00CB2133">
        <w:rPr>
          <w:b/>
          <w:i/>
          <w:szCs w:val="24"/>
          <w:lang w:eastAsia="en-US"/>
        </w:rPr>
        <w:t>tegevuskord, mis on mõeldud liikmesriikidele, kes kavatsevad seirevahendit kasutada ja mis hõlmab muu hulgas kohustuslikku komisjoni teavitamist, riikide täpseid seirevajadusi ja -suutlikkust, proovide haldamise kohta täpsete protokollide pidamist ning ajavahemikku, mille jooksul nad kavatsevad mehhanismi kuuluda;</w:t>
      </w:r>
    </w:p>
    <w:p w14:paraId="38267F6D" w14:textId="77777777" w:rsidR="005208EA" w:rsidRPr="00CB2133" w:rsidRDefault="005208EA">
      <w:pPr>
        <w:widowControl/>
        <w:rPr>
          <w:b/>
          <w:i/>
          <w:szCs w:val="24"/>
          <w:lang w:eastAsia="en-US"/>
        </w:rPr>
      </w:pPr>
      <w:r w:rsidRPr="00CB2133">
        <w:rPr>
          <w:b/>
          <w:i/>
          <w:szCs w:val="24"/>
          <w:lang w:eastAsia="en-US"/>
        </w:rPr>
        <w:br w:type="page"/>
      </w:r>
    </w:p>
    <w:p w14:paraId="255748AE" w14:textId="1442C504" w:rsidR="00C45ED4" w:rsidRPr="00CB2133" w:rsidRDefault="00C45ED4" w:rsidP="00C45ED4">
      <w:pPr>
        <w:spacing w:before="120" w:after="120" w:line="360" w:lineRule="auto"/>
        <w:ind w:left="1416" w:hanging="566"/>
        <w:rPr>
          <w:b/>
          <w:szCs w:val="24"/>
          <w:lang w:eastAsia="en-US"/>
        </w:rPr>
      </w:pPr>
      <w:r w:rsidRPr="00CB2133">
        <w:rPr>
          <w:b/>
          <w:i/>
          <w:szCs w:val="24"/>
          <w:lang w:eastAsia="en-US"/>
        </w:rPr>
        <w:lastRenderedPageBreak/>
        <w:t>c)</w:t>
      </w:r>
      <w:r w:rsidRPr="00CB2133">
        <w:rPr>
          <w:szCs w:val="24"/>
          <w:lang w:eastAsia="en-US"/>
        </w:rPr>
        <w:tab/>
      </w:r>
      <w:r w:rsidRPr="00CB2133">
        <w:rPr>
          <w:b/>
          <w:i/>
          <w:szCs w:val="24"/>
          <w:lang w:eastAsia="en-US"/>
        </w:rPr>
        <w:t>rahastamisallikad, mis võivad hõlmata asjakohaseid liidu struktuurifonde ja programme, samuti erasektori tehtavaid osamakseid, sealhulgas laiendatud tootjavastutuse mehhanismi raames, kui see on kooskõlas artikliga 8ba kehtestatud.“</w:t>
      </w:r>
      <w:r w:rsidR="0097022D" w:rsidRPr="00CB2133">
        <w:rPr>
          <w:b/>
          <w:szCs w:val="24"/>
          <w:lang w:eastAsia="en-US"/>
        </w:rPr>
        <w:t xml:space="preserve"> [ME 133]</w:t>
      </w:r>
    </w:p>
    <w:p w14:paraId="208BEFAA"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8)</w:t>
      </w:r>
      <w:r w:rsidRPr="00CB2133">
        <w:rPr>
          <w:szCs w:val="24"/>
          <w:lang w:eastAsia="en-US"/>
        </w:rPr>
        <w:tab/>
        <w:t>Lisatakse artikkel 8d:</w:t>
      </w:r>
    </w:p>
    <w:p w14:paraId="337605EE" w14:textId="77777777" w:rsidR="00C45ED4" w:rsidRPr="00CB2133" w:rsidRDefault="00C45ED4" w:rsidP="00C45ED4">
      <w:pPr>
        <w:spacing w:before="120" w:after="120" w:line="360" w:lineRule="auto"/>
        <w:ind w:left="850"/>
        <w:rPr>
          <w:szCs w:val="24"/>
          <w:lang w:eastAsia="en-US"/>
        </w:rPr>
      </w:pPr>
      <w:r w:rsidRPr="00CB2133">
        <w:rPr>
          <w:szCs w:val="24"/>
          <w:lang w:eastAsia="en-US"/>
        </w:rPr>
        <w:t>„Artikkel 8d</w:t>
      </w:r>
    </w:p>
    <w:p w14:paraId="51CE45A4" w14:textId="77777777" w:rsidR="00C45ED4" w:rsidRPr="00CB2133" w:rsidRDefault="00C45ED4" w:rsidP="00C45ED4">
      <w:pPr>
        <w:spacing w:before="120" w:after="120" w:line="360" w:lineRule="auto"/>
        <w:ind w:left="850"/>
        <w:rPr>
          <w:szCs w:val="24"/>
          <w:lang w:eastAsia="en-US"/>
        </w:rPr>
      </w:pPr>
      <w:r w:rsidRPr="00CB2133">
        <w:rPr>
          <w:szCs w:val="24"/>
          <w:lang w:eastAsia="en-US"/>
        </w:rPr>
        <w:t>Vesikonnaspetsiifilised saasteained</w:t>
      </w:r>
    </w:p>
    <w:p w14:paraId="715277AC"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Liikmesriigid kehtestavad käesoleva direktiivi II lisa B osas sätestatud korda järgides käesoleva direktiivi II lisa A osas loetletud kategooriatesse kuuluvate vesikonnaspetsiifiliste saasteainete jaoks keskkonnakvaliteedi standardid ja kohaldavad neid, kui vastavalt direktiivi 2000/60/EÜ artikli 5 kohastele analüüsidele ja ülevaadetele tuleneb sellistest saasteainetest risk liikmesriigi ühe või mitme valglapiirkonna veekogudele.</w:t>
      </w:r>
    </w:p>
    <w:p w14:paraId="03C5EC30" w14:textId="77777777" w:rsidR="00C45ED4" w:rsidRPr="00CB2133" w:rsidRDefault="00C45ED4" w:rsidP="00C45ED4">
      <w:pPr>
        <w:spacing w:before="120" w:after="120" w:line="360" w:lineRule="auto"/>
        <w:ind w:left="1416"/>
        <w:rPr>
          <w:szCs w:val="24"/>
          <w:lang w:eastAsia="en-US"/>
        </w:rPr>
      </w:pPr>
      <w:r w:rsidRPr="00CB2133">
        <w:rPr>
          <w:szCs w:val="24"/>
          <w:lang w:eastAsia="en-US"/>
        </w:rPr>
        <w:t>Liikmesriigid teavitavad Euroopa Kemikaaliametit esimeses lõigus osutatud keskkonnakvaliteedi standarditest hiljemalt [väljaannete talitus: palun lisada kuupäevana selle kuu esimene päev, mis järgneb kuule, mil möödub 18 kuud käesoleva direktiivi jõustumise kuupäevast]. Euroopa Kemikaaliamet teeb selle teabe üldsusele kättesaadavaks.</w:t>
      </w:r>
    </w:p>
    <w:p w14:paraId="0A3EA06D" w14:textId="77777777" w:rsidR="005208EA" w:rsidRPr="00CB2133" w:rsidRDefault="005208EA">
      <w:pPr>
        <w:widowControl/>
        <w:rPr>
          <w:szCs w:val="24"/>
          <w:lang w:eastAsia="en-US"/>
        </w:rPr>
      </w:pPr>
      <w:r w:rsidRPr="00CB2133">
        <w:rPr>
          <w:szCs w:val="24"/>
          <w:lang w:eastAsia="en-US"/>
        </w:rPr>
        <w:br w:type="page"/>
      </w:r>
    </w:p>
    <w:p w14:paraId="5B0293B9" w14:textId="37F3422E"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2.</w:t>
      </w:r>
      <w:r w:rsidRPr="00CB2133">
        <w:rPr>
          <w:szCs w:val="24"/>
          <w:lang w:eastAsia="en-US"/>
        </w:rPr>
        <w:tab/>
        <w:t>Kui vesikonnaspetsiifiliste saasteainete jaoks on vastavalt artiklile 8 kehtestatud liidu tasandil kohaldatavad keskkonnakvaliteedi standardid ja need on loetletud II lisa C osas, on kõnealused keskkonnakvaliteedi standardid vesikonnaspetsiifiliste saasteainete jaoks lõike 1 kohaselt riigi tasandil kehtestatud keskkonnakvaliteedi standardite suhtes ülimuslikud. Liikmesriigid kohaldavad ka kõnealuseid liidu tasandil kehtestatud keskkonnakvaliteedi standardeid, et teha kindlaks, kas II lisa C osas loetletud vesikonnaspetsiifilised saasteained kujutavad endast ohtu.</w:t>
      </w:r>
    </w:p>
    <w:p w14:paraId="0CEA1972"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Vastavalt direktiivi 2000/60/EÜ artikli 2 punktis 24 sätestatud määratlusele peab heas keemilises seisundis veekogu puhul olema tagatud vastavus kohaldatavatele riigi tasandil või vajaduse korral liidu tasandil kehtestatud keskkonnakvaliteedi standarditele.</w:t>
      </w:r>
    </w:p>
    <w:p w14:paraId="0BDED9D9" w14:textId="3F25FBB2" w:rsidR="00C45ED4" w:rsidRPr="00CB2133" w:rsidRDefault="00C45ED4" w:rsidP="00C45ED4">
      <w:pPr>
        <w:spacing w:before="120" w:after="120" w:line="360" w:lineRule="auto"/>
        <w:ind w:left="1416" w:hanging="566"/>
        <w:rPr>
          <w:b/>
          <w:szCs w:val="24"/>
          <w:lang w:eastAsia="en-US"/>
        </w:rPr>
      </w:pPr>
      <w:r w:rsidRPr="00CB2133">
        <w:rPr>
          <w:b/>
          <w:i/>
          <w:szCs w:val="24"/>
          <w:lang w:eastAsia="en-US"/>
        </w:rPr>
        <w:t>3a.</w:t>
      </w:r>
      <w:r w:rsidRPr="00CB2133">
        <w:rPr>
          <w:szCs w:val="24"/>
          <w:lang w:eastAsia="en-US"/>
        </w:rPr>
        <w:tab/>
      </w:r>
      <w:r w:rsidRPr="00CB2133">
        <w:rPr>
          <w:b/>
          <w:i/>
          <w:szCs w:val="24"/>
          <w:lang w:eastAsia="en-US"/>
        </w:rPr>
        <w:t>Vesikonnaspetsiifiliste saasteainete keskkonnakvaliteedi standardite kehtestamisel ja kohaldamisel võivad liikmesriigid arvesse võtta metallide biosaadavust.</w:t>
      </w:r>
      <w:r w:rsidRPr="00CB2133">
        <w:rPr>
          <w:szCs w:val="24"/>
          <w:lang w:eastAsia="en-US"/>
        </w:rPr>
        <w:t>“</w:t>
      </w:r>
      <w:r w:rsidR="0097022D" w:rsidRPr="00CB2133">
        <w:rPr>
          <w:b/>
          <w:szCs w:val="24"/>
          <w:lang w:eastAsia="en-US"/>
        </w:rPr>
        <w:t xml:space="preserve"> [ME 134]</w:t>
      </w:r>
    </w:p>
    <w:p w14:paraId="6CF55BC9" w14:textId="77777777" w:rsidR="005208EA" w:rsidRPr="00CB2133" w:rsidRDefault="005208EA">
      <w:pPr>
        <w:widowControl/>
        <w:rPr>
          <w:b/>
          <w:i/>
          <w:szCs w:val="24"/>
          <w:lang w:eastAsia="en-US"/>
        </w:rPr>
      </w:pPr>
      <w:r w:rsidRPr="00CB2133">
        <w:rPr>
          <w:b/>
          <w:i/>
          <w:szCs w:val="24"/>
          <w:lang w:eastAsia="en-US"/>
        </w:rPr>
        <w:br w:type="page"/>
      </w:r>
    </w:p>
    <w:p w14:paraId="7F580C7B" w14:textId="1F9D348A"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8a)</w:t>
      </w:r>
      <w:r w:rsidRPr="00CB2133">
        <w:rPr>
          <w:szCs w:val="24"/>
          <w:lang w:eastAsia="en-US"/>
        </w:rPr>
        <w:tab/>
      </w:r>
      <w:r w:rsidRPr="00CB2133">
        <w:rPr>
          <w:b/>
          <w:i/>
          <w:szCs w:val="24"/>
          <w:lang w:eastAsia="en-US"/>
        </w:rPr>
        <w:t>Artikli 9a lõiget 2 muudetakse järgmiselt:</w:t>
      </w:r>
    </w:p>
    <w:p w14:paraId="6FE3C2CB" w14:textId="5239251A" w:rsidR="00C45ED4" w:rsidRPr="00CB2133" w:rsidRDefault="00C45ED4" w:rsidP="00C45ED4">
      <w:pPr>
        <w:spacing w:before="120" w:after="120" w:line="360" w:lineRule="auto"/>
        <w:ind w:left="1416" w:hanging="566"/>
        <w:rPr>
          <w:b/>
          <w:szCs w:val="24"/>
          <w:lang w:eastAsia="en-US"/>
        </w:rPr>
      </w:pPr>
      <w:r w:rsidRPr="00D2672E">
        <w:rPr>
          <w:b/>
          <w:bCs/>
          <w:i/>
          <w:iCs/>
          <w:szCs w:val="24"/>
          <w:lang w:eastAsia="en-US"/>
        </w:rPr>
        <w:t>„</w:t>
      </w:r>
      <w:r w:rsidR="00D2672E" w:rsidRPr="00D2672E">
        <w:rPr>
          <w:b/>
          <w:bCs/>
          <w:i/>
          <w:iCs/>
          <w:szCs w:val="24"/>
          <w:lang w:eastAsia="en-US"/>
        </w:rPr>
        <w:t>2</w:t>
      </w:r>
      <w:r w:rsidRPr="00D2672E">
        <w:rPr>
          <w:b/>
          <w:bCs/>
          <w:i/>
          <w:iCs/>
          <w:szCs w:val="24"/>
          <w:lang w:eastAsia="en-US"/>
        </w:rPr>
        <w:t>.</w:t>
      </w:r>
      <w:r w:rsidRPr="00D2672E">
        <w:rPr>
          <w:b/>
          <w:bCs/>
          <w:i/>
          <w:iCs/>
          <w:szCs w:val="24"/>
          <w:lang w:eastAsia="en-US"/>
        </w:rPr>
        <w:tab/>
      </w:r>
      <w:r w:rsidRPr="00CB2133">
        <w:rPr>
          <w:b/>
          <w:i/>
          <w:szCs w:val="24"/>
          <w:lang w:eastAsia="en-US"/>
        </w:rPr>
        <w:t>Artikli 3 lõikes 8, artikli 8 lõigetes 3, 6a ja 6b ning artikli 8a lõikes 3a osutatud õigus võtta vastu delegeeritud õigusakte antakse komisjonile kuueks aastaks alates [väljaannete talitus: palun sisestada käesoleva direktiivi jõustumise kuupäev]. Komisjon esitab delegeeritud volituste kohta aruande hiljemalt üheksa kuud enne kuueaastase tähtaja möödumist. Volituste delegeerimist pikendatakse automaatselt samaks ajavahemikuks, välja arvatud juhul, kui Euroopa Parlament või nõukogu esitab selle suhtes vastuväite hiljemalt kolm kuud enne iga ajavahemiku lõppemist.“</w:t>
      </w:r>
      <w:r w:rsidR="0097022D" w:rsidRPr="00CB2133">
        <w:rPr>
          <w:b/>
          <w:szCs w:val="24"/>
          <w:lang w:eastAsia="en-US"/>
        </w:rPr>
        <w:t xml:space="preserve"> [ME 135]</w:t>
      </w:r>
    </w:p>
    <w:p w14:paraId="0FB4C62F"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8b)</w:t>
      </w:r>
      <w:r w:rsidRPr="00CB2133">
        <w:rPr>
          <w:szCs w:val="24"/>
          <w:lang w:eastAsia="en-US"/>
        </w:rPr>
        <w:tab/>
      </w:r>
      <w:r w:rsidRPr="00CB2133">
        <w:rPr>
          <w:b/>
          <w:i/>
          <w:szCs w:val="24"/>
          <w:lang w:eastAsia="en-US"/>
        </w:rPr>
        <w:t>Artikli 9a lõiget 3 muudetakse järgmiselt:</w:t>
      </w:r>
    </w:p>
    <w:p w14:paraId="2523A3DC" w14:textId="27C4C72D" w:rsidR="00C45ED4" w:rsidRPr="00CB2133" w:rsidRDefault="00C45ED4" w:rsidP="00C45ED4">
      <w:pPr>
        <w:spacing w:before="120" w:after="120" w:line="360" w:lineRule="auto"/>
        <w:ind w:left="1416" w:hanging="566"/>
        <w:rPr>
          <w:b/>
          <w:szCs w:val="24"/>
          <w:lang w:eastAsia="en-US"/>
        </w:rPr>
      </w:pPr>
      <w:r w:rsidRPr="00D2672E">
        <w:rPr>
          <w:b/>
          <w:bCs/>
          <w:i/>
          <w:iCs/>
          <w:szCs w:val="24"/>
          <w:lang w:eastAsia="en-US"/>
        </w:rPr>
        <w:t>„</w:t>
      </w:r>
      <w:r w:rsidR="00D2672E" w:rsidRPr="00D2672E">
        <w:rPr>
          <w:b/>
          <w:bCs/>
          <w:i/>
          <w:iCs/>
          <w:szCs w:val="24"/>
          <w:lang w:eastAsia="en-US"/>
        </w:rPr>
        <w:t>3</w:t>
      </w:r>
      <w:r w:rsidRPr="00D2672E">
        <w:rPr>
          <w:b/>
          <w:bCs/>
          <w:i/>
          <w:iCs/>
          <w:szCs w:val="24"/>
          <w:lang w:eastAsia="en-US"/>
        </w:rPr>
        <w:t>.</w:t>
      </w:r>
      <w:r w:rsidRPr="00D2672E">
        <w:rPr>
          <w:b/>
          <w:bCs/>
          <w:i/>
          <w:iCs/>
          <w:szCs w:val="24"/>
          <w:lang w:eastAsia="en-US"/>
        </w:rPr>
        <w:tab/>
      </w:r>
      <w:r w:rsidRPr="00CB2133">
        <w:rPr>
          <w:b/>
          <w:i/>
          <w:szCs w:val="24"/>
          <w:lang w:eastAsia="en-US"/>
        </w:rPr>
        <w:t>Euroopa Parlament ja nõukogu võivad artikli 3 lõikes 8, artikli 8 lõigetes 3, 6a ja 6b ning artikli 8a lõikes 3a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r w:rsidR="0097022D" w:rsidRPr="00CB2133">
        <w:rPr>
          <w:b/>
          <w:szCs w:val="24"/>
          <w:lang w:eastAsia="en-US"/>
        </w:rPr>
        <w:t xml:space="preserve"> [ME 136]</w:t>
      </w:r>
    </w:p>
    <w:p w14:paraId="739AD024" w14:textId="77777777" w:rsidR="005208EA" w:rsidRPr="00CB2133" w:rsidRDefault="005208EA">
      <w:pPr>
        <w:widowControl/>
        <w:rPr>
          <w:b/>
          <w:i/>
          <w:szCs w:val="24"/>
          <w:lang w:eastAsia="en-US"/>
        </w:rPr>
      </w:pPr>
      <w:r w:rsidRPr="00CB2133">
        <w:rPr>
          <w:b/>
          <w:i/>
          <w:szCs w:val="24"/>
          <w:lang w:eastAsia="en-US"/>
        </w:rPr>
        <w:br w:type="page"/>
      </w:r>
    </w:p>
    <w:p w14:paraId="6351FDE5" w14:textId="1BCF1D11"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8c)</w:t>
      </w:r>
      <w:r w:rsidRPr="00CB2133">
        <w:rPr>
          <w:szCs w:val="24"/>
          <w:lang w:eastAsia="en-US"/>
        </w:rPr>
        <w:tab/>
      </w:r>
      <w:r w:rsidRPr="00CB2133">
        <w:rPr>
          <w:b/>
          <w:i/>
          <w:szCs w:val="24"/>
          <w:lang w:eastAsia="en-US"/>
        </w:rPr>
        <w:t>Artiklisse 9a lisatakse lõige 3a:</w:t>
      </w:r>
    </w:p>
    <w:p w14:paraId="5B862543" w14:textId="225538BA" w:rsidR="00C45ED4" w:rsidRPr="00CB2133" w:rsidRDefault="00C45ED4" w:rsidP="00C45ED4">
      <w:pPr>
        <w:spacing w:before="120" w:after="120" w:line="360" w:lineRule="auto"/>
        <w:ind w:left="1416" w:hanging="566"/>
        <w:rPr>
          <w:b/>
          <w:szCs w:val="24"/>
          <w:lang w:eastAsia="en-US"/>
        </w:rPr>
      </w:pPr>
      <w:r w:rsidRPr="00CB2133">
        <w:rPr>
          <w:b/>
          <w:i/>
          <w:szCs w:val="24"/>
          <w:lang w:eastAsia="en-US"/>
        </w:rPr>
        <w:t>„3a.</w:t>
      </w:r>
      <w:r w:rsidR="00D2672E">
        <w:rPr>
          <w:b/>
          <w:i/>
          <w:szCs w:val="24"/>
          <w:lang w:eastAsia="en-US"/>
        </w:rPr>
        <w:tab/>
      </w:r>
      <w:r w:rsidR="00D2672E">
        <w:rPr>
          <w:b/>
          <w:i/>
          <w:szCs w:val="24"/>
          <w:lang w:eastAsia="en-US"/>
        </w:rPr>
        <w:tab/>
      </w:r>
      <w:r w:rsidRPr="00CB2133">
        <w:rPr>
          <w:b/>
          <w:i/>
          <w:szCs w:val="24"/>
          <w:lang w:eastAsia="en-US"/>
        </w:rPr>
        <w:t>Enne delegeeritud õigusakti vastuvõtmist konsulteerib komisjon kooskõlas 13. aprilli 2016. aasta institutsioonidevahelises parema õigusloome kokkuleppes sätestatud põhimõtetega iga liikmesriigi määratud ekspertidega.“</w:t>
      </w:r>
      <w:r w:rsidR="0097022D" w:rsidRPr="00CB2133">
        <w:rPr>
          <w:b/>
          <w:szCs w:val="24"/>
          <w:lang w:eastAsia="en-US"/>
        </w:rPr>
        <w:t xml:space="preserve"> [ME 137]</w:t>
      </w:r>
    </w:p>
    <w:p w14:paraId="44506AD5"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8d)</w:t>
      </w:r>
      <w:r w:rsidRPr="00CB2133">
        <w:rPr>
          <w:szCs w:val="24"/>
          <w:lang w:eastAsia="en-US"/>
        </w:rPr>
        <w:tab/>
      </w:r>
      <w:r w:rsidRPr="00CB2133">
        <w:rPr>
          <w:b/>
          <w:i/>
          <w:szCs w:val="24"/>
          <w:lang w:eastAsia="en-US"/>
        </w:rPr>
        <w:t>Artikli 9a lõiget 5 muudetakse järgmiselt:</w:t>
      </w:r>
    </w:p>
    <w:p w14:paraId="5C1F5202" w14:textId="47658A4D" w:rsidR="00C45ED4" w:rsidRPr="00CB2133" w:rsidRDefault="00C45ED4" w:rsidP="00C45ED4">
      <w:pPr>
        <w:spacing w:before="120" w:after="120" w:line="360" w:lineRule="auto"/>
        <w:ind w:left="1416" w:hanging="566"/>
        <w:rPr>
          <w:b/>
          <w:szCs w:val="24"/>
          <w:lang w:eastAsia="en-US"/>
        </w:rPr>
      </w:pPr>
      <w:r w:rsidRPr="00CB2133">
        <w:rPr>
          <w:b/>
          <w:i/>
          <w:szCs w:val="24"/>
          <w:lang w:eastAsia="en-US"/>
        </w:rPr>
        <w:t>„5.</w:t>
      </w:r>
      <w:r w:rsidR="00D2672E">
        <w:rPr>
          <w:b/>
          <w:i/>
          <w:szCs w:val="24"/>
          <w:lang w:eastAsia="en-US"/>
        </w:rPr>
        <w:tab/>
      </w:r>
      <w:r w:rsidRPr="00CB2133">
        <w:rPr>
          <w:b/>
          <w:i/>
          <w:szCs w:val="24"/>
          <w:lang w:eastAsia="en-US"/>
        </w:rPr>
        <w:t>Artikli 3 lõike 8, artikli 8 lõike 3, 6a või 6b või artikli 8a lõike 3a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r w:rsidR="0097022D" w:rsidRPr="00CB2133">
        <w:rPr>
          <w:b/>
          <w:szCs w:val="24"/>
          <w:lang w:eastAsia="en-US"/>
        </w:rPr>
        <w:t xml:space="preserve"> [ME 138]</w:t>
      </w:r>
    </w:p>
    <w:p w14:paraId="6B99C035" w14:textId="77777777" w:rsidR="005208EA" w:rsidRPr="00CB2133" w:rsidRDefault="005208EA">
      <w:pPr>
        <w:widowControl/>
        <w:rPr>
          <w:szCs w:val="24"/>
          <w:lang w:eastAsia="en-US"/>
        </w:rPr>
      </w:pPr>
      <w:r w:rsidRPr="00CB2133">
        <w:rPr>
          <w:szCs w:val="24"/>
          <w:lang w:eastAsia="en-US"/>
        </w:rPr>
        <w:br w:type="page"/>
      </w:r>
    </w:p>
    <w:p w14:paraId="3899EE65" w14:textId="152FF369"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9)</w:t>
      </w:r>
      <w:r w:rsidRPr="00CB2133">
        <w:rPr>
          <w:szCs w:val="24"/>
          <w:lang w:eastAsia="en-US"/>
        </w:rPr>
        <w:tab/>
        <w:t>Artikkel 10 jäetakse välja.</w:t>
      </w:r>
    </w:p>
    <w:p w14:paraId="045B601A"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10)</w:t>
      </w:r>
      <w:r w:rsidRPr="00CB2133">
        <w:rPr>
          <w:szCs w:val="24"/>
          <w:lang w:eastAsia="en-US"/>
        </w:rPr>
        <w:tab/>
        <w:t>I lisa muudetakse vastavalt käesoleva direktiivi V lisale.</w:t>
      </w:r>
    </w:p>
    <w:p w14:paraId="40827CE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11)</w:t>
      </w:r>
      <w:r w:rsidRPr="00CB2133">
        <w:rPr>
          <w:szCs w:val="24"/>
          <w:lang w:eastAsia="en-US"/>
        </w:rPr>
        <w:tab/>
        <w:t>Lisatakse käesoleva direktiivi VI lisas esitatud II lisa.</w:t>
      </w:r>
    </w:p>
    <w:p w14:paraId="68FE208D" w14:textId="77777777" w:rsidR="00C45ED4" w:rsidRPr="00CB2133" w:rsidRDefault="00C45ED4" w:rsidP="00C45ED4">
      <w:pPr>
        <w:spacing w:before="120" w:after="120" w:line="360" w:lineRule="auto"/>
        <w:jc w:val="center"/>
        <w:rPr>
          <w:szCs w:val="24"/>
          <w:lang w:eastAsia="en-US"/>
        </w:rPr>
      </w:pPr>
      <w:r w:rsidRPr="00CB2133">
        <w:rPr>
          <w:szCs w:val="24"/>
          <w:lang w:eastAsia="en-US"/>
        </w:rPr>
        <w:t>Artikkel 4</w:t>
      </w:r>
    </w:p>
    <w:p w14:paraId="7833A65F"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Liikmesriigid jõustavad käesoleva direktiivi järgimiseks vajalikud õigus- ja haldusnormid hiljemalt [väljaannete talitus: palun lisada kuupäevana selle kuu esimene päev, mis järgneb kuule, mil möödub 18 kuud käesoleva direktiivi jõustumise kuupäevast].</w:t>
      </w:r>
    </w:p>
    <w:p w14:paraId="708292F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w:t>
      </w:r>
      <w:r w:rsidRPr="00CB2133">
        <w:rPr>
          <w:szCs w:val="24"/>
          <w:lang w:eastAsia="en-US"/>
        </w:rPr>
        <w:tab/>
        <w:t>Nad edastavad kõnealuste normide teksti viivitamata komisjonile. Kui liikmesriigid need normid vastu võtavad, lisavad nad nendesse normidesse või nende normide ametliku avaldamise korral nende juurde viite käesolevale direktiivile. Sellise viitamise viisi näevad ette liikmesriigid. Liikmesriigid edastavad komisjonile käesoleva direktiiviga reguleeritavas valdkonnas nende vastu võetud põhiliste siseriiklike õigusnormide teksti.</w:t>
      </w:r>
    </w:p>
    <w:p w14:paraId="4C2E44DE" w14:textId="77777777" w:rsidR="005208EA" w:rsidRPr="00CB2133" w:rsidRDefault="005208EA">
      <w:pPr>
        <w:widowControl/>
        <w:rPr>
          <w:szCs w:val="24"/>
          <w:lang w:eastAsia="en-US"/>
        </w:rPr>
      </w:pPr>
      <w:r w:rsidRPr="00CB2133">
        <w:rPr>
          <w:szCs w:val="24"/>
          <w:lang w:eastAsia="en-US"/>
        </w:rPr>
        <w:br w:type="page"/>
      </w:r>
    </w:p>
    <w:p w14:paraId="5C4C9200" w14:textId="046FB2E2" w:rsidR="00C45ED4" w:rsidRPr="00CB2133" w:rsidRDefault="00C45ED4" w:rsidP="00C45ED4">
      <w:pPr>
        <w:spacing w:before="120" w:after="120" w:line="360" w:lineRule="auto"/>
        <w:jc w:val="center"/>
        <w:rPr>
          <w:szCs w:val="24"/>
          <w:lang w:eastAsia="en-US"/>
        </w:rPr>
      </w:pPr>
      <w:r w:rsidRPr="00CB2133">
        <w:rPr>
          <w:szCs w:val="24"/>
          <w:lang w:eastAsia="en-US"/>
        </w:rPr>
        <w:lastRenderedPageBreak/>
        <w:t>Artikkel 5</w:t>
      </w:r>
    </w:p>
    <w:p w14:paraId="0089F17B" w14:textId="77777777" w:rsidR="00C45ED4" w:rsidRPr="00CB2133" w:rsidRDefault="00C45ED4" w:rsidP="00C45ED4">
      <w:pPr>
        <w:spacing w:before="120" w:after="120" w:line="360" w:lineRule="auto"/>
        <w:rPr>
          <w:szCs w:val="24"/>
          <w:lang w:eastAsia="en-US"/>
        </w:rPr>
      </w:pPr>
      <w:r w:rsidRPr="00CB2133">
        <w:rPr>
          <w:szCs w:val="24"/>
          <w:lang w:eastAsia="en-US"/>
        </w:rPr>
        <w:t xml:space="preserve">Käesolev direktiiv jõustub kahekümnendal päeval pärast selle avaldamist </w:t>
      </w:r>
      <w:r w:rsidRPr="00CB2133">
        <w:rPr>
          <w:i/>
          <w:szCs w:val="24"/>
          <w:lang w:eastAsia="en-US"/>
        </w:rPr>
        <w:t>Euroopa Liidu Teatajas</w:t>
      </w:r>
      <w:r w:rsidRPr="00CB2133">
        <w:rPr>
          <w:szCs w:val="24"/>
          <w:lang w:eastAsia="en-US"/>
        </w:rPr>
        <w:t>.</w:t>
      </w:r>
    </w:p>
    <w:p w14:paraId="4701A93D" w14:textId="77777777" w:rsidR="00C45ED4" w:rsidRPr="00CB2133" w:rsidRDefault="00C45ED4" w:rsidP="00C45ED4">
      <w:pPr>
        <w:spacing w:before="120" w:after="120" w:line="360" w:lineRule="auto"/>
        <w:jc w:val="center"/>
        <w:rPr>
          <w:szCs w:val="24"/>
          <w:lang w:eastAsia="en-US"/>
        </w:rPr>
      </w:pPr>
      <w:r w:rsidRPr="00CB2133">
        <w:rPr>
          <w:szCs w:val="24"/>
          <w:lang w:eastAsia="en-US"/>
        </w:rPr>
        <w:t>Artikkel 6</w:t>
      </w:r>
    </w:p>
    <w:p w14:paraId="25C673C9" w14:textId="77777777" w:rsidR="00C45ED4" w:rsidRPr="00CB2133" w:rsidRDefault="00C45ED4" w:rsidP="00C45ED4">
      <w:pPr>
        <w:spacing w:before="120" w:after="120" w:line="360" w:lineRule="auto"/>
        <w:rPr>
          <w:szCs w:val="24"/>
          <w:lang w:eastAsia="en-US"/>
        </w:rPr>
      </w:pPr>
      <w:r w:rsidRPr="00CB2133">
        <w:rPr>
          <w:szCs w:val="24"/>
          <w:lang w:eastAsia="en-US"/>
        </w:rPr>
        <w:t>Käesolev direktiiv on adresseeritud liikmesriikidele.</w:t>
      </w:r>
    </w:p>
    <w:p w14:paraId="4954B72B" w14:textId="77777777" w:rsidR="00C45ED4" w:rsidRPr="00CB2133" w:rsidRDefault="00C45ED4" w:rsidP="00C45ED4">
      <w:pPr>
        <w:keepNext/>
        <w:widowControl/>
        <w:spacing w:before="120" w:line="360" w:lineRule="auto"/>
        <w:rPr>
          <w:szCs w:val="24"/>
          <w:lang w:eastAsia="en-US"/>
        </w:rPr>
      </w:pPr>
      <w:r w:rsidRPr="00CB2133">
        <w:rPr>
          <w:szCs w:val="24"/>
          <w:lang w:eastAsia="en-US"/>
        </w:rPr>
        <w:t>...,</w:t>
      </w:r>
    </w:p>
    <w:p w14:paraId="5203BB98" w14:textId="77777777" w:rsidR="00C45ED4" w:rsidRPr="00CB2133" w:rsidRDefault="00C45ED4" w:rsidP="00C45ED4">
      <w:pPr>
        <w:keepNext/>
        <w:widowControl/>
        <w:tabs>
          <w:tab w:val="left" w:pos="4252"/>
        </w:tabs>
        <w:spacing w:before="720" w:after="100" w:line="360" w:lineRule="auto"/>
        <w:jc w:val="both"/>
        <w:rPr>
          <w:i/>
          <w:szCs w:val="24"/>
          <w:lang w:eastAsia="en-US"/>
        </w:rPr>
      </w:pPr>
      <w:r w:rsidRPr="00CB2133">
        <w:rPr>
          <w:i/>
          <w:szCs w:val="24"/>
          <w:lang w:eastAsia="en-US"/>
        </w:rPr>
        <w:t>Euroopa Parlamendi nimel</w:t>
      </w:r>
      <w:r w:rsidRPr="00CB2133">
        <w:rPr>
          <w:i/>
          <w:szCs w:val="24"/>
          <w:lang w:eastAsia="en-US"/>
        </w:rPr>
        <w:tab/>
        <w:t>Nõukogu nimel</w:t>
      </w:r>
    </w:p>
    <w:p w14:paraId="7440A14A" w14:textId="77777777" w:rsidR="00C45ED4" w:rsidRPr="00CB2133" w:rsidRDefault="00C45ED4" w:rsidP="00C45ED4">
      <w:pPr>
        <w:widowControl/>
        <w:tabs>
          <w:tab w:val="left" w:pos="4252"/>
        </w:tabs>
        <w:spacing w:line="360" w:lineRule="auto"/>
        <w:rPr>
          <w:i/>
          <w:szCs w:val="24"/>
          <w:lang w:eastAsia="en-US"/>
        </w:rPr>
      </w:pPr>
      <w:r w:rsidRPr="00CB2133">
        <w:rPr>
          <w:i/>
          <w:szCs w:val="24"/>
          <w:lang w:eastAsia="en-US"/>
        </w:rPr>
        <w:t>president</w:t>
      </w:r>
      <w:r w:rsidRPr="00CB2133">
        <w:rPr>
          <w:i/>
          <w:szCs w:val="24"/>
          <w:lang w:eastAsia="en-US"/>
        </w:rPr>
        <w:tab/>
        <w:t>eesistuja</w:t>
      </w:r>
    </w:p>
    <w:p w14:paraId="6E788360" w14:textId="77777777" w:rsidR="00C45ED4" w:rsidRPr="00CB2133" w:rsidRDefault="00C45ED4" w:rsidP="00C45ED4">
      <w:pPr>
        <w:spacing w:before="120" w:after="120" w:line="360" w:lineRule="auto"/>
        <w:rPr>
          <w:szCs w:val="24"/>
          <w:lang w:eastAsia="en-US"/>
        </w:rPr>
        <w:sectPr w:rsidR="00C45ED4" w:rsidRPr="00CB2133" w:rsidSect="0097022D">
          <w:footerReference w:type="even" r:id="rId9"/>
          <w:footerReference w:type="default" r:id="rId10"/>
          <w:footerReference w:type="first" r:id="rId11"/>
          <w:footnotePr>
            <w:numRestart w:val="eachSect"/>
          </w:footnotePr>
          <w:endnotePr>
            <w:numFmt w:val="decimal"/>
          </w:endnotePr>
          <w:type w:val="continuous"/>
          <w:pgSz w:w="11909" w:h="16834"/>
          <w:pgMar w:top="1134" w:right="1417" w:bottom="1417" w:left="1134" w:header="1134" w:footer="567" w:gutter="0"/>
          <w:cols w:space="720"/>
        </w:sectPr>
      </w:pPr>
    </w:p>
    <w:p w14:paraId="2354A891" w14:textId="77777777" w:rsidR="0097022D" w:rsidRPr="00CB2133" w:rsidRDefault="0097022D">
      <w:pPr>
        <w:widowControl/>
        <w:rPr>
          <w:lang w:eastAsia="en-US"/>
        </w:rPr>
      </w:pPr>
      <w:r w:rsidRPr="00CB2133">
        <w:rPr>
          <w:lang w:eastAsia="en-US"/>
        </w:rPr>
        <w:br w:type="page"/>
      </w:r>
    </w:p>
    <w:p w14:paraId="2054DE82" w14:textId="0482A731" w:rsidR="00C45ED4" w:rsidRPr="00CB2133" w:rsidRDefault="00C45ED4" w:rsidP="00C45ED4">
      <w:pPr>
        <w:spacing w:before="120" w:after="120" w:line="360" w:lineRule="auto"/>
        <w:jc w:val="center"/>
        <w:rPr>
          <w:lang w:eastAsia="en-US"/>
        </w:rPr>
      </w:pPr>
      <w:r w:rsidRPr="00CB2133">
        <w:rPr>
          <w:lang w:eastAsia="en-US"/>
        </w:rPr>
        <w:lastRenderedPageBreak/>
        <w:t>I LISA</w:t>
      </w:r>
    </w:p>
    <w:p w14:paraId="72E8D29A" w14:textId="77777777" w:rsidR="00C45ED4" w:rsidRPr="00CB2133" w:rsidRDefault="00C45ED4" w:rsidP="00C45ED4">
      <w:pPr>
        <w:spacing w:before="120" w:after="120" w:line="360" w:lineRule="auto"/>
        <w:rPr>
          <w:szCs w:val="24"/>
          <w:lang w:eastAsia="en-US"/>
        </w:rPr>
      </w:pPr>
      <w:r w:rsidRPr="00CB2133">
        <w:rPr>
          <w:szCs w:val="24"/>
          <w:lang w:eastAsia="en-US"/>
        </w:rPr>
        <w:t>Direktiivi 2000/60/EÜ V lisa muudetakse järgmiselt.</w:t>
      </w:r>
    </w:p>
    <w:p w14:paraId="68E452AE"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Punktid 1.1.1–1.1.4 asendatakse järgmisega:</w:t>
      </w:r>
    </w:p>
    <w:p w14:paraId="1A44DD6A"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„1.1.1.</w:t>
      </w:r>
      <w:r w:rsidRPr="00CB2133">
        <w:rPr>
          <w:szCs w:val="24"/>
          <w:lang w:eastAsia="en-US"/>
        </w:rPr>
        <w:tab/>
        <w:t>„Jõed</w:t>
      </w:r>
    </w:p>
    <w:p w14:paraId="5EEEFD2E"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Bioloogilised elemendid</w:t>
      </w:r>
    </w:p>
    <w:p w14:paraId="1173A71B" w14:textId="77777777" w:rsidR="00C45ED4" w:rsidRPr="00CB2133" w:rsidRDefault="00C45ED4" w:rsidP="00C45ED4">
      <w:pPr>
        <w:spacing w:before="120" w:after="120" w:line="360" w:lineRule="auto"/>
        <w:ind w:left="1416"/>
        <w:rPr>
          <w:szCs w:val="24"/>
          <w:lang w:eastAsia="en-US"/>
        </w:rPr>
      </w:pPr>
      <w:r w:rsidRPr="00CB2133">
        <w:rPr>
          <w:szCs w:val="24"/>
          <w:lang w:eastAsia="en-US"/>
        </w:rPr>
        <w:t>Veetaimestiku koosseis ja arvukus</w:t>
      </w:r>
    </w:p>
    <w:p w14:paraId="1CDE5EAC" w14:textId="77777777" w:rsidR="00C45ED4" w:rsidRPr="00CB2133" w:rsidRDefault="00C45ED4" w:rsidP="00C45ED4">
      <w:pPr>
        <w:spacing w:before="120" w:after="120" w:line="360" w:lineRule="auto"/>
        <w:ind w:left="1416"/>
        <w:rPr>
          <w:szCs w:val="24"/>
          <w:lang w:eastAsia="en-US"/>
        </w:rPr>
      </w:pPr>
      <w:r w:rsidRPr="00CB2133">
        <w:rPr>
          <w:szCs w:val="24"/>
          <w:lang w:eastAsia="en-US"/>
        </w:rPr>
        <w:t>Selgrootute põhjaloomade koosseis ja arvukus</w:t>
      </w:r>
    </w:p>
    <w:p w14:paraId="19E2B83D" w14:textId="77777777" w:rsidR="00C45ED4" w:rsidRPr="00CB2133" w:rsidRDefault="00C45ED4" w:rsidP="00C45ED4">
      <w:pPr>
        <w:spacing w:before="120" w:after="120" w:line="360" w:lineRule="auto"/>
        <w:ind w:left="1416"/>
        <w:rPr>
          <w:szCs w:val="24"/>
          <w:lang w:eastAsia="en-US"/>
        </w:rPr>
      </w:pPr>
      <w:r w:rsidRPr="00CB2133">
        <w:rPr>
          <w:szCs w:val="24"/>
          <w:lang w:eastAsia="en-US"/>
        </w:rPr>
        <w:t>Kalastiku koosseis, arvukus ja vanuseline struktuur</w:t>
      </w:r>
    </w:p>
    <w:p w14:paraId="29C2C824"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Bioloogilisi elemente toetavad hüdromorfoloogilised elemendid</w:t>
      </w:r>
    </w:p>
    <w:p w14:paraId="3084C799" w14:textId="77777777" w:rsidR="00C45ED4" w:rsidRPr="00CB2133" w:rsidRDefault="00C45ED4" w:rsidP="00C45ED4">
      <w:pPr>
        <w:spacing w:before="120" w:after="120" w:line="360" w:lineRule="auto"/>
        <w:ind w:left="850"/>
        <w:rPr>
          <w:szCs w:val="24"/>
          <w:lang w:eastAsia="en-US"/>
        </w:rPr>
      </w:pPr>
      <w:r w:rsidRPr="00CB2133">
        <w:rPr>
          <w:szCs w:val="24"/>
          <w:lang w:eastAsia="en-US"/>
        </w:rPr>
        <w:t>Veerežiim</w:t>
      </w:r>
    </w:p>
    <w:p w14:paraId="70EA0D19" w14:textId="77777777" w:rsidR="00C45ED4" w:rsidRPr="00CB2133" w:rsidRDefault="00C45ED4" w:rsidP="00C45ED4">
      <w:pPr>
        <w:spacing w:before="120" w:after="120" w:line="360" w:lineRule="auto"/>
        <w:ind w:left="1416"/>
        <w:rPr>
          <w:szCs w:val="24"/>
          <w:lang w:eastAsia="en-US"/>
        </w:rPr>
      </w:pPr>
      <w:r w:rsidRPr="00CB2133">
        <w:rPr>
          <w:szCs w:val="24"/>
          <w:lang w:eastAsia="en-US"/>
        </w:rPr>
        <w:t>Vee vooluhulk ja -dünaamika</w:t>
      </w:r>
    </w:p>
    <w:p w14:paraId="5E057416" w14:textId="77777777" w:rsidR="00C45ED4" w:rsidRPr="00CB2133" w:rsidRDefault="00C45ED4" w:rsidP="00C45ED4">
      <w:pPr>
        <w:spacing w:before="120" w:after="120" w:line="360" w:lineRule="auto"/>
        <w:ind w:left="1416"/>
        <w:rPr>
          <w:szCs w:val="24"/>
          <w:lang w:eastAsia="en-US"/>
        </w:rPr>
      </w:pPr>
      <w:r w:rsidRPr="00CB2133">
        <w:rPr>
          <w:szCs w:val="24"/>
          <w:lang w:eastAsia="en-US"/>
        </w:rPr>
        <w:t>Ühendus põhjaveekogumitega</w:t>
      </w:r>
    </w:p>
    <w:p w14:paraId="12436183" w14:textId="77777777" w:rsidR="00C45ED4" w:rsidRPr="00CB2133" w:rsidRDefault="00C45ED4" w:rsidP="00C45ED4">
      <w:pPr>
        <w:spacing w:before="120" w:after="120" w:line="360" w:lineRule="auto"/>
        <w:ind w:left="1416"/>
        <w:rPr>
          <w:szCs w:val="24"/>
          <w:lang w:eastAsia="en-US"/>
        </w:rPr>
      </w:pPr>
      <w:r w:rsidRPr="00CB2133">
        <w:rPr>
          <w:szCs w:val="24"/>
          <w:lang w:eastAsia="en-US"/>
        </w:rPr>
        <w:t>Jõevoolu tõkestamatus</w:t>
      </w:r>
    </w:p>
    <w:p w14:paraId="09A4E286" w14:textId="77777777" w:rsidR="005208EA" w:rsidRPr="00CB2133" w:rsidRDefault="005208EA">
      <w:pPr>
        <w:widowControl/>
        <w:rPr>
          <w:szCs w:val="24"/>
          <w:lang w:eastAsia="en-US"/>
        </w:rPr>
      </w:pPr>
      <w:r w:rsidRPr="00CB2133">
        <w:rPr>
          <w:szCs w:val="24"/>
          <w:lang w:eastAsia="en-US"/>
        </w:rPr>
        <w:br w:type="page"/>
      </w:r>
    </w:p>
    <w:p w14:paraId="3E00992F" w14:textId="2614DE67" w:rsidR="00C45ED4" w:rsidRPr="00CB2133" w:rsidRDefault="00C45ED4" w:rsidP="00C45ED4">
      <w:pPr>
        <w:spacing w:before="120" w:after="120" w:line="360" w:lineRule="auto"/>
        <w:ind w:left="850"/>
        <w:rPr>
          <w:szCs w:val="24"/>
          <w:lang w:eastAsia="en-US"/>
        </w:rPr>
      </w:pPr>
      <w:r w:rsidRPr="00CB2133">
        <w:rPr>
          <w:szCs w:val="24"/>
          <w:lang w:eastAsia="en-US"/>
        </w:rPr>
        <w:lastRenderedPageBreak/>
        <w:t>Morfoloogilised tingimused</w:t>
      </w:r>
    </w:p>
    <w:p w14:paraId="38017B90" w14:textId="77777777" w:rsidR="00C45ED4" w:rsidRPr="00CB2133" w:rsidRDefault="00C45ED4" w:rsidP="00C45ED4">
      <w:pPr>
        <w:spacing w:before="120" w:after="120" w:line="360" w:lineRule="auto"/>
        <w:ind w:left="1416"/>
        <w:rPr>
          <w:szCs w:val="24"/>
          <w:lang w:eastAsia="en-US"/>
        </w:rPr>
      </w:pPr>
      <w:r w:rsidRPr="00CB2133">
        <w:rPr>
          <w:szCs w:val="24"/>
          <w:lang w:eastAsia="en-US"/>
        </w:rPr>
        <w:t>Jõe sügavuse ja laiuse vahelduvus</w:t>
      </w:r>
    </w:p>
    <w:p w14:paraId="2BEE14D6" w14:textId="77777777" w:rsidR="00C45ED4" w:rsidRPr="00CB2133" w:rsidRDefault="00C45ED4" w:rsidP="00C45ED4">
      <w:pPr>
        <w:spacing w:before="120" w:after="120" w:line="360" w:lineRule="auto"/>
        <w:ind w:left="1416"/>
        <w:rPr>
          <w:szCs w:val="24"/>
          <w:lang w:eastAsia="en-US"/>
        </w:rPr>
      </w:pPr>
      <w:r w:rsidRPr="00CB2133">
        <w:rPr>
          <w:szCs w:val="24"/>
          <w:lang w:eastAsia="en-US"/>
        </w:rPr>
        <w:t>Jõesängi struktuur ja substraat</w:t>
      </w:r>
    </w:p>
    <w:p w14:paraId="67A22131" w14:textId="77777777" w:rsidR="00C45ED4" w:rsidRPr="00CB2133" w:rsidRDefault="00C45ED4" w:rsidP="00C45ED4">
      <w:pPr>
        <w:spacing w:before="120" w:after="120" w:line="360" w:lineRule="auto"/>
        <w:ind w:left="1416"/>
        <w:rPr>
          <w:szCs w:val="24"/>
          <w:lang w:eastAsia="en-US"/>
        </w:rPr>
      </w:pPr>
      <w:r w:rsidRPr="00CB2133">
        <w:rPr>
          <w:szCs w:val="24"/>
          <w:lang w:eastAsia="en-US"/>
        </w:rPr>
        <w:t>Kaldavööndi struktuur</w:t>
      </w:r>
    </w:p>
    <w:p w14:paraId="51E051A1"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Bioloogilisi elemente toetavad üldised füüsikalis-keemilised elemendid</w:t>
      </w:r>
    </w:p>
    <w:p w14:paraId="25A87EDB" w14:textId="77777777" w:rsidR="00C45ED4" w:rsidRPr="00CB2133" w:rsidRDefault="00C45ED4" w:rsidP="00C45ED4">
      <w:pPr>
        <w:spacing w:before="120" w:after="120" w:line="360" w:lineRule="auto"/>
        <w:ind w:left="1416"/>
        <w:rPr>
          <w:szCs w:val="24"/>
          <w:lang w:eastAsia="en-US"/>
        </w:rPr>
      </w:pPr>
      <w:r w:rsidRPr="00CB2133">
        <w:rPr>
          <w:szCs w:val="24"/>
          <w:lang w:eastAsia="en-US"/>
        </w:rPr>
        <w:t>Temperatuuritingimused</w:t>
      </w:r>
    </w:p>
    <w:p w14:paraId="4C176A94" w14:textId="77777777" w:rsidR="00C45ED4" w:rsidRPr="00CB2133" w:rsidRDefault="00C45ED4" w:rsidP="00C45ED4">
      <w:pPr>
        <w:spacing w:before="120" w:after="120" w:line="360" w:lineRule="auto"/>
        <w:ind w:left="1416"/>
        <w:rPr>
          <w:szCs w:val="24"/>
          <w:lang w:eastAsia="en-US"/>
        </w:rPr>
      </w:pPr>
      <w:r w:rsidRPr="00CB2133">
        <w:rPr>
          <w:szCs w:val="24"/>
          <w:lang w:eastAsia="en-US"/>
        </w:rPr>
        <w:t>Hapnikusisaldus</w:t>
      </w:r>
    </w:p>
    <w:p w14:paraId="3960937F" w14:textId="77777777" w:rsidR="00C45ED4" w:rsidRPr="00CB2133" w:rsidRDefault="00C45ED4" w:rsidP="00C45ED4">
      <w:pPr>
        <w:spacing w:before="120" w:after="120" w:line="360" w:lineRule="auto"/>
        <w:ind w:left="1416"/>
        <w:rPr>
          <w:szCs w:val="24"/>
          <w:lang w:eastAsia="en-US"/>
        </w:rPr>
      </w:pPr>
      <w:r w:rsidRPr="00CB2133">
        <w:rPr>
          <w:szCs w:val="24"/>
          <w:lang w:eastAsia="en-US"/>
        </w:rPr>
        <w:t>Soolsus</w:t>
      </w:r>
    </w:p>
    <w:p w14:paraId="49073FE9" w14:textId="77777777" w:rsidR="00C45ED4" w:rsidRPr="00CB2133" w:rsidRDefault="00C45ED4" w:rsidP="00C45ED4">
      <w:pPr>
        <w:spacing w:before="120" w:after="120" w:line="360" w:lineRule="auto"/>
        <w:ind w:left="1416"/>
        <w:rPr>
          <w:szCs w:val="24"/>
          <w:lang w:eastAsia="en-US"/>
        </w:rPr>
      </w:pPr>
      <w:r w:rsidRPr="00CB2133">
        <w:rPr>
          <w:szCs w:val="24"/>
          <w:lang w:eastAsia="en-US"/>
        </w:rPr>
        <w:t>Hapestumus</w:t>
      </w:r>
    </w:p>
    <w:p w14:paraId="362BA024" w14:textId="77777777" w:rsidR="00C45ED4" w:rsidRPr="00CB2133" w:rsidRDefault="00C45ED4" w:rsidP="00C45ED4">
      <w:pPr>
        <w:spacing w:before="120" w:after="120" w:line="360" w:lineRule="auto"/>
        <w:ind w:left="1416"/>
        <w:rPr>
          <w:szCs w:val="24"/>
          <w:lang w:eastAsia="en-US"/>
        </w:rPr>
      </w:pPr>
      <w:r w:rsidRPr="00CB2133">
        <w:rPr>
          <w:szCs w:val="24"/>
          <w:lang w:eastAsia="en-US"/>
        </w:rPr>
        <w:t>Toitainesisaldus</w:t>
      </w:r>
    </w:p>
    <w:p w14:paraId="42AB5E6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1.1.2.</w:t>
      </w:r>
      <w:r w:rsidRPr="00CB2133">
        <w:rPr>
          <w:szCs w:val="24"/>
          <w:lang w:eastAsia="en-US"/>
        </w:rPr>
        <w:tab/>
        <w:t xml:space="preserve"> Järved</w:t>
      </w:r>
    </w:p>
    <w:p w14:paraId="43510FF3"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Bioloogilised elemendid</w:t>
      </w:r>
    </w:p>
    <w:p w14:paraId="3E73D048" w14:textId="77777777" w:rsidR="005208EA" w:rsidRPr="00CB2133" w:rsidRDefault="005208EA">
      <w:pPr>
        <w:widowControl/>
        <w:rPr>
          <w:szCs w:val="24"/>
          <w:lang w:eastAsia="en-US"/>
        </w:rPr>
      </w:pPr>
      <w:r w:rsidRPr="00CB2133">
        <w:rPr>
          <w:szCs w:val="24"/>
          <w:lang w:eastAsia="en-US"/>
        </w:rPr>
        <w:br w:type="page"/>
      </w:r>
    </w:p>
    <w:p w14:paraId="17DDAD27" w14:textId="1592DEA3" w:rsidR="00C45ED4" w:rsidRPr="00CB2133" w:rsidRDefault="00C45ED4" w:rsidP="00C45ED4">
      <w:pPr>
        <w:spacing w:before="120" w:after="120" w:line="360" w:lineRule="auto"/>
        <w:ind w:left="1416"/>
        <w:rPr>
          <w:szCs w:val="24"/>
          <w:lang w:eastAsia="en-US"/>
        </w:rPr>
      </w:pPr>
      <w:r w:rsidRPr="00CB2133">
        <w:rPr>
          <w:szCs w:val="24"/>
          <w:lang w:eastAsia="en-US"/>
        </w:rPr>
        <w:lastRenderedPageBreak/>
        <w:t>Fütoplanktoni koosseis, arvukus ja biomass</w:t>
      </w:r>
    </w:p>
    <w:p w14:paraId="2E487CC6" w14:textId="77777777" w:rsidR="00C45ED4" w:rsidRPr="00CB2133" w:rsidRDefault="00C45ED4" w:rsidP="00C45ED4">
      <w:pPr>
        <w:spacing w:before="120" w:after="120" w:line="360" w:lineRule="auto"/>
        <w:ind w:left="1416"/>
        <w:rPr>
          <w:szCs w:val="24"/>
          <w:lang w:eastAsia="en-US"/>
        </w:rPr>
      </w:pPr>
      <w:r w:rsidRPr="00CB2133">
        <w:rPr>
          <w:szCs w:val="24"/>
          <w:lang w:eastAsia="en-US"/>
        </w:rPr>
        <w:t>Muu veetaimestiku koosseis ja arvukus</w:t>
      </w:r>
    </w:p>
    <w:p w14:paraId="2DE775F9" w14:textId="77777777" w:rsidR="00C45ED4" w:rsidRPr="00CB2133" w:rsidRDefault="00C45ED4" w:rsidP="00C45ED4">
      <w:pPr>
        <w:spacing w:before="120" w:after="120" w:line="360" w:lineRule="auto"/>
        <w:ind w:left="1416"/>
        <w:rPr>
          <w:szCs w:val="24"/>
          <w:lang w:eastAsia="en-US"/>
        </w:rPr>
      </w:pPr>
      <w:r w:rsidRPr="00CB2133">
        <w:rPr>
          <w:szCs w:val="24"/>
          <w:lang w:eastAsia="en-US"/>
        </w:rPr>
        <w:t>Selgrootute põhjaloomade koosseis ja arvukus</w:t>
      </w:r>
    </w:p>
    <w:p w14:paraId="23A59438" w14:textId="77777777" w:rsidR="00C45ED4" w:rsidRPr="00CB2133" w:rsidRDefault="00C45ED4" w:rsidP="00C45ED4">
      <w:pPr>
        <w:spacing w:before="120" w:after="120" w:line="360" w:lineRule="auto"/>
        <w:ind w:left="1416"/>
        <w:rPr>
          <w:szCs w:val="24"/>
          <w:lang w:eastAsia="en-US"/>
        </w:rPr>
      </w:pPr>
      <w:r w:rsidRPr="00CB2133">
        <w:rPr>
          <w:szCs w:val="24"/>
          <w:lang w:eastAsia="en-US"/>
        </w:rPr>
        <w:t>Kalastiku koosseis, arvukus ja vanuseline struktuur</w:t>
      </w:r>
    </w:p>
    <w:p w14:paraId="2233FC1E"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Bioloogilisi elemente toetavad hüdromorfoloogilised elemendid</w:t>
      </w:r>
    </w:p>
    <w:p w14:paraId="3F5BC139" w14:textId="77777777" w:rsidR="00C45ED4" w:rsidRPr="00CB2133" w:rsidRDefault="00C45ED4" w:rsidP="00C45ED4">
      <w:pPr>
        <w:spacing w:before="120" w:after="120" w:line="360" w:lineRule="auto"/>
        <w:ind w:left="850"/>
        <w:rPr>
          <w:szCs w:val="24"/>
          <w:lang w:eastAsia="en-US"/>
        </w:rPr>
      </w:pPr>
      <w:r w:rsidRPr="00CB2133">
        <w:rPr>
          <w:szCs w:val="24"/>
          <w:lang w:eastAsia="en-US"/>
        </w:rPr>
        <w:t>Veerežiim</w:t>
      </w:r>
    </w:p>
    <w:p w14:paraId="3E1075A2" w14:textId="77777777" w:rsidR="00C45ED4" w:rsidRPr="00CB2133" w:rsidRDefault="00C45ED4" w:rsidP="00C45ED4">
      <w:pPr>
        <w:spacing w:before="120" w:after="120" w:line="360" w:lineRule="auto"/>
        <w:ind w:left="1416"/>
        <w:rPr>
          <w:szCs w:val="24"/>
          <w:lang w:eastAsia="en-US"/>
        </w:rPr>
      </w:pPr>
      <w:r w:rsidRPr="00CB2133">
        <w:rPr>
          <w:szCs w:val="24"/>
          <w:lang w:eastAsia="en-US"/>
        </w:rPr>
        <w:t>Vee vooluhulk ja -dünaamika</w:t>
      </w:r>
    </w:p>
    <w:p w14:paraId="187D9E19" w14:textId="77777777" w:rsidR="00C45ED4" w:rsidRPr="00CB2133" w:rsidRDefault="00C45ED4" w:rsidP="00C45ED4">
      <w:pPr>
        <w:spacing w:before="120" w:after="120" w:line="360" w:lineRule="auto"/>
        <w:ind w:left="1416"/>
        <w:rPr>
          <w:szCs w:val="24"/>
          <w:lang w:eastAsia="en-US"/>
        </w:rPr>
      </w:pPr>
      <w:r w:rsidRPr="00CB2133">
        <w:rPr>
          <w:szCs w:val="24"/>
          <w:lang w:eastAsia="en-US"/>
        </w:rPr>
        <w:t>Viibeaeg</w:t>
      </w:r>
    </w:p>
    <w:p w14:paraId="2626DB2F" w14:textId="77777777" w:rsidR="00C45ED4" w:rsidRPr="00CB2133" w:rsidRDefault="00C45ED4" w:rsidP="00C45ED4">
      <w:pPr>
        <w:spacing w:before="120" w:after="120" w:line="360" w:lineRule="auto"/>
        <w:ind w:left="1416"/>
        <w:rPr>
          <w:szCs w:val="24"/>
          <w:lang w:eastAsia="en-US"/>
        </w:rPr>
      </w:pPr>
      <w:r w:rsidRPr="00CB2133">
        <w:rPr>
          <w:szCs w:val="24"/>
          <w:lang w:eastAsia="en-US"/>
        </w:rPr>
        <w:t>Ühendus põhjaveekogumiga</w:t>
      </w:r>
    </w:p>
    <w:p w14:paraId="3BB35318" w14:textId="77777777" w:rsidR="00C45ED4" w:rsidRPr="00CB2133" w:rsidRDefault="00C45ED4" w:rsidP="00C45ED4">
      <w:pPr>
        <w:spacing w:before="120" w:after="120" w:line="360" w:lineRule="auto"/>
        <w:ind w:left="850"/>
        <w:rPr>
          <w:szCs w:val="24"/>
          <w:lang w:eastAsia="en-US"/>
        </w:rPr>
      </w:pPr>
      <w:r w:rsidRPr="00CB2133">
        <w:rPr>
          <w:szCs w:val="24"/>
          <w:lang w:eastAsia="en-US"/>
        </w:rPr>
        <w:t>Morfoloogilised tingimused</w:t>
      </w:r>
    </w:p>
    <w:p w14:paraId="6987A252" w14:textId="77777777" w:rsidR="00C45ED4" w:rsidRPr="00CB2133" w:rsidRDefault="00C45ED4" w:rsidP="00C45ED4">
      <w:pPr>
        <w:spacing w:before="120" w:after="120" w:line="360" w:lineRule="auto"/>
        <w:ind w:left="1416"/>
        <w:rPr>
          <w:szCs w:val="24"/>
          <w:lang w:eastAsia="en-US"/>
        </w:rPr>
      </w:pPr>
      <w:r w:rsidRPr="00CB2133">
        <w:rPr>
          <w:szCs w:val="24"/>
          <w:lang w:eastAsia="en-US"/>
        </w:rPr>
        <w:t>Järve sügavuse vahelduvus</w:t>
      </w:r>
    </w:p>
    <w:p w14:paraId="136B257E" w14:textId="77777777" w:rsidR="00C45ED4" w:rsidRPr="00CB2133" w:rsidRDefault="00C45ED4" w:rsidP="00C45ED4">
      <w:pPr>
        <w:spacing w:before="120" w:after="120" w:line="360" w:lineRule="auto"/>
        <w:ind w:left="1416"/>
        <w:rPr>
          <w:szCs w:val="24"/>
          <w:lang w:eastAsia="en-US"/>
        </w:rPr>
      </w:pPr>
      <w:r w:rsidRPr="00CB2133">
        <w:rPr>
          <w:szCs w:val="24"/>
          <w:lang w:eastAsia="en-US"/>
        </w:rPr>
        <w:t>Järvepõhja paksus, struktuur ja substraat</w:t>
      </w:r>
    </w:p>
    <w:p w14:paraId="108A165D" w14:textId="77777777" w:rsidR="00C45ED4" w:rsidRPr="00CB2133" w:rsidRDefault="00C45ED4" w:rsidP="00C45ED4">
      <w:pPr>
        <w:spacing w:before="120" w:after="120" w:line="360" w:lineRule="auto"/>
        <w:ind w:left="1416"/>
        <w:rPr>
          <w:szCs w:val="24"/>
          <w:lang w:eastAsia="en-US"/>
        </w:rPr>
      </w:pPr>
      <w:r w:rsidRPr="00CB2133">
        <w:rPr>
          <w:szCs w:val="24"/>
          <w:lang w:eastAsia="en-US"/>
        </w:rPr>
        <w:t>Järvekalda struktuur</w:t>
      </w:r>
    </w:p>
    <w:p w14:paraId="2EB02CDA" w14:textId="77777777" w:rsidR="005208EA" w:rsidRPr="00CB2133" w:rsidRDefault="005208EA">
      <w:pPr>
        <w:widowControl/>
        <w:rPr>
          <w:szCs w:val="24"/>
          <w:lang w:eastAsia="en-US"/>
        </w:rPr>
      </w:pPr>
      <w:r w:rsidRPr="00CB2133">
        <w:rPr>
          <w:szCs w:val="24"/>
          <w:lang w:eastAsia="en-US"/>
        </w:rPr>
        <w:br w:type="page"/>
      </w:r>
    </w:p>
    <w:p w14:paraId="1C889B1F" w14:textId="7C0A356A" w:rsidR="00C45ED4" w:rsidRPr="00CB2133" w:rsidRDefault="00C45ED4" w:rsidP="00C45ED4">
      <w:pPr>
        <w:spacing w:before="120" w:after="120" w:line="360" w:lineRule="auto"/>
        <w:ind w:left="1416"/>
        <w:rPr>
          <w:szCs w:val="24"/>
          <w:lang w:eastAsia="en-US"/>
        </w:rPr>
      </w:pPr>
      <w:r w:rsidRPr="00CB2133">
        <w:rPr>
          <w:szCs w:val="24"/>
          <w:lang w:eastAsia="en-US"/>
        </w:rPr>
        <w:lastRenderedPageBreak/>
        <w:t>Bioloogilisi elemente toetavad üldised füüsikalis-keemilised elemendid</w:t>
      </w:r>
    </w:p>
    <w:p w14:paraId="3FB3A39E" w14:textId="77777777" w:rsidR="00C45ED4" w:rsidRPr="00CB2133" w:rsidRDefault="00C45ED4" w:rsidP="00C45ED4">
      <w:pPr>
        <w:spacing w:before="120" w:after="120" w:line="360" w:lineRule="auto"/>
        <w:ind w:left="1416"/>
        <w:rPr>
          <w:szCs w:val="24"/>
          <w:lang w:eastAsia="en-US"/>
        </w:rPr>
      </w:pPr>
      <w:r w:rsidRPr="00CB2133">
        <w:rPr>
          <w:szCs w:val="24"/>
          <w:lang w:eastAsia="en-US"/>
        </w:rPr>
        <w:t>Läbipaistvus</w:t>
      </w:r>
    </w:p>
    <w:p w14:paraId="6998B671" w14:textId="77777777" w:rsidR="00C45ED4" w:rsidRPr="00CB2133" w:rsidRDefault="00C45ED4" w:rsidP="00C45ED4">
      <w:pPr>
        <w:spacing w:before="120" w:after="120" w:line="360" w:lineRule="auto"/>
        <w:ind w:left="1416"/>
        <w:rPr>
          <w:szCs w:val="24"/>
          <w:lang w:eastAsia="en-US"/>
        </w:rPr>
      </w:pPr>
      <w:r w:rsidRPr="00CB2133">
        <w:rPr>
          <w:szCs w:val="24"/>
          <w:lang w:eastAsia="en-US"/>
        </w:rPr>
        <w:t>Temperatuuritingimused</w:t>
      </w:r>
    </w:p>
    <w:p w14:paraId="229C0949" w14:textId="77777777" w:rsidR="00C45ED4" w:rsidRPr="00CB2133" w:rsidRDefault="00C45ED4" w:rsidP="00C45ED4">
      <w:pPr>
        <w:spacing w:before="120" w:after="120" w:line="360" w:lineRule="auto"/>
        <w:ind w:left="1416"/>
        <w:rPr>
          <w:szCs w:val="24"/>
          <w:lang w:eastAsia="en-US"/>
        </w:rPr>
      </w:pPr>
      <w:r w:rsidRPr="00CB2133">
        <w:rPr>
          <w:szCs w:val="24"/>
          <w:lang w:eastAsia="en-US"/>
        </w:rPr>
        <w:t>Hapnikusisaldus</w:t>
      </w:r>
    </w:p>
    <w:p w14:paraId="571CEF23" w14:textId="77777777" w:rsidR="00C45ED4" w:rsidRPr="00CB2133" w:rsidRDefault="00C45ED4" w:rsidP="00C45ED4">
      <w:pPr>
        <w:spacing w:before="120" w:after="120" w:line="360" w:lineRule="auto"/>
        <w:ind w:left="1416"/>
        <w:rPr>
          <w:szCs w:val="24"/>
          <w:lang w:eastAsia="en-US"/>
        </w:rPr>
      </w:pPr>
      <w:r w:rsidRPr="00CB2133">
        <w:rPr>
          <w:szCs w:val="24"/>
          <w:lang w:eastAsia="en-US"/>
        </w:rPr>
        <w:t>Soolsus</w:t>
      </w:r>
    </w:p>
    <w:p w14:paraId="0C0F05B5" w14:textId="77777777" w:rsidR="00C45ED4" w:rsidRPr="00CB2133" w:rsidRDefault="00C45ED4" w:rsidP="00C45ED4">
      <w:pPr>
        <w:spacing w:before="120" w:after="120" w:line="360" w:lineRule="auto"/>
        <w:ind w:left="1416"/>
        <w:rPr>
          <w:szCs w:val="24"/>
          <w:lang w:eastAsia="en-US"/>
        </w:rPr>
      </w:pPr>
      <w:r w:rsidRPr="00CB2133">
        <w:rPr>
          <w:szCs w:val="24"/>
          <w:lang w:eastAsia="en-US"/>
        </w:rPr>
        <w:t>Hapestumus</w:t>
      </w:r>
    </w:p>
    <w:p w14:paraId="375AAB20" w14:textId="77777777" w:rsidR="00C45ED4" w:rsidRPr="00CB2133" w:rsidRDefault="00C45ED4" w:rsidP="00C45ED4">
      <w:pPr>
        <w:spacing w:before="120" w:after="120" w:line="360" w:lineRule="auto"/>
        <w:ind w:left="1416"/>
        <w:rPr>
          <w:szCs w:val="24"/>
          <w:lang w:eastAsia="en-US"/>
        </w:rPr>
      </w:pPr>
      <w:r w:rsidRPr="00CB2133">
        <w:rPr>
          <w:szCs w:val="24"/>
          <w:lang w:eastAsia="en-US"/>
        </w:rPr>
        <w:t>Toitainesisaldus</w:t>
      </w:r>
    </w:p>
    <w:p w14:paraId="2C63B13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1.1.3.</w:t>
      </w:r>
      <w:r w:rsidRPr="00CB2133">
        <w:rPr>
          <w:szCs w:val="24"/>
          <w:lang w:eastAsia="en-US"/>
        </w:rPr>
        <w:tab/>
        <w:t>Üleminekuveed</w:t>
      </w:r>
    </w:p>
    <w:p w14:paraId="07921C25"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Bioloogilised elemendid</w:t>
      </w:r>
    </w:p>
    <w:p w14:paraId="0B4E5B69" w14:textId="77777777" w:rsidR="00C45ED4" w:rsidRPr="00CB2133" w:rsidRDefault="00C45ED4" w:rsidP="00C45ED4">
      <w:pPr>
        <w:spacing w:before="120" w:after="120" w:line="360" w:lineRule="auto"/>
        <w:ind w:left="1416"/>
        <w:rPr>
          <w:szCs w:val="24"/>
          <w:lang w:eastAsia="en-US"/>
        </w:rPr>
      </w:pPr>
      <w:r w:rsidRPr="00CB2133">
        <w:rPr>
          <w:szCs w:val="24"/>
          <w:lang w:eastAsia="en-US"/>
        </w:rPr>
        <w:t>Fütoplanktoni koosseis, arvukus ja biomass</w:t>
      </w:r>
    </w:p>
    <w:p w14:paraId="581585D0" w14:textId="77777777" w:rsidR="00C45ED4" w:rsidRPr="00CB2133" w:rsidRDefault="00C45ED4" w:rsidP="00C45ED4">
      <w:pPr>
        <w:spacing w:before="120" w:after="120" w:line="360" w:lineRule="auto"/>
        <w:ind w:left="1416"/>
        <w:rPr>
          <w:szCs w:val="24"/>
          <w:lang w:eastAsia="en-US"/>
        </w:rPr>
      </w:pPr>
      <w:r w:rsidRPr="00CB2133">
        <w:rPr>
          <w:szCs w:val="24"/>
          <w:lang w:eastAsia="en-US"/>
        </w:rPr>
        <w:t>Muu veetaimestiku koosseis ja arvukus</w:t>
      </w:r>
    </w:p>
    <w:p w14:paraId="4CBB5F05" w14:textId="77777777" w:rsidR="00C45ED4" w:rsidRPr="00CB2133" w:rsidRDefault="00C45ED4" w:rsidP="00C45ED4">
      <w:pPr>
        <w:spacing w:before="120" w:after="120" w:line="360" w:lineRule="auto"/>
        <w:ind w:left="1416"/>
        <w:rPr>
          <w:szCs w:val="24"/>
          <w:lang w:eastAsia="en-US"/>
        </w:rPr>
      </w:pPr>
      <w:r w:rsidRPr="00CB2133">
        <w:rPr>
          <w:szCs w:val="24"/>
          <w:lang w:eastAsia="en-US"/>
        </w:rPr>
        <w:t>Selgrootute põhjaloomade koosseis ja arvukus</w:t>
      </w:r>
    </w:p>
    <w:p w14:paraId="4B391038" w14:textId="77777777" w:rsidR="00C45ED4" w:rsidRPr="00CB2133" w:rsidRDefault="00C45ED4" w:rsidP="00C45ED4">
      <w:pPr>
        <w:spacing w:before="120" w:after="120" w:line="360" w:lineRule="auto"/>
        <w:ind w:left="1416"/>
        <w:rPr>
          <w:szCs w:val="24"/>
          <w:lang w:eastAsia="en-US"/>
        </w:rPr>
      </w:pPr>
      <w:r w:rsidRPr="00CB2133">
        <w:rPr>
          <w:szCs w:val="24"/>
          <w:lang w:eastAsia="en-US"/>
        </w:rPr>
        <w:t>Kalastiku koosseis ja arvukus</w:t>
      </w:r>
    </w:p>
    <w:p w14:paraId="48D94B4E" w14:textId="77777777" w:rsidR="005208EA" w:rsidRPr="00CB2133" w:rsidRDefault="005208EA">
      <w:pPr>
        <w:widowControl/>
        <w:rPr>
          <w:szCs w:val="24"/>
          <w:lang w:eastAsia="en-US"/>
        </w:rPr>
      </w:pPr>
      <w:r w:rsidRPr="00CB2133">
        <w:rPr>
          <w:szCs w:val="24"/>
          <w:lang w:eastAsia="en-US"/>
        </w:rPr>
        <w:br w:type="page"/>
      </w:r>
    </w:p>
    <w:p w14:paraId="6730002B" w14:textId="37B57F16" w:rsidR="00C45ED4" w:rsidRPr="00CB2133" w:rsidRDefault="00C45ED4" w:rsidP="00C45ED4">
      <w:pPr>
        <w:spacing w:before="120" w:after="120" w:line="360" w:lineRule="auto"/>
        <w:ind w:left="1416"/>
        <w:rPr>
          <w:szCs w:val="24"/>
          <w:lang w:eastAsia="en-US"/>
        </w:rPr>
      </w:pPr>
      <w:r w:rsidRPr="00CB2133">
        <w:rPr>
          <w:szCs w:val="24"/>
          <w:lang w:eastAsia="en-US"/>
        </w:rPr>
        <w:lastRenderedPageBreak/>
        <w:t>Bioloogilisi elemente toetavad hüdromorfoloogilised elemendid</w:t>
      </w:r>
    </w:p>
    <w:p w14:paraId="37836AEE" w14:textId="77777777" w:rsidR="00C45ED4" w:rsidRPr="00CB2133" w:rsidRDefault="00C45ED4" w:rsidP="00C45ED4">
      <w:pPr>
        <w:spacing w:before="120" w:after="120" w:line="360" w:lineRule="auto"/>
        <w:ind w:left="850"/>
        <w:rPr>
          <w:szCs w:val="24"/>
          <w:lang w:eastAsia="en-US"/>
        </w:rPr>
      </w:pPr>
      <w:r w:rsidRPr="00CB2133">
        <w:rPr>
          <w:szCs w:val="24"/>
          <w:lang w:eastAsia="en-US"/>
        </w:rPr>
        <w:t>Morfoloogilised tingimused</w:t>
      </w:r>
    </w:p>
    <w:p w14:paraId="47AA0939" w14:textId="77777777" w:rsidR="00C45ED4" w:rsidRPr="00CB2133" w:rsidRDefault="00C45ED4" w:rsidP="00C45ED4">
      <w:pPr>
        <w:spacing w:before="120" w:after="120" w:line="360" w:lineRule="auto"/>
        <w:ind w:left="1416"/>
        <w:rPr>
          <w:szCs w:val="24"/>
          <w:lang w:eastAsia="en-US"/>
        </w:rPr>
      </w:pPr>
      <w:r w:rsidRPr="00CB2133">
        <w:rPr>
          <w:szCs w:val="24"/>
          <w:lang w:eastAsia="en-US"/>
        </w:rPr>
        <w:t>Sügavuse vahelduvus</w:t>
      </w:r>
    </w:p>
    <w:p w14:paraId="6130A499" w14:textId="77777777" w:rsidR="00C45ED4" w:rsidRPr="00CB2133" w:rsidRDefault="00C45ED4" w:rsidP="00C45ED4">
      <w:pPr>
        <w:spacing w:before="120" w:after="120" w:line="360" w:lineRule="auto"/>
        <w:ind w:left="1416"/>
        <w:rPr>
          <w:szCs w:val="24"/>
          <w:lang w:eastAsia="en-US"/>
        </w:rPr>
      </w:pPr>
      <w:r w:rsidRPr="00CB2133">
        <w:rPr>
          <w:szCs w:val="24"/>
          <w:lang w:eastAsia="en-US"/>
        </w:rPr>
        <w:t>Põhja paksus, struktuur ja substraat</w:t>
      </w:r>
    </w:p>
    <w:p w14:paraId="22277A12" w14:textId="77777777" w:rsidR="00C45ED4" w:rsidRPr="00CB2133" w:rsidRDefault="00C45ED4" w:rsidP="00C45ED4">
      <w:pPr>
        <w:spacing w:before="120" w:after="120" w:line="360" w:lineRule="auto"/>
        <w:ind w:left="1416"/>
        <w:rPr>
          <w:szCs w:val="24"/>
          <w:lang w:eastAsia="en-US"/>
        </w:rPr>
      </w:pPr>
      <w:r w:rsidRPr="00CB2133">
        <w:rPr>
          <w:szCs w:val="24"/>
          <w:lang w:eastAsia="en-US"/>
        </w:rPr>
        <w:t>Eulitoraali struktuur</w:t>
      </w:r>
    </w:p>
    <w:p w14:paraId="5F82BB03" w14:textId="77777777" w:rsidR="00C45ED4" w:rsidRPr="00CB2133" w:rsidRDefault="00C45ED4" w:rsidP="00C45ED4">
      <w:pPr>
        <w:spacing w:before="120" w:after="120" w:line="360" w:lineRule="auto"/>
        <w:ind w:left="850"/>
        <w:rPr>
          <w:szCs w:val="24"/>
          <w:lang w:eastAsia="en-US"/>
        </w:rPr>
      </w:pPr>
      <w:r w:rsidRPr="00CB2133">
        <w:rPr>
          <w:szCs w:val="24"/>
          <w:lang w:eastAsia="en-US"/>
        </w:rPr>
        <w:t>Loodete režiim</w:t>
      </w:r>
    </w:p>
    <w:p w14:paraId="354D3DF4" w14:textId="77777777" w:rsidR="00C45ED4" w:rsidRPr="00CB2133" w:rsidRDefault="00C45ED4" w:rsidP="00C45ED4">
      <w:pPr>
        <w:spacing w:before="120" w:after="120" w:line="360" w:lineRule="auto"/>
        <w:ind w:left="1416"/>
        <w:rPr>
          <w:szCs w:val="24"/>
          <w:lang w:eastAsia="en-US"/>
        </w:rPr>
      </w:pPr>
      <w:r w:rsidRPr="00CB2133">
        <w:rPr>
          <w:szCs w:val="24"/>
          <w:lang w:eastAsia="en-US"/>
        </w:rPr>
        <w:t>Mageveevool</w:t>
      </w:r>
    </w:p>
    <w:p w14:paraId="6F4E87A3" w14:textId="77777777" w:rsidR="00C45ED4" w:rsidRPr="00CB2133" w:rsidRDefault="00C45ED4" w:rsidP="00C45ED4">
      <w:pPr>
        <w:spacing w:before="120" w:after="120" w:line="360" w:lineRule="auto"/>
        <w:ind w:left="1416"/>
        <w:rPr>
          <w:szCs w:val="24"/>
          <w:lang w:eastAsia="en-US"/>
        </w:rPr>
      </w:pPr>
      <w:r w:rsidRPr="00CB2133">
        <w:rPr>
          <w:szCs w:val="24"/>
          <w:lang w:eastAsia="en-US"/>
        </w:rPr>
        <w:t>Avatus lainetusele</w:t>
      </w:r>
    </w:p>
    <w:p w14:paraId="32B67BCA"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Bioloogilisi elemente toetavad üldised füüsikalis-keemilised elemendid</w:t>
      </w:r>
    </w:p>
    <w:p w14:paraId="1DB7CCBA" w14:textId="77777777" w:rsidR="00C45ED4" w:rsidRPr="00CB2133" w:rsidRDefault="00C45ED4" w:rsidP="00C45ED4">
      <w:pPr>
        <w:spacing w:before="120" w:after="120" w:line="360" w:lineRule="auto"/>
        <w:ind w:left="1416"/>
        <w:rPr>
          <w:szCs w:val="24"/>
          <w:lang w:eastAsia="en-US"/>
        </w:rPr>
      </w:pPr>
      <w:r w:rsidRPr="00CB2133">
        <w:rPr>
          <w:szCs w:val="24"/>
          <w:lang w:eastAsia="en-US"/>
        </w:rPr>
        <w:t>Läbipaistvus</w:t>
      </w:r>
    </w:p>
    <w:p w14:paraId="2F35B4F7" w14:textId="77777777" w:rsidR="00C45ED4" w:rsidRPr="00CB2133" w:rsidRDefault="00C45ED4" w:rsidP="00C45ED4">
      <w:pPr>
        <w:spacing w:before="120" w:after="120" w:line="360" w:lineRule="auto"/>
        <w:ind w:left="1416"/>
        <w:rPr>
          <w:szCs w:val="24"/>
          <w:lang w:eastAsia="en-US"/>
        </w:rPr>
      </w:pPr>
      <w:r w:rsidRPr="00CB2133">
        <w:rPr>
          <w:szCs w:val="24"/>
          <w:lang w:eastAsia="en-US"/>
        </w:rPr>
        <w:t>Temperatuuritingimused</w:t>
      </w:r>
    </w:p>
    <w:p w14:paraId="3A6C46D1" w14:textId="77777777" w:rsidR="00C45ED4" w:rsidRPr="00CB2133" w:rsidRDefault="00C45ED4" w:rsidP="00C45ED4">
      <w:pPr>
        <w:spacing w:before="120" w:after="120" w:line="360" w:lineRule="auto"/>
        <w:ind w:left="1416"/>
        <w:rPr>
          <w:szCs w:val="24"/>
          <w:lang w:eastAsia="en-US"/>
        </w:rPr>
      </w:pPr>
      <w:r w:rsidRPr="00CB2133">
        <w:rPr>
          <w:szCs w:val="24"/>
          <w:lang w:eastAsia="en-US"/>
        </w:rPr>
        <w:t>Hapnikusisaldus</w:t>
      </w:r>
    </w:p>
    <w:p w14:paraId="2A32A381" w14:textId="77777777" w:rsidR="005208EA" w:rsidRPr="00CB2133" w:rsidRDefault="005208EA">
      <w:pPr>
        <w:widowControl/>
        <w:rPr>
          <w:szCs w:val="24"/>
          <w:lang w:eastAsia="en-US"/>
        </w:rPr>
      </w:pPr>
      <w:r w:rsidRPr="00CB2133">
        <w:rPr>
          <w:szCs w:val="24"/>
          <w:lang w:eastAsia="en-US"/>
        </w:rPr>
        <w:br w:type="page"/>
      </w:r>
    </w:p>
    <w:p w14:paraId="66E586A8" w14:textId="532AC0C8" w:rsidR="00C45ED4" w:rsidRPr="00CB2133" w:rsidRDefault="00C45ED4" w:rsidP="00C45ED4">
      <w:pPr>
        <w:spacing w:before="120" w:after="120" w:line="360" w:lineRule="auto"/>
        <w:ind w:left="1416"/>
        <w:rPr>
          <w:szCs w:val="24"/>
          <w:lang w:eastAsia="en-US"/>
        </w:rPr>
      </w:pPr>
      <w:r w:rsidRPr="00CB2133">
        <w:rPr>
          <w:szCs w:val="24"/>
          <w:lang w:eastAsia="en-US"/>
        </w:rPr>
        <w:lastRenderedPageBreak/>
        <w:t>Soolsus</w:t>
      </w:r>
    </w:p>
    <w:p w14:paraId="0E6BC6DB" w14:textId="77777777" w:rsidR="00C45ED4" w:rsidRPr="00CB2133" w:rsidRDefault="00C45ED4" w:rsidP="00C45ED4">
      <w:pPr>
        <w:spacing w:before="120" w:after="120" w:line="360" w:lineRule="auto"/>
        <w:ind w:left="1416"/>
        <w:rPr>
          <w:szCs w:val="24"/>
          <w:lang w:eastAsia="en-US"/>
        </w:rPr>
      </w:pPr>
      <w:r w:rsidRPr="00CB2133">
        <w:rPr>
          <w:szCs w:val="24"/>
          <w:lang w:eastAsia="en-US"/>
        </w:rPr>
        <w:t>Toitainesisaldus</w:t>
      </w:r>
    </w:p>
    <w:p w14:paraId="57B881A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1.1.4.</w:t>
      </w:r>
      <w:r w:rsidRPr="00CB2133">
        <w:rPr>
          <w:szCs w:val="24"/>
          <w:lang w:eastAsia="en-US"/>
        </w:rPr>
        <w:tab/>
        <w:t xml:space="preserve"> Rannikuveed</w:t>
      </w:r>
    </w:p>
    <w:p w14:paraId="5C5278B9"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Bioloogilised elemendid</w:t>
      </w:r>
    </w:p>
    <w:p w14:paraId="62EE2C9E" w14:textId="77777777" w:rsidR="00C45ED4" w:rsidRPr="00CB2133" w:rsidRDefault="00C45ED4" w:rsidP="00C45ED4">
      <w:pPr>
        <w:spacing w:before="120" w:after="120" w:line="360" w:lineRule="auto"/>
        <w:ind w:left="1416"/>
        <w:rPr>
          <w:szCs w:val="24"/>
          <w:lang w:eastAsia="en-US"/>
        </w:rPr>
      </w:pPr>
      <w:r w:rsidRPr="00CB2133">
        <w:rPr>
          <w:szCs w:val="24"/>
          <w:lang w:eastAsia="en-US"/>
        </w:rPr>
        <w:t>Fütoplanktoni koosseis, arvukus ja biomass</w:t>
      </w:r>
    </w:p>
    <w:p w14:paraId="66329A50" w14:textId="77777777" w:rsidR="00C45ED4" w:rsidRPr="00CB2133" w:rsidRDefault="00C45ED4" w:rsidP="00C45ED4">
      <w:pPr>
        <w:spacing w:before="120" w:after="120" w:line="360" w:lineRule="auto"/>
        <w:ind w:left="1416"/>
        <w:rPr>
          <w:szCs w:val="24"/>
          <w:lang w:eastAsia="en-US"/>
        </w:rPr>
      </w:pPr>
      <w:r w:rsidRPr="00CB2133">
        <w:rPr>
          <w:szCs w:val="24"/>
          <w:lang w:eastAsia="en-US"/>
        </w:rPr>
        <w:t>Muu veetaimestiku koosseis ja arvukus</w:t>
      </w:r>
    </w:p>
    <w:p w14:paraId="3E56E500" w14:textId="77777777" w:rsidR="00C45ED4" w:rsidRPr="00CB2133" w:rsidRDefault="00C45ED4" w:rsidP="00C45ED4">
      <w:pPr>
        <w:spacing w:before="120" w:after="120" w:line="360" w:lineRule="auto"/>
        <w:ind w:left="1416"/>
        <w:rPr>
          <w:szCs w:val="24"/>
          <w:lang w:eastAsia="en-US"/>
        </w:rPr>
      </w:pPr>
      <w:r w:rsidRPr="00CB2133">
        <w:rPr>
          <w:szCs w:val="24"/>
          <w:lang w:eastAsia="en-US"/>
        </w:rPr>
        <w:t>Selgrootute põhjaloomade koosseis ja arvukus</w:t>
      </w:r>
    </w:p>
    <w:p w14:paraId="269C0718"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Bioloogilisi elemente toetavad hüdromorfoloogilised elemendid</w:t>
      </w:r>
    </w:p>
    <w:p w14:paraId="4AC8F23E" w14:textId="77777777" w:rsidR="00C45ED4" w:rsidRPr="00CB2133" w:rsidRDefault="00C45ED4" w:rsidP="00C45ED4">
      <w:pPr>
        <w:spacing w:before="120" w:after="120" w:line="360" w:lineRule="auto"/>
        <w:ind w:left="850"/>
        <w:rPr>
          <w:szCs w:val="24"/>
          <w:lang w:eastAsia="en-US"/>
        </w:rPr>
      </w:pPr>
      <w:r w:rsidRPr="00CB2133">
        <w:rPr>
          <w:szCs w:val="24"/>
          <w:lang w:eastAsia="en-US"/>
        </w:rPr>
        <w:t>Morfoloogilised tingimused</w:t>
      </w:r>
    </w:p>
    <w:p w14:paraId="1A021C27" w14:textId="77777777" w:rsidR="00C45ED4" w:rsidRPr="00CB2133" w:rsidRDefault="00C45ED4" w:rsidP="00C45ED4">
      <w:pPr>
        <w:spacing w:before="120" w:after="120" w:line="360" w:lineRule="auto"/>
        <w:ind w:left="1416"/>
        <w:rPr>
          <w:szCs w:val="24"/>
          <w:lang w:eastAsia="en-US"/>
        </w:rPr>
      </w:pPr>
      <w:r w:rsidRPr="00CB2133">
        <w:rPr>
          <w:szCs w:val="24"/>
          <w:lang w:eastAsia="en-US"/>
        </w:rPr>
        <w:t>Sügavuse vahelduvus</w:t>
      </w:r>
    </w:p>
    <w:p w14:paraId="5DFEBFA9" w14:textId="77777777" w:rsidR="00C45ED4" w:rsidRPr="00CB2133" w:rsidRDefault="00C45ED4" w:rsidP="00C45ED4">
      <w:pPr>
        <w:spacing w:before="120" w:after="120" w:line="360" w:lineRule="auto"/>
        <w:ind w:left="1416"/>
        <w:rPr>
          <w:szCs w:val="24"/>
          <w:lang w:eastAsia="en-US"/>
        </w:rPr>
      </w:pPr>
      <w:r w:rsidRPr="00CB2133">
        <w:rPr>
          <w:szCs w:val="24"/>
          <w:lang w:eastAsia="en-US"/>
        </w:rPr>
        <w:t>Põhja struktuur ja substraat</w:t>
      </w:r>
    </w:p>
    <w:p w14:paraId="110B98C7" w14:textId="77777777" w:rsidR="00C45ED4" w:rsidRPr="00CB2133" w:rsidRDefault="00C45ED4" w:rsidP="00C45ED4">
      <w:pPr>
        <w:spacing w:before="120" w:after="120" w:line="360" w:lineRule="auto"/>
        <w:ind w:left="1416"/>
        <w:rPr>
          <w:szCs w:val="24"/>
          <w:lang w:eastAsia="en-US"/>
        </w:rPr>
      </w:pPr>
      <w:r w:rsidRPr="00CB2133">
        <w:rPr>
          <w:szCs w:val="24"/>
          <w:lang w:eastAsia="en-US"/>
        </w:rPr>
        <w:t>Eulitoraali struktuur</w:t>
      </w:r>
    </w:p>
    <w:p w14:paraId="5DE23AC5" w14:textId="77777777" w:rsidR="005208EA" w:rsidRPr="00CB2133" w:rsidRDefault="005208EA">
      <w:pPr>
        <w:widowControl/>
        <w:rPr>
          <w:szCs w:val="24"/>
          <w:lang w:eastAsia="en-US"/>
        </w:rPr>
      </w:pPr>
      <w:r w:rsidRPr="00CB2133">
        <w:rPr>
          <w:szCs w:val="24"/>
          <w:lang w:eastAsia="en-US"/>
        </w:rPr>
        <w:br w:type="page"/>
      </w:r>
    </w:p>
    <w:p w14:paraId="04F0D0BB" w14:textId="73B76673" w:rsidR="00C45ED4" w:rsidRPr="00CB2133" w:rsidRDefault="00C45ED4" w:rsidP="00C45ED4">
      <w:pPr>
        <w:spacing w:before="120" w:after="120" w:line="360" w:lineRule="auto"/>
        <w:ind w:left="850"/>
        <w:rPr>
          <w:szCs w:val="24"/>
          <w:lang w:eastAsia="en-US"/>
        </w:rPr>
      </w:pPr>
      <w:r w:rsidRPr="00CB2133">
        <w:rPr>
          <w:szCs w:val="24"/>
          <w:lang w:eastAsia="en-US"/>
        </w:rPr>
        <w:lastRenderedPageBreak/>
        <w:t>Loodete režiim</w:t>
      </w:r>
    </w:p>
    <w:p w14:paraId="25843F85" w14:textId="77777777" w:rsidR="00C45ED4" w:rsidRPr="00CB2133" w:rsidRDefault="00C45ED4" w:rsidP="00C45ED4">
      <w:pPr>
        <w:spacing w:before="120" w:after="120" w:line="360" w:lineRule="auto"/>
        <w:ind w:left="1416"/>
        <w:rPr>
          <w:szCs w:val="24"/>
          <w:lang w:eastAsia="en-US"/>
        </w:rPr>
      </w:pPr>
      <w:r w:rsidRPr="00CB2133">
        <w:rPr>
          <w:szCs w:val="24"/>
          <w:lang w:eastAsia="en-US"/>
        </w:rPr>
        <w:t>Peamiste hoovuste suund</w:t>
      </w:r>
    </w:p>
    <w:p w14:paraId="5D85A3E3" w14:textId="77777777" w:rsidR="00C45ED4" w:rsidRPr="00CB2133" w:rsidRDefault="00C45ED4" w:rsidP="00C45ED4">
      <w:pPr>
        <w:spacing w:before="120" w:after="120" w:line="360" w:lineRule="auto"/>
        <w:ind w:left="1416"/>
        <w:rPr>
          <w:szCs w:val="24"/>
          <w:lang w:eastAsia="en-US"/>
        </w:rPr>
      </w:pPr>
      <w:r w:rsidRPr="00CB2133">
        <w:rPr>
          <w:szCs w:val="24"/>
          <w:lang w:eastAsia="en-US"/>
        </w:rPr>
        <w:t>Avatus lainetusele</w:t>
      </w:r>
    </w:p>
    <w:p w14:paraId="6AED1BBF" w14:textId="77777777" w:rsidR="00C45ED4" w:rsidRPr="00CB2133" w:rsidRDefault="00C45ED4" w:rsidP="00C45ED4">
      <w:pPr>
        <w:spacing w:before="120" w:after="120" w:line="360" w:lineRule="auto"/>
        <w:ind w:left="1416"/>
        <w:rPr>
          <w:szCs w:val="24"/>
          <w:lang w:eastAsia="en-US"/>
        </w:rPr>
      </w:pPr>
      <w:r w:rsidRPr="00CB2133">
        <w:rPr>
          <w:szCs w:val="24"/>
          <w:lang w:eastAsia="en-US"/>
        </w:rPr>
        <w:t>Bioloogilisi elemente toetavad üldised füüsikalis-keemilised elemendid</w:t>
      </w:r>
    </w:p>
    <w:p w14:paraId="254E57E3" w14:textId="77777777" w:rsidR="00C45ED4" w:rsidRPr="00CB2133" w:rsidRDefault="00C45ED4" w:rsidP="00C45ED4">
      <w:pPr>
        <w:spacing w:before="120" w:after="120" w:line="360" w:lineRule="auto"/>
        <w:ind w:left="1416"/>
        <w:rPr>
          <w:szCs w:val="24"/>
          <w:lang w:eastAsia="en-US"/>
        </w:rPr>
      </w:pPr>
      <w:r w:rsidRPr="00CB2133">
        <w:rPr>
          <w:szCs w:val="24"/>
          <w:lang w:eastAsia="en-US"/>
        </w:rPr>
        <w:t>Läbipaistvus</w:t>
      </w:r>
    </w:p>
    <w:p w14:paraId="498E6FB6" w14:textId="77777777" w:rsidR="00C45ED4" w:rsidRPr="00CB2133" w:rsidRDefault="00C45ED4" w:rsidP="00C45ED4">
      <w:pPr>
        <w:spacing w:before="120" w:after="120" w:line="360" w:lineRule="auto"/>
        <w:ind w:left="1416"/>
        <w:rPr>
          <w:szCs w:val="24"/>
          <w:lang w:eastAsia="en-US"/>
        </w:rPr>
      </w:pPr>
      <w:r w:rsidRPr="00CB2133">
        <w:rPr>
          <w:szCs w:val="24"/>
          <w:lang w:eastAsia="en-US"/>
        </w:rPr>
        <w:t>Temperatuuritingimused</w:t>
      </w:r>
    </w:p>
    <w:p w14:paraId="7860878F" w14:textId="77777777" w:rsidR="00C45ED4" w:rsidRPr="00CB2133" w:rsidRDefault="00C45ED4" w:rsidP="00C45ED4">
      <w:pPr>
        <w:spacing w:before="120" w:after="120" w:line="360" w:lineRule="auto"/>
        <w:ind w:left="1416"/>
        <w:rPr>
          <w:szCs w:val="24"/>
          <w:lang w:eastAsia="en-US"/>
        </w:rPr>
      </w:pPr>
      <w:r w:rsidRPr="00CB2133">
        <w:rPr>
          <w:szCs w:val="24"/>
          <w:lang w:eastAsia="en-US"/>
        </w:rPr>
        <w:t>Hapnikusisaldus</w:t>
      </w:r>
    </w:p>
    <w:p w14:paraId="2A3D6F1D" w14:textId="77777777" w:rsidR="00C45ED4" w:rsidRPr="00CB2133" w:rsidRDefault="00C45ED4" w:rsidP="00C45ED4">
      <w:pPr>
        <w:spacing w:before="120" w:after="120" w:line="360" w:lineRule="auto"/>
        <w:ind w:left="1416"/>
        <w:rPr>
          <w:szCs w:val="24"/>
          <w:lang w:eastAsia="en-US"/>
        </w:rPr>
      </w:pPr>
      <w:r w:rsidRPr="00CB2133">
        <w:rPr>
          <w:szCs w:val="24"/>
          <w:lang w:eastAsia="en-US"/>
        </w:rPr>
        <w:t>Soolsus</w:t>
      </w:r>
    </w:p>
    <w:p w14:paraId="11DC703F" w14:textId="77777777" w:rsidR="00C45ED4" w:rsidRPr="00CB2133" w:rsidRDefault="00C45ED4" w:rsidP="00C45ED4">
      <w:pPr>
        <w:spacing w:before="120" w:after="120" w:line="360" w:lineRule="auto"/>
        <w:ind w:left="1416"/>
        <w:rPr>
          <w:szCs w:val="24"/>
          <w:lang w:eastAsia="en-US"/>
        </w:rPr>
      </w:pPr>
      <w:r w:rsidRPr="00CB2133">
        <w:rPr>
          <w:szCs w:val="24"/>
          <w:lang w:eastAsia="en-US"/>
        </w:rPr>
        <w:t>Toitainesisaldus.“</w:t>
      </w:r>
    </w:p>
    <w:p w14:paraId="50CAEA0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w:t>
      </w:r>
      <w:r w:rsidRPr="00CB2133">
        <w:rPr>
          <w:szCs w:val="24"/>
          <w:lang w:eastAsia="en-US"/>
        </w:rPr>
        <w:tab/>
        <w:t>Punktis 1.2.1 asendatakse tabel „Füüsikalis-keemilised kvaliteedielemendid“ järgmisega:</w:t>
      </w:r>
    </w:p>
    <w:p w14:paraId="13808016" w14:textId="15C22C58" w:rsidR="005208EA" w:rsidRPr="00CB2133" w:rsidRDefault="00C45ED4" w:rsidP="00C45ED4">
      <w:pPr>
        <w:spacing w:before="120" w:after="120" w:line="360" w:lineRule="auto"/>
        <w:ind w:left="850"/>
        <w:rPr>
          <w:szCs w:val="24"/>
          <w:lang w:eastAsia="en-US"/>
        </w:rPr>
      </w:pPr>
      <w:r w:rsidRPr="00CB2133">
        <w:rPr>
          <w:szCs w:val="24"/>
          <w:lang w:eastAsia="en-US"/>
        </w:rPr>
        <w:t>„Üldised füüsikalis-keemilised kvaliteedielemendid</w:t>
      </w:r>
    </w:p>
    <w:p w14:paraId="552BE9B5" w14:textId="77777777" w:rsidR="005208EA" w:rsidRPr="00CB2133" w:rsidRDefault="005208EA">
      <w:pPr>
        <w:widowControl/>
        <w:rPr>
          <w:szCs w:val="24"/>
          <w:lang w:eastAsia="en-US"/>
        </w:rPr>
      </w:pPr>
      <w:r w:rsidRPr="00CB2133">
        <w:rPr>
          <w:szCs w:val="24"/>
          <w:lang w:eastAsia="en-US"/>
        </w:rPr>
        <w:br w:type="page"/>
      </w:r>
    </w:p>
    <w:p w14:paraId="448DFA25" w14:textId="77777777" w:rsidR="00C45ED4" w:rsidRPr="00CB2133" w:rsidRDefault="00C45ED4" w:rsidP="00C45ED4">
      <w:pPr>
        <w:spacing w:before="120" w:after="120" w:line="360" w:lineRule="auto"/>
        <w:ind w:left="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557"/>
        <w:gridCol w:w="2975"/>
        <w:gridCol w:w="2694"/>
        <w:gridCol w:w="2122"/>
      </w:tblGrid>
      <w:tr w:rsidR="00C45ED4" w:rsidRPr="00CB2133" w14:paraId="3EEB41F7" w14:textId="77777777" w:rsidTr="00D30CC0">
        <w:trPr>
          <w:tblHeader/>
        </w:trPr>
        <w:tc>
          <w:tcPr>
            <w:tcW w:w="832" w:type="pct"/>
          </w:tcPr>
          <w:p w14:paraId="43BE7D4C" w14:textId="77777777" w:rsidR="00C45ED4" w:rsidRPr="00CB2133" w:rsidRDefault="00C45ED4" w:rsidP="00C45ED4">
            <w:pPr>
              <w:spacing w:before="120" w:after="120" w:line="360" w:lineRule="auto"/>
              <w:rPr>
                <w:szCs w:val="24"/>
                <w:lang w:eastAsia="en-US"/>
              </w:rPr>
            </w:pPr>
            <w:r w:rsidRPr="00CB2133">
              <w:rPr>
                <w:szCs w:val="24"/>
                <w:lang w:eastAsia="en-US"/>
              </w:rPr>
              <w:t>Element</w:t>
            </w:r>
          </w:p>
        </w:tc>
        <w:tc>
          <w:tcPr>
            <w:tcW w:w="1591" w:type="pct"/>
          </w:tcPr>
          <w:p w14:paraId="7DD99403" w14:textId="77777777" w:rsidR="00C45ED4" w:rsidRPr="00CB2133" w:rsidRDefault="00C45ED4" w:rsidP="00C45ED4">
            <w:pPr>
              <w:spacing w:before="120" w:after="120" w:line="360" w:lineRule="auto"/>
              <w:rPr>
                <w:szCs w:val="24"/>
                <w:lang w:eastAsia="en-US"/>
              </w:rPr>
            </w:pPr>
            <w:r w:rsidRPr="00CB2133">
              <w:rPr>
                <w:szCs w:val="24"/>
                <w:lang w:eastAsia="en-US"/>
              </w:rPr>
              <w:t>Väga hea seisund</w:t>
            </w:r>
          </w:p>
        </w:tc>
        <w:tc>
          <w:tcPr>
            <w:tcW w:w="1441" w:type="pct"/>
          </w:tcPr>
          <w:p w14:paraId="1F103B44" w14:textId="77777777" w:rsidR="00C45ED4" w:rsidRPr="00CB2133" w:rsidRDefault="00C45ED4" w:rsidP="00C45ED4">
            <w:pPr>
              <w:spacing w:before="120" w:after="120" w:line="360" w:lineRule="auto"/>
              <w:rPr>
                <w:szCs w:val="24"/>
                <w:lang w:eastAsia="en-US"/>
              </w:rPr>
            </w:pPr>
            <w:r w:rsidRPr="00CB2133">
              <w:rPr>
                <w:szCs w:val="24"/>
                <w:lang w:eastAsia="en-US"/>
              </w:rPr>
              <w:t>Hea seisund</w:t>
            </w:r>
          </w:p>
        </w:tc>
        <w:tc>
          <w:tcPr>
            <w:tcW w:w="1135" w:type="pct"/>
          </w:tcPr>
          <w:p w14:paraId="4CBE6310" w14:textId="77777777" w:rsidR="00C45ED4" w:rsidRPr="00CB2133" w:rsidRDefault="00C45ED4" w:rsidP="00C45ED4">
            <w:pPr>
              <w:spacing w:before="120" w:after="120" w:line="360" w:lineRule="auto"/>
              <w:rPr>
                <w:szCs w:val="24"/>
                <w:lang w:eastAsia="en-US"/>
              </w:rPr>
            </w:pPr>
            <w:r w:rsidRPr="00CB2133">
              <w:rPr>
                <w:szCs w:val="24"/>
                <w:lang w:eastAsia="en-US"/>
              </w:rPr>
              <w:t>Keskmine seisund</w:t>
            </w:r>
          </w:p>
        </w:tc>
      </w:tr>
      <w:tr w:rsidR="00C45ED4" w:rsidRPr="00CB2133" w14:paraId="1A16885B" w14:textId="77777777" w:rsidTr="00D30CC0">
        <w:tc>
          <w:tcPr>
            <w:tcW w:w="832" w:type="pct"/>
          </w:tcPr>
          <w:p w14:paraId="624E82CF" w14:textId="77777777" w:rsidR="00C45ED4" w:rsidRPr="00CB2133" w:rsidRDefault="00C45ED4" w:rsidP="00C45ED4">
            <w:pPr>
              <w:spacing w:before="120" w:after="120" w:line="360" w:lineRule="auto"/>
              <w:rPr>
                <w:szCs w:val="24"/>
                <w:lang w:eastAsia="en-US"/>
              </w:rPr>
            </w:pPr>
            <w:r w:rsidRPr="00CB2133">
              <w:rPr>
                <w:szCs w:val="24"/>
                <w:lang w:eastAsia="en-US"/>
              </w:rPr>
              <w:t>Üldtingimused</w:t>
            </w:r>
          </w:p>
        </w:tc>
        <w:tc>
          <w:tcPr>
            <w:tcW w:w="1591" w:type="pct"/>
          </w:tcPr>
          <w:p w14:paraId="78FD367B" w14:textId="77777777" w:rsidR="00C45ED4" w:rsidRPr="00CB2133" w:rsidRDefault="00C45ED4" w:rsidP="00C45ED4">
            <w:pPr>
              <w:spacing w:before="120" w:after="120" w:line="360" w:lineRule="auto"/>
              <w:rPr>
                <w:szCs w:val="24"/>
                <w:lang w:eastAsia="en-US"/>
              </w:rPr>
            </w:pPr>
            <w:r w:rsidRPr="00CB2133">
              <w:rPr>
                <w:szCs w:val="24"/>
                <w:lang w:eastAsia="en-US"/>
              </w:rPr>
              <w:t>Üldiste füüsikalis-keemiliste elementide väärtused on täielikult või peaaegu täielikult samad, mis häirimata olekus. Toitainete kontsentratsioon jääb häirimata olekut iseloomustavasse tavapärasesse vahemikku. Soolsuse, pH, hapnikubilansi, happesuse neutraliseerimise võime ja temperatuuri väärtustest ei ilmne inimtegevusest põhjustatud häiringuid ning need jäävad häirimata olekut iseloomustavasse tavapärasesse vahemikku.</w:t>
            </w:r>
          </w:p>
        </w:tc>
        <w:tc>
          <w:tcPr>
            <w:tcW w:w="1441" w:type="pct"/>
          </w:tcPr>
          <w:p w14:paraId="2520137B" w14:textId="77777777" w:rsidR="00C45ED4" w:rsidRPr="00CB2133" w:rsidRDefault="00C45ED4" w:rsidP="00C45ED4">
            <w:pPr>
              <w:spacing w:before="120" w:after="120" w:line="360" w:lineRule="auto"/>
              <w:rPr>
                <w:szCs w:val="24"/>
                <w:lang w:eastAsia="en-US"/>
              </w:rPr>
            </w:pPr>
            <w:r w:rsidRPr="00CB2133">
              <w:rPr>
                <w:szCs w:val="24"/>
                <w:lang w:eastAsia="en-US"/>
              </w:rPr>
              <w:t>Temperatuuri, hapnikubilansi, pH, happesuse neutraliseerimise võime ja soolsuse väärtused püsivad kindlakstehtud vahemikus, mille piires on tagatud tüübispetsiifilise ökosüsteemi funktsioneerimine ning bioloogiliste kvaliteedielementide eespool kirjeldatud väärtuste saavutamine. Toitainete kontsentratsioon ei ületa kindlakstehtud taset, mille piires on tagatud ökosüsteemi funktsioneerimine ning bioloogiliste kvaliteedielementide eespool kirjeldatud väärtuste saavutamine.</w:t>
            </w:r>
          </w:p>
        </w:tc>
        <w:tc>
          <w:tcPr>
            <w:tcW w:w="1135" w:type="pct"/>
          </w:tcPr>
          <w:p w14:paraId="5A9826D4" w14:textId="77777777" w:rsidR="00C45ED4" w:rsidRPr="00CB2133" w:rsidRDefault="00C45ED4" w:rsidP="00C45ED4">
            <w:pPr>
              <w:spacing w:before="120" w:after="120" w:line="360" w:lineRule="auto"/>
              <w:rPr>
                <w:szCs w:val="24"/>
                <w:lang w:eastAsia="en-US"/>
              </w:rPr>
            </w:pPr>
            <w:r w:rsidRPr="00CB2133">
              <w:rPr>
                <w:szCs w:val="24"/>
                <w:lang w:eastAsia="en-US"/>
              </w:rPr>
              <w:t>Tingimused, mille puhul on bioloogiliste kvaliteedielementide eespool kirjeldatud väärtuste saavutamine võimalik.“</w:t>
            </w:r>
          </w:p>
        </w:tc>
      </w:tr>
    </w:tbl>
    <w:p w14:paraId="09C4D2BC" w14:textId="696B9975" w:rsidR="005208EA" w:rsidRPr="00CB2133" w:rsidRDefault="005208EA">
      <w:pPr>
        <w:widowControl/>
        <w:rPr>
          <w:szCs w:val="24"/>
          <w:lang w:eastAsia="en-US"/>
        </w:rPr>
      </w:pPr>
    </w:p>
    <w:p w14:paraId="5961001D" w14:textId="77777777" w:rsidR="00D30CC0" w:rsidRPr="00CB2133" w:rsidRDefault="00D30CC0">
      <w:pPr>
        <w:widowControl/>
        <w:rPr>
          <w:szCs w:val="24"/>
          <w:lang w:eastAsia="en-US"/>
        </w:rPr>
      </w:pPr>
      <w:r w:rsidRPr="00CB2133">
        <w:rPr>
          <w:szCs w:val="24"/>
          <w:lang w:eastAsia="en-US"/>
        </w:rPr>
        <w:br w:type="page"/>
      </w:r>
    </w:p>
    <w:p w14:paraId="6D79CFC4" w14:textId="5FEB1A68"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3)</w:t>
      </w:r>
      <w:r w:rsidRPr="00CB2133">
        <w:rPr>
          <w:szCs w:val="24"/>
          <w:lang w:eastAsia="en-US"/>
        </w:rPr>
        <w:tab/>
        <w:t>Punktis 1.2.2 asendatakse tabel „Füüsikalis-keemilised kvaliteedielemendid“ järgmisega:</w:t>
      </w:r>
    </w:p>
    <w:p w14:paraId="752481B2" w14:textId="77777777" w:rsidR="00C45ED4" w:rsidRPr="00CB2133" w:rsidRDefault="00C45ED4" w:rsidP="00C45ED4">
      <w:pPr>
        <w:spacing w:before="120" w:after="120" w:line="360" w:lineRule="auto"/>
        <w:ind w:left="850"/>
        <w:rPr>
          <w:szCs w:val="24"/>
          <w:lang w:eastAsia="en-US"/>
        </w:rPr>
      </w:pPr>
      <w:r w:rsidRPr="00CB2133">
        <w:rPr>
          <w:szCs w:val="24"/>
          <w:lang w:eastAsia="en-US"/>
        </w:rPr>
        <w:t>„Üldised füüsikalis-keemilised kvaliteedielemendid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558"/>
        <w:gridCol w:w="2832"/>
        <w:gridCol w:w="2976"/>
        <w:gridCol w:w="1982"/>
      </w:tblGrid>
      <w:tr w:rsidR="00D30CC0" w:rsidRPr="00CB2133" w14:paraId="08A3E75B" w14:textId="77777777" w:rsidTr="00D30CC0">
        <w:trPr>
          <w:tblHeader/>
        </w:trPr>
        <w:tc>
          <w:tcPr>
            <w:tcW w:w="833" w:type="pct"/>
          </w:tcPr>
          <w:p w14:paraId="14906E4C" w14:textId="77777777" w:rsidR="00C45ED4" w:rsidRPr="00CB2133" w:rsidRDefault="00C45ED4" w:rsidP="00C45ED4">
            <w:pPr>
              <w:spacing w:before="120" w:after="120" w:line="360" w:lineRule="auto"/>
              <w:rPr>
                <w:szCs w:val="24"/>
                <w:lang w:eastAsia="en-US"/>
              </w:rPr>
            </w:pPr>
            <w:r w:rsidRPr="00CB2133">
              <w:rPr>
                <w:szCs w:val="24"/>
                <w:lang w:eastAsia="en-US"/>
              </w:rPr>
              <w:t>Element</w:t>
            </w:r>
          </w:p>
        </w:tc>
        <w:tc>
          <w:tcPr>
            <w:tcW w:w="1515" w:type="pct"/>
          </w:tcPr>
          <w:p w14:paraId="03E40AFE" w14:textId="77777777" w:rsidR="00C45ED4" w:rsidRPr="00CB2133" w:rsidRDefault="00C45ED4" w:rsidP="00C45ED4">
            <w:pPr>
              <w:spacing w:before="120" w:after="120" w:line="360" w:lineRule="auto"/>
              <w:rPr>
                <w:szCs w:val="24"/>
                <w:lang w:eastAsia="en-US"/>
              </w:rPr>
            </w:pPr>
            <w:r w:rsidRPr="00CB2133">
              <w:rPr>
                <w:szCs w:val="24"/>
                <w:lang w:eastAsia="en-US"/>
              </w:rPr>
              <w:t>Väga hea seisund</w:t>
            </w:r>
          </w:p>
        </w:tc>
        <w:tc>
          <w:tcPr>
            <w:tcW w:w="1592" w:type="pct"/>
          </w:tcPr>
          <w:p w14:paraId="5E865A49" w14:textId="77777777" w:rsidR="00C45ED4" w:rsidRPr="00CB2133" w:rsidRDefault="00C45ED4" w:rsidP="00C45ED4">
            <w:pPr>
              <w:spacing w:before="120" w:after="120" w:line="360" w:lineRule="auto"/>
              <w:rPr>
                <w:szCs w:val="24"/>
                <w:lang w:eastAsia="en-US"/>
              </w:rPr>
            </w:pPr>
            <w:r w:rsidRPr="00CB2133">
              <w:rPr>
                <w:szCs w:val="24"/>
                <w:lang w:eastAsia="en-US"/>
              </w:rPr>
              <w:t>Hea seisund</w:t>
            </w:r>
          </w:p>
        </w:tc>
        <w:tc>
          <w:tcPr>
            <w:tcW w:w="1060" w:type="pct"/>
          </w:tcPr>
          <w:p w14:paraId="63427C35" w14:textId="77777777" w:rsidR="00C45ED4" w:rsidRPr="00CB2133" w:rsidRDefault="00C45ED4" w:rsidP="00C45ED4">
            <w:pPr>
              <w:spacing w:before="120" w:after="120" w:line="360" w:lineRule="auto"/>
              <w:rPr>
                <w:szCs w:val="24"/>
                <w:lang w:eastAsia="en-US"/>
              </w:rPr>
            </w:pPr>
            <w:r w:rsidRPr="00CB2133">
              <w:rPr>
                <w:szCs w:val="24"/>
                <w:lang w:eastAsia="en-US"/>
              </w:rPr>
              <w:t>Keskmine seisund</w:t>
            </w:r>
          </w:p>
        </w:tc>
      </w:tr>
      <w:tr w:rsidR="00D30CC0" w:rsidRPr="00CB2133" w14:paraId="57FE7862" w14:textId="77777777" w:rsidTr="00D30CC0">
        <w:tc>
          <w:tcPr>
            <w:tcW w:w="833" w:type="pct"/>
          </w:tcPr>
          <w:p w14:paraId="12EF4954" w14:textId="77777777" w:rsidR="00C45ED4" w:rsidRPr="00CB2133" w:rsidRDefault="00C45ED4" w:rsidP="00C45ED4">
            <w:pPr>
              <w:spacing w:before="120" w:after="120" w:line="360" w:lineRule="auto"/>
              <w:rPr>
                <w:szCs w:val="24"/>
                <w:lang w:eastAsia="en-US"/>
              </w:rPr>
            </w:pPr>
            <w:r w:rsidRPr="00CB2133">
              <w:rPr>
                <w:szCs w:val="24"/>
                <w:lang w:eastAsia="en-US"/>
              </w:rPr>
              <w:t>Üldtingimused</w:t>
            </w:r>
          </w:p>
        </w:tc>
        <w:tc>
          <w:tcPr>
            <w:tcW w:w="1515" w:type="pct"/>
          </w:tcPr>
          <w:p w14:paraId="00DCE8FF" w14:textId="77777777" w:rsidR="00C45ED4" w:rsidRPr="00CB2133" w:rsidRDefault="00C45ED4" w:rsidP="00C45ED4">
            <w:pPr>
              <w:spacing w:before="120" w:after="120" w:line="360" w:lineRule="auto"/>
              <w:rPr>
                <w:szCs w:val="24"/>
                <w:lang w:eastAsia="en-US"/>
              </w:rPr>
            </w:pPr>
            <w:r w:rsidRPr="00CB2133">
              <w:rPr>
                <w:szCs w:val="24"/>
                <w:lang w:eastAsia="en-US"/>
              </w:rPr>
              <w:t>Üldiste füüsikalis-keemiliste elementide väärtused on täielikult või peaaegu täielikult samad, mis häirimata olekus. Toitainete kontsentratsioon jääb häirimata olekut iseloomustavasse tavapärasesse vahemikku. Soolsuse, pH, hapnikubilansi, happesuse neutraliseerimise võime, läbipaistvuse ja temperatuuri väärtustest ei ilmne inimtegevusest põhjustatud häiringuid ning need jäävad häirimata olekut iseloomustavasse tavapärasesse vahemikku.</w:t>
            </w:r>
          </w:p>
        </w:tc>
        <w:tc>
          <w:tcPr>
            <w:tcW w:w="1592" w:type="pct"/>
          </w:tcPr>
          <w:p w14:paraId="35E32B12" w14:textId="77777777" w:rsidR="00C45ED4" w:rsidRPr="00CB2133" w:rsidRDefault="00C45ED4" w:rsidP="00C45ED4">
            <w:pPr>
              <w:spacing w:before="120" w:after="120" w:line="360" w:lineRule="auto"/>
              <w:rPr>
                <w:szCs w:val="24"/>
                <w:lang w:eastAsia="en-US"/>
              </w:rPr>
            </w:pPr>
            <w:r w:rsidRPr="00CB2133">
              <w:rPr>
                <w:szCs w:val="24"/>
                <w:lang w:eastAsia="en-US"/>
              </w:rPr>
              <w:t>Temperatuuri, hapnikubilansi, pH, happesuse neutraliseerimise võime, läbipaistvuse ja soolsuse väärtused püsivad kindlakstehtud vahemikus, mille piires on tagatud ökosüsteemi funktsioneerimine ning bioloogiliste kvaliteedielementide eespool kirjeldatud väärtuste saavutamine. Toitainete kontsentratsioon ei ületa kindlakstehtud taset, mille piires on tagatud ökosüsteemi funktsioneerimine ning bioloogiliste kvaliteedielementide eespool kirjeldatud väärtuste saavutamine.</w:t>
            </w:r>
          </w:p>
        </w:tc>
        <w:tc>
          <w:tcPr>
            <w:tcW w:w="1060" w:type="pct"/>
          </w:tcPr>
          <w:p w14:paraId="66F8205D" w14:textId="77777777" w:rsidR="00C45ED4" w:rsidRPr="00CB2133" w:rsidRDefault="00C45ED4" w:rsidP="00C45ED4">
            <w:pPr>
              <w:spacing w:before="120" w:after="120" w:line="360" w:lineRule="auto"/>
              <w:rPr>
                <w:szCs w:val="24"/>
                <w:lang w:eastAsia="en-US"/>
              </w:rPr>
            </w:pPr>
            <w:r w:rsidRPr="00CB2133">
              <w:rPr>
                <w:szCs w:val="24"/>
                <w:lang w:eastAsia="en-US"/>
              </w:rPr>
              <w:t>Tingimused, mille puhul on bioloogiliste kvaliteedielementide eespool kirjeldatud väärtuste saavutamine võimalik.“</w:t>
            </w:r>
          </w:p>
        </w:tc>
      </w:tr>
    </w:tbl>
    <w:p w14:paraId="34DE0983" w14:textId="77777777" w:rsidR="005208EA" w:rsidRPr="00CB2133" w:rsidRDefault="005208EA" w:rsidP="00C45ED4">
      <w:pPr>
        <w:spacing w:before="120" w:after="120" w:line="360" w:lineRule="auto"/>
        <w:ind w:left="850" w:hanging="850"/>
        <w:rPr>
          <w:szCs w:val="24"/>
          <w:lang w:eastAsia="en-US"/>
        </w:rPr>
      </w:pPr>
    </w:p>
    <w:p w14:paraId="6F0083CD" w14:textId="77777777" w:rsidR="005208EA" w:rsidRPr="00CB2133" w:rsidRDefault="005208EA">
      <w:pPr>
        <w:widowControl/>
        <w:rPr>
          <w:szCs w:val="24"/>
          <w:lang w:eastAsia="en-US"/>
        </w:rPr>
      </w:pPr>
      <w:r w:rsidRPr="00CB2133">
        <w:rPr>
          <w:szCs w:val="24"/>
          <w:lang w:eastAsia="en-US"/>
        </w:rPr>
        <w:br w:type="page"/>
      </w:r>
    </w:p>
    <w:p w14:paraId="585D3752" w14:textId="451FC620"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4)</w:t>
      </w:r>
      <w:r w:rsidRPr="00CB2133">
        <w:rPr>
          <w:szCs w:val="24"/>
          <w:lang w:eastAsia="en-US"/>
        </w:rPr>
        <w:tab/>
        <w:t>Punktis 1.2.3 asendatakse tabel „Füüsikalis-keemilised kvaliteedielemendid“ järgmisega:</w:t>
      </w:r>
    </w:p>
    <w:p w14:paraId="0B2017F7" w14:textId="77777777" w:rsidR="00C45ED4" w:rsidRPr="00CB2133" w:rsidRDefault="00C45ED4" w:rsidP="00C45ED4">
      <w:pPr>
        <w:spacing w:before="120" w:after="120" w:line="360" w:lineRule="auto"/>
        <w:ind w:left="850"/>
        <w:rPr>
          <w:szCs w:val="24"/>
          <w:lang w:eastAsia="en-US"/>
        </w:rPr>
      </w:pPr>
      <w:r w:rsidRPr="00CB2133">
        <w:rPr>
          <w:szCs w:val="24"/>
          <w:lang w:eastAsia="en-US"/>
        </w:rPr>
        <w:t>„Üldised füüsikalis-keemilised kvaliteedielemendid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556"/>
        <w:gridCol w:w="2834"/>
        <w:gridCol w:w="2834"/>
        <w:gridCol w:w="2124"/>
      </w:tblGrid>
      <w:tr w:rsidR="00C45ED4" w:rsidRPr="00CB2133" w14:paraId="477A2941" w14:textId="77777777" w:rsidTr="00D30CC0">
        <w:trPr>
          <w:tblHeader/>
        </w:trPr>
        <w:tc>
          <w:tcPr>
            <w:tcW w:w="832" w:type="pct"/>
          </w:tcPr>
          <w:p w14:paraId="694403AB" w14:textId="77777777" w:rsidR="00C45ED4" w:rsidRPr="00CB2133" w:rsidRDefault="00C45ED4" w:rsidP="00C45ED4">
            <w:pPr>
              <w:spacing w:before="120" w:after="120" w:line="360" w:lineRule="auto"/>
              <w:rPr>
                <w:szCs w:val="24"/>
                <w:lang w:eastAsia="en-US"/>
              </w:rPr>
            </w:pPr>
            <w:r w:rsidRPr="00CB2133">
              <w:rPr>
                <w:szCs w:val="24"/>
                <w:lang w:eastAsia="en-US"/>
              </w:rPr>
              <w:t>Element</w:t>
            </w:r>
          </w:p>
        </w:tc>
        <w:tc>
          <w:tcPr>
            <w:tcW w:w="1516" w:type="pct"/>
          </w:tcPr>
          <w:p w14:paraId="714DA603" w14:textId="77777777" w:rsidR="00C45ED4" w:rsidRPr="00CB2133" w:rsidRDefault="00C45ED4" w:rsidP="00C45ED4">
            <w:pPr>
              <w:spacing w:before="120" w:after="120" w:line="360" w:lineRule="auto"/>
              <w:rPr>
                <w:szCs w:val="24"/>
                <w:lang w:eastAsia="en-US"/>
              </w:rPr>
            </w:pPr>
            <w:r w:rsidRPr="00CB2133">
              <w:rPr>
                <w:szCs w:val="24"/>
                <w:lang w:eastAsia="en-US"/>
              </w:rPr>
              <w:t>Väga hea seisund</w:t>
            </w:r>
          </w:p>
        </w:tc>
        <w:tc>
          <w:tcPr>
            <w:tcW w:w="1516" w:type="pct"/>
          </w:tcPr>
          <w:p w14:paraId="4AE6BAB3" w14:textId="77777777" w:rsidR="00C45ED4" w:rsidRPr="00CB2133" w:rsidRDefault="00C45ED4" w:rsidP="00C45ED4">
            <w:pPr>
              <w:spacing w:before="120" w:after="120" w:line="360" w:lineRule="auto"/>
              <w:rPr>
                <w:szCs w:val="24"/>
                <w:lang w:eastAsia="en-US"/>
              </w:rPr>
            </w:pPr>
            <w:r w:rsidRPr="00CB2133">
              <w:rPr>
                <w:szCs w:val="24"/>
                <w:lang w:eastAsia="en-US"/>
              </w:rPr>
              <w:t>Hea seisund</w:t>
            </w:r>
          </w:p>
        </w:tc>
        <w:tc>
          <w:tcPr>
            <w:tcW w:w="1136" w:type="pct"/>
          </w:tcPr>
          <w:p w14:paraId="10953760" w14:textId="77777777" w:rsidR="00C45ED4" w:rsidRPr="00CB2133" w:rsidRDefault="00C45ED4" w:rsidP="00C45ED4">
            <w:pPr>
              <w:spacing w:before="120" w:after="120" w:line="360" w:lineRule="auto"/>
              <w:rPr>
                <w:szCs w:val="24"/>
                <w:lang w:eastAsia="en-US"/>
              </w:rPr>
            </w:pPr>
            <w:r w:rsidRPr="00CB2133">
              <w:rPr>
                <w:szCs w:val="24"/>
                <w:lang w:eastAsia="en-US"/>
              </w:rPr>
              <w:t>Keskmine seisund</w:t>
            </w:r>
          </w:p>
        </w:tc>
      </w:tr>
      <w:tr w:rsidR="00C45ED4" w:rsidRPr="00CB2133" w14:paraId="0AB57C7C" w14:textId="77777777" w:rsidTr="00D30CC0">
        <w:tc>
          <w:tcPr>
            <w:tcW w:w="832" w:type="pct"/>
          </w:tcPr>
          <w:p w14:paraId="348D721D" w14:textId="77777777" w:rsidR="00C45ED4" w:rsidRPr="00CB2133" w:rsidRDefault="00C45ED4" w:rsidP="00C45ED4">
            <w:pPr>
              <w:spacing w:before="120" w:after="120" w:line="360" w:lineRule="auto"/>
              <w:rPr>
                <w:szCs w:val="24"/>
                <w:lang w:eastAsia="en-US"/>
              </w:rPr>
            </w:pPr>
            <w:r w:rsidRPr="00CB2133">
              <w:rPr>
                <w:szCs w:val="24"/>
                <w:lang w:eastAsia="en-US"/>
              </w:rPr>
              <w:t>Üldtingimused</w:t>
            </w:r>
          </w:p>
        </w:tc>
        <w:tc>
          <w:tcPr>
            <w:tcW w:w="1516" w:type="pct"/>
          </w:tcPr>
          <w:p w14:paraId="315F91A9" w14:textId="77777777" w:rsidR="00C45ED4" w:rsidRPr="00CB2133" w:rsidRDefault="00C45ED4" w:rsidP="00C45ED4">
            <w:pPr>
              <w:spacing w:before="120" w:after="120" w:line="360" w:lineRule="auto"/>
              <w:rPr>
                <w:szCs w:val="24"/>
                <w:lang w:eastAsia="en-US"/>
              </w:rPr>
            </w:pPr>
            <w:r w:rsidRPr="00CB2133">
              <w:rPr>
                <w:szCs w:val="24"/>
                <w:lang w:eastAsia="en-US"/>
              </w:rPr>
              <w:t>Üldiste füüsikalis-keemiliste elementide väärtused on täielikult või peaaegu täielikult samad, mis häirimata olekus. Toitainete kontsentratsioon jääb häirimata olekut iseloomustavasse tavapärasesse vahemikku. Temperatuuri, hapnikubilansi ja läbipaistvuse väärtustest ei ilmne inimtegevusest põhjustatud häiringuid ning need jäävad häirimata olekut iseloomustavasse tavapärasesse vahemikku.</w:t>
            </w:r>
          </w:p>
        </w:tc>
        <w:tc>
          <w:tcPr>
            <w:tcW w:w="1516" w:type="pct"/>
          </w:tcPr>
          <w:p w14:paraId="3A63D30B" w14:textId="77777777" w:rsidR="00C45ED4" w:rsidRPr="00CB2133" w:rsidRDefault="00C45ED4" w:rsidP="00C45ED4">
            <w:pPr>
              <w:spacing w:before="120" w:after="120" w:line="360" w:lineRule="auto"/>
              <w:rPr>
                <w:szCs w:val="24"/>
                <w:lang w:eastAsia="en-US"/>
              </w:rPr>
            </w:pPr>
            <w:r w:rsidRPr="00CB2133">
              <w:rPr>
                <w:szCs w:val="24"/>
                <w:lang w:eastAsia="en-US"/>
              </w:rPr>
              <w:t>Temperatuuri, hapnikusisalduse ja läbipaistvuse väärtused püsivad kindlakstehtud vahemikus, mille piires on tagatud ökosüsteemi funktsioneerimine ning bioloogiliste kvaliteedielementide eespool kirjeldatud väärtuste saavutamine. Toitainete kontsentratsioon ei ületa kindlakstehtud taset, mille piires on tagatud ökosüsteemi funktsioneerimine ning bioloogiliste kvaliteedielementide eespool kirjeldatud väärtuste saavutamine.</w:t>
            </w:r>
          </w:p>
        </w:tc>
        <w:tc>
          <w:tcPr>
            <w:tcW w:w="1136" w:type="pct"/>
          </w:tcPr>
          <w:p w14:paraId="22A40DE3" w14:textId="77777777" w:rsidR="00C45ED4" w:rsidRPr="00CB2133" w:rsidRDefault="00C45ED4" w:rsidP="00C45ED4">
            <w:pPr>
              <w:spacing w:before="120" w:after="120" w:line="360" w:lineRule="auto"/>
              <w:rPr>
                <w:szCs w:val="24"/>
                <w:lang w:eastAsia="en-US"/>
              </w:rPr>
            </w:pPr>
            <w:r w:rsidRPr="00CB2133">
              <w:rPr>
                <w:szCs w:val="24"/>
                <w:lang w:eastAsia="en-US"/>
              </w:rPr>
              <w:t>Tingimused, mille puhul on bioloogiliste kvaliteedielementide eespool kirjeldatud väärtuste saavutamine võimalik.“</w:t>
            </w:r>
          </w:p>
        </w:tc>
      </w:tr>
    </w:tbl>
    <w:p w14:paraId="3B73BD3C" w14:textId="77777777" w:rsidR="005208EA" w:rsidRPr="00CB2133" w:rsidRDefault="005208EA" w:rsidP="00C45ED4">
      <w:pPr>
        <w:spacing w:before="120" w:after="120" w:line="360" w:lineRule="auto"/>
        <w:ind w:left="850" w:hanging="850"/>
        <w:rPr>
          <w:szCs w:val="24"/>
          <w:lang w:eastAsia="en-US"/>
        </w:rPr>
      </w:pPr>
    </w:p>
    <w:p w14:paraId="5278409F" w14:textId="77777777" w:rsidR="005208EA" w:rsidRPr="00CB2133" w:rsidRDefault="005208EA">
      <w:pPr>
        <w:widowControl/>
        <w:rPr>
          <w:szCs w:val="24"/>
          <w:lang w:eastAsia="en-US"/>
        </w:rPr>
      </w:pPr>
      <w:r w:rsidRPr="00CB2133">
        <w:rPr>
          <w:szCs w:val="24"/>
          <w:lang w:eastAsia="en-US"/>
        </w:rPr>
        <w:br w:type="page"/>
      </w:r>
    </w:p>
    <w:p w14:paraId="6F754B4E" w14:textId="622F7A6B"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5)</w:t>
      </w:r>
      <w:r w:rsidRPr="00CB2133">
        <w:rPr>
          <w:szCs w:val="24"/>
          <w:lang w:eastAsia="en-US"/>
        </w:rPr>
        <w:tab/>
        <w:t>Punktis 1.2.4 asendatakse tabel „Füüsikalis-keemilised kvaliteedielemendid“ järgmisega:</w:t>
      </w:r>
    </w:p>
    <w:p w14:paraId="01D6DA43" w14:textId="77777777" w:rsidR="00C45ED4" w:rsidRPr="00CB2133" w:rsidRDefault="00C45ED4" w:rsidP="00C45ED4">
      <w:pPr>
        <w:spacing w:before="120" w:after="120" w:line="360" w:lineRule="auto"/>
        <w:ind w:left="850"/>
        <w:rPr>
          <w:szCs w:val="24"/>
          <w:lang w:eastAsia="en-US"/>
        </w:rPr>
      </w:pPr>
      <w:r w:rsidRPr="00CB2133">
        <w:rPr>
          <w:szCs w:val="24"/>
          <w:lang w:eastAsia="en-US"/>
        </w:rPr>
        <w:t>„Üldised füüsikalis-keemilised kvaliteedielemendid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1557"/>
        <w:gridCol w:w="2695"/>
        <w:gridCol w:w="2690"/>
        <w:gridCol w:w="2406"/>
      </w:tblGrid>
      <w:tr w:rsidR="00C45ED4" w:rsidRPr="00CB2133" w14:paraId="36ACAA36" w14:textId="77777777" w:rsidTr="00D30CC0">
        <w:trPr>
          <w:tblHeader/>
        </w:trPr>
        <w:tc>
          <w:tcPr>
            <w:tcW w:w="832" w:type="pct"/>
          </w:tcPr>
          <w:p w14:paraId="2A7FF79C" w14:textId="77777777" w:rsidR="00C45ED4" w:rsidRPr="00CB2133" w:rsidRDefault="00C45ED4" w:rsidP="00C45ED4">
            <w:pPr>
              <w:spacing w:before="120" w:after="120" w:line="360" w:lineRule="auto"/>
              <w:rPr>
                <w:szCs w:val="24"/>
                <w:lang w:eastAsia="en-US"/>
              </w:rPr>
            </w:pPr>
            <w:r w:rsidRPr="00CB2133">
              <w:rPr>
                <w:szCs w:val="24"/>
                <w:lang w:eastAsia="en-US"/>
              </w:rPr>
              <w:t>Element</w:t>
            </w:r>
          </w:p>
        </w:tc>
        <w:tc>
          <w:tcPr>
            <w:tcW w:w="1441" w:type="pct"/>
          </w:tcPr>
          <w:p w14:paraId="0A4AE927" w14:textId="77777777" w:rsidR="00C45ED4" w:rsidRPr="00CB2133" w:rsidRDefault="00C45ED4" w:rsidP="00C45ED4">
            <w:pPr>
              <w:spacing w:before="120" w:after="120" w:line="360" w:lineRule="auto"/>
              <w:rPr>
                <w:szCs w:val="24"/>
                <w:lang w:eastAsia="en-US"/>
              </w:rPr>
            </w:pPr>
            <w:r w:rsidRPr="00CB2133">
              <w:rPr>
                <w:szCs w:val="24"/>
                <w:lang w:eastAsia="en-US"/>
              </w:rPr>
              <w:t>Väga hea seisund</w:t>
            </w:r>
          </w:p>
        </w:tc>
        <w:tc>
          <w:tcPr>
            <w:tcW w:w="1439" w:type="pct"/>
          </w:tcPr>
          <w:p w14:paraId="76DF409A" w14:textId="77777777" w:rsidR="00C45ED4" w:rsidRPr="00CB2133" w:rsidRDefault="00C45ED4" w:rsidP="00C45ED4">
            <w:pPr>
              <w:spacing w:before="120" w:after="120" w:line="360" w:lineRule="auto"/>
              <w:rPr>
                <w:szCs w:val="24"/>
                <w:lang w:eastAsia="en-US"/>
              </w:rPr>
            </w:pPr>
            <w:r w:rsidRPr="00CB2133">
              <w:rPr>
                <w:szCs w:val="24"/>
                <w:lang w:eastAsia="en-US"/>
              </w:rPr>
              <w:t>Hea seisund</w:t>
            </w:r>
          </w:p>
        </w:tc>
        <w:tc>
          <w:tcPr>
            <w:tcW w:w="1287" w:type="pct"/>
          </w:tcPr>
          <w:p w14:paraId="6DBE4010" w14:textId="77777777" w:rsidR="00C45ED4" w:rsidRPr="00CB2133" w:rsidRDefault="00C45ED4" w:rsidP="00C45ED4">
            <w:pPr>
              <w:spacing w:before="120" w:after="120" w:line="360" w:lineRule="auto"/>
              <w:rPr>
                <w:szCs w:val="24"/>
                <w:lang w:eastAsia="en-US"/>
              </w:rPr>
            </w:pPr>
            <w:r w:rsidRPr="00CB2133">
              <w:rPr>
                <w:szCs w:val="24"/>
                <w:lang w:eastAsia="en-US"/>
              </w:rPr>
              <w:t>Keskmine seisund</w:t>
            </w:r>
          </w:p>
        </w:tc>
      </w:tr>
      <w:tr w:rsidR="00C45ED4" w:rsidRPr="00CB2133" w14:paraId="7CD410D6" w14:textId="77777777" w:rsidTr="00D30CC0">
        <w:tc>
          <w:tcPr>
            <w:tcW w:w="832" w:type="pct"/>
          </w:tcPr>
          <w:p w14:paraId="190AB1F6" w14:textId="77777777" w:rsidR="00C45ED4" w:rsidRPr="00CB2133" w:rsidRDefault="00C45ED4" w:rsidP="00C45ED4">
            <w:pPr>
              <w:spacing w:before="120" w:after="120" w:line="360" w:lineRule="auto"/>
              <w:rPr>
                <w:szCs w:val="24"/>
                <w:lang w:eastAsia="en-US"/>
              </w:rPr>
            </w:pPr>
            <w:r w:rsidRPr="00CB2133">
              <w:rPr>
                <w:szCs w:val="24"/>
                <w:lang w:eastAsia="en-US"/>
              </w:rPr>
              <w:t>Üldtingimused</w:t>
            </w:r>
          </w:p>
        </w:tc>
        <w:tc>
          <w:tcPr>
            <w:tcW w:w="1441" w:type="pct"/>
          </w:tcPr>
          <w:p w14:paraId="4A59E3C3" w14:textId="77777777" w:rsidR="00C45ED4" w:rsidRPr="00CB2133" w:rsidRDefault="00C45ED4" w:rsidP="00C45ED4">
            <w:pPr>
              <w:spacing w:before="120" w:after="120" w:line="360" w:lineRule="auto"/>
              <w:rPr>
                <w:szCs w:val="24"/>
                <w:lang w:eastAsia="en-US"/>
              </w:rPr>
            </w:pPr>
            <w:r w:rsidRPr="00CB2133">
              <w:rPr>
                <w:szCs w:val="24"/>
                <w:lang w:eastAsia="en-US"/>
              </w:rPr>
              <w:t>Üldiste füüsikalis-keemiliste elementide väärtused on täielikult või peaaegu täielikult samad, mis häirimata olekus. Toitainete kontsentratsioon jääb häirimata olekut iseloomustavasse tavapärasesse vahemikku. Temperatuuri, hapnikubilansi ja läbipaistvuse väärtustest ei ilmne inimtegevusest põhjustatud häiringuid ning need jäävad häirimata olekut iseloomustavasse tavapärasesse vahemikku.</w:t>
            </w:r>
          </w:p>
        </w:tc>
        <w:tc>
          <w:tcPr>
            <w:tcW w:w="1439" w:type="pct"/>
          </w:tcPr>
          <w:p w14:paraId="75838EEC" w14:textId="77777777" w:rsidR="00C45ED4" w:rsidRPr="00CB2133" w:rsidRDefault="00C45ED4" w:rsidP="00C45ED4">
            <w:pPr>
              <w:spacing w:before="120" w:after="120" w:line="360" w:lineRule="auto"/>
              <w:rPr>
                <w:szCs w:val="24"/>
                <w:lang w:eastAsia="en-US"/>
              </w:rPr>
            </w:pPr>
            <w:r w:rsidRPr="00CB2133">
              <w:rPr>
                <w:szCs w:val="24"/>
                <w:lang w:eastAsia="en-US"/>
              </w:rPr>
              <w:t>Temperatuuri, hapnikusisalduse ja läbipaistvuse väärtused püsivad kindlakstehtud vahemikus, mille piires on tagatud ökosüsteemi funktsioneerimine ning bioloogiliste kvaliteedielementide eespool kirjeldatud väärtuste saavutamine. Toitainete kontsentratsioon ei ületa kindlakstehtud taset, mille piires on tagatud ökosüsteemi funktsioneerimine ning bioloogiliste kvaliteedielementide eespool kirjeldatud väärtuste saavutamine.</w:t>
            </w:r>
          </w:p>
        </w:tc>
        <w:tc>
          <w:tcPr>
            <w:tcW w:w="1287" w:type="pct"/>
          </w:tcPr>
          <w:p w14:paraId="530EE0D4" w14:textId="77777777" w:rsidR="00C45ED4" w:rsidRPr="00CB2133" w:rsidRDefault="00C45ED4" w:rsidP="00C45ED4">
            <w:pPr>
              <w:spacing w:before="120" w:after="120" w:line="360" w:lineRule="auto"/>
              <w:rPr>
                <w:szCs w:val="24"/>
                <w:lang w:eastAsia="en-US"/>
              </w:rPr>
            </w:pPr>
            <w:r w:rsidRPr="00CB2133">
              <w:rPr>
                <w:szCs w:val="24"/>
                <w:lang w:eastAsia="en-US"/>
              </w:rPr>
              <w:t>Tingimused, mille puhul on bioloogiliste kvaliteedielementide eespool kirjeldatud väärtuste saavutamine võimalik.“</w:t>
            </w:r>
          </w:p>
        </w:tc>
      </w:tr>
    </w:tbl>
    <w:p w14:paraId="715254F4" w14:textId="38CBA9DC" w:rsidR="005208EA" w:rsidRPr="00CB2133" w:rsidRDefault="005208EA">
      <w:pPr>
        <w:widowControl/>
        <w:rPr>
          <w:szCs w:val="24"/>
          <w:lang w:eastAsia="en-US"/>
        </w:rPr>
      </w:pPr>
    </w:p>
    <w:p w14:paraId="6E96CA31" w14:textId="621C4365"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6)</w:t>
      </w:r>
      <w:r w:rsidRPr="00CB2133">
        <w:rPr>
          <w:szCs w:val="24"/>
          <w:lang w:eastAsia="en-US"/>
        </w:rPr>
        <w:tab/>
        <w:t>Punktis 1.2.5 esitatud tabelit muudetakse järgmiselt:</w:t>
      </w:r>
    </w:p>
    <w:p w14:paraId="29D79BBC"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konkreetseid sünteetilisi saasteaineid käsitlev viies rida jäetakse välja;</w:t>
      </w:r>
    </w:p>
    <w:p w14:paraId="4F7E3E5B"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konkreetseid mittesünteetilisi saasteaineid käsitlev kuues rida jäetakse välja;</w:t>
      </w:r>
    </w:p>
    <w:p w14:paraId="392B18B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c)</w:t>
      </w:r>
      <w:r w:rsidRPr="00CB2133">
        <w:rPr>
          <w:szCs w:val="24"/>
          <w:lang w:eastAsia="en-US"/>
        </w:rPr>
        <w:tab/>
        <w:t>tabeli märkust (1) sisaldav seitsmes rida jäetakse välja.</w:t>
      </w:r>
    </w:p>
    <w:p w14:paraId="455F7D98"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7)</w:t>
      </w:r>
      <w:r w:rsidRPr="00CB2133">
        <w:rPr>
          <w:szCs w:val="24"/>
          <w:lang w:eastAsia="en-US"/>
        </w:rPr>
        <w:tab/>
        <w:t>Punkt 1.2.6 jäetakse välja.</w:t>
      </w:r>
    </w:p>
    <w:p w14:paraId="7B61FFA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8)</w:t>
      </w:r>
      <w:r w:rsidRPr="00CB2133">
        <w:rPr>
          <w:szCs w:val="24"/>
          <w:lang w:eastAsia="en-US"/>
        </w:rPr>
        <w:tab/>
        <w:t>Punkti 1.3 lisatakse neljas ja viies lõik:</w:t>
      </w:r>
    </w:p>
    <w:p w14:paraId="79992518" w14:textId="77777777" w:rsidR="00C45ED4" w:rsidRPr="00CB2133" w:rsidRDefault="00C45ED4" w:rsidP="00C45ED4">
      <w:pPr>
        <w:spacing w:before="120" w:after="120" w:line="360" w:lineRule="auto"/>
        <w:ind w:left="850"/>
        <w:rPr>
          <w:szCs w:val="24"/>
          <w:lang w:eastAsia="en-US"/>
        </w:rPr>
      </w:pPr>
      <w:r w:rsidRPr="00CB2133">
        <w:rPr>
          <w:szCs w:val="24"/>
          <w:lang w:eastAsia="en-US"/>
        </w:rPr>
        <w:t>„Kui seirevõrgus kasutatakse kohapealsete proovivõtupunktide asemel Maa seiret ja kaugseiret või mõnda muud uuenduslikku meetodit, peab seirevõrgu kaart sisaldama teavet selliste seiremeetodite abil vaadeldud kvaliteedielementide ja veekogude või veekogurühmade kohta. Viidatakse CENi või ISO standarditele või muudele rahvusvahelistele või riiklikele standarditele, mida on kohaldatud selle tagamiseks, et saadud aja- ja ruumiandmed oleksid sama usaldusväärsed kui kohapealsetes proovivõtupunktides kasutatavate tavapäraste seiremeetoditega saadud andmed.</w:t>
      </w:r>
    </w:p>
    <w:p w14:paraId="40D566A7" w14:textId="77777777" w:rsidR="005208EA" w:rsidRPr="00CB2133" w:rsidRDefault="005208EA">
      <w:pPr>
        <w:widowControl/>
        <w:rPr>
          <w:szCs w:val="24"/>
          <w:lang w:eastAsia="en-US"/>
        </w:rPr>
      </w:pPr>
      <w:r w:rsidRPr="00CB2133">
        <w:rPr>
          <w:szCs w:val="24"/>
          <w:lang w:eastAsia="en-US"/>
        </w:rPr>
        <w:br w:type="page"/>
      </w:r>
    </w:p>
    <w:p w14:paraId="033106EE" w14:textId="7E91F79E" w:rsidR="00C45ED4" w:rsidRPr="00CB2133" w:rsidRDefault="00C45ED4" w:rsidP="00C45ED4">
      <w:pPr>
        <w:spacing w:before="120" w:after="120" w:line="360" w:lineRule="auto"/>
        <w:ind w:left="850"/>
        <w:rPr>
          <w:szCs w:val="24"/>
          <w:lang w:eastAsia="en-US"/>
        </w:rPr>
      </w:pPr>
      <w:r w:rsidRPr="00CB2133">
        <w:rPr>
          <w:szCs w:val="24"/>
          <w:lang w:eastAsia="en-US"/>
        </w:rPr>
        <w:lastRenderedPageBreak/>
        <w:t>Liikmesriigid võivad vajaduse korral – eelkõige sõeluuringute puhul – kasutada keemiliste saasteainete seireks passiivseid proovivõtumeetodeid, tingimusel, et selliste meetodite kasutamisel ei alahinnata keskkonnakvaliteedi standarditega hõlmatud saasteainete kontsentratsiooni ja need võimaldavad seega teha usaldusväärselt kindlaks olukorra, kus hea seisund jääb saavutamata, ning et sellise olukorra tuvastamisel viiakse alati läbi vee-, elustiku- või setteproovide keemiline analüüs vastavalt kohaldatavatele keskkonnakvaliteedi standarditele. Liikmesriigid võivad samadel tingimustel kasutada ka mõjupõhiseid proovivõtumeetodeid.“</w:t>
      </w:r>
    </w:p>
    <w:p w14:paraId="0AE379A8"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9)</w:t>
      </w:r>
      <w:r w:rsidRPr="00CB2133">
        <w:rPr>
          <w:szCs w:val="24"/>
          <w:lang w:eastAsia="en-US"/>
        </w:rPr>
        <w:tab/>
        <w:t>Punktis 1.3.1 asendatakse viimane lõik alapealkirjaga „Kvaliteedielementide valimine“ järgmisega:</w:t>
      </w:r>
    </w:p>
    <w:p w14:paraId="53BEE76B" w14:textId="77777777" w:rsidR="00C45ED4" w:rsidRPr="00CB2133" w:rsidRDefault="00C45ED4" w:rsidP="00C45ED4">
      <w:pPr>
        <w:spacing w:before="120" w:after="120" w:line="360" w:lineRule="auto"/>
        <w:ind w:left="850"/>
        <w:rPr>
          <w:szCs w:val="24"/>
          <w:lang w:eastAsia="en-US"/>
        </w:rPr>
      </w:pPr>
      <w:r w:rsidRPr="00CB2133">
        <w:rPr>
          <w:szCs w:val="24"/>
          <w:lang w:eastAsia="en-US"/>
        </w:rPr>
        <w:t>„Kvaliteedielementide valimine</w:t>
      </w:r>
    </w:p>
    <w:p w14:paraId="5DC0C5FB" w14:textId="77777777" w:rsidR="00C45ED4" w:rsidRPr="00CB2133" w:rsidRDefault="00C45ED4" w:rsidP="00C45ED4">
      <w:pPr>
        <w:spacing w:before="120" w:after="120" w:line="360" w:lineRule="auto"/>
        <w:ind w:left="850"/>
        <w:rPr>
          <w:szCs w:val="24"/>
          <w:lang w:eastAsia="en-US"/>
        </w:rPr>
      </w:pPr>
      <w:r w:rsidRPr="00CB2133">
        <w:rPr>
          <w:szCs w:val="24"/>
          <w:lang w:eastAsia="en-US"/>
        </w:rPr>
        <w:t>Kontrollseiret tehakse igas vaatluspunktis vesikonna majandamiskavaga hõlmatud ajavahemiku jooksul ühe aasta vältel. Kontrollseire hõlmab järgmist:</w:t>
      </w:r>
    </w:p>
    <w:p w14:paraId="4778221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kõiki bioloogilisi kvaliteedielemente iseloomustavad näitajad;</w:t>
      </w:r>
    </w:p>
    <w:p w14:paraId="255F7E81" w14:textId="77777777" w:rsidR="005208EA" w:rsidRPr="00CB2133" w:rsidRDefault="005208EA">
      <w:pPr>
        <w:widowControl/>
        <w:rPr>
          <w:szCs w:val="24"/>
          <w:lang w:eastAsia="en-US"/>
        </w:rPr>
      </w:pPr>
      <w:r w:rsidRPr="00CB2133">
        <w:rPr>
          <w:szCs w:val="24"/>
          <w:lang w:eastAsia="en-US"/>
        </w:rPr>
        <w:br w:type="page"/>
      </w:r>
    </w:p>
    <w:p w14:paraId="66C0F2D8" w14:textId="55CFF10E"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b)</w:t>
      </w:r>
      <w:r w:rsidRPr="00CB2133">
        <w:rPr>
          <w:szCs w:val="24"/>
          <w:lang w:eastAsia="en-US"/>
        </w:rPr>
        <w:tab/>
        <w:t>kõiki hüdromorfoloogilisi kvaliteedielemente iseloomustavad näitajad;</w:t>
      </w:r>
    </w:p>
    <w:p w14:paraId="1331398A"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c)</w:t>
      </w:r>
      <w:r w:rsidRPr="00CB2133">
        <w:rPr>
          <w:szCs w:val="24"/>
          <w:lang w:eastAsia="en-US"/>
        </w:rPr>
        <w:tab/>
        <w:t>kõiki üldisi füüsikalis-keemilisi kvaliteedielemente iseloomustavad näitajad;</w:t>
      </w:r>
    </w:p>
    <w:p w14:paraId="62791A47"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d)</w:t>
      </w:r>
      <w:r w:rsidRPr="00CB2133">
        <w:rPr>
          <w:szCs w:val="24"/>
          <w:lang w:eastAsia="en-US"/>
        </w:rPr>
        <w:tab/>
        <w:t>vesikonda või alamvesikonda juhitavad või muul viisil sinna sattuvad prioriteetsena loetletud saasteained;</w:t>
      </w:r>
    </w:p>
    <w:p w14:paraId="5AF20A0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e)</w:t>
      </w:r>
      <w:r w:rsidRPr="00CB2133">
        <w:rPr>
          <w:szCs w:val="24"/>
          <w:lang w:eastAsia="en-US"/>
        </w:rPr>
        <w:tab/>
        <w:t>märkimisväärses koguses vesikonda või alamvesikonda juhitavad või muul viisil sinna sattuvad muud saasteained.</w:t>
      </w:r>
    </w:p>
    <w:p w14:paraId="1276BE01" w14:textId="77777777" w:rsidR="00C45ED4" w:rsidRPr="00CB2133" w:rsidRDefault="00C45ED4" w:rsidP="00C45ED4">
      <w:pPr>
        <w:spacing w:before="120" w:after="120" w:line="360" w:lineRule="auto"/>
        <w:ind w:left="850"/>
        <w:rPr>
          <w:szCs w:val="24"/>
          <w:lang w:eastAsia="en-US"/>
        </w:rPr>
      </w:pPr>
      <w:r w:rsidRPr="00CB2133">
        <w:rPr>
          <w:szCs w:val="24"/>
          <w:lang w:eastAsia="en-US"/>
        </w:rPr>
        <w:t>Kui varasemast kontrollseirest nähtub, et asjaomane veekogu on saavutanud hea seisundi ja II lisas osutatud inimtegevuse mõju hindamise käigus ei ole leitud tõendeid veekogule avalduva mõju muutumise kohta, tehakse kontrollseiret üks kord kolme järjestikuse vesikonna majandamiskavaga hõlmatud ajavahemiku jooksul.“</w:t>
      </w:r>
    </w:p>
    <w:p w14:paraId="7063E694"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10)</w:t>
      </w:r>
      <w:r w:rsidRPr="00CB2133">
        <w:rPr>
          <w:szCs w:val="24"/>
          <w:lang w:eastAsia="en-US"/>
        </w:rPr>
        <w:tab/>
        <w:t>Punkti 1.3.2 muudetakse järgmiselt:</w:t>
      </w:r>
    </w:p>
    <w:p w14:paraId="4391C123"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kolmandas lõigus alapealkirjaga „Vaatluspunktide valimine“ asendatakse esimene lause järgmisega:</w:t>
      </w:r>
    </w:p>
    <w:p w14:paraId="12DB1B09" w14:textId="77777777" w:rsidR="005208EA" w:rsidRPr="00CB2133" w:rsidRDefault="005208EA">
      <w:pPr>
        <w:widowControl/>
        <w:rPr>
          <w:szCs w:val="24"/>
          <w:lang w:eastAsia="en-US"/>
        </w:rPr>
      </w:pPr>
      <w:r w:rsidRPr="00CB2133">
        <w:rPr>
          <w:szCs w:val="24"/>
          <w:lang w:eastAsia="en-US"/>
        </w:rPr>
        <w:br w:type="page"/>
      </w:r>
    </w:p>
    <w:p w14:paraId="49AB41D8" w14:textId="5B84DB3A" w:rsidR="00C45ED4" w:rsidRPr="00CB2133" w:rsidRDefault="00C45ED4" w:rsidP="00C45ED4">
      <w:pPr>
        <w:spacing w:before="120" w:after="120" w:line="360" w:lineRule="auto"/>
        <w:ind w:left="1416"/>
        <w:rPr>
          <w:szCs w:val="24"/>
          <w:lang w:eastAsia="en-US"/>
        </w:rPr>
      </w:pPr>
      <w:r w:rsidRPr="00CB2133">
        <w:rPr>
          <w:szCs w:val="24"/>
          <w:lang w:eastAsia="en-US"/>
        </w:rPr>
        <w:lastRenderedPageBreak/>
        <w:t>„Operatiivseiret tehakse kõikide selliste veekogude suhtes, mille puhul on II lisa kohaselt läbi viidud mõjuhindamise või kontrollseire põhjal kindlaks tehtud, et artikli 4 kohased keskkonnaalased eesmärgid võivad jääda saavutamata, ning selliste veekogude suhtes, kuhu juhitakse või kuhu muul viisil satub prioriteetsena loetletud aineid või kuhu juhitakse või kuhu muul viisil satub märkimisväärses koguses vesikonnaspetsiifilisi saasteaineid.“;</w:t>
      </w:r>
    </w:p>
    <w:p w14:paraId="4A09C50C"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neljandas lõigus alapealkirjaga „Kvaliteedielementide valimine“ asendatakse teine taane järgmisega:</w:t>
      </w:r>
    </w:p>
    <w:p w14:paraId="73D9456F" w14:textId="77777777" w:rsidR="00C45ED4" w:rsidRPr="00CB2133" w:rsidRDefault="00C45ED4" w:rsidP="00C45ED4">
      <w:pPr>
        <w:spacing w:before="120" w:after="120" w:line="360" w:lineRule="auto"/>
        <w:ind w:left="1416"/>
        <w:rPr>
          <w:szCs w:val="24"/>
          <w:lang w:eastAsia="en-US"/>
        </w:rPr>
      </w:pPr>
      <w:r w:rsidRPr="00CB2133">
        <w:rPr>
          <w:szCs w:val="24"/>
          <w:lang w:eastAsia="en-US"/>
        </w:rPr>
        <w:t>„– kõiki veekogusse juhitavaid või muul viisil sinna sattuvaid prioriteetseid aineid ja kõiki märkimisväärses koguses veekogusse juhitavaid või muul viisil sinna sattuvaid vesikonnaspetsiifilisi saasteaineid,.“</w:t>
      </w:r>
    </w:p>
    <w:p w14:paraId="3DF41E2D" w14:textId="77777777" w:rsidR="005208EA" w:rsidRPr="00CB2133" w:rsidRDefault="005208EA">
      <w:pPr>
        <w:widowControl/>
        <w:rPr>
          <w:b/>
          <w:i/>
          <w:szCs w:val="24"/>
          <w:lang w:eastAsia="en-US"/>
        </w:rPr>
      </w:pPr>
      <w:r w:rsidRPr="00CB2133">
        <w:rPr>
          <w:b/>
          <w:i/>
          <w:szCs w:val="24"/>
          <w:lang w:eastAsia="en-US"/>
        </w:rPr>
        <w:br w:type="page"/>
      </w:r>
    </w:p>
    <w:p w14:paraId="714998A0" w14:textId="7AA8EF60" w:rsidR="00C45ED4" w:rsidRPr="00CB2133" w:rsidRDefault="00C45ED4" w:rsidP="00C45ED4">
      <w:pPr>
        <w:spacing w:before="120" w:after="120" w:line="360" w:lineRule="auto"/>
        <w:ind w:left="850" w:hanging="850"/>
        <w:rPr>
          <w:szCs w:val="24"/>
          <w:lang w:eastAsia="en-US"/>
        </w:rPr>
      </w:pPr>
      <w:r w:rsidRPr="00CB2133">
        <w:rPr>
          <w:b/>
          <w:i/>
          <w:szCs w:val="24"/>
          <w:lang w:eastAsia="en-US"/>
        </w:rPr>
        <w:lastRenderedPageBreak/>
        <w:t>10a)</w:t>
      </w:r>
      <w:r w:rsidRPr="00CB2133">
        <w:rPr>
          <w:szCs w:val="24"/>
          <w:lang w:eastAsia="en-US"/>
        </w:rPr>
        <w:tab/>
      </w:r>
      <w:r w:rsidRPr="00CB2133">
        <w:rPr>
          <w:b/>
          <w:i/>
          <w:szCs w:val="24"/>
          <w:lang w:eastAsia="en-US"/>
        </w:rPr>
        <w:t>Punkti 1.3.4 neljandat lõiku muudetakse järgmiselt:</w:t>
      </w:r>
    </w:p>
    <w:p w14:paraId="2F712225" w14:textId="3271CB93" w:rsidR="00C45ED4" w:rsidRPr="00CB2133" w:rsidRDefault="00C45ED4" w:rsidP="00C45ED4">
      <w:pPr>
        <w:spacing w:before="120" w:after="120" w:line="360" w:lineRule="auto"/>
        <w:ind w:left="850"/>
        <w:rPr>
          <w:b/>
          <w:szCs w:val="24"/>
          <w:lang w:eastAsia="en-US"/>
        </w:rPr>
      </w:pPr>
      <w:r w:rsidRPr="00CB2133">
        <w:rPr>
          <w:szCs w:val="24"/>
          <w:lang w:eastAsia="en-US"/>
        </w:rPr>
        <w:t>„</w:t>
      </w:r>
      <w:r w:rsidRPr="00CB2133">
        <w:rPr>
          <w:b/>
          <w:i/>
          <w:szCs w:val="24"/>
          <w:lang w:eastAsia="en-US"/>
        </w:rPr>
        <w:t>Valitakse selline seiresagedus, mille puhul võetakse arvesse nii looduslikest kui inimtekkelistest põhjustest tulenevat parameetrite kõikuvust, ja vajaduse korral seda sagedust suurendatakse. Seire toimumise aeg valitakse peale selle nii, et saaks võtta arvesse aine kasutamise hooajaliste kõikumiste ja veetaseme muutuse mõju seisundi hindamisele ning tagada, et tulemused kajastavad veekogus inimtegevusest lähtuva koormuse ja ilmastikutingimustest põhjustatud muutusi. Prioriteetsete ainete puhul, mis on tundlikud kliimamuutuste suhtes, ja prioriteetsete ainete puhul, mille kontsentratsioon jõuab aine kasutamise hooajaliste kõikumiste tõttu lühikese aja jooksul tõenäoliselt tippu, tehakse seiret sagedamini kui muude ainete puhul.</w:t>
      </w:r>
      <w:r w:rsidRPr="00CB2133">
        <w:rPr>
          <w:szCs w:val="24"/>
          <w:lang w:eastAsia="en-US"/>
        </w:rPr>
        <w:t>“</w:t>
      </w:r>
      <w:r w:rsidR="0097022D" w:rsidRPr="00CB2133">
        <w:rPr>
          <w:b/>
          <w:szCs w:val="24"/>
          <w:lang w:eastAsia="en-US"/>
        </w:rPr>
        <w:t xml:space="preserve"> [ME 139]</w:t>
      </w:r>
    </w:p>
    <w:p w14:paraId="2237AE33"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11)</w:t>
      </w:r>
      <w:r w:rsidRPr="00CB2133">
        <w:rPr>
          <w:szCs w:val="24"/>
          <w:lang w:eastAsia="en-US"/>
        </w:rPr>
        <w:tab/>
        <w:t>Punktis 1.3.4 esitatud tabeli alajaotises „Füüsikalis-keemilised“ asendatakse kuuendas reas sõnad „Muud saasteained“ sõnadega „Vesikonnaspetsiifilised saasteained“.</w:t>
      </w:r>
    </w:p>
    <w:p w14:paraId="4E251EED" w14:textId="77777777" w:rsidR="00956089" w:rsidRPr="00CB2133" w:rsidRDefault="00956089">
      <w:pPr>
        <w:widowControl/>
        <w:rPr>
          <w:szCs w:val="24"/>
          <w:lang w:eastAsia="en-US"/>
        </w:rPr>
      </w:pPr>
      <w:r w:rsidRPr="00CB2133">
        <w:rPr>
          <w:szCs w:val="24"/>
          <w:lang w:eastAsia="en-US"/>
        </w:rPr>
        <w:br w:type="page"/>
      </w:r>
    </w:p>
    <w:p w14:paraId="4D229C50" w14:textId="2E53565E"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12)</w:t>
      </w:r>
      <w:r w:rsidRPr="00CB2133">
        <w:rPr>
          <w:szCs w:val="24"/>
          <w:lang w:eastAsia="en-US"/>
        </w:rPr>
        <w:tab/>
        <w:t>Punkti 1.4.1 muudetakse järgmiselt:</w:t>
      </w:r>
    </w:p>
    <w:p w14:paraId="43D39555"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alapunkti vii teine lause jäetakse välja;</w:t>
      </w:r>
    </w:p>
    <w:p w14:paraId="2714C9C7"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alapunkt viii jäetakse välja;</w:t>
      </w:r>
    </w:p>
    <w:p w14:paraId="638DA05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c)</w:t>
      </w:r>
      <w:r w:rsidRPr="00CB2133">
        <w:rPr>
          <w:szCs w:val="24"/>
          <w:lang w:eastAsia="en-US"/>
        </w:rPr>
        <w:tab/>
        <w:t>alapunkt ix asendatakse järgmisega:</w:t>
      </w:r>
    </w:p>
    <w:p w14:paraId="4B4D53FE"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„ix)</w:t>
      </w:r>
      <w:r w:rsidRPr="00CB2133">
        <w:rPr>
          <w:szCs w:val="24"/>
          <w:lang w:eastAsia="en-US"/>
        </w:rPr>
        <w:tab/>
        <w:t>Alapunktide i–viii kohased interkalibreerimise tulemused ja liikmesriikide seiresüsteemides kasutatava liigituse jaoks kindlaks määratud väärtused avaldatakse kuue kuu jooksul alates artikli 20 kohase delegeeritud õigusakti vastuvõtmisest.“</w:t>
      </w:r>
    </w:p>
    <w:p w14:paraId="709C130F"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13)</w:t>
      </w:r>
      <w:r w:rsidRPr="00CB2133">
        <w:rPr>
          <w:szCs w:val="24"/>
          <w:lang w:eastAsia="en-US"/>
        </w:rPr>
        <w:tab/>
        <w:t>Punkti 1.4.2 alapunkt iii jäetakse välja.</w:t>
      </w:r>
    </w:p>
    <w:p w14:paraId="2E9413D9"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14)</w:t>
      </w:r>
      <w:r w:rsidRPr="00CB2133">
        <w:rPr>
          <w:szCs w:val="24"/>
          <w:lang w:eastAsia="en-US"/>
        </w:rPr>
        <w:tab/>
        <w:t>Punkti 1.4.3 esimese lõigu esimene lause asendatakse järgmisega:</w:t>
      </w:r>
    </w:p>
    <w:p w14:paraId="01CA26CE" w14:textId="77777777" w:rsidR="00C45ED4" w:rsidRPr="00CB2133" w:rsidRDefault="00C45ED4" w:rsidP="00C45ED4">
      <w:pPr>
        <w:spacing w:before="120" w:after="120" w:line="360" w:lineRule="auto"/>
        <w:ind w:left="850"/>
        <w:rPr>
          <w:szCs w:val="24"/>
          <w:lang w:eastAsia="en-US"/>
        </w:rPr>
      </w:pPr>
      <w:r w:rsidRPr="00CB2133">
        <w:rPr>
          <w:szCs w:val="24"/>
          <w:lang w:eastAsia="en-US"/>
        </w:rPr>
        <w:t>„Kui veekogu vastab kõikidele direktiivi 2008/105/EÜ I lisa A osas sätestatud keskkonnakvaliteedi standarditele ning nimetatud direktiivi artiklite 8 ja 8d kohaselt kehtestatud keskkonnakvaliteedi standarditele, registreeritakse see heas keemilises seisundis olevana.“</w:t>
      </w:r>
    </w:p>
    <w:p w14:paraId="4F734D7F" w14:textId="77777777" w:rsidR="00956089" w:rsidRPr="00CB2133" w:rsidRDefault="00956089">
      <w:pPr>
        <w:widowControl/>
        <w:rPr>
          <w:szCs w:val="24"/>
          <w:lang w:eastAsia="en-US"/>
        </w:rPr>
      </w:pPr>
      <w:r w:rsidRPr="00CB2133">
        <w:rPr>
          <w:szCs w:val="24"/>
          <w:lang w:eastAsia="en-US"/>
        </w:rPr>
        <w:br w:type="page"/>
      </w:r>
    </w:p>
    <w:p w14:paraId="433F5E70" w14:textId="01204E95"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15)</w:t>
      </w:r>
      <w:r w:rsidRPr="00CB2133">
        <w:rPr>
          <w:szCs w:val="24"/>
          <w:lang w:eastAsia="en-US"/>
        </w:rPr>
        <w:tab/>
        <w:t>Punkti 2.2.1 lisatakse järgmine lõik:</w:t>
      </w:r>
    </w:p>
    <w:p w14:paraId="7116D1F8" w14:textId="77777777" w:rsidR="00C45ED4" w:rsidRPr="00CB2133" w:rsidRDefault="00C45ED4" w:rsidP="00C45ED4">
      <w:pPr>
        <w:spacing w:before="120" w:after="120" w:line="360" w:lineRule="auto"/>
        <w:ind w:left="850"/>
        <w:rPr>
          <w:szCs w:val="24"/>
          <w:lang w:eastAsia="en-US"/>
        </w:rPr>
      </w:pPr>
      <w:r w:rsidRPr="00CB2133">
        <w:rPr>
          <w:szCs w:val="24"/>
          <w:lang w:eastAsia="en-US"/>
        </w:rPr>
        <w:t>„Kui seirevõrgus kasutatakse kohapealsete proovivõtupunktide asemel Maa seire meetodeid või kaugseiret või mõnda muud uuenduslikku meetodit, viidatakse CENi või ISO standarditele või muudele rahvusvahelistele või riiklikele standarditele, mida on kohaldatud selle tagamiseks, et saadud aja- ja ruumiandmed oleksid sama usaldusväärsed kui kohapealsetes proovivõtupunktides kasutatavate tavapäraste seiremeetoditega saadud andmed.“</w:t>
      </w:r>
    </w:p>
    <w:p w14:paraId="2406978C" w14:textId="77777777" w:rsidR="00956089" w:rsidRPr="00CB2133" w:rsidRDefault="00956089">
      <w:pPr>
        <w:widowControl/>
        <w:rPr>
          <w:szCs w:val="24"/>
          <w:lang w:eastAsia="en-US"/>
        </w:rPr>
      </w:pPr>
      <w:r w:rsidRPr="00CB2133">
        <w:rPr>
          <w:szCs w:val="24"/>
          <w:lang w:eastAsia="en-US"/>
        </w:rPr>
        <w:br w:type="page"/>
      </w:r>
    </w:p>
    <w:p w14:paraId="1381FB6D" w14:textId="1570D0CA"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16)</w:t>
      </w:r>
      <w:r w:rsidRPr="00CB2133">
        <w:rPr>
          <w:szCs w:val="24"/>
          <w:lang w:eastAsia="en-US"/>
        </w:rPr>
        <w:tab/>
        <w:t>Punkt 2.3.2 asendatakse järgmisega:</w:t>
      </w:r>
    </w:p>
    <w:p w14:paraId="7C974076"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„2.3.2.</w:t>
      </w:r>
      <w:r w:rsidRPr="00CB2133">
        <w:rPr>
          <w:szCs w:val="24"/>
          <w:lang w:eastAsia="en-US"/>
        </w:rPr>
        <w:tab/>
        <w:t>„Põhjavee hea keemilise seisundi määratlus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7"/>
        <w:gridCol w:w="7241"/>
      </w:tblGrid>
      <w:tr w:rsidR="00C45ED4" w:rsidRPr="00CB2133" w14:paraId="7602026B" w14:textId="77777777" w:rsidTr="000238DA">
        <w:trPr>
          <w:tblHeader/>
        </w:trPr>
        <w:tc>
          <w:tcPr>
            <w:tcW w:w="0" w:type="auto"/>
          </w:tcPr>
          <w:p w14:paraId="5190F417" w14:textId="77777777" w:rsidR="00C45ED4" w:rsidRPr="00CB2133" w:rsidRDefault="00C45ED4" w:rsidP="00C45ED4">
            <w:pPr>
              <w:spacing w:before="120" w:after="120" w:line="360" w:lineRule="auto"/>
              <w:rPr>
                <w:szCs w:val="24"/>
                <w:lang w:eastAsia="en-US"/>
              </w:rPr>
            </w:pPr>
            <w:r w:rsidRPr="00CB2133">
              <w:rPr>
                <w:szCs w:val="24"/>
                <w:lang w:eastAsia="en-US"/>
              </w:rPr>
              <w:t>Elemendid</w:t>
            </w:r>
          </w:p>
        </w:tc>
        <w:tc>
          <w:tcPr>
            <w:tcW w:w="0" w:type="auto"/>
          </w:tcPr>
          <w:p w14:paraId="40F0EEB2" w14:textId="77777777" w:rsidR="00C45ED4" w:rsidRPr="00CB2133" w:rsidRDefault="00C45ED4" w:rsidP="00C45ED4">
            <w:pPr>
              <w:spacing w:before="120" w:after="120" w:line="360" w:lineRule="auto"/>
              <w:rPr>
                <w:szCs w:val="24"/>
                <w:lang w:eastAsia="en-US"/>
              </w:rPr>
            </w:pPr>
            <w:r w:rsidRPr="00CB2133">
              <w:rPr>
                <w:szCs w:val="24"/>
                <w:lang w:eastAsia="en-US"/>
              </w:rPr>
              <w:t>Hea seisund</w:t>
            </w:r>
          </w:p>
        </w:tc>
      </w:tr>
      <w:tr w:rsidR="00C45ED4" w:rsidRPr="00CB2133" w14:paraId="605E9202" w14:textId="77777777" w:rsidTr="000238DA">
        <w:tc>
          <w:tcPr>
            <w:tcW w:w="0" w:type="auto"/>
          </w:tcPr>
          <w:p w14:paraId="4623C851" w14:textId="77777777" w:rsidR="00C45ED4" w:rsidRPr="00CB2133" w:rsidRDefault="00C45ED4" w:rsidP="00C45ED4">
            <w:pPr>
              <w:spacing w:before="120" w:after="120" w:line="360" w:lineRule="auto"/>
              <w:rPr>
                <w:szCs w:val="24"/>
                <w:lang w:eastAsia="en-US"/>
              </w:rPr>
            </w:pPr>
            <w:r w:rsidRPr="00CB2133">
              <w:rPr>
                <w:szCs w:val="24"/>
                <w:lang w:eastAsia="en-US"/>
              </w:rPr>
              <w:t>Üldtingimused</w:t>
            </w:r>
          </w:p>
        </w:tc>
        <w:tc>
          <w:tcPr>
            <w:tcW w:w="0" w:type="auto"/>
          </w:tcPr>
          <w:p w14:paraId="65C8B898" w14:textId="77777777" w:rsidR="00C45ED4" w:rsidRPr="00CB2133" w:rsidRDefault="00C45ED4" w:rsidP="00C45ED4">
            <w:pPr>
              <w:spacing w:before="120" w:after="120" w:line="360" w:lineRule="auto"/>
              <w:rPr>
                <w:szCs w:val="24"/>
                <w:lang w:eastAsia="en-US"/>
              </w:rPr>
            </w:pPr>
            <w:r w:rsidRPr="00CB2133">
              <w:rPr>
                <w:szCs w:val="24"/>
                <w:lang w:eastAsia="en-US"/>
              </w:rPr>
              <w:t>Põhjaveekogumi keemiline seisund on selline, et saasteainete kontsentratsioon: – ei viita soolase vee või muu aine sissetungi mõjule, nagu on kirjeldatud allpool; – ei ületa direktiivi 2006/118/EÜ I lisas osutatud põhjavee kvaliteedi standarditele vastavat taset, nimetatud direktiivi artikli 3 lõike 1 punkti b kohaselt põhjavee saasteainete ja reostuse näitajate jaoks kehtestatud läviväärtusi ega kõnealuse direktiivi artikli 8 lõike 3 kohaselt kehtestatud kogu liidus kohaldatavaid läviväärtusi; – ei takista saavutamast põhjaveekogumiga seotud pinnaveekogude suhtes artikli 4 alusel kehtestatud keskkonnaalaseid eesmärke ega põhjusta selliste veekogude ökoloogilise või keemilise seisundi märkimisväärset halvenemist ega märkimisväärset kahju põhjaveekogumist otseselt sõltuvatele maismaaökosüsteemidele.</w:t>
            </w:r>
          </w:p>
        </w:tc>
      </w:tr>
      <w:tr w:rsidR="00C45ED4" w:rsidRPr="00CB2133" w14:paraId="4C3AA46A" w14:textId="77777777" w:rsidTr="000238DA">
        <w:tc>
          <w:tcPr>
            <w:tcW w:w="0" w:type="auto"/>
          </w:tcPr>
          <w:p w14:paraId="27143B0F" w14:textId="77777777" w:rsidR="00C45ED4" w:rsidRPr="00CB2133" w:rsidRDefault="00C45ED4" w:rsidP="00C45ED4">
            <w:pPr>
              <w:spacing w:before="120" w:after="120" w:line="360" w:lineRule="auto"/>
              <w:rPr>
                <w:szCs w:val="24"/>
                <w:lang w:eastAsia="en-US"/>
              </w:rPr>
            </w:pPr>
            <w:r w:rsidRPr="00CB2133">
              <w:rPr>
                <w:szCs w:val="24"/>
                <w:lang w:eastAsia="en-US"/>
              </w:rPr>
              <w:t>Elektrijuhtivus</w:t>
            </w:r>
          </w:p>
        </w:tc>
        <w:tc>
          <w:tcPr>
            <w:tcW w:w="0" w:type="auto"/>
          </w:tcPr>
          <w:p w14:paraId="4E2A6A3E" w14:textId="77777777" w:rsidR="00C45ED4" w:rsidRPr="00CB2133" w:rsidRDefault="00C45ED4" w:rsidP="00C45ED4">
            <w:pPr>
              <w:spacing w:before="120" w:after="120" w:line="360" w:lineRule="auto"/>
              <w:rPr>
                <w:szCs w:val="24"/>
                <w:lang w:eastAsia="en-US"/>
              </w:rPr>
            </w:pPr>
            <w:r w:rsidRPr="00CB2133">
              <w:rPr>
                <w:szCs w:val="24"/>
                <w:lang w:eastAsia="en-US"/>
              </w:rPr>
              <w:t>Elektrijuhtivuse muutused ei viita soolase vee ega muu aine sissetungile põhjaveekogumisse.“</w:t>
            </w:r>
          </w:p>
        </w:tc>
      </w:tr>
    </w:tbl>
    <w:p w14:paraId="480D802E" w14:textId="77777777" w:rsidR="00956089" w:rsidRPr="00CB2133" w:rsidRDefault="00956089" w:rsidP="00C45ED4">
      <w:pPr>
        <w:spacing w:before="120" w:after="120" w:line="360" w:lineRule="auto"/>
        <w:ind w:left="850" w:hanging="850"/>
        <w:rPr>
          <w:szCs w:val="24"/>
          <w:lang w:eastAsia="en-US"/>
        </w:rPr>
      </w:pPr>
    </w:p>
    <w:p w14:paraId="675F72A1" w14:textId="77777777" w:rsidR="00956089" w:rsidRPr="00CB2133" w:rsidRDefault="00956089">
      <w:pPr>
        <w:widowControl/>
        <w:rPr>
          <w:szCs w:val="24"/>
          <w:lang w:eastAsia="en-US"/>
        </w:rPr>
      </w:pPr>
      <w:r w:rsidRPr="00CB2133">
        <w:rPr>
          <w:szCs w:val="24"/>
          <w:lang w:eastAsia="en-US"/>
        </w:rPr>
        <w:br w:type="page"/>
      </w:r>
    </w:p>
    <w:p w14:paraId="00C252D3" w14:textId="48FB2FA4"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17)</w:t>
      </w:r>
      <w:r w:rsidRPr="00CB2133">
        <w:rPr>
          <w:szCs w:val="24"/>
          <w:lang w:eastAsia="en-US"/>
        </w:rPr>
        <w:tab/>
        <w:t>Punkti 2.4.1 lisatakse järgmine lõik:</w:t>
      </w:r>
    </w:p>
    <w:p w14:paraId="39F013BD" w14:textId="77777777" w:rsidR="00C45ED4" w:rsidRPr="00CB2133" w:rsidRDefault="00C45ED4" w:rsidP="00C45ED4">
      <w:pPr>
        <w:spacing w:before="120" w:after="120" w:line="360" w:lineRule="auto"/>
        <w:ind w:left="850"/>
        <w:rPr>
          <w:szCs w:val="24"/>
          <w:lang w:eastAsia="en-US"/>
        </w:rPr>
      </w:pPr>
      <w:r w:rsidRPr="00CB2133">
        <w:rPr>
          <w:szCs w:val="24"/>
          <w:lang w:eastAsia="en-US"/>
        </w:rPr>
        <w:t>„Kui seirevõrgus kasutatakse kohapealsete proovivõtupunktide asemel Maa seiret või kaugseiret või mõnda muud uuenduslikku meetodit, viidatakse CENi või ISO standarditele või muudele rahvusvahelistele või riiklikele standarditele, mida on kohaldatud selle tagamiseks, et saadud aja- ja ruumiandmed oleksid sama usaldusväärsed kui kohapealsetes proovivõtupunktides kasutatavate tavapäraste seiremeetoditega saadud andmed.“</w:t>
      </w:r>
    </w:p>
    <w:p w14:paraId="4A31FE25"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18)</w:t>
      </w:r>
      <w:r w:rsidRPr="00CB2133">
        <w:rPr>
          <w:szCs w:val="24"/>
          <w:lang w:eastAsia="en-US"/>
        </w:rPr>
        <w:tab/>
        <w:t>Punkt 2.4.5 asendatakse järgmisega:</w:t>
      </w:r>
    </w:p>
    <w:p w14:paraId="7AEFB77E"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„2.4.5.</w:t>
      </w:r>
      <w:r w:rsidRPr="00CB2133">
        <w:rPr>
          <w:szCs w:val="24"/>
          <w:lang w:eastAsia="en-US"/>
        </w:rPr>
        <w:tab/>
        <w:t>Põhjavee keemilise seisundi tõlgendamine ja kirjeldamine</w:t>
      </w:r>
    </w:p>
    <w:p w14:paraId="595F45BF" w14:textId="77777777" w:rsidR="00C45ED4" w:rsidRPr="00CB2133" w:rsidRDefault="00C45ED4" w:rsidP="00C45ED4">
      <w:pPr>
        <w:spacing w:before="120" w:after="120" w:line="360" w:lineRule="auto"/>
        <w:ind w:left="1416"/>
        <w:rPr>
          <w:szCs w:val="24"/>
          <w:lang w:eastAsia="en-US"/>
        </w:rPr>
      </w:pPr>
      <w:r w:rsidRPr="00CB2133">
        <w:rPr>
          <w:szCs w:val="24"/>
          <w:lang w:eastAsia="en-US"/>
        </w:rPr>
        <w:t>Põhjavee keemilise seisundi hindamisel koondatakse kõikide eraldi vaatluspunktide andmed kokku, et saada tulemused põhjaveekogumi kui terviku kohta. Arvutatakse kõikide põhjaveekogumis või põhjaveekogumite rühmas asuvate vaatluspunktide seireandmete keskmine väärtus järgmiste näitajate puhul:</w:t>
      </w:r>
    </w:p>
    <w:p w14:paraId="25D84401" w14:textId="77777777" w:rsidR="00956089" w:rsidRPr="00CB2133" w:rsidRDefault="00956089">
      <w:pPr>
        <w:widowControl/>
        <w:rPr>
          <w:szCs w:val="24"/>
          <w:lang w:eastAsia="en-US"/>
        </w:rPr>
      </w:pPr>
      <w:r w:rsidRPr="00CB2133">
        <w:rPr>
          <w:szCs w:val="24"/>
          <w:lang w:eastAsia="en-US"/>
        </w:rPr>
        <w:br w:type="page"/>
      </w:r>
    </w:p>
    <w:p w14:paraId="37039CA9" w14:textId="53BD7257" w:rsidR="00C45ED4" w:rsidRPr="00CB2133" w:rsidRDefault="00C45ED4" w:rsidP="00C45ED4">
      <w:pPr>
        <w:spacing w:before="120" w:after="120" w:line="360" w:lineRule="auto"/>
        <w:ind w:left="1982" w:hanging="566"/>
        <w:rPr>
          <w:szCs w:val="24"/>
          <w:lang w:eastAsia="en-US"/>
        </w:rPr>
      </w:pPr>
      <w:r w:rsidRPr="00CB2133">
        <w:rPr>
          <w:szCs w:val="24"/>
          <w:lang w:eastAsia="en-US"/>
        </w:rPr>
        <w:lastRenderedPageBreak/>
        <w:t>a)</w:t>
      </w:r>
      <w:r w:rsidRPr="00CB2133">
        <w:rPr>
          <w:szCs w:val="24"/>
          <w:lang w:eastAsia="en-US"/>
        </w:rPr>
        <w:tab/>
        <w:t>keemilised näitajad, mille jaoks on direktiivi 2006/118/EÜ I lisas sätestatud kvaliteedistandardid;</w:t>
      </w:r>
    </w:p>
    <w:p w14:paraId="209DC4EE"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b)</w:t>
      </w:r>
      <w:r w:rsidRPr="00CB2133">
        <w:rPr>
          <w:szCs w:val="24"/>
          <w:lang w:eastAsia="en-US"/>
        </w:rPr>
        <w:tab/>
        <w:t>keemilised näitajad, mille jaoks on sätestatud riiklikud läviväärtused kooskõlas direktiivi 2006/118/EÜ artikli 3 lõike 1 punktiga b;</w:t>
      </w:r>
    </w:p>
    <w:p w14:paraId="5F98A784" w14:textId="77777777" w:rsidR="00C45ED4" w:rsidRPr="00CB2133" w:rsidRDefault="00C45ED4" w:rsidP="00C45ED4">
      <w:pPr>
        <w:spacing w:before="120" w:after="120" w:line="360" w:lineRule="auto"/>
        <w:ind w:left="1982" w:hanging="566"/>
        <w:rPr>
          <w:szCs w:val="24"/>
          <w:lang w:eastAsia="en-US"/>
        </w:rPr>
      </w:pPr>
      <w:r w:rsidRPr="00CB2133">
        <w:rPr>
          <w:szCs w:val="24"/>
          <w:lang w:eastAsia="en-US"/>
        </w:rPr>
        <w:t>c)</w:t>
      </w:r>
      <w:r w:rsidRPr="00CB2133">
        <w:rPr>
          <w:szCs w:val="24"/>
          <w:lang w:eastAsia="en-US"/>
        </w:rPr>
        <w:tab/>
        <w:t>keemilised näitajad, mille jaoks on sätestatud kogu liidus kohaldatavad läviväärtused kooskõlas direktiivi 2006/118/EÜ artikli 8 lõikega 3.</w:t>
      </w:r>
    </w:p>
    <w:p w14:paraId="7E5F509C" w14:textId="77777777" w:rsidR="00C45ED4" w:rsidRPr="00CB2133" w:rsidRDefault="00C45ED4" w:rsidP="00C45ED4">
      <w:pPr>
        <w:spacing w:before="120" w:after="120" w:line="360" w:lineRule="auto"/>
        <w:ind w:left="1416"/>
        <w:rPr>
          <w:szCs w:val="24"/>
          <w:lang w:eastAsia="en-US"/>
        </w:rPr>
      </w:pPr>
      <w:r w:rsidRPr="00CB2133">
        <w:rPr>
          <w:szCs w:val="24"/>
          <w:lang w:eastAsia="en-US"/>
        </w:rPr>
        <w:t>Esimeses lõigus osutatud keskmisi väärtusi kasutatakse selleks, et tõendada vastavust samas lõigus osutatud kvaliteedistandardite ja läviväärtuste alusel määratletud heale põhjavee keemilisele seisundile.</w:t>
      </w:r>
    </w:p>
    <w:p w14:paraId="29A472D3" w14:textId="77777777" w:rsidR="00C45ED4" w:rsidRPr="00CB2133" w:rsidRDefault="00C45ED4" w:rsidP="00C45ED4">
      <w:pPr>
        <w:spacing w:before="120" w:after="120" w:line="360" w:lineRule="auto"/>
        <w:ind w:left="1416"/>
        <w:rPr>
          <w:szCs w:val="24"/>
          <w:lang w:eastAsia="en-US"/>
        </w:rPr>
      </w:pPr>
      <w:r w:rsidRPr="00CB2133">
        <w:rPr>
          <w:szCs w:val="24"/>
          <w:lang w:eastAsia="en-US"/>
        </w:rPr>
        <w:t>Kui liikmesriigid ei ole punkti 2.5 alusel otsustanud teisiti, esitavad nad põhjavee keemilise seisundi kaardi, millel on kasutatud järgmisi tunnusvärve:</w:t>
      </w:r>
    </w:p>
    <w:p w14:paraId="24D5CFC3" w14:textId="77777777" w:rsidR="00C45ED4" w:rsidRPr="00CB2133" w:rsidRDefault="00C45ED4" w:rsidP="00C45ED4">
      <w:pPr>
        <w:spacing w:before="120" w:after="120" w:line="360" w:lineRule="auto"/>
        <w:ind w:left="1416"/>
        <w:rPr>
          <w:szCs w:val="24"/>
          <w:lang w:eastAsia="en-US"/>
        </w:rPr>
      </w:pPr>
      <w:r w:rsidRPr="00CB2133">
        <w:rPr>
          <w:szCs w:val="24"/>
          <w:lang w:eastAsia="en-US"/>
        </w:rPr>
        <w:t>hea: roheline;</w:t>
      </w:r>
    </w:p>
    <w:p w14:paraId="39902DC7" w14:textId="77777777" w:rsidR="00C45ED4" w:rsidRPr="00CB2133" w:rsidRDefault="00C45ED4" w:rsidP="00C45ED4">
      <w:pPr>
        <w:spacing w:before="120" w:after="120" w:line="360" w:lineRule="auto"/>
        <w:ind w:left="1416"/>
        <w:rPr>
          <w:szCs w:val="24"/>
          <w:lang w:eastAsia="en-US"/>
        </w:rPr>
      </w:pPr>
      <w:r w:rsidRPr="00CB2133">
        <w:rPr>
          <w:szCs w:val="24"/>
          <w:lang w:eastAsia="en-US"/>
        </w:rPr>
        <w:t>mitterahuldav: punane.</w:t>
      </w:r>
    </w:p>
    <w:p w14:paraId="793C6728" w14:textId="77777777" w:rsidR="00956089" w:rsidRPr="00CB2133" w:rsidRDefault="00956089">
      <w:pPr>
        <w:widowControl/>
        <w:rPr>
          <w:szCs w:val="24"/>
          <w:lang w:eastAsia="en-US"/>
        </w:rPr>
      </w:pPr>
      <w:r w:rsidRPr="00CB2133">
        <w:rPr>
          <w:szCs w:val="24"/>
          <w:lang w:eastAsia="en-US"/>
        </w:rPr>
        <w:br w:type="page"/>
      </w:r>
    </w:p>
    <w:p w14:paraId="6B38FF23" w14:textId="59C03776" w:rsidR="00C45ED4" w:rsidRPr="00CB2133" w:rsidRDefault="00C45ED4" w:rsidP="00C45ED4">
      <w:pPr>
        <w:spacing w:before="120" w:after="120" w:line="360" w:lineRule="auto"/>
        <w:ind w:left="1416"/>
        <w:rPr>
          <w:b/>
          <w:szCs w:val="24"/>
          <w:lang w:eastAsia="en-US"/>
        </w:rPr>
      </w:pPr>
      <w:r w:rsidRPr="00CB2133">
        <w:rPr>
          <w:szCs w:val="24"/>
          <w:lang w:eastAsia="en-US"/>
        </w:rPr>
        <w:lastRenderedPageBreak/>
        <w:t xml:space="preserve">Samuti tähistavad liikmesriigid kaardil musta täpiga need põhjaveekogumid, kus täheldatakse ükskõik millise saasteaine kontsentratsiooni olulist ja </w:t>
      </w:r>
      <w:r w:rsidRPr="00CB2133">
        <w:rPr>
          <w:strike/>
          <w:szCs w:val="24"/>
          <w:lang w:eastAsia="en-US"/>
        </w:rPr>
        <w:t>püsivat</w:t>
      </w:r>
      <w:r w:rsidRPr="00CB2133">
        <w:rPr>
          <w:b/>
          <w:i/>
          <w:szCs w:val="24"/>
          <w:lang w:eastAsia="en-US"/>
        </w:rPr>
        <w:t>jätkuvat</w:t>
      </w:r>
      <w:r w:rsidRPr="00CB2133">
        <w:rPr>
          <w:szCs w:val="24"/>
          <w:lang w:eastAsia="en-US"/>
        </w:rPr>
        <w:t xml:space="preserve"> kasvutendentsi</w:t>
      </w:r>
      <w:r w:rsidRPr="00CB2133">
        <w:rPr>
          <w:b/>
          <w:i/>
          <w:szCs w:val="24"/>
          <w:lang w:eastAsia="en-US"/>
        </w:rPr>
        <w:t>, sealhulgas ka veekogu aeglase voolu põhjustatud hooajalist kasvutendentsi,</w:t>
      </w:r>
      <w:r w:rsidRPr="00CB2133">
        <w:rPr>
          <w:szCs w:val="24"/>
          <w:lang w:eastAsia="en-US"/>
        </w:rPr>
        <w:t xml:space="preserve"> inimtegevuse mõjul. Tendentsi langusele pöördumist tähistatakse kaardil sinise täpiga.</w:t>
      </w:r>
      <w:r w:rsidR="0097022D" w:rsidRPr="00CB2133">
        <w:rPr>
          <w:b/>
          <w:szCs w:val="24"/>
          <w:lang w:eastAsia="en-US"/>
        </w:rPr>
        <w:t xml:space="preserve"> [ME 140]</w:t>
      </w:r>
    </w:p>
    <w:p w14:paraId="04A0C560" w14:textId="77777777" w:rsidR="00C45ED4" w:rsidRPr="00CB2133" w:rsidRDefault="00C45ED4" w:rsidP="00C45ED4">
      <w:pPr>
        <w:spacing w:before="120" w:after="120" w:line="360" w:lineRule="auto"/>
        <w:ind w:left="1416"/>
        <w:rPr>
          <w:szCs w:val="24"/>
          <w:lang w:eastAsia="en-US"/>
        </w:rPr>
      </w:pPr>
      <w:r w:rsidRPr="00CB2133">
        <w:rPr>
          <w:szCs w:val="24"/>
          <w:lang w:eastAsia="en-US"/>
        </w:rPr>
        <w:t>Need kaardid lisatakse vesikonna majandamiskavasse.“</w:t>
      </w:r>
    </w:p>
    <w:p w14:paraId="26C09778" w14:textId="77777777" w:rsidR="00C45ED4" w:rsidRPr="00CB2133" w:rsidRDefault="00C45ED4" w:rsidP="00C45ED4">
      <w:pPr>
        <w:spacing w:before="120" w:after="120" w:line="360" w:lineRule="auto"/>
        <w:rPr>
          <w:szCs w:val="24"/>
          <w:lang w:eastAsia="en-US"/>
        </w:rPr>
        <w:sectPr w:rsidR="00C45ED4" w:rsidRPr="00CB2133" w:rsidSect="0097022D">
          <w:footnotePr>
            <w:numRestart w:val="eachSect"/>
          </w:footnotePr>
          <w:endnotePr>
            <w:numFmt w:val="decimal"/>
          </w:endnotePr>
          <w:type w:val="continuous"/>
          <w:pgSz w:w="11909" w:h="16834"/>
          <w:pgMar w:top="1134" w:right="1417" w:bottom="1417" w:left="1134" w:header="1134" w:footer="567" w:gutter="0"/>
          <w:cols w:space="720"/>
        </w:sectPr>
      </w:pPr>
    </w:p>
    <w:p w14:paraId="2B8D63A1" w14:textId="77777777" w:rsidR="0097022D" w:rsidRPr="00CB2133" w:rsidRDefault="0097022D">
      <w:pPr>
        <w:widowControl/>
        <w:rPr>
          <w:lang w:eastAsia="en-US"/>
        </w:rPr>
      </w:pPr>
      <w:r w:rsidRPr="00CB2133">
        <w:rPr>
          <w:lang w:eastAsia="en-US"/>
        </w:rPr>
        <w:br w:type="page"/>
      </w:r>
    </w:p>
    <w:p w14:paraId="457F94C9" w14:textId="01D38B23" w:rsidR="00C45ED4" w:rsidRPr="00CB2133" w:rsidRDefault="00C45ED4" w:rsidP="00C45ED4">
      <w:pPr>
        <w:spacing w:before="120" w:after="120" w:line="360" w:lineRule="auto"/>
        <w:jc w:val="center"/>
        <w:rPr>
          <w:lang w:eastAsia="en-US"/>
        </w:rPr>
      </w:pPr>
      <w:r w:rsidRPr="00CB2133">
        <w:rPr>
          <w:lang w:eastAsia="en-US"/>
        </w:rPr>
        <w:lastRenderedPageBreak/>
        <w:t>II LISA</w:t>
      </w:r>
    </w:p>
    <w:p w14:paraId="4A7BB3B8" w14:textId="77777777" w:rsidR="00C45ED4" w:rsidRPr="00CB2133" w:rsidRDefault="00C45ED4" w:rsidP="00C45ED4">
      <w:pPr>
        <w:spacing w:before="120" w:after="120" w:line="360" w:lineRule="auto"/>
        <w:rPr>
          <w:szCs w:val="24"/>
          <w:lang w:eastAsia="en-US"/>
        </w:rPr>
      </w:pPr>
      <w:r w:rsidRPr="00CB2133">
        <w:rPr>
          <w:szCs w:val="24"/>
          <w:lang w:eastAsia="en-US"/>
        </w:rPr>
        <w:t>Direktiivi 2000/60/EÜ VIII lisa muudetakse järgmiselt.</w:t>
      </w:r>
    </w:p>
    <w:p w14:paraId="06AA6560"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Punkt 10 asendatakse järgmisega:</w:t>
      </w:r>
    </w:p>
    <w:p w14:paraId="51FFCAF2" w14:textId="29B01F9B" w:rsidR="00C45ED4" w:rsidRPr="00CB2133" w:rsidRDefault="00C45ED4" w:rsidP="00C45ED4">
      <w:pPr>
        <w:spacing w:before="120" w:after="120" w:line="360" w:lineRule="auto"/>
        <w:ind w:left="1416" w:hanging="566"/>
        <w:rPr>
          <w:b/>
          <w:szCs w:val="24"/>
          <w:lang w:eastAsia="en-US"/>
        </w:rPr>
      </w:pPr>
      <w:r w:rsidRPr="00CB2133">
        <w:rPr>
          <w:szCs w:val="24"/>
          <w:lang w:eastAsia="en-US"/>
        </w:rPr>
        <w:t>„10.</w:t>
      </w:r>
      <w:r w:rsidRPr="00CB2133">
        <w:rPr>
          <w:szCs w:val="24"/>
          <w:lang w:eastAsia="en-US"/>
        </w:rPr>
        <w:tab/>
        <w:t xml:space="preserve"> Heljum, sealhulgas mikro-/nanoplast</w:t>
      </w:r>
      <w:r w:rsidRPr="00CB2133">
        <w:rPr>
          <w:b/>
          <w:i/>
          <w:szCs w:val="24"/>
          <w:lang w:eastAsia="en-US"/>
        </w:rPr>
        <w:t>, ning materjalid, mis teadaolevalt tekitavad mikro- või nanoplasti</w:t>
      </w:r>
      <w:r w:rsidRPr="00CB2133">
        <w:rPr>
          <w:szCs w:val="24"/>
          <w:lang w:eastAsia="en-US"/>
        </w:rPr>
        <w:t>.“</w:t>
      </w:r>
      <w:r w:rsidR="0097022D" w:rsidRPr="00CB2133">
        <w:rPr>
          <w:b/>
          <w:szCs w:val="24"/>
          <w:lang w:eastAsia="en-US"/>
        </w:rPr>
        <w:t xml:space="preserve"> [ME 141]</w:t>
      </w:r>
    </w:p>
    <w:p w14:paraId="5D199328"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w:t>
      </w:r>
      <w:r w:rsidRPr="00CB2133">
        <w:rPr>
          <w:szCs w:val="24"/>
          <w:lang w:eastAsia="en-US"/>
        </w:rPr>
        <w:tab/>
        <w:t>Lisatakse punkt 13:</w:t>
      </w:r>
    </w:p>
    <w:p w14:paraId="392F5F4A"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„13.</w:t>
      </w:r>
      <w:r w:rsidRPr="00CB2133">
        <w:rPr>
          <w:szCs w:val="24"/>
          <w:lang w:eastAsia="en-US"/>
        </w:rPr>
        <w:tab/>
        <w:t>Mikroobivastaste ainete suhtes resistentsete mikroorganismide, eelkõige inimestele või kariloomadele patogeensete mikroorganismide esinemisele viitavad mikroorganismid, geenid või geneetiline materjal.“</w:t>
      </w:r>
    </w:p>
    <w:p w14:paraId="69677A17" w14:textId="77777777" w:rsidR="00C45ED4" w:rsidRPr="00CB2133" w:rsidRDefault="00C45ED4" w:rsidP="00C45ED4">
      <w:pPr>
        <w:spacing w:before="120" w:after="120" w:line="360" w:lineRule="auto"/>
        <w:rPr>
          <w:szCs w:val="24"/>
          <w:lang w:eastAsia="en-US"/>
        </w:rPr>
        <w:sectPr w:rsidR="00C45ED4" w:rsidRPr="00CB2133" w:rsidSect="0097022D">
          <w:footnotePr>
            <w:numRestart w:val="eachSect"/>
          </w:footnotePr>
          <w:endnotePr>
            <w:numFmt w:val="decimal"/>
          </w:endnotePr>
          <w:type w:val="continuous"/>
          <w:pgSz w:w="11909" w:h="16834"/>
          <w:pgMar w:top="1134" w:right="1417" w:bottom="1417" w:left="1134" w:header="1134" w:footer="567" w:gutter="0"/>
          <w:cols w:space="720"/>
        </w:sectPr>
      </w:pPr>
    </w:p>
    <w:p w14:paraId="6539D223" w14:textId="77777777" w:rsidR="0097022D" w:rsidRPr="00CB2133" w:rsidRDefault="0097022D">
      <w:pPr>
        <w:widowControl/>
        <w:rPr>
          <w:lang w:eastAsia="en-US"/>
        </w:rPr>
      </w:pPr>
      <w:r w:rsidRPr="00CB2133">
        <w:rPr>
          <w:lang w:eastAsia="en-US"/>
        </w:rPr>
        <w:br w:type="page"/>
      </w:r>
    </w:p>
    <w:p w14:paraId="41C3A6E3" w14:textId="6A33EDE1" w:rsidR="00C45ED4" w:rsidRPr="00CB2133" w:rsidRDefault="00C45ED4" w:rsidP="00C45ED4">
      <w:pPr>
        <w:spacing w:before="120" w:after="120" w:line="360" w:lineRule="auto"/>
        <w:jc w:val="center"/>
        <w:rPr>
          <w:lang w:eastAsia="en-US"/>
        </w:rPr>
      </w:pPr>
      <w:r w:rsidRPr="00CB2133">
        <w:rPr>
          <w:lang w:eastAsia="en-US"/>
        </w:rPr>
        <w:lastRenderedPageBreak/>
        <w:t>III LISA</w:t>
      </w:r>
    </w:p>
    <w:p w14:paraId="09E626D6" w14:textId="77777777" w:rsidR="00C45ED4" w:rsidRPr="00CB2133" w:rsidRDefault="00C45ED4" w:rsidP="00C45ED4">
      <w:pPr>
        <w:spacing w:before="120" w:after="120" w:line="360" w:lineRule="auto"/>
        <w:ind w:left="850"/>
        <w:rPr>
          <w:szCs w:val="24"/>
          <w:lang w:eastAsia="en-US"/>
        </w:rPr>
      </w:pPr>
      <w:r w:rsidRPr="00CB2133">
        <w:rPr>
          <w:szCs w:val="24"/>
          <w:lang w:eastAsia="en-US"/>
        </w:rPr>
        <w:t>„I LISA</w:t>
      </w:r>
    </w:p>
    <w:p w14:paraId="5D6CA772" w14:textId="77777777" w:rsidR="00C45ED4" w:rsidRPr="00CB2133" w:rsidRDefault="00C45ED4" w:rsidP="00C45ED4">
      <w:pPr>
        <w:spacing w:before="120" w:after="120" w:line="360" w:lineRule="auto"/>
        <w:ind w:left="850"/>
        <w:rPr>
          <w:szCs w:val="24"/>
          <w:lang w:eastAsia="en-US"/>
        </w:rPr>
      </w:pPr>
      <w:r w:rsidRPr="00CB2133">
        <w:rPr>
          <w:szCs w:val="24"/>
          <w:lang w:eastAsia="en-US"/>
        </w:rPr>
        <w:t>PÕHJAVEE KVALITEEDI STANDARDID</w:t>
      </w:r>
    </w:p>
    <w:p w14:paraId="2C60BA19" w14:textId="0AF67D6B" w:rsidR="00C45ED4" w:rsidRPr="00CB2133" w:rsidRDefault="00C45ED4" w:rsidP="00C45ED4">
      <w:pPr>
        <w:spacing w:before="120" w:after="120" w:line="360" w:lineRule="auto"/>
        <w:ind w:left="850"/>
        <w:rPr>
          <w:b/>
          <w:szCs w:val="24"/>
          <w:lang w:eastAsia="en-US"/>
        </w:rPr>
      </w:pPr>
      <w:r w:rsidRPr="00CB2133">
        <w:rPr>
          <w:szCs w:val="24"/>
          <w:lang w:eastAsia="en-US"/>
        </w:rPr>
        <w:t xml:space="preserve">Märkus 1. Kannetes 3–7 loetletud saasteainetega seotud kvaliteedistandardeid kohaldatakse alates ... [väljaannete talitus: palun lisada kuupäev, mis on selle kuu esimene päev, mis järgneb kuupäevale, mil möödub </w:t>
      </w:r>
      <w:r w:rsidRPr="00CB2133">
        <w:rPr>
          <w:strike/>
          <w:szCs w:val="24"/>
          <w:lang w:eastAsia="en-US"/>
        </w:rPr>
        <w:t>18</w:t>
      </w:r>
      <w:r w:rsidRPr="00CB2133">
        <w:rPr>
          <w:b/>
          <w:i/>
          <w:szCs w:val="24"/>
          <w:lang w:eastAsia="en-US"/>
        </w:rPr>
        <w:t>6</w:t>
      </w:r>
      <w:r w:rsidRPr="00CB2133">
        <w:rPr>
          <w:szCs w:val="24"/>
          <w:lang w:eastAsia="en-US"/>
        </w:rPr>
        <w:t xml:space="preserve"> kuud käesoleva muutmisdirektiivi jõustumisest], et võimaldada saavutada vee hea keemiline seisund hiljemalt 22. detsembriks 2033.</w:t>
      </w:r>
      <w:r w:rsidR="0097022D" w:rsidRPr="00CB2133">
        <w:rPr>
          <w:b/>
          <w:szCs w:val="24"/>
          <w:lang w:eastAsia="en-US"/>
        </w:rPr>
        <w:t xml:space="preserve"> [ME 142]</w:t>
      </w:r>
    </w:p>
    <w:p w14:paraId="485BA8DE" w14:textId="6E72C2C9" w:rsidR="00956089" w:rsidRPr="00CB2133" w:rsidRDefault="00C45ED4" w:rsidP="00C45ED4">
      <w:pPr>
        <w:spacing w:before="120" w:after="120" w:line="360" w:lineRule="auto"/>
        <w:ind w:left="850"/>
        <w:rPr>
          <w:b/>
          <w:i/>
          <w:szCs w:val="24"/>
          <w:lang w:eastAsia="en-US"/>
        </w:rPr>
      </w:pPr>
      <w:r w:rsidRPr="00CB2133">
        <w:rPr>
          <w:b/>
          <w:i/>
          <w:szCs w:val="24"/>
          <w:lang w:eastAsia="en-US"/>
        </w:rPr>
        <w:t>Kui põhjaveekogumi, eelkõige sellise puhul, mis kuulub nõukogu direktiivi 92/43/EMÜ kohasesse erikaitsealade ökoloogilisse võrgustikku, leitakse, et põhjavee kvaliteedi standardite tõttu võivad direktiivi 2000/60/EÜ artiklis 4 sätestatud keskkonnaalased eesmärgid nende kogumitega seotud pinnavete puhul täitmata jääda või need standardid põhjustavad selliste kogumite ökoloogilise või keemilise kvaliteedi märkimisväärset halvenemist või märkimisväärset kahju põhjaveele või maismaaökosüsteemidele, mis sõltuvad otseselt põhjaveekogumist, tuleb määrata kindlaks oluliselt rangemad läviväärtused vastavalt käesoleva direktiivi artiklile 3 ja II lisale. Selliste läviväärtuste kehtestamiseks vajalikke programme ja meetmeid kohaldatakse ka direktiivi 91/676/EMÜ reguleerimisalasse kuuluvate tegevuste suhtes.</w:t>
      </w:r>
      <w:r w:rsidR="0097022D" w:rsidRPr="00CB2133">
        <w:rPr>
          <w:b/>
          <w:szCs w:val="24"/>
          <w:lang w:eastAsia="en-US"/>
        </w:rPr>
        <w:t xml:space="preserve"> [ME 143]</w:t>
      </w:r>
    </w:p>
    <w:p w14:paraId="0E755F03" w14:textId="77777777" w:rsidR="00956089" w:rsidRPr="00CB2133" w:rsidRDefault="00956089">
      <w:pPr>
        <w:widowControl/>
        <w:rPr>
          <w:b/>
          <w:i/>
          <w:szCs w:val="24"/>
          <w:lang w:eastAsia="en-US"/>
        </w:rPr>
      </w:pPr>
      <w:r w:rsidRPr="00CB2133">
        <w:rPr>
          <w:b/>
          <w:i/>
          <w:szCs w:val="24"/>
          <w:lang w:eastAsia="en-US"/>
        </w:rPr>
        <w:br w:type="page"/>
      </w:r>
    </w:p>
    <w:p w14:paraId="7CB12558" w14:textId="77777777" w:rsidR="0097022D" w:rsidRPr="00CB2133" w:rsidRDefault="0097022D" w:rsidP="00C45ED4">
      <w:pPr>
        <w:spacing w:before="120" w:after="120" w:line="360" w:lineRule="auto"/>
        <w:ind w:left="850"/>
        <w:rPr>
          <w:szCs w:val="24"/>
          <w:lang w:eastAsia="en-US"/>
        </w:rPr>
        <w:sectPr w:rsidR="0097022D" w:rsidRPr="00CB2133" w:rsidSect="0097022D">
          <w:footnotePr>
            <w:numRestart w:val="eachSect"/>
          </w:footnotePr>
          <w:endnotePr>
            <w:numFmt w:val="decimal"/>
          </w:endnotePr>
          <w:type w:val="continuous"/>
          <w:pgSz w:w="11909" w:h="16834"/>
          <w:pgMar w:top="1134" w:right="1417" w:bottom="1417" w:left="1134" w:header="1134" w:footer="567" w:gutter="0"/>
          <w:cols w:space="720"/>
          <w:docGrid w:linePitch="326"/>
        </w:sectPr>
      </w:pPr>
    </w:p>
    <w:p w14:paraId="286CE2E6" w14:textId="763F7D27" w:rsidR="00956089" w:rsidRPr="00CB2133" w:rsidRDefault="00956089" w:rsidP="00C45ED4">
      <w:pPr>
        <w:spacing w:before="120" w:after="120" w:line="360" w:lineRule="auto"/>
        <w:ind w:left="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3"/>
        <w:gridCol w:w="3781"/>
        <w:gridCol w:w="2313"/>
        <w:gridCol w:w="1716"/>
        <w:gridCol w:w="1716"/>
        <w:gridCol w:w="3063"/>
      </w:tblGrid>
      <w:tr w:rsidR="00C45ED4" w:rsidRPr="00CB2133" w14:paraId="5168D69F" w14:textId="77777777" w:rsidTr="000238DA">
        <w:trPr>
          <w:tblHeader/>
        </w:trPr>
        <w:tc>
          <w:tcPr>
            <w:tcW w:w="0" w:type="auto"/>
          </w:tcPr>
          <w:p w14:paraId="6DF47270" w14:textId="77777777" w:rsidR="00C45ED4" w:rsidRPr="00CB2133" w:rsidRDefault="00C45ED4" w:rsidP="00C45ED4">
            <w:pPr>
              <w:spacing w:before="120" w:after="120" w:line="360" w:lineRule="auto"/>
              <w:rPr>
                <w:szCs w:val="24"/>
                <w:lang w:eastAsia="en-US"/>
              </w:rPr>
            </w:pPr>
            <w:r w:rsidRPr="00CB2133">
              <w:rPr>
                <w:szCs w:val="24"/>
                <w:lang w:eastAsia="en-US"/>
              </w:rPr>
              <w:t>(1)</w:t>
            </w:r>
          </w:p>
        </w:tc>
        <w:tc>
          <w:tcPr>
            <w:tcW w:w="0" w:type="auto"/>
          </w:tcPr>
          <w:p w14:paraId="55D72D0B" w14:textId="77777777" w:rsidR="00C45ED4" w:rsidRPr="00CB2133" w:rsidRDefault="00C45ED4" w:rsidP="00C45ED4">
            <w:pPr>
              <w:spacing w:before="120" w:after="120" w:line="360" w:lineRule="auto"/>
              <w:rPr>
                <w:szCs w:val="24"/>
                <w:lang w:eastAsia="en-US"/>
              </w:rPr>
            </w:pPr>
            <w:r w:rsidRPr="00CB2133">
              <w:rPr>
                <w:szCs w:val="24"/>
                <w:lang w:eastAsia="en-US"/>
              </w:rPr>
              <w:t>(2)</w:t>
            </w:r>
          </w:p>
        </w:tc>
        <w:tc>
          <w:tcPr>
            <w:tcW w:w="0" w:type="auto"/>
          </w:tcPr>
          <w:p w14:paraId="3AE7F0AA" w14:textId="77777777" w:rsidR="00C45ED4" w:rsidRPr="00CB2133" w:rsidRDefault="00C45ED4" w:rsidP="00C45ED4">
            <w:pPr>
              <w:spacing w:before="120" w:after="120" w:line="360" w:lineRule="auto"/>
              <w:rPr>
                <w:szCs w:val="24"/>
                <w:lang w:eastAsia="en-US"/>
              </w:rPr>
            </w:pPr>
            <w:r w:rsidRPr="00CB2133">
              <w:rPr>
                <w:szCs w:val="24"/>
                <w:lang w:eastAsia="en-US"/>
              </w:rPr>
              <w:t>(3)</w:t>
            </w:r>
          </w:p>
        </w:tc>
        <w:tc>
          <w:tcPr>
            <w:tcW w:w="0" w:type="auto"/>
          </w:tcPr>
          <w:p w14:paraId="6F087249" w14:textId="77777777" w:rsidR="00C45ED4" w:rsidRPr="00CB2133" w:rsidRDefault="00C45ED4" w:rsidP="00C45ED4">
            <w:pPr>
              <w:spacing w:before="120" w:after="120" w:line="360" w:lineRule="auto"/>
              <w:rPr>
                <w:szCs w:val="24"/>
                <w:lang w:eastAsia="en-US"/>
              </w:rPr>
            </w:pPr>
            <w:r w:rsidRPr="00CB2133">
              <w:rPr>
                <w:szCs w:val="24"/>
                <w:lang w:eastAsia="en-US"/>
              </w:rPr>
              <w:t>(4)</w:t>
            </w:r>
          </w:p>
        </w:tc>
        <w:tc>
          <w:tcPr>
            <w:tcW w:w="0" w:type="auto"/>
          </w:tcPr>
          <w:p w14:paraId="32155421" w14:textId="77777777" w:rsidR="00C45ED4" w:rsidRPr="00CB2133" w:rsidRDefault="00C45ED4" w:rsidP="00C45ED4">
            <w:pPr>
              <w:spacing w:before="120" w:after="120" w:line="360" w:lineRule="auto"/>
              <w:rPr>
                <w:szCs w:val="24"/>
                <w:lang w:eastAsia="en-US"/>
              </w:rPr>
            </w:pPr>
            <w:r w:rsidRPr="00CB2133">
              <w:rPr>
                <w:szCs w:val="24"/>
                <w:lang w:eastAsia="en-US"/>
              </w:rPr>
              <w:t>(5)</w:t>
            </w:r>
          </w:p>
        </w:tc>
        <w:tc>
          <w:tcPr>
            <w:tcW w:w="0" w:type="auto"/>
          </w:tcPr>
          <w:p w14:paraId="77494855" w14:textId="77777777" w:rsidR="00C45ED4" w:rsidRPr="00CB2133" w:rsidRDefault="00C45ED4" w:rsidP="00C45ED4">
            <w:pPr>
              <w:spacing w:before="120" w:after="120" w:line="360" w:lineRule="auto"/>
              <w:rPr>
                <w:szCs w:val="24"/>
                <w:lang w:eastAsia="en-US"/>
              </w:rPr>
            </w:pPr>
            <w:r w:rsidRPr="00CB2133">
              <w:rPr>
                <w:szCs w:val="24"/>
                <w:lang w:eastAsia="en-US"/>
              </w:rPr>
              <w:t>(6)</w:t>
            </w:r>
          </w:p>
        </w:tc>
      </w:tr>
      <w:tr w:rsidR="00C45ED4" w:rsidRPr="00CB2133" w14:paraId="2D177527" w14:textId="77777777" w:rsidTr="000238DA">
        <w:tc>
          <w:tcPr>
            <w:tcW w:w="0" w:type="auto"/>
          </w:tcPr>
          <w:p w14:paraId="3DFE6169" w14:textId="77777777" w:rsidR="00C45ED4" w:rsidRPr="00CB2133" w:rsidRDefault="00C45ED4" w:rsidP="00C45ED4">
            <w:pPr>
              <w:spacing w:before="120" w:after="120" w:line="360" w:lineRule="auto"/>
              <w:rPr>
                <w:szCs w:val="24"/>
                <w:lang w:eastAsia="en-US"/>
              </w:rPr>
            </w:pPr>
            <w:r w:rsidRPr="00CB2133">
              <w:rPr>
                <w:szCs w:val="24"/>
                <w:lang w:eastAsia="en-US"/>
              </w:rPr>
              <w:t>Kande nr</w:t>
            </w:r>
          </w:p>
        </w:tc>
        <w:tc>
          <w:tcPr>
            <w:tcW w:w="0" w:type="auto"/>
          </w:tcPr>
          <w:p w14:paraId="62EBD634" w14:textId="77777777" w:rsidR="00C45ED4" w:rsidRPr="00CB2133" w:rsidRDefault="00C45ED4" w:rsidP="00C45ED4">
            <w:pPr>
              <w:spacing w:before="120" w:after="120" w:line="360" w:lineRule="auto"/>
              <w:rPr>
                <w:szCs w:val="24"/>
                <w:lang w:eastAsia="en-US"/>
              </w:rPr>
            </w:pPr>
            <w:r w:rsidRPr="00CB2133">
              <w:rPr>
                <w:szCs w:val="24"/>
                <w:lang w:eastAsia="en-US"/>
              </w:rPr>
              <w:t>Aine nimetus</w:t>
            </w:r>
          </w:p>
        </w:tc>
        <w:tc>
          <w:tcPr>
            <w:tcW w:w="0" w:type="auto"/>
          </w:tcPr>
          <w:p w14:paraId="0C8579A9" w14:textId="77777777" w:rsidR="00C45ED4" w:rsidRPr="00CB2133" w:rsidRDefault="00C45ED4" w:rsidP="00C45ED4">
            <w:pPr>
              <w:spacing w:before="120" w:after="120" w:line="360" w:lineRule="auto"/>
              <w:rPr>
                <w:szCs w:val="24"/>
                <w:lang w:eastAsia="en-US"/>
              </w:rPr>
            </w:pPr>
            <w:r w:rsidRPr="00CB2133">
              <w:rPr>
                <w:szCs w:val="24"/>
                <w:lang w:eastAsia="en-US"/>
              </w:rPr>
              <w:t>Ainekategooria</w:t>
            </w:r>
          </w:p>
        </w:tc>
        <w:tc>
          <w:tcPr>
            <w:tcW w:w="0" w:type="auto"/>
          </w:tcPr>
          <w:p w14:paraId="77990A07" w14:textId="77777777" w:rsidR="00C45ED4" w:rsidRPr="00CB2133" w:rsidRDefault="00C45ED4" w:rsidP="00C45ED4">
            <w:pPr>
              <w:spacing w:before="120" w:after="120" w:line="360" w:lineRule="auto"/>
              <w:rPr>
                <w:szCs w:val="24"/>
                <w:lang w:eastAsia="en-US"/>
              </w:rPr>
            </w:pPr>
            <w:r w:rsidRPr="00CB2133">
              <w:rPr>
                <w:szCs w:val="24"/>
                <w:lang w:eastAsia="en-US"/>
              </w:rPr>
              <w:t>CASi number</w:t>
            </w:r>
            <w:r w:rsidRPr="00CB2133">
              <w:rPr>
                <w:szCs w:val="24"/>
                <w:vertAlign w:val="superscript"/>
                <w:lang w:eastAsia="en-US"/>
              </w:rPr>
              <w:t>(1)</w:t>
            </w:r>
          </w:p>
        </w:tc>
        <w:tc>
          <w:tcPr>
            <w:tcW w:w="0" w:type="auto"/>
          </w:tcPr>
          <w:p w14:paraId="4522B33E" w14:textId="77777777" w:rsidR="00C45ED4" w:rsidRPr="00CB2133" w:rsidRDefault="00C45ED4" w:rsidP="00C45ED4">
            <w:pPr>
              <w:spacing w:before="120" w:after="120" w:line="360" w:lineRule="auto"/>
              <w:rPr>
                <w:szCs w:val="24"/>
                <w:lang w:eastAsia="en-US"/>
              </w:rPr>
            </w:pPr>
            <w:r w:rsidRPr="00CB2133">
              <w:rPr>
                <w:szCs w:val="24"/>
                <w:lang w:eastAsia="en-US"/>
              </w:rPr>
              <w:t>ELi number</w:t>
            </w:r>
            <w:r w:rsidRPr="00CB2133">
              <w:rPr>
                <w:szCs w:val="24"/>
                <w:vertAlign w:val="superscript"/>
                <w:lang w:eastAsia="en-US"/>
              </w:rPr>
              <w:t>(2)</w:t>
            </w:r>
          </w:p>
        </w:tc>
        <w:tc>
          <w:tcPr>
            <w:tcW w:w="0" w:type="auto"/>
          </w:tcPr>
          <w:p w14:paraId="5F431F5F" w14:textId="77777777" w:rsidR="00C45ED4" w:rsidRPr="00CB2133" w:rsidRDefault="00C45ED4" w:rsidP="00C45ED4">
            <w:pPr>
              <w:spacing w:before="120" w:after="120" w:line="360" w:lineRule="auto"/>
              <w:rPr>
                <w:szCs w:val="24"/>
                <w:lang w:eastAsia="en-US"/>
              </w:rPr>
            </w:pPr>
            <w:r w:rsidRPr="00CB2133">
              <w:rPr>
                <w:szCs w:val="24"/>
                <w:lang w:eastAsia="en-US"/>
              </w:rPr>
              <w:t>Kvaliteedistandard</w:t>
            </w:r>
            <w:r w:rsidRPr="00CB2133">
              <w:rPr>
                <w:szCs w:val="24"/>
                <w:vertAlign w:val="superscript"/>
                <w:lang w:eastAsia="en-US"/>
              </w:rPr>
              <w:t>(3)</w:t>
            </w:r>
            <w:r w:rsidRPr="00CB2133">
              <w:rPr>
                <w:szCs w:val="24"/>
                <w:lang w:eastAsia="en-US"/>
              </w:rPr>
              <w:t xml:space="preserve"> [µg/l, kui ei ole märgitud teisiti]</w:t>
            </w:r>
          </w:p>
        </w:tc>
      </w:tr>
      <w:tr w:rsidR="00C45ED4" w:rsidRPr="00CB2133" w14:paraId="2024E243" w14:textId="77777777" w:rsidTr="000238DA">
        <w:tc>
          <w:tcPr>
            <w:tcW w:w="0" w:type="auto"/>
          </w:tcPr>
          <w:p w14:paraId="77F61362" w14:textId="77777777" w:rsidR="00C45ED4" w:rsidRPr="00CB2133" w:rsidRDefault="00C45ED4" w:rsidP="00C45ED4">
            <w:pPr>
              <w:spacing w:before="120" w:after="120" w:line="360" w:lineRule="auto"/>
              <w:rPr>
                <w:szCs w:val="24"/>
                <w:lang w:eastAsia="en-US"/>
              </w:rPr>
            </w:pPr>
            <w:r w:rsidRPr="00CB2133">
              <w:rPr>
                <w:szCs w:val="24"/>
                <w:lang w:eastAsia="en-US"/>
              </w:rPr>
              <w:t>1</w:t>
            </w:r>
          </w:p>
        </w:tc>
        <w:tc>
          <w:tcPr>
            <w:tcW w:w="0" w:type="auto"/>
          </w:tcPr>
          <w:p w14:paraId="36529BFA" w14:textId="77777777" w:rsidR="00C45ED4" w:rsidRPr="00CB2133" w:rsidRDefault="00C45ED4" w:rsidP="00C45ED4">
            <w:pPr>
              <w:spacing w:before="120" w:after="120" w:line="360" w:lineRule="auto"/>
              <w:rPr>
                <w:szCs w:val="24"/>
                <w:lang w:eastAsia="en-US"/>
              </w:rPr>
            </w:pPr>
            <w:r w:rsidRPr="00CB2133">
              <w:rPr>
                <w:szCs w:val="24"/>
                <w:lang w:eastAsia="en-US"/>
              </w:rPr>
              <w:t>Nitraadid</w:t>
            </w:r>
          </w:p>
        </w:tc>
        <w:tc>
          <w:tcPr>
            <w:tcW w:w="0" w:type="auto"/>
          </w:tcPr>
          <w:p w14:paraId="1A368596" w14:textId="77777777" w:rsidR="00C45ED4" w:rsidRPr="00CB2133" w:rsidRDefault="00C45ED4" w:rsidP="00C45ED4">
            <w:pPr>
              <w:spacing w:before="120" w:after="120" w:line="360" w:lineRule="auto"/>
              <w:rPr>
                <w:szCs w:val="24"/>
                <w:lang w:eastAsia="en-US"/>
              </w:rPr>
            </w:pPr>
            <w:r w:rsidRPr="00CB2133">
              <w:rPr>
                <w:szCs w:val="24"/>
                <w:lang w:eastAsia="en-US"/>
              </w:rPr>
              <w:t>Toitained</w:t>
            </w:r>
          </w:p>
        </w:tc>
        <w:tc>
          <w:tcPr>
            <w:tcW w:w="0" w:type="auto"/>
          </w:tcPr>
          <w:p w14:paraId="38AF9513"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42F6BB9D"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0E885B57" w14:textId="77777777" w:rsidR="00C45ED4" w:rsidRPr="00CB2133" w:rsidRDefault="00C45ED4" w:rsidP="00C45ED4">
            <w:pPr>
              <w:spacing w:before="120" w:after="120" w:line="360" w:lineRule="auto"/>
              <w:rPr>
                <w:szCs w:val="24"/>
                <w:lang w:eastAsia="en-US"/>
              </w:rPr>
            </w:pPr>
            <w:r w:rsidRPr="00CB2133">
              <w:rPr>
                <w:szCs w:val="24"/>
                <w:lang w:eastAsia="en-US"/>
              </w:rPr>
              <w:t>50 mg/l</w:t>
            </w:r>
          </w:p>
        </w:tc>
      </w:tr>
      <w:tr w:rsidR="00C45ED4" w:rsidRPr="00CB2133" w14:paraId="098F575F" w14:textId="77777777" w:rsidTr="000238DA">
        <w:tc>
          <w:tcPr>
            <w:tcW w:w="0" w:type="auto"/>
            <w:vMerge w:val="restart"/>
          </w:tcPr>
          <w:p w14:paraId="4208ED05" w14:textId="1927AEB1" w:rsidR="00C45ED4" w:rsidRPr="00CB2133" w:rsidRDefault="00C45ED4" w:rsidP="00C45ED4">
            <w:pPr>
              <w:spacing w:before="120" w:after="120" w:line="360" w:lineRule="auto"/>
              <w:rPr>
                <w:b/>
                <w:szCs w:val="24"/>
                <w:lang w:eastAsia="en-US"/>
              </w:rPr>
            </w:pPr>
            <w:r w:rsidRPr="00CB2133">
              <w:rPr>
                <w:szCs w:val="24"/>
                <w:lang w:eastAsia="en-US"/>
              </w:rPr>
              <w:t>2</w:t>
            </w:r>
            <w:r w:rsidR="00956089" w:rsidRPr="00CB2133">
              <w:rPr>
                <w:b/>
                <w:szCs w:val="24"/>
                <w:lang w:eastAsia="en-US"/>
              </w:rPr>
              <w:t xml:space="preserve"> [ME 144]</w:t>
            </w:r>
          </w:p>
        </w:tc>
        <w:tc>
          <w:tcPr>
            <w:tcW w:w="0" w:type="auto"/>
            <w:vMerge w:val="restart"/>
          </w:tcPr>
          <w:p w14:paraId="6B79B9FF" w14:textId="5C22E6E7" w:rsidR="00C45ED4" w:rsidRPr="00CB2133" w:rsidRDefault="00C45ED4" w:rsidP="00C45ED4">
            <w:pPr>
              <w:spacing w:before="120" w:after="120" w:line="360" w:lineRule="auto"/>
              <w:rPr>
                <w:szCs w:val="24"/>
                <w:lang w:eastAsia="en-US"/>
              </w:rPr>
            </w:pPr>
            <w:r w:rsidRPr="00CB2133">
              <w:rPr>
                <w:szCs w:val="24"/>
                <w:lang w:eastAsia="en-US"/>
              </w:rPr>
              <w:t>Pestitsiidide toimeained, sealhulgas nende olulised metaboliidid ning lagunemis- ja reaktsioonisaadused</w:t>
            </w:r>
            <w:r w:rsidRPr="00CB2133">
              <w:rPr>
                <w:szCs w:val="24"/>
                <w:vertAlign w:val="superscript"/>
                <w:lang w:eastAsia="en-US"/>
              </w:rPr>
              <w:t>(4)</w:t>
            </w:r>
          </w:p>
        </w:tc>
        <w:tc>
          <w:tcPr>
            <w:tcW w:w="0" w:type="auto"/>
            <w:vMerge w:val="restart"/>
          </w:tcPr>
          <w:p w14:paraId="37E15C08" w14:textId="77777777" w:rsidR="00C45ED4" w:rsidRPr="00CB2133" w:rsidRDefault="00C45ED4" w:rsidP="00C45ED4">
            <w:pPr>
              <w:spacing w:before="120" w:after="120" w:line="360" w:lineRule="auto"/>
              <w:rPr>
                <w:szCs w:val="24"/>
                <w:lang w:eastAsia="en-US"/>
              </w:rPr>
            </w:pPr>
            <w:r w:rsidRPr="00CB2133">
              <w:rPr>
                <w:szCs w:val="24"/>
                <w:lang w:eastAsia="en-US"/>
              </w:rPr>
              <w:t>Pestitsiidid</w:t>
            </w:r>
          </w:p>
        </w:tc>
        <w:tc>
          <w:tcPr>
            <w:tcW w:w="0" w:type="auto"/>
            <w:vMerge w:val="restart"/>
          </w:tcPr>
          <w:p w14:paraId="5B946410"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vMerge w:val="restart"/>
          </w:tcPr>
          <w:p w14:paraId="66CFACC0"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48233404" w14:textId="428A619C" w:rsidR="00C45ED4" w:rsidRPr="00CB2133" w:rsidRDefault="00C45ED4" w:rsidP="00C45ED4">
            <w:pPr>
              <w:spacing w:before="120" w:after="120" w:line="360" w:lineRule="auto"/>
              <w:rPr>
                <w:szCs w:val="24"/>
                <w:lang w:eastAsia="en-US"/>
              </w:rPr>
            </w:pPr>
            <w:r w:rsidRPr="00CB2133">
              <w:rPr>
                <w:strike/>
                <w:szCs w:val="24"/>
                <w:lang w:eastAsia="en-US"/>
              </w:rPr>
              <w:t>0,1</w:t>
            </w:r>
            <w:r w:rsidR="00956089" w:rsidRPr="00CB2133">
              <w:rPr>
                <w:b/>
                <w:i/>
                <w:szCs w:val="24"/>
                <w:lang w:eastAsia="en-US"/>
              </w:rPr>
              <w:t>0,05</w:t>
            </w:r>
            <w:r w:rsidRPr="00CB2133">
              <w:rPr>
                <w:szCs w:val="24"/>
                <w:lang w:eastAsia="en-US"/>
              </w:rPr>
              <w:t xml:space="preserve"> (üksikaine)</w:t>
            </w:r>
          </w:p>
        </w:tc>
      </w:tr>
      <w:tr w:rsidR="00C45ED4" w:rsidRPr="00CB2133" w14:paraId="5232287B" w14:textId="77777777" w:rsidTr="000238DA">
        <w:tc>
          <w:tcPr>
            <w:tcW w:w="0" w:type="auto"/>
            <w:vMerge/>
          </w:tcPr>
          <w:p w14:paraId="5B1789CA" w14:textId="77777777" w:rsidR="00C45ED4" w:rsidRPr="00CB2133" w:rsidRDefault="00C45ED4" w:rsidP="00C45ED4">
            <w:pPr>
              <w:spacing w:before="120" w:after="120" w:line="360" w:lineRule="auto"/>
              <w:rPr>
                <w:szCs w:val="24"/>
                <w:lang w:eastAsia="en-US"/>
              </w:rPr>
            </w:pPr>
          </w:p>
        </w:tc>
        <w:tc>
          <w:tcPr>
            <w:tcW w:w="0" w:type="auto"/>
            <w:vMerge/>
          </w:tcPr>
          <w:p w14:paraId="310DDFA7" w14:textId="77777777" w:rsidR="00C45ED4" w:rsidRPr="00CB2133" w:rsidRDefault="00C45ED4" w:rsidP="00C45ED4">
            <w:pPr>
              <w:spacing w:before="120" w:after="120" w:line="360" w:lineRule="auto"/>
              <w:rPr>
                <w:szCs w:val="24"/>
                <w:lang w:eastAsia="en-US"/>
              </w:rPr>
            </w:pPr>
          </w:p>
        </w:tc>
        <w:tc>
          <w:tcPr>
            <w:tcW w:w="0" w:type="auto"/>
            <w:vMerge/>
          </w:tcPr>
          <w:p w14:paraId="7C49D844" w14:textId="77777777" w:rsidR="00C45ED4" w:rsidRPr="00CB2133" w:rsidRDefault="00C45ED4" w:rsidP="00C45ED4">
            <w:pPr>
              <w:spacing w:before="120" w:after="120" w:line="360" w:lineRule="auto"/>
              <w:rPr>
                <w:szCs w:val="24"/>
                <w:lang w:eastAsia="en-US"/>
              </w:rPr>
            </w:pPr>
          </w:p>
        </w:tc>
        <w:tc>
          <w:tcPr>
            <w:tcW w:w="0" w:type="auto"/>
            <w:vMerge/>
          </w:tcPr>
          <w:p w14:paraId="37FA974C" w14:textId="77777777" w:rsidR="00C45ED4" w:rsidRPr="00CB2133" w:rsidRDefault="00C45ED4" w:rsidP="00C45ED4">
            <w:pPr>
              <w:spacing w:before="120" w:after="120" w:line="360" w:lineRule="auto"/>
              <w:rPr>
                <w:szCs w:val="24"/>
                <w:lang w:eastAsia="en-US"/>
              </w:rPr>
            </w:pPr>
          </w:p>
        </w:tc>
        <w:tc>
          <w:tcPr>
            <w:tcW w:w="0" w:type="auto"/>
            <w:vMerge/>
          </w:tcPr>
          <w:p w14:paraId="238B1C59" w14:textId="77777777" w:rsidR="00C45ED4" w:rsidRPr="00CB2133" w:rsidRDefault="00C45ED4" w:rsidP="00C45ED4">
            <w:pPr>
              <w:spacing w:before="120" w:after="120" w:line="360" w:lineRule="auto"/>
              <w:rPr>
                <w:szCs w:val="24"/>
                <w:lang w:eastAsia="en-US"/>
              </w:rPr>
            </w:pPr>
          </w:p>
        </w:tc>
        <w:tc>
          <w:tcPr>
            <w:tcW w:w="0" w:type="auto"/>
          </w:tcPr>
          <w:p w14:paraId="2ACB3EBA" w14:textId="7B3A4DA7" w:rsidR="00C45ED4" w:rsidRPr="00CB2133" w:rsidRDefault="00C45ED4" w:rsidP="00C45ED4">
            <w:pPr>
              <w:spacing w:before="120" w:after="120" w:line="360" w:lineRule="auto"/>
              <w:rPr>
                <w:szCs w:val="24"/>
                <w:lang w:eastAsia="en-US"/>
              </w:rPr>
            </w:pPr>
            <w:r w:rsidRPr="00CB2133">
              <w:rPr>
                <w:strike/>
                <w:szCs w:val="24"/>
                <w:lang w:eastAsia="en-US"/>
              </w:rPr>
              <w:t>0,5</w:t>
            </w:r>
            <w:r w:rsidR="00956089" w:rsidRPr="00CB2133">
              <w:rPr>
                <w:b/>
                <w:i/>
                <w:szCs w:val="24"/>
                <w:lang w:eastAsia="en-US"/>
              </w:rPr>
              <w:t>0,25</w:t>
            </w:r>
            <w:r w:rsidRPr="00CB2133">
              <w:rPr>
                <w:szCs w:val="24"/>
                <w:lang w:eastAsia="en-US"/>
              </w:rPr>
              <w:t xml:space="preserve"> (kokku)</w:t>
            </w:r>
            <w:r w:rsidRPr="00CB2133">
              <w:rPr>
                <w:szCs w:val="24"/>
                <w:vertAlign w:val="superscript"/>
                <w:lang w:eastAsia="en-US"/>
              </w:rPr>
              <w:t>(5)</w:t>
            </w:r>
          </w:p>
        </w:tc>
      </w:tr>
      <w:tr w:rsidR="00C45ED4" w:rsidRPr="00CB2133" w14:paraId="54AA8DCF" w14:textId="77777777" w:rsidTr="000238DA">
        <w:tc>
          <w:tcPr>
            <w:tcW w:w="0" w:type="auto"/>
          </w:tcPr>
          <w:p w14:paraId="6947D863" w14:textId="77777777" w:rsidR="00C45ED4" w:rsidRPr="00CB2133" w:rsidRDefault="00C45ED4" w:rsidP="00C45ED4">
            <w:pPr>
              <w:spacing w:before="120" w:after="120" w:line="360" w:lineRule="auto"/>
              <w:rPr>
                <w:szCs w:val="24"/>
                <w:lang w:eastAsia="en-US"/>
              </w:rPr>
            </w:pPr>
            <w:r w:rsidRPr="00CB2133">
              <w:rPr>
                <w:szCs w:val="24"/>
                <w:lang w:eastAsia="en-US"/>
              </w:rPr>
              <w:t>3</w:t>
            </w:r>
          </w:p>
        </w:tc>
        <w:tc>
          <w:tcPr>
            <w:tcW w:w="0" w:type="auto"/>
          </w:tcPr>
          <w:p w14:paraId="044548C7" w14:textId="77777777" w:rsidR="00C45ED4" w:rsidRPr="00CB2133" w:rsidRDefault="00C45ED4" w:rsidP="00956089">
            <w:pPr>
              <w:keepLines/>
              <w:spacing w:before="120" w:after="120" w:line="360" w:lineRule="auto"/>
              <w:rPr>
                <w:szCs w:val="24"/>
                <w:lang w:eastAsia="en-US"/>
              </w:rPr>
            </w:pPr>
            <w:r w:rsidRPr="00CB2133">
              <w:rPr>
                <w:szCs w:val="24"/>
                <w:lang w:eastAsia="en-US"/>
              </w:rPr>
              <w:t>Perfluoritud ja polüfluoritud alküülühendid (PFAS) – 24 ühendi summa</w:t>
            </w:r>
            <w:r w:rsidRPr="00CB2133">
              <w:rPr>
                <w:szCs w:val="24"/>
                <w:vertAlign w:val="superscript"/>
                <w:lang w:eastAsia="en-US"/>
              </w:rPr>
              <w:t>(6)</w:t>
            </w:r>
          </w:p>
        </w:tc>
        <w:tc>
          <w:tcPr>
            <w:tcW w:w="0" w:type="auto"/>
          </w:tcPr>
          <w:p w14:paraId="7105A29A" w14:textId="77777777" w:rsidR="00C45ED4" w:rsidRPr="00CB2133" w:rsidRDefault="00C45ED4" w:rsidP="00C45ED4">
            <w:pPr>
              <w:spacing w:before="120" w:after="120" w:line="360" w:lineRule="auto"/>
              <w:rPr>
                <w:szCs w:val="24"/>
                <w:lang w:eastAsia="en-US"/>
              </w:rPr>
            </w:pPr>
            <w:r w:rsidRPr="00CB2133">
              <w:rPr>
                <w:szCs w:val="24"/>
                <w:lang w:eastAsia="en-US"/>
              </w:rPr>
              <w:t>Tööstuses kasutatavad ained</w:t>
            </w:r>
          </w:p>
        </w:tc>
        <w:tc>
          <w:tcPr>
            <w:tcW w:w="0" w:type="auto"/>
          </w:tcPr>
          <w:p w14:paraId="003BE383" w14:textId="77777777" w:rsidR="00C45ED4" w:rsidRPr="00CB2133" w:rsidRDefault="00C45ED4" w:rsidP="00C45ED4">
            <w:pPr>
              <w:spacing w:before="120" w:after="120" w:line="360" w:lineRule="auto"/>
              <w:rPr>
                <w:szCs w:val="24"/>
                <w:lang w:eastAsia="en-US"/>
              </w:rPr>
            </w:pPr>
            <w:r w:rsidRPr="00CB2133">
              <w:rPr>
                <w:szCs w:val="24"/>
                <w:lang w:eastAsia="en-US"/>
              </w:rPr>
              <w:t>Vt tabeli märkus 6</w:t>
            </w:r>
          </w:p>
        </w:tc>
        <w:tc>
          <w:tcPr>
            <w:tcW w:w="0" w:type="auto"/>
          </w:tcPr>
          <w:p w14:paraId="1493CBEB" w14:textId="77777777" w:rsidR="00C45ED4" w:rsidRPr="00CB2133" w:rsidRDefault="00C45ED4" w:rsidP="00C45ED4">
            <w:pPr>
              <w:spacing w:before="120" w:after="120" w:line="360" w:lineRule="auto"/>
              <w:rPr>
                <w:szCs w:val="24"/>
                <w:lang w:eastAsia="en-US"/>
              </w:rPr>
            </w:pPr>
            <w:r w:rsidRPr="00CB2133">
              <w:rPr>
                <w:szCs w:val="24"/>
                <w:lang w:eastAsia="en-US"/>
              </w:rPr>
              <w:t>Vt tabeli märkus 6</w:t>
            </w:r>
          </w:p>
        </w:tc>
        <w:tc>
          <w:tcPr>
            <w:tcW w:w="0" w:type="auto"/>
          </w:tcPr>
          <w:p w14:paraId="0502BA1D" w14:textId="4010EF36" w:rsidR="00C45ED4" w:rsidRPr="00CB2133" w:rsidRDefault="00C45ED4" w:rsidP="00C45ED4">
            <w:pPr>
              <w:spacing w:before="120" w:after="120" w:line="360" w:lineRule="auto"/>
              <w:rPr>
                <w:szCs w:val="24"/>
                <w:lang w:eastAsia="en-US"/>
              </w:rPr>
            </w:pPr>
            <w:r w:rsidRPr="00CB2133">
              <w:rPr>
                <w:szCs w:val="24"/>
                <w:lang w:eastAsia="en-US"/>
              </w:rPr>
              <w:t>0,0044</w:t>
            </w:r>
            <w:r w:rsidRPr="00CB2133">
              <w:rPr>
                <w:szCs w:val="24"/>
                <w:vertAlign w:val="superscript"/>
                <w:lang w:eastAsia="en-US"/>
              </w:rPr>
              <w:t>(7)</w:t>
            </w:r>
          </w:p>
        </w:tc>
      </w:tr>
      <w:tr w:rsidR="00C45ED4" w:rsidRPr="00CB2133" w14:paraId="794DCED4" w14:textId="77777777" w:rsidTr="000238DA">
        <w:tc>
          <w:tcPr>
            <w:tcW w:w="0" w:type="auto"/>
          </w:tcPr>
          <w:p w14:paraId="2E0F0EBB" w14:textId="5E17D47B" w:rsidR="00C45ED4" w:rsidRPr="00CB2133" w:rsidRDefault="00C45ED4" w:rsidP="00C45ED4">
            <w:pPr>
              <w:spacing w:before="120" w:after="120" w:line="360" w:lineRule="auto"/>
              <w:rPr>
                <w:b/>
                <w:szCs w:val="24"/>
                <w:lang w:eastAsia="en-US"/>
              </w:rPr>
            </w:pPr>
            <w:r w:rsidRPr="00CB2133">
              <w:rPr>
                <w:b/>
                <w:i/>
                <w:szCs w:val="24"/>
                <w:lang w:eastAsia="en-US"/>
              </w:rPr>
              <w:t>3a</w:t>
            </w:r>
            <w:r w:rsidR="00956089" w:rsidRPr="00CB2133">
              <w:rPr>
                <w:b/>
                <w:szCs w:val="24"/>
                <w:lang w:eastAsia="en-US"/>
              </w:rPr>
              <w:t xml:space="preserve"> [ME 145]</w:t>
            </w:r>
          </w:p>
        </w:tc>
        <w:tc>
          <w:tcPr>
            <w:tcW w:w="0" w:type="auto"/>
          </w:tcPr>
          <w:p w14:paraId="12B4E165" w14:textId="77777777" w:rsidR="00C45ED4" w:rsidRPr="00CB2133" w:rsidRDefault="00C45ED4" w:rsidP="00C45ED4">
            <w:pPr>
              <w:spacing w:before="120" w:after="120" w:line="360" w:lineRule="auto"/>
              <w:rPr>
                <w:szCs w:val="24"/>
                <w:lang w:eastAsia="en-US"/>
              </w:rPr>
            </w:pPr>
            <w:r w:rsidRPr="00CB2133">
              <w:rPr>
                <w:b/>
                <w:i/>
                <w:sz w:val="22"/>
                <w:szCs w:val="24"/>
                <w:lang w:eastAsia="en-US"/>
              </w:rPr>
              <w:t>PFASid kokku</w:t>
            </w:r>
          </w:p>
        </w:tc>
        <w:tc>
          <w:tcPr>
            <w:tcW w:w="0" w:type="auto"/>
          </w:tcPr>
          <w:p w14:paraId="4037A1C7" w14:textId="77777777" w:rsidR="00C45ED4" w:rsidRPr="00CB2133" w:rsidRDefault="00C45ED4" w:rsidP="00C45ED4">
            <w:pPr>
              <w:spacing w:before="120" w:after="120" w:line="360" w:lineRule="auto"/>
              <w:rPr>
                <w:szCs w:val="24"/>
                <w:lang w:eastAsia="en-US"/>
              </w:rPr>
            </w:pPr>
            <w:r w:rsidRPr="00CB2133">
              <w:rPr>
                <w:b/>
                <w:i/>
                <w:sz w:val="22"/>
                <w:szCs w:val="24"/>
                <w:lang w:eastAsia="en-US"/>
              </w:rPr>
              <w:t>Tööstuses kasutatavad ained</w:t>
            </w:r>
          </w:p>
        </w:tc>
        <w:tc>
          <w:tcPr>
            <w:tcW w:w="0" w:type="auto"/>
          </w:tcPr>
          <w:p w14:paraId="31463113" w14:textId="77777777" w:rsidR="00C45ED4" w:rsidRPr="00CB2133" w:rsidRDefault="00C45ED4" w:rsidP="00C45ED4">
            <w:pPr>
              <w:spacing w:before="120" w:after="120" w:line="360" w:lineRule="auto"/>
              <w:rPr>
                <w:szCs w:val="24"/>
                <w:lang w:eastAsia="en-US"/>
              </w:rPr>
            </w:pPr>
            <w:r w:rsidRPr="00CB2133">
              <w:rPr>
                <w:b/>
                <w:i/>
                <w:sz w:val="22"/>
                <w:szCs w:val="24"/>
                <w:lang w:eastAsia="en-US"/>
              </w:rPr>
              <w:t>Ei kohaldata</w:t>
            </w:r>
          </w:p>
        </w:tc>
        <w:tc>
          <w:tcPr>
            <w:tcW w:w="0" w:type="auto"/>
          </w:tcPr>
          <w:p w14:paraId="6CD58150" w14:textId="77777777" w:rsidR="00C45ED4" w:rsidRPr="00CB2133" w:rsidRDefault="00C45ED4" w:rsidP="00C45ED4">
            <w:pPr>
              <w:spacing w:before="120" w:after="120" w:line="360" w:lineRule="auto"/>
              <w:rPr>
                <w:szCs w:val="24"/>
                <w:lang w:eastAsia="en-US"/>
              </w:rPr>
            </w:pPr>
            <w:r w:rsidRPr="00CB2133">
              <w:rPr>
                <w:b/>
                <w:i/>
                <w:sz w:val="22"/>
                <w:szCs w:val="24"/>
                <w:lang w:eastAsia="en-US"/>
              </w:rPr>
              <w:t>Ei kohaldata</w:t>
            </w:r>
          </w:p>
        </w:tc>
        <w:tc>
          <w:tcPr>
            <w:tcW w:w="0" w:type="auto"/>
          </w:tcPr>
          <w:p w14:paraId="55CECAFA" w14:textId="77777777" w:rsidR="00C45ED4" w:rsidRPr="00CB2133" w:rsidRDefault="00C45ED4" w:rsidP="00C45ED4">
            <w:pPr>
              <w:spacing w:before="120" w:after="120" w:line="360" w:lineRule="auto"/>
              <w:rPr>
                <w:b/>
                <w:i/>
                <w:szCs w:val="24"/>
                <w:vertAlign w:val="superscript"/>
                <w:lang w:eastAsia="en-US"/>
              </w:rPr>
            </w:pPr>
            <w:r w:rsidRPr="00CB2133">
              <w:rPr>
                <w:b/>
                <w:i/>
                <w:szCs w:val="24"/>
                <w:vertAlign w:val="superscript"/>
                <w:lang w:eastAsia="en-US"/>
              </w:rPr>
              <w:t>(7a)</w:t>
            </w:r>
          </w:p>
        </w:tc>
      </w:tr>
      <w:tr w:rsidR="00C45ED4" w:rsidRPr="00CB2133" w14:paraId="41669A5F" w14:textId="77777777" w:rsidTr="000238DA">
        <w:tc>
          <w:tcPr>
            <w:tcW w:w="0" w:type="auto"/>
          </w:tcPr>
          <w:p w14:paraId="39049E71" w14:textId="6CCB7830" w:rsidR="00C45ED4" w:rsidRPr="00CB2133" w:rsidRDefault="00C45ED4" w:rsidP="00C45ED4">
            <w:pPr>
              <w:spacing w:before="120" w:after="120" w:line="360" w:lineRule="auto"/>
              <w:rPr>
                <w:b/>
                <w:szCs w:val="24"/>
                <w:lang w:eastAsia="en-US"/>
              </w:rPr>
            </w:pPr>
            <w:r w:rsidRPr="00CB2133">
              <w:rPr>
                <w:szCs w:val="24"/>
                <w:lang w:eastAsia="en-US"/>
              </w:rPr>
              <w:t>4</w:t>
            </w:r>
            <w:r w:rsidR="00956089" w:rsidRPr="00CB2133">
              <w:rPr>
                <w:b/>
                <w:szCs w:val="24"/>
                <w:lang w:eastAsia="en-US"/>
              </w:rPr>
              <w:t xml:space="preserve"> </w:t>
            </w:r>
            <w:r w:rsidR="00956089" w:rsidRPr="00CB2133">
              <w:rPr>
                <w:b/>
                <w:szCs w:val="24"/>
                <w:lang w:eastAsia="en-US"/>
              </w:rPr>
              <w:lastRenderedPageBreak/>
              <w:t>[ME 146]</w:t>
            </w:r>
          </w:p>
        </w:tc>
        <w:tc>
          <w:tcPr>
            <w:tcW w:w="0" w:type="auto"/>
          </w:tcPr>
          <w:p w14:paraId="013F1F9C" w14:textId="77777777" w:rsidR="00C45ED4" w:rsidRPr="00CB2133" w:rsidRDefault="00C45ED4" w:rsidP="00C45ED4">
            <w:pPr>
              <w:spacing w:before="120" w:after="120" w:line="360" w:lineRule="auto"/>
              <w:rPr>
                <w:szCs w:val="24"/>
                <w:lang w:eastAsia="en-US"/>
              </w:rPr>
            </w:pPr>
            <w:r w:rsidRPr="00CB2133">
              <w:rPr>
                <w:szCs w:val="24"/>
                <w:lang w:eastAsia="en-US"/>
              </w:rPr>
              <w:lastRenderedPageBreak/>
              <w:t>Karbaamasepiin</w:t>
            </w:r>
          </w:p>
        </w:tc>
        <w:tc>
          <w:tcPr>
            <w:tcW w:w="0" w:type="auto"/>
          </w:tcPr>
          <w:p w14:paraId="6DAC4CE1" w14:textId="77777777" w:rsidR="00C45ED4" w:rsidRPr="00CB2133" w:rsidRDefault="00C45ED4" w:rsidP="00C45ED4">
            <w:pPr>
              <w:spacing w:before="120" w:after="120" w:line="360" w:lineRule="auto"/>
              <w:rPr>
                <w:szCs w:val="24"/>
                <w:lang w:eastAsia="en-US"/>
              </w:rPr>
            </w:pPr>
            <w:r w:rsidRPr="00CB2133">
              <w:rPr>
                <w:szCs w:val="24"/>
                <w:lang w:eastAsia="en-US"/>
              </w:rPr>
              <w:t>Ravimid</w:t>
            </w:r>
          </w:p>
        </w:tc>
        <w:tc>
          <w:tcPr>
            <w:tcW w:w="0" w:type="auto"/>
          </w:tcPr>
          <w:p w14:paraId="060E5033" w14:textId="77777777" w:rsidR="00C45ED4" w:rsidRPr="00CB2133" w:rsidRDefault="00C45ED4" w:rsidP="00C45ED4">
            <w:pPr>
              <w:spacing w:before="120" w:after="120" w:line="360" w:lineRule="auto"/>
              <w:rPr>
                <w:szCs w:val="24"/>
                <w:lang w:eastAsia="en-US"/>
              </w:rPr>
            </w:pPr>
            <w:r w:rsidRPr="00CB2133">
              <w:rPr>
                <w:szCs w:val="24"/>
                <w:lang w:eastAsia="en-US"/>
              </w:rPr>
              <w:t>298-46-4</w:t>
            </w:r>
          </w:p>
        </w:tc>
        <w:tc>
          <w:tcPr>
            <w:tcW w:w="0" w:type="auto"/>
          </w:tcPr>
          <w:p w14:paraId="6E27684D" w14:textId="77777777" w:rsidR="00C45ED4" w:rsidRPr="00CB2133" w:rsidRDefault="00C45ED4" w:rsidP="00C45ED4">
            <w:pPr>
              <w:spacing w:before="120" w:after="120" w:line="360" w:lineRule="auto"/>
              <w:rPr>
                <w:szCs w:val="24"/>
                <w:lang w:eastAsia="en-US"/>
              </w:rPr>
            </w:pPr>
            <w:r w:rsidRPr="00CB2133">
              <w:rPr>
                <w:szCs w:val="24"/>
                <w:lang w:eastAsia="en-US"/>
              </w:rPr>
              <w:t xml:space="preserve">Ei </w:t>
            </w:r>
            <w:r w:rsidRPr="00CB2133">
              <w:rPr>
                <w:szCs w:val="24"/>
                <w:lang w:eastAsia="en-US"/>
              </w:rPr>
              <w:lastRenderedPageBreak/>
              <w:t>kohaldata</w:t>
            </w:r>
          </w:p>
        </w:tc>
        <w:tc>
          <w:tcPr>
            <w:tcW w:w="0" w:type="auto"/>
          </w:tcPr>
          <w:p w14:paraId="78D93F84" w14:textId="0ECA77AD" w:rsidR="00C45ED4" w:rsidRPr="00CB2133" w:rsidRDefault="00C45ED4" w:rsidP="00C45ED4">
            <w:pPr>
              <w:spacing w:before="120" w:after="120" w:line="360" w:lineRule="auto"/>
              <w:rPr>
                <w:szCs w:val="24"/>
                <w:lang w:eastAsia="en-US"/>
              </w:rPr>
            </w:pPr>
            <w:r w:rsidRPr="00CB2133">
              <w:rPr>
                <w:strike/>
                <w:szCs w:val="24"/>
                <w:lang w:eastAsia="en-US"/>
              </w:rPr>
              <w:lastRenderedPageBreak/>
              <w:t>0,25</w:t>
            </w:r>
            <w:r w:rsidR="00956089" w:rsidRPr="00CB2133">
              <w:rPr>
                <w:b/>
                <w:i/>
                <w:szCs w:val="24"/>
                <w:lang w:eastAsia="en-US"/>
              </w:rPr>
              <w:t>0,025</w:t>
            </w:r>
          </w:p>
        </w:tc>
      </w:tr>
      <w:tr w:rsidR="00C45ED4" w:rsidRPr="00CB2133" w14:paraId="32D75158" w14:textId="77777777" w:rsidTr="000238DA">
        <w:tc>
          <w:tcPr>
            <w:tcW w:w="0" w:type="auto"/>
          </w:tcPr>
          <w:p w14:paraId="183D0C40" w14:textId="77777777" w:rsidR="00C45ED4" w:rsidRPr="00CB2133" w:rsidRDefault="00C45ED4" w:rsidP="00C45ED4">
            <w:pPr>
              <w:spacing w:before="120" w:after="120" w:line="360" w:lineRule="auto"/>
              <w:rPr>
                <w:szCs w:val="24"/>
                <w:lang w:eastAsia="en-US"/>
              </w:rPr>
            </w:pPr>
            <w:r w:rsidRPr="00CB2133">
              <w:rPr>
                <w:szCs w:val="24"/>
                <w:lang w:eastAsia="en-US"/>
              </w:rPr>
              <w:t>5</w:t>
            </w:r>
          </w:p>
        </w:tc>
        <w:tc>
          <w:tcPr>
            <w:tcW w:w="0" w:type="auto"/>
          </w:tcPr>
          <w:p w14:paraId="790BAFA4" w14:textId="77777777" w:rsidR="00C45ED4" w:rsidRPr="00CB2133" w:rsidRDefault="00C45ED4" w:rsidP="00C45ED4">
            <w:pPr>
              <w:spacing w:before="120" w:after="120" w:line="360" w:lineRule="auto"/>
              <w:rPr>
                <w:szCs w:val="24"/>
                <w:lang w:eastAsia="en-US"/>
              </w:rPr>
            </w:pPr>
            <w:r w:rsidRPr="00CB2133">
              <w:rPr>
                <w:szCs w:val="24"/>
                <w:lang w:eastAsia="en-US"/>
              </w:rPr>
              <w:t>Sulfametoksasool</w:t>
            </w:r>
          </w:p>
        </w:tc>
        <w:tc>
          <w:tcPr>
            <w:tcW w:w="0" w:type="auto"/>
          </w:tcPr>
          <w:p w14:paraId="505E0FDA" w14:textId="77777777" w:rsidR="00C45ED4" w:rsidRPr="00CB2133" w:rsidRDefault="00C45ED4" w:rsidP="00C45ED4">
            <w:pPr>
              <w:spacing w:before="120" w:after="120" w:line="360" w:lineRule="auto"/>
              <w:rPr>
                <w:szCs w:val="24"/>
                <w:lang w:eastAsia="en-US"/>
              </w:rPr>
            </w:pPr>
            <w:r w:rsidRPr="00CB2133">
              <w:rPr>
                <w:szCs w:val="24"/>
                <w:lang w:eastAsia="en-US"/>
              </w:rPr>
              <w:t>Ravimid</w:t>
            </w:r>
          </w:p>
        </w:tc>
        <w:tc>
          <w:tcPr>
            <w:tcW w:w="0" w:type="auto"/>
          </w:tcPr>
          <w:p w14:paraId="4392FFFA" w14:textId="77777777" w:rsidR="00C45ED4" w:rsidRPr="00CB2133" w:rsidRDefault="00C45ED4" w:rsidP="00C45ED4">
            <w:pPr>
              <w:spacing w:before="120" w:after="120" w:line="360" w:lineRule="auto"/>
              <w:rPr>
                <w:szCs w:val="24"/>
                <w:lang w:eastAsia="en-US"/>
              </w:rPr>
            </w:pPr>
            <w:r w:rsidRPr="00CB2133">
              <w:rPr>
                <w:szCs w:val="24"/>
                <w:lang w:eastAsia="en-US"/>
              </w:rPr>
              <w:t>723-46-6</w:t>
            </w:r>
          </w:p>
        </w:tc>
        <w:tc>
          <w:tcPr>
            <w:tcW w:w="0" w:type="auto"/>
          </w:tcPr>
          <w:p w14:paraId="7972F53B"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4A36C95A" w14:textId="77777777" w:rsidR="00C45ED4" w:rsidRPr="00CB2133" w:rsidRDefault="00C45ED4" w:rsidP="00C45ED4">
            <w:pPr>
              <w:spacing w:before="120" w:after="120" w:line="360" w:lineRule="auto"/>
              <w:rPr>
                <w:szCs w:val="24"/>
                <w:lang w:eastAsia="en-US"/>
              </w:rPr>
            </w:pPr>
            <w:r w:rsidRPr="00CB2133">
              <w:rPr>
                <w:szCs w:val="24"/>
                <w:lang w:eastAsia="en-US"/>
              </w:rPr>
              <w:t>0,01</w:t>
            </w:r>
          </w:p>
        </w:tc>
      </w:tr>
      <w:tr w:rsidR="00C45ED4" w:rsidRPr="00CB2133" w14:paraId="5006191A" w14:textId="77777777" w:rsidTr="000238DA">
        <w:tc>
          <w:tcPr>
            <w:tcW w:w="0" w:type="auto"/>
          </w:tcPr>
          <w:p w14:paraId="09587A09" w14:textId="60CF351D" w:rsidR="00C45ED4" w:rsidRPr="00CB2133" w:rsidRDefault="00C45ED4" w:rsidP="00C45ED4">
            <w:pPr>
              <w:spacing w:before="120" w:after="120" w:line="360" w:lineRule="auto"/>
              <w:rPr>
                <w:b/>
                <w:szCs w:val="24"/>
                <w:lang w:eastAsia="en-US"/>
              </w:rPr>
            </w:pPr>
            <w:r w:rsidRPr="00CB2133">
              <w:rPr>
                <w:szCs w:val="24"/>
                <w:lang w:eastAsia="en-US"/>
              </w:rPr>
              <w:t>6</w:t>
            </w:r>
            <w:r w:rsidR="00956089" w:rsidRPr="00CB2133">
              <w:rPr>
                <w:b/>
                <w:szCs w:val="24"/>
                <w:lang w:eastAsia="en-US"/>
              </w:rPr>
              <w:t xml:space="preserve"> [ME 147]</w:t>
            </w:r>
          </w:p>
        </w:tc>
        <w:tc>
          <w:tcPr>
            <w:tcW w:w="0" w:type="auto"/>
          </w:tcPr>
          <w:p w14:paraId="224E4F50" w14:textId="77777777" w:rsidR="00C45ED4" w:rsidRPr="00CB2133" w:rsidRDefault="00C45ED4" w:rsidP="00C45ED4">
            <w:pPr>
              <w:spacing w:before="120" w:after="120" w:line="360" w:lineRule="auto"/>
              <w:rPr>
                <w:szCs w:val="24"/>
                <w:lang w:eastAsia="en-US"/>
              </w:rPr>
            </w:pPr>
            <w:r w:rsidRPr="00CB2133">
              <w:rPr>
                <w:szCs w:val="24"/>
                <w:lang w:eastAsia="en-US"/>
              </w:rPr>
              <w:t>Farmakoloogilised toimeained – kokku</w:t>
            </w:r>
            <w:r w:rsidRPr="00CB2133">
              <w:rPr>
                <w:szCs w:val="24"/>
                <w:vertAlign w:val="superscript"/>
                <w:lang w:eastAsia="en-US"/>
              </w:rPr>
              <w:t>(8)</w:t>
            </w:r>
          </w:p>
        </w:tc>
        <w:tc>
          <w:tcPr>
            <w:tcW w:w="0" w:type="auto"/>
          </w:tcPr>
          <w:p w14:paraId="314571B3" w14:textId="77777777" w:rsidR="00C45ED4" w:rsidRPr="00CB2133" w:rsidRDefault="00C45ED4" w:rsidP="00C45ED4">
            <w:pPr>
              <w:spacing w:before="120" w:after="120" w:line="360" w:lineRule="auto"/>
              <w:rPr>
                <w:szCs w:val="24"/>
                <w:lang w:eastAsia="en-US"/>
              </w:rPr>
            </w:pPr>
            <w:r w:rsidRPr="00CB2133">
              <w:rPr>
                <w:szCs w:val="24"/>
                <w:lang w:eastAsia="en-US"/>
              </w:rPr>
              <w:t>Ravimid</w:t>
            </w:r>
          </w:p>
        </w:tc>
        <w:tc>
          <w:tcPr>
            <w:tcW w:w="0" w:type="auto"/>
          </w:tcPr>
          <w:p w14:paraId="5027BE5D"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1FBEC390"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7461339E" w14:textId="77777777" w:rsidR="00C45ED4" w:rsidRPr="00CB2133" w:rsidRDefault="00C45ED4" w:rsidP="00C45ED4">
            <w:pPr>
              <w:spacing w:before="120" w:after="120" w:line="360" w:lineRule="auto"/>
              <w:rPr>
                <w:szCs w:val="24"/>
                <w:lang w:eastAsia="en-US"/>
              </w:rPr>
            </w:pPr>
            <w:r w:rsidRPr="00CB2133">
              <w:rPr>
                <w:szCs w:val="24"/>
                <w:lang w:eastAsia="en-US"/>
              </w:rPr>
              <w:t>0,25</w:t>
            </w:r>
          </w:p>
        </w:tc>
      </w:tr>
      <w:tr w:rsidR="00C45ED4" w:rsidRPr="00CB2133" w14:paraId="30351D43" w14:textId="77777777" w:rsidTr="000238DA">
        <w:tc>
          <w:tcPr>
            <w:tcW w:w="0" w:type="auto"/>
            <w:vMerge w:val="restart"/>
          </w:tcPr>
          <w:p w14:paraId="14FDD915" w14:textId="444F9EB2" w:rsidR="00C45ED4" w:rsidRPr="00CB2133" w:rsidRDefault="00C45ED4" w:rsidP="00C45ED4">
            <w:pPr>
              <w:spacing w:before="120" w:after="120" w:line="360" w:lineRule="auto"/>
              <w:rPr>
                <w:b/>
                <w:szCs w:val="24"/>
                <w:lang w:eastAsia="en-US"/>
              </w:rPr>
            </w:pPr>
            <w:r w:rsidRPr="00CB2133">
              <w:rPr>
                <w:szCs w:val="24"/>
                <w:lang w:eastAsia="en-US"/>
              </w:rPr>
              <w:t>7</w:t>
            </w:r>
            <w:r w:rsidR="00956089" w:rsidRPr="00CB2133">
              <w:rPr>
                <w:b/>
                <w:szCs w:val="24"/>
                <w:lang w:eastAsia="en-US"/>
              </w:rPr>
              <w:t xml:space="preserve"> [ME 148]</w:t>
            </w:r>
          </w:p>
        </w:tc>
        <w:tc>
          <w:tcPr>
            <w:tcW w:w="0" w:type="auto"/>
            <w:vMerge w:val="restart"/>
          </w:tcPr>
          <w:p w14:paraId="697DBDEA" w14:textId="77777777" w:rsidR="00C45ED4" w:rsidRPr="00CB2133" w:rsidRDefault="00C45ED4" w:rsidP="00C45ED4">
            <w:pPr>
              <w:spacing w:before="120" w:after="120" w:line="360" w:lineRule="auto"/>
              <w:rPr>
                <w:szCs w:val="24"/>
                <w:lang w:eastAsia="en-US"/>
              </w:rPr>
            </w:pPr>
            <w:r w:rsidRPr="00CB2133">
              <w:rPr>
                <w:szCs w:val="24"/>
                <w:lang w:eastAsia="en-US"/>
              </w:rPr>
              <w:t>Pestitsiidide väheolulised metaboliidid</w:t>
            </w:r>
          </w:p>
        </w:tc>
        <w:tc>
          <w:tcPr>
            <w:tcW w:w="0" w:type="auto"/>
            <w:vMerge w:val="restart"/>
          </w:tcPr>
          <w:p w14:paraId="17EB9832" w14:textId="77777777" w:rsidR="00C45ED4" w:rsidRPr="00CB2133" w:rsidRDefault="00C45ED4" w:rsidP="00C45ED4">
            <w:pPr>
              <w:spacing w:before="120" w:after="120" w:line="360" w:lineRule="auto"/>
              <w:rPr>
                <w:szCs w:val="24"/>
                <w:lang w:eastAsia="en-US"/>
              </w:rPr>
            </w:pPr>
            <w:r w:rsidRPr="00CB2133">
              <w:rPr>
                <w:szCs w:val="24"/>
                <w:lang w:eastAsia="en-US"/>
              </w:rPr>
              <w:t>Pestitsiidid</w:t>
            </w:r>
          </w:p>
        </w:tc>
        <w:tc>
          <w:tcPr>
            <w:tcW w:w="0" w:type="auto"/>
            <w:vMerge w:val="restart"/>
          </w:tcPr>
          <w:p w14:paraId="443A7601"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vMerge w:val="restart"/>
          </w:tcPr>
          <w:p w14:paraId="11CDD4EA" w14:textId="77777777" w:rsidR="00C45ED4" w:rsidRPr="00CB2133" w:rsidRDefault="00C45ED4" w:rsidP="00C45ED4">
            <w:pPr>
              <w:spacing w:before="120" w:after="120" w:line="360" w:lineRule="auto"/>
              <w:rPr>
                <w:szCs w:val="24"/>
                <w:lang w:eastAsia="en-US"/>
              </w:rPr>
            </w:pPr>
            <w:r w:rsidRPr="00CB2133">
              <w:rPr>
                <w:szCs w:val="24"/>
                <w:lang w:eastAsia="en-US"/>
              </w:rPr>
              <w:t>Ei kohaldata</w:t>
            </w:r>
          </w:p>
        </w:tc>
        <w:tc>
          <w:tcPr>
            <w:tcW w:w="0" w:type="auto"/>
          </w:tcPr>
          <w:p w14:paraId="206DD29A" w14:textId="77777777" w:rsidR="00C45ED4" w:rsidRPr="00CB2133" w:rsidRDefault="00C45ED4" w:rsidP="00C45ED4">
            <w:pPr>
              <w:spacing w:before="120" w:after="120" w:line="360" w:lineRule="auto"/>
              <w:rPr>
                <w:szCs w:val="24"/>
                <w:lang w:eastAsia="en-US"/>
              </w:rPr>
            </w:pPr>
            <w:r w:rsidRPr="00CB2133">
              <w:rPr>
                <w:szCs w:val="24"/>
                <w:lang w:eastAsia="en-US"/>
              </w:rPr>
              <w:t>0,1</w:t>
            </w:r>
            <w:r w:rsidRPr="00CB2133">
              <w:rPr>
                <w:strike/>
                <w:szCs w:val="24"/>
                <w:vertAlign w:val="superscript"/>
                <w:lang w:eastAsia="en-US"/>
              </w:rPr>
              <w:t>(9)</w:t>
            </w:r>
            <w:r w:rsidRPr="00CB2133">
              <w:rPr>
                <w:strike/>
                <w:szCs w:val="24"/>
                <w:lang w:eastAsia="en-US"/>
              </w:rPr>
              <w:t xml:space="preserve"> või 1</w:t>
            </w:r>
            <w:r w:rsidRPr="00CB2133">
              <w:rPr>
                <w:strike/>
                <w:szCs w:val="24"/>
                <w:vertAlign w:val="superscript"/>
                <w:lang w:eastAsia="en-US"/>
              </w:rPr>
              <w:t>(10)</w:t>
            </w:r>
            <w:r w:rsidRPr="00CB2133">
              <w:rPr>
                <w:strike/>
                <w:szCs w:val="24"/>
                <w:lang w:eastAsia="en-US"/>
              </w:rPr>
              <w:t xml:space="preserve"> või 2,5 või 5</w:t>
            </w:r>
            <w:r w:rsidRPr="00CB2133">
              <w:rPr>
                <w:strike/>
                <w:szCs w:val="24"/>
                <w:vertAlign w:val="superscript"/>
                <w:lang w:eastAsia="en-US"/>
              </w:rPr>
              <w:t>(11)</w:t>
            </w:r>
            <w:r w:rsidRPr="00CB2133">
              <w:rPr>
                <w:szCs w:val="24"/>
                <w:vertAlign w:val="superscript"/>
                <w:lang w:eastAsia="en-US"/>
              </w:rPr>
              <w:t xml:space="preserve"> </w:t>
            </w:r>
            <w:r w:rsidRPr="00CB2133">
              <w:rPr>
                <w:szCs w:val="24"/>
                <w:lang w:eastAsia="en-US"/>
              </w:rPr>
              <w:t>(üksikaine)</w:t>
            </w:r>
          </w:p>
        </w:tc>
      </w:tr>
      <w:tr w:rsidR="00C45ED4" w:rsidRPr="00CB2133" w14:paraId="3E9B3040" w14:textId="77777777" w:rsidTr="000238DA">
        <w:tc>
          <w:tcPr>
            <w:tcW w:w="0" w:type="auto"/>
            <w:vMerge/>
          </w:tcPr>
          <w:p w14:paraId="00B0597A" w14:textId="77777777" w:rsidR="00C45ED4" w:rsidRPr="00CB2133" w:rsidRDefault="00C45ED4" w:rsidP="00C45ED4">
            <w:pPr>
              <w:spacing w:before="120" w:after="120" w:line="360" w:lineRule="auto"/>
              <w:rPr>
                <w:szCs w:val="24"/>
                <w:lang w:eastAsia="en-US"/>
              </w:rPr>
            </w:pPr>
          </w:p>
        </w:tc>
        <w:tc>
          <w:tcPr>
            <w:tcW w:w="0" w:type="auto"/>
            <w:vMerge/>
          </w:tcPr>
          <w:p w14:paraId="08655166" w14:textId="77777777" w:rsidR="00C45ED4" w:rsidRPr="00CB2133" w:rsidRDefault="00C45ED4" w:rsidP="00C45ED4">
            <w:pPr>
              <w:spacing w:before="120" w:after="120" w:line="360" w:lineRule="auto"/>
              <w:rPr>
                <w:szCs w:val="24"/>
                <w:lang w:eastAsia="en-US"/>
              </w:rPr>
            </w:pPr>
          </w:p>
        </w:tc>
        <w:tc>
          <w:tcPr>
            <w:tcW w:w="0" w:type="auto"/>
            <w:vMerge/>
          </w:tcPr>
          <w:p w14:paraId="31F072C0" w14:textId="77777777" w:rsidR="00C45ED4" w:rsidRPr="00CB2133" w:rsidRDefault="00C45ED4" w:rsidP="00C45ED4">
            <w:pPr>
              <w:spacing w:before="120" w:after="120" w:line="360" w:lineRule="auto"/>
              <w:rPr>
                <w:szCs w:val="24"/>
                <w:lang w:eastAsia="en-US"/>
              </w:rPr>
            </w:pPr>
          </w:p>
        </w:tc>
        <w:tc>
          <w:tcPr>
            <w:tcW w:w="0" w:type="auto"/>
            <w:vMerge/>
          </w:tcPr>
          <w:p w14:paraId="706EF3AB" w14:textId="77777777" w:rsidR="00C45ED4" w:rsidRPr="00CB2133" w:rsidRDefault="00C45ED4" w:rsidP="00C45ED4">
            <w:pPr>
              <w:spacing w:before="120" w:after="120" w:line="360" w:lineRule="auto"/>
              <w:rPr>
                <w:szCs w:val="24"/>
                <w:lang w:eastAsia="en-US"/>
              </w:rPr>
            </w:pPr>
          </w:p>
        </w:tc>
        <w:tc>
          <w:tcPr>
            <w:tcW w:w="0" w:type="auto"/>
            <w:vMerge/>
          </w:tcPr>
          <w:p w14:paraId="6B86ED5A" w14:textId="77777777" w:rsidR="00C45ED4" w:rsidRPr="00CB2133" w:rsidRDefault="00C45ED4" w:rsidP="00C45ED4">
            <w:pPr>
              <w:spacing w:before="120" w:after="120" w:line="360" w:lineRule="auto"/>
              <w:rPr>
                <w:szCs w:val="24"/>
                <w:lang w:eastAsia="en-US"/>
              </w:rPr>
            </w:pPr>
          </w:p>
        </w:tc>
        <w:tc>
          <w:tcPr>
            <w:tcW w:w="0" w:type="auto"/>
          </w:tcPr>
          <w:p w14:paraId="324C9274" w14:textId="2096CC25" w:rsidR="00C45ED4" w:rsidRPr="00CB2133" w:rsidRDefault="00C45ED4" w:rsidP="001D41FA">
            <w:pPr>
              <w:keepLines/>
              <w:spacing w:before="120" w:after="120" w:line="360" w:lineRule="auto"/>
              <w:rPr>
                <w:szCs w:val="24"/>
                <w:lang w:eastAsia="en-US"/>
              </w:rPr>
            </w:pPr>
            <w:r w:rsidRPr="00CB2133">
              <w:rPr>
                <w:szCs w:val="24"/>
                <w:lang w:eastAsia="en-US"/>
              </w:rPr>
              <w:t>0,5</w:t>
            </w:r>
            <w:r w:rsidRPr="00CB2133">
              <w:rPr>
                <w:strike/>
                <w:szCs w:val="24"/>
                <w:vertAlign w:val="superscript"/>
                <w:lang w:eastAsia="en-US"/>
              </w:rPr>
              <w:t>(9)</w:t>
            </w:r>
            <w:r w:rsidRPr="00CB2133">
              <w:rPr>
                <w:strike/>
                <w:szCs w:val="24"/>
                <w:lang w:eastAsia="en-US"/>
              </w:rPr>
              <w:t xml:space="preserve"> või 5</w:t>
            </w:r>
            <w:r w:rsidRPr="00CB2133">
              <w:rPr>
                <w:strike/>
                <w:szCs w:val="24"/>
                <w:vertAlign w:val="superscript"/>
                <w:lang w:eastAsia="en-US"/>
              </w:rPr>
              <w:t>(10)</w:t>
            </w:r>
            <w:r w:rsidRPr="00CB2133">
              <w:rPr>
                <w:strike/>
                <w:szCs w:val="24"/>
                <w:lang w:eastAsia="en-US"/>
              </w:rPr>
              <w:t xml:space="preserve"> või 12,5</w:t>
            </w:r>
            <w:r w:rsidRPr="00CB2133">
              <w:rPr>
                <w:strike/>
                <w:szCs w:val="24"/>
                <w:vertAlign w:val="superscript"/>
                <w:lang w:eastAsia="en-US"/>
              </w:rPr>
              <w:t>(11)</w:t>
            </w:r>
            <w:r w:rsidRPr="00CB2133">
              <w:rPr>
                <w:szCs w:val="24"/>
                <w:lang w:eastAsia="en-US"/>
              </w:rPr>
              <w:t xml:space="preserve"> (kokku)</w:t>
            </w:r>
            <w:r w:rsidRPr="00CB2133">
              <w:rPr>
                <w:szCs w:val="24"/>
                <w:vertAlign w:val="superscript"/>
                <w:lang w:eastAsia="en-US"/>
              </w:rPr>
              <w:t>(12)</w:t>
            </w:r>
          </w:p>
        </w:tc>
      </w:tr>
    </w:tbl>
    <w:p w14:paraId="2049304E" w14:textId="77777777" w:rsidR="0097022D" w:rsidRPr="00CB2133" w:rsidRDefault="0097022D">
      <w:pPr>
        <w:widowControl/>
        <w:rPr>
          <w:szCs w:val="24"/>
          <w:lang w:eastAsia="en-US"/>
        </w:rPr>
        <w:sectPr w:rsidR="0097022D" w:rsidRPr="00CB2133" w:rsidSect="0097022D">
          <w:footnotePr>
            <w:numRestart w:val="eachSect"/>
          </w:footnotePr>
          <w:endnotePr>
            <w:numFmt w:val="decimal"/>
          </w:endnotePr>
          <w:type w:val="continuous"/>
          <w:pgSz w:w="16834" w:h="11909" w:orient="landscape"/>
          <w:pgMar w:top="1134" w:right="1134" w:bottom="1418" w:left="1418" w:header="1134" w:footer="567" w:gutter="0"/>
          <w:cols w:space="720"/>
          <w:docGrid w:linePitch="326"/>
        </w:sectPr>
      </w:pPr>
    </w:p>
    <w:p w14:paraId="6296E55C" w14:textId="17C0828D"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1)</w:t>
      </w:r>
      <w:r w:rsidR="00C45ED4" w:rsidRPr="00CB2133">
        <w:rPr>
          <w:szCs w:val="24"/>
          <w:lang w:eastAsia="en-US"/>
        </w:rPr>
        <w:tab/>
        <w:t>CAS – Chemical Abstracts Service.</w:t>
      </w:r>
    </w:p>
    <w:p w14:paraId="51E9D9A8" w14:textId="4F5D0C13"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w:t>
      </w:r>
      <w:r w:rsidR="00C45ED4" w:rsidRPr="00CB2133">
        <w:rPr>
          <w:szCs w:val="24"/>
          <w:lang w:eastAsia="en-US"/>
        </w:rPr>
        <w:tab/>
        <w:t>ELi number – Euroopa kaubanduslike keemiliste ainete loetelu (EINECS) või Euroopa uute keemiliste ainete loetelu (ELINCS) number.</w:t>
      </w:r>
    </w:p>
    <w:p w14:paraId="134FD6B4" w14:textId="3FA51F3A"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3)</w:t>
      </w:r>
      <w:r w:rsidR="00C45ED4" w:rsidRPr="00CB2133">
        <w:rPr>
          <w:szCs w:val="24"/>
          <w:lang w:eastAsia="en-US"/>
        </w:rPr>
        <w:tab/>
        <w:t>See näitaja on aasta keskmise väärtusena väljendatud kvaliteedistandard. Kui ei ole märgitud teisiti, kohaldatakse seda kõikide ainete ja isomeeride summaarse kontsentratsiooni suhtes.</w:t>
      </w:r>
    </w:p>
    <w:p w14:paraId="78EC749B" w14:textId="3CABC43E"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4)</w:t>
      </w:r>
      <w:r w:rsidR="00C45ED4" w:rsidRPr="00CB2133">
        <w:rPr>
          <w:szCs w:val="24"/>
          <w:lang w:eastAsia="en-US"/>
        </w:rPr>
        <w:tab/>
        <w:t>Mõistega „pestitsiidid“ tähistatakse taimekaitsevahendeid ja biotsiide, millele on osutatud vastavalt taimekaitsevahendite turulelaskmist käsitleva Euroopa Parlamendi ja nõukogu 21. oktoobri 2009. aasta määruse (EÜ) nr 1107/2009 artiklis 2 ning biotsiidide turul kättesaadavaks tegemist ja kasutamist käsitleva Euroopa Parlamendi ja nõukogu 22. mai 2012. aasta määruse (EL) nr 528/2012 artiklis 3.</w:t>
      </w:r>
    </w:p>
    <w:p w14:paraId="22424783" w14:textId="24946600" w:rsidR="00C45ED4" w:rsidRPr="00CB2133" w:rsidRDefault="002310C9" w:rsidP="00C45ED4">
      <w:pPr>
        <w:spacing w:before="120" w:after="120" w:line="360" w:lineRule="auto"/>
        <w:ind w:left="1416" w:hanging="566"/>
        <w:rPr>
          <w:szCs w:val="24"/>
          <w:lang w:eastAsia="en-US"/>
        </w:rPr>
      </w:pPr>
      <w:r w:rsidRPr="00CB2133">
        <w:rPr>
          <w:b/>
          <w:i/>
          <w:szCs w:val="24"/>
          <w:vertAlign w:val="superscript"/>
          <w:lang w:eastAsia="en-US"/>
        </w:rPr>
        <w:t>(</w:t>
      </w:r>
      <w:r w:rsidR="00C45ED4" w:rsidRPr="00CB2133">
        <w:rPr>
          <w:b/>
          <w:i/>
          <w:szCs w:val="24"/>
          <w:vertAlign w:val="superscript"/>
          <w:lang w:eastAsia="en-US"/>
        </w:rPr>
        <w:t>4a)</w:t>
      </w:r>
      <w:r w:rsidR="00C45ED4" w:rsidRPr="00CB2133">
        <w:rPr>
          <w:szCs w:val="24"/>
          <w:lang w:eastAsia="en-US"/>
        </w:rPr>
        <w:tab/>
      </w:r>
      <w:r w:rsidR="00C45ED4" w:rsidRPr="00CB2133">
        <w:rPr>
          <w:b/>
          <w:i/>
          <w:szCs w:val="24"/>
          <w:lang w:eastAsia="en-US"/>
        </w:rPr>
        <w:t>Seda läviväärtust kohaldatakse ainult kuni komisjonipoolse läbivaatamiseni.</w:t>
      </w:r>
    </w:p>
    <w:p w14:paraId="63BE20F6" w14:textId="6C19E1EB"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5)</w:t>
      </w:r>
      <w:r w:rsidR="00C45ED4" w:rsidRPr="00CB2133">
        <w:rPr>
          <w:szCs w:val="24"/>
          <w:lang w:eastAsia="en-US"/>
        </w:rPr>
        <w:tab/>
        <w:t>„Kokku“ tähendab kõikide seire käigus tuvastatud ja kvantifitseeritud pestitsiidide, sealhulgas nende pestitsiidide oluliste metaboliitide ning lagunemis- ja reaktsioonisaaduste summaarset kontsentratsiooni.</w:t>
      </w:r>
      <w:r w:rsidR="00C45ED4" w:rsidRPr="00CB2133">
        <w:rPr>
          <w:b/>
          <w:i/>
          <w:szCs w:val="24"/>
          <w:lang w:eastAsia="en-US"/>
        </w:rPr>
        <w:t xml:space="preserve"> Kõikide pestitsiidide summa suhtes kehtestatud läviväärtust kohaldatakse üksnes kuni komisjonipoolse läbivaatamiseni.</w:t>
      </w:r>
    </w:p>
    <w:p w14:paraId="5579DAA7" w14:textId="77777777" w:rsidR="002310C9" w:rsidRPr="00CB2133" w:rsidRDefault="002310C9">
      <w:pPr>
        <w:widowControl/>
        <w:rPr>
          <w:szCs w:val="24"/>
          <w:vertAlign w:val="superscript"/>
          <w:lang w:eastAsia="en-US"/>
        </w:rPr>
      </w:pPr>
      <w:r w:rsidRPr="00CB2133">
        <w:rPr>
          <w:szCs w:val="24"/>
          <w:vertAlign w:val="superscript"/>
          <w:lang w:eastAsia="en-US"/>
        </w:rPr>
        <w:br w:type="page"/>
      </w:r>
    </w:p>
    <w:p w14:paraId="10037C4D" w14:textId="7B03A264"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6)</w:t>
      </w:r>
      <w:r w:rsidR="00C45ED4" w:rsidRPr="00CB2133">
        <w:rPr>
          <w:szCs w:val="24"/>
          <w:lang w:eastAsia="en-US"/>
        </w:rPr>
        <w:tab/>
        <w:t>Peetakse silmas järgmisi ühendeid, loetletuna koos ühendi CASi numbri, ELi numbri ja suhtelise potentsuse teguriga (RPF): perfluorooktaanhape (PFOA) (CASi nr: 335-67-1; ELi nr: 206-397-9) (RPF: 1), perfluorooktaansulfoonhape (PFOS) (CASi nr: 1763-23-1; ELi nr: 217-179-8) (RPF: 2), perfluoroheksaansulfoonhape (PFHxS) (CASi nr: 355-46-4; ELi nr: 206-587-1) (RPF: 0,6), perfluorononaanhape (PFNA) (CASi nr: 375-95-1; ELi nr: 206-801-3) (RPF: 10), perfluorobutaansulfoonhape (PFBS) (CASi nr: 375-73-5; ELi nr: 206-793-1) (RPF: 0,001), perfluoroheksaanhape (PFHxA) (CASi nr: 307-24-4; ELi nr: 206-196-6) (RPF: 0,01), perfluorobutaanhape (PFBA) (CASi nr: 375-22-4; ELi nr: 206-786-3) (RPF: 0,05), perfluoropentaanhape (PFPeA) (CASi nr: 2706-90-3; ELi nr: 220-300-7) (RPF: 0,03), perfluoropentaansulfoonhape (PFPeS) (CASi nr: 2706-91-4; ELi nr: 220-301-2) (RPF: 0,3005), perfluorodekaanhape (PFDA) (CASi nr: 335-76-2; ELi nr: 206-400-3) (RPF: 7), perfluorododekaanhape (PFDoDA või PFDoA) (CASi nr: 307-55-1; ELi nr: 206-203-2) (RPF: 3), perfluoroundekaanhape (PFUnDA või PFUnA) (CASi nr: 2058-94-8; ELi nr: 218-165-4) (RPF: 4), perfluoroheptaanhape (PFHpA) (CASi nr: 375-85-9; ELi nr: 206-798-9) (RPF: 0,505), perfluorotridekaanhape (PFTrDA) (CASi nr: 72629-94-8; ELi nr: 276-745-2) (RPF: 1,65), perfluoroheptaansulfoonhape (PFHpS) (CASi nr: 375-92-8; ELi nr: 206-800-8) (RPF: 1,3), perfluorodekaansulfoonhape (PFDS) (CASi nr: 335-77-3; ELi nr: 206-401-9) (RPF: 2), perfluorotetradekaanhape (PFTeDA) (CASi nr: 376-06-7; ELi nr: 206-803-4) (RPF: 0,3), perfluoroheksadekaanhape (PFHxDA) (CASi nr: 67905-19-5; ELi nr: 267-638-1) (RPF: 0,02), perfluorooktadekaanhape (PFODA) (CASi nr: 16517-11-6; ELi nr: 240-582-5) (RPF: 0,02), ammooniumperfluoro(2-metüül-3-oksaheksanaat) (HFPO-DA või Gen X) (CASi nr: 62037-80-3) (RPF: 0,06), ammoonium-2,2,3-trifluoro-3-(1,1,2,2,3,3-heksafluoro-3-(trifluorometoksü)propoksü)propanaat (ADONA) (CASi nr: 958445-44-8) (RPF: 0,03), 2- (perfluoroheksüül)etüülalkohol (6:2 FTOH) (CASi nr: 647-42-7; ELi nr: 211-477-1) (RPF: 0,02), 2-(perfluorooktüül)etanool (8:2 FTOH) (CASi nr: 678-39-7; ELi nr: 211-648-0) (RPF: 0,04) ja 2,2-difluoro-2-((2,2,4,5-tetrafluoro-5-(trifluorometoksü)-1,3-dioksolaan-4-üül)oksü)äädikhape (C6O4) (CASi nr: 1190931-41-9) (RPF: 0,06).</w:t>
      </w:r>
    </w:p>
    <w:p w14:paraId="7532BB30" w14:textId="77777777" w:rsidR="002310C9" w:rsidRPr="00CB2133" w:rsidRDefault="002310C9">
      <w:pPr>
        <w:widowControl/>
        <w:rPr>
          <w:szCs w:val="24"/>
          <w:lang w:eastAsia="en-US"/>
        </w:rPr>
      </w:pPr>
      <w:r w:rsidRPr="00CB2133">
        <w:rPr>
          <w:szCs w:val="24"/>
          <w:lang w:eastAsia="en-US"/>
        </w:rPr>
        <w:br w:type="page"/>
      </w:r>
    </w:p>
    <w:p w14:paraId="70C43DE8" w14:textId="4E7EE562"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7)</w:t>
      </w:r>
      <w:r w:rsidR="00C45ED4" w:rsidRPr="00CB2133">
        <w:rPr>
          <w:szCs w:val="24"/>
          <w:lang w:eastAsia="en-US"/>
        </w:rPr>
        <w:tab/>
        <w:t>Seda kvaliteedistandardit kohaldatakse joonealuses märkuses 6 loetletud 24 PFASi summaarse kontsentratsiooni suhtes, mis on väljendatud PFOA-ekvivalentides lähtuvalt asjaomaste ainete suhtelisest potentsusest võrdluses PFOAga, st lähtuvalt nende RPFst, mis on esitatud joonealuses märkuses 6.</w:t>
      </w:r>
    </w:p>
    <w:p w14:paraId="3387E65E" w14:textId="3644116E" w:rsidR="00C45ED4" w:rsidRPr="00CB2133" w:rsidRDefault="002310C9" w:rsidP="00C45ED4">
      <w:pPr>
        <w:spacing w:before="120" w:after="120" w:line="360" w:lineRule="auto"/>
        <w:ind w:left="1416" w:hanging="566"/>
        <w:rPr>
          <w:szCs w:val="24"/>
          <w:lang w:eastAsia="en-US"/>
        </w:rPr>
      </w:pPr>
      <w:r w:rsidRPr="00CB2133">
        <w:rPr>
          <w:b/>
          <w:i/>
          <w:szCs w:val="24"/>
          <w:vertAlign w:val="superscript"/>
          <w:lang w:eastAsia="en-US"/>
        </w:rPr>
        <w:t>(</w:t>
      </w:r>
      <w:r w:rsidR="00C45ED4" w:rsidRPr="00CB2133">
        <w:rPr>
          <w:b/>
          <w:i/>
          <w:szCs w:val="24"/>
          <w:vertAlign w:val="superscript"/>
          <w:lang w:eastAsia="en-US"/>
        </w:rPr>
        <w:t>7a)</w:t>
      </w:r>
      <w:r w:rsidR="00C45ED4" w:rsidRPr="00CB2133">
        <w:rPr>
          <w:szCs w:val="24"/>
          <w:lang w:eastAsia="en-US"/>
        </w:rPr>
        <w:tab/>
      </w:r>
      <w:r w:rsidR="00C45ED4" w:rsidRPr="00CB2133">
        <w:rPr>
          <w:b/>
          <w:i/>
          <w:szCs w:val="24"/>
          <w:lang w:eastAsia="en-US"/>
        </w:rPr>
        <w:t>Kvaliteedistandardi kehtestab komisjon delegeeritud õigusaktiga.</w:t>
      </w:r>
    </w:p>
    <w:p w14:paraId="7F9D6C00" w14:textId="6C5D7F80"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8)</w:t>
      </w:r>
      <w:r w:rsidR="00C45ED4" w:rsidRPr="00CB2133">
        <w:rPr>
          <w:szCs w:val="24"/>
          <w:lang w:eastAsia="en-US"/>
        </w:rPr>
        <w:tab/>
        <w:t>„Kokku“ tähendab kõikide seire käigus tuvastatud ja kvantifitseeritud ravimite, sealhulgas oluliste metaboliitide ja lagunemissaaduste summaarset kontsentratsiooni.</w:t>
      </w:r>
    </w:p>
    <w:p w14:paraId="5545439F" w14:textId="59F149D5" w:rsidR="00C45ED4" w:rsidRPr="00CB2133" w:rsidRDefault="002310C9" w:rsidP="00C45ED4">
      <w:pPr>
        <w:spacing w:before="120" w:after="120" w:line="360" w:lineRule="auto"/>
        <w:ind w:left="1416" w:hanging="566"/>
        <w:rPr>
          <w:szCs w:val="24"/>
          <w:lang w:eastAsia="en-US"/>
        </w:rPr>
      </w:pPr>
      <w:r w:rsidRPr="00CB2133">
        <w:rPr>
          <w:strike/>
          <w:szCs w:val="24"/>
          <w:vertAlign w:val="superscript"/>
          <w:lang w:eastAsia="en-US"/>
        </w:rPr>
        <w:t>(</w:t>
      </w:r>
      <w:r w:rsidR="00C45ED4" w:rsidRPr="00CB2133">
        <w:rPr>
          <w:strike/>
          <w:szCs w:val="24"/>
          <w:vertAlign w:val="superscript"/>
          <w:lang w:eastAsia="en-US"/>
        </w:rPr>
        <w:t>9)</w:t>
      </w:r>
      <w:r w:rsidR="00C45ED4" w:rsidRPr="00CB2133">
        <w:rPr>
          <w:szCs w:val="24"/>
          <w:lang w:eastAsia="en-US"/>
        </w:rPr>
        <w:tab/>
      </w:r>
      <w:r w:rsidR="00C45ED4" w:rsidRPr="00CB2133">
        <w:rPr>
          <w:strike/>
          <w:szCs w:val="24"/>
          <w:lang w:eastAsia="en-US"/>
        </w:rPr>
        <w:t>Kohaldatakse „andmevaeste“ ehk selliste väheoluliste metaboliitide suhtes, mille kohta puuduvad usaldusväärsed katseandmed seoses nende kroonilise või ägeda mõjuga usaldusväärse prognoosi kohaselt kõige tundlikumas taksonoomilises rühmas.</w:t>
      </w:r>
    </w:p>
    <w:p w14:paraId="5D3FFBE8" w14:textId="18AA65CB" w:rsidR="00C45ED4" w:rsidRPr="00CB2133" w:rsidRDefault="002310C9" w:rsidP="00C45ED4">
      <w:pPr>
        <w:spacing w:before="120" w:after="120" w:line="360" w:lineRule="auto"/>
        <w:ind w:left="1416" w:hanging="566"/>
        <w:rPr>
          <w:szCs w:val="24"/>
          <w:lang w:eastAsia="en-US"/>
        </w:rPr>
      </w:pPr>
      <w:r w:rsidRPr="00CB2133">
        <w:rPr>
          <w:strike/>
          <w:szCs w:val="24"/>
          <w:vertAlign w:val="superscript"/>
          <w:lang w:eastAsia="en-US"/>
        </w:rPr>
        <w:t>(</w:t>
      </w:r>
      <w:r w:rsidR="00C45ED4" w:rsidRPr="00CB2133">
        <w:rPr>
          <w:strike/>
          <w:szCs w:val="24"/>
          <w:vertAlign w:val="superscript"/>
          <w:lang w:eastAsia="en-US"/>
        </w:rPr>
        <w:t>10)</w:t>
      </w:r>
      <w:r w:rsidR="00C45ED4" w:rsidRPr="00CB2133">
        <w:rPr>
          <w:szCs w:val="24"/>
          <w:lang w:eastAsia="en-US"/>
        </w:rPr>
        <w:tab/>
      </w:r>
      <w:r w:rsidR="00C45ED4" w:rsidRPr="00CB2133">
        <w:rPr>
          <w:strike/>
          <w:szCs w:val="24"/>
          <w:lang w:eastAsia="en-US"/>
        </w:rPr>
        <w:t>Kohaldatakse selliste väheoluliste metaboliitide suhtes, mille kohta on olemas usaldusväärsed katseandmed seoses nende kroonilise või ägeda mõjuga usaldusväärse prognoosi kohaselt kõige tundlikumas taksonoomilises rühmas, kuid need andmed ei ole piisavad asjaomaste ainete liigitamiseks „andmerikaste“ hulka.</w:t>
      </w:r>
    </w:p>
    <w:p w14:paraId="716D0634" w14:textId="77777777" w:rsidR="002310C9" w:rsidRPr="00CB2133" w:rsidRDefault="002310C9">
      <w:pPr>
        <w:widowControl/>
        <w:rPr>
          <w:strike/>
          <w:szCs w:val="24"/>
          <w:vertAlign w:val="superscript"/>
          <w:lang w:eastAsia="en-US"/>
        </w:rPr>
      </w:pPr>
      <w:r w:rsidRPr="00CB2133">
        <w:rPr>
          <w:strike/>
          <w:szCs w:val="24"/>
          <w:vertAlign w:val="superscript"/>
          <w:lang w:eastAsia="en-US"/>
        </w:rPr>
        <w:br w:type="page"/>
      </w:r>
    </w:p>
    <w:p w14:paraId="7AAFE89E" w14:textId="6557B94F" w:rsidR="00C45ED4" w:rsidRPr="00CB2133" w:rsidRDefault="002310C9" w:rsidP="00C45ED4">
      <w:pPr>
        <w:spacing w:before="120" w:after="120" w:line="360" w:lineRule="auto"/>
        <w:ind w:left="1416" w:hanging="566"/>
        <w:rPr>
          <w:szCs w:val="24"/>
          <w:lang w:eastAsia="en-US"/>
        </w:rPr>
      </w:pPr>
      <w:r w:rsidRPr="00CB2133">
        <w:rPr>
          <w:strike/>
          <w:szCs w:val="24"/>
          <w:vertAlign w:val="superscript"/>
          <w:lang w:eastAsia="en-US"/>
        </w:rPr>
        <w:lastRenderedPageBreak/>
        <w:t>(</w:t>
      </w:r>
      <w:r w:rsidR="00C45ED4" w:rsidRPr="00CB2133">
        <w:rPr>
          <w:strike/>
          <w:szCs w:val="24"/>
          <w:vertAlign w:val="superscript"/>
          <w:lang w:eastAsia="en-US"/>
        </w:rPr>
        <w:t>11)</w:t>
      </w:r>
      <w:r w:rsidR="00C45ED4" w:rsidRPr="00CB2133">
        <w:rPr>
          <w:strike/>
          <w:szCs w:val="24"/>
          <w:lang w:eastAsia="en-US"/>
        </w:rPr>
        <w:tab/>
        <w:t>Kohaldatakse „andmerikaste“ ehk selliste väheoluliste metaboliitide suhtes, mille kohta on olemas usaldusväärsed katseandmed või muud sama usaldusväärsed alternatiivse teaduslikult valideeritud meetodiga saadud andmed seoses nende kroonilise või ägeda mõjuga vähemalt ühele vetikaliigile, selgrootute liigile ja kalaliigile ning mille puhul need andmed võimaldavad teha usaldusväärselt kindlaks kõige tundlikuma taksonoomilise rühma; ühtlasi peab kõnealuse taksonoomilise rühma kohta saadud usaldusväärsete kroonilist mürgisust käsitlevate katseandmete põhjal olema võimalik deterministliku lähenemisviisi abil arvutada sellise metaboliidi jaoks välja kvaliteedistandard. Liikmesriigid võivad sel eesmärgil kohaldada uusimaid suuniseid, mis on koostatud direktiivi 2000/60/EÜ käsitleva ühise rakendusstrateegia raames (ajakohastatud juhenddokument nr 27). Iga üksiku väheolulise metaboliidi suhtes kohaldatakse kvaliteedistandardina väärtust 2,5, välja arvatud juhul, kui deterministliku lähenemisviisi abil leitud kvaliteedistandardi väärtus on sellest suurem; viimasel juhul kohaldatakse väärtust 5.</w:t>
      </w:r>
    </w:p>
    <w:p w14:paraId="497BE079" w14:textId="6954629B"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12)</w:t>
      </w:r>
      <w:r w:rsidR="00C45ED4" w:rsidRPr="00CB2133">
        <w:rPr>
          <w:szCs w:val="24"/>
          <w:lang w:eastAsia="en-US"/>
        </w:rPr>
        <w:tab/>
        <w:t>„Kokku“ tähendab kõikide seire käigus tuvastatud ja kvantifitseeritud väheoluliste metaboliitide summaarset kontsentratsiooni asjaomases andmekategoorias.“</w:t>
      </w:r>
    </w:p>
    <w:p w14:paraId="305F4B2A" w14:textId="77777777" w:rsidR="00C45ED4" w:rsidRPr="00CB2133" w:rsidRDefault="00C45ED4" w:rsidP="00C45ED4">
      <w:pPr>
        <w:spacing w:before="120" w:after="120" w:line="360" w:lineRule="auto"/>
        <w:rPr>
          <w:szCs w:val="24"/>
          <w:lang w:eastAsia="en-US"/>
        </w:rPr>
        <w:sectPr w:rsidR="00C45ED4" w:rsidRPr="00CB2133" w:rsidSect="0097022D">
          <w:footnotePr>
            <w:numRestart w:val="eachSect"/>
          </w:footnotePr>
          <w:endnotePr>
            <w:numFmt w:val="decimal"/>
          </w:endnotePr>
          <w:pgSz w:w="11909" w:h="16834"/>
          <w:pgMar w:top="1134" w:right="1417" w:bottom="1417" w:left="1134" w:header="1134" w:footer="567" w:gutter="0"/>
          <w:cols w:space="720"/>
          <w:docGrid w:linePitch="326"/>
        </w:sectPr>
      </w:pPr>
    </w:p>
    <w:p w14:paraId="3008F7DE" w14:textId="77777777" w:rsidR="00F503C2" w:rsidRPr="00CB2133" w:rsidRDefault="00F503C2">
      <w:pPr>
        <w:widowControl/>
        <w:rPr>
          <w:lang w:eastAsia="en-US"/>
        </w:rPr>
      </w:pPr>
      <w:r w:rsidRPr="00CB2133">
        <w:rPr>
          <w:lang w:eastAsia="en-US"/>
        </w:rPr>
        <w:br w:type="page"/>
      </w:r>
    </w:p>
    <w:p w14:paraId="52D34F7E" w14:textId="51EA9953" w:rsidR="00C45ED4" w:rsidRPr="00CB2133" w:rsidRDefault="00C45ED4" w:rsidP="00C45ED4">
      <w:pPr>
        <w:spacing w:before="120" w:after="120" w:line="360" w:lineRule="auto"/>
        <w:jc w:val="center"/>
        <w:rPr>
          <w:lang w:eastAsia="en-US"/>
        </w:rPr>
      </w:pPr>
      <w:r w:rsidRPr="00CB2133">
        <w:rPr>
          <w:lang w:eastAsia="en-US"/>
        </w:rPr>
        <w:lastRenderedPageBreak/>
        <w:t>IV LISA</w:t>
      </w:r>
    </w:p>
    <w:p w14:paraId="0F9D6852" w14:textId="77777777" w:rsidR="00C45ED4" w:rsidRPr="00CB2133" w:rsidRDefault="00C45ED4" w:rsidP="00C45ED4">
      <w:pPr>
        <w:spacing w:before="120" w:after="120" w:line="360" w:lineRule="auto"/>
        <w:rPr>
          <w:szCs w:val="24"/>
          <w:lang w:eastAsia="en-US"/>
        </w:rPr>
      </w:pPr>
      <w:r w:rsidRPr="00CB2133">
        <w:rPr>
          <w:szCs w:val="24"/>
          <w:lang w:eastAsia="en-US"/>
        </w:rPr>
        <w:t>Direktiivi 2006/118/EÜ II lisa muudetakse järgmiselt.</w:t>
      </w:r>
    </w:p>
    <w:p w14:paraId="24B7D993"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A osas lisatakse esimese lõigu järele järgmine lõik:</w:t>
      </w:r>
    </w:p>
    <w:p w14:paraId="3C229054" w14:textId="77777777" w:rsidR="00C45ED4" w:rsidRPr="00CB2133" w:rsidRDefault="00C45ED4" w:rsidP="00C45ED4">
      <w:pPr>
        <w:spacing w:before="120" w:after="120" w:line="360" w:lineRule="auto"/>
        <w:ind w:left="850"/>
        <w:rPr>
          <w:szCs w:val="24"/>
          <w:lang w:eastAsia="en-US"/>
        </w:rPr>
      </w:pPr>
      <w:r w:rsidRPr="00CB2133">
        <w:rPr>
          <w:szCs w:val="24"/>
          <w:lang w:eastAsia="en-US"/>
        </w:rPr>
        <w:t>„Liikmesriigid tagavad, et pädevad asutused teavitavad Euroopa Kemikaaliametit saasteainete ja reostuse näitajate läviväärtustest. Euroopa Kemikaaliamet avaldab selle teabe viivitamata.“</w:t>
      </w:r>
    </w:p>
    <w:p w14:paraId="1507BBA3" w14:textId="77777777" w:rsidR="00C45ED4" w:rsidRPr="00CB2133" w:rsidRDefault="00C45ED4" w:rsidP="00C45ED4">
      <w:pPr>
        <w:spacing w:before="120" w:after="120" w:line="360" w:lineRule="auto"/>
        <w:ind w:left="850" w:hanging="850"/>
        <w:rPr>
          <w:szCs w:val="24"/>
          <w:lang w:eastAsia="en-US"/>
        </w:rPr>
      </w:pPr>
      <w:r w:rsidRPr="00CB2133">
        <w:rPr>
          <w:b/>
          <w:i/>
          <w:szCs w:val="24"/>
          <w:lang w:eastAsia="en-US"/>
        </w:rPr>
        <w:t>1a)</w:t>
      </w:r>
      <w:r w:rsidRPr="00CB2133">
        <w:rPr>
          <w:szCs w:val="24"/>
          <w:lang w:eastAsia="en-US"/>
        </w:rPr>
        <w:tab/>
      </w:r>
      <w:r w:rsidRPr="00CB2133">
        <w:rPr>
          <w:b/>
          <w:i/>
          <w:szCs w:val="24"/>
          <w:lang w:eastAsia="en-US"/>
        </w:rPr>
        <w:t>B osa pealkiri asendatakse järgmisega:</w:t>
      </w:r>
    </w:p>
    <w:p w14:paraId="64B61CE0" w14:textId="283DBC8F" w:rsidR="00C45ED4" w:rsidRPr="00CB2133" w:rsidRDefault="00C45ED4" w:rsidP="00C45ED4">
      <w:pPr>
        <w:spacing w:before="120" w:after="120" w:line="360" w:lineRule="auto"/>
        <w:ind w:left="850"/>
        <w:rPr>
          <w:b/>
          <w:szCs w:val="24"/>
          <w:lang w:eastAsia="en-US"/>
        </w:rPr>
      </w:pPr>
      <w:r w:rsidRPr="00CB2133">
        <w:rPr>
          <w:szCs w:val="24"/>
          <w:lang w:eastAsia="en-US"/>
        </w:rPr>
        <w:t>„</w:t>
      </w:r>
      <w:r w:rsidRPr="00CB2133">
        <w:rPr>
          <w:b/>
          <w:i/>
          <w:szCs w:val="24"/>
          <w:lang w:eastAsia="en-US"/>
        </w:rPr>
        <w:t>Saasteainete miinimumloend ja vastavad reostuse näitajad, mille suhtes liikmesriigid peavad kehtestama läviväärtused vastavalt artiklile 3</w:t>
      </w:r>
      <w:r w:rsidRPr="00CB2133">
        <w:rPr>
          <w:szCs w:val="24"/>
          <w:lang w:eastAsia="en-US"/>
        </w:rPr>
        <w:t>“</w:t>
      </w:r>
      <w:r w:rsidR="0097022D" w:rsidRPr="00CB2133">
        <w:rPr>
          <w:b/>
          <w:szCs w:val="24"/>
          <w:lang w:eastAsia="en-US"/>
        </w:rPr>
        <w:t xml:space="preserve"> [ME 149]</w:t>
      </w:r>
    </w:p>
    <w:p w14:paraId="0DAE00B5" w14:textId="77777777" w:rsidR="002310C9" w:rsidRPr="00CB2133" w:rsidRDefault="002310C9">
      <w:pPr>
        <w:widowControl/>
        <w:rPr>
          <w:szCs w:val="24"/>
          <w:lang w:eastAsia="en-US"/>
        </w:rPr>
      </w:pPr>
      <w:r w:rsidRPr="00CB2133">
        <w:rPr>
          <w:szCs w:val="24"/>
          <w:lang w:eastAsia="en-US"/>
        </w:rPr>
        <w:br w:type="page"/>
      </w:r>
    </w:p>
    <w:p w14:paraId="397EB436" w14:textId="7E93F86A"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2)</w:t>
      </w:r>
      <w:r w:rsidRPr="00CB2133">
        <w:rPr>
          <w:szCs w:val="24"/>
          <w:lang w:eastAsia="en-US"/>
        </w:rPr>
        <w:tab/>
        <w:t>B osa punkt 2 asendatakse järgmisega:</w:t>
      </w:r>
    </w:p>
    <w:p w14:paraId="4CD4589A"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Sünteetilised ained</w:t>
      </w:r>
    </w:p>
    <w:p w14:paraId="0957F5BF" w14:textId="77777777" w:rsidR="00C45ED4" w:rsidRPr="00CB2133" w:rsidRDefault="00C45ED4" w:rsidP="00C45ED4">
      <w:pPr>
        <w:spacing w:before="120" w:after="120" w:line="360" w:lineRule="auto"/>
        <w:ind w:left="1416"/>
        <w:rPr>
          <w:szCs w:val="24"/>
          <w:lang w:eastAsia="en-US"/>
        </w:rPr>
      </w:pPr>
      <w:r w:rsidRPr="00CB2133">
        <w:rPr>
          <w:szCs w:val="24"/>
          <w:lang w:eastAsia="en-US"/>
        </w:rPr>
        <w:t>Primidoon</w:t>
      </w:r>
    </w:p>
    <w:p w14:paraId="0E7B6626" w14:textId="77777777" w:rsidR="00C45ED4" w:rsidRPr="00CB2133" w:rsidRDefault="00C45ED4" w:rsidP="00C45ED4">
      <w:pPr>
        <w:spacing w:before="120" w:after="120" w:line="360" w:lineRule="auto"/>
        <w:ind w:left="1416"/>
        <w:rPr>
          <w:szCs w:val="24"/>
          <w:lang w:eastAsia="en-US"/>
        </w:rPr>
      </w:pPr>
      <w:r w:rsidRPr="00CB2133">
        <w:rPr>
          <w:szCs w:val="24"/>
          <w:lang w:eastAsia="en-US"/>
        </w:rPr>
        <w:t>Trikloroetüleen</w:t>
      </w:r>
    </w:p>
    <w:p w14:paraId="2F0A7767" w14:textId="77777777" w:rsidR="00C45ED4" w:rsidRPr="00CB2133" w:rsidRDefault="00C45ED4" w:rsidP="00C45ED4">
      <w:pPr>
        <w:spacing w:before="120" w:after="120" w:line="360" w:lineRule="auto"/>
        <w:ind w:left="1416"/>
        <w:rPr>
          <w:szCs w:val="24"/>
          <w:lang w:eastAsia="en-US"/>
        </w:rPr>
      </w:pPr>
      <w:r w:rsidRPr="00CB2133">
        <w:rPr>
          <w:szCs w:val="24"/>
          <w:lang w:eastAsia="en-US"/>
        </w:rPr>
        <w:t>Tetrakloroetüleen.“</w:t>
      </w:r>
    </w:p>
    <w:p w14:paraId="3F937BB7"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3)</w:t>
      </w:r>
      <w:r w:rsidRPr="00CB2133">
        <w:rPr>
          <w:szCs w:val="24"/>
          <w:lang w:eastAsia="en-US"/>
        </w:rPr>
        <w:tab/>
        <w:t>C osa pealkiri asendatakse järgmisega:</w:t>
      </w:r>
    </w:p>
    <w:p w14:paraId="17FDF865" w14:textId="77777777" w:rsidR="00C45ED4" w:rsidRPr="00CB2133" w:rsidRDefault="00C45ED4" w:rsidP="00C45ED4">
      <w:pPr>
        <w:spacing w:before="120" w:after="120" w:line="360" w:lineRule="auto"/>
        <w:ind w:left="850"/>
        <w:rPr>
          <w:szCs w:val="24"/>
          <w:lang w:eastAsia="en-US"/>
        </w:rPr>
      </w:pPr>
      <w:r w:rsidRPr="00CB2133">
        <w:rPr>
          <w:szCs w:val="24"/>
          <w:lang w:eastAsia="en-US"/>
        </w:rPr>
        <w:t>„Liikmesriikide esitatav teave selliste saasteainete ja reostuse näitajate kohta, mille suhtes nad on kehtestanud läviväärtused.“</w:t>
      </w:r>
    </w:p>
    <w:p w14:paraId="1754BAE6" w14:textId="77777777" w:rsidR="002310C9" w:rsidRPr="00CB2133" w:rsidRDefault="002310C9">
      <w:pPr>
        <w:widowControl/>
        <w:rPr>
          <w:szCs w:val="24"/>
          <w:lang w:eastAsia="en-US"/>
        </w:rPr>
      </w:pPr>
      <w:r w:rsidRPr="00CB2133">
        <w:rPr>
          <w:szCs w:val="24"/>
          <w:lang w:eastAsia="en-US"/>
        </w:rPr>
        <w:br w:type="page"/>
      </w:r>
    </w:p>
    <w:p w14:paraId="30A1DC93" w14:textId="77777777" w:rsidR="00F503C2" w:rsidRPr="00CB2133" w:rsidRDefault="00F503C2" w:rsidP="00C45ED4">
      <w:pPr>
        <w:spacing w:before="120" w:after="120" w:line="360" w:lineRule="auto"/>
        <w:ind w:left="850" w:hanging="850"/>
        <w:rPr>
          <w:szCs w:val="24"/>
          <w:lang w:eastAsia="en-US"/>
        </w:rPr>
        <w:sectPr w:rsidR="00F503C2" w:rsidRPr="00CB2133" w:rsidSect="0097022D">
          <w:footnotePr>
            <w:numRestart w:val="eachSect"/>
          </w:footnotePr>
          <w:endnotePr>
            <w:numFmt w:val="decimal"/>
          </w:endnotePr>
          <w:type w:val="continuous"/>
          <w:pgSz w:w="11909" w:h="16834"/>
          <w:pgMar w:top="1134" w:right="1417" w:bottom="1417" w:left="1134" w:header="1134" w:footer="567" w:gutter="0"/>
          <w:cols w:space="720"/>
          <w:docGrid w:linePitch="326"/>
        </w:sectPr>
      </w:pPr>
    </w:p>
    <w:p w14:paraId="052EF72A" w14:textId="2EE209E2"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4)</w:t>
      </w:r>
      <w:r w:rsidRPr="00CB2133">
        <w:rPr>
          <w:szCs w:val="24"/>
          <w:lang w:eastAsia="en-US"/>
        </w:rPr>
        <w:tab/>
        <w:t>Lisatakse D osa:</w:t>
      </w:r>
    </w:p>
    <w:p w14:paraId="75CCA9C5" w14:textId="77777777" w:rsidR="00C45ED4" w:rsidRPr="00CB2133" w:rsidRDefault="00C45ED4" w:rsidP="00C45ED4">
      <w:pPr>
        <w:spacing w:before="120" w:after="120" w:line="360" w:lineRule="auto"/>
        <w:ind w:left="850"/>
        <w:rPr>
          <w:szCs w:val="24"/>
          <w:lang w:eastAsia="en-US"/>
        </w:rPr>
      </w:pPr>
      <w:r w:rsidRPr="00CB2133">
        <w:rPr>
          <w:szCs w:val="24"/>
          <w:lang w:eastAsia="en-US"/>
        </w:rPr>
        <w:t>„D osa</w:t>
      </w:r>
    </w:p>
    <w:p w14:paraId="4799EE84" w14:textId="77777777" w:rsidR="00C45ED4" w:rsidRPr="00CB2133" w:rsidRDefault="00C45ED4" w:rsidP="00C45ED4">
      <w:pPr>
        <w:spacing w:before="120" w:after="120" w:line="360" w:lineRule="auto"/>
        <w:ind w:left="850"/>
        <w:rPr>
          <w:szCs w:val="24"/>
          <w:lang w:eastAsia="en-US"/>
        </w:rPr>
      </w:pPr>
      <w:r w:rsidRPr="00CB2133">
        <w:rPr>
          <w:szCs w:val="24"/>
          <w:lang w:eastAsia="en-US"/>
        </w:rPr>
        <w:t>Riigi, piirkonna või kohalikul tasandil probleemsete põhjavee saasteainete ühtlustatud läviväärtuste andmekogu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72"/>
        <w:gridCol w:w="1957"/>
        <w:gridCol w:w="1843"/>
        <w:gridCol w:w="1403"/>
        <w:gridCol w:w="1403"/>
        <w:gridCol w:w="1570"/>
      </w:tblGrid>
      <w:tr w:rsidR="00C45ED4" w:rsidRPr="00CB2133" w14:paraId="4CA7C0E0" w14:textId="77777777" w:rsidTr="000238DA">
        <w:trPr>
          <w:tblHeader/>
        </w:trPr>
        <w:tc>
          <w:tcPr>
            <w:tcW w:w="0" w:type="auto"/>
          </w:tcPr>
          <w:p w14:paraId="776012D8" w14:textId="77777777" w:rsidR="00C45ED4" w:rsidRPr="00CB2133" w:rsidRDefault="00C45ED4" w:rsidP="00C45ED4">
            <w:pPr>
              <w:spacing w:before="120" w:after="120" w:line="360" w:lineRule="auto"/>
              <w:rPr>
                <w:szCs w:val="24"/>
                <w:lang w:eastAsia="en-US"/>
              </w:rPr>
            </w:pPr>
            <w:r w:rsidRPr="00CB2133">
              <w:rPr>
                <w:szCs w:val="24"/>
                <w:lang w:eastAsia="en-US"/>
              </w:rPr>
              <w:t>(1)</w:t>
            </w:r>
          </w:p>
        </w:tc>
        <w:tc>
          <w:tcPr>
            <w:tcW w:w="0" w:type="auto"/>
          </w:tcPr>
          <w:p w14:paraId="3BBFE0F4" w14:textId="77777777" w:rsidR="00C45ED4" w:rsidRPr="00CB2133" w:rsidRDefault="00C45ED4" w:rsidP="00C45ED4">
            <w:pPr>
              <w:spacing w:before="120" w:after="120" w:line="360" w:lineRule="auto"/>
              <w:rPr>
                <w:szCs w:val="24"/>
                <w:lang w:eastAsia="en-US"/>
              </w:rPr>
            </w:pPr>
            <w:r w:rsidRPr="00CB2133">
              <w:rPr>
                <w:szCs w:val="24"/>
                <w:lang w:eastAsia="en-US"/>
              </w:rPr>
              <w:t>(2)</w:t>
            </w:r>
          </w:p>
        </w:tc>
        <w:tc>
          <w:tcPr>
            <w:tcW w:w="0" w:type="auto"/>
          </w:tcPr>
          <w:p w14:paraId="4B25CD7A" w14:textId="77777777" w:rsidR="00C45ED4" w:rsidRPr="00CB2133" w:rsidRDefault="00C45ED4" w:rsidP="00C45ED4">
            <w:pPr>
              <w:spacing w:before="120" w:after="120" w:line="360" w:lineRule="auto"/>
              <w:rPr>
                <w:szCs w:val="24"/>
                <w:lang w:eastAsia="en-US"/>
              </w:rPr>
            </w:pPr>
            <w:r w:rsidRPr="00CB2133">
              <w:rPr>
                <w:szCs w:val="24"/>
                <w:lang w:eastAsia="en-US"/>
              </w:rPr>
              <w:t>(3)</w:t>
            </w:r>
          </w:p>
        </w:tc>
        <w:tc>
          <w:tcPr>
            <w:tcW w:w="0" w:type="auto"/>
          </w:tcPr>
          <w:p w14:paraId="04489D30" w14:textId="77777777" w:rsidR="00C45ED4" w:rsidRPr="00CB2133" w:rsidRDefault="00C45ED4" w:rsidP="00C45ED4">
            <w:pPr>
              <w:spacing w:before="120" w:after="120" w:line="360" w:lineRule="auto"/>
              <w:rPr>
                <w:szCs w:val="24"/>
                <w:lang w:eastAsia="en-US"/>
              </w:rPr>
            </w:pPr>
            <w:r w:rsidRPr="00CB2133">
              <w:rPr>
                <w:szCs w:val="24"/>
                <w:lang w:eastAsia="en-US"/>
              </w:rPr>
              <w:t>(4)</w:t>
            </w:r>
          </w:p>
        </w:tc>
        <w:tc>
          <w:tcPr>
            <w:tcW w:w="0" w:type="auto"/>
          </w:tcPr>
          <w:p w14:paraId="70C2E212" w14:textId="77777777" w:rsidR="00C45ED4" w:rsidRPr="00CB2133" w:rsidRDefault="00C45ED4" w:rsidP="00C45ED4">
            <w:pPr>
              <w:spacing w:before="120" w:after="120" w:line="360" w:lineRule="auto"/>
              <w:rPr>
                <w:szCs w:val="24"/>
                <w:lang w:eastAsia="en-US"/>
              </w:rPr>
            </w:pPr>
            <w:r w:rsidRPr="00CB2133">
              <w:rPr>
                <w:szCs w:val="24"/>
                <w:lang w:eastAsia="en-US"/>
              </w:rPr>
              <w:t>(5)</w:t>
            </w:r>
          </w:p>
        </w:tc>
        <w:tc>
          <w:tcPr>
            <w:tcW w:w="0" w:type="auto"/>
          </w:tcPr>
          <w:p w14:paraId="7F67D01C" w14:textId="77777777" w:rsidR="00C45ED4" w:rsidRPr="00CB2133" w:rsidRDefault="00C45ED4" w:rsidP="00C45ED4">
            <w:pPr>
              <w:spacing w:before="120" w:after="120" w:line="360" w:lineRule="auto"/>
              <w:rPr>
                <w:szCs w:val="24"/>
                <w:lang w:eastAsia="en-US"/>
              </w:rPr>
            </w:pPr>
            <w:r w:rsidRPr="00CB2133">
              <w:rPr>
                <w:szCs w:val="24"/>
                <w:lang w:eastAsia="en-US"/>
              </w:rPr>
              <w:t>(6)</w:t>
            </w:r>
          </w:p>
        </w:tc>
      </w:tr>
      <w:tr w:rsidR="00C45ED4" w:rsidRPr="00CB2133" w14:paraId="1689FCFA" w14:textId="77777777" w:rsidTr="000238DA">
        <w:tc>
          <w:tcPr>
            <w:tcW w:w="0" w:type="auto"/>
          </w:tcPr>
          <w:p w14:paraId="5A9F3135" w14:textId="77777777" w:rsidR="00C45ED4" w:rsidRPr="00CB2133" w:rsidRDefault="00C45ED4" w:rsidP="00C45ED4">
            <w:pPr>
              <w:spacing w:before="120" w:after="120" w:line="360" w:lineRule="auto"/>
              <w:rPr>
                <w:szCs w:val="24"/>
                <w:lang w:eastAsia="en-US"/>
              </w:rPr>
            </w:pPr>
            <w:r w:rsidRPr="00CB2133">
              <w:rPr>
                <w:szCs w:val="24"/>
                <w:lang w:eastAsia="en-US"/>
              </w:rPr>
              <w:t>Kande nr</w:t>
            </w:r>
          </w:p>
        </w:tc>
        <w:tc>
          <w:tcPr>
            <w:tcW w:w="0" w:type="auto"/>
          </w:tcPr>
          <w:p w14:paraId="282FA44F" w14:textId="77777777" w:rsidR="00C45ED4" w:rsidRPr="00CB2133" w:rsidRDefault="00C45ED4" w:rsidP="00C45ED4">
            <w:pPr>
              <w:spacing w:before="120" w:after="120" w:line="360" w:lineRule="auto"/>
              <w:rPr>
                <w:szCs w:val="24"/>
                <w:lang w:eastAsia="en-US"/>
              </w:rPr>
            </w:pPr>
            <w:r w:rsidRPr="00CB2133">
              <w:rPr>
                <w:szCs w:val="24"/>
                <w:lang w:eastAsia="en-US"/>
              </w:rPr>
              <w:t>Aine nimetus</w:t>
            </w:r>
          </w:p>
        </w:tc>
        <w:tc>
          <w:tcPr>
            <w:tcW w:w="0" w:type="auto"/>
          </w:tcPr>
          <w:p w14:paraId="46BF2D4F" w14:textId="77777777" w:rsidR="00C45ED4" w:rsidRPr="00CB2133" w:rsidRDefault="00C45ED4" w:rsidP="00C45ED4">
            <w:pPr>
              <w:spacing w:before="120" w:after="120" w:line="360" w:lineRule="auto"/>
              <w:rPr>
                <w:szCs w:val="24"/>
                <w:lang w:eastAsia="en-US"/>
              </w:rPr>
            </w:pPr>
            <w:r w:rsidRPr="00CB2133">
              <w:rPr>
                <w:szCs w:val="24"/>
                <w:lang w:eastAsia="en-US"/>
              </w:rPr>
              <w:t>Ainekategooria</w:t>
            </w:r>
          </w:p>
        </w:tc>
        <w:tc>
          <w:tcPr>
            <w:tcW w:w="0" w:type="auto"/>
          </w:tcPr>
          <w:p w14:paraId="2F3A1BE6" w14:textId="77777777" w:rsidR="00C45ED4" w:rsidRPr="00CB2133" w:rsidRDefault="00C45ED4" w:rsidP="00C45ED4">
            <w:pPr>
              <w:spacing w:before="120" w:after="120" w:line="360" w:lineRule="auto"/>
              <w:rPr>
                <w:szCs w:val="24"/>
                <w:lang w:eastAsia="en-US"/>
              </w:rPr>
            </w:pPr>
            <w:r w:rsidRPr="00CB2133">
              <w:rPr>
                <w:szCs w:val="24"/>
                <w:lang w:eastAsia="en-US"/>
              </w:rPr>
              <w:t>CASi number</w:t>
            </w:r>
            <w:r w:rsidRPr="00CB2133">
              <w:rPr>
                <w:szCs w:val="24"/>
                <w:vertAlign w:val="superscript"/>
                <w:lang w:eastAsia="en-US"/>
              </w:rPr>
              <w:t>(1)</w:t>
            </w:r>
          </w:p>
        </w:tc>
        <w:tc>
          <w:tcPr>
            <w:tcW w:w="0" w:type="auto"/>
          </w:tcPr>
          <w:p w14:paraId="634D051E" w14:textId="77777777" w:rsidR="00C45ED4" w:rsidRPr="00CB2133" w:rsidRDefault="00C45ED4" w:rsidP="00C45ED4">
            <w:pPr>
              <w:spacing w:before="120" w:after="120" w:line="360" w:lineRule="auto"/>
              <w:rPr>
                <w:szCs w:val="24"/>
                <w:lang w:eastAsia="en-US"/>
              </w:rPr>
            </w:pPr>
            <w:r w:rsidRPr="00CB2133">
              <w:rPr>
                <w:szCs w:val="24"/>
                <w:lang w:eastAsia="en-US"/>
              </w:rPr>
              <w:t>ELi number</w:t>
            </w:r>
            <w:r w:rsidRPr="00CB2133">
              <w:rPr>
                <w:szCs w:val="24"/>
                <w:vertAlign w:val="superscript"/>
                <w:lang w:eastAsia="en-US"/>
              </w:rPr>
              <w:t>(2)</w:t>
            </w:r>
          </w:p>
        </w:tc>
        <w:tc>
          <w:tcPr>
            <w:tcW w:w="0" w:type="auto"/>
          </w:tcPr>
          <w:p w14:paraId="1CCA4371" w14:textId="77777777" w:rsidR="00C45ED4" w:rsidRPr="00CB2133" w:rsidRDefault="00C45ED4" w:rsidP="00C45ED4">
            <w:pPr>
              <w:spacing w:before="120" w:after="120" w:line="360" w:lineRule="auto"/>
              <w:rPr>
                <w:szCs w:val="24"/>
                <w:lang w:eastAsia="en-US"/>
              </w:rPr>
            </w:pPr>
            <w:r w:rsidRPr="00CB2133">
              <w:rPr>
                <w:szCs w:val="24"/>
                <w:lang w:eastAsia="en-US"/>
              </w:rPr>
              <w:t>Läviväärtus [µg/l, kui ei ole märgitud teisiti]</w:t>
            </w:r>
          </w:p>
        </w:tc>
      </w:tr>
      <w:tr w:rsidR="00C45ED4" w:rsidRPr="00CB2133" w14:paraId="26936105" w14:textId="77777777" w:rsidTr="000238DA">
        <w:tc>
          <w:tcPr>
            <w:tcW w:w="0" w:type="auto"/>
          </w:tcPr>
          <w:p w14:paraId="46BABBC4" w14:textId="77777777" w:rsidR="00C45ED4" w:rsidRPr="00CB2133" w:rsidRDefault="00C45ED4" w:rsidP="00C45ED4">
            <w:pPr>
              <w:spacing w:before="120" w:after="120" w:line="360" w:lineRule="auto"/>
              <w:rPr>
                <w:szCs w:val="24"/>
                <w:lang w:eastAsia="en-US"/>
              </w:rPr>
            </w:pPr>
            <w:r w:rsidRPr="00CB2133">
              <w:rPr>
                <w:szCs w:val="24"/>
                <w:lang w:eastAsia="en-US"/>
              </w:rPr>
              <w:t>1</w:t>
            </w:r>
          </w:p>
        </w:tc>
        <w:tc>
          <w:tcPr>
            <w:tcW w:w="0" w:type="auto"/>
          </w:tcPr>
          <w:p w14:paraId="04C229D8" w14:textId="77777777" w:rsidR="00C45ED4" w:rsidRPr="00CB2133" w:rsidRDefault="00C45ED4" w:rsidP="00C45ED4">
            <w:pPr>
              <w:spacing w:before="120" w:after="120" w:line="360" w:lineRule="auto"/>
              <w:rPr>
                <w:szCs w:val="24"/>
                <w:lang w:eastAsia="en-US"/>
              </w:rPr>
            </w:pPr>
            <w:r w:rsidRPr="00CB2133">
              <w:rPr>
                <w:szCs w:val="24"/>
                <w:lang w:eastAsia="en-US"/>
              </w:rPr>
              <w:t>Trikloroetüleen ja tetrakloroetüleen (kahe aine summa)</w:t>
            </w:r>
          </w:p>
        </w:tc>
        <w:tc>
          <w:tcPr>
            <w:tcW w:w="0" w:type="auto"/>
          </w:tcPr>
          <w:p w14:paraId="27CBFC91" w14:textId="77777777" w:rsidR="00C45ED4" w:rsidRPr="00CB2133" w:rsidRDefault="00C45ED4" w:rsidP="00C45ED4">
            <w:pPr>
              <w:spacing w:before="120" w:after="120" w:line="360" w:lineRule="auto"/>
              <w:rPr>
                <w:szCs w:val="24"/>
                <w:lang w:eastAsia="en-US"/>
              </w:rPr>
            </w:pPr>
            <w:r w:rsidRPr="00CB2133">
              <w:rPr>
                <w:szCs w:val="24"/>
                <w:lang w:eastAsia="en-US"/>
              </w:rPr>
              <w:t>Tööstuses kasutatavad ained</w:t>
            </w:r>
          </w:p>
        </w:tc>
        <w:tc>
          <w:tcPr>
            <w:tcW w:w="0" w:type="auto"/>
          </w:tcPr>
          <w:p w14:paraId="57A509E3" w14:textId="77777777" w:rsidR="00C45ED4" w:rsidRPr="00CB2133" w:rsidRDefault="00C45ED4" w:rsidP="00C45ED4">
            <w:pPr>
              <w:spacing w:before="120" w:after="120" w:line="360" w:lineRule="auto"/>
              <w:rPr>
                <w:szCs w:val="24"/>
                <w:lang w:eastAsia="en-US"/>
              </w:rPr>
            </w:pPr>
            <w:r w:rsidRPr="00CB2133">
              <w:rPr>
                <w:szCs w:val="24"/>
                <w:lang w:eastAsia="en-US"/>
              </w:rPr>
              <w:t>79-01-6 ja 127-18-4</w:t>
            </w:r>
          </w:p>
        </w:tc>
        <w:tc>
          <w:tcPr>
            <w:tcW w:w="0" w:type="auto"/>
          </w:tcPr>
          <w:p w14:paraId="717920AE" w14:textId="77777777" w:rsidR="00C45ED4" w:rsidRPr="00CB2133" w:rsidRDefault="00C45ED4" w:rsidP="00C45ED4">
            <w:pPr>
              <w:spacing w:before="120" w:after="120" w:line="360" w:lineRule="auto"/>
              <w:rPr>
                <w:szCs w:val="24"/>
                <w:lang w:eastAsia="en-US"/>
              </w:rPr>
            </w:pPr>
            <w:r w:rsidRPr="00CB2133">
              <w:rPr>
                <w:szCs w:val="24"/>
                <w:lang w:eastAsia="en-US"/>
              </w:rPr>
              <w:t>201-167-4 ja 204-825-9</w:t>
            </w:r>
          </w:p>
        </w:tc>
        <w:tc>
          <w:tcPr>
            <w:tcW w:w="0" w:type="auto"/>
          </w:tcPr>
          <w:p w14:paraId="4EE79D89" w14:textId="77777777" w:rsidR="00C45ED4" w:rsidRPr="00CB2133" w:rsidRDefault="00C45ED4" w:rsidP="00C45ED4">
            <w:pPr>
              <w:spacing w:before="120" w:after="120" w:line="360" w:lineRule="auto"/>
              <w:rPr>
                <w:szCs w:val="24"/>
                <w:lang w:eastAsia="en-US"/>
              </w:rPr>
            </w:pPr>
            <w:r w:rsidRPr="00CB2133">
              <w:rPr>
                <w:szCs w:val="24"/>
                <w:lang w:eastAsia="en-US"/>
              </w:rPr>
              <w:t>10 (kokku)</w:t>
            </w:r>
            <w:r w:rsidRPr="00CB2133">
              <w:rPr>
                <w:szCs w:val="24"/>
                <w:vertAlign w:val="superscript"/>
                <w:lang w:eastAsia="en-US"/>
              </w:rPr>
              <w:t>(3)</w:t>
            </w:r>
          </w:p>
        </w:tc>
      </w:tr>
    </w:tbl>
    <w:p w14:paraId="7EFDC4E5" w14:textId="2892CB45"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w:t>
      </w:r>
      <w:r w:rsidR="00C45ED4" w:rsidRPr="00CB2133">
        <w:rPr>
          <w:szCs w:val="24"/>
          <w:lang w:eastAsia="en-US"/>
        </w:rPr>
        <w:tab/>
        <w:t>CAS – Chemical Abstracts Service.</w:t>
      </w:r>
    </w:p>
    <w:p w14:paraId="68777B5A" w14:textId="228CD502" w:rsidR="00C45ED4" w:rsidRPr="00CB2133" w:rsidRDefault="002310C9"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w:t>
      </w:r>
      <w:r w:rsidR="00C45ED4" w:rsidRPr="00CB2133">
        <w:rPr>
          <w:szCs w:val="24"/>
          <w:lang w:eastAsia="en-US"/>
        </w:rPr>
        <w:tab/>
        <w:t>ELi number – Euroopa kaubanduslike keemiliste ainete loetelu (EINECS) või Euroopa uute keemiliste ainete loetelu (ELINCS) number.</w:t>
      </w:r>
    </w:p>
    <w:p w14:paraId="72407C00" w14:textId="54AFCAC5" w:rsidR="00F503C2" w:rsidRPr="00CB2133" w:rsidRDefault="002310C9" w:rsidP="00D30CC0">
      <w:pPr>
        <w:spacing w:before="120" w:after="120" w:line="360" w:lineRule="auto"/>
        <w:ind w:left="1416" w:hanging="566"/>
        <w:rPr>
          <w:lang w:eastAsia="en-US"/>
        </w:rPr>
      </w:pPr>
      <w:r w:rsidRPr="00CB2133">
        <w:rPr>
          <w:szCs w:val="24"/>
          <w:vertAlign w:val="superscript"/>
          <w:lang w:eastAsia="en-US"/>
        </w:rPr>
        <w:t>(</w:t>
      </w:r>
      <w:r w:rsidR="00C45ED4" w:rsidRPr="00CB2133">
        <w:rPr>
          <w:szCs w:val="24"/>
          <w:vertAlign w:val="superscript"/>
          <w:lang w:eastAsia="en-US"/>
        </w:rPr>
        <w:t>3)</w:t>
      </w:r>
      <w:r w:rsidR="00C45ED4" w:rsidRPr="00CB2133">
        <w:rPr>
          <w:szCs w:val="24"/>
          <w:lang w:eastAsia="en-US"/>
        </w:rPr>
        <w:tab/>
        <w:t>„Kokku“ tähendab trikloroetüleeni ja tetrakloroetüleeni summaarset kontsentratsiooni.“</w:t>
      </w:r>
    </w:p>
    <w:p w14:paraId="12A8B395" w14:textId="77777777" w:rsidR="00F503C2" w:rsidRPr="00CB2133" w:rsidRDefault="00F503C2" w:rsidP="00C45ED4">
      <w:pPr>
        <w:spacing w:before="120" w:after="120" w:line="360" w:lineRule="auto"/>
        <w:jc w:val="center"/>
        <w:rPr>
          <w:lang w:eastAsia="en-US"/>
        </w:rPr>
        <w:sectPr w:rsidR="00F503C2" w:rsidRPr="00CB2133" w:rsidSect="00F503C2">
          <w:footnotePr>
            <w:numRestart w:val="eachSect"/>
          </w:footnotePr>
          <w:endnotePr>
            <w:numFmt w:val="decimal"/>
          </w:endnotePr>
          <w:pgSz w:w="11909" w:h="16834"/>
          <w:pgMar w:top="1134" w:right="1417" w:bottom="1417" w:left="1134" w:header="1134" w:footer="567" w:gutter="0"/>
          <w:cols w:space="720"/>
          <w:docGrid w:linePitch="326"/>
        </w:sectPr>
      </w:pPr>
    </w:p>
    <w:p w14:paraId="234D2D4B" w14:textId="5A3A890E" w:rsidR="00C45ED4" w:rsidRPr="00CB2133" w:rsidRDefault="00C45ED4" w:rsidP="00C45ED4">
      <w:pPr>
        <w:spacing w:before="120" w:after="120" w:line="360" w:lineRule="auto"/>
        <w:jc w:val="center"/>
        <w:rPr>
          <w:lang w:eastAsia="en-US"/>
        </w:rPr>
      </w:pPr>
      <w:r w:rsidRPr="00CB2133">
        <w:rPr>
          <w:lang w:eastAsia="en-US"/>
        </w:rPr>
        <w:lastRenderedPageBreak/>
        <w:t>V LISA</w:t>
      </w:r>
    </w:p>
    <w:p w14:paraId="62CF6DE9" w14:textId="77777777" w:rsidR="00C45ED4" w:rsidRPr="00CB2133" w:rsidRDefault="00C45ED4" w:rsidP="00C45ED4">
      <w:pPr>
        <w:spacing w:before="120" w:after="120" w:line="360" w:lineRule="auto"/>
        <w:rPr>
          <w:szCs w:val="24"/>
          <w:lang w:eastAsia="en-US"/>
        </w:rPr>
      </w:pPr>
      <w:r w:rsidRPr="00CB2133">
        <w:rPr>
          <w:szCs w:val="24"/>
          <w:lang w:eastAsia="en-US"/>
        </w:rPr>
        <w:t>Direktiivi 2008/105/EÜ I lisa muudetakse järgmiselt.</w:t>
      </w:r>
    </w:p>
    <w:p w14:paraId="4AB8716A"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1)</w:t>
      </w:r>
      <w:r w:rsidRPr="00CB2133">
        <w:rPr>
          <w:szCs w:val="24"/>
          <w:lang w:eastAsia="en-US"/>
        </w:rPr>
        <w:tab/>
        <w:t>Pealkiri asendatakse järgmisega:</w:t>
      </w:r>
    </w:p>
    <w:p w14:paraId="20E3CD52" w14:textId="77777777" w:rsidR="00C45ED4" w:rsidRPr="00CB2133" w:rsidRDefault="00C45ED4" w:rsidP="00C45ED4">
      <w:pPr>
        <w:spacing w:before="120" w:after="120" w:line="360" w:lineRule="auto"/>
        <w:ind w:left="850"/>
        <w:rPr>
          <w:szCs w:val="24"/>
          <w:lang w:eastAsia="en-US"/>
        </w:rPr>
      </w:pPr>
      <w:r w:rsidRPr="00CB2133">
        <w:rPr>
          <w:szCs w:val="24"/>
          <w:lang w:eastAsia="en-US"/>
        </w:rPr>
        <w:t>„KESKKONNAKVALITEEDI STANDARDID PRIORITEETSETE AINETE JAOKS PINNAVEEKOGUDE PUHUL.“</w:t>
      </w:r>
    </w:p>
    <w:p w14:paraId="5E488626" w14:textId="77777777" w:rsidR="00C45ED4" w:rsidRPr="00CB2133" w:rsidRDefault="00C45ED4" w:rsidP="00C45ED4">
      <w:pPr>
        <w:spacing w:before="120" w:after="120" w:line="360" w:lineRule="auto"/>
        <w:ind w:left="850" w:hanging="850"/>
        <w:rPr>
          <w:szCs w:val="24"/>
          <w:lang w:eastAsia="en-US"/>
        </w:rPr>
      </w:pPr>
      <w:r w:rsidRPr="00CB2133">
        <w:rPr>
          <w:szCs w:val="24"/>
          <w:lang w:eastAsia="en-US"/>
        </w:rPr>
        <w:t>2)</w:t>
      </w:r>
      <w:r w:rsidRPr="00CB2133">
        <w:rPr>
          <w:szCs w:val="24"/>
          <w:lang w:eastAsia="en-US"/>
        </w:rPr>
        <w:tab/>
        <w:t>A osa asendatakse järgmisega:</w:t>
      </w:r>
    </w:p>
    <w:p w14:paraId="1F4F44F6" w14:textId="77777777" w:rsidR="00C45ED4" w:rsidRPr="00CB2133" w:rsidRDefault="00C45ED4" w:rsidP="00C45ED4">
      <w:pPr>
        <w:spacing w:before="120" w:after="120" w:line="360" w:lineRule="auto"/>
        <w:ind w:left="850"/>
        <w:rPr>
          <w:szCs w:val="24"/>
          <w:lang w:eastAsia="en-US"/>
        </w:rPr>
      </w:pPr>
      <w:r w:rsidRPr="00CB2133">
        <w:rPr>
          <w:szCs w:val="24"/>
          <w:lang w:eastAsia="en-US"/>
        </w:rPr>
        <w:t>„A OSA: KESKKONNAKVALITEEDI STANDARDID</w:t>
      </w:r>
    </w:p>
    <w:p w14:paraId="3F154D16" w14:textId="723C7957" w:rsidR="00C45ED4" w:rsidRPr="00CB2133" w:rsidRDefault="00C45ED4" w:rsidP="00C45ED4">
      <w:pPr>
        <w:spacing w:before="120" w:after="120" w:line="360" w:lineRule="auto"/>
        <w:ind w:left="850"/>
        <w:rPr>
          <w:szCs w:val="24"/>
          <w:lang w:eastAsia="en-US"/>
        </w:rPr>
      </w:pPr>
      <w:r w:rsidRPr="00CB2133">
        <w:rPr>
          <w:szCs w:val="24"/>
          <w:lang w:eastAsia="en-US"/>
        </w:rPr>
        <w:t>Märkus 1. Keskkonnakvaliteedi standardi (EQS) nurksulgudes esitatud väärtus vajab tervise-, keskkonna- ja uute riskide teaduskomiteelt küsitud arvamusel põhinevat kinnitamist.</w:t>
      </w:r>
    </w:p>
    <w:tbl>
      <w:tblPr>
        <w:tblW w:w="16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32"/>
        <w:gridCol w:w="606"/>
        <w:gridCol w:w="11"/>
        <w:gridCol w:w="2193"/>
        <w:gridCol w:w="69"/>
        <w:gridCol w:w="24"/>
        <w:gridCol w:w="17"/>
        <w:gridCol w:w="1237"/>
        <w:gridCol w:w="75"/>
        <w:gridCol w:w="940"/>
        <w:gridCol w:w="52"/>
        <w:gridCol w:w="1134"/>
        <w:gridCol w:w="71"/>
        <w:gridCol w:w="1208"/>
        <w:gridCol w:w="49"/>
        <w:gridCol w:w="1230"/>
        <w:gridCol w:w="121"/>
        <w:gridCol w:w="1156"/>
        <w:gridCol w:w="89"/>
        <w:gridCol w:w="1187"/>
        <w:gridCol w:w="49"/>
        <w:gridCol w:w="1086"/>
        <w:gridCol w:w="1262"/>
        <w:gridCol w:w="18"/>
        <w:gridCol w:w="1136"/>
        <w:gridCol w:w="970"/>
      </w:tblGrid>
      <w:tr w:rsidR="00C45ED4" w:rsidRPr="00CB2133" w14:paraId="246C5CBC" w14:textId="77777777" w:rsidTr="000238DA">
        <w:trPr>
          <w:gridBefore w:val="1"/>
          <w:wBefore w:w="11" w:type="dxa"/>
          <w:cantSplit/>
          <w:trHeight w:val="309"/>
          <w:tblHeader/>
          <w:jc w:val="center"/>
        </w:trPr>
        <w:tc>
          <w:tcPr>
            <w:tcW w:w="638" w:type="dxa"/>
            <w:gridSpan w:val="2"/>
            <w:tcMar>
              <w:left w:w="28" w:type="dxa"/>
              <w:right w:w="28" w:type="dxa"/>
            </w:tcMar>
          </w:tcPr>
          <w:p w14:paraId="2F3B15E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lastRenderedPageBreak/>
              <w:t>(1)</w:t>
            </w:r>
          </w:p>
        </w:tc>
        <w:tc>
          <w:tcPr>
            <w:tcW w:w="2273" w:type="dxa"/>
            <w:gridSpan w:val="3"/>
            <w:tcMar>
              <w:left w:w="28" w:type="dxa"/>
              <w:right w:w="28" w:type="dxa"/>
            </w:tcMar>
          </w:tcPr>
          <w:p w14:paraId="08C4927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w:t>
            </w:r>
          </w:p>
        </w:tc>
        <w:tc>
          <w:tcPr>
            <w:tcW w:w="1278" w:type="dxa"/>
            <w:gridSpan w:val="3"/>
            <w:tcMar>
              <w:left w:w="28" w:type="dxa"/>
              <w:right w:w="28" w:type="dxa"/>
            </w:tcMar>
          </w:tcPr>
          <w:p w14:paraId="7832CA1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w:t>
            </w:r>
          </w:p>
        </w:tc>
        <w:tc>
          <w:tcPr>
            <w:tcW w:w="1015" w:type="dxa"/>
            <w:gridSpan w:val="2"/>
            <w:tcMar>
              <w:left w:w="28" w:type="dxa"/>
              <w:right w:w="28" w:type="dxa"/>
            </w:tcMar>
          </w:tcPr>
          <w:p w14:paraId="4F80F5A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(4)</w:t>
            </w:r>
          </w:p>
        </w:tc>
        <w:tc>
          <w:tcPr>
            <w:tcW w:w="1257" w:type="dxa"/>
            <w:gridSpan w:val="3"/>
          </w:tcPr>
          <w:p w14:paraId="215C10C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w:t>
            </w:r>
          </w:p>
        </w:tc>
        <w:tc>
          <w:tcPr>
            <w:tcW w:w="1257" w:type="dxa"/>
            <w:gridSpan w:val="2"/>
            <w:tcMar>
              <w:left w:w="28" w:type="dxa"/>
              <w:right w:w="28" w:type="dxa"/>
            </w:tcMar>
          </w:tcPr>
          <w:p w14:paraId="63FBB23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w:t>
            </w:r>
          </w:p>
        </w:tc>
        <w:tc>
          <w:tcPr>
            <w:tcW w:w="1351" w:type="dxa"/>
            <w:gridSpan w:val="2"/>
            <w:tcMar>
              <w:left w:w="28" w:type="dxa"/>
              <w:right w:w="28" w:type="dxa"/>
            </w:tcMar>
          </w:tcPr>
          <w:p w14:paraId="49F0328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w:t>
            </w:r>
          </w:p>
        </w:tc>
        <w:tc>
          <w:tcPr>
            <w:tcW w:w="1245" w:type="dxa"/>
            <w:gridSpan w:val="2"/>
            <w:tcMar>
              <w:left w:w="28" w:type="dxa"/>
              <w:right w:w="28" w:type="dxa"/>
            </w:tcMar>
          </w:tcPr>
          <w:p w14:paraId="1ED05E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w:t>
            </w:r>
          </w:p>
        </w:tc>
        <w:tc>
          <w:tcPr>
            <w:tcW w:w="1236" w:type="dxa"/>
            <w:gridSpan w:val="2"/>
            <w:tcMar>
              <w:left w:w="28" w:type="dxa"/>
              <w:right w:w="28" w:type="dxa"/>
            </w:tcMar>
          </w:tcPr>
          <w:p w14:paraId="3ABBE5C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(9)</w:t>
            </w:r>
          </w:p>
        </w:tc>
        <w:tc>
          <w:tcPr>
            <w:tcW w:w="1086" w:type="dxa"/>
            <w:tcMar>
              <w:left w:w="28" w:type="dxa"/>
              <w:right w:w="28" w:type="dxa"/>
            </w:tcMar>
          </w:tcPr>
          <w:p w14:paraId="556C110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62" w:type="dxa"/>
            <w:tcMar>
              <w:left w:w="28" w:type="dxa"/>
              <w:right w:w="28" w:type="dxa"/>
            </w:tcMar>
          </w:tcPr>
          <w:p w14:paraId="2DD57FA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(11)</w:t>
            </w:r>
          </w:p>
        </w:tc>
        <w:tc>
          <w:tcPr>
            <w:tcW w:w="1154" w:type="dxa"/>
            <w:gridSpan w:val="2"/>
            <w:tcMar>
              <w:left w:w="28" w:type="dxa"/>
              <w:right w:w="28" w:type="dxa"/>
            </w:tcMar>
          </w:tcPr>
          <w:p w14:paraId="728DE74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(12)</w:t>
            </w:r>
          </w:p>
        </w:tc>
        <w:tc>
          <w:tcPr>
            <w:tcW w:w="970" w:type="dxa"/>
            <w:tcMar>
              <w:left w:w="28" w:type="dxa"/>
              <w:right w:w="28" w:type="dxa"/>
            </w:tcMar>
          </w:tcPr>
          <w:p w14:paraId="48EF6E6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w:t>
            </w:r>
          </w:p>
        </w:tc>
      </w:tr>
      <w:tr w:rsidR="00C45ED4" w:rsidRPr="00CB2133" w14:paraId="669B9BB5" w14:textId="77777777" w:rsidTr="000238DA">
        <w:trPr>
          <w:gridBefore w:val="1"/>
          <w:wBefore w:w="11" w:type="dxa"/>
          <w:cantSplit/>
          <w:trHeight w:val="1020"/>
          <w:tblHeader/>
          <w:jc w:val="center"/>
        </w:trPr>
        <w:tc>
          <w:tcPr>
            <w:tcW w:w="638" w:type="dxa"/>
            <w:gridSpan w:val="2"/>
            <w:tcMar>
              <w:left w:w="28" w:type="dxa"/>
              <w:right w:w="28" w:type="dxa"/>
            </w:tcMar>
          </w:tcPr>
          <w:p w14:paraId="6C2E6BE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Kande nr</w:t>
            </w:r>
          </w:p>
        </w:tc>
        <w:tc>
          <w:tcPr>
            <w:tcW w:w="2273" w:type="dxa"/>
            <w:gridSpan w:val="3"/>
            <w:tcMar>
              <w:left w:w="28" w:type="dxa"/>
              <w:right w:w="28" w:type="dxa"/>
            </w:tcMar>
          </w:tcPr>
          <w:p w14:paraId="4BEEE51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Aine nimetus</w:t>
            </w:r>
          </w:p>
        </w:tc>
        <w:tc>
          <w:tcPr>
            <w:tcW w:w="1278" w:type="dxa"/>
            <w:gridSpan w:val="3"/>
            <w:shd w:val="clear" w:color="auto" w:fill="auto"/>
            <w:tcMar>
              <w:left w:w="28" w:type="dxa"/>
              <w:right w:w="28" w:type="dxa"/>
            </w:tcMar>
          </w:tcPr>
          <w:p w14:paraId="26D8AC8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Ainekategooria</w:t>
            </w:r>
          </w:p>
        </w:tc>
        <w:tc>
          <w:tcPr>
            <w:tcW w:w="1015" w:type="dxa"/>
            <w:gridSpan w:val="2"/>
            <w:tcMar>
              <w:left w:w="28" w:type="dxa"/>
              <w:right w:w="28" w:type="dxa"/>
            </w:tcMar>
          </w:tcPr>
          <w:p w14:paraId="615EAD53"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CASi number</w:t>
            </w:r>
            <w:r w:rsidRPr="00CB2133">
              <w:rPr>
                <w:rFonts w:eastAsia="Calibri"/>
                <w:noProof/>
                <w:sz w:val="22"/>
                <w:szCs w:val="22"/>
                <w:vertAlign w:val="superscript"/>
                <w:lang w:eastAsia="en-US"/>
              </w:rPr>
              <w:t>(1)</w:t>
            </w:r>
            <w:bookmarkStart w:id="8" w:name="_DV_M292"/>
            <w:bookmarkEnd w:id="8"/>
          </w:p>
        </w:tc>
        <w:tc>
          <w:tcPr>
            <w:tcW w:w="1257" w:type="dxa"/>
            <w:gridSpan w:val="3"/>
          </w:tcPr>
          <w:p w14:paraId="082C288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ELi number</w:t>
            </w:r>
            <w:r w:rsidRPr="00CB2133">
              <w:rPr>
                <w:rFonts w:eastAsia="Calibri"/>
                <w:noProof/>
                <w:sz w:val="22"/>
                <w:szCs w:val="22"/>
                <w:vertAlign w:val="superscript"/>
                <w:lang w:eastAsia="en-US"/>
              </w:rPr>
              <w:t>(2)</w:t>
            </w:r>
          </w:p>
        </w:tc>
        <w:tc>
          <w:tcPr>
            <w:tcW w:w="1257" w:type="dxa"/>
            <w:gridSpan w:val="2"/>
            <w:tcMar>
              <w:left w:w="28" w:type="dxa"/>
              <w:right w:w="28" w:type="dxa"/>
            </w:tcMar>
          </w:tcPr>
          <w:p w14:paraId="211BF261" w14:textId="77777777" w:rsidR="00C45ED4" w:rsidRPr="00CB2133" w:rsidRDefault="00C45ED4" w:rsidP="00C45ED4">
            <w:pPr>
              <w:widowControl/>
              <w:spacing w:before="40" w:after="40"/>
              <w:rPr>
                <w:rFonts w:eastAsia="Calibri"/>
                <w:noProof/>
                <w:sz w:val="22"/>
                <w:szCs w:val="22"/>
                <w:vertAlign w:val="superscript"/>
                <w:lang w:eastAsia="en-US"/>
              </w:rPr>
            </w:pPr>
            <w:bookmarkStart w:id="9" w:name="_Hlk115349616"/>
            <w:bookmarkStart w:id="10" w:name="_Hlk115803578"/>
            <w:r w:rsidRPr="00CB2133">
              <w:rPr>
                <w:rFonts w:eastAsia="Calibri"/>
                <w:noProof/>
                <w:sz w:val="22"/>
                <w:szCs w:val="22"/>
                <w:lang w:eastAsia="en-US"/>
              </w:rPr>
              <w:t>AA-EQS</w:t>
            </w:r>
            <w:bookmarkEnd w:id="9"/>
            <w:r w:rsidRPr="00CB2133">
              <w:rPr>
                <w:rFonts w:eastAsia="Calibri"/>
                <w:noProof/>
                <w:sz w:val="22"/>
                <w:szCs w:val="22"/>
                <w:vertAlign w:val="superscript"/>
                <w:lang w:eastAsia="en-US"/>
              </w:rPr>
              <w:t>(3)</w:t>
            </w:r>
            <w:r w:rsidRPr="00CB2133">
              <w:rPr>
                <w:rFonts w:eastAsia="Calibri"/>
                <w:noProof/>
                <w:sz w:val="22"/>
                <w:szCs w:val="22"/>
                <w:lang w:eastAsia="en-US"/>
              </w:rPr>
              <w:t xml:space="preserve"> </w:t>
            </w:r>
            <w:bookmarkStart w:id="11" w:name="_DV_M293"/>
            <w:bookmarkEnd w:id="11"/>
            <w:r w:rsidRPr="00CB2133">
              <w:rPr>
                <w:rFonts w:eastAsia="Calibri"/>
                <w:noProof/>
                <w:sz w:val="22"/>
                <w:szCs w:val="22"/>
                <w:lang w:eastAsia="en-US"/>
              </w:rPr>
              <w:t>Maismaa pinnaveed</w:t>
            </w:r>
            <w:bookmarkEnd w:id="10"/>
            <w:r w:rsidRPr="00CB2133">
              <w:rPr>
                <w:rFonts w:eastAsia="Calibri"/>
                <w:noProof/>
                <w:sz w:val="22"/>
                <w:szCs w:val="22"/>
                <w:vertAlign w:val="superscript"/>
                <w:lang w:eastAsia="en-US"/>
              </w:rPr>
              <w:t>(4)</w:t>
            </w:r>
            <w:bookmarkStart w:id="12" w:name="_DV_M294"/>
            <w:bookmarkEnd w:id="12"/>
          </w:p>
          <w:p w14:paraId="482E2836" w14:textId="77777777" w:rsidR="00C45ED4" w:rsidRPr="00CB2133" w:rsidRDefault="00C45ED4" w:rsidP="00C45ED4">
            <w:pPr>
              <w:widowControl/>
              <w:spacing w:before="40" w:after="40"/>
              <w:rPr>
                <w:rFonts w:eastAsia="Calibri"/>
                <w:noProof/>
                <w:sz w:val="22"/>
                <w:szCs w:val="22"/>
                <w:lang w:eastAsia="en-US"/>
              </w:rPr>
            </w:pPr>
          </w:p>
          <w:p w14:paraId="2DC9899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[µg/l]</w:t>
            </w:r>
          </w:p>
        </w:tc>
        <w:tc>
          <w:tcPr>
            <w:tcW w:w="1351" w:type="dxa"/>
            <w:gridSpan w:val="2"/>
            <w:tcMar>
              <w:left w:w="28" w:type="dxa"/>
              <w:right w:w="28" w:type="dxa"/>
            </w:tcMar>
          </w:tcPr>
          <w:p w14:paraId="27AF535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AA-EQS</w:t>
            </w:r>
            <w:bookmarkStart w:id="13" w:name="_DV_M295"/>
            <w:bookmarkEnd w:id="13"/>
            <w:r w:rsidRPr="00CB2133">
              <w:rPr>
                <w:rFonts w:eastAsia="Calibri"/>
                <w:noProof/>
                <w:sz w:val="22"/>
                <w:szCs w:val="22"/>
                <w:vertAlign w:val="superscript"/>
                <w:lang w:eastAsia="en-US"/>
              </w:rPr>
              <w:t>(3)</w:t>
            </w:r>
          </w:p>
          <w:p w14:paraId="0C1E39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Muud pinnaveed</w:t>
            </w:r>
          </w:p>
          <w:p w14:paraId="7E865E7A" w14:textId="77777777" w:rsidR="00C45ED4" w:rsidRPr="00CB2133" w:rsidRDefault="00C45ED4" w:rsidP="00C45ED4">
            <w:pPr>
              <w:widowControl/>
              <w:spacing w:before="40" w:after="40"/>
              <w:rPr>
                <w:rFonts w:eastAsia="Calibri"/>
                <w:noProof/>
                <w:sz w:val="22"/>
                <w:szCs w:val="22"/>
                <w:lang w:eastAsia="en-US"/>
              </w:rPr>
            </w:pPr>
          </w:p>
          <w:p w14:paraId="03E36A8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[µg/l]</w:t>
            </w:r>
          </w:p>
        </w:tc>
        <w:tc>
          <w:tcPr>
            <w:tcW w:w="1245" w:type="dxa"/>
            <w:gridSpan w:val="2"/>
            <w:tcMar>
              <w:left w:w="28" w:type="dxa"/>
              <w:right w:w="28" w:type="dxa"/>
            </w:tcMar>
          </w:tcPr>
          <w:p w14:paraId="467B835B" w14:textId="77777777" w:rsidR="00C45ED4" w:rsidRPr="00CB2133" w:rsidRDefault="00C45ED4" w:rsidP="00C45ED4">
            <w:pPr>
              <w:widowControl/>
              <w:spacing w:before="40" w:after="40"/>
              <w:rPr>
                <w:rFonts w:eastAsia="Calibri"/>
                <w:noProof/>
                <w:sz w:val="22"/>
                <w:szCs w:val="22"/>
                <w:lang w:eastAsia="en-US"/>
              </w:rPr>
            </w:pPr>
            <w:bookmarkStart w:id="14" w:name="_Hlk115349625"/>
            <w:r w:rsidRPr="00CB2133">
              <w:rPr>
                <w:rFonts w:eastAsia="Calibri"/>
                <w:noProof/>
                <w:sz w:val="22"/>
                <w:szCs w:val="22"/>
                <w:lang w:eastAsia="en-US"/>
              </w:rPr>
              <w:t>MAC-EQS</w:t>
            </w:r>
            <w:bookmarkEnd w:id="14"/>
            <w:r w:rsidRPr="00CB2133">
              <w:rPr>
                <w:rFonts w:eastAsia="Calibri"/>
                <w:noProof/>
                <w:sz w:val="22"/>
                <w:szCs w:val="22"/>
                <w:vertAlign w:val="superscript"/>
                <w:lang w:eastAsia="en-US"/>
              </w:rPr>
              <w:t>(5)</w:t>
            </w:r>
            <w:bookmarkStart w:id="15" w:name="_DV_M296"/>
            <w:bookmarkEnd w:id="15"/>
          </w:p>
          <w:p w14:paraId="0B6B15A0"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Maismaa pinnaveed</w:t>
            </w:r>
            <w:bookmarkStart w:id="16" w:name="_DV_M297"/>
            <w:bookmarkEnd w:id="16"/>
            <w:r w:rsidRPr="00CB2133">
              <w:rPr>
                <w:rFonts w:eastAsia="Calibri"/>
                <w:noProof/>
                <w:sz w:val="22"/>
                <w:szCs w:val="22"/>
                <w:vertAlign w:val="superscript"/>
                <w:lang w:eastAsia="en-US"/>
              </w:rPr>
              <w:t>(4)</w:t>
            </w:r>
          </w:p>
          <w:p w14:paraId="26294D41" w14:textId="77777777" w:rsidR="00C45ED4" w:rsidRPr="00CB2133" w:rsidRDefault="00C45ED4" w:rsidP="00C45ED4">
            <w:pPr>
              <w:widowControl/>
              <w:spacing w:before="40" w:after="40"/>
              <w:rPr>
                <w:rFonts w:eastAsia="Calibri"/>
                <w:noProof/>
                <w:sz w:val="22"/>
                <w:szCs w:val="22"/>
                <w:lang w:eastAsia="en-US"/>
              </w:rPr>
            </w:pPr>
          </w:p>
          <w:p w14:paraId="19857DF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[µg/l]</w:t>
            </w:r>
          </w:p>
        </w:tc>
        <w:tc>
          <w:tcPr>
            <w:tcW w:w="1236" w:type="dxa"/>
            <w:gridSpan w:val="2"/>
            <w:tcMar>
              <w:left w:w="28" w:type="dxa"/>
              <w:right w:w="28" w:type="dxa"/>
            </w:tcMar>
          </w:tcPr>
          <w:p w14:paraId="313D83C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MAC-EQS</w:t>
            </w:r>
            <w:r w:rsidRPr="00CB2133">
              <w:rPr>
                <w:rFonts w:eastAsia="Calibri"/>
                <w:noProof/>
                <w:sz w:val="22"/>
                <w:szCs w:val="22"/>
                <w:vertAlign w:val="superscript"/>
                <w:lang w:eastAsia="en-US"/>
              </w:rPr>
              <w:t>(5)</w:t>
            </w:r>
            <w:bookmarkStart w:id="17" w:name="_DV_M298"/>
            <w:bookmarkEnd w:id="17"/>
          </w:p>
          <w:p w14:paraId="1FF470F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Muud pinnaveed</w:t>
            </w:r>
          </w:p>
          <w:p w14:paraId="7F9E4BC7" w14:textId="77777777" w:rsidR="00C45ED4" w:rsidRPr="00CB2133" w:rsidRDefault="00C45ED4" w:rsidP="00C45ED4">
            <w:pPr>
              <w:widowControl/>
              <w:spacing w:before="40" w:after="40"/>
              <w:rPr>
                <w:rFonts w:eastAsia="Calibri"/>
                <w:noProof/>
                <w:sz w:val="22"/>
                <w:szCs w:val="22"/>
                <w:lang w:eastAsia="en-US"/>
              </w:rPr>
            </w:pPr>
          </w:p>
          <w:p w14:paraId="76CE1D4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[µg/l]</w:t>
            </w:r>
          </w:p>
        </w:tc>
        <w:tc>
          <w:tcPr>
            <w:tcW w:w="1086" w:type="dxa"/>
            <w:tcMar>
              <w:left w:w="28" w:type="dxa"/>
              <w:right w:w="28" w:type="dxa"/>
            </w:tcMar>
          </w:tcPr>
          <w:p w14:paraId="5C45528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Elustikuga seotud EQS</w:t>
            </w:r>
            <w:bookmarkStart w:id="18" w:name="_DV_M299"/>
            <w:bookmarkEnd w:id="18"/>
            <w:r w:rsidRPr="00CB2133">
              <w:rPr>
                <w:rFonts w:eastAsia="Calibri"/>
                <w:noProof/>
                <w:sz w:val="22"/>
                <w:szCs w:val="22"/>
                <w:vertAlign w:val="superscript"/>
                <w:lang w:eastAsia="en-US"/>
              </w:rPr>
              <w:t>(6)</w:t>
            </w:r>
          </w:p>
          <w:p w14:paraId="6A7AFD7F" w14:textId="77777777" w:rsidR="00C45ED4" w:rsidRPr="00CB2133" w:rsidRDefault="00C45ED4" w:rsidP="00C45ED4">
            <w:pPr>
              <w:widowControl/>
              <w:spacing w:before="40" w:after="40"/>
              <w:rPr>
                <w:rFonts w:eastAsia="Calibri"/>
                <w:noProof/>
                <w:sz w:val="22"/>
                <w:szCs w:val="22"/>
                <w:lang w:eastAsia="en-US"/>
              </w:rPr>
            </w:pPr>
          </w:p>
          <w:p w14:paraId="0B5BDAC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[µg/kg – sisaldus märgmassis] </w:t>
            </w:r>
          </w:p>
          <w:p w14:paraId="5DE52F3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või settega seotud EQS [µg/kg – sisaldus kuivmassis], kui on nii märgitud</w:t>
            </w:r>
          </w:p>
        </w:tc>
        <w:tc>
          <w:tcPr>
            <w:tcW w:w="1262" w:type="dxa"/>
            <w:tcMar>
              <w:left w:w="28" w:type="dxa"/>
              <w:right w:w="28" w:type="dxa"/>
            </w:tcMar>
          </w:tcPr>
          <w:p w14:paraId="3C50C41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Määratletud prioriteetse ohtliku ainena </w:t>
            </w:r>
          </w:p>
        </w:tc>
        <w:tc>
          <w:tcPr>
            <w:tcW w:w="1154" w:type="dxa"/>
            <w:gridSpan w:val="2"/>
            <w:tcMar>
              <w:left w:w="28" w:type="dxa"/>
              <w:right w:w="28" w:type="dxa"/>
            </w:tcMar>
          </w:tcPr>
          <w:p w14:paraId="017F9D4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Määratletud üldlevinud püsiva, bioakumuleeruva ja toksilise ainena </w:t>
            </w:r>
          </w:p>
        </w:tc>
        <w:tc>
          <w:tcPr>
            <w:tcW w:w="970" w:type="dxa"/>
            <w:tcMar>
              <w:left w:w="28" w:type="dxa"/>
              <w:right w:w="28" w:type="dxa"/>
            </w:tcMar>
          </w:tcPr>
          <w:p w14:paraId="17C11DA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Määratletud ainena, millel on kalduvus akumuleeruda settes ja/või elustikus </w:t>
            </w:r>
          </w:p>
        </w:tc>
      </w:tr>
      <w:tr w:rsidR="00C45ED4" w:rsidRPr="00CB2133" w14:paraId="10BAD16D" w14:textId="77777777" w:rsidTr="000238DA">
        <w:trPr>
          <w:gridBefore w:val="1"/>
          <w:wBefore w:w="11" w:type="dxa"/>
          <w:cantSplit/>
          <w:tblHeader/>
          <w:jc w:val="center"/>
        </w:trPr>
        <w:tc>
          <w:tcPr>
            <w:tcW w:w="649" w:type="dxa"/>
            <w:gridSpan w:val="3"/>
            <w:tcMar>
              <w:left w:w="28" w:type="dxa"/>
              <w:right w:w="28" w:type="dxa"/>
            </w:tcMar>
          </w:tcPr>
          <w:p w14:paraId="7AB166C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w:t>
            </w:r>
          </w:p>
        </w:tc>
        <w:tc>
          <w:tcPr>
            <w:tcW w:w="15373" w:type="dxa"/>
            <w:gridSpan w:val="23"/>
            <w:tcMar>
              <w:left w:w="28" w:type="dxa"/>
              <w:right w:w="28" w:type="dxa"/>
            </w:tcMar>
          </w:tcPr>
          <w:p w14:paraId="02BFBCC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Aine alakloor on viidud II lisa C osasse </w:t>
            </w:r>
          </w:p>
        </w:tc>
      </w:tr>
      <w:tr w:rsidR="00C45ED4" w:rsidRPr="00CB2133" w14:paraId="4E195AE6" w14:textId="77777777" w:rsidTr="000238DA">
        <w:trPr>
          <w:gridBefore w:val="1"/>
          <w:wBefore w:w="11" w:type="dxa"/>
          <w:cantSplit/>
          <w:tblHeader/>
          <w:jc w:val="center"/>
        </w:trPr>
        <w:tc>
          <w:tcPr>
            <w:tcW w:w="649" w:type="dxa"/>
            <w:gridSpan w:val="3"/>
            <w:tcMar>
              <w:left w:w="28" w:type="dxa"/>
              <w:right w:w="28" w:type="dxa"/>
            </w:tcMar>
          </w:tcPr>
          <w:p w14:paraId="6A010AFA"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w:t>
            </w:r>
          </w:p>
        </w:tc>
        <w:tc>
          <w:tcPr>
            <w:tcW w:w="2286" w:type="dxa"/>
            <w:gridSpan w:val="3"/>
            <w:tcMar>
              <w:left w:w="28" w:type="dxa"/>
              <w:right w:w="28" w:type="dxa"/>
            </w:tcMar>
          </w:tcPr>
          <w:p w14:paraId="450F1B7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Antratseen</w:t>
            </w:r>
          </w:p>
        </w:tc>
        <w:tc>
          <w:tcPr>
            <w:tcW w:w="1329" w:type="dxa"/>
            <w:gridSpan w:val="3"/>
            <w:tcMar>
              <w:left w:w="28" w:type="dxa"/>
              <w:right w:w="28" w:type="dxa"/>
            </w:tcMar>
          </w:tcPr>
          <w:p w14:paraId="6F9EA89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Tööstuses kasutatavad ained </w:t>
            </w:r>
          </w:p>
        </w:tc>
        <w:tc>
          <w:tcPr>
            <w:tcW w:w="992" w:type="dxa"/>
            <w:gridSpan w:val="2"/>
            <w:tcMar>
              <w:left w:w="28" w:type="dxa"/>
              <w:right w:w="28" w:type="dxa"/>
            </w:tcMar>
          </w:tcPr>
          <w:p w14:paraId="34B646F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120-12-7</w:t>
            </w:r>
          </w:p>
        </w:tc>
        <w:tc>
          <w:tcPr>
            <w:tcW w:w="1134" w:type="dxa"/>
          </w:tcPr>
          <w:p w14:paraId="4FCDBF8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204-371-1</w:t>
            </w:r>
          </w:p>
        </w:tc>
        <w:tc>
          <w:tcPr>
            <w:tcW w:w="1279" w:type="dxa"/>
            <w:gridSpan w:val="2"/>
            <w:tcMar>
              <w:left w:w="28" w:type="dxa"/>
              <w:right w:w="28" w:type="dxa"/>
            </w:tcMar>
          </w:tcPr>
          <w:p w14:paraId="233AA98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w:t>
            </w:r>
          </w:p>
        </w:tc>
        <w:tc>
          <w:tcPr>
            <w:tcW w:w="1279" w:type="dxa"/>
            <w:gridSpan w:val="2"/>
            <w:tcMar>
              <w:left w:w="28" w:type="dxa"/>
              <w:right w:w="28" w:type="dxa"/>
            </w:tcMar>
          </w:tcPr>
          <w:p w14:paraId="1C85FB4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w:t>
            </w:r>
          </w:p>
        </w:tc>
        <w:tc>
          <w:tcPr>
            <w:tcW w:w="1277" w:type="dxa"/>
            <w:gridSpan w:val="2"/>
            <w:tcMar>
              <w:left w:w="28" w:type="dxa"/>
              <w:right w:w="28" w:type="dxa"/>
            </w:tcMar>
          </w:tcPr>
          <w:p w14:paraId="5B04BF5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w:t>
            </w:r>
          </w:p>
        </w:tc>
        <w:tc>
          <w:tcPr>
            <w:tcW w:w="1276" w:type="dxa"/>
            <w:gridSpan w:val="2"/>
            <w:tcMar>
              <w:left w:w="28" w:type="dxa"/>
              <w:right w:w="28" w:type="dxa"/>
            </w:tcMar>
          </w:tcPr>
          <w:p w14:paraId="602D0E1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w:t>
            </w:r>
          </w:p>
        </w:tc>
        <w:tc>
          <w:tcPr>
            <w:tcW w:w="1135" w:type="dxa"/>
            <w:gridSpan w:val="2"/>
            <w:tcMar>
              <w:left w:w="28" w:type="dxa"/>
              <w:right w:w="28" w:type="dxa"/>
            </w:tcMar>
          </w:tcPr>
          <w:p w14:paraId="3B82B657"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099F89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4DE31359"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1B6A0A4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15F36557" w14:textId="77777777" w:rsidTr="000238DA">
        <w:trPr>
          <w:gridBefore w:val="1"/>
          <w:wBefore w:w="11" w:type="dxa"/>
          <w:cantSplit/>
          <w:tblHeader/>
          <w:jc w:val="center"/>
        </w:trPr>
        <w:tc>
          <w:tcPr>
            <w:tcW w:w="649" w:type="dxa"/>
            <w:gridSpan w:val="3"/>
            <w:tcMar>
              <w:left w:w="28" w:type="dxa"/>
              <w:right w:w="28" w:type="dxa"/>
            </w:tcMar>
          </w:tcPr>
          <w:p w14:paraId="3DC1153A" w14:textId="623B8A5D"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w:t>
            </w:r>
            <w:r w:rsidR="00C05A6E" w:rsidRPr="00CB2133">
              <w:rPr>
                <w:rFonts w:eastAsia="Calibri"/>
                <w:noProof/>
                <w:sz w:val="22"/>
                <w:szCs w:val="22"/>
                <w:lang w:eastAsia="en-US"/>
              </w:rPr>
              <w:t xml:space="preserve"> </w:t>
            </w:r>
            <w:r w:rsidR="00C05A6E" w:rsidRPr="00CB2133">
              <w:rPr>
                <w:rFonts w:eastAsia="Calibri"/>
                <w:b/>
                <w:noProof/>
                <w:sz w:val="22"/>
                <w:szCs w:val="22"/>
                <w:lang w:eastAsia="en-US"/>
              </w:rPr>
              <w:t>[ME 150]</w:t>
            </w:r>
          </w:p>
        </w:tc>
        <w:tc>
          <w:tcPr>
            <w:tcW w:w="2286" w:type="dxa"/>
            <w:gridSpan w:val="3"/>
            <w:tcMar>
              <w:left w:w="28" w:type="dxa"/>
              <w:right w:w="28" w:type="dxa"/>
            </w:tcMar>
          </w:tcPr>
          <w:p w14:paraId="33582C9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Atrasiin</w:t>
            </w:r>
          </w:p>
        </w:tc>
        <w:tc>
          <w:tcPr>
            <w:tcW w:w="1329" w:type="dxa"/>
            <w:gridSpan w:val="3"/>
            <w:tcMar>
              <w:left w:w="28" w:type="dxa"/>
              <w:right w:w="28" w:type="dxa"/>
            </w:tcMar>
          </w:tcPr>
          <w:p w14:paraId="58B33A2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6ECAC4D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1912-24-9</w:t>
            </w:r>
          </w:p>
        </w:tc>
        <w:tc>
          <w:tcPr>
            <w:tcW w:w="1134" w:type="dxa"/>
          </w:tcPr>
          <w:p w14:paraId="73EDF0F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217-617-8</w:t>
            </w:r>
          </w:p>
        </w:tc>
        <w:tc>
          <w:tcPr>
            <w:tcW w:w="1279" w:type="dxa"/>
            <w:gridSpan w:val="2"/>
            <w:tcMar>
              <w:left w:w="28" w:type="dxa"/>
              <w:right w:w="28" w:type="dxa"/>
            </w:tcMar>
          </w:tcPr>
          <w:p w14:paraId="0A427952" w14:textId="77777777" w:rsidR="00C45ED4" w:rsidRPr="00CB2133" w:rsidRDefault="00C45ED4" w:rsidP="00C45ED4">
            <w:pPr>
              <w:widowControl/>
              <w:spacing w:before="40" w:after="40"/>
              <w:rPr>
                <w:rFonts w:eastAsia="Calibri"/>
                <w:b/>
                <w:i/>
                <w:strike/>
                <w:noProof/>
                <w:sz w:val="22"/>
                <w:szCs w:val="22"/>
                <w:lang w:eastAsia="en-US"/>
              </w:rPr>
            </w:pPr>
            <w:r w:rsidRPr="00CB2133">
              <w:rPr>
                <w:rFonts w:eastAsia="Calibri"/>
                <w:strike/>
                <w:noProof/>
                <w:sz w:val="22"/>
                <w:szCs w:val="22"/>
                <w:lang w:eastAsia="en-US"/>
              </w:rPr>
              <w:t>0,6</w:t>
            </w:r>
            <w:r w:rsidRPr="00CB2133">
              <w:rPr>
                <w:rFonts w:eastAsia="Calibri"/>
                <w:b/>
                <w:i/>
                <w:noProof/>
                <w:sz w:val="22"/>
                <w:szCs w:val="22"/>
                <w:lang w:eastAsia="en-US"/>
              </w:rPr>
              <w:t>0,1</w:t>
            </w:r>
          </w:p>
        </w:tc>
        <w:tc>
          <w:tcPr>
            <w:tcW w:w="1279" w:type="dxa"/>
            <w:gridSpan w:val="2"/>
            <w:tcMar>
              <w:left w:w="28" w:type="dxa"/>
              <w:right w:w="28" w:type="dxa"/>
            </w:tcMar>
          </w:tcPr>
          <w:p w14:paraId="3334F1D1" w14:textId="77777777" w:rsidR="00C45ED4" w:rsidRPr="00CB2133" w:rsidRDefault="00C45ED4" w:rsidP="00C45ED4">
            <w:pPr>
              <w:widowControl/>
              <w:spacing w:before="40" w:after="40"/>
              <w:rPr>
                <w:rFonts w:eastAsia="Calibri"/>
                <w:b/>
                <w:i/>
                <w:strike/>
                <w:noProof/>
                <w:sz w:val="22"/>
                <w:szCs w:val="22"/>
                <w:lang w:eastAsia="en-US"/>
              </w:rPr>
            </w:pPr>
            <w:r w:rsidRPr="00CB2133">
              <w:rPr>
                <w:rFonts w:eastAsia="Calibri"/>
                <w:strike/>
                <w:noProof/>
                <w:sz w:val="22"/>
                <w:szCs w:val="22"/>
                <w:lang w:eastAsia="en-US"/>
              </w:rPr>
              <w:t>0,6</w:t>
            </w:r>
            <w:r w:rsidRPr="00CB2133">
              <w:rPr>
                <w:rFonts w:eastAsia="Calibri"/>
                <w:b/>
                <w:i/>
                <w:noProof/>
                <w:sz w:val="22"/>
                <w:szCs w:val="22"/>
                <w:lang w:eastAsia="en-US"/>
              </w:rPr>
              <w:t>0,01</w:t>
            </w:r>
          </w:p>
        </w:tc>
        <w:tc>
          <w:tcPr>
            <w:tcW w:w="1277" w:type="dxa"/>
            <w:gridSpan w:val="2"/>
            <w:tcMar>
              <w:left w:w="28" w:type="dxa"/>
              <w:right w:w="28" w:type="dxa"/>
            </w:tcMar>
          </w:tcPr>
          <w:p w14:paraId="112DAD2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w:t>
            </w:r>
          </w:p>
        </w:tc>
        <w:tc>
          <w:tcPr>
            <w:tcW w:w="1276" w:type="dxa"/>
            <w:gridSpan w:val="2"/>
            <w:tcMar>
              <w:left w:w="28" w:type="dxa"/>
              <w:right w:w="28" w:type="dxa"/>
            </w:tcMar>
          </w:tcPr>
          <w:p w14:paraId="20587CE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w:t>
            </w:r>
          </w:p>
        </w:tc>
        <w:tc>
          <w:tcPr>
            <w:tcW w:w="1135" w:type="dxa"/>
            <w:gridSpan w:val="2"/>
            <w:tcMar>
              <w:left w:w="28" w:type="dxa"/>
              <w:right w:w="28" w:type="dxa"/>
            </w:tcMar>
          </w:tcPr>
          <w:p w14:paraId="7DBD35B5"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EC267FF"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631C9C98"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5BB04FD4"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48241305" w14:textId="77777777" w:rsidTr="000238DA">
        <w:trPr>
          <w:gridBefore w:val="1"/>
          <w:wBefore w:w="11" w:type="dxa"/>
          <w:cantSplit/>
          <w:tblHeader/>
          <w:jc w:val="center"/>
        </w:trPr>
        <w:tc>
          <w:tcPr>
            <w:tcW w:w="649" w:type="dxa"/>
            <w:gridSpan w:val="3"/>
            <w:tcMar>
              <w:left w:w="28" w:type="dxa"/>
              <w:right w:w="28" w:type="dxa"/>
            </w:tcMar>
          </w:tcPr>
          <w:p w14:paraId="35836E9B" w14:textId="7D7EBAF1" w:rsidR="00C45ED4" w:rsidRPr="00CB2133" w:rsidRDefault="00C45ED4" w:rsidP="00C05A6E">
            <w:pPr>
              <w:widowControl/>
              <w:spacing w:before="40" w:after="40"/>
              <w:jc w:val="both"/>
              <w:rPr>
                <w:rFonts w:eastAsia="Calibri"/>
                <w:b/>
                <w:noProof/>
                <w:sz w:val="22"/>
                <w:szCs w:val="22"/>
                <w:lang w:eastAsia="en-US"/>
              </w:rPr>
            </w:pPr>
            <w:r w:rsidRPr="00CB2133">
              <w:rPr>
                <w:rFonts w:eastAsia="Calibri"/>
                <w:noProof/>
                <w:sz w:val="22"/>
                <w:szCs w:val="22"/>
                <w:lang w:eastAsia="en-US"/>
              </w:rPr>
              <w:t>(4)</w:t>
            </w:r>
          </w:p>
        </w:tc>
        <w:tc>
          <w:tcPr>
            <w:tcW w:w="2286" w:type="dxa"/>
            <w:gridSpan w:val="3"/>
            <w:tcMar>
              <w:left w:w="28" w:type="dxa"/>
              <w:right w:w="28" w:type="dxa"/>
            </w:tcMar>
          </w:tcPr>
          <w:p w14:paraId="0E370C6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Benseen</w:t>
            </w:r>
          </w:p>
        </w:tc>
        <w:tc>
          <w:tcPr>
            <w:tcW w:w="1329" w:type="dxa"/>
            <w:gridSpan w:val="3"/>
            <w:tcMar>
              <w:left w:w="28" w:type="dxa"/>
              <w:right w:w="28" w:type="dxa"/>
            </w:tcMar>
          </w:tcPr>
          <w:p w14:paraId="70E3619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5E23FB6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71-43-2</w:t>
            </w:r>
          </w:p>
        </w:tc>
        <w:tc>
          <w:tcPr>
            <w:tcW w:w="1134" w:type="dxa"/>
          </w:tcPr>
          <w:p w14:paraId="2571848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200-753-7</w:t>
            </w:r>
          </w:p>
        </w:tc>
        <w:tc>
          <w:tcPr>
            <w:tcW w:w="1279" w:type="dxa"/>
            <w:gridSpan w:val="2"/>
            <w:tcMar>
              <w:left w:w="28" w:type="dxa"/>
              <w:right w:w="28" w:type="dxa"/>
            </w:tcMar>
          </w:tcPr>
          <w:p w14:paraId="0EF4FEA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79" w:type="dxa"/>
            <w:gridSpan w:val="2"/>
            <w:tcMar>
              <w:left w:w="28" w:type="dxa"/>
              <w:right w:w="28" w:type="dxa"/>
            </w:tcMar>
          </w:tcPr>
          <w:p w14:paraId="67DA834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w:t>
            </w:r>
          </w:p>
        </w:tc>
        <w:tc>
          <w:tcPr>
            <w:tcW w:w="1277" w:type="dxa"/>
            <w:gridSpan w:val="2"/>
            <w:tcMar>
              <w:left w:w="28" w:type="dxa"/>
              <w:right w:w="28" w:type="dxa"/>
            </w:tcMar>
          </w:tcPr>
          <w:p w14:paraId="44EABAC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50</w:t>
            </w:r>
          </w:p>
        </w:tc>
        <w:tc>
          <w:tcPr>
            <w:tcW w:w="1276" w:type="dxa"/>
            <w:gridSpan w:val="2"/>
            <w:tcMar>
              <w:left w:w="28" w:type="dxa"/>
              <w:right w:w="28" w:type="dxa"/>
            </w:tcMar>
          </w:tcPr>
          <w:p w14:paraId="7C0CD79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50</w:t>
            </w:r>
          </w:p>
        </w:tc>
        <w:tc>
          <w:tcPr>
            <w:tcW w:w="1135" w:type="dxa"/>
            <w:gridSpan w:val="2"/>
            <w:tcMar>
              <w:left w:w="28" w:type="dxa"/>
              <w:right w:w="28" w:type="dxa"/>
            </w:tcMar>
          </w:tcPr>
          <w:p w14:paraId="13B7672B"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7DFD8FCB"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03826146"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BDA7E17"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2AD20BA5" w14:textId="77777777" w:rsidTr="000238DA">
        <w:trPr>
          <w:gridBefore w:val="1"/>
          <w:wBefore w:w="11" w:type="dxa"/>
          <w:cantSplit/>
          <w:trHeight w:val="567"/>
          <w:tblHeader/>
          <w:jc w:val="center"/>
        </w:trPr>
        <w:tc>
          <w:tcPr>
            <w:tcW w:w="649" w:type="dxa"/>
            <w:gridSpan w:val="3"/>
            <w:tcMar>
              <w:left w:w="28" w:type="dxa"/>
              <w:right w:w="28" w:type="dxa"/>
            </w:tcMar>
          </w:tcPr>
          <w:p w14:paraId="2AFA786A"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w:t>
            </w:r>
          </w:p>
        </w:tc>
        <w:tc>
          <w:tcPr>
            <w:tcW w:w="2286" w:type="dxa"/>
            <w:gridSpan w:val="3"/>
            <w:tcMar>
              <w:left w:w="28" w:type="dxa"/>
              <w:right w:w="28" w:type="dxa"/>
            </w:tcMar>
          </w:tcPr>
          <w:p w14:paraId="65EA4CED"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Bromodifenüüleetrid</w:t>
            </w:r>
            <w:bookmarkStart w:id="19" w:name="_DV_M300"/>
            <w:bookmarkEnd w:id="19"/>
          </w:p>
        </w:tc>
        <w:tc>
          <w:tcPr>
            <w:tcW w:w="1329" w:type="dxa"/>
            <w:gridSpan w:val="3"/>
            <w:tcMar>
              <w:left w:w="28" w:type="dxa"/>
              <w:right w:w="28" w:type="dxa"/>
            </w:tcMar>
          </w:tcPr>
          <w:p w14:paraId="689618C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6142889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4" w:type="dxa"/>
          </w:tcPr>
          <w:p w14:paraId="507E654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1BFFB0D4" w14:textId="77777777" w:rsidR="00C45ED4" w:rsidRPr="00CB2133" w:rsidRDefault="00C45ED4" w:rsidP="00C45ED4">
            <w:pPr>
              <w:widowControl/>
              <w:spacing w:before="40" w:after="40"/>
              <w:rPr>
                <w:rFonts w:eastAsia="Calibri"/>
                <w:noProof/>
                <w:sz w:val="22"/>
                <w:szCs w:val="22"/>
                <w:lang w:eastAsia="en-US"/>
              </w:rPr>
            </w:pPr>
          </w:p>
        </w:tc>
        <w:tc>
          <w:tcPr>
            <w:tcW w:w="1279" w:type="dxa"/>
            <w:gridSpan w:val="2"/>
            <w:tcMar>
              <w:left w:w="28" w:type="dxa"/>
              <w:right w:w="28" w:type="dxa"/>
            </w:tcMar>
          </w:tcPr>
          <w:p w14:paraId="3B2F87AA" w14:textId="77777777" w:rsidR="00C45ED4" w:rsidRPr="00CB2133" w:rsidRDefault="00C45ED4" w:rsidP="00C45ED4">
            <w:pPr>
              <w:widowControl/>
              <w:spacing w:before="40" w:after="40"/>
              <w:rPr>
                <w:rFonts w:eastAsia="Calibri"/>
                <w:noProof/>
                <w:sz w:val="22"/>
                <w:szCs w:val="22"/>
                <w:lang w:eastAsia="en-US"/>
              </w:rPr>
            </w:pPr>
          </w:p>
        </w:tc>
        <w:tc>
          <w:tcPr>
            <w:tcW w:w="1277" w:type="dxa"/>
            <w:gridSpan w:val="2"/>
            <w:tcMar>
              <w:left w:w="28" w:type="dxa"/>
              <w:right w:w="28" w:type="dxa"/>
            </w:tcMar>
          </w:tcPr>
          <w:p w14:paraId="297445A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0,14</w:t>
            </w:r>
            <w:r w:rsidRPr="00CB2133">
              <w:rPr>
                <w:rFonts w:eastAsia="Calibri"/>
                <w:noProof/>
                <w:sz w:val="22"/>
                <w:szCs w:val="22"/>
                <w:vertAlign w:val="superscript"/>
                <w:lang w:eastAsia="en-US"/>
              </w:rPr>
              <w:t>(7)</w:t>
            </w:r>
          </w:p>
        </w:tc>
        <w:tc>
          <w:tcPr>
            <w:tcW w:w="1276" w:type="dxa"/>
            <w:gridSpan w:val="2"/>
            <w:tcMar>
              <w:left w:w="28" w:type="dxa"/>
              <w:right w:w="28" w:type="dxa"/>
            </w:tcMar>
          </w:tcPr>
          <w:p w14:paraId="6CA0B05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0,014</w:t>
            </w:r>
            <w:r w:rsidRPr="00CB2133">
              <w:rPr>
                <w:rFonts w:eastAsia="Calibri"/>
                <w:noProof/>
                <w:sz w:val="22"/>
                <w:szCs w:val="22"/>
                <w:vertAlign w:val="superscript"/>
                <w:lang w:eastAsia="en-US"/>
              </w:rPr>
              <w:t>(7)</w:t>
            </w:r>
          </w:p>
        </w:tc>
        <w:tc>
          <w:tcPr>
            <w:tcW w:w="1135" w:type="dxa"/>
            <w:gridSpan w:val="2"/>
            <w:tcMar>
              <w:left w:w="28" w:type="dxa"/>
              <w:right w:w="28" w:type="dxa"/>
            </w:tcMar>
          </w:tcPr>
          <w:p w14:paraId="6B990A6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[0,00028]</w:t>
            </w:r>
            <w:r w:rsidRPr="00CB2133">
              <w:rPr>
                <w:rFonts w:eastAsia="Calibri"/>
                <w:noProof/>
                <w:sz w:val="22"/>
                <w:szCs w:val="22"/>
                <w:vertAlign w:val="superscript"/>
                <w:lang w:eastAsia="en-US"/>
              </w:rPr>
              <w:t>(7)</w:t>
            </w:r>
          </w:p>
        </w:tc>
        <w:tc>
          <w:tcPr>
            <w:tcW w:w="1262" w:type="dxa"/>
            <w:tcMar>
              <w:left w:w="28" w:type="dxa"/>
              <w:right w:w="28" w:type="dxa"/>
            </w:tcMar>
          </w:tcPr>
          <w:p w14:paraId="6931491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r w:rsidRPr="00CB2133">
              <w:rPr>
                <w:rFonts w:eastAsia="Calibri"/>
                <w:noProof/>
                <w:sz w:val="22"/>
                <w:szCs w:val="22"/>
                <w:vertAlign w:val="superscript"/>
                <w:lang w:eastAsia="en-US"/>
              </w:rPr>
              <w:t>(8)</w:t>
            </w:r>
          </w:p>
        </w:tc>
        <w:tc>
          <w:tcPr>
            <w:tcW w:w="1154" w:type="dxa"/>
            <w:gridSpan w:val="2"/>
            <w:tcMar>
              <w:left w:w="28" w:type="dxa"/>
              <w:right w:w="28" w:type="dxa"/>
            </w:tcMar>
          </w:tcPr>
          <w:p w14:paraId="22CCF2C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2B8BBCA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6CF6175F" w14:textId="77777777" w:rsidTr="000238DA">
        <w:trPr>
          <w:gridBefore w:val="1"/>
          <w:wBefore w:w="11" w:type="dxa"/>
          <w:cantSplit/>
          <w:tblHeader/>
          <w:jc w:val="center"/>
        </w:trPr>
        <w:tc>
          <w:tcPr>
            <w:tcW w:w="649" w:type="dxa"/>
            <w:gridSpan w:val="3"/>
            <w:tcMar>
              <w:left w:w="28" w:type="dxa"/>
              <w:right w:w="28" w:type="dxa"/>
            </w:tcMar>
          </w:tcPr>
          <w:p w14:paraId="571587C4" w14:textId="77777777" w:rsidR="00C45ED4" w:rsidRPr="00CB2133" w:rsidRDefault="00C45ED4" w:rsidP="00C45ED4">
            <w:pPr>
              <w:keepNext/>
              <w:widowControl/>
              <w:spacing w:before="40" w:after="40"/>
              <w:jc w:val="both"/>
              <w:rPr>
                <w:rFonts w:eastAsia="Calibri"/>
                <w:noProof/>
                <w:sz w:val="22"/>
                <w:szCs w:val="22"/>
                <w:lang w:eastAsia="en-US"/>
              </w:rPr>
            </w:pPr>
            <w:r w:rsidRPr="00CB2133">
              <w:rPr>
                <w:rFonts w:eastAsia="Calibri"/>
                <w:noProof/>
                <w:sz w:val="22"/>
                <w:szCs w:val="22"/>
                <w:lang w:eastAsia="en-US"/>
              </w:rPr>
              <w:lastRenderedPageBreak/>
              <w:t>(6)</w:t>
            </w:r>
          </w:p>
        </w:tc>
        <w:tc>
          <w:tcPr>
            <w:tcW w:w="2286" w:type="dxa"/>
            <w:gridSpan w:val="3"/>
            <w:tcMar>
              <w:left w:w="28" w:type="dxa"/>
              <w:right w:w="28" w:type="dxa"/>
            </w:tcMar>
          </w:tcPr>
          <w:p w14:paraId="70064756"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Kaadmium ja selle ühendid</w:t>
            </w:r>
          </w:p>
          <w:p w14:paraId="3BEBA5FA" w14:textId="77777777" w:rsidR="00C45ED4" w:rsidRPr="00CB2133" w:rsidRDefault="00C45ED4" w:rsidP="00C45ED4">
            <w:pPr>
              <w:keepNext/>
              <w:widowControl/>
              <w:spacing w:before="40" w:after="40"/>
              <w:rPr>
                <w:rFonts w:eastAsia="Calibri"/>
                <w:noProof/>
                <w:sz w:val="22"/>
                <w:szCs w:val="22"/>
                <w:vertAlign w:val="superscript"/>
                <w:lang w:eastAsia="en-US"/>
              </w:rPr>
            </w:pPr>
            <w:r w:rsidRPr="00CB2133">
              <w:rPr>
                <w:rFonts w:eastAsia="Calibri"/>
                <w:noProof/>
                <w:sz w:val="22"/>
                <w:szCs w:val="22"/>
                <w:lang w:eastAsia="en-US"/>
              </w:rPr>
              <w:t>(olenevalt vee karedusklassist)</w:t>
            </w:r>
            <w:r w:rsidRPr="00CB2133">
              <w:rPr>
                <w:rFonts w:eastAsia="Calibri"/>
                <w:noProof/>
                <w:sz w:val="22"/>
                <w:szCs w:val="22"/>
                <w:vertAlign w:val="superscript"/>
                <w:lang w:eastAsia="en-US"/>
              </w:rPr>
              <w:t>(9)</w:t>
            </w:r>
          </w:p>
        </w:tc>
        <w:tc>
          <w:tcPr>
            <w:tcW w:w="1329" w:type="dxa"/>
            <w:gridSpan w:val="3"/>
            <w:tcMar>
              <w:left w:w="28" w:type="dxa"/>
              <w:right w:w="28" w:type="dxa"/>
            </w:tcMar>
          </w:tcPr>
          <w:p w14:paraId="5A4B4BD9"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Metallid</w:t>
            </w:r>
          </w:p>
        </w:tc>
        <w:tc>
          <w:tcPr>
            <w:tcW w:w="992" w:type="dxa"/>
            <w:gridSpan w:val="2"/>
            <w:tcMar>
              <w:left w:w="28" w:type="dxa"/>
              <w:right w:w="28" w:type="dxa"/>
            </w:tcMar>
          </w:tcPr>
          <w:p w14:paraId="15A9B07B"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7440-43-9</w:t>
            </w:r>
          </w:p>
        </w:tc>
        <w:tc>
          <w:tcPr>
            <w:tcW w:w="1134" w:type="dxa"/>
          </w:tcPr>
          <w:p w14:paraId="29E420B2"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231-152-8</w:t>
            </w:r>
          </w:p>
        </w:tc>
        <w:tc>
          <w:tcPr>
            <w:tcW w:w="1279" w:type="dxa"/>
            <w:gridSpan w:val="2"/>
            <w:tcMar>
              <w:left w:w="28" w:type="dxa"/>
              <w:right w:w="28" w:type="dxa"/>
            </w:tcMar>
          </w:tcPr>
          <w:p w14:paraId="2FC7277A"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 0,08 (1. klass)</w:t>
            </w:r>
          </w:p>
          <w:p w14:paraId="064252DC"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0,08 (2. klass)</w:t>
            </w:r>
          </w:p>
          <w:p w14:paraId="397165BD"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0,09 (3. klass)</w:t>
            </w:r>
          </w:p>
          <w:p w14:paraId="4E58D6C1"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0,15 (4. klass)</w:t>
            </w:r>
          </w:p>
          <w:p w14:paraId="413394D0"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0,25 (5. klass)</w:t>
            </w:r>
          </w:p>
        </w:tc>
        <w:tc>
          <w:tcPr>
            <w:tcW w:w="1279" w:type="dxa"/>
            <w:gridSpan w:val="2"/>
            <w:tcMar>
              <w:left w:w="28" w:type="dxa"/>
              <w:right w:w="28" w:type="dxa"/>
            </w:tcMar>
          </w:tcPr>
          <w:p w14:paraId="72E0BC36"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0,2</w:t>
            </w:r>
          </w:p>
        </w:tc>
        <w:tc>
          <w:tcPr>
            <w:tcW w:w="1277" w:type="dxa"/>
            <w:gridSpan w:val="2"/>
            <w:tcMar>
              <w:left w:w="28" w:type="dxa"/>
              <w:right w:w="28" w:type="dxa"/>
            </w:tcMar>
          </w:tcPr>
          <w:p w14:paraId="32A15CDA"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 0,45 (1. klass)</w:t>
            </w:r>
          </w:p>
          <w:p w14:paraId="7373ED23"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0,45 (2. klass)</w:t>
            </w:r>
          </w:p>
          <w:p w14:paraId="415D3EAB"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0,6 (3. klass)</w:t>
            </w:r>
          </w:p>
          <w:p w14:paraId="3139EFC7"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0,9 (4. klass)</w:t>
            </w:r>
          </w:p>
          <w:p w14:paraId="16B06DFA"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1,5 (5. klass)</w:t>
            </w:r>
          </w:p>
        </w:tc>
        <w:tc>
          <w:tcPr>
            <w:tcW w:w="1276" w:type="dxa"/>
            <w:gridSpan w:val="2"/>
            <w:tcMar>
              <w:left w:w="28" w:type="dxa"/>
              <w:right w:w="28" w:type="dxa"/>
            </w:tcMar>
          </w:tcPr>
          <w:p w14:paraId="0977CAA5"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 0,45 (1. klass)</w:t>
            </w:r>
          </w:p>
          <w:p w14:paraId="53A5BF9B"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0,45 (2. klass)</w:t>
            </w:r>
          </w:p>
          <w:p w14:paraId="18B488D5"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0,6 (3. klass)</w:t>
            </w:r>
          </w:p>
          <w:p w14:paraId="60F21FF4"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0,9 (4. klass)</w:t>
            </w:r>
          </w:p>
          <w:p w14:paraId="43C0C5E8"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1,5 (5. klass)</w:t>
            </w:r>
          </w:p>
        </w:tc>
        <w:tc>
          <w:tcPr>
            <w:tcW w:w="1135" w:type="dxa"/>
            <w:gridSpan w:val="2"/>
            <w:tcMar>
              <w:left w:w="28" w:type="dxa"/>
              <w:right w:w="28" w:type="dxa"/>
            </w:tcMar>
          </w:tcPr>
          <w:p w14:paraId="55752F32" w14:textId="77777777" w:rsidR="00C45ED4" w:rsidRPr="00CB2133" w:rsidRDefault="00C45ED4" w:rsidP="00C45ED4">
            <w:pPr>
              <w:keepNext/>
              <w:widowControl/>
              <w:spacing w:before="40" w:after="40"/>
              <w:rPr>
                <w:rFonts w:eastAsia="Calibri"/>
                <w:noProof/>
                <w:sz w:val="22"/>
                <w:szCs w:val="22"/>
                <w:lang w:eastAsia="en-US"/>
              </w:rPr>
            </w:pPr>
          </w:p>
        </w:tc>
        <w:tc>
          <w:tcPr>
            <w:tcW w:w="1262" w:type="dxa"/>
            <w:tcMar>
              <w:left w:w="28" w:type="dxa"/>
              <w:right w:w="28" w:type="dxa"/>
            </w:tcMar>
          </w:tcPr>
          <w:p w14:paraId="0BA069CF"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2407D91B" w14:textId="77777777" w:rsidR="00C45ED4" w:rsidRPr="00CB2133" w:rsidRDefault="00C45ED4" w:rsidP="00C45ED4">
            <w:pPr>
              <w:keepNext/>
              <w:widowControl/>
              <w:spacing w:before="40" w:after="40"/>
              <w:rPr>
                <w:rFonts w:eastAsia="Calibri"/>
                <w:noProof/>
                <w:sz w:val="22"/>
                <w:szCs w:val="22"/>
                <w:lang w:eastAsia="en-US"/>
              </w:rPr>
            </w:pPr>
          </w:p>
        </w:tc>
        <w:tc>
          <w:tcPr>
            <w:tcW w:w="970" w:type="dxa"/>
            <w:tcMar>
              <w:left w:w="28" w:type="dxa"/>
              <w:right w:w="28" w:type="dxa"/>
            </w:tcMar>
          </w:tcPr>
          <w:p w14:paraId="5C20AF68"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57AA28BE" w14:textId="77777777" w:rsidTr="000238DA">
        <w:trPr>
          <w:gridBefore w:val="1"/>
          <w:wBefore w:w="11" w:type="dxa"/>
          <w:cantSplit/>
          <w:tblHeader/>
          <w:jc w:val="center"/>
        </w:trPr>
        <w:tc>
          <w:tcPr>
            <w:tcW w:w="649" w:type="dxa"/>
            <w:gridSpan w:val="3"/>
            <w:tcMar>
              <w:left w:w="28" w:type="dxa"/>
              <w:right w:w="28" w:type="dxa"/>
            </w:tcMar>
          </w:tcPr>
          <w:p w14:paraId="37EB9B9C"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(6a)</w:t>
            </w:r>
          </w:p>
        </w:tc>
        <w:tc>
          <w:tcPr>
            <w:tcW w:w="15373" w:type="dxa"/>
            <w:gridSpan w:val="23"/>
            <w:tcMar>
              <w:left w:w="28" w:type="dxa"/>
              <w:right w:w="28" w:type="dxa"/>
            </w:tcMar>
          </w:tcPr>
          <w:p w14:paraId="64BD928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Aine süsiniktetrakloriid on viidud II lisa C osasse </w:t>
            </w:r>
          </w:p>
        </w:tc>
      </w:tr>
      <w:tr w:rsidR="00C45ED4" w:rsidRPr="00CB2133" w14:paraId="5A92AF9B" w14:textId="77777777" w:rsidTr="000238DA">
        <w:trPr>
          <w:gridBefore w:val="1"/>
          <w:wBefore w:w="11" w:type="dxa"/>
          <w:cantSplit/>
          <w:tblHeader/>
          <w:jc w:val="center"/>
        </w:trPr>
        <w:tc>
          <w:tcPr>
            <w:tcW w:w="649" w:type="dxa"/>
            <w:gridSpan w:val="3"/>
            <w:tcMar>
              <w:left w:w="28" w:type="dxa"/>
              <w:right w:w="28" w:type="dxa"/>
            </w:tcMar>
          </w:tcPr>
          <w:p w14:paraId="35E9DE9C"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(7)</w:t>
            </w:r>
          </w:p>
        </w:tc>
        <w:tc>
          <w:tcPr>
            <w:tcW w:w="2286" w:type="dxa"/>
            <w:gridSpan w:val="3"/>
            <w:tcMar>
              <w:left w:w="28" w:type="dxa"/>
              <w:right w:w="28" w:type="dxa"/>
            </w:tcMar>
          </w:tcPr>
          <w:p w14:paraId="680DDB7D"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C</w:t>
            </w:r>
            <w:r w:rsidRPr="00CB2133">
              <w:rPr>
                <w:rFonts w:eastAsia="Calibri"/>
                <w:noProof/>
                <w:sz w:val="22"/>
                <w:szCs w:val="22"/>
                <w:vertAlign w:val="subscript"/>
                <w:lang w:eastAsia="en-US"/>
              </w:rPr>
              <w:t>10–13</w:t>
            </w:r>
            <w:r w:rsidRPr="00CB2133">
              <w:rPr>
                <w:rFonts w:eastAsia="Calibri"/>
                <w:noProof/>
                <w:sz w:val="22"/>
                <w:szCs w:val="22"/>
                <w:lang w:eastAsia="en-US"/>
              </w:rPr>
              <w:t>-kloroalkaanid</w:t>
            </w:r>
            <w:r w:rsidRPr="00CB2133">
              <w:rPr>
                <w:rFonts w:eastAsia="Calibri"/>
                <w:noProof/>
                <w:sz w:val="22"/>
                <w:szCs w:val="22"/>
                <w:vertAlign w:val="superscript"/>
                <w:lang w:eastAsia="en-US"/>
              </w:rPr>
              <w:t>(10)</w:t>
            </w:r>
          </w:p>
        </w:tc>
        <w:tc>
          <w:tcPr>
            <w:tcW w:w="1329" w:type="dxa"/>
            <w:gridSpan w:val="3"/>
            <w:tcMar>
              <w:left w:w="28" w:type="dxa"/>
              <w:right w:w="28" w:type="dxa"/>
            </w:tcMar>
          </w:tcPr>
          <w:p w14:paraId="76AA3BE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7BC9D40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85535-84-8</w:t>
            </w:r>
          </w:p>
        </w:tc>
        <w:tc>
          <w:tcPr>
            <w:tcW w:w="1134" w:type="dxa"/>
          </w:tcPr>
          <w:p w14:paraId="08D8F8B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287-476-5</w:t>
            </w:r>
          </w:p>
        </w:tc>
        <w:tc>
          <w:tcPr>
            <w:tcW w:w="1279" w:type="dxa"/>
            <w:gridSpan w:val="2"/>
            <w:tcMar>
              <w:left w:w="28" w:type="dxa"/>
              <w:right w:w="28" w:type="dxa"/>
            </w:tcMar>
          </w:tcPr>
          <w:p w14:paraId="06CAB0B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0,4 </w:t>
            </w:r>
          </w:p>
        </w:tc>
        <w:tc>
          <w:tcPr>
            <w:tcW w:w="1279" w:type="dxa"/>
            <w:gridSpan w:val="2"/>
            <w:tcMar>
              <w:left w:w="28" w:type="dxa"/>
              <w:right w:w="28" w:type="dxa"/>
            </w:tcMar>
          </w:tcPr>
          <w:p w14:paraId="28EB333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0,4</w:t>
            </w:r>
          </w:p>
        </w:tc>
        <w:tc>
          <w:tcPr>
            <w:tcW w:w="1277" w:type="dxa"/>
            <w:gridSpan w:val="2"/>
            <w:tcMar>
              <w:left w:w="28" w:type="dxa"/>
              <w:right w:w="28" w:type="dxa"/>
            </w:tcMar>
          </w:tcPr>
          <w:p w14:paraId="621824F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1,4</w:t>
            </w:r>
          </w:p>
        </w:tc>
        <w:tc>
          <w:tcPr>
            <w:tcW w:w="1276" w:type="dxa"/>
            <w:gridSpan w:val="2"/>
            <w:tcMar>
              <w:left w:w="28" w:type="dxa"/>
              <w:right w:w="28" w:type="dxa"/>
            </w:tcMar>
          </w:tcPr>
          <w:p w14:paraId="534FC23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1,4</w:t>
            </w:r>
          </w:p>
        </w:tc>
        <w:tc>
          <w:tcPr>
            <w:tcW w:w="1135" w:type="dxa"/>
            <w:gridSpan w:val="2"/>
            <w:tcMar>
              <w:left w:w="28" w:type="dxa"/>
              <w:right w:w="28" w:type="dxa"/>
            </w:tcMar>
          </w:tcPr>
          <w:p w14:paraId="35DBB78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91CFC0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77FC8827"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2E003F8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22E5D433" w14:textId="77777777" w:rsidTr="000238DA">
        <w:trPr>
          <w:gridBefore w:val="1"/>
          <w:wBefore w:w="11" w:type="dxa"/>
          <w:cantSplit/>
          <w:tblHeader/>
          <w:jc w:val="center"/>
        </w:trPr>
        <w:tc>
          <w:tcPr>
            <w:tcW w:w="649" w:type="dxa"/>
            <w:gridSpan w:val="3"/>
            <w:tcMar>
              <w:left w:w="28" w:type="dxa"/>
              <w:right w:w="28" w:type="dxa"/>
            </w:tcMar>
          </w:tcPr>
          <w:p w14:paraId="4867ADAB"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(8)</w:t>
            </w:r>
          </w:p>
        </w:tc>
        <w:tc>
          <w:tcPr>
            <w:tcW w:w="15373" w:type="dxa"/>
            <w:gridSpan w:val="23"/>
            <w:tcMar>
              <w:left w:w="28" w:type="dxa"/>
              <w:right w:w="28" w:type="dxa"/>
            </w:tcMar>
          </w:tcPr>
          <w:p w14:paraId="4C7E433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Aine kloorfenvinfoss on viidud II lisa C osasse </w:t>
            </w:r>
          </w:p>
        </w:tc>
      </w:tr>
      <w:tr w:rsidR="00C45ED4" w:rsidRPr="00CB2133" w14:paraId="2283C3D1" w14:textId="77777777" w:rsidTr="000238DA">
        <w:trPr>
          <w:gridBefore w:val="1"/>
          <w:wBefore w:w="11" w:type="dxa"/>
          <w:cantSplit/>
          <w:tblHeader/>
          <w:jc w:val="center"/>
        </w:trPr>
        <w:tc>
          <w:tcPr>
            <w:tcW w:w="649" w:type="dxa"/>
            <w:gridSpan w:val="3"/>
            <w:tcMar>
              <w:left w:w="28" w:type="dxa"/>
              <w:right w:w="28" w:type="dxa"/>
            </w:tcMar>
          </w:tcPr>
          <w:p w14:paraId="660A70FB"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(9)</w:t>
            </w:r>
          </w:p>
        </w:tc>
        <w:tc>
          <w:tcPr>
            <w:tcW w:w="2286" w:type="dxa"/>
            <w:gridSpan w:val="3"/>
            <w:tcMar>
              <w:left w:w="28" w:type="dxa"/>
              <w:right w:w="28" w:type="dxa"/>
            </w:tcMar>
          </w:tcPr>
          <w:p w14:paraId="399D3FD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Kloropürifoss (etüülkloropürifoss)</w:t>
            </w:r>
          </w:p>
        </w:tc>
        <w:tc>
          <w:tcPr>
            <w:tcW w:w="1329" w:type="dxa"/>
            <w:gridSpan w:val="3"/>
            <w:tcMar>
              <w:left w:w="28" w:type="dxa"/>
              <w:right w:w="28" w:type="dxa"/>
            </w:tcMar>
          </w:tcPr>
          <w:p w14:paraId="60A6580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Fosfaatorgaanilised pestitsiidid</w:t>
            </w:r>
          </w:p>
        </w:tc>
        <w:tc>
          <w:tcPr>
            <w:tcW w:w="992" w:type="dxa"/>
            <w:gridSpan w:val="2"/>
            <w:tcMar>
              <w:left w:w="28" w:type="dxa"/>
              <w:right w:w="28" w:type="dxa"/>
            </w:tcMar>
          </w:tcPr>
          <w:p w14:paraId="688C886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2921-88-2</w:t>
            </w:r>
          </w:p>
        </w:tc>
        <w:tc>
          <w:tcPr>
            <w:tcW w:w="1134" w:type="dxa"/>
          </w:tcPr>
          <w:p w14:paraId="725961D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220-864-4</w:t>
            </w:r>
          </w:p>
        </w:tc>
        <w:tc>
          <w:tcPr>
            <w:tcW w:w="1279" w:type="dxa"/>
            <w:gridSpan w:val="2"/>
            <w:tcMar>
              <w:left w:w="28" w:type="dxa"/>
              <w:right w:w="28" w:type="dxa"/>
            </w:tcMar>
          </w:tcPr>
          <w:p w14:paraId="6A0B0BB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4,6 × 10</w:t>
            </w:r>
            <w:r w:rsidRPr="00CB2133">
              <w:rPr>
                <w:rFonts w:eastAsia="Calibri"/>
                <w:noProof/>
                <w:sz w:val="22"/>
                <w:szCs w:val="22"/>
                <w:vertAlign w:val="superscript"/>
                <w:lang w:eastAsia="en-US"/>
              </w:rPr>
              <w:t>-4</w:t>
            </w:r>
          </w:p>
        </w:tc>
        <w:tc>
          <w:tcPr>
            <w:tcW w:w="1279" w:type="dxa"/>
            <w:gridSpan w:val="2"/>
            <w:tcMar>
              <w:left w:w="28" w:type="dxa"/>
              <w:right w:w="28" w:type="dxa"/>
            </w:tcMar>
          </w:tcPr>
          <w:p w14:paraId="44CDFFB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4,6 × 10</w:t>
            </w:r>
            <w:r w:rsidRPr="00CB2133">
              <w:rPr>
                <w:rFonts w:eastAsia="Calibri"/>
                <w:noProof/>
                <w:sz w:val="22"/>
                <w:szCs w:val="22"/>
                <w:vertAlign w:val="superscript"/>
                <w:lang w:eastAsia="en-US"/>
              </w:rPr>
              <w:t>-5</w:t>
            </w:r>
          </w:p>
        </w:tc>
        <w:tc>
          <w:tcPr>
            <w:tcW w:w="1277" w:type="dxa"/>
            <w:gridSpan w:val="2"/>
            <w:tcMar>
              <w:left w:w="28" w:type="dxa"/>
              <w:right w:w="28" w:type="dxa"/>
            </w:tcMar>
          </w:tcPr>
          <w:p w14:paraId="2DD8EAB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0,0026</w:t>
            </w:r>
          </w:p>
        </w:tc>
        <w:tc>
          <w:tcPr>
            <w:tcW w:w="1276" w:type="dxa"/>
            <w:gridSpan w:val="2"/>
            <w:tcMar>
              <w:left w:w="28" w:type="dxa"/>
              <w:right w:w="28" w:type="dxa"/>
            </w:tcMar>
          </w:tcPr>
          <w:p w14:paraId="75B0A43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5,2 × 10</w:t>
            </w:r>
            <w:r w:rsidRPr="00CB2133">
              <w:rPr>
                <w:rFonts w:eastAsia="Calibri"/>
                <w:noProof/>
                <w:sz w:val="22"/>
                <w:szCs w:val="22"/>
                <w:vertAlign w:val="superscript"/>
                <w:lang w:eastAsia="en-US"/>
              </w:rPr>
              <w:t>-4</w:t>
            </w:r>
          </w:p>
        </w:tc>
        <w:tc>
          <w:tcPr>
            <w:tcW w:w="1135" w:type="dxa"/>
            <w:gridSpan w:val="2"/>
            <w:tcMar>
              <w:left w:w="28" w:type="dxa"/>
              <w:right w:w="28" w:type="dxa"/>
            </w:tcMar>
          </w:tcPr>
          <w:p w14:paraId="14991EB0"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13B02B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5FE3992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3976ED8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4BF42919" w14:textId="77777777" w:rsidTr="000238DA">
        <w:trPr>
          <w:gridBefore w:val="1"/>
          <w:wBefore w:w="11" w:type="dxa"/>
          <w:cantSplit/>
          <w:tblHeader/>
          <w:jc w:val="center"/>
        </w:trPr>
        <w:tc>
          <w:tcPr>
            <w:tcW w:w="649" w:type="dxa"/>
            <w:gridSpan w:val="3"/>
            <w:tcMar>
              <w:left w:w="28" w:type="dxa"/>
              <w:right w:w="28" w:type="dxa"/>
            </w:tcMar>
          </w:tcPr>
          <w:p w14:paraId="33FBE5FE"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br w:type="page"/>
              <w:t>(9a)</w:t>
            </w:r>
          </w:p>
        </w:tc>
        <w:tc>
          <w:tcPr>
            <w:tcW w:w="2286" w:type="dxa"/>
            <w:gridSpan w:val="3"/>
            <w:tcMar>
              <w:left w:w="28" w:type="dxa"/>
              <w:right w:w="28" w:type="dxa"/>
            </w:tcMar>
          </w:tcPr>
          <w:p w14:paraId="61B31C8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Tsüklodieenpestitsiidid:</w:t>
            </w:r>
          </w:p>
          <w:p w14:paraId="2F5A96C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aldriin </w:t>
            </w:r>
            <w:bookmarkStart w:id="20" w:name="_DV_M301"/>
            <w:bookmarkEnd w:id="20"/>
          </w:p>
          <w:p w14:paraId="41561B9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dieldriin </w:t>
            </w:r>
            <w:bookmarkStart w:id="21" w:name="_DV_M302"/>
            <w:bookmarkEnd w:id="21"/>
          </w:p>
          <w:p w14:paraId="1F6C5F0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endriin </w:t>
            </w:r>
            <w:bookmarkStart w:id="22" w:name="_DV_M303"/>
            <w:bookmarkEnd w:id="22"/>
          </w:p>
          <w:p w14:paraId="1B861863"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 xml:space="preserve">isodriin </w:t>
            </w:r>
            <w:bookmarkStart w:id="23" w:name="_DV_M304"/>
            <w:bookmarkEnd w:id="23"/>
          </w:p>
        </w:tc>
        <w:tc>
          <w:tcPr>
            <w:tcW w:w="1329" w:type="dxa"/>
            <w:gridSpan w:val="3"/>
            <w:tcMar>
              <w:left w:w="28" w:type="dxa"/>
              <w:right w:w="28" w:type="dxa"/>
            </w:tcMar>
          </w:tcPr>
          <w:p w14:paraId="0262521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10F38104" w14:textId="77777777" w:rsidR="00C45ED4" w:rsidRPr="00CB2133" w:rsidRDefault="00C45ED4" w:rsidP="00C45ED4">
            <w:pPr>
              <w:widowControl/>
              <w:spacing w:before="40" w:after="40"/>
              <w:rPr>
                <w:rFonts w:eastAsia="Calibri"/>
                <w:noProof/>
                <w:sz w:val="22"/>
                <w:szCs w:val="22"/>
                <w:lang w:eastAsia="en-US"/>
              </w:rPr>
            </w:pPr>
          </w:p>
          <w:p w14:paraId="68A92F5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309-00-2</w:t>
            </w:r>
          </w:p>
          <w:p w14:paraId="3D896ED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60-57-1</w:t>
            </w:r>
          </w:p>
          <w:p w14:paraId="5C6D6F2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72-20-8</w:t>
            </w:r>
          </w:p>
          <w:p w14:paraId="6D4E884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465-73-6</w:t>
            </w:r>
          </w:p>
        </w:tc>
        <w:tc>
          <w:tcPr>
            <w:tcW w:w="1134" w:type="dxa"/>
          </w:tcPr>
          <w:p w14:paraId="78CF0CD1" w14:textId="77777777" w:rsidR="00C45ED4" w:rsidRPr="00CB2133" w:rsidRDefault="00C45ED4" w:rsidP="00C45ED4">
            <w:pPr>
              <w:widowControl/>
              <w:spacing w:before="40" w:after="40"/>
              <w:rPr>
                <w:rFonts w:eastAsia="Calibri"/>
                <w:noProof/>
                <w:sz w:val="22"/>
                <w:szCs w:val="22"/>
                <w:lang w:eastAsia="en-US"/>
              </w:rPr>
            </w:pPr>
          </w:p>
          <w:p w14:paraId="3A2BA60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206-215-8</w:t>
            </w:r>
          </w:p>
          <w:p w14:paraId="378D87B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200-484-5</w:t>
            </w:r>
          </w:p>
          <w:p w14:paraId="4B9BD57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200-775-7</w:t>
            </w:r>
          </w:p>
          <w:p w14:paraId="3458FE3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207-366-2</w:t>
            </w:r>
          </w:p>
        </w:tc>
        <w:tc>
          <w:tcPr>
            <w:tcW w:w="1279" w:type="dxa"/>
            <w:gridSpan w:val="2"/>
            <w:tcMar>
              <w:left w:w="28" w:type="dxa"/>
              <w:right w:w="28" w:type="dxa"/>
            </w:tcMar>
          </w:tcPr>
          <w:p w14:paraId="551E32F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Σ = 0,01</w:t>
            </w:r>
          </w:p>
        </w:tc>
        <w:tc>
          <w:tcPr>
            <w:tcW w:w="1279" w:type="dxa"/>
            <w:gridSpan w:val="2"/>
            <w:tcMar>
              <w:left w:w="28" w:type="dxa"/>
              <w:right w:w="28" w:type="dxa"/>
            </w:tcMar>
          </w:tcPr>
          <w:p w14:paraId="0297030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Σ = 0,005</w:t>
            </w:r>
          </w:p>
        </w:tc>
        <w:tc>
          <w:tcPr>
            <w:tcW w:w="1277" w:type="dxa"/>
            <w:gridSpan w:val="2"/>
            <w:tcMar>
              <w:left w:w="28" w:type="dxa"/>
              <w:right w:w="28" w:type="dxa"/>
            </w:tcMar>
          </w:tcPr>
          <w:p w14:paraId="765C0BB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4439719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6AC6F0F0"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6D160D8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021245C5"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120B59EE" w14:textId="77777777" w:rsidR="00C45ED4" w:rsidRPr="00CB2133" w:rsidRDefault="00C45ED4" w:rsidP="00C45ED4">
            <w:pPr>
              <w:widowControl/>
              <w:spacing w:before="40" w:after="40"/>
              <w:rPr>
                <w:rFonts w:eastAsia="Calibri"/>
                <w:noProof/>
                <w:sz w:val="22"/>
                <w:szCs w:val="22"/>
                <w:lang w:eastAsia="en-US"/>
              </w:rPr>
            </w:pPr>
          </w:p>
          <w:p w14:paraId="5885BE41" w14:textId="77777777" w:rsidR="00C45ED4" w:rsidRPr="00CB2133" w:rsidRDefault="00C45ED4" w:rsidP="00C45ED4">
            <w:pPr>
              <w:widowControl/>
              <w:spacing w:before="40" w:after="40"/>
              <w:rPr>
                <w:rFonts w:eastAsia="Calibri"/>
                <w:noProof/>
                <w:sz w:val="22"/>
                <w:szCs w:val="22"/>
                <w:lang w:eastAsia="en-US"/>
              </w:rPr>
            </w:pPr>
          </w:p>
          <w:p w14:paraId="1DE09656"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7B751D6C" w14:textId="77777777" w:rsidTr="000238DA">
        <w:trPr>
          <w:gridBefore w:val="1"/>
          <w:wBefore w:w="11" w:type="dxa"/>
          <w:cantSplit/>
          <w:tblHeader/>
          <w:jc w:val="center"/>
        </w:trPr>
        <w:tc>
          <w:tcPr>
            <w:tcW w:w="649" w:type="dxa"/>
            <w:gridSpan w:val="3"/>
            <w:tcMar>
              <w:left w:w="28" w:type="dxa"/>
              <w:right w:w="28" w:type="dxa"/>
            </w:tcMar>
          </w:tcPr>
          <w:p w14:paraId="70D98556"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(9b)</w:t>
            </w:r>
          </w:p>
        </w:tc>
        <w:tc>
          <w:tcPr>
            <w:tcW w:w="2286" w:type="dxa"/>
            <w:gridSpan w:val="3"/>
            <w:tcMar>
              <w:left w:w="28" w:type="dxa"/>
              <w:right w:w="28" w:type="dxa"/>
            </w:tcMar>
          </w:tcPr>
          <w:p w14:paraId="63DD2B9A"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DDT kokku</w:t>
            </w:r>
            <w:r w:rsidRPr="00CB2133">
              <w:rPr>
                <w:rFonts w:eastAsia="Calibri"/>
                <w:noProof/>
                <w:sz w:val="22"/>
                <w:szCs w:val="22"/>
                <w:vertAlign w:val="superscript"/>
                <w:lang w:eastAsia="en-US"/>
              </w:rPr>
              <w:t>(11)</w:t>
            </w:r>
          </w:p>
        </w:tc>
        <w:tc>
          <w:tcPr>
            <w:tcW w:w="1329" w:type="dxa"/>
            <w:gridSpan w:val="3"/>
            <w:tcMar>
              <w:left w:w="28" w:type="dxa"/>
              <w:right w:w="28" w:type="dxa"/>
            </w:tcMar>
          </w:tcPr>
          <w:p w14:paraId="36DE9A6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14D6F52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4" w:type="dxa"/>
          </w:tcPr>
          <w:p w14:paraId="1587C3C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146F086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0,025</w:t>
            </w:r>
          </w:p>
        </w:tc>
        <w:tc>
          <w:tcPr>
            <w:tcW w:w="1279" w:type="dxa"/>
            <w:gridSpan w:val="2"/>
            <w:tcMar>
              <w:left w:w="28" w:type="dxa"/>
              <w:right w:w="28" w:type="dxa"/>
            </w:tcMar>
          </w:tcPr>
          <w:p w14:paraId="02A33AF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0,025</w:t>
            </w:r>
          </w:p>
        </w:tc>
        <w:tc>
          <w:tcPr>
            <w:tcW w:w="1277" w:type="dxa"/>
            <w:gridSpan w:val="2"/>
            <w:tcMar>
              <w:left w:w="28" w:type="dxa"/>
              <w:right w:w="28" w:type="dxa"/>
            </w:tcMar>
          </w:tcPr>
          <w:p w14:paraId="4B19780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2B1FB3F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7A48C7E6"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529BE5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3D77C5C7"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6EB49A5"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391D7E30" w14:textId="77777777" w:rsidTr="000238DA">
        <w:trPr>
          <w:gridBefore w:val="1"/>
          <w:wBefore w:w="11" w:type="dxa"/>
          <w:cantSplit/>
          <w:tblHeader/>
          <w:jc w:val="center"/>
        </w:trPr>
        <w:tc>
          <w:tcPr>
            <w:tcW w:w="649" w:type="dxa"/>
            <w:gridSpan w:val="3"/>
            <w:tcMar>
              <w:left w:w="28" w:type="dxa"/>
              <w:right w:w="28" w:type="dxa"/>
            </w:tcMar>
          </w:tcPr>
          <w:p w14:paraId="56F6BA4F"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2564F2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i/>
                <w:iCs/>
                <w:noProof/>
                <w:sz w:val="22"/>
                <w:szCs w:val="22"/>
                <w:lang w:eastAsia="en-US"/>
              </w:rPr>
              <w:t>p</w:t>
            </w:r>
            <w:r w:rsidRPr="00CB2133">
              <w:rPr>
                <w:rFonts w:eastAsia="Calibri"/>
                <w:noProof/>
                <w:sz w:val="22"/>
                <w:szCs w:val="22"/>
                <w:lang w:eastAsia="en-US"/>
              </w:rPr>
              <w:t>,</w:t>
            </w:r>
            <w:r w:rsidRPr="00CB2133">
              <w:rPr>
                <w:rFonts w:eastAsia="Calibri"/>
                <w:i/>
                <w:iCs/>
                <w:noProof/>
                <w:sz w:val="22"/>
                <w:szCs w:val="22"/>
                <w:lang w:eastAsia="en-US"/>
              </w:rPr>
              <w:t>p′</w:t>
            </w:r>
            <w:r w:rsidRPr="00CB2133">
              <w:rPr>
                <w:rFonts w:eastAsia="Calibri"/>
                <w:noProof/>
                <w:sz w:val="22"/>
                <w:szCs w:val="22"/>
                <w:lang w:eastAsia="en-US"/>
              </w:rPr>
              <w:t>-DDT</w:t>
            </w:r>
          </w:p>
        </w:tc>
        <w:tc>
          <w:tcPr>
            <w:tcW w:w="1329" w:type="dxa"/>
            <w:gridSpan w:val="3"/>
            <w:tcMar>
              <w:left w:w="28" w:type="dxa"/>
              <w:right w:w="28" w:type="dxa"/>
            </w:tcMar>
          </w:tcPr>
          <w:p w14:paraId="54266414"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5FDA2AD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50-29-3</w:t>
            </w:r>
          </w:p>
        </w:tc>
        <w:tc>
          <w:tcPr>
            <w:tcW w:w="1134" w:type="dxa"/>
          </w:tcPr>
          <w:p w14:paraId="4FAAFA5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200-024-3</w:t>
            </w:r>
          </w:p>
        </w:tc>
        <w:tc>
          <w:tcPr>
            <w:tcW w:w="1279" w:type="dxa"/>
            <w:gridSpan w:val="2"/>
            <w:tcMar>
              <w:left w:w="28" w:type="dxa"/>
              <w:right w:w="28" w:type="dxa"/>
            </w:tcMar>
          </w:tcPr>
          <w:p w14:paraId="6D537D5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w:t>
            </w:r>
          </w:p>
        </w:tc>
        <w:tc>
          <w:tcPr>
            <w:tcW w:w="1279" w:type="dxa"/>
            <w:gridSpan w:val="2"/>
            <w:tcMar>
              <w:left w:w="28" w:type="dxa"/>
              <w:right w:w="28" w:type="dxa"/>
            </w:tcMar>
          </w:tcPr>
          <w:p w14:paraId="36FCCF0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w:t>
            </w:r>
          </w:p>
        </w:tc>
        <w:tc>
          <w:tcPr>
            <w:tcW w:w="1277" w:type="dxa"/>
            <w:gridSpan w:val="2"/>
            <w:tcMar>
              <w:left w:w="28" w:type="dxa"/>
              <w:right w:w="28" w:type="dxa"/>
            </w:tcMar>
          </w:tcPr>
          <w:p w14:paraId="1B9FC1D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5ADB738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2FECAF08"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6039256" w14:textId="77777777" w:rsidR="00C45ED4" w:rsidRPr="00CB2133" w:rsidDel="004E5B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7211AB35"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2AE1F269"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79C52332" w14:textId="77777777" w:rsidTr="000238DA">
        <w:trPr>
          <w:gridBefore w:val="1"/>
          <w:wBefore w:w="11" w:type="dxa"/>
          <w:cantSplit/>
          <w:tblHeader/>
          <w:jc w:val="center"/>
        </w:trPr>
        <w:tc>
          <w:tcPr>
            <w:tcW w:w="649" w:type="dxa"/>
            <w:gridSpan w:val="3"/>
            <w:tcMar>
              <w:left w:w="28" w:type="dxa"/>
              <w:right w:w="28" w:type="dxa"/>
            </w:tcMar>
          </w:tcPr>
          <w:p w14:paraId="3B7EBB53"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(10)</w:t>
            </w:r>
          </w:p>
        </w:tc>
        <w:tc>
          <w:tcPr>
            <w:tcW w:w="2286" w:type="dxa"/>
            <w:gridSpan w:val="3"/>
            <w:tcMar>
              <w:left w:w="28" w:type="dxa"/>
              <w:right w:w="28" w:type="dxa"/>
            </w:tcMar>
          </w:tcPr>
          <w:p w14:paraId="07E5285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1,2-dikloroetaan</w:t>
            </w:r>
          </w:p>
        </w:tc>
        <w:tc>
          <w:tcPr>
            <w:tcW w:w="1329" w:type="dxa"/>
            <w:gridSpan w:val="3"/>
            <w:tcMar>
              <w:left w:w="28" w:type="dxa"/>
              <w:right w:w="28" w:type="dxa"/>
            </w:tcMar>
          </w:tcPr>
          <w:p w14:paraId="7D4A16A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1E53FE9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107-06-2</w:t>
            </w:r>
          </w:p>
        </w:tc>
        <w:tc>
          <w:tcPr>
            <w:tcW w:w="1134" w:type="dxa"/>
          </w:tcPr>
          <w:p w14:paraId="175A3BA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203-458-1</w:t>
            </w:r>
          </w:p>
        </w:tc>
        <w:tc>
          <w:tcPr>
            <w:tcW w:w="1279" w:type="dxa"/>
            <w:gridSpan w:val="2"/>
            <w:tcMar>
              <w:left w:w="28" w:type="dxa"/>
              <w:right w:w="28" w:type="dxa"/>
            </w:tcMar>
          </w:tcPr>
          <w:p w14:paraId="7BAE240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10 </w:t>
            </w:r>
          </w:p>
        </w:tc>
        <w:tc>
          <w:tcPr>
            <w:tcW w:w="1279" w:type="dxa"/>
            <w:gridSpan w:val="2"/>
            <w:tcMar>
              <w:left w:w="28" w:type="dxa"/>
              <w:right w:w="28" w:type="dxa"/>
            </w:tcMar>
          </w:tcPr>
          <w:p w14:paraId="62A8A4D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10 </w:t>
            </w:r>
          </w:p>
        </w:tc>
        <w:tc>
          <w:tcPr>
            <w:tcW w:w="1277" w:type="dxa"/>
            <w:gridSpan w:val="2"/>
            <w:tcMar>
              <w:left w:w="28" w:type="dxa"/>
              <w:right w:w="28" w:type="dxa"/>
            </w:tcMar>
          </w:tcPr>
          <w:p w14:paraId="7AC7A70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585FFE8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75B551D8"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811B78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6ABA1A18"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0087EE14"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3A775B1B" w14:textId="77777777" w:rsidTr="000238DA">
        <w:trPr>
          <w:gridBefore w:val="1"/>
          <w:wBefore w:w="11" w:type="dxa"/>
          <w:cantSplit/>
          <w:tblHeader/>
          <w:jc w:val="center"/>
        </w:trPr>
        <w:tc>
          <w:tcPr>
            <w:tcW w:w="649" w:type="dxa"/>
            <w:gridSpan w:val="3"/>
            <w:tcMar>
              <w:left w:w="28" w:type="dxa"/>
              <w:right w:w="28" w:type="dxa"/>
            </w:tcMar>
          </w:tcPr>
          <w:p w14:paraId="1AE41C45" w14:textId="77777777" w:rsidR="00C45ED4" w:rsidRPr="00CB2133" w:rsidRDefault="00C45ED4" w:rsidP="00C45ED4">
            <w:pPr>
              <w:keepNext/>
              <w:widowControl/>
              <w:spacing w:before="40" w:after="40"/>
              <w:jc w:val="both"/>
              <w:rPr>
                <w:rFonts w:eastAsia="Calibri"/>
                <w:noProof/>
                <w:sz w:val="22"/>
                <w:szCs w:val="22"/>
                <w:lang w:eastAsia="en-US"/>
              </w:rPr>
            </w:pPr>
            <w:r w:rsidRPr="00CB2133">
              <w:rPr>
                <w:rFonts w:eastAsia="Calibri"/>
                <w:noProof/>
                <w:sz w:val="22"/>
                <w:szCs w:val="22"/>
                <w:lang w:eastAsia="en-US"/>
              </w:rPr>
              <w:lastRenderedPageBreak/>
              <w:t>(11)</w:t>
            </w:r>
          </w:p>
        </w:tc>
        <w:tc>
          <w:tcPr>
            <w:tcW w:w="2286" w:type="dxa"/>
            <w:gridSpan w:val="3"/>
            <w:tcMar>
              <w:left w:w="28" w:type="dxa"/>
              <w:right w:w="28" w:type="dxa"/>
            </w:tcMar>
          </w:tcPr>
          <w:p w14:paraId="3C1D3FAF"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Diklorometaan</w:t>
            </w:r>
          </w:p>
        </w:tc>
        <w:tc>
          <w:tcPr>
            <w:tcW w:w="1329" w:type="dxa"/>
            <w:gridSpan w:val="3"/>
            <w:tcMar>
              <w:left w:w="28" w:type="dxa"/>
              <w:right w:w="28" w:type="dxa"/>
            </w:tcMar>
          </w:tcPr>
          <w:p w14:paraId="4920F464"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104C75AD"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75-09-2</w:t>
            </w:r>
          </w:p>
        </w:tc>
        <w:tc>
          <w:tcPr>
            <w:tcW w:w="1134" w:type="dxa"/>
          </w:tcPr>
          <w:p w14:paraId="604B1D0D"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200-838-9</w:t>
            </w:r>
          </w:p>
        </w:tc>
        <w:tc>
          <w:tcPr>
            <w:tcW w:w="1279" w:type="dxa"/>
            <w:gridSpan w:val="2"/>
            <w:tcMar>
              <w:left w:w="28" w:type="dxa"/>
              <w:right w:w="28" w:type="dxa"/>
            </w:tcMar>
          </w:tcPr>
          <w:p w14:paraId="3CA66632"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20</w:t>
            </w:r>
          </w:p>
        </w:tc>
        <w:tc>
          <w:tcPr>
            <w:tcW w:w="1279" w:type="dxa"/>
            <w:gridSpan w:val="2"/>
            <w:tcMar>
              <w:left w:w="28" w:type="dxa"/>
              <w:right w:w="28" w:type="dxa"/>
            </w:tcMar>
          </w:tcPr>
          <w:p w14:paraId="56AB6A46"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20</w:t>
            </w:r>
          </w:p>
        </w:tc>
        <w:tc>
          <w:tcPr>
            <w:tcW w:w="1277" w:type="dxa"/>
            <w:gridSpan w:val="2"/>
            <w:tcMar>
              <w:left w:w="28" w:type="dxa"/>
              <w:right w:w="28" w:type="dxa"/>
            </w:tcMar>
          </w:tcPr>
          <w:p w14:paraId="0918DEAB"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1A22F46E"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4A07DD2D" w14:textId="77777777" w:rsidR="00C45ED4" w:rsidRPr="00CB2133" w:rsidRDefault="00C45ED4" w:rsidP="00C45ED4">
            <w:pPr>
              <w:keepNext/>
              <w:widowControl/>
              <w:spacing w:before="40" w:after="40"/>
              <w:rPr>
                <w:rFonts w:eastAsia="Calibri"/>
                <w:noProof/>
                <w:sz w:val="22"/>
                <w:szCs w:val="22"/>
                <w:lang w:eastAsia="en-US"/>
              </w:rPr>
            </w:pPr>
          </w:p>
        </w:tc>
        <w:tc>
          <w:tcPr>
            <w:tcW w:w="1262" w:type="dxa"/>
            <w:tcMar>
              <w:left w:w="28" w:type="dxa"/>
              <w:right w:w="28" w:type="dxa"/>
            </w:tcMar>
          </w:tcPr>
          <w:p w14:paraId="2ABCF08C" w14:textId="77777777" w:rsidR="00C45ED4" w:rsidRPr="00CB2133" w:rsidRDefault="00C45ED4" w:rsidP="00C45ED4">
            <w:pPr>
              <w:keepNext/>
              <w:widowControl/>
              <w:spacing w:before="40" w:after="40"/>
              <w:rPr>
                <w:rFonts w:eastAsia="Calibri"/>
                <w:noProof/>
                <w:sz w:val="22"/>
                <w:szCs w:val="22"/>
                <w:lang w:eastAsia="en-US"/>
              </w:rPr>
            </w:pPr>
          </w:p>
        </w:tc>
        <w:tc>
          <w:tcPr>
            <w:tcW w:w="1154" w:type="dxa"/>
            <w:gridSpan w:val="2"/>
            <w:tcMar>
              <w:left w:w="28" w:type="dxa"/>
              <w:right w:w="28" w:type="dxa"/>
            </w:tcMar>
          </w:tcPr>
          <w:p w14:paraId="2D650599" w14:textId="77777777" w:rsidR="00C45ED4" w:rsidRPr="00CB2133" w:rsidRDefault="00C45ED4" w:rsidP="00C45ED4">
            <w:pPr>
              <w:keepNext/>
              <w:widowControl/>
              <w:spacing w:before="40" w:after="40"/>
              <w:rPr>
                <w:rFonts w:eastAsia="Calibri"/>
                <w:noProof/>
                <w:sz w:val="22"/>
                <w:szCs w:val="22"/>
                <w:lang w:eastAsia="en-US"/>
              </w:rPr>
            </w:pPr>
          </w:p>
        </w:tc>
        <w:tc>
          <w:tcPr>
            <w:tcW w:w="970" w:type="dxa"/>
            <w:tcMar>
              <w:left w:w="28" w:type="dxa"/>
              <w:right w:w="28" w:type="dxa"/>
            </w:tcMar>
          </w:tcPr>
          <w:p w14:paraId="17949726" w14:textId="77777777" w:rsidR="00C45ED4" w:rsidRPr="00CB2133" w:rsidRDefault="00C45ED4" w:rsidP="00C45ED4">
            <w:pPr>
              <w:keepNext/>
              <w:widowControl/>
              <w:spacing w:before="40" w:after="40"/>
              <w:rPr>
                <w:rFonts w:eastAsia="Calibri"/>
                <w:noProof/>
                <w:sz w:val="22"/>
                <w:szCs w:val="22"/>
                <w:lang w:eastAsia="en-US"/>
              </w:rPr>
            </w:pPr>
          </w:p>
        </w:tc>
      </w:tr>
      <w:tr w:rsidR="00C45ED4" w:rsidRPr="00CB2133" w14:paraId="1C7A8031" w14:textId="77777777" w:rsidTr="000238DA">
        <w:trPr>
          <w:gridBefore w:val="1"/>
          <w:wBefore w:w="11" w:type="dxa"/>
          <w:cantSplit/>
          <w:tblHeader/>
          <w:jc w:val="center"/>
        </w:trPr>
        <w:tc>
          <w:tcPr>
            <w:tcW w:w="649" w:type="dxa"/>
            <w:gridSpan w:val="3"/>
            <w:tcMar>
              <w:left w:w="28" w:type="dxa"/>
              <w:right w:w="28" w:type="dxa"/>
            </w:tcMar>
          </w:tcPr>
          <w:p w14:paraId="0FEEED88"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(12)</w:t>
            </w:r>
          </w:p>
        </w:tc>
        <w:tc>
          <w:tcPr>
            <w:tcW w:w="2286" w:type="dxa"/>
            <w:gridSpan w:val="3"/>
            <w:tcMar>
              <w:left w:w="28" w:type="dxa"/>
              <w:right w:w="28" w:type="dxa"/>
            </w:tcMar>
          </w:tcPr>
          <w:p w14:paraId="5C1B424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Di(2-etüülheksüül)ftalaat (DEHP)</w:t>
            </w:r>
          </w:p>
        </w:tc>
        <w:tc>
          <w:tcPr>
            <w:tcW w:w="1329" w:type="dxa"/>
            <w:gridSpan w:val="3"/>
            <w:tcMar>
              <w:left w:w="28" w:type="dxa"/>
              <w:right w:w="28" w:type="dxa"/>
            </w:tcMar>
          </w:tcPr>
          <w:p w14:paraId="1CC9E59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0879EF9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117-81-7</w:t>
            </w:r>
          </w:p>
        </w:tc>
        <w:tc>
          <w:tcPr>
            <w:tcW w:w="1134" w:type="dxa"/>
          </w:tcPr>
          <w:p w14:paraId="48E8E82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204-211-0</w:t>
            </w:r>
          </w:p>
        </w:tc>
        <w:tc>
          <w:tcPr>
            <w:tcW w:w="1279" w:type="dxa"/>
            <w:gridSpan w:val="2"/>
            <w:tcMar>
              <w:left w:w="28" w:type="dxa"/>
              <w:right w:w="28" w:type="dxa"/>
            </w:tcMar>
          </w:tcPr>
          <w:p w14:paraId="2A1F869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w:t>
            </w:r>
          </w:p>
        </w:tc>
        <w:tc>
          <w:tcPr>
            <w:tcW w:w="1279" w:type="dxa"/>
            <w:gridSpan w:val="2"/>
            <w:tcMar>
              <w:left w:w="28" w:type="dxa"/>
              <w:right w:w="28" w:type="dxa"/>
            </w:tcMar>
          </w:tcPr>
          <w:p w14:paraId="167A7DC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w:t>
            </w:r>
          </w:p>
        </w:tc>
        <w:tc>
          <w:tcPr>
            <w:tcW w:w="1277" w:type="dxa"/>
            <w:gridSpan w:val="2"/>
            <w:tcMar>
              <w:left w:w="28" w:type="dxa"/>
              <w:right w:w="28" w:type="dxa"/>
            </w:tcMar>
          </w:tcPr>
          <w:p w14:paraId="74384D5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2EFB6A0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7E1F7890"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18612D5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6315345A"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F86410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3E2EBBC1" w14:textId="77777777" w:rsidTr="000238DA">
        <w:trPr>
          <w:gridBefore w:val="1"/>
          <w:wBefore w:w="11" w:type="dxa"/>
          <w:cantSplit/>
          <w:tblHeader/>
          <w:jc w:val="center"/>
        </w:trPr>
        <w:tc>
          <w:tcPr>
            <w:tcW w:w="649" w:type="dxa"/>
            <w:gridSpan w:val="3"/>
            <w:tcMar>
              <w:left w:w="28" w:type="dxa"/>
              <w:right w:w="28" w:type="dxa"/>
            </w:tcMar>
          </w:tcPr>
          <w:p w14:paraId="2294A3EE"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(13)</w:t>
            </w:r>
          </w:p>
        </w:tc>
        <w:tc>
          <w:tcPr>
            <w:tcW w:w="2286" w:type="dxa"/>
            <w:gridSpan w:val="3"/>
            <w:tcMar>
              <w:left w:w="28" w:type="dxa"/>
              <w:right w:w="28" w:type="dxa"/>
            </w:tcMar>
          </w:tcPr>
          <w:p w14:paraId="3B61A9E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Diuroon</w:t>
            </w:r>
          </w:p>
        </w:tc>
        <w:tc>
          <w:tcPr>
            <w:tcW w:w="1329" w:type="dxa"/>
            <w:gridSpan w:val="3"/>
            <w:tcMar>
              <w:left w:w="28" w:type="dxa"/>
              <w:right w:w="28" w:type="dxa"/>
            </w:tcMar>
          </w:tcPr>
          <w:p w14:paraId="2CC068A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6C7B7EB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330-54-1</w:t>
            </w:r>
          </w:p>
        </w:tc>
        <w:tc>
          <w:tcPr>
            <w:tcW w:w="1134" w:type="dxa"/>
          </w:tcPr>
          <w:p w14:paraId="58B85D10"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206-354-4</w:t>
            </w:r>
          </w:p>
        </w:tc>
        <w:tc>
          <w:tcPr>
            <w:tcW w:w="1279" w:type="dxa"/>
            <w:gridSpan w:val="2"/>
            <w:tcMar>
              <w:left w:w="28" w:type="dxa"/>
              <w:right w:w="28" w:type="dxa"/>
            </w:tcMar>
          </w:tcPr>
          <w:p w14:paraId="33D705F5"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0,049</w:t>
            </w:r>
          </w:p>
        </w:tc>
        <w:tc>
          <w:tcPr>
            <w:tcW w:w="1279" w:type="dxa"/>
            <w:gridSpan w:val="2"/>
            <w:tcMar>
              <w:left w:w="28" w:type="dxa"/>
              <w:right w:w="28" w:type="dxa"/>
            </w:tcMar>
          </w:tcPr>
          <w:p w14:paraId="5B0C44F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0,0049</w:t>
            </w:r>
          </w:p>
        </w:tc>
        <w:tc>
          <w:tcPr>
            <w:tcW w:w="1277" w:type="dxa"/>
            <w:gridSpan w:val="2"/>
            <w:tcMar>
              <w:left w:w="28" w:type="dxa"/>
              <w:right w:w="28" w:type="dxa"/>
            </w:tcMar>
          </w:tcPr>
          <w:p w14:paraId="00BFBEE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0,27</w:t>
            </w:r>
          </w:p>
        </w:tc>
        <w:tc>
          <w:tcPr>
            <w:tcW w:w="1276" w:type="dxa"/>
            <w:gridSpan w:val="2"/>
            <w:tcMar>
              <w:left w:w="28" w:type="dxa"/>
              <w:right w:w="28" w:type="dxa"/>
            </w:tcMar>
          </w:tcPr>
          <w:p w14:paraId="570C979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0,054</w:t>
            </w:r>
          </w:p>
        </w:tc>
        <w:tc>
          <w:tcPr>
            <w:tcW w:w="1135" w:type="dxa"/>
            <w:gridSpan w:val="2"/>
            <w:tcMar>
              <w:left w:w="28" w:type="dxa"/>
              <w:right w:w="28" w:type="dxa"/>
            </w:tcMar>
          </w:tcPr>
          <w:p w14:paraId="191F46C2"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FEA3E71"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386A5735"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62A06425"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182E0081" w14:textId="77777777" w:rsidTr="000238DA">
        <w:trPr>
          <w:gridBefore w:val="1"/>
          <w:wBefore w:w="11" w:type="dxa"/>
          <w:cantSplit/>
          <w:tblHeader/>
          <w:jc w:val="center"/>
        </w:trPr>
        <w:tc>
          <w:tcPr>
            <w:tcW w:w="649" w:type="dxa"/>
            <w:gridSpan w:val="3"/>
            <w:tcMar>
              <w:left w:w="28" w:type="dxa"/>
              <w:right w:w="28" w:type="dxa"/>
            </w:tcMar>
          </w:tcPr>
          <w:p w14:paraId="21E5AC9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(14)</w:t>
            </w:r>
          </w:p>
        </w:tc>
        <w:tc>
          <w:tcPr>
            <w:tcW w:w="2286" w:type="dxa"/>
            <w:gridSpan w:val="3"/>
            <w:tcMar>
              <w:left w:w="28" w:type="dxa"/>
              <w:right w:w="28" w:type="dxa"/>
            </w:tcMar>
          </w:tcPr>
          <w:p w14:paraId="0319D4C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Endosulfaan</w:t>
            </w:r>
          </w:p>
        </w:tc>
        <w:tc>
          <w:tcPr>
            <w:tcW w:w="1329" w:type="dxa"/>
            <w:gridSpan w:val="3"/>
            <w:tcMar>
              <w:left w:w="28" w:type="dxa"/>
              <w:right w:w="28" w:type="dxa"/>
            </w:tcMar>
          </w:tcPr>
          <w:p w14:paraId="110570B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18C14DA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115-29-7</w:t>
            </w:r>
          </w:p>
        </w:tc>
        <w:tc>
          <w:tcPr>
            <w:tcW w:w="1134" w:type="dxa"/>
          </w:tcPr>
          <w:p w14:paraId="4ACD139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204-079-4</w:t>
            </w:r>
          </w:p>
        </w:tc>
        <w:tc>
          <w:tcPr>
            <w:tcW w:w="1279" w:type="dxa"/>
            <w:gridSpan w:val="2"/>
            <w:tcMar>
              <w:left w:w="28" w:type="dxa"/>
              <w:right w:w="28" w:type="dxa"/>
            </w:tcMar>
          </w:tcPr>
          <w:p w14:paraId="3874DDA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0,005</w:t>
            </w:r>
          </w:p>
        </w:tc>
        <w:tc>
          <w:tcPr>
            <w:tcW w:w="1279" w:type="dxa"/>
            <w:gridSpan w:val="2"/>
            <w:tcMar>
              <w:left w:w="28" w:type="dxa"/>
              <w:right w:w="28" w:type="dxa"/>
            </w:tcMar>
          </w:tcPr>
          <w:p w14:paraId="7668DF3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0,0005</w:t>
            </w:r>
          </w:p>
        </w:tc>
        <w:tc>
          <w:tcPr>
            <w:tcW w:w="1277" w:type="dxa"/>
            <w:gridSpan w:val="2"/>
            <w:tcMar>
              <w:left w:w="28" w:type="dxa"/>
              <w:right w:w="28" w:type="dxa"/>
            </w:tcMar>
          </w:tcPr>
          <w:p w14:paraId="3047D84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w:t>
            </w:r>
          </w:p>
        </w:tc>
        <w:tc>
          <w:tcPr>
            <w:tcW w:w="1276" w:type="dxa"/>
            <w:gridSpan w:val="2"/>
            <w:tcMar>
              <w:left w:w="28" w:type="dxa"/>
              <w:right w:w="28" w:type="dxa"/>
            </w:tcMar>
          </w:tcPr>
          <w:p w14:paraId="4F412EE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0,004</w:t>
            </w:r>
          </w:p>
        </w:tc>
        <w:tc>
          <w:tcPr>
            <w:tcW w:w="1135" w:type="dxa"/>
            <w:gridSpan w:val="2"/>
            <w:tcMar>
              <w:left w:w="28" w:type="dxa"/>
              <w:right w:w="28" w:type="dxa"/>
            </w:tcMar>
          </w:tcPr>
          <w:p w14:paraId="12B036B9"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0D30078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069DF2AE"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7473C3DE"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377A8428" w14:textId="77777777" w:rsidTr="000238DA">
        <w:trPr>
          <w:gridBefore w:val="1"/>
          <w:wBefore w:w="11" w:type="dxa"/>
          <w:cantSplit/>
          <w:tblHeader/>
          <w:jc w:val="center"/>
        </w:trPr>
        <w:tc>
          <w:tcPr>
            <w:tcW w:w="649" w:type="dxa"/>
            <w:gridSpan w:val="3"/>
            <w:tcMar>
              <w:left w:w="28" w:type="dxa"/>
              <w:right w:w="28" w:type="dxa"/>
            </w:tcMar>
          </w:tcPr>
          <w:p w14:paraId="37D61B3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(15)</w:t>
            </w:r>
          </w:p>
        </w:tc>
        <w:tc>
          <w:tcPr>
            <w:tcW w:w="2286" w:type="dxa"/>
            <w:gridSpan w:val="3"/>
            <w:tcMar>
              <w:left w:w="28" w:type="dxa"/>
              <w:right w:w="28" w:type="dxa"/>
            </w:tcMar>
          </w:tcPr>
          <w:p w14:paraId="2BDF22B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Fluoranteen</w:t>
            </w:r>
          </w:p>
        </w:tc>
        <w:tc>
          <w:tcPr>
            <w:tcW w:w="1329" w:type="dxa"/>
            <w:gridSpan w:val="3"/>
            <w:tcMar>
              <w:left w:w="28" w:type="dxa"/>
              <w:right w:w="28" w:type="dxa"/>
            </w:tcMar>
          </w:tcPr>
          <w:p w14:paraId="2A4290A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Tööstuses kasutatavad ained </w:t>
            </w:r>
          </w:p>
        </w:tc>
        <w:tc>
          <w:tcPr>
            <w:tcW w:w="992" w:type="dxa"/>
            <w:gridSpan w:val="2"/>
            <w:tcMar>
              <w:left w:w="28" w:type="dxa"/>
              <w:right w:w="28" w:type="dxa"/>
            </w:tcMar>
          </w:tcPr>
          <w:p w14:paraId="56B3506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206-44-0</w:t>
            </w:r>
          </w:p>
        </w:tc>
        <w:tc>
          <w:tcPr>
            <w:tcW w:w="1134" w:type="dxa"/>
          </w:tcPr>
          <w:p w14:paraId="38201FB6"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205-912-4</w:t>
            </w:r>
          </w:p>
        </w:tc>
        <w:tc>
          <w:tcPr>
            <w:tcW w:w="1279" w:type="dxa"/>
            <w:gridSpan w:val="2"/>
            <w:tcMar>
              <w:left w:w="28" w:type="dxa"/>
              <w:right w:w="28" w:type="dxa"/>
            </w:tcMar>
          </w:tcPr>
          <w:p w14:paraId="436D6DF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7,62 × 10</w:t>
            </w:r>
            <w:r w:rsidRPr="00CB2133">
              <w:rPr>
                <w:rFonts w:eastAsia="Calibri"/>
                <w:noProof/>
                <w:sz w:val="22"/>
                <w:szCs w:val="22"/>
                <w:vertAlign w:val="superscript"/>
                <w:lang w:eastAsia="en-US"/>
              </w:rPr>
              <w:t>-4</w:t>
            </w:r>
          </w:p>
        </w:tc>
        <w:tc>
          <w:tcPr>
            <w:tcW w:w="1279" w:type="dxa"/>
            <w:gridSpan w:val="2"/>
            <w:tcMar>
              <w:left w:w="28" w:type="dxa"/>
              <w:right w:w="28" w:type="dxa"/>
            </w:tcMar>
          </w:tcPr>
          <w:p w14:paraId="5820AFA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7,62 × 10</w:t>
            </w:r>
            <w:r w:rsidRPr="00CB2133">
              <w:rPr>
                <w:rFonts w:eastAsia="Calibri"/>
                <w:noProof/>
                <w:sz w:val="22"/>
                <w:szCs w:val="22"/>
                <w:vertAlign w:val="superscript"/>
                <w:lang w:eastAsia="en-US"/>
              </w:rPr>
              <w:t>-4</w:t>
            </w:r>
          </w:p>
        </w:tc>
        <w:tc>
          <w:tcPr>
            <w:tcW w:w="1277" w:type="dxa"/>
            <w:gridSpan w:val="2"/>
            <w:tcMar>
              <w:left w:w="28" w:type="dxa"/>
              <w:right w:w="28" w:type="dxa"/>
            </w:tcMar>
          </w:tcPr>
          <w:p w14:paraId="78FFEE2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0,12</w:t>
            </w:r>
          </w:p>
        </w:tc>
        <w:tc>
          <w:tcPr>
            <w:tcW w:w="1276" w:type="dxa"/>
            <w:gridSpan w:val="2"/>
            <w:tcMar>
              <w:left w:w="28" w:type="dxa"/>
              <w:right w:w="28" w:type="dxa"/>
            </w:tcMar>
          </w:tcPr>
          <w:p w14:paraId="0D60A03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0,012</w:t>
            </w:r>
          </w:p>
        </w:tc>
        <w:tc>
          <w:tcPr>
            <w:tcW w:w="1135" w:type="dxa"/>
            <w:gridSpan w:val="2"/>
            <w:tcMar>
              <w:left w:w="28" w:type="dxa"/>
              <w:right w:w="28" w:type="dxa"/>
            </w:tcMar>
          </w:tcPr>
          <w:p w14:paraId="4EEE570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6,1</w:t>
            </w:r>
          </w:p>
        </w:tc>
        <w:tc>
          <w:tcPr>
            <w:tcW w:w="1262" w:type="dxa"/>
            <w:tcMar>
              <w:left w:w="28" w:type="dxa"/>
              <w:right w:w="28" w:type="dxa"/>
            </w:tcMar>
          </w:tcPr>
          <w:p w14:paraId="288DC8F1"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626282C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783F826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6B837F50" w14:textId="77777777" w:rsidTr="000238DA">
        <w:trPr>
          <w:gridBefore w:val="1"/>
          <w:wBefore w:w="11" w:type="dxa"/>
          <w:cantSplit/>
          <w:tblHeader/>
          <w:jc w:val="center"/>
        </w:trPr>
        <w:tc>
          <w:tcPr>
            <w:tcW w:w="649" w:type="dxa"/>
            <w:gridSpan w:val="3"/>
            <w:tcMar>
              <w:left w:w="28" w:type="dxa"/>
              <w:right w:w="28" w:type="dxa"/>
            </w:tcMar>
          </w:tcPr>
          <w:p w14:paraId="722CCB2B"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(16)</w:t>
            </w:r>
          </w:p>
        </w:tc>
        <w:tc>
          <w:tcPr>
            <w:tcW w:w="2286" w:type="dxa"/>
            <w:gridSpan w:val="3"/>
            <w:tcMar>
              <w:left w:w="28" w:type="dxa"/>
              <w:right w:w="28" w:type="dxa"/>
            </w:tcMar>
          </w:tcPr>
          <w:p w14:paraId="3B7B2C4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Heksaklorobenseen</w:t>
            </w:r>
          </w:p>
        </w:tc>
        <w:tc>
          <w:tcPr>
            <w:tcW w:w="1329" w:type="dxa"/>
            <w:gridSpan w:val="3"/>
            <w:tcMar>
              <w:left w:w="28" w:type="dxa"/>
              <w:right w:w="28" w:type="dxa"/>
            </w:tcMar>
          </w:tcPr>
          <w:p w14:paraId="7F5D885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42452DF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118-74-1</w:t>
            </w:r>
          </w:p>
        </w:tc>
        <w:tc>
          <w:tcPr>
            <w:tcW w:w="1134" w:type="dxa"/>
          </w:tcPr>
          <w:p w14:paraId="7300BF4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204-273-9</w:t>
            </w:r>
          </w:p>
        </w:tc>
        <w:tc>
          <w:tcPr>
            <w:tcW w:w="1279" w:type="dxa"/>
            <w:gridSpan w:val="2"/>
            <w:tcMar>
              <w:left w:w="28" w:type="dxa"/>
              <w:right w:w="28" w:type="dxa"/>
            </w:tcMar>
          </w:tcPr>
          <w:p w14:paraId="7EB71E98" w14:textId="77777777" w:rsidR="00C45ED4" w:rsidRPr="00CB2133" w:rsidRDefault="00C45ED4" w:rsidP="00C45ED4">
            <w:pPr>
              <w:widowControl/>
              <w:spacing w:before="40" w:after="40"/>
              <w:rPr>
                <w:rFonts w:eastAsia="Calibri"/>
                <w:noProof/>
                <w:sz w:val="22"/>
                <w:szCs w:val="22"/>
                <w:lang w:eastAsia="en-US"/>
              </w:rPr>
            </w:pPr>
          </w:p>
        </w:tc>
        <w:tc>
          <w:tcPr>
            <w:tcW w:w="1279" w:type="dxa"/>
            <w:gridSpan w:val="2"/>
            <w:tcMar>
              <w:left w:w="28" w:type="dxa"/>
              <w:right w:w="28" w:type="dxa"/>
            </w:tcMar>
          </w:tcPr>
          <w:p w14:paraId="521DADB8" w14:textId="77777777" w:rsidR="00C45ED4" w:rsidRPr="00CB2133" w:rsidRDefault="00C45ED4" w:rsidP="00C45ED4">
            <w:pPr>
              <w:widowControl/>
              <w:spacing w:before="40" w:after="40"/>
              <w:rPr>
                <w:rFonts w:eastAsia="Calibri"/>
                <w:noProof/>
                <w:sz w:val="22"/>
                <w:szCs w:val="22"/>
                <w:lang w:eastAsia="en-US"/>
              </w:rPr>
            </w:pPr>
          </w:p>
        </w:tc>
        <w:tc>
          <w:tcPr>
            <w:tcW w:w="1277" w:type="dxa"/>
            <w:gridSpan w:val="2"/>
            <w:tcMar>
              <w:left w:w="28" w:type="dxa"/>
              <w:right w:w="28" w:type="dxa"/>
            </w:tcMar>
          </w:tcPr>
          <w:p w14:paraId="579E597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0,5</w:t>
            </w:r>
          </w:p>
        </w:tc>
        <w:tc>
          <w:tcPr>
            <w:tcW w:w="1276" w:type="dxa"/>
            <w:gridSpan w:val="2"/>
            <w:tcMar>
              <w:left w:w="28" w:type="dxa"/>
              <w:right w:w="28" w:type="dxa"/>
            </w:tcMar>
          </w:tcPr>
          <w:p w14:paraId="70DAFA1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0,05</w:t>
            </w:r>
          </w:p>
        </w:tc>
        <w:tc>
          <w:tcPr>
            <w:tcW w:w="1135" w:type="dxa"/>
            <w:gridSpan w:val="2"/>
            <w:tcMar>
              <w:left w:w="28" w:type="dxa"/>
              <w:right w:w="28" w:type="dxa"/>
            </w:tcMar>
          </w:tcPr>
          <w:p w14:paraId="1BB9A96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w:t>
            </w:r>
          </w:p>
        </w:tc>
        <w:tc>
          <w:tcPr>
            <w:tcW w:w="1262" w:type="dxa"/>
            <w:tcMar>
              <w:left w:w="28" w:type="dxa"/>
              <w:right w:w="28" w:type="dxa"/>
            </w:tcMar>
          </w:tcPr>
          <w:p w14:paraId="3CA505A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21D594DB"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19BC653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3305731F" w14:textId="77777777" w:rsidTr="000238DA">
        <w:trPr>
          <w:gridBefore w:val="1"/>
          <w:wBefore w:w="11" w:type="dxa"/>
          <w:cantSplit/>
          <w:tblHeader/>
          <w:jc w:val="center"/>
        </w:trPr>
        <w:tc>
          <w:tcPr>
            <w:tcW w:w="649" w:type="dxa"/>
            <w:gridSpan w:val="3"/>
            <w:tcMar>
              <w:left w:w="28" w:type="dxa"/>
              <w:right w:w="28" w:type="dxa"/>
            </w:tcMar>
          </w:tcPr>
          <w:p w14:paraId="2EB810D5"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(17)</w:t>
            </w:r>
          </w:p>
        </w:tc>
        <w:tc>
          <w:tcPr>
            <w:tcW w:w="2286" w:type="dxa"/>
            <w:gridSpan w:val="3"/>
            <w:tcMar>
              <w:left w:w="28" w:type="dxa"/>
              <w:right w:w="28" w:type="dxa"/>
            </w:tcMar>
          </w:tcPr>
          <w:p w14:paraId="666A7D1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Heksaklorobutadieen</w:t>
            </w:r>
          </w:p>
        </w:tc>
        <w:tc>
          <w:tcPr>
            <w:tcW w:w="1329" w:type="dxa"/>
            <w:gridSpan w:val="3"/>
            <w:tcMar>
              <w:left w:w="28" w:type="dxa"/>
              <w:right w:w="28" w:type="dxa"/>
            </w:tcMar>
          </w:tcPr>
          <w:p w14:paraId="1E4DC0A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 (lahustid)</w:t>
            </w:r>
          </w:p>
        </w:tc>
        <w:tc>
          <w:tcPr>
            <w:tcW w:w="992" w:type="dxa"/>
            <w:gridSpan w:val="2"/>
            <w:tcMar>
              <w:left w:w="28" w:type="dxa"/>
              <w:right w:w="28" w:type="dxa"/>
            </w:tcMar>
          </w:tcPr>
          <w:p w14:paraId="27E4DD0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87-68-3</w:t>
            </w:r>
          </w:p>
        </w:tc>
        <w:tc>
          <w:tcPr>
            <w:tcW w:w="1134" w:type="dxa"/>
          </w:tcPr>
          <w:p w14:paraId="1201046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201-765-5</w:t>
            </w:r>
          </w:p>
        </w:tc>
        <w:tc>
          <w:tcPr>
            <w:tcW w:w="1279" w:type="dxa"/>
            <w:gridSpan w:val="2"/>
            <w:tcMar>
              <w:left w:w="28" w:type="dxa"/>
              <w:right w:w="28" w:type="dxa"/>
            </w:tcMar>
          </w:tcPr>
          <w:p w14:paraId="4C12C49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9 × 10</w:t>
            </w:r>
            <w:r w:rsidRPr="00CB2133">
              <w:rPr>
                <w:rFonts w:eastAsia="Calibri"/>
                <w:noProof/>
                <w:sz w:val="22"/>
                <w:szCs w:val="22"/>
                <w:vertAlign w:val="superscript"/>
                <w:lang w:eastAsia="en-US"/>
              </w:rPr>
              <w:t>-4</w:t>
            </w:r>
          </w:p>
        </w:tc>
        <w:tc>
          <w:tcPr>
            <w:tcW w:w="1279" w:type="dxa"/>
            <w:gridSpan w:val="2"/>
            <w:tcMar>
              <w:left w:w="28" w:type="dxa"/>
              <w:right w:w="28" w:type="dxa"/>
            </w:tcMar>
          </w:tcPr>
          <w:p w14:paraId="070D11FA" w14:textId="77777777" w:rsidR="00C45ED4" w:rsidRPr="00CB2133" w:rsidRDefault="00C45ED4" w:rsidP="00C45ED4">
            <w:pPr>
              <w:widowControl/>
              <w:spacing w:before="40" w:after="40"/>
              <w:rPr>
                <w:rFonts w:eastAsia="Calibri"/>
                <w:noProof/>
                <w:sz w:val="22"/>
                <w:szCs w:val="22"/>
                <w:lang w:eastAsia="en-US"/>
              </w:rPr>
            </w:pPr>
          </w:p>
        </w:tc>
        <w:tc>
          <w:tcPr>
            <w:tcW w:w="1277" w:type="dxa"/>
            <w:gridSpan w:val="2"/>
            <w:tcMar>
              <w:left w:w="28" w:type="dxa"/>
              <w:right w:w="28" w:type="dxa"/>
            </w:tcMar>
          </w:tcPr>
          <w:p w14:paraId="1B7768F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0,6</w:t>
            </w:r>
          </w:p>
        </w:tc>
        <w:tc>
          <w:tcPr>
            <w:tcW w:w="1276" w:type="dxa"/>
            <w:gridSpan w:val="2"/>
            <w:tcMar>
              <w:left w:w="28" w:type="dxa"/>
              <w:right w:w="28" w:type="dxa"/>
            </w:tcMar>
          </w:tcPr>
          <w:p w14:paraId="4F0331C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0,6</w:t>
            </w:r>
          </w:p>
        </w:tc>
        <w:tc>
          <w:tcPr>
            <w:tcW w:w="1135" w:type="dxa"/>
            <w:gridSpan w:val="2"/>
            <w:tcMar>
              <w:left w:w="28" w:type="dxa"/>
              <w:right w:w="28" w:type="dxa"/>
            </w:tcMar>
          </w:tcPr>
          <w:p w14:paraId="4898D1B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w:t>
            </w:r>
          </w:p>
        </w:tc>
        <w:tc>
          <w:tcPr>
            <w:tcW w:w="1262" w:type="dxa"/>
            <w:tcMar>
              <w:left w:w="28" w:type="dxa"/>
              <w:right w:w="28" w:type="dxa"/>
            </w:tcMar>
          </w:tcPr>
          <w:p w14:paraId="29B33FF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5CA8B2D4"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4EE1444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5CCFAE37" w14:textId="77777777" w:rsidTr="000238DA">
        <w:trPr>
          <w:gridBefore w:val="1"/>
          <w:wBefore w:w="11" w:type="dxa"/>
          <w:cantSplit/>
          <w:tblHeader/>
          <w:jc w:val="center"/>
        </w:trPr>
        <w:tc>
          <w:tcPr>
            <w:tcW w:w="649" w:type="dxa"/>
            <w:gridSpan w:val="3"/>
            <w:tcMar>
              <w:left w:w="28" w:type="dxa"/>
              <w:right w:w="28" w:type="dxa"/>
            </w:tcMar>
          </w:tcPr>
          <w:p w14:paraId="731E347D"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(18)</w:t>
            </w:r>
          </w:p>
        </w:tc>
        <w:tc>
          <w:tcPr>
            <w:tcW w:w="2286" w:type="dxa"/>
            <w:gridSpan w:val="3"/>
            <w:tcMar>
              <w:left w:w="28" w:type="dxa"/>
              <w:right w:w="28" w:type="dxa"/>
            </w:tcMar>
          </w:tcPr>
          <w:p w14:paraId="68D0A38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Heksaklorotsükloheksaan</w:t>
            </w:r>
          </w:p>
        </w:tc>
        <w:tc>
          <w:tcPr>
            <w:tcW w:w="1329" w:type="dxa"/>
            <w:gridSpan w:val="3"/>
            <w:tcMar>
              <w:left w:w="28" w:type="dxa"/>
              <w:right w:w="28" w:type="dxa"/>
            </w:tcMar>
          </w:tcPr>
          <w:p w14:paraId="271D950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Insektitsiidid</w:t>
            </w:r>
          </w:p>
        </w:tc>
        <w:tc>
          <w:tcPr>
            <w:tcW w:w="992" w:type="dxa"/>
            <w:gridSpan w:val="2"/>
            <w:tcMar>
              <w:left w:w="28" w:type="dxa"/>
              <w:right w:w="28" w:type="dxa"/>
            </w:tcMar>
          </w:tcPr>
          <w:p w14:paraId="34EC2A5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608-73-1</w:t>
            </w:r>
          </w:p>
        </w:tc>
        <w:tc>
          <w:tcPr>
            <w:tcW w:w="1134" w:type="dxa"/>
          </w:tcPr>
          <w:p w14:paraId="6320B61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210-168-9</w:t>
            </w:r>
          </w:p>
        </w:tc>
        <w:tc>
          <w:tcPr>
            <w:tcW w:w="1279" w:type="dxa"/>
            <w:gridSpan w:val="2"/>
            <w:tcMar>
              <w:left w:w="28" w:type="dxa"/>
              <w:right w:w="28" w:type="dxa"/>
            </w:tcMar>
          </w:tcPr>
          <w:p w14:paraId="78F6D84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0,02</w:t>
            </w:r>
          </w:p>
        </w:tc>
        <w:tc>
          <w:tcPr>
            <w:tcW w:w="1279" w:type="dxa"/>
            <w:gridSpan w:val="2"/>
            <w:tcMar>
              <w:left w:w="28" w:type="dxa"/>
              <w:right w:w="28" w:type="dxa"/>
            </w:tcMar>
          </w:tcPr>
          <w:p w14:paraId="30D373D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0,002</w:t>
            </w:r>
          </w:p>
        </w:tc>
        <w:tc>
          <w:tcPr>
            <w:tcW w:w="1277" w:type="dxa"/>
            <w:gridSpan w:val="2"/>
            <w:tcMar>
              <w:left w:w="28" w:type="dxa"/>
              <w:right w:w="28" w:type="dxa"/>
            </w:tcMar>
          </w:tcPr>
          <w:p w14:paraId="3B10799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0,04</w:t>
            </w:r>
          </w:p>
        </w:tc>
        <w:tc>
          <w:tcPr>
            <w:tcW w:w="1276" w:type="dxa"/>
            <w:gridSpan w:val="2"/>
            <w:tcMar>
              <w:left w:w="28" w:type="dxa"/>
              <w:right w:w="28" w:type="dxa"/>
            </w:tcMar>
          </w:tcPr>
          <w:p w14:paraId="0215785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0,02</w:t>
            </w:r>
          </w:p>
        </w:tc>
        <w:tc>
          <w:tcPr>
            <w:tcW w:w="1135" w:type="dxa"/>
            <w:gridSpan w:val="2"/>
            <w:tcMar>
              <w:left w:w="28" w:type="dxa"/>
              <w:right w:w="28" w:type="dxa"/>
            </w:tcMar>
          </w:tcPr>
          <w:p w14:paraId="0CB56278"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58F3B1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02D99864"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70B7F8C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51E66E2B" w14:textId="77777777" w:rsidTr="000238DA">
        <w:trPr>
          <w:gridBefore w:val="1"/>
          <w:wBefore w:w="11" w:type="dxa"/>
          <w:cantSplit/>
          <w:tblHeader/>
          <w:jc w:val="center"/>
        </w:trPr>
        <w:tc>
          <w:tcPr>
            <w:tcW w:w="649" w:type="dxa"/>
            <w:gridSpan w:val="3"/>
            <w:tcMar>
              <w:left w:w="28" w:type="dxa"/>
              <w:right w:w="28" w:type="dxa"/>
            </w:tcMar>
          </w:tcPr>
          <w:p w14:paraId="265B6AE5"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(19)</w:t>
            </w:r>
          </w:p>
        </w:tc>
        <w:tc>
          <w:tcPr>
            <w:tcW w:w="2286" w:type="dxa"/>
            <w:gridSpan w:val="3"/>
            <w:tcMar>
              <w:left w:w="28" w:type="dxa"/>
              <w:right w:w="28" w:type="dxa"/>
            </w:tcMar>
          </w:tcPr>
          <w:p w14:paraId="1C2090C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Isoproturoon</w:t>
            </w:r>
          </w:p>
        </w:tc>
        <w:tc>
          <w:tcPr>
            <w:tcW w:w="1329" w:type="dxa"/>
            <w:gridSpan w:val="3"/>
            <w:tcMar>
              <w:left w:w="28" w:type="dxa"/>
              <w:right w:w="28" w:type="dxa"/>
            </w:tcMar>
          </w:tcPr>
          <w:p w14:paraId="285F2E5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66815F5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34123-59-6</w:t>
            </w:r>
          </w:p>
        </w:tc>
        <w:tc>
          <w:tcPr>
            <w:tcW w:w="1134" w:type="dxa"/>
          </w:tcPr>
          <w:p w14:paraId="0C34C05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251-835-4</w:t>
            </w:r>
          </w:p>
        </w:tc>
        <w:tc>
          <w:tcPr>
            <w:tcW w:w="1279" w:type="dxa"/>
            <w:gridSpan w:val="2"/>
            <w:tcMar>
              <w:left w:w="28" w:type="dxa"/>
              <w:right w:w="28" w:type="dxa"/>
            </w:tcMar>
          </w:tcPr>
          <w:p w14:paraId="5EC2A01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0,3</w:t>
            </w:r>
          </w:p>
        </w:tc>
        <w:tc>
          <w:tcPr>
            <w:tcW w:w="1279" w:type="dxa"/>
            <w:gridSpan w:val="2"/>
            <w:tcMar>
              <w:left w:w="28" w:type="dxa"/>
              <w:right w:w="28" w:type="dxa"/>
            </w:tcMar>
          </w:tcPr>
          <w:p w14:paraId="6B857DA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0,3</w:t>
            </w:r>
          </w:p>
        </w:tc>
        <w:tc>
          <w:tcPr>
            <w:tcW w:w="1277" w:type="dxa"/>
            <w:gridSpan w:val="2"/>
            <w:tcMar>
              <w:left w:w="28" w:type="dxa"/>
              <w:right w:w="28" w:type="dxa"/>
            </w:tcMar>
          </w:tcPr>
          <w:p w14:paraId="7B3373C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76" w:type="dxa"/>
            <w:gridSpan w:val="2"/>
            <w:tcMar>
              <w:left w:w="28" w:type="dxa"/>
              <w:right w:w="28" w:type="dxa"/>
            </w:tcMar>
          </w:tcPr>
          <w:p w14:paraId="7FEE2F0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p>
        </w:tc>
        <w:tc>
          <w:tcPr>
            <w:tcW w:w="1135" w:type="dxa"/>
            <w:gridSpan w:val="2"/>
            <w:tcMar>
              <w:left w:w="28" w:type="dxa"/>
              <w:right w:w="28" w:type="dxa"/>
            </w:tcMar>
          </w:tcPr>
          <w:p w14:paraId="6F8FECBF"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7F7A524B"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12B411A4"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211586F0"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4FE92F34" w14:textId="77777777" w:rsidTr="000238DA">
        <w:trPr>
          <w:gridBefore w:val="1"/>
          <w:wBefore w:w="11" w:type="dxa"/>
          <w:cantSplit/>
          <w:tblHeader/>
          <w:jc w:val="center"/>
        </w:trPr>
        <w:tc>
          <w:tcPr>
            <w:tcW w:w="649" w:type="dxa"/>
            <w:gridSpan w:val="3"/>
            <w:tcMar>
              <w:left w:w="28" w:type="dxa"/>
              <w:right w:w="28" w:type="dxa"/>
            </w:tcMar>
          </w:tcPr>
          <w:p w14:paraId="101D3E51"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(20)</w:t>
            </w:r>
          </w:p>
        </w:tc>
        <w:tc>
          <w:tcPr>
            <w:tcW w:w="2286" w:type="dxa"/>
            <w:gridSpan w:val="3"/>
            <w:tcMar>
              <w:left w:w="28" w:type="dxa"/>
              <w:right w:w="28" w:type="dxa"/>
            </w:tcMar>
          </w:tcPr>
          <w:p w14:paraId="4CEC62F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Plii ja selle ühendid</w:t>
            </w:r>
          </w:p>
        </w:tc>
        <w:tc>
          <w:tcPr>
            <w:tcW w:w="1329" w:type="dxa"/>
            <w:gridSpan w:val="3"/>
            <w:tcMar>
              <w:left w:w="28" w:type="dxa"/>
              <w:right w:w="28" w:type="dxa"/>
            </w:tcMar>
          </w:tcPr>
          <w:p w14:paraId="239DB11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Metallid</w:t>
            </w:r>
          </w:p>
        </w:tc>
        <w:tc>
          <w:tcPr>
            <w:tcW w:w="992" w:type="dxa"/>
            <w:gridSpan w:val="2"/>
            <w:tcMar>
              <w:left w:w="28" w:type="dxa"/>
              <w:right w:w="28" w:type="dxa"/>
            </w:tcMar>
          </w:tcPr>
          <w:p w14:paraId="73A08A6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7439-92-1</w:t>
            </w:r>
          </w:p>
        </w:tc>
        <w:tc>
          <w:tcPr>
            <w:tcW w:w="1134" w:type="dxa"/>
          </w:tcPr>
          <w:p w14:paraId="70E9E489" w14:textId="77777777" w:rsidR="00C45ED4" w:rsidRPr="00CB2133" w:rsidRDefault="00C45ED4" w:rsidP="00C45ED4">
            <w:pPr>
              <w:widowControl/>
              <w:spacing w:before="40" w:after="40"/>
              <w:rPr>
                <w:rFonts w:eastAsia="Calibri"/>
                <w:bCs/>
                <w:iCs/>
                <w:noProof/>
                <w:sz w:val="22"/>
                <w:szCs w:val="22"/>
                <w:lang w:eastAsia="en-US"/>
              </w:rPr>
            </w:pPr>
            <w:r w:rsidRPr="00CB2133">
              <w:rPr>
                <w:rFonts w:eastAsia="Calibri"/>
                <w:noProof/>
                <w:sz w:val="22"/>
                <w:szCs w:val="22"/>
                <w:lang w:eastAsia="en-US"/>
              </w:rPr>
              <w:t>231-100-4</w:t>
            </w:r>
          </w:p>
        </w:tc>
        <w:tc>
          <w:tcPr>
            <w:tcW w:w="1279" w:type="dxa"/>
            <w:gridSpan w:val="2"/>
            <w:tcMar>
              <w:left w:w="28" w:type="dxa"/>
              <w:right w:w="28" w:type="dxa"/>
            </w:tcMar>
          </w:tcPr>
          <w:p w14:paraId="57F13D40" w14:textId="77777777" w:rsidR="00C45ED4" w:rsidRPr="00CB2133" w:rsidRDefault="00C45ED4" w:rsidP="00C45ED4">
            <w:pPr>
              <w:widowControl/>
              <w:spacing w:before="40" w:after="40"/>
              <w:rPr>
                <w:rFonts w:eastAsia="Calibri"/>
                <w:i/>
                <w:noProof/>
                <w:sz w:val="22"/>
                <w:szCs w:val="22"/>
                <w:vertAlign w:val="superscript"/>
                <w:lang w:eastAsia="en-US"/>
              </w:rPr>
            </w:pPr>
            <w:bookmarkStart w:id="24" w:name="_DV_C331"/>
            <w:r w:rsidRPr="00CB2133">
              <w:rPr>
                <w:rFonts w:eastAsia="Calibri"/>
                <w:noProof/>
                <w:sz w:val="22"/>
                <w:szCs w:val="22"/>
                <w:lang w:eastAsia="en-US"/>
              </w:rPr>
              <w:t>1,2</w:t>
            </w:r>
            <w:r w:rsidRPr="00CB2133">
              <w:rPr>
                <w:rFonts w:eastAsia="Calibri"/>
                <w:noProof/>
                <w:sz w:val="22"/>
                <w:szCs w:val="22"/>
                <w:vertAlign w:val="superscript"/>
                <w:lang w:eastAsia="en-US"/>
              </w:rPr>
              <w:t>(12)</w:t>
            </w:r>
            <w:bookmarkEnd w:id="24"/>
          </w:p>
        </w:tc>
        <w:tc>
          <w:tcPr>
            <w:tcW w:w="1279" w:type="dxa"/>
            <w:gridSpan w:val="2"/>
            <w:tcMar>
              <w:left w:w="28" w:type="dxa"/>
              <w:right w:w="28" w:type="dxa"/>
            </w:tcMar>
          </w:tcPr>
          <w:p w14:paraId="5CC7A63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w:t>
            </w:r>
          </w:p>
        </w:tc>
        <w:tc>
          <w:tcPr>
            <w:tcW w:w="1277" w:type="dxa"/>
            <w:gridSpan w:val="2"/>
            <w:tcMar>
              <w:left w:w="28" w:type="dxa"/>
              <w:right w:w="28" w:type="dxa"/>
            </w:tcMar>
          </w:tcPr>
          <w:p w14:paraId="7240E11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14</w:t>
            </w:r>
          </w:p>
        </w:tc>
        <w:tc>
          <w:tcPr>
            <w:tcW w:w="1276" w:type="dxa"/>
            <w:gridSpan w:val="2"/>
            <w:tcMar>
              <w:left w:w="28" w:type="dxa"/>
              <w:right w:w="28" w:type="dxa"/>
            </w:tcMar>
          </w:tcPr>
          <w:p w14:paraId="3E07863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14</w:t>
            </w:r>
          </w:p>
        </w:tc>
        <w:tc>
          <w:tcPr>
            <w:tcW w:w="1135" w:type="dxa"/>
            <w:gridSpan w:val="2"/>
            <w:tcMar>
              <w:left w:w="28" w:type="dxa"/>
              <w:right w:w="28" w:type="dxa"/>
            </w:tcMar>
          </w:tcPr>
          <w:p w14:paraId="41B4F6F9"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673861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28ED4109"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0E4ADB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64AAE77F" w14:textId="77777777" w:rsidTr="000238DA">
        <w:trPr>
          <w:gridBefore w:val="1"/>
          <w:wBefore w:w="11" w:type="dxa"/>
          <w:cantSplit/>
          <w:tblHeader/>
          <w:jc w:val="center"/>
        </w:trPr>
        <w:tc>
          <w:tcPr>
            <w:tcW w:w="649" w:type="dxa"/>
            <w:gridSpan w:val="3"/>
            <w:tcMar>
              <w:left w:w="28" w:type="dxa"/>
              <w:right w:w="28" w:type="dxa"/>
            </w:tcMar>
          </w:tcPr>
          <w:p w14:paraId="3FC4C30B"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(21)</w:t>
            </w:r>
          </w:p>
        </w:tc>
        <w:tc>
          <w:tcPr>
            <w:tcW w:w="2286" w:type="dxa"/>
            <w:gridSpan w:val="3"/>
            <w:tcMar>
              <w:left w:w="28" w:type="dxa"/>
              <w:right w:w="28" w:type="dxa"/>
            </w:tcMar>
          </w:tcPr>
          <w:p w14:paraId="7A7B5F1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Elavhõbe ja selle ühendid</w:t>
            </w:r>
          </w:p>
        </w:tc>
        <w:tc>
          <w:tcPr>
            <w:tcW w:w="1329" w:type="dxa"/>
            <w:gridSpan w:val="3"/>
            <w:tcMar>
              <w:left w:w="28" w:type="dxa"/>
              <w:right w:w="28" w:type="dxa"/>
            </w:tcMar>
          </w:tcPr>
          <w:p w14:paraId="69FB533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Metallid</w:t>
            </w:r>
          </w:p>
        </w:tc>
        <w:tc>
          <w:tcPr>
            <w:tcW w:w="992" w:type="dxa"/>
            <w:gridSpan w:val="2"/>
            <w:tcMar>
              <w:left w:w="28" w:type="dxa"/>
              <w:right w:w="28" w:type="dxa"/>
            </w:tcMar>
          </w:tcPr>
          <w:p w14:paraId="69B338D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7439-97-6</w:t>
            </w:r>
          </w:p>
        </w:tc>
        <w:tc>
          <w:tcPr>
            <w:tcW w:w="1134" w:type="dxa"/>
          </w:tcPr>
          <w:p w14:paraId="1B99941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231-106-7</w:t>
            </w:r>
          </w:p>
        </w:tc>
        <w:tc>
          <w:tcPr>
            <w:tcW w:w="1279" w:type="dxa"/>
            <w:gridSpan w:val="2"/>
            <w:tcMar>
              <w:left w:w="28" w:type="dxa"/>
              <w:right w:w="28" w:type="dxa"/>
            </w:tcMar>
          </w:tcPr>
          <w:p w14:paraId="6DD2D7FF" w14:textId="77777777" w:rsidR="00C45ED4" w:rsidRPr="00CB2133" w:rsidRDefault="00C45ED4" w:rsidP="00C45ED4">
            <w:pPr>
              <w:widowControl/>
              <w:spacing w:before="40" w:after="40"/>
              <w:rPr>
                <w:rFonts w:eastAsia="Calibri"/>
                <w:noProof/>
                <w:sz w:val="22"/>
                <w:szCs w:val="22"/>
                <w:lang w:eastAsia="en-US"/>
              </w:rPr>
            </w:pPr>
          </w:p>
        </w:tc>
        <w:tc>
          <w:tcPr>
            <w:tcW w:w="1279" w:type="dxa"/>
            <w:gridSpan w:val="2"/>
            <w:tcMar>
              <w:left w:w="28" w:type="dxa"/>
              <w:right w:w="28" w:type="dxa"/>
            </w:tcMar>
          </w:tcPr>
          <w:p w14:paraId="4CB540D4" w14:textId="77777777" w:rsidR="00C45ED4" w:rsidRPr="00CB2133" w:rsidRDefault="00C45ED4" w:rsidP="00C45ED4">
            <w:pPr>
              <w:widowControl/>
              <w:spacing w:before="40" w:after="40"/>
              <w:rPr>
                <w:rFonts w:eastAsia="Calibri"/>
                <w:noProof/>
                <w:sz w:val="22"/>
                <w:szCs w:val="22"/>
                <w:lang w:eastAsia="en-US"/>
              </w:rPr>
            </w:pPr>
          </w:p>
        </w:tc>
        <w:tc>
          <w:tcPr>
            <w:tcW w:w="1277" w:type="dxa"/>
            <w:gridSpan w:val="2"/>
            <w:tcMar>
              <w:left w:w="28" w:type="dxa"/>
              <w:right w:w="28" w:type="dxa"/>
            </w:tcMar>
          </w:tcPr>
          <w:p w14:paraId="6084F42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0,07</w:t>
            </w:r>
          </w:p>
        </w:tc>
        <w:tc>
          <w:tcPr>
            <w:tcW w:w="1276" w:type="dxa"/>
            <w:gridSpan w:val="2"/>
            <w:tcMar>
              <w:left w:w="28" w:type="dxa"/>
              <w:right w:w="28" w:type="dxa"/>
            </w:tcMar>
          </w:tcPr>
          <w:p w14:paraId="6796A48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0,07</w:t>
            </w:r>
          </w:p>
        </w:tc>
        <w:tc>
          <w:tcPr>
            <w:tcW w:w="1135" w:type="dxa"/>
            <w:gridSpan w:val="2"/>
            <w:tcMar>
              <w:left w:w="28" w:type="dxa"/>
              <w:right w:w="28" w:type="dxa"/>
            </w:tcMar>
          </w:tcPr>
          <w:p w14:paraId="1931AEC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r w:rsidRPr="00CB2133">
              <w:rPr>
                <w:rFonts w:eastAsia="Calibri"/>
                <w:noProof/>
                <w:sz w:val="22"/>
                <w:szCs w:val="22"/>
                <w:vertAlign w:val="superscript"/>
                <w:lang w:eastAsia="en-US"/>
              </w:rPr>
              <w:t>(13)</w:t>
            </w:r>
          </w:p>
        </w:tc>
        <w:tc>
          <w:tcPr>
            <w:tcW w:w="1262" w:type="dxa"/>
            <w:tcMar>
              <w:left w:w="28" w:type="dxa"/>
              <w:right w:w="28" w:type="dxa"/>
            </w:tcMar>
          </w:tcPr>
          <w:p w14:paraId="220AA77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0DC7494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3153532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2959C532" w14:textId="77777777" w:rsidTr="000238DA">
        <w:trPr>
          <w:gridBefore w:val="1"/>
          <w:wBefore w:w="11" w:type="dxa"/>
          <w:cantSplit/>
          <w:tblHeader/>
          <w:jc w:val="center"/>
        </w:trPr>
        <w:tc>
          <w:tcPr>
            <w:tcW w:w="649" w:type="dxa"/>
            <w:gridSpan w:val="3"/>
            <w:tcMar>
              <w:left w:w="28" w:type="dxa"/>
              <w:right w:w="28" w:type="dxa"/>
            </w:tcMar>
          </w:tcPr>
          <w:p w14:paraId="0B7FE08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(22)</w:t>
            </w:r>
          </w:p>
        </w:tc>
        <w:tc>
          <w:tcPr>
            <w:tcW w:w="2286" w:type="dxa"/>
            <w:gridSpan w:val="3"/>
            <w:tcMar>
              <w:left w:w="28" w:type="dxa"/>
              <w:right w:w="28" w:type="dxa"/>
            </w:tcMar>
          </w:tcPr>
          <w:p w14:paraId="43D5A2B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Naftaleen</w:t>
            </w:r>
          </w:p>
        </w:tc>
        <w:tc>
          <w:tcPr>
            <w:tcW w:w="1329" w:type="dxa"/>
            <w:gridSpan w:val="3"/>
            <w:tcMar>
              <w:left w:w="28" w:type="dxa"/>
              <w:right w:w="28" w:type="dxa"/>
            </w:tcMar>
          </w:tcPr>
          <w:p w14:paraId="75D1049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Tööstuses kasutatavad ained </w:t>
            </w:r>
          </w:p>
        </w:tc>
        <w:tc>
          <w:tcPr>
            <w:tcW w:w="992" w:type="dxa"/>
            <w:gridSpan w:val="2"/>
            <w:tcMar>
              <w:left w:w="28" w:type="dxa"/>
              <w:right w:w="28" w:type="dxa"/>
            </w:tcMar>
          </w:tcPr>
          <w:p w14:paraId="6EAB516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91-20-3</w:t>
            </w:r>
          </w:p>
        </w:tc>
        <w:tc>
          <w:tcPr>
            <w:tcW w:w="1134" w:type="dxa"/>
          </w:tcPr>
          <w:p w14:paraId="3D5ED02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202-049-5</w:t>
            </w:r>
          </w:p>
        </w:tc>
        <w:tc>
          <w:tcPr>
            <w:tcW w:w="1279" w:type="dxa"/>
            <w:gridSpan w:val="2"/>
            <w:tcMar>
              <w:left w:w="28" w:type="dxa"/>
              <w:right w:w="28" w:type="dxa"/>
            </w:tcMar>
          </w:tcPr>
          <w:p w14:paraId="796566F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w:t>
            </w:r>
          </w:p>
        </w:tc>
        <w:tc>
          <w:tcPr>
            <w:tcW w:w="1279" w:type="dxa"/>
            <w:gridSpan w:val="2"/>
            <w:tcMar>
              <w:left w:w="28" w:type="dxa"/>
              <w:right w:w="28" w:type="dxa"/>
            </w:tcMar>
          </w:tcPr>
          <w:p w14:paraId="422C5EB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w:t>
            </w:r>
          </w:p>
        </w:tc>
        <w:tc>
          <w:tcPr>
            <w:tcW w:w="1277" w:type="dxa"/>
            <w:gridSpan w:val="2"/>
            <w:tcMar>
              <w:left w:w="28" w:type="dxa"/>
              <w:right w:w="28" w:type="dxa"/>
            </w:tcMar>
          </w:tcPr>
          <w:p w14:paraId="3B3B2AF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130</w:t>
            </w:r>
          </w:p>
        </w:tc>
        <w:tc>
          <w:tcPr>
            <w:tcW w:w="1276" w:type="dxa"/>
            <w:gridSpan w:val="2"/>
            <w:tcMar>
              <w:left w:w="28" w:type="dxa"/>
              <w:right w:w="28" w:type="dxa"/>
            </w:tcMar>
          </w:tcPr>
          <w:p w14:paraId="67EB0E7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130</w:t>
            </w:r>
          </w:p>
        </w:tc>
        <w:tc>
          <w:tcPr>
            <w:tcW w:w="1135" w:type="dxa"/>
            <w:gridSpan w:val="2"/>
            <w:tcMar>
              <w:left w:w="28" w:type="dxa"/>
              <w:right w:w="28" w:type="dxa"/>
            </w:tcMar>
          </w:tcPr>
          <w:p w14:paraId="3F966D1B"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08E46D0B"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3E37F65E"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03F356E8"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486F65AE" w14:textId="77777777" w:rsidTr="000238DA">
        <w:trPr>
          <w:gridBefore w:val="1"/>
          <w:wBefore w:w="11" w:type="dxa"/>
          <w:cantSplit/>
          <w:tblHeader/>
          <w:jc w:val="center"/>
        </w:trPr>
        <w:tc>
          <w:tcPr>
            <w:tcW w:w="649" w:type="dxa"/>
            <w:gridSpan w:val="3"/>
            <w:tcMar>
              <w:left w:w="28" w:type="dxa"/>
              <w:right w:w="28" w:type="dxa"/>
            </w:tcMar>
          </w:tcPr>
          <w:p w14:paraId="73EECA81"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(23)</w:t>
            </w:r>
          </w:p>
        </w:tc>
        <w:tc>
          <w:tcPr>
            <w:tcW w:w="2286" w:type="dxa"/>
            <w:gridSpan w:val="3"/>
            <w:tcMar>
              <w:left w:w="28" w:type="dxa"/>
              <w:right w:w="28" w:type="dxa"/>
            </w:tcMar>
          </w:tcPr>
          <w:p w14:paraId="2ADBB1A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Nikkel ja selle ühendid</w:t>
            </w:r>
          </w:p>
        </w:tc>
        <w:tc>
          <w:tcPr>
            <w:tcW w:w="1329" w:type="dxa"/>
            <w:gridSpan w:val="3"/>
            <w:tcMar>
              <w:left w:w="28" w:type="dxa"/>
              <w:right w:w="28" w:type="dxa"/>
            </w:tcMar>
          </w:tcPr>
          <w:p w14:paraId="493BE2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Metallid</w:t>
            </w:r>
          </w:p>
        </w:tc>
        <w:tc>
          <w:tcPr>
            <w:tcW w:w="992" w:type="dxa"/>
            <w:gridSpan w:val="2"/>
            <w:tcMar>
              <w:left w:w="28" w:type="dxa"/>
              <w:right w:w="28" w:type="dxa"/>
            </w:tcMar>
          </w:tcPr>
          <w:p w14:paraId="1962EDF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7440-02-0</w:t>
            </w:r>
          </w:p>
        </w:tc>
        <w:tc>
          <w:tcPr>
            <w:tcW w:w="1134" w:type="dxa"/>
          </w:tcPr>
          <w:p w14:paraId="034FF23A" w14:textId="77777777" w:rsidR="00C45ED4" w:rsidRPr="00CB2133" w:rsidDel="00EC120E"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231-111-4</w:t>
            </w:r>
          </w:p>
        </w:tc>
        <w:tc>
          <w:tcPr>
            <w:tcW w:w="1279" w:type="dxa"/>
            <w:gridSpan w:val="2"/>
            <w:tcMar>
              <w:left w:w="28" w:type="dxa"/>
              <w:right w:w="28" w:type="dxa"/>
            </w:tcMar>
          </w:tcPr>
          <w:p w14:paraId="2D0C5837"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2</w:t>
            </w:r>
            <w:r w:rsidRPr="00CB2133">
              <w:rPr>
                <w:rFonts w:eastAsia="Calibri"/>
                <w:noProof/>
                <w:sz w:val="22"/>
                <w:szCs w:val="22"/>
                <w:vertAlign w:val="superscript"/>
                <w:lang w:eastAsia="en-US"/>
              </w:rPr>
              <w:t>(12)</w:t>
            </w:r>
          </w:p>
        </w:tc>
        <w:tc>
          <w:tcPr>
            <w:tcW w:w="1279" w:type="dxa"/>
            <w:gridSpan w:val="2"/>
            <w:tcMar>
              <w:left w:w="28" w:type="dxa"/>
              <w:right w:w="28" w:type="dxa"/>
            </w:tcMar>
          </w:tcPr>
          <w:p w14:paraId="4DA0F1D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3,1</w:t>
            </w:r>
          </w:p>
        </w:tc>
        <w:tc>
          <w:tcPr>
            <w:tcW w:w="1277" w:type="dxa"/>
            <w:gridSpan w:val="2"/>
            <w:tcMar>
              <w:left w:w="28" w:type="dxa"/>
              <w:right w:w="28" w:type="dxa"/>
            </w:tcMar>
          </w:tcPr>
          <w:p w14:paraId="326B07B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8,2</w:t>
            </w:r>
          </w:p>
        </w:tc>
        <w:tc>
          <w:tcPr>
            <w:tcW w:w="1276" w:type="dxa"/>
            <w:gridSpan w:val="2"/>
            <w:tcMar>
              <w:left w:w="28" w:type="dxa"/>
              <w:right w:w="28" w:type="dxa"/>
            </w:tcMar>
          </w:tcPr>
          <w:p w14:paraId="4F1306C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8,2</w:t>
            </w:r>
          </w:p>
        </w:tc>
        <w:tc>
          <w:tcPr>
            <w:tcW w:w="1135" w:type="dxa"/>
            <w:gridSpan w:val="2"/>
            <w:tcMar>
              <w:left w:w="28" w:type="dxa"/>
              <w:right w:w="28" w:type="dxa"/>
            </w:tcMar>
          </w:tcPr>
          <w:p w14:paraId="27F84608"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7AA361CA" w14:textId="77777777" w:rsidR="00C45ED4" w:rsidRPr="00CB2133" w:rsidRDefault="00C45ED4" w:rsidP="00C45ED4">
            <w:pPr>
              <w:widowControl/>
              <w:spacing w:before="40" w:after="40"/>
              <w:rPr>
                <w:rFonts w:eastAsia="Calibri"/>
                <w:noProof/>
                <w:sz w:val="22"/>
                <w:szCs w:val="22"/>
                <w:vertAlign w:val="superscript"/>
                <w:lang w:eastAsia="en-US"/>
              </w:rPr>
            </w:pPr>
          </w:p>
        </w:tc>
        <w:tc>
          <w:tcPr>
            <w:tcW w:w="1154" w:type="dxa"/>
            <w:gridSpan w:val="2"/>
            <w:tcMar>
              <w:left w:w="28" w:type="dxa"/>
              <w:right w:w="28" w:type="dxa"/>
            </w:tcMar>
          </w:tcPr>
          <w:p w14:paraId="68EB8E1F" w14:textId="77777777" w:rsidR="00C45ED4" w:rsidRPr="00CB2133" w:rsidRDefault="00C45ED4" w:rsidP="00C45ED4">
            <w:pPr>
              <w:widowControl/>
              <w:spacing w:before="40" w:after="40"/>
              <w:rPr>
                <w:rFonts w:eastAsia="Calibri"/>
                <w:noProof/>
                <w:sz w:val="22"/>
                <w:szCs w:val="22"/>
                <w:vertAlign w:val="superscript"/>
                <w:lang w:eastAsia="en-US"/>
              </w:rPr>
            </w:pPr>
          </w:p>
        </w:tc>
        <w:tc>
          <w:tcPr>
            <w:tcW w:w="970" w:type="dxa"/>
            <w:tcMar>
              <w:left w:w="28" w:type="dxa"/>
              <w:right w:w="28" w:type="dxa"/>
            </w:tcMar>
          </w:tcPr>
          <w:p w14:paraId="2FB83253" w14:textId="77777777" w:rsidR="00C45ED4" w:rsidRPr="00CB2133" w:rsidRDefault="00C45ED4" w:rsidP="00C45ED4">
            <w:pPr>
              <w:widowControl/>
              <w:spacing w:before="40" w:after="40"/>
              <w:rPr>
                <w:rFonts w:eastAsia="Calibri"/>
                <w:noProof/>
                <w:sz w:val="22"/>
                <w:szCs w:val="22"/>
                <w:vertAlign w:val="superscript"/>
                <w:lang w:eastAsia="en-US"/>
              </w:rPr>
            </w:pPr>
          </w:p>
        </w:tc>
      </w:tr>
      <w:tr w:rsidR="00C45ED4" w:rsidRPr="00CB2133" w14:paraId="6CE3E90D" w14:textId="77777777" w:rsidTr="000238DA">
        <w:trPr>
          <w:gridBefore w:val="1"/>
          <w:wBefore w:w="11" w:type="dxa"/>
          <w:cantSplit/>
          <w:tblHeader/>
          <w:jc w:val="center"/>
        </w:trPr>
        <w:tc>
          <w:tcPr>
            <w:tcW w:w="649" w:type="dxa"/>
            <w:gridSpan w:val="3"/>
            <w:tcMar>
              <w:left w:w="28" w:type="dxa"/>
              <w:right w:w="28" w:type="dxa"/>
            </w:tcMar>
          </w:tcPr>
          <w:p w14:paraId="749CA1A5"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lastRenderedPageBreak/>
              <w:t>(24)</w:t>
            </w:r>
          </w:p>
        </w:tc>
        <w:tc>
          <w:tcPr>
            <w:tcW w:w="2286" w:type="dxa"/>
            <w:gridSpan w:val="3"/>
            <w:tcMar>
              <w:left w:w="28" w:type="dxa"/>
              <w:right w:w="28" w:type="dxa"/>
            </w:tcMar>
          </w:tcPr>
          <w:p w14:paraId="37F2243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Nonüülfenoolid</w:t>
            </w:r>
            <w:r w:rsidRPr="00CB2133">
              <w:rPr>
                <w:rFonts w:eastAsia="Calibri"/>
                <w:noProof/>
                <w:sz w:val="22"/>
                <w:szCs w:val="22"/>
                <w:vertAlign w:val="superscript"/>
                <w:lang w:eastAsia="en-US"/>
              </w:rPr>
              <w:t>(14)</w:t>
            </w:r>
            <w:r w:rsidRPr="00CB2133">
              <w:rPr>
                <w:rFonts w:eastAsia="Calibri"/>
                <w:noProof/>
                <w:szCs w:val="22"/>
                <w:lang w:eastAsia="en-US"/>
              </w:rPr>
              <w:t xml:space="preserve"> </w:t>
            </w:r>
            <w:r w:rsidRPr="00CB2133">
              <w:rPr>
                <w:rFonts w:eastAsia="Calibri"/>
                <w:noProof/>
                <w:szCs w:val="22"/>
                <w:lang w:eastAsia="en-US"/>
              </w:rPr>
              <w:br/>
            </w:r>
            <w:r w:rsidRPr="00CB2133">
              <w:rPr>
                <w:rFonts w:eastAsia="Calibri"/>
                <w:noProof/>
                <w:sz w:val="22"/>
                <w:szCs w:val="22"/>
                <w:lang w:eastAsia="en-US"/>
              </w:rPr>
              <w:t>(4-nonüülfenool)</w:t>
            </w:r>
          </w:p>
        </w:tc>
        <w:tc>
          <w:tcPr>
            <w:tcW w:w="1329" w:type="dxa"/>
            <w:gridSpan w:val="3"/>
            <w:tcMar>
              <w:left w:w="28" w:type="dxa"/>
              <w:right w:w="28" w:type="dxa"/>
            </w:tcMar>
          </w:tcPr>
          <w:p w14:paraId="5F6318F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77C2435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84852-15-3</w:t>
            </w:r>
          </w:p>
        </w:tc>
        <w:tc>
          <w:tcPr>
            <w:tcW w:w="1134" w:type="dxa"/>
          </w:tcPr>
          <w:p w14:paraId="729DC7C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284-325-5</w:t>
            </w:r>
          </w:p>
        </w:tc>
        <w:tc>
          <w:tcPr>
            <w:tcW w:w="1279" w:type="dxa"/>
            <w:gridSpan w:val="2"/>
            <w:tcMar>
              <w:left w:w="28" w:type="dxa"/>
              <w:right w:w="28" w:type="dxa"/>
            </w:tcMar>
          </w:tcPr>
          <w:p w14:paraId="2A06FF0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0,037</w:t>
            </w:r>
          </w:p>
        </w:tc>
        <w:tc>
          <w:tcPr>
            <w:tcW w:w="1279" w:type="dxa"/>
            <w:gridSpan w:val="2"/>
            <w:tcMar>
              <w:left w:w="28" w:type="dxa"/>
              <w:right w:w="28" w:type="dxa"/>
            </w:tcMar>
          </w:tcPr>
          <w:p w14:paraId="69729D9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0,0018</w:t>
            </w:r>
          </w:p>
        </w:tc>
        <w:tc>
          <w:tcPr>
            <w:tcW w:w="1277" w:type="dxa"/>
            <w:gridSpan w:val="2"/>
            <w:tcMar>
              <w:left w:w="28" w:type="dxa"/>
              <w:right w:w="28" w:type="dxa"/>
            </w:tcMar>
          </w:tcPr>
          <w:p w14:paraId="6D15635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w:t>
            </w:r>
          </w:p>
        </w:tc>
        <w:tc>
          <w:tcPr>
            <w:tcW w:w="1276" w:type="dxa"/>
            <w:gridSpan w:val="2"/>
            <w:tcMar>
              <w:left w:w="28" w:type="dxa"/>
              <w:right w:w="28" w:type="dxa"/>
            </w:tcMar>
          </w:tcPr>
          <w:p w14:paraId="6891734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0,17</w:t>
            </w:r>
          </w:p>
        </w:tc>
        <w:tc>
          <w:tcPr>
            <w:tcW w:w="1135" w:type="dxa"/>
            <w:gridSpan w:val="2"/>
            <w:tcMar>
              <w:left w:w="28" w:type="dxa"/>
              <w:right w:w="28" w:type="dxa"/>
            </w:tcMar>
          </w:tcPr>
          <w:p w14:paraId="2F011156"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702EB3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2606175D"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52BB0CB9"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5424631C" w14:textId="77777777" w:rsidTr="000238DA">
        <w:trPr>
          <w:gridBefore w:val="1"/>
          <w:wBefore w:w="11" w:type="dxa"/>
          <w:cantSplit/>
          <w:tblHeader/>
          <w:jc w:val="center"/>
        </w:trPr>
        <w:tc>
          <w:tcPr>
            <w:tcW w:w="649" w:type="dxa"/>
            <w:gridSpan w:val="3"/>
            <w:tcMar>
              <w:left w:w="28" w:type="dxa"/>
              <w:right w:w="28" w:type="dxa"/>
            </w:tcMar>
          </w:tcPr>
          <w:p w14:paraId="7E707B60" w14:textId="77777777" w:rsidR="00C45ED4" w:rsidRPr="00CB2133" w:rsidRDefault="00C45ED4" w:rsidP="00C45ED4">
            <w:pPr>
              <w:keepNext/>
              <w:widowControl/>
              <w:spacing w:before="40" w:after="40"/>
              <w:jc w:val="both"/>
              <w:rPr>
                <w:rFonts w:eastAsia="Calibri"/>
                <w:noProof/>
                <w:sz w:val="22"/>
                <w:szCs w:val="22"/>
                <w:lang w:eastAsia="en-US"/>
              </w:rPr>
            </w:pPr>
            <w:r w:rsidRPr="00CB2133">
              <w:rPr>
                <w:rFonts w:eastAsia="Calibri"/>
                <w:noProof/>
                <w:sz w:val="22"/>
                <w:szCs w:val="22"/>
                <w:lang w:eastAsia="en-US"/>
              </w:rPr>
              <w:t>(25)</w:t>
            </w:r>
          </w:p>
        </w:tc>
        <w:tc>
          <w:tcPr>
            <w:tcW w:w="2286" w:type="dxa"/>
            <w:gridSpan w:val="3"/>
            <w:tcMar>
              <w:left w:w="28" w:type="dxa"/>
              <w:right w:w="28" w:type="dxa"/>
            </w:tcMar>
          </w:tcPr>
          <w:p w14:paraId="3C3A0231" w14:textId="53BEF530"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Oktüülfenoolid</w:t>
            </w:r>
            <w:r w:rsidRPr="00CB2133">
              <w:rPr>
                <w:rFonts w:eastAsia="Calibri"/>
                <w:noProof/>
                <w:sz w:val="22"/>
                <w:szCs w:val="22"/>
                <w:vertAlign w:val="superscript"/>
                <w:lang w:eastAsia="en-US"/>
              </w:rPr>
              <w:t>(15)</w:t>
            </w:r>
            <w:r w:rsidRPr="00CB2133">
              <w:rPr>
                <w:rFonts w:eastAsia="Calibri"/>
                <w:noProof/>
                <w:sz w:val="22"/>
                <w:szCs w:val="22"/>
                <w:lang w:eastAsia="en-US"/>
              </w:rPr>
              <w:t xml:space="preserve"> </w:t>
            </w:r>
            <w:r w:rsidRPr="00CB2133">
              <w:rPr>
                <w:rFonts w:eastAsia="Calibri"/>
                <w:noProof/>
                <w:szCs w:val="22"/>
                <w:lang w:eastAsia="en-US"/>
              </w:rPr>
              <w:br/>
            </w:r>
            <w:r w:rsidRPr="00CB2133">
              <w:rPr>
                <w:rFonts w:eastAsia="Calibri"/>
                <w:noProof/>
                <w:sz w:val="22"/>
                <w:szCs w:val="22"/>
                <w:lang w:eastAsia="en-US"/>
              </w:rPr>
              <w:t>(4-(1,1′,3,3′-tetrametüülbutüül)fenool)</w:t>
            </w:r>
          </w:p>
        </w:tc>
        <w:tc>
          <w:tcPr>
            <w:tcW w:w="1329" w:type="dxa"/>
            <w:gridSpan w:val="3"/>
            <w:tcMar>
              <w:left w:w="28" w:type="dxa"/>
              <w:right w:w="28" w:type="dxa"/>
            </w:tcMar>
          </w:tcPr>
          <w:p w14:paraId="1872F66F"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0D64B1A1"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140-66-9</w:t>
            </w:r>
          </w:p>
        </w:tc>
        <w:tc>
          <w:tcPr>
            <w:tcW w:w="1134" w:type="dxa"/>
          </w:tcPr>
          <w:p w14:paraId="6AFF34E5"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205-426-2</w:t>
            </w:r>
          </w:p>
        </w:tc>
        <w:tc>
          <w:tcPr>
            <w:tcW w:w="1279" w:type="dxa"/>
            <w:gridSpan w:val="2"/>
            <w:tcMar>
              <w:left w:w="28" w:type="dxa"/>
              <w:right w:w="28" w:type="dxa"/>
            </w:tcMar>
          </w:tcPr>
          <w:p w14:paraId="5B9D1300"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0,1</w:t>
            </w:r>
          </w:p>
        </w:tc>
        <w:tc>
          <w:tcPr>
            <w:tcW w:w="1279" w:type="dxa"/>
            <w:gridSpan w:val="2"/>
            <w:tcMar>
              <w:left w:w="28" w:type="dxa"/>
              <w:right w:w="28" w:type="dxa"/>
            </w:tcMar>
          </w:tcPr>
          <w:p w14:paraId="33EED0BA"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0,01</w:t>
            </w:r>
          </w:p>
        </w:tc>
        <w:tc>
          <w:tcPr>
            <w:tcW w:w="1277" w:type="dxa"/>
            <w:gridSpan w:val="2"/>
            <w:tcMar>
              <w:left w:w="28" w:type="dxa"/>
              <w:right w:w="28" w:type="dxa"/>
            </w:tcMar>
          </w:tcPr>
          <w:p w14:paraId="6BCA2E5C"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46616181"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20E662DD" w14:textId="77777777" w:rsidR="00C45ED4" w:rsidRPr="00CB2133" w:rsidRDefault="00C45ED4" w:rsidP="00C45ED4">
            <w:pPr>
              <w:keepNext/>
              <w:widowControl/>
              <w:spacing w:before="40" w:after="40"/>
              <w:rPr>
                <w:rFonts w:eastAsia="Calibri"/>
                <w:noProof/>
                <w:sz w:val="22"/>
                <w:szCs w:val="22"/>
                <w:lang w:eastAsia="en-US"/>
              </w:rPr>
            </w:pPr>
          </w:p>
        </w:tc>
        <w:tc>
          <w:tcPr>
            <w:tcW w:w="1262" w:type="dxa"/>
            <w:tcMar>
              <w:left w:w="28" w:type="dxa"/>
              <w:right w:w="28" w:type="dxa"/>
            </w:tcMar>
          </w:tcPr>
          <w:p w14:paraId="416B7953"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531A321A" w14:textId="77777777" w:rsidR="00C45ED4" w:rsidRPr="00CB2133" w:rsidRDefault="00C45ED4" w:rsidP="00C45ED4">
            <w:pPr>
              <w:keepNext/>
              <w:widowControl/>
              <w:spacing w:before="40" w:after="40"/>
              <w:rPr>
                <w:rFonts w:eastAsia="Calibri"/>
                <w:noProof/>
                <w:sz w:val="22"/>
                <w:szCs w:val="22"/>
                <w:lang w:eastAsia="en-US"/>
              </w:rPr>
            </w:pPr>
          </w:p>
        </w:tc>
        <w:tc>
          <w:tcPr>
            <w:tcW w:w="970" w:type="dxa"/>
            <w:tcMar>
              <w:left w:w="28" w:type="dxa"/>
              <w:right w:w="28" w:type="dxa"/>
            </w:tcMar>
          </w:tcPr>
          <w:p w14:paraId="2F00FE31" w14:textId="77777777" w:rsidR="00C45ED4" w:rsidRPr="00CB2133" w:rsidRDefault="00C45ED4" w:rsidP="00C45ED4">
            <w:pPr>
              <w:keepNext/>
              <w:widowControl/>
              <w:spacing w:before="40" w:after="40"/>
              <w:rPr>
                <w:rFonts w:eastAsia="Calibri"/>
                <w:noProof/>
                <w:sz w:val="22"/>
                <w:szCs w:val="22"/>
                <w:lang w:eastAsia="en-US"/>
              </w:rPr>
            </w:pPr>
          </w:p>
        </w:tc>
      </w:tr>
      <w:tr w:rsidR="00C45ED4" w:rsidRPr="00CB2133" w14:paraId="2EF05971" w14:textId="77777777" w:rsidTr="000238DA">
        <w:trPr>
          <w:gridBefore w:val="1"/>
          <w:wBefore w:w="11" w:type="dxa"/>
          <w:cantSplit/>
          <w:tblHeader/>
          <w:jc w:val="center"/>
        </w:trPr>
        <w:tc>
          <w:tcPr>
            <w:tcW w:w="649" w:type="dxa"/>
            <w:gridSpan w:val="3"/>
            <w:tcMar>
              <w:left w:w="28" w:type="dxa"/>
              <w:right w:w="28" w:type="dxa"/>
            </w:tcMar>
          </w:tcPr>
          <w:p w14:paraId="12FB03B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(26)</w:t>
            </w:r>
          </w:p>
        </w:tc>
        <w:tc>
          <w:tcPr>
            <w:tcW w:w="2286" w:type="dxa"/>
            <w:gridSpan w:val="3"/>
            <w:tcMar>
              <w:left w:w="28" w:type="dxa"/>
              <w:right w:w="28" w:type="dxa"/>
            </w:tcMar>
          </w:tcPr>
          <w:p w14:paraId="42C93A9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Pentaklorobenseen</w:t>
            </w:r>
          </w:p>
        </w:tc>
        <w:tc>
          <w:tcPr>
            <w:tcW w:w="1329" w:type="dxa"/>
            <w:gridSpan w:val="3"/>
            <w:tcMar>
              <w:left w:w="28" w:type="dxa"/>
              <w:right w:w="28" w:type="dxa"/>
            </w:tcMar>
          </w:tcPr>
          <w:p w14:paraId="3CD9DA3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0C96747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608-93-5</w:t>
            </w:r>
          </w:p>
        </w:tc>
        <w:tc>
          <w:tcPr>
            <w:tcW w:w="1134" w:type="dxa"/>
          </w:tcPr>
          <w:p w14:paraId="02FF8B7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210-172-0</w:t>
            </w:r>
          </w:p>
        </w:tc>
        <w:tc>
          <w:tcPr>
            <w:tcW w:w="1279" w:type="dxa"/>
            <w:gridSpan w:val="2"/>
            <w:tcMar>
              <w:left w:w="28" w:type="dxa"/>
              <w:right w:w="28" w:type="dxa"/>
            </w:tcMar>
          </w:tcPr>
          <w:p w14:paraId="20964CF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0,007</w:t>
            </w:r>
          </w:p>
        </w:tc>
        <w:tc>
          <w:tcPr>
            <w:tcW w:w="1279" w:type="dxa"/>
            <w:gridSpan w:val="2"/>
            <w:tcMar>
              <w:left w:w="28" w:type="dxa"/>
              <w:right w:w="28" w:type="dxa"/>
            </w:tcMar>
          </w:tcPr>
          <w:p w14:paraId="411284E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0,0007</w:t>
            </w:r>
          </w:p>
        </w:tc>
        <w:tc>
          <w:tcPr>
            <w:tcW w:w="1277" w:type="dxa"/>
            <w:gridSpan w:val="2"/>
            <w:tcMar>
              <w:left w:w="28" w:type="dxa"/>
              <w:right w:w="28" w:type="dxa"/>
            </w:tcMar>
          </w:tcPr>
          <w:p w14:paraId="7E8284F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7033BDC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0C04C1EE"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D908F5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1DD6F7AF"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5AE8C59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111268CE" w14:textId="77777777" w:rsidTr="000238DA">
        <w:trPr>
          <w:gridBefore w:val="1"/>
          <w:wBefore w:w="11" w:type="dxa"/>
          <w:cantSplit/>
          <w:tblHeader/>
          <w:jc w:val="center"/>
        </w:trPr>
        <w:tc>
          <w:tcPr>
            <w:tcW w:w="649" w:type="dxa"/>
            <w:gridSpan w:val="3"/>
            <w:tcMar>
              <w:left w:w="28" w:type="dxa"/>
              <w:right w:w="28" w:type="dxa"/>
            </w:tcMar>
          </w:tcPr>
          <w:p w14:paraId="55A4110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(27)</w:t>
            </w:r>
          </w:p>
        </w:tc>
        <w:tc>
          <w:tcPr>
            <w:tcW w:w="2286" w:type="dxa"/>
            <w:gridSpan w:val="3"/>
            <w:tcMar>
              <w:left w:w="28" w:type="dxa"/>
              <w:right w:w="28" w:type="dxa"/>
            </w:tcMar>
          </w:tcPr>
          <w:p w14:paraId="122D1BB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Pentaklorofenool</w:t>
            </w:r>
          </w:p>
        </w:tc>
        <w:tc>
          <w:tcPr>
            <w:tcW w:w="1329" w:type="dxa"/>
            <w:gridSpan w:val="3"/>
            <w:tcMar>
              <w:left w:w="28" w:type="dxa"/>
              <w:right w:w="28" w:type="dxa"/>
            </w:tcMar>
          </w:tcPr>
          <w:p w14:paraId="678E33B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55620E2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87-86-5</w:t>
            </w:r>
          </w:p>
        </w:tc>
        <w:tc>
          <w:tcPr>
            <w:tcW w:w="1134" w:type="dxa"/>
          </w:tcPr>
          <w:p w14:paraId="2DC6BE5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201-778-6</w:t>
            </w:r>
          </w:p>
        </w:tc>
        <w:tc>
          <w:tcPr>
            <w:tcW w:w="1279" w:type="dxa"/>
            <w:gridSpan w:val="2"/>
            <w:tcMar>
              <w:left w:w="28" w:type="dxa"/>
              <w:right w:w="28" w:type="dxa"/>
            </w:tcMar>
          </w:tcPr>
          <w:p w14:paraId="3C821D2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0,4</w:t>
            </w:r>
          </w:p>
        </w:tc>
        <w:tc>
          <w:tcPr>
            <w:tcW w:w="1279" w:type="dxa"/>
            <w:gridSpan w:val="2"/>
            <w:tcMar>
              <w:left w:w="28" w:type="dxa"/>
              <w:right w:w="28" w:type="dxa"/>
            </w:tcMar>
          </w:tcPr>
          <w:p w14:paraId="66A618F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0,4</w:t>
            </w:r>
          </w:p>
        </w:tc>
        <w:tc>
          <w:tcPr>
            <w:tcW w:w="1277" w:type="dxa"/>
            <w:gridSpan w:val="2"/>
            <w:tcMar>
              <w:left w:w="28" w:type="dxa"/>
              <w:right w:w="28" w:type="dxa"/>
            </w:tcMar>
          </w:tcPr>
          <w:p w14:paraId="0D17CE5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w:t>
            </w:r>
          </w:p>
        </w:tc>
        <w:tc>
          <w:tcPr>
            <w:tcW w:w="1276" w:type="dxa"/>
            <w:gridSpan w:val="2"/>
            <w:tcMar>
              <w:left w:w="28" w:type="dxa"/>
              <w:right w:w="28" w:type="dxa"/>
            </w:tcMar>
          </w:tcPr>
          <w:p w14:paraId="65538B9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w:t>
            </w:r>
          </w:p>
        </w:tc>
        <w:tc>
          <w:tcPr>
            <w:tcW w:w="1135" w:type="dxa"/>
            <w:gridSpan w:val="2"/>
            <w:tcMar>
              <w:left w:w="28" w:type="dxa"/>
              <w:right w:w="28" w:type="dxa"/>
            </w:tcMar>
          </w:tcPr>
          <w:p w14:paraId="511EEB3C"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A332C4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08372EBD"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4808B4F1"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521D0B52" w14:textId="77777777" w:rsidTr="000238DA">
        <w:trPr>
          <w:gridBefore w:val="1"/>
          <w:wBefore w:w="11" w:type="dxa"/>
          <w:cantSplit/>
          <w:tblHeader/>
          <w:jc w:val="center"/>
        </w:trPr>
        <w:tc>
          <w:tcPr>
            <w:tcW w:w="649" w:type="dxa"/>
            <w:gridSpan w:val="3"/>
            <w:tcMar>
              <w:left w:w="28" w:type="dxa"/>
              <w:right w:w="28" w:type="dxa"/>
            </w:tcMar>
          </w:tcPr>
          <w:p w14:paraId="0A4B65DB"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(28)</w:t>
            </w:r>
          </w:p>
        </w:tc>
        <w:tc>
          <w:tcPr>
            <w:tcW w:w="2286" w:type="dxa"/>
            <w:gridSpan w:val="3"/>
            <w:tcMar>
              <w:left w:w="28" w:type="dxa"/>
              <w:right w:w="28" w:type="dxa"/>
            </w:tcMar>
          </w:tcPr>
          <w:p w14:paraId="098F2CD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Polütsüklilised aromaatsed süsivesinikud</w:t>
            </w:r>
            <w:r w:rsidRPr="00CB2133">
              <w:rPr>
                <w:rFonts w:eastAsia="Calibri"/>
                <w:noProof/>
                <w:sz w:val="22"/>
                <w:szCs w:val="22"/>
                <w:vertAlign w:val="superscript"/>
                <w:lang w:eastAsia="en-US"/>
              </w:rPr>
              <w:t>(16)</w:t>
            </w:r>
          </w:p>
        </w:tc>
        <w:tc>
          <w:tcPr>
            <w:tcW w:w="1329" w:type="dxa"/>
            <w:gridSpan w:val="3"/>
            <w:tcMar>
              <w:left w:w="28" w:type="dxa"/>
              <w:right w:w="28" w:type="dxa"/>
            </w:tcMar>
          </w:tcPr>
          <w:p w14:paraId="54B738D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Põlemissaadused</w:t>
            </w:r>
          </w:p>
        </w:tc>
        <w:tc>
          <w:tcPr>
            <w:tcW w:w="992" w:type="dxa"/>
            <w:gridSpan w:val="2"/>
            <w:tcMar>
              <w:left w:w="28" w:type="dxa"/>
              <w:right w:w="28" w:type="dxa"/>
            </w:tcMar>
          </w:tcPr>
          <w:p w14:paraId="140CBE6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4" w:type="dxa"/>
          </w:tcPr>
          <w:p w14:paraId="47F0C8D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7B5590A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1C9B71D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7" w:type="dxa"/>
            <w:gridSpan w:val="2"/>
            <w:tcMar>
              <w:left w:w="28" w:type="dxa"/>
              <w:right w:w="28" w:type="dxa"/>
            </w:tcMar>
          </w:tcPr>
          <w:p w14:paraId="126B4C3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39572D7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607858D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Benso[</w:t>
            </w:r>
            <w:r w:rsidRPr="00CB2133">
              <w:rPr>
                <w:rFonts w:eastAsia="Calibri"/>
                <w:i/>
                <w:iCs/>
                <w:noProof/>
                <w:sz w:val="22"/>
                <w:szCs w:val="22"/>
                <w:lang w:eastAsia="en-US"/>
              </w:rPr>
              <w:t>a</w:t>
            </w:r>
            <w:r w:rsidRPr="00CB2133">
              <w:rPr>
                <w:rFonts w:eastAsia="Calibri"/>
                <w:noProof/>
                <w:sz w:val="22"/>
                <w:szCs w:val="22"/>
                <w:lang w:eastAsia="en-US"/>
              </w:rPr>
              <w:t>]püreeni ekvivalentide summa: [0,6]</w:t>
            </w:r>
            <w:r w:rsidRPr="00CB2133">
              <w:rPr>
                <w:rFonts w:eastAsia="Calibri"/>
                <w:noProof/>
                <w:sz w:val="22"/>
                <w:szCs w:val="22"/>
                <w:vertAlign w:val="superscript"/>
                <w:lang w:eastAsia="en-US"/>
              </w:rPr>
              <w:t>(17)</w:t>
            </w:r>
          </w:p>
        </w:tc>
        <w:tc>
          <w:tcPr>
            <w:tcW w:w="1262" w:type="dxa"/>
            <w:tcMar>
              <w:left w:w="28" w:type="dxa"/>
              <w:right w:w="28" w:type="dxa"/>
            </w:tcMar>
          </w:tcPr>
          <w:p w14:paraId="03F520C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X </w:t>
            </w:r>
          </w:p>
        </w:tc>
        <w:tc>
          <w:tcPr>
            <w:tcW w:w="1154" w:type="dxa"/>
            <w:gridSpan w:val="2"/>
            <w:tcMar>
              <w:left w:w="28" w:type="dxa"/>
              <w:right w:w="28" w:type="dxa"/>
            </w:tcMar>
          </w:tcPr>
          <w:p w14:paraId="6DF8132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61032E8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44DDC127" w14:textId="77777777" w:rsidTr="000238DA">
        <w:trPr>
          <w:gridBefore w:val="1"/>
          <w:wBefore w:w="11" w:type="dxa"/>
          <w:cantSplit/>
          <w:tblHeader/>
          <w:jc w:val="center"/>
        </w:trPr>
        <w:tc>
          <w:tcPr>
            <w:tcW w:w="649" w:type="dxa"/>
            <w:gridSpan w:val="3"/>
            <w:vMerge w:val="restart"/>
            <w:tcMar>
              <w:left w:w="28" w:type="dxa"/>
              <w:right w:w="28" w:type="dxa"/>
            </w:tcMar>
          </w:tcPr>
          <w:p w14:paraId="3F48228E"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4D626C4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Benso[</w:t>
            </w:r>
            <w:r w:rsidRPr="00CB2133">
              <w:rPr>
                <w:rFonts w:eastAsia="Calibri"/>
                <w:i/>
                <w:iCs/>
                <w:noProof/>
                <w:sz w:val="22"/>
                <w:szCs w:val="22"/>
                <w:lang w:eastAsia="en-US"/>
              </w:rPr>
              <w:t>a</w:t>
            </w:r>
            <w:r w:rsidRPr="00CB2133">
              <w:rPr>
                <w:rFonts w:eastAsia="Calibri"/>
                <w:noProof/>
                <w:sz w:val="22"/>
                <w:szCs w:val="22"/>
                <w:lang w:eastAsia="en-US"/>
              </w:rPr>
              <w:t>]püreen</w:t>
            </w:r>
          </w:p>
        </w:tc>
        <w:tc>
          <w:tcPr>
            <w:tcW w:w="1329" w:type="dxa"/>
            <w:gridSpan w:val="3"/>
            <w:tcMar>
              <w:left w:w="28" w:type="dxa"/>
              <w:right w:w="28" w:type="dxa"/>
            </w:tcMar>
          </w:tcPr>
          <w:p w14:paraId="53E13064"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010A608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50-32-8</w:t>
            </w:r>
          </w:p>
        </w:tc>
        <w:tc>
          <w:tcPr>
            <w:tcW w:w="1134" w:type="dxa"/>
            <w:shd w:val="clear" w:color="auto" w:fill="auto"/>
          </w:tcPr>
          <w:p w14:paraId="062683C6" w14:textId="77777777" w:rsidR="00C45ED4" w:rsidRPr="00CB2133" w:rsidRDefault="00C45ED4" w:rsidP="00C45ED4">
            <w:pPr>
              <w:widowControl/>
              <w:spacing w:before="40" w:after="40"/>
              <w:rPr>
                <w:rFonts w:eastAsia="Calibri"/>
                <w:bCs/>
                <w:noProof/>
                <w:sz w:val="22"/>
                <w:szCs w:val="22"/>
                <w:lang w:eastAsia="en-US"/>
              </w:rPr>
            </w:pPr>
            <w:r w:rsidRPr="00CB2133">
              <w:rPr>
                <w:rFonts w:eastAsia="Calibri"/>
                <w:noProof/>
                <w:sz w:val="22"/>
                <w:szCs w:val="22"/>
                <w:lang w:eastAsia="en-US"/>
              </w:rPr>
              <w:t>200-028-5</w:t>
            </w:r>
          </w:p>
        </w:tc>
        <w:tc>
          <w:tcPr>
            <w:tcW w:w="1279" w:type="dxa"/>
            <w:gridSpan w:val="2"/>
            <w:shd w:val="clear" w:color="auto" w:fill="auto"/>
            <w:tcMar>
              <w:left w:w="28" w:type="dxa"/>
              <w:right w:w="28" w:type="dxa"/>
            </w:tcMar>
          </w:tcPr>
          <w:p w14:paraId="0E99FD27" w14:textId="77777777" w:rsidR="00C45ED4" w:rsidRPr="00CB2133" w:rsidRDefault="00C45ED4" w:rsidP="00C45ED4">
            <w:pPr>
              <w:widowControl/>
              <w:spacing w:before="40" w:after="40"/>
              <w:rPr>
                <w:rFonts w:eastAsia="Calibri"/>
                <w:bCs/>
                <w:noProof/>
                <w:sz w:val="22"/>
                <w:szCs w:val="22"/>
                <w:vertAlign w:val="superscript"/>
                <w:lang w:eastAsia="en-US"/>
              </w:rPr>
            </w:pPr>
          </w:p>
        </w:tc>
        <w:tc>
          <w:tcPr>
            <w:tcW w:w="1279" w:type="dxa"/>
            <w:gridSpan w:val="2"/>
            <w:shd w:val="clear" w:color="auto" w:fill="auto"/>
            <w:tcMar>
              <w:left w:w="28" w:type="dxa"/>
              <w:right w:w="28" w:type="dxa"/>
            </w:tcMar>
          </w:tcPr>
          <w:p w14:paraId="44918550" w14:textId="77777777" w:rsidR="00C45ED4" w:rsidRPr="00CB2133" w:rsidRDefault="00C45ED4" w:rsidP="00C45ED4">
            <w:pPr>
              <w:widowControl/>
              <w:spacing w:before="40" w:after="40"/>
              <w:rPr>
                <w:rFonts w:eastAsia="Calibri"/>
                <w:bCs/>
                <w:noProof/>
                <w:sz w:val="22"/>
                <w:szCs w:val="22"/>
                <w:lang w:eastAsia="en-US"/>
              </w:rPr>
            </w:pPr>
          </w:p>
        </w:tc>
        <w:tc>
          <w:tcPr>
            <w:tcW w:w="1277" w:type="dxa"/>
            <w:gridSpan w:val="2"/>
            <w:tcMar>
              <w:left w:w="28" w:type="dxa"/>
              <w:right w:w="28" w:type="dxa"/>
            </w:tcMar>
          </w:tcPr>
          <w:p w14:paraId="1DB414DA" w14:textId="77777777" w:rsidR="00C45ED4" w:rsidRPr="00CB2133" w:rsidRDefault="00C45ED4" w:rsidP="00C45ED4">
            <w:pPr>
              <w:widowControl/>
              <w:spacing w:before="40" w:after="40"/>
              <w:rPr>
                <w:rFonts w:eastAsia="Calibri"/>
                <w:bCs/>
                <w:noProof/>
                <w:sz w:val="22"/>
                <w:szCs w:val="22"/>
                <w:lang w:eastAsia="en-US"/>
              </w:rPr>
            </w:pPr>
            <w:r w:rsidRPr="00CB2133">
              <w:rPr>
                <w:rFonts w:eastAsia="Calibri"/>
                <w:noProof/>
                <w:sz w:val="22"/>
                <w:szCs w:val="22"/>
                <w:lang w:eastAsia="en-US"/>
              </w:rPr>
              <w:t>0,27</w:t>
            </w:r>
          </w:p>
        </w:tc>
        <w:tc>
          <w:tcPr>
            <w:tcW w:w="1276" w:type="dxa"/>
            <w:gridSpan w:val="2"/>
            <w:tcMar>
              <w:left w:w="28" w:type="dxa"/>
              <w:right w:w="28" w:type="dxa"/>
            </w:tcMar>
          </w:tcPr>
          <w:p w14:paraId="2090C37E" w14:textId="77777777" w:rsidR="00C45ED4" w:rsidRPr="00CB2133" w:rsidRDefault="00C45ED4" w:rsidP="00C45ED4">
            <w:pPr>
              <w:widowControl/>
              <w:spacing w:before="40" w:after="40"/>
              <w:rPr>
                <w:rFonts w:eastAsia="Calibri"/>
                <w:bCs/>
                <w:noProof/>
                <w:sz w:val="22"/>
                <w:szCs w:val="22"/>
                <w:lang w:eastAsia="en-US"/>
              </w:rPr>
            </w:pPr>
            <w:r w:rsidRPr="00CB2133">
              <w:rPr>
                <w:rFonts w:eastAsia="Calibri"/>
                <w:noProof/>
                <w:sz w:val="22"/>
                <w:szCs w:val="22"/>
                <w:lang w:eastAsia="en-US"/>
              </w:rPr>
              <w:t>0,027</w:t>
            </w:r>
          </w:p>
        </w:tc>
        <w:tc>
          <w:tcPr>
            <w:tcW w:w="1135" w:type="dxa"/>
            <w:gridSpan w:val="2"/>
            <w:tcMar>
              <w:left w:w="28" w:type="dxa"/>
              <w:right w:w="28" w:type="dxa"/>
            </w:tcMar>
          </w:tcPr>
          <w:p w14:paraId="6CA87982" w14:textId="77777777" w:rsidR="00C45ED4" w:rsidRPr="00CB2133" w:rsidRDefault="00C45ED4" w:rsidP="00C45ED4">
            <w:pPr>
              <w:widowControl/>
              <w:spacing w:before="40" w:after="40"/>
              <w:rPr>
                <w:rFonts w:eastAsia="Calibri"/>
                <w:b/>
                <w:bCs/>
                <w:i/>
                <w:noProof/>
                <w:sz w:val="22"/>
                <w:szCs w:val="22"/>
                <w:lang w:eastAsia="en-US"/>
              </w:rPr>
            </w:pPr>
            <w:bookmarkStart w:id="25" w:name="_DV_C335"/>
            <w:r w:rsidRPr="00CB2133">
              <w:rPr>
                <w:rFonts w:eastAsia="Calibri"/>
                <w:noProof/>
                <w:sz w:val="22"/>
                <w:szCs w:val="22"/>
                <w:lang w:eastAsia="en-US"/>
              </w:rPr>
              <w:t>[0,6</w:t>
            </w:r>
            <w:bookmarkEnd w:id="25"/>
            <w:r w:rsidRPr="00CB2133">
              <w:rPr>
                <w:rFonts w:eastAsia="Calibri"/>
                <w:noProof/>
                <w:sz w:val="22"/>
                <w:szCs w:val="22"/>
                <w:lang w:eastAsia="en-US"/>
              </w:rPr>
              <w:t>]</w:t>
            </w:r>
          </w:p>
        </w:tc>
        <w:tc>
          <w:tcPr>
            <w:tcW w:w="1262" w:type="dxa"/>
            <w:tcMar>
              <w:left w:w="28" w:type="dxa"/>
              <w:right w:w="28" w:type="dxa"/>
            </w:tcMar>
          </w:tcPr>
          <w:p w14:paraId="164A6E09" w14:textId="77777777" w:rsidR="00C45ED4" w:rsidRPr="00CB2133" w:rsidRDefault="00C45ED4" w:rsidP="00C45ED4">
            <w:pPr>
              <w:widowControl/>
              <w:spacing w:before="40" w:after="40"/>
              <w:rPr>
                <w:rFonts w:eastAsia="Calibri"/>
                <w:bCs/>
                <w:iCs/>
                <w:noProof/>
                <w:sz w:val="22"/>
                <w:szCs w:val="22"/>
                <w:lang w:eastAsia="en-US"/>
              </w:rPr>
            </w:pPr>
          </w:p>
        </w:tc>
        <w:tc>
          <w:tcPr>
            <w:tcW w:w="1154" w:type="dxa"/>
            <w:gridSpan w:val="2"/>
            <w:tcMar>
              <w:left w:w="28" w:type="dxa"/>
              <w:right w:w="28" w:type="dxa"/>
            </w:tcMar>
          </w:tcPr>
          <w:p w14:paraId="406C01D9" w14:textId="77777777" w:rsidR="00C45ED4" w:rsidRPr="00CB2133" w:rsidRDefault="00C45ED4" w:rsidP="00C45ED4">
            <w:pPr>
              <w:widowControl/>
              <w:spacing w:before="40" w:after="40"/>
              <w:rPr>
                <w:rFonts w:eastAsia="Calibri"/>
                <w:bCs/>
                <w:iCs/>
                <w:strike/>
                <w:noProof/>
                <w:sz w:val="22"/>
                <w:szCs w:val="22"/>
                <w:lang w:eastAsia="en-US"/>
              </w:rPr>
            </w:pPr>
          </w:p>
        </w:tc>
        <w:tc>
          <w:tcPr>
            <w:tcW w:w="970" w:type="dxa"/>
            <w:tcMar>
              <w:left w:w="28" w:type="dxa"/>
              <w:right w:w="28" w:type="dxa"/>
            </w:tcMar>
          </w:tcPr>
          <w:p w14:paraId="0A8FAC9D" w14:textId="77777777" w:rsidR="00C45ED4" w:rsidRPr="00CB2133" w:rsidRDefault="00C45ED4" w:rsidP="00C45ED4">
            <w:pPr>
              <w:widowControl/>
              <w:spacing w:before="40" w:after="40"/>
              <w:rPr>
                <w:rFonts w:eastAsia="Calibri"/>
                <w:bCs/>
                <w:iCs/>
                <w:strike/>
                <w:noProof/>
                <w:sz w:val="22"/>
                <w:szCs w:val="22"/>
                <w:lang w:eastAsia="en-US"/>
              </w:rPr>
            </w:pPr>
          </w:p>
        </w:tc>
      </w:tr>
      <w:tr w:rsidR="00C45ED4" w:rsidRPr="00CB2133" w14:paraId="2BA7EB09" w14:textId="77777777" w:rsidTr="000238DA">
        <w:trPr>
          <w:gridBefore w:val="1"/>
          <w:wBefore w:w="11" w:type="dxa"/>
          <w:cantSplit/>
          <w:tblHeader/>
          <w:jc w:val="center"/>
        </w:trPr>
        <w:tc>
          <w:tcPr>
            <w:tcW w:w="649" w:type="dxa"/>
            <w:gridSpan w:val="3"/>
            <w:vMerge/>
            <w:tcMar>
              <w:left w:w="28" w:type="dxa"/>
              <w:right w:w="28" w:type="dxa"/>
            </w:tcMar>
          </w:tcPr>
          <w:p w14:paraId="0A47BEE7"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D734D3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Benso[</w:t>
            </w:r>
            <w:r w:rsidRPr="00CB2133">
              <w:rPr>
                <w:rFonts w:eastAsia="Calibri"/>
                <w:i/>
                <w:iCs/>
                <w:noProof/>
                <w:sz w:val="22"/>
                <w:szCs w:val="22"/>
                <w:lang w:eastAsia="en-US"/>
              </w:rPr>
              <w:t>b</w:t>
            </w:r>
            <w:r w:rsidRPr="00CB2133">
              <w:rPr>
                <w:rFonts w:eastAsia="Calibri"/>
                <w:noProof/>
                <w:sz w:val="22"/>
                <w:szCs w:val="22"/>
                <w:lang w:eastAsia="en-US"/>
              </w:rPr>
              <w:t>]fluoranteen</w:t>
            </w:r>
          </w:p>
        </w:tc>
        <w:tc>
          <w:tcPr>
            <w:tcW w:w="1329" w:type="dxa"/>
            <w:gridSpan w:val="3"/>
            <w:tcMar>
              <w:left w:w="28" w:type="dxa"/>
              <w:right w:w="28" w:type="dxa"/>
            </w:tcMar>
          </w:tcPr>
          <w:p w14:paraId="4B65A0F4"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14DC7B3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205-99-2</w:t>
            </w:r>
          </w:p>
        </w:tc>
        <w:tc>
          <w:tcPr>
            <w:tcW w:w="1134" w:type="dxa"/>
          </w:tcPr>
          <w:p w14:paraId="696EFCBC" w14:textId="77777777" w:rsidR="00C45ED4" w:rsidRPr="00CB2133" w:rsidDel="00BD2DD7"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205-911-9</w:t>
            </w:r>
          </w:p>
        </w:tc>
        <w:tc>
          <w:tcPr>
            <w:tcW w:w="1279" w:type="dxa"/>
            <w:gridSpan w:val="2"/>
            <w:tcMar>
              <w:left w:w="28" w:type="dxa"/>
              <w:right w:w="28" w:type="dxa"/>
            </w:tcMar>
          </w:tcPr>
          <w:p w14:paraId="61E2B4C0" w14:textId="77777777" w:rsidR="00C45ED4" w:rsidRPr="00CB2133" w:rsidRDefault="00C45ED4" w:rsidP="00C45ED4">
            <w:pPr>
              <w:widowControl/>
              <w:spacing w:before="40" w:after="40"/>
              <w:rPr>
                <w:rFonts w:eastAsia="Calibri"/>
                <w:b/>
                <w:i/>
                <w:noProof/>
                <w:sz w:val="22"/>
                <w:szCs w:val="22"/>
                <w:lang w:eastAsia="en-US"/>
              </w:rPr>
            </w:pPr>
          </w:p>
        </w:tc>
        <w:tc>
          <w:tcPr>
            <w:tcW w:w="1279" w:type="dxa"/>
            <w:gridSpan w:val="2"/>
            <w:tcMar>
              <w:left w:w="28" w:type="dxa"/>
              <w:right w:w="28" w:type="dxa"/>
            </w:tcMar>
          </w:tcPr>
          <w:p w14:paraId="513D1EA3" w14:textId="77777777" w:rsidR="00C45ED4" w:rsidRPr="00CB2133" w:rsidRDefault="00C45ED4" w:rsidP="00C45ED4">
            <w:pPr>
              <w:widowControl/>
              <w:spacing w:before="40" w:after="40"/>
              <w:rPr>
                <w:rFonts w:eastAsia="Calibri"/>
                <w:b/>
                <w:i/>
                <w:noProof/>
                <w:sz w:val="22"/>
                <w:szCs w:val="22"/>
                <w:lang w:eastAsia="en-US"/>
              </w:rPr>
            </w:pPr>
          </w:p>
        </w:tc>
        <w:tc>
          <w:tcPr>
            <w:tcW w:w="1277" w:type="dxa"/>
            <w:gridSpan w:val="2"/>
            <w:tcMar>
              <w:left w:w="28" w:type="dxa"/>
              <w:right w:w="28" w:type="dxa"/>
            </w:tcMar>
          </w:tcPr>
          <w:p w14:paraId="30CD3AD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0,017</w:t>
            </w:r>
          </w:p>
        </w:tc>
        <w:tc>
          <w:tcPr>
            <w:tcW w:w="1276" w:type="dxa"/>
            <w:gridSpan w:val="2"/>
            <w:tcMar>
              <w:left w:w="28" w:type="dxa"/>
              <w:right w:w="28" w:type="dxa"/>
            </w:tcMar>
          </w:tcPr>
          <w:p w14:paraId="4C572BF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0,017</w:t>
            </w:r>
          </w:p>
        </w:tc>
        <w:tc>
          <w:tcPr>
            <w:tcW w:w="1135" w:type="dxa"/>
            <w:gridSpan w:val="2"/>
            <w:tcMar>
              <w:left w:w="28" w:type="dxa"/>
              <w:right w:w="28" w:type="dxa"/>
            </w:tcMar>
          </w:tcPr>
          <w:p w14:paraId="473E5EBF" w14:textId="77777777" w:rsidR="00C45ED4" w:rsidRPr="00CB2133" w:rsidRDefault="00C45ED4" w:rsidP="00C45ED4">
            <w:pPr>
              <w:widowControl/>
              <w:spacing w:before="40" w:after="40"/>
              <w:rPr>
                <w:rFonts w:eastAsia="Calibri"/>
                <w:b/>
                <w:noProof/>
                <w:sz w:val="22"/>
                <w:szCs w:val="22"/>
                <w:lang w:eastAsia="en-US"/>
              </w:rPr>
            </w:pPr>
            <w:bookmarkStart w:id="26" w:name="_DV_C338"/>
            <w:r w:rsidRPr="00CB2133">
              <w:rPr>
                <w:rFonts w:eastAsia="Calibri"/>
                <w:noProof/>
                <w:sz w:val="22"/>
                <w:szCs w:val="22"/>
                <w:lang w:eastAsia="en-US"/>
              </w:rPr>
              <w:t xml:space="preserve">Vt joonealune märkus </w:t>
            </w:r>
            <w:bookmarkEnd w:id="26"/>
            <w:r w:rsidRPr="00CB2133">
              <w:rPr>
                <w:rFonts w:eastAsia="Calibri"/>
                <w:noProof/>
                <w:sz w:val="22"/>
                <w:szCs w:val="22"/>
                <w:lang w:eastAsia="en-US"/>
              </w:rPr>
              <w:t>17</w:t>
            </w:r>
          </w:p>
        </w:tc>
        <w:tc>
          <w:tcPr>
            <w:tcW w:w="1262" w:type="dxa"/>
            <w:tcMar>
              <w:left w:w="28" w:type="dxa"/>
              <w:right w:w="28" w:type="dxa"/>
            </w:tcMar>
          </w:tcPr>
          <w:p w14:paraId="3EC5B22F" w14:textId="77777777" w:rsidR="00C45ED4" w:rsidRPr="00CB2133" w:rsidRDefault="00C45ED4" w:rsidP="00C45ED4">
            <w:pPr>
              <w:widowControl/>
              <w:spacing w:before="40" w:after="40"/>
              <w:rPr>
                <w:rFonts w:eastAsia="Calibri"/>
                <w:iCs/>
                <w:noProof/>
                <w:sz w:val="22"/>
                <w:szCs w:val="22"/>
                <w:lang w:eastAsia="en-US"/>
              </w:rPr>
            </w:pPr>
          </w:p>
        </w:tc>
        <w:tc>
          <w:tcPr>
            <w:tcW w:w="1154" w:type="dxa"/>
            <w:gridSpan w:val="2"/>
            <w:tcMar>
              <w:left w:w="28" w:type="dxa"/>
              <w:right w:w="28" w:type="dxa"/>
            </w:tcMar>
          </w:tcPr>
          <w:p w14:paraId="41518506"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6F6909C0"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0BF5E1A4" w14:textId="77777777" w:rsidTr="000238DA">
        <w:trPr>
          <w:gridBefore w:val="1"/>
          <w:wBefore w:w="11" w:type="dxa"/>
          <w:cantSplit/>
          <w:tblHeader/>
          <w:jc w:val="center"/>
        </w:trPr>
        <w:tc>
          <w:tcPr>
            <w:tcW w:w="649" w:type="dxa"/>
            <w:gridSpan w:val="3"/>
            <w:vMerge/>
            <w:tcMar>
              <w:left w:w="28" w:type="dxa"/>
              <w:right w:w="28" w:type="dxa"/>
            </w:tcMar>
          </w:tcPr>
          <w:p w14:paraId="63F07B7A"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1BBDF4E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Benso[</w:t>
            </w:r>
            <w:r w:rsidRPr="00CB2133">
              <w:rPr>
                <w:rFonts w:eastAsia="Calibri"/>
                <w:i/>
                <w:iCs/>
                <w:noProof/>
                <w:sz w:val="22"/>
                <w:szCs w:val="22"/>
                <w:lang w:eastAsia="en-US"/>
              </w:rPr>
              <w:t>k</w:t>
            </w:r>
            <w:r w:rsidRPr="00CB2133">
              <w:rPr>
                <w:rFonts w:eastAsia="Calibri"/>
                <w:noProof/>
                <w:sz w:val="22"/>
                <w:szCs w:val="22"/>
                <w:lang w:eastAsia="en-US"/>
              </w:rPr>
              <w:t>]fluoranteen</w:t>
            </w:r>
          </w:p>
        </w:tc>
        <w:tc>
          <w:tcPr>
            <w:tcW w:w="1329" w:type="dxa"/>
            <w:gridSpan w:val="3"/>
            <w:tcMar>
              <w:left w:w="28" w:type="dxa"/>
              <w:right w:w="28" w:type="dxa"/>
            </w:tcMar>
          </w:tcPr>
          <w:p w14:paraId="616905E0"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151358E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207-08-9</w:t>
            </w:r>
          </w:p>
        </w:tc>
        <w:tc>
          <w:tcPr>
            <w:tcW w:w="1134" w:type="dxa"/>
          </w:tcPr>
          <w:p w14:paraId="2246CA1F" w14:textId="77777777" w:rsidR="00C45ED4" w:rsidRPr="00CB2133" w:rsidDel="00BD2DD7"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205-916-6</w:t>
            </w:r>
          </w:p>
        </w:tc>
        <w:tc>
          <w:tcPr>
            <w:tcW w:w="1279" w:type="dxa"/>
            <w:gridSpan w:val="2"/>
            <w:tcMar>
              <w:left w:w="28" w:type="dxa"/>
              <w:right w:w="28" w:type="dxa"/>
            </w:tcMar>
          </w:tcPr>
          <w:p w14:paraId="10C4DB2F" w14:textId="77777777" w:rsidR="00C45ED4" w:rsidRPr="00CB2133" w:rsidRDefault="00C45ED4" w:rsidP="00C45ED4">
            <w:pPr>
              <w:widowControl/>
              <w:spacing w:before="40" w:after="40"/>
              <w:rPr>
                <w:rFonts w:eastAsia="Calibri"/>
                <w:b/>
                <w:i/>
                <w:noProof/>
                <w:sz w:val="22"/>
                <w:szCs w:val="22"/>
                <w:lang w:eastAsia="en-US"/>
              </w:rPr>
            </w:pPr>
          </w:p>
        </w:tc>
        <w:tc>
          <w:tcPr>
            <w:tcW w:w="1279" w:type="dxa"/>
            <w:gridSpan w:val="2"/>
            <w:tcMar>
              <w:left w:w="28" w:type="dxa"/>
              <w:right w:w="28" w:type="dxa"/>
            </w:tcMar>
          </w:tcPr>
          <w:p w14:paraId="6B195E55" w14:textId="77777777" w:rsidR="00C45ED4" w:rsidRPr="00CB2133" w:rsidRDefault="00C45ED4" w:rsidP="00C45ED4">
            <w:pPr>
              <w:widowControl/>
              <w:spacing w:before="40" w:after="40"/>
              <w:rPr>
                <w:rFonts w:eastAsia="Calibri"/>
                <w:b/>
                <w:i/>
                <w:noProof/>
                <w:sz w:val="22"/>
                <w:szCs w:val="22"/>
                <w:lang w:eastAsia="en-US"/>
              </w:rPr>
            </w:pPr>
          </w:p>
        </w:tc>
        <w:tc>
          <w:tcPr>
            <w:tcW w:w="1277" w:type="dxa"/>
            <w:gridSpan w:val="2"/>
            <w:tcMar>
              <w:left w:w="28" w:type="dxa"/>
              <w:right w:w="28" w:type="dxa"/>
            </w:tcMar>
          </w:tcPr>
          <w:p w14:paraId="4744CEE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0,017</w:t>
            </w:r>
          </w:p>
        </w:tc>
        <w:tc>
          <w:tcPr>
            <w:tcW w:w="1276" w:type="dxa"/>
            <w:gridSpan w:val="2"/>
            <w:tcMar>
              <w:left w:w="28" w:type="dxa"/>
              <w:right w:w="28" w:type="dxa"/>
            </w:tcMar>
          </w:tcPr>
          <w:p w14:paraId="35C3313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0,017</w:t>
            </w:r>
          </w:p>
        </w:tc>
        <w:tc>
          <w:tcPr>
            <w:tcW w:w="1135" w:type="dxa"/>
            <w:gridSpan w:val="2"/>
            <w:tcMar>
              <w:left w:w="28" w:type="dxa"/>
              <w:right w:w="28" w:type="dxa"/>
            </w:tcMar>
          </w:tcPr>
          <w:p w14:paraId="1C44D484" w14:textId="77777777" w:rsidR="00C45ED4" w:rsidRPr="00CB2133" w:rsidRDefault="00C45ED4" w:rsidP="00C45ED4">
            <w:pPr>
              <w:widowControl/>
              <w:spacing w:before="40" w:after="40"/>
              <w:rPr>
                <w:rFonts w:eastAsia="Calibri"/>
                <w:b/>
                <w:noProof/>
                <w:sz w:val="22"/>
                <w:szCs w:val="22"/>
                <w:lang w:eastAsia="en-US"/>
              </w:rPr>
            </w:pPr>
            <w:bookmarkStart w:id="27" w:name="_DV_C341"/>
            <w:r w:rsidRPr="00CB2133">
              <w:rPr>
                <w:rFonts w:eastAsia="Calibri"/>
                <w:noProof/>
                <w:sz w:val="22"/>
                <w:szCs w:val="22"/>
                <w:lang w:eastAsia="en-US"/>
              </w:rPr>
              <w:t xml:space="preserve">Vt joonealune märkus </w:t>
            </w:r>
            <w:bookmarkEnd w:id="27"/>
            <w:r w:rsidRPr="00CB2133">
              <w:rPr>
                <w:rFonts w:eastAsia="Calibri"/>
                <w:noProof/>
                <w:sz w:val="22"/>
                <w:szCs w:val="22"/>
                <w:lang w:eastAsia="en-US"/>
              </w:rPr>
              <w:t>17</w:t>
            </w:r>
          </w:p>
        </w:tc>
        <w:tc>
          <w:tcPr>
            <w:tcW w:w="1262" w:type="dxa"/>
            <w:tcMar>
              <w:left w:w="28" w:type="dxa"/>
              <w:right w:w="28" w:type="dxa"/>
            </w:tcMar>
          </w:tcPr>
          <w:p w14:paraId="1799A040" w14:textId="77777777" w:rsidR="00C45ED4" w:rsidRPr="00CB2133" w:rsidRDefault="00C45ED4" w:rsidP="00C45ED4">
            <w:pPr>
              <w:widowControl/>
              <w:spacing w:before="40" w:after="40"/>
              <w:rPr>
                <w:rFonts w:eastAsia="Calibri"/>
                <w:iCs/>
                <w:noProof/>
                <w:sz w:val="22"/>
                <w:szCs w:val="22"/>
                <w:lang w:eastAsia="en-US"/>
              </w:rPr>
            </w:pPr>
          </w:p>
        </w:tc>
        <w:tc>
          <w:tcPr>
            <w:tcW w:w="1154" w:type="dxa"/>
            <w:gridSpan w:val="2"/>
            <w:tcMar>
              <w:left w:w="28" w:type="dxa"/>
              <w:right w:w="28" w:type="dxa"/>
            </w:tcMar>
          </w:tcPr>
          <w:p w14:paraId="7BA577FC"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15F8FC5B"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7AC9126C" w14:textId="77777777" w:rsidTr="000238DA">
        <w:trPr>
          <w:gridBefore w:val="1"/>
          <w:wBefore w:w="11" w:type="dxa"/>
          <w:cantSplit/>
          <w:tblHeader/>
          <w:jc w:val="center"/>
        </w:trPr>
        <w:tc>
          <w:tcPr>
            <w:tcW w:w="649" w:type="dxa"/>
            <w:gridSpan w:val="3"/>
            <w:vMerge/>
            <w:tcMar>
              <w:left w:w="28" w:type="dxa"/>
              <w:right w:w="28" w:type="dxa"/>
            </w:tcMar>
          </w:tcPr>
          <w:p w14:paraId="72DDF4FE"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480C98C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Benso[</w:t>
            </w:r>
            <w:r w:rsidRPr="00CB2133">
              <w:rPr>
                <w:rFonts w:eastAsia="Calibri"/>
                <w:i/>
                <w:iCs/>
                <w:noProof/>
                <w:sz w:val="22"/>
                <w:szCs w:val="22"/>
                <w:lang w:eastAsia="en-US"/>
              </w:rPr>
              <w:t>g</w:t>
            </w:r>
            <w:r w:rsidRPr="00CB2133">
              <w:rPr>
                <w:rFonts w:eastAsia="Calibri"/>
                <w:noProof/>
                <w:sz w:val="22"/>
                <w:szCs w:val="22"/>
                <w:lang w:eastAsia="en-US"/>
              </w:rPr>
              <w:t>,</w:t>
            </w:r>
            <w:r w:rsidRPr="00CB2133">
              <w:rPr>
                <w:rFonts w:eastAsia="Calibri"/>
                <w:i/>
                <w:iCs/>
                <w:noProof/>
                <w:sz w:val="22"/>
                <w:szCs w:val="22"/>
                <w:lang w:eastAsia="en-US"/>
              </w:rPr>
              <w:t>h</w:t>
            </w:r>
            <w:r w:rsidRPr="00CB2133">
              <w:rPr>
                <w:rFonts w:eastAsia="Calibri"/>
                <w:noProof/>
                <w:sz w:val="22"/>
                <w:szCs w:val="22"/>
                <w:lang w:eastAsia="en-US"/>
              </w:rPr>
              <w:t>,</w:t>
            </w:r>
            <w:r w:rsidRPr="00CB2133">
              <w:rPr>
                <w:rFonts w:eastAsia="Calibri"/>
                <w:i/>
                <w:iCs/>
                <w:noProof/>
                <w:sz w:val="22"/>
                <w:szCs w:val="22"/>
                <w:lang w:eastAsia="en-US"/>
              </w:rPr>
              <w:t>i</w:t>
            </w:r>
            <w:r w:rsidRPr="00CB2133">
              <w:rPr>
                <w:rFonts w:eastAsia="Calibri"/>
                <w:noProof/>
                <w:sz w:val="22"/>
                <w:szCs w:val="22"/>
                <w:lang w:eastAsia="en-US"/>
              </w:rPr>
              <w:t>]perüleen</w:t>
            </w:r>
          </w:p>
        </w:tc>
        <w:tc>
          <w:tcPr>
            <w:tcW w:w="1329" w:type="dxa"/>
            <w:gridSpan w:val="3"/>
            <w:tcMar>
              <w:left w:w="28" w:type="dxa"/>
              <w:right w:w="28" w:type="dxa"/>
            </w:tcMar>
          </w:tcPr>
          <w:p w14:paraId="264CEDEB"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705026F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191-24-2</w:t>
            </w:r>
          </w:p>
        </w:tc>
        <w:tc>
          <w:tcPr>
            <w:tcW w:w="1134" w:type="dxa"/>
          </w:tcPr>
          <w:p w14:paraId="4DF490D9" w14:textId="77777777" w:rsidR="00C45ED4" w:rsidRPr="00CB2133" w:rsidDel="00BD2DD7"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205-883-8</w:t>
            </w:r>
          </w:p>
        </w:tc>
        <w:tc>
          <w:tcPr>
            <w:tcW w:w="1279" w:type="dxa"/>
            <w:gridSpan w:val="2"/>
            <w:tcMar>
              <w:left w:w="28" w:type="dxa"/>
              <w:right w:w="28" w:type="dxa"/>
            </w:tcMar>
          </w:tcPr>
          <w:p w14:paraId="3A65C60D" w14:textId="77777777" w:rsidR="00C45ED4" w:rsidRPr="00CB2133" w:rsidRDefault="00C45ED4" w:rsidP="00C45ED4">
            <w:pPr>
              <w:widowControl/>
              <w:spacing w:before="40" w:after="40"/>
              <w:rPr>
                <w:rFonts w:eastAsia="Calibri"/>
                <w:b/>
                <w:i/>
                <w:noProof/>
                <w:sz w:val="22"/>
                <w:szCs w:val="22"/>
                <w:lang w:eastAsia="en-US"/>
              </w:rPr>
            </w:pPr>
          </w:p>
        </w:tc>
        <w:tc>
          <w:tcPr>
            <w:tcW w:w="1279" w:type="dxa"/>
            <w:gridSpan w:val="2"/>
            <w:tcMar>
              <w:left w:w="28" w:type="dxa"/>
              <w:right w:w="28" w:type="dxa"/>
            </w:tcMar>
          </w:tcPr>
          <w:p w14:paraId="6D6BA5CE" w14:textId="77777777" w:rsidR="00C45ED4" w:rsidRPr="00CB2133" w:rsidRDefault="00C45ED4" w:rsidP="00C45ED4">
            <w:pPr>
              <w:widowControl/>
              <w:spacing w:before="40" w:after="40"/>
              <w:rPr>
                <w:rFonts w:eastAsia="Calibri"/>
                <w:b/>
                <w:i/>
                <w:noProof/>
                <w:sz w:val="22"/>
                <w:szCs w:val="22"/>
                <w:lang w:eastAsia="en-US"/>
              </w:rPr>
            </w:pPr>
          </w:p>
        </w:tc>
        <w:tc>
          <w:tcPr>
            <w:tcW w:w="1277" w:type="dxa"/>
            <w:gridSpan w:val="2"/>
            <w:tcMar>
              <w:left w:w="28" w:type="dxa"/>
              <w:right w:w="28" w:type="dxa"/>
            </w:tcMar>
          </w:tcPr>
          <w:p w14:paraId="55C4BBCE"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8,2 × 10</w:t>
            </w:r>
            <w:r w:rsidRPr="00CB2133">
              <w:rPr>
                <w:rFonts w:eastAsia="Calibri"/>
                <w:noProof/>
                <w:sz w:val="22"/>
                <w:szCs w:val="22"/>
                <w:vertAlign w:val="superscript"/>
                <w:lang w:eastAsia="en-US"/>
              </w:rPr>
              <w:t>-3</w:t>
            </w:r>
          </w:p>
        </w:tc>
        <w:tc>
          <w:tcPr>
            <w:tcW w:w="1276" w:type="dxa"/>
            <w:gridSpan w:val="2"/>
            <w:tcMar>
              <w:left w:w="28" w:type="dxa"/>
              <w:right w:w="28" w:type="dxa"/>
            </w:tcMar>
          </w:tcPr>
          <w:p w14:paraId="7765C44B"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8,2 × 10</w:t>
            </w:r>
            <w:r w:rsidRPr="00CB2133">
              <w:rPr>
                <w:rFonts w:eastAsia="Calibri"/>
                <w:noProof/>
                <w:sz w:val="22"/>
                <w:szCs w:val="22"/>
                <w:vertAlign w:val="superscript"/>
                <w:lang w:eastAsia="en-US"/>
              </w:rPr>
              <w:t>-4</w:t>
            </w:r>
          </w:p>
        </w:tc>
        <w:tc>
          <w:tcPr>
            <w:tcW w:w="1135" w:type="dxa"/>
            <w:gridSpan w:val="2"/>
            <w:tcMar>
              <w:left w:w="28" w:type="dxa"/>
              <w:right w:w="28" w:type="dxa"/>
            </w:tcMar>
          </w:tcPr>
          <w:p w14:paraId="1628781F" w14:textId="77777777" w:rsidR="00C45ED4" w:rsidRPr="00CB2133" w:rsidRDefault="00C45ED4" w:rsidP="00C45ED4">
            <w:pPr>
              <w:widowControl/>
              <w:spacing w:before="40" w:after="40"/>
              <w:rPr>
                <w:rFonts w:eastAsia="Calibri"/>
                <w:b/>
                <w:noProof/>
                <w:sz w:val="22"/>
                <w:szCs w:val="22"/>
                <w:lang w:eastAsia="en-US"/>
              </w:rPr>
            </w:pPr>
            <w:bookmarkStart w:id="28" w:name="_DV_C344"/>
            <w:r w:rsidRPr="00CB2133">
              <w:rPr>
                <w:rFonts w:eastAsia="Calibri"/>
                <w:noProof/>
                <w:sz w:val="22"/>
                <w:szCs w:val="22"/>
                <w:lang w:eastAsia="en-US"/>
              </w:rPr>
              <w:t xml:space="preserve">Vt joonealune märkus </w:t>
            </w:r>
            <w:bookmarkEnd w:id="28"/>
            <w:r w:rsidRPr="00CB2133">
              <w:rPr>
                <w:rFonts w:eastAsia="Calibri"/>
                <w:noProof/>
                <w:sz w:val="22"/>
                <w:szCs w:val="22"/>
                <w:lang w:eastAsia="en-US"/>
              </w:rPr>
              <w:t>17</w:t>
            </w:r>
          </w:p>
        </w:tc>
        <w:tc>
          <w:tcPr>
            <w:tcW w:w="1262" w:type="dxa"/>
            <w:tcMar>
              <w:left w:w="28" w:type="dxa"/>
              <w:right w:w="28" w:type="dxa"/>
            </w:tcMar>
          </w:tcPr>
          <w:p w14:paraId="2994EEF1" w14:textId="77777777" w:rsidR="00C45ED4" w:rsidRPr="00CB2133" w:rsidRDefault="00C45ED4" w:rsidP="00C45ED4">
            <w:pPr>
              <w:widowControl/>
              <w:spacing w:before="40" w:after="40"/>
              <w:rPr>
                <w:rFonts w:eastAsia="Calibri"/>
                <w:iCs/>
                <w:noProof/>
                <w:sz w:val="22"/>
                <w:szCs w:val="22"/>
                <w:lang w:eastAsia="en-US"/>
              </w:rPr>
            </w:pPr>
          </w:p>
        </w:tc>
        <w:tc>
          <w:tcPr>
            <w:tcW w:w="1154" w:type="dxa"/>
            <w:gridSpan w:val="2"/>
            <w:tcMar>
              <w:left w:w="28" w:type="dxa"/>
              <w:right w:w="28" w:type="dxa"/>
            </w:tcMar>
          </w:tcPr>
          <w:p w14:paraId="519F576F"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68EA2CE4"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06B43D4B" w14:textId="77777777" w:rsidTr="000238DA">
        <w:trPr>
          <w:gridBefore w:val="1"/>
          <w:wBefore w:w="11" w:type="dxa"/>
          <w:cantSplit/>
          <w:tblHeader/>
          <w:jc w:val="center"/>
        </w:trPr>
        <w:tc>
          <w:tcPr>
            <w:tcW w:w="649" w:type="dxa"/>
            <w:gridSpan w:val="3"/>
            <w:vMerge/>
            <w:tcMar>
              <w:left w:w="28" w:type="dxa"/>
              <w:right w:w="28" w:type="dxa"/>
            </w:tcMar>
          </w:tcPr>
          <w:p w14:paraId="0ED4B325"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10E95A4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Indeno[1,2,3-</w:t>
            </w:r>
            <w:r w:rsidRPr="00CB2133">
              <w:rPr>
                <w:rFonts w:eastAsia="Calibri"/>
                <w:i/>
                <w:iCs/>
                <w:noProof/>
                <w:sz w:val="22"/>
                <w:szCs w:val="22"/>
                <w:lang w:eastAsia="en-US"/>
              </w:rPr>
              <w:t>c</w:t>
            </w:r>
            <w:r w:rsidRPr="00CB2133">
              <w:rPr>
                <w:rFonts w:eastAsia="Calibri"/>
                <w:noProof/>
                <w:sz w:val="22"/>
                <w:szCs w:val="22"/>
                <w:lang w:eastAsia="en-US"/>
              </w:rPr>
              <w:t>,</w:t>
            </w:r>
            <w:r w:rsidRPr="00CB2133">
              <w:rPr>
                <w:rFonts w:eastAsia="Calibri"/>
                <w:i/>
                <w:iCs/>
                <w:noProof/>
                <w:sz w:val="22"/>
                <w:szCs w:val="22"/>
                <w:lang w:eastAsia="en-US"/>
              </w:rPr>
              <w:t>d</w:t>
            </w:r>
            <w:r w:rsidRPr="00CB2133">
              <w:rPr>
                <w:rFonts w:eastAsia="Calibri"/>
                <w:noProof/>
                <w:sz w:val="22"/>
                <w:szCs w:val="22"/>
                <w:lang w:eastAsia="en-US"/>
              </w:rPr>
              <w:t>]püreen</w:t>
            </w:r>
          </w:p>
        </w:tc>
        <w:tc>
          <w:tcPr>
            <w:tcW w:w="1329" w:type="dxa"/>
            <w:gridSpan w:val="3"/>
            <w:tcMar>
              <w:left w:w="28" w:type="dxa"/>
              <w:right w:w="28" w:type="dxa"/>
            </w:tcMar>
          </w:tcPr>
          <w:p w14:paraId="6339F6DD"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41C073A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193-39-5</w:t>
            </w:r>
          </w:p>
        </w:tc>
        <w:tc>
          <w:tcPr>
            <w:tcW w:w="1134" w:type="dxa"/>
          </w:tcPr>
          <w:p w14:paraId="0F216859" w14:textId="77777777" w:rsidR="00C45ED4" w:rsidRPr="00CB2133" w:rsidDel="00BD2DD7"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205-893-2</w:t>
            </w:r>
          </w:p>
        </w:tc>
        <w:tc>
          <w:tcPr>
            <w:tcW w:w="1279" w:type="dxa"/>
            <w:gridSpan w:val="2"/>
            <w:tcMar>
              <w:left w:w="28" w:type="dxa"/>
              <w:right w:w="28" w:type="dxa"/>
            </w:tcMar>
          </w:tcPr>
          <w:p w14:paraId="0FACC4EC" w14:textId="77777777" w:rsidR="00C45ED4" w:rsidRPr="00CB2133" w:rsidRDefault="00C45ED4" w:rsidP="00C45ED4">
            <w:pPr>
              <w:widowControl/>
              <w:spacing w:before="40" w:after="40"/>
              <w:rPr>
                <w:rFonts w:eastAsia="Calibri"/>
                <w:b/>
                <w:i/>
                <w:noProof/>
                <w:sz w:val="22"/>
                <w:szCs w:val="22"/>
                <w:lang w:eastAsia="en-US"/>
              </w:rPr>
            </w:pPr>
          </w:p>
        </w:tc>
        <w:tc>
          <w:tcPr>
            <w:tcW w:w="1279" w:type="dxa"/>
            <w:gridSpan w:val="2"/>
            <w:tcMar>
              <w:left w:w="28" w:type="dxa"/>
              <w:right w:w="28" w:type="dxa"/>
            </w:tcMar>
          </w:tcPr>
          <w:p w14:paraId="720B5A1D" w14:textId="77777777" w:rsidR="00C45ED4" w:rsidRPr="00CB2133" w:rsidRDefault="00C45ED4" w:rsidP="00C45ED4">
            <w:pPr>
              <w:widowControl/>
              <w:spacing w:before="40" w:after="40"/>
              <w:rPr>
                <w:rFonts w:eastAsia="Calibri"/>
                <w:b/>
                <w:i/>
                <w:noProof/>
                <w:sz w:val="22"/>
                <w:szCs w:val="22"/>
                <w:lang w:eastAsia="en-US"/>
              </w:rPr>
            </w:pPr>
          </w:p>
        </w:tc>
        <w:tc>
          <w:tcPr>
            <w:tcW w:w="1277" w:type="dxa"/>
            <w:gridSpan w:val="2"/>
            <w:tcMar>
              <w:left w:w="28" w:type="dxa"/>
              <w:right w:w="28" w:type="dxa"/>
            </w:tcMar>
          </w:tcPr>
          <w:p w14:paraId="388CF635" w14:textId="77777777" w:rsidR="00C45ED4" w:rsidRPr="00CB2133" w:rsidRDefault="00C45ED4" w:rsidP="00C45ED4">
            <w:pPr>
              <w:widowControl/>
              <w:spacing w:before="40" w:after="40"/>
              <w:rPr>
                <w:rFonts w:eastAsia="Calibri"/>
                <w:b/>
                <w:i/>
                <w:noProof/>
                <w:sz w:val="22"/>
                <w:szCs w:val="22"/>
                <w:lang w:eastAsia="en-US"/>
              </w:rPr>
            </w:pPr>
            <w:bookmarkStart w:id="29" w:name="_DV_C347"/>
            <w:r w:rsidRPr="00CB2133">
              <w:rPr>
                <w:rFonts w:eastAsia="Calibri"/>
                <w:noProof/>
                <w:sz w:val="22"/>
                <w:szCs w:val="22"/>
                <w:lang w:eastAsia="en-US"/>
              </w:rPr>
              <w:t>Ei kohaldata</w:t>
            </w:r>
            <w:bookmarkEnd w:id="29"/>
          </w:p>
        </w:tc>
        <w:tc>
          <w:tcPr>
            <w:tcW w:w="1276" w:type="dxa"/>
            <w:gridSpan w:val="2"/>
            <w:tcMar>
              <w:left w:w="28" w:type="dxa"/>
              <w:right w:w="28" w:type="dxa"/>
            </w:tcMar>
          </w:tcPr>
          <w:p w14:paraId="12CE29D8" w14:textId="77777777" w:rsidR="00C45ED4" w:rsidRPr="00CB2133" w:rsidRDefault="00C45ED4" w:rsidP="00C45ED4">
            <w:pPr>
              <w:widowControl/>
              <w:spacing w:before="40" w:after="40"/>
              <w:rPr>
                <w:rFonts w:eastAsia="Calibri"/>
                <w:b/>
                <w:i/>
                <w:noProof/>
                <w:sz w:val="22"/>
                <w:szCs w:val="22"/>
                <w:lang w:eastAsia="en-US"/>
              </w:rPr>
            </w:pPr>
            <w:bookmarkStart w:id="30" w:name="_DV_C348"/>
            <w:r w:rsidRPr="00CB2133">
              <w:rPr>
                <w:rFonts w:eastAsia="Calibri"/>
                <w:noProof/>
                <w:sz w:val="22"/>
                <w:szCs w:val="22"/>
                <w:lang w:eastAsia="en-US"/>
              </w:rPr>
              <w:t>Ei kohaldata</w:t>
            </w:r>
            <w:bookmarkEnd w:id="30"/>
          </w:p>
        </w:tc>
        <w:tc>
          <w:tcPr>
            <w:tcW w:w="1135" w:type="dxa"/>
            <w:gridSpan w:val="2"/>
            <w:tcMar>
              <w:left w:w="28" w:type="dxa"/>
              <w:right w:w="28" w:type="dxa"/>
            </w:tcMar>
          </w:tcPr>
          <w:p w14:paraId="0A280E1A" w14:textId="77777777" w:rsidR="00C45ED4" w:rsidRPr="00CB2133" w:rsidRDefault="00C45ED4" w:rsidP="00C45ED4">
            <w:pPr>
              <w:widowControl/>
              <w:spacing w:before="40" w:after="40"/>
              <w:rPr>
                <w:rFonts w:eastAsia="Calibri"/>
                <w:b/>
                <w:noProof/>
                <w:sz w:val="22"/>
                <w:szCs w:val="22"/>
                <w:lang w:eastAsia="en-US"/>
              </w:rPr>
            </w:pPr>
            <w:bookmarkStart w:id="31" w:name="_DV_C349"/>
            <w:r w:rsidRPr="00CB2133">
              <w:rPr>
                <w:rFonts w:eastAsia="Calibri"/>
                <w:noProof/>
                <w:sz w:val="22"/>
                <w:szCs w:val="22"/>
                <w:lang w:eastAsia="en-US"/>
              </w:rPr>
              <w:t xml:space="preserve">Vt joonealune märkus </w:t>
            </w:r>
            <w:bookmarkEnd w:id="31"/>
            <w:r w:rsidRPr="00CB2133">
              <w:rPr>
                <w:rFonts w:eastAsia="Calibri"/>
                <w:noProof/>
                <w:sz w:val="22"/>
                <w:szCs w:val="22"/>
                <w:lang w:eastAsia="en-US"/>
              </w:rPr>
              <w:t>17</w:t>
            </w:r>
          </w:p>
        </w:tc>
        <w:tc>
          <w:tcPr>
            <w:tcW w:w="1262" w:type="dxa"/>
            <w:tcMar>
              <w:left w:w="28" w:type="dxa"/>
              <w:right w:w="28" w:type="dxa"/>
            </w:tcMar>
          </w:tcPr>
          <w:p w14:paraId="3DB1ABA0" w14:textId="77777777" w:rsidR="00C45ED4" w:rsidRPr="00CB2133" w:rsidRDefault="00C45ED4" w:rsidP="00C45ED4">
            <w:pPr>
              <w:widowControl/>
              <w:spacing w:before="40" w:after="40"/>
              <w:rPr>
                <w:rFonts w:eastAsia="Calibri"/>
                <w:iCs/>
                <w:noProof/>
                <w:sz w:val="22"/>
                <w:szCs w:val="22"/>
                <w:lang w:eastAsia="en-US"/>
              </w:rPr>
            </w:pPr>
          </w:p>
        </w:tc>
        <w:tc>
          <w:tcPr>
            <w:tcW w:w="1154" w:type="dxa"/>
            <w:gridSpan w:val="2"/>
            <w:tcMar>
              <w:left w:w="28" w:type="dxa"/>
              <w:right w:w="28" w:type="dxa"/>
            </w:tcMar>
          </w:tcPr>
          <w:p w14:paraId="6411EB18"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1E74ECFC"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5744EC08" w14:textId="77777777" w:rsidTr="000238DA">
        <w:trPr>
          <w:gridBefore w:val="1"/>
          <w:wBefore w:w="11" w:type="dxa"/>
          <w:cantSplit/>
          <w:tblHeader/>
          <w:jc w:val="center"/>
        </w:trPr>
        <w:tc>
          <w:tcPr>
            <w:tcW w:w="649" w:type="dxa"/>
            <w:gridSpan w:val="3"/>
            <w:vMerge/>
            <w:tcMar>
              <w:left w:w="28" w:type="dxa"/>
              <w:right w:w="28" w:type="dxa"/>
            </w:tcMar>
          </w:tcPr>
          <w:p w14:paraId="4BA00D22" w14:textId="77777777" w:rsidR="00C45ED4" w:rsidRPr="00CB2133" w:rsidRDefault="00C45ED4" w:rsidP="00C45ED4">
            <w:pPr>
              <w:widowControl/>
              <w:spacing w:before="40" w:after="40"/>
              <w:jc w:val="both"/>
              <w:rPr>
                <w:rFonts w:eastAsia="Calibri"/>
                <w:noProof/>
                <w:sz w:val="22"/>
                <w:szCs w:val="22"/>
                <w:lang w:eastAsia="en-US"/>
              </w:rPr>
            </w:pPr>
            <w:bookmarkStart w:id="32" w:name="_Hlk115700632"/>
          </w:p>
        </w:tc>
        <w:tc>
          <w:tcPr>
            <w:tcW w:w="2286" w:type="dxa"/>
            <w:gridSpan w:val="3"/>
            <w:tcMar>
              <w:left w:w="28" w:type="dxa"/>
              <w:right w:w="28" w:type="dxa"/>
            </w:tcMar>
          </w:tcPr>
          <w:p w14:paraId="5624B59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Krüseen</w:t>
            </w:r>
          </w:p>
        </w:tc>
        <w:tc>
          <w:tcPr>
            <w:tcW w:w="1329" w:type="dxa"/>
            <w:gridSpan w:val="3"/>
            <w:tcMar>
              <w:left w:w="28" w:type="dxa"/>
              <w:right w:w="28" w:type="dxa"/>
            </w:tcMar>
          </w:tcPr>
          <w:p w14:paraId="5957D67F"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19CCA22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218-01-9</w:t>
            </w:r>
          </w:p>
        </w:tc>
        <w:tc>
          <w:tcPr>
            <w:tcW w:w="1134" w:type="dxa"/>
          </w:tcPr>
          <w:p w14:paraId="5A7567BE"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205-923-4</w:t>
            </w:r>
          </w:p>
        </w:tc>
        <w:tc>
          <w:tcPr>
            <w:tcW w:w="1279" w:type="dxa"/>
            <w:gridSpan w:val="2"/>
            <w:tcMar>
              <w:left w:w="28" w:type="dxa"/>
              <w:right w:w="28" w:type="dxa"/>
            </w:tcMar>
          </w:tcPr>
          <w:p w14:paraId="6519B8FD" w14:textId="77777777" w:rsidR="00C45ED4" w:rsidRPr="00CB2133" w:rsidRDefault="00C45ED4" w:rsidP="00C45ED4">
            <w:pPr>
              <w:widowControl/>
              <w:spacing w:before="40" w:after="40"/>
              <w:rPr>
                <w:rFonts w:eastAsia="Calibri"/>
                <w:i/>
                <w:iCs/>
                <w:noProof/>
                <w:sz w:val="22"/>
                <w:szCs w:val="22"/>
                <w:lang w:eastAsia="en-US"/>
              </w:rPr>
            </w:pPr>
          </w:p>
        </w:tc>
        <w:tc>
          <w:tcPr>
            <w:tcW w:w="1279" w:type="dxa"/>
            <w:gridSpan w:val="2"/>
            <w:tcMar>
              <w:left w:w="28" w:type="dxa"/>
              <w:right w:w="28" w:type="dxa"/>
            </w:tcMar>
          </w:tcPr>
          <w:p w14:paraId="26DAC15D" w14:textId="77777777" w:rsidR="00C45ED4" w:rsidRPr="00CB2133" w:rsidRDefault="00C45ED4" w:rsidP="00C45ED4">
            <w:pPr>
              <w:widowControl/>
              <w:spacing w:before="40" w:after="40"/>
              <w:rPr>
                <w:rFonts w:eastAsia="Calibri"/>
                <w:i/>
                <w:iCs/>
                <w:noProof/>
                <w:sz w:val="22"/>
                <w:szCs w:val="22"/>
                <w:lang w:eastAsia="en-US"/>
              </w:rPr>
            </w:pPr>
          </w:p>
        </w:tc>
        <w:tc>
          <w:tcPr>
            <w:tcW w:w="1277" w:type="dxa"/>
            <w:gridSpan w:val="2"/>
            <w:tcMar>
              <w:left w:w="28" w:type="dxa"/>
              <w:right w:w="28" w:type="dxa"/>
            </w:tcMar>
          </w:tcPr>
          <w:p w14:paraId="3138E580"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0,07</w:t>
            </w:r>
          </w:p>
        </w:tc>
        <w:tc>
          <w:tcPr>
            <w:tcW w:w="1276" w:type="dxa"/>
            <w:gridSpan w:val="2"/>
            <w:tcMar>
              <w:left w:w="28" w:type="dxa"/>
              <w:right w:w="28" w:type="dxa"/>
            </w:tcMar>
          </w:tcPr>
          <w:p w14:paraId="6EC93BBC"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0,007</w:t>
            </w:r>
          </w:p>
        </w:tc>
        <w:tc>
          <w:tcPr>
            <w:tcW w:w="1135" w:type="dxa"/>
            <w:gridSpan w:val="2"/>
            <w:tcMar>
              <w:left w:w="28" w:type="dxa"/>
              <w:right w:w="28" w:type="dxa"/>
            </w:tcMar>
          </w:tcPr>
          <w:p w14:paraId="39058C24"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Vt joonealune märkus 17</w:t>
            </w:r>
          </w:p>
        </w:tc>
        <w:tc>
          <w:tcPr>
            <w:tcW w:w="1262" w:type="dxa"/>
            <w:tcMar>
              <w:left w:w="28" w:type="dxa"/>
              <w:right w:w="28" w:type="dxa"/>
            </w:tcMar>
          </w:tcPr>
          <w:p w14:paraId="24DE09D6" w14:textId="77777777" w:rsidR="00C45ED4" w:rsidRPr="00CB2133" w:rsidRDefault="00C45ED4" w:rsidP="00C45ED4">
            <w:pPr>
              <w:widowControl/>
              <w:spacing w:before="40" w:after="40"/>
              <w:rPr>
                <w:rFonts w:eastAsia="Calibri"/>
                <w:i/>
                <w:iCs/>
                <w:noProof/>
                <w:sz w:val="22"/>
                <w:szCs w:val="22"/>
                <w:lang w:eastAsia="en-US"/>
              </w:rPr>
            </w:pPr>
          </w:p>
        </w:tc>
        <w:tc>
          <w:tcPr>
            <w:tcW w:w="1154" w:type="dxa"/>
            <w:gridSpan w:val="2"/>
            <w:tcMar>
              <w:left w:w="28" w:type="dxa"/>
              <w:right w:w="28" w:type="dxa"/>
            </w:tcMar>
          </w:tcPr>
          <w:p w14:paraId="752C1887"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37B5DF51"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2B70FBE9" w14:textId="77777777" w:rsidTr="000238DA">
        <w:trPr>
          <w:gridBefore w:val="1"/>
          <w:wBefore w:w="11" w:type="dxa"/>
          <w:cantSplit/>
          <w:tblHeader/>
          <w:jc w:val="center"/>
        </w:trPr>
        <w:tc>
          <w:tcPr>
            <w:tcW w:w="649" w:type="dxa"/>
            <w:gridSpan w:val="3"/>
            <w:vMerge/>
            <w:tcMar>
              <w:left w:w="28" w:type="dxa"/>
              <w:right w:w="28" w:type="dxa"/>
            </w:tcMar>
          </w:tcPr>
          <w:p w14:paraId="0A1FE54C"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4AC47C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Benso[</w:t>
            </w:r>
            <w:r w:rsidRPr="00CB2133">
              <w:rPr>
                <w:rFonts w:eastAsia="Calibri"/>
                <w:i/>
                <w:iCs/>
                <w:noProof/>
                <w:sz w:val="22"/>
                <w:szCs w:val="22"/>
                <w:lang w:eastAsia="en-US"/>
              </w:rPr>
              <w:t>a</w:t>
            </w:r>
            <w:r w:rsidRPr="00CB2133">
              <w:rPr>
                <w:rFonts w:eastAsia="Calibri"/>
                <w:noProof/>
                <w:sz w:val="22"/>
                <w:szCs w:val="22"/>
                <w:lang w:eastAsia="en-US"/>
              </w:rPr>
              <w:t>]antratseen</w:t>
            </w:r>
          </w:p>
        </w:tc>
        <w:tc>
          <w:tcPr>
            <w:tcW w:w="1329" w:type="dxa"/>
            <w:gridSpan w:val="3"/>
            <w:vMerge w:val="restart"/>
            <w:tcMar>
              <w:left w:w="28" w:type="dxa"/>
              <w:right w:w="28" w:type="dxa"/>
            </w:tcMar>
          </w:tcPr>
          <w:p w14:paraId="604AC62E"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2FA1BC9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56-55-3</w:t>
            </w:r>
          </w:p>
        </w:tc>
        <w:tc>
          <w:tcPr>
            <w:tcW w:w="1134" w:type="dxa"/>
          </w:tcPr>
          <w:p w14:paraId="6ACC9337"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200-280-6</w:t>
            </w:r>
          </w:p>
        </w:tc>
        <w:tc>
          <w:tcPr>
            <w:tcW w:w="1279" w:type="dxa"/>
            <w:gridSpan w:val="2"/>
            <w:tcMar>
              <w:left w:w="28" w:type="dxa"/>
              <w:right w:w="28" w:type="dxa"/>
            </w:tcMar>
          </w:tcPr>
          <w:p w14:paraId="4538A52F" w14:textId="77777777" w:rsidR="00C45ED4" w:rsidRPr="00CB2133" w:rsidRDefault="00C45ED4" w:rsidP="00C45ED4">
            <w:pPr>
              <w:widowControl/>
              <w:spacing w:before="40" w:after="40"/>
              <w:rPr>
                <w:rFonts w:eastAsia="Calibri"/>
                <w:i/>
                <w:iCs/>
                <w:noProof/>
                <w:sz w:val="22"/>
                <w:szCs w:val="22"/>
                <w:lang w:eastAsia="en-US"/>
              </w:rPr>
            </w:pPr>
          </w:p>
        </w:tc>
        <w:tc>
          <w:tcPr>
            <w:tcW w:w="1279" w:type="dxa"/>
            <w:gridSpan w:val="2"/>
            <w:tcMar>
              <w:left w:w="28" w:type="dxa"/>
              <w:right w:w="28" w:type="dxa"/>
            </w:tcMar>
          </w:tcPr>
          <w:p w14:paraId="2925CDD3" w14:textId="77777777" w:rsidR="00C45ED4" w:rsidRPr="00CB2133" w:rsidRDefault="00C45ED4" w:rsidP="00C45ED4">
            <w:pPr>
              <w:widowControl/>
              <w:spacing w:before="40" w:after="40"/>
              <w:rPr>
                <w:rFonts w:eastAsia="Calibri"/>
                <w:i/>
                <w:iCs/>
                <w:noProof/>
                <w:sz w:val="22"/>
                <w:szCs w:val="22"/>
                <w:lang w:eastAsia="en-US"/>
              </w:rPr>
            </w:pPr>
          </w:p>
        </w:tc>
        <w:tc>
          <w:tcPr>
            <w:tcW w:w="1277" w:type="dxa"/>
            <w:gridSpan w:val="2"/>
            <w:tcMar>
              <w:left w:w="28" w:type="dxa"/>
              <w:right w:w="28" w:type="dxa"/>
            </w:tcMar>
          </w:tcPr>
          <w:p w14:paraId="2A55D1A6"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0,1</w:t>
            </w:r>
          </w:p>
        </w:tc>
        <w:tc>
          <w:tcPr>
            <w:tcW w:w="1276" w:type="dxa"/>
            <w:gridSpan w:val="2"/>
            <w:tcMar>
              <w:left w:w="28" w:type="dxa"/>
              <w:right w:w="28" w:type="dxa"/>
            </w:tcMar>
          </w:tcPr>
          <w:p w14:paraId="39589769"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0,01</w:t>
            </w:r>
          </w:p>
        </w:tc>
        <w:tc>
          <w:tcPr>
            <w:tcW w:w="1135" w:type="dxa"/>
            <w:gridSpan w:val="2"/>
            <w:tcMar>
              <w:left w:w="28" w:type="dxa"/>
              <w:right w:w="28" w:type="dxa"/>
            </w:tcMar>
          </w:tcPr>
          <w:p w14:paraId="16B56346"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Vt joonealune märkus 17</w:t>
            </w:r>
          </w:p>
        </w:tc>
        <w:tc>
          <w:tcPr>
            <w:tcW w:w="1262" w:type="dxa"/>
            <w:tcMar>
              <w:left w:w="28" w:type="dxa"/>
              <w:right w:w="28" w:type="dxa"/>
            </w:tcMar>
          </w:tcPr>
          <w:p w14:paraId="47AE3CE3" w14:textId="77777777" w:rsidR="00C45ED4" w:rsidRPr="00CB2133" w:rsidRDefault="00C45ED4" w:rsidP="00C45ED4">
            <w:pPr>
              <w:widowControl/>
              <w:spacing w:before="40" w:after="40"/>
              <w:rPr>
                <w:rFonts w:eastAsia="Calibri"/>
                <w:i/>
                <w:iCs/>
                <w:noProof/>
                <w:sz w:val="22"/>
                <w:szCs w:val="22"/>
                <w:lang w:eastAsia="en-US"/>
              </w:rPr>
            </w:pPr>
          </w:p>
        </w:tc>
        <w:tc>
          <w:tcPr>
            <w:tcW w:w="1154" w:type="dxa"/>
            <w:gridSpan w:val="2"/>
            <w:tcMar>
              <w:left w:w="28" w:type="dxa"/>
              <w:right w:w="28" w:type="dxa"/>
            </w:tcMar>
          </w:tcPr>
          <w:p w14:paraId="02629CBF"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1C23FB6B"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1F3147A3" w14:textId="77777777" w:rsidTr="000238DA">
        <w:trPr>
          <w:gridBefore w:val="1"/>
          <w:wBefore w:w="11" w:type="dxa"/>
          <w:cantSplit/>
          <w:tblHeader/>
          <w:jc w:val="center"/>
        </w:trPr>
        <w:tc>
          <w:tcPr>
            <w:tcW w:w="649" w:type="dxa"/>
            <w:gridSpan w:val="3"/>
            <w:vMerge/>
            <w:tcMar>
              <w:left w:w="28" w:type="dxa"/>
              <w:right w:w="28" w:type="dxa"/>
            </w:tcMar>
          </w:tcPr>
          <w:p w14:paraId="287CE16D" w14:textId="77777777" w:rsidR="00C45ED4" w:rsidRPr="00CB2133" w:rsidRDefault="00C45ED4" w:rsidP="00C45ED4">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9E0ECE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Dibens[</w:t>
            </w:r>
            <w:r w:rsidRPr="00CB2133">
              <w:rPr>
                <w:rFonts w:eastAsia="Calibri"/>
                <w:i/>
                <w:iCs/>
                <w:noProof/>
                <w:sz w:val="22"/>
                <w:szCs w:val="22"/>
                <w:lang w:eastAsia="en-US"/>
              </w:rPr>
              <w:t>a</w:t>
            </w:r>
            <w:r w:rsidRPr="00CB2133">
              <w:rPr>
                <w:rFonts w:eastAsia="Calibri"/>
                <w:noProof/>
                <w:sz w:val="22"/>
                <w:szCs w:val="22"/>
                <w:lang w:eastAsia="en-US"/>
              </w:rPr>
              <w:t>,</w:t>
            </w:r>
            <w:r w:rsidRPr="00CB2133">
              <w:rPr>
                <w:rFonts w:eastAsia="Calibri"/>
                <w:i/>
                <w:iCs/>
                <w:noProof/>
                <w:sz w:val="22"/>
                <w:szCs w:val="22"/>
                <w:lang w:eastAsia="en-US"/>
              </w:rPr>
              <w:t>h</w:t>
            </w:r>
            <w:r w:rsidRPr="00CB2133">
              <w:rPr>
                <w:rFonts w:eastAsia="Calibri"/>
                <w:noProof/>
                <w:sz w:val="22"/>
                <w:szCs w:val="22"/>
                <w:lang w:eastAsia="en-US"/>
              </w:rPr>
              <w:t>]antratseen</w:t>
            </w:r>
          </w:p>
        </w:tc>
        <w:tc>
          <w:tcPr>
            <w:tcW w:w="1329" w:type="dxa"/>
            <w:gridSpan w:val="3"/>
            <w:vMerge/>
            <w:tcMar>
              <w:left w:w="28" w:type="dxa"/>
              <w:right w:w="28" w:type="dxa"/>
            </w:tcMar>
          </w:tcPr>
          <w:p w14:paraId="24EC9596" w14:textId="77777777" w:rsidR="00C45ED4" w:rsidRPr="00CB2133" w:rsidRDefault="00C45ED4" w:rsidP="00C45ED4">
            <w:pPr>
              <w:widowControl/>
              <w:spacing w:before="40" w:after="40"/>
              <w:rPr>
                <w:rFonts w:eastAsia="Calibri"/>
                <w:noProof/>
                <w:sz w:val="22"/>
                <w:szCs w:val="22"/>
                <w:lang w:eastAsia="en-US"/>
              </w:rPr>
            </w:pPr>
          </w:p>
        </w:tc>
        <w:tc>
          <w:tcPr>
            <w:tcW w:w="992" w:type="dxa"/>
            <w:gridSpan w:val="2"/>
            <w:tcMar>
              <w:left w:w="28" w:type="dxa"/>
              <w:right w:w="28" w:type="dxa"/>
            </w:tcMar>
          </w:tcPr>
          <w:p w14:paraId="23335C2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53-70-3</w:t>
            </w:r>
          </w:p>
        </w:tc>
        <w:tc>
          <w:tcPr>
            <w:tcW w:w="1134" w:type="dxa"/>
          </w:tcPr>
          <w:p w14:paraId="04633B02"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200-181-8</w:t>
            </w:r>
          </w:p>
        </w:tc>
        <w:tc>
          <w:tcPr>
            <w:tcW w:w="1279" w:type="dxa"/>
            <w:gridSpan w:val="2"/>
            <w:tcMar>
              <w:left w:w="28" w:type="dxa"/>
              <w:right w:w="28" w:type="dxa"/>
            </w:tcMar>
          </w:tcPr>
          <w:p w14:paraId="6DDB7259" w14:textId="77777777" w:rsidR="00C45ED4" w:rsidRPr="00CB2133" w:rsidRDefault="00C45ED4" w:rsidP="00C45ED4">
            <w:pPr>
              <w:widowControl/>
              <w:spacing w:before="40" w:after="40"/>
              <w:rPr>
                <w:rFonts w:eastAsia="Calibri"/>
                <w:i/>
                <w:iCs/>
                <w:noProof/>
                <w:sz w:val="22"/>
                <w:szCs w:val="22"/>
                <w:lang w:eastAsia="en-US"/>
              </w:rPr>
            </w:pPr>
          </w:p>
        </w:tc>
        <w:tc>
          <w:tcPr>
            <w:tcW w:w="1279" w:type="dxa"/>
            <w:gridSpan w:val="2"/>
            <w:tcMar>
              <w:left w:w="28" w:type="dxa"/>
              <w:right w:w="28" w:type="dxa"/>
            </w:tcMar>
          </w:tcPr>
          <w:p w14:paraId="16BEAA22" w14:textId="77777777" w:rsidR="00C45ED4" w:rsidRPr="00CB2133" w:rsidRDefault="00C45ED4" w:rsidP="00C45ED4">
            <w:pPr>
              <w:widowControl/>
              <w:spacing w:before="40" w:after="40"/>
              <w:rPr>
                <w:rFonts w:eastAsia="Calibri"/>
                <w:i/>
                <w:iCs/>
                <w:noProof/>
                <w:sz w:val="22"/>
                <w:szCs w:val="22"/>
                <w:lang w:eastAsia="en-US"/>
              </w:rPr>
            </w:pPr>
          </w:p>
        </w:tc>
        <w:tc>
          <w:tcPr>
            <w:tcW w:w="1277" w:type="dxa"/>
            <w:gridSpan w:val="2"/>
            <w:tcMar>
              <w:left w:w="28" w:type="dxa"/>
              <w:right w:w="28" w:type="dxa"/>
            </w:tcMar>
          </w:tcPr>
          <w:p w14:paraId="2B91A01D"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0,014</w:t>
            </w:r>
          </w:p>
        </w:tc>
        <w:tc>
          <w:tcPr>
            <w:tcW w:w="1276" w:type="dxa"/>
            <w:gridSpan w:val="2"/>
            <w:tcMar>
              <w:left w:w="28" w:type="dxa"/>
              <w:right w:w="28" w:type="dxa"/>
            </w:tcMar>
          </w:tcPr>
          <w:p w14:paraId="0CB83023"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0,0014</w:t>
            </w:r>
          </w:p>
        </w:tc>
        <w:tc>
          <w:tcPr>
            <w:tcW w:w="1135" w:type="dxa"/>
            <w:gridSpan w:val="2"/>
            <w:tcMar>
              <w:left w:w="28" w:type="dxa"/>
              <w:right w:w="28" w:type="dxa"/>
            </w:tcMar>
          </w:tcPr>
          <w:p w14:paraId="111B59A7" w14:textId="77777777" w:rsidR="00C45ED4" w:rsidRPr="00CB2133" w:rsidRDefault="00C45ED4" w:rsidP="00C45ED4">
            <w:pPr>
              <w:widowControl/>
              <w:spacing w:before="40" w:after="40"/>
              <w:rPr>
                <w:rFonts w:eastAsia="Calibri"/>
                <w:iCs/>
                <w:noProof/>
                <w:sz w:val="22"/>
                <w:szCs w:val="22"/>
                <w:lang w:eastAsia="en-US"/>
              </w:rPr>
            </w:pPr>
            <w:r w:rsidRPr="00CB2133">
              <w:rPr>
                <w:rFonts w:eastAsia="Calibri"/>
                <w:noProof/>
                <w:sz w:val="22"/>
                <w:szCs w:val="22"/>
                <w:lang w:eastAsia="en-US"/>
              </w:rPr>
              <w:t>Vt joonealune märkus 17</w:t>
            </w:r>
          </w:p>
        </w:tc>
        <w:tc>
          <w:tcPr>
            <w:tcW w:w="1262" w:type="dxa"/>
            <w:tcMar>
              <w:left w:w="28" w:type="dxa"/>
              <w:right w:w="28" w:type="dxa"/>
            </w:tcMar>
          </w:tcPr>
          <w:p w14:paraId="614B1237" w14:textId="77777777" w:rsidR="00C45ED4" w:rsidRPr="00CB2133" w:rsidRDefault="00C45ED4" w:rsidP="00C45ED4">
            <w:pPr>
              <w:widowControl/>
              <w:spacing w:before="40" w:after="40"/>
              <w:rPr>
                <w:rFonts w:eastAsia="Calibri"/>
                <w:i/>
                <w:iCs/>
                <w:noProof/>
                <w:sz w:val="22"/>
                <w:szCs w:val="22"/>
                <w:lang w:eastAsia="en-US"/>
              </w:rPr>
            </w:pPr>
          </w:p>
        </w:tc>
        <w:tc>
          <w:tcPr>
            <w:tcW w:w="1154" w:type="dxa"/>
            <w:gridSpan w:val="2"/>
            <w:tcMar>
              <w:left w:w="28" w:type="dxa"/>
              <w:right w:w="28" w:type="dxa"/>
            </w:tcMar>
          </w:tcPr>
          <w:p w14:paraId="1806AAD0" w14:textId="77777777" w:rsidR="00C45ED4" w:rsidRPr="00CB2133" w:rsidRDefault="00C45ED4" w:rsidP="00C45ED4">
            <w:pPr>
              <w:widowControl/>
              <w:spacing w:before="40" w:after="40"/>
              <w:rPr>
                <w:rFonts w:eastAsia="Calibri"/>
                <w:i/>
                <w:iCs/>
                <w:noProof/>
                <w:sz w:val="22"/>
                <w:szCs w:val="22"/>
                <w:lang w:eastAsia="en-US"/>
              </w:rPr>
            </w:pPr>
          </w:p>
        </w:tc>
        <w:tc>
          <w:tcPr>
            <w:tcW w:w="970" w:type="dxa"/>
            <w:tcMar>
              <w:left w:w="28" w:type="dxa"/>
              <w:right w:w="28" w:type="dxa"/>
            </w:tcMar>
          </w:tcPr>
          <w:p w14:paraId="52D3B771" w14:textId="77777777" w:rsidR="00C45ED4" w:rsidRPr="00CB2133" w:rsidRDefault="00C45ED4" w:rsidP="00C45ED4">
            <w:pPr>
              <w:widowControl/>
              <w:spacing w:before="40" w:after="40"/>
              <w:rPr>
                <w:rFonts w:eastAsia="Calibri"/>
                <w:i/>
                <w:iCs/>
                <w:noProof/>
                <w:sz w:val="22"/>
                <w:szCs w:val="22"/>
                <w:lang w:eastAsia="en-US"/>
              </w:rPr>
            </w:pPr>
          </w:p>
        </w:tc>
      </w:tr>
      <w:tr w:rsidR="00C45ED4" w:rsidRPr="00CB2133" w14:paraId="39015931" w14:textId="77777777" w:rsidTr="000238DA">
        <w:trPr>
          <w:gridBefore w:val="1"/>
          <w:wBefore w:w="11" w:type="dxa"/>
          <w:cantSplit/>
          <w:tblHeader/>
          <w:jc w:val="center"/>
        </w:trPr>
        <w:tc>
          <w:tcPr>
            <w:tcW w:w="649" w:type="dxa"/>
            <w:gridSpan w:val="3"/>
            <w:tcMar>
              <w:left w:w="28" w:type="dxa"/>
              <w:right w:w="28" w:type="dxa"/>
            </w:tcMar>
          </w:tcPr>
          <w:p w14:paraId="40960D0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(29)</w:t>
            </w:r>
          </w:p>
        </w:tc>
        <w:tc>
          <w:tcPr>
            <w:tcW w:w="15373" w:type="dxa"/>
            <w:gridSpan w:val="23"/>
            <w:tcMar>
              <w:left w:w="28" w:type="dxa"/>
              <w:right w:w="28" w:type="dxa"/>
            </w:tcMar>
          </w:tcPr>
          <w:p w14:paraId="577EDD6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Aine simasiin on viidud II lisa C osasse </w:t>
            </w:r>
          </w:p>
        </w:tc>
      </w:tr>
      <w:bookmarkEnd w:id="32"/>
      <w:tr w:rsidR="00C45ED4" w:rsidRPr="00CB2133" w14:paraId="598E256A" w14:textId="77777777" w:rsidTr="000238DA">
        <w:trPr>
          <w:gridBefore w:val="1"/>
          <w:wBefore w:w="11" w:type="dxa"/>
          <w:cantSplit/>
          <w:tblHeader/>
          <w:jc w:val="center"/>
        </w:trPr>
        <w:tc>
          <w:tcPr>
            <w:tcW w:w="649" w:type="dxa"/>
            <w:gridSpan w:val="3"/>
            <w:tcMar>
              <w:left w:w="28" w:type="dxa"/>
              <w:right w:w="28" w:type="dxa"/>
            </w:tcMar>
          </w:tcPr>
          <w:p w14:paraId="03C7884B"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(29a)</w:t>
            </w:r>
          </w:p>
        </w:tc>
        <w:tc>
          <w:tcPr>
            <w:tcW w:w="2286" w:type="dxa"/>
            <w:gridSpan w:val="3"/>
            <w:tcMar>
              <w:left w:w="28" w:type="dxa"/>
              <w:right w:w="28" w:type="dxa"/>
            </w:tcMar>
          </w:tcPr>
          <w:p w14:paraId="18C45068"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 xml:space="preserve">Tetrakloroetüleen </w:t>
            </w:r>
            <w:bookmarkStart w:id="33" w:name="_DV_M305"/>
            <w:bookmarkEnd w:id="33"/>
          </w:p>
        </w:tc>
        <w:tc>
          <w:tcPr>
            <w:tcW w:w="1329" w:type="dxa"/>
            <w:gridSpan w:val="3"/>
            <w:tcMar>
              <w:left w:w="28" w:type="dxa"/>
              <w:right w:w="28" w:type="dxa"/>
            </w:tcMar>
          </w:tcPr>
          <w:p w14:paraId="3E4D71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3BFDE14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127-18-4</w:t>
            </w:r>
          </w:p>
        </w:tc>
        <w:tc>
          <w:tcPr>
            <w:tcW w:w="1134" w:type="dxa"/>
          </w:tcPr>
          <w:p w14:paraId="15B7B8B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204-825-9</w:t>
            </w:r>
          </w:p>
        </w:tc>
        <w:tc>
          <w:tcPr>
            <w:tcW w:w="1279" w:type="dxa"/>
            <w:gridSpan w:val="2"/>
            <w:tcMar>
              <w:left w:w="28" w:type="dxa"/>
              <w:right w:w="28" w:type="dxa"/>
            </w:tcMar>
          </w:tcPr>
          <w:p w14:paraId="4435CAC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79" w:type="dxa"/>
            <w:gridSpan w:val="2"/>
            <w:tcMar>
              <w:left w:w="28" w:type="dxa"/>
              <w:right w:w="28" w:type="dxa"/>
            </w:tcMar>
          </w:tcPr>
          <w:p w14:paraId="5EB0F1A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77" w:type="dxa"/>
            <w:gridSpan w:val="2"/>
            <w:tcMar>
              <w:left w:w="28" w:type="dxa"/>
              <w:right w:w="28" w:type="dxa"/>
            </w:tcMar>
          </w:tcPr>
          <w:p w14:paraId="4533B12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6B20911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5B6C0536"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A10D63C"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52F7B208"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0375CEE0"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12E1D0AB" w14:textId="77777777" w:rsidTr="000238DA">
        <w:trPr>
          <w:gridBefore w:val="1"/>
          <w:wBefore w:w="11" w:type="dxa"/>
          <w:cantSplit/>
          <w:tblHeader/>
          <w:jc w:val="center"/>
        </w:trPr>
        <w:tc>
          <w:tcPr>
            <w:tcW w:w="649" w:type="dxa"/>
            <w:gridSpan w:val="3"/>
            <w:tcMar>
              <w:left w:w="28" w:type="dxa"/>
              <w:right w:w="28" w:type="dxa"/>
            </w:tcMar>
          </w:tcPr>
          <w:p w14:paraId="3D3E3CA2" w14:textId="77777777" w:rsidR="00C45ED4" w:rsidRPr="00CB2133" w:rsidRDefault="00C45ED4" w:rsidP="00C45ED4">
            <w:pPr>
              <w:keepNext/>
              <w:widowControl/>
              <w:spacing w:before="40" w:after="40"/>
              <w:jc w:val="both"/>
              <w:rPr>
                <w:rFonts w:eastAsia="Calibri"/>
                <w:noProof/>
                <w:sz w:val="22"/>
                <w:szCs w:val="22"/>
                <w:lang w:eastAsia="en-US"/>
              </w:rPr>
            </w:pPr>
            <w:r w:rsidRPr="00CB2133">
              <w:rPr>
                <w:rFonts w:eastAsia="Calibri"/>
                <w:noProof/>
                <w:sz w:val="22"/>
                <w:szCs w:val="22"/>
                <w:lang w:eastAsia="en-US"/>
              </w:rPr>
              <w:t>(29b)</w:t>
            </w:r>
          </w:p>
        </w:tc>
        <w:tc>
          <w:tcPr>
            <w:tcW w:w="2286" w:type="dxa"/>
            <w:gridSpan w:val="3"/>
            <w:tcMar>
              <w:left w:w="28" w:type="dxa"/>
              <w:right w:w="28" w:type="dxa"/>
            </w:tcMar>
          </w:tcPr>
          <w:p w14:paraId="17A8E6A0" w14:textId="77777777" w:rsidR="00C45ED4" w:rsidRPr="00CB2133" w:rsidRDefault="00C45ED4" w:rsidP="00C45ED4">
            <w:pPr>
              <w:keepNext/>
              <w:widowControl/>
              <w:spacing w:before="40" w:after="40"/>
              <w:rPr>
                <w:rFonts w:eastAsia="Calibri"/>
                <w:noProof/>
                <w:sz w:val="22"/>
                <w:szCs w:val="22"/>
                <w:vertAlign w:val="superscript"/>
                <w:lang w:eastAsia="en-US"/>
              </w:rPr>
            </w:pPr>
            <w:r w:rsidRPr="00CB2133">
              <w:rPr>
                <w:rFonts w:eastAsia="Calibri"/>
                <w:noProof/>
                <w:sz w:val="22"/>
                <w:szCs w:val="22"/>
                <w:lang w:eastAsia="en-US"/>
              </w:rPr>
              <w:t xml:space="preserve">Trikloroetüleen </w:t>
            </w:r>
            <w:bookmarkStart w:id="34" w:name="_DV_M306"/>
            <w:bookmarkEnd w:id="34"/>
          </w:p>
        </w:tc>
        <w:tc>
          <w:tcPr>
            <w:tcW w:w="1329" w:type="dxa"/>
            <w:gridSpan w:val="3"/>
            <w:tcMar>
              <w:left w:w="28" w:type="dxa"/>
              <w:right w:w="28" w:type="dxa"/>
            </w:tcMar>
          </w:tcPr>
          <w:p w14:paraId="45A43E73"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48FC8FB4"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79-01-6</w:t>
            </w:r>
          </w:p>
        </w:tc>
        <w:tc>
          <w:tcPr>
            <w:tcW w:w="1134" w:type="dxa"/>
          </w:tcPr>
          <w:p w14:paraId="1C21C2A3"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201-167-4</w:t>
            </w:r>
          </w:p>
        </w:tc>
        <w:tc>
          <w:tcPr>
            <w:tcW w:w="1279" w:type="dxa"/>
            <w:gridSpan w:val="2"/>
            <w:tcMar>
              <w:left w:w="28" w:type="dxa"/>
              <w:right w:w="28" w:type="dxa"/>
            </w:tcMar>
          </w:tcPr>
          <w:p w14:paraId="56349D50"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79" w:type="dxa"/>
            <w:gridSpan w:val="2"/>
            <w:tcMar>
              <w:left w:w="28" w:type="dxa"/>
              <w:right w:w="28" w:type="dxa"/>
            </w:tcMar>
          </w:tcPr>
          <w:p w14:paraId="3B83E572"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10</w:t>
            </w:r>
          </w:p>
        </w:tc>
        <w:tc>
          <w:tcPr>
            <w:tcW w:w="1277" w:type="dxa"/>
            <w:gridSpan w:val="2"/>
            <w:tcMar>
              <w:left w:w="28" w:type="dxa"/>
              <w:right w:w="28" w:type="dxa"/>
            </w:tcMar>
          </w:tcPr>
          <w:p w14:paraId="4E062905"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5D608027"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5A21421E" w14:textId="77777777" w:rsidR="00C45ED4" w:rsidRPr="00CB2133" w:rsidRDefault="00C45ED4" w:rsidP="00C45ED4">
            <w:pPr>
              <w:keepNext/>
              <w:widowControl/>
              <w:spacing w:before="40" w:after="40"/>
              <w:rPr>
                <w:rFonts w:eastAsia="Calibri"/>
                <w:noProof/>
                <w:sz w:val="22"/>
                <w:szCs w:val="22"/>
                <w:lang w:eastAsia="en-US"/>
              </w:rPr>
            </w:pPr>
          </w:p>
        </w:tc>
        <w:tc>
          <w:tcPr>
            <w:tcW w:w="1262" w:type="dxa"/>
            <w:tcMar>
              <w:left w:w="28" w:type="dxa"/>
              <w:right w:w="28" w:type="dxa"/>
            </w:tcMar>
          </w:tcPr>
          <w:p w14:paraId="48F24C98"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127138F1" w14:textId="77777777" w:rsidR="00C45ED4" w:rsidRPr="00CB2133" w:rsidRDefault="00C45ED4" w:rsidP="00C45ED4">
            <w:pPr>
              <w:keepNext/>
              <w:widowControl/>
              <w:spacing w:before="40" w:after="40"/>
              <w:rPr>
                <w:rFonts w:eastAsia="Calibri"/>
                <w:noProof/>
                <w:sz w:val="22"/>
                <w:szCs w:val="22"/>
                <w:lang w:eastAsia="en-US"/>
              </w:rPr>
            </w:pPr>
          </w:p>
        </w:tc>
        <w:tc>
          <w:tcPr>
            <w:tcW w:w="970" w:type="dxa"/>
            <w:tcMar>
              <w:left w:w="28" w:type="dxa"/>
              <w:right w:w="28" w:type="dxa"/>
            </w:tcMar>
          </w:tcPr>
          <w:p w14:paraId="1CA2213D" w14:textId="77777777" w:rsidR="00C45ED4" w:rsidRPr="00CB2133" w:rsidRDefault="00C45ED4" w:rsidP="00C45ED4">
            <w:pPr>
              <w:keepNext/>
              <w:widowControl/>
              <w:spacing w:before="40" w:after="40"/>
              <w:rPr>
                <w:rFonts w:eastAsia="Calibri"/>
                <w:noProof/>
                <w:sz w:val="22"/>
                <w:szCs w:val="22"/>
                <w:lang w:eastAsia="en-US"/>
              </w:rPr>
            </w:pPr>
          </w:p>
        </w:tc>
      </w:tr>
      <w:tr w:rsidR="00C45ED4" w:rsidRPr="00CB2133" w14:paraId="0567CB47" w14:textId="77777777" w:rsidTr="000238DA">
        <w:trPr>
          <w:gridBefore w:val="1"/>
          <w:wBefore w:w="11" w:type="dxa"/>
          <w:cantSplit/>
          <w:tblHeader/>
          <w:jc w:val="center"/>
        </w:trPr>
        <w:tc>
          <w:tcPr>
            <w:tcW w:w="649" w:type="dxa"/>
            <w:gridSpan w:val="3"/>
            <w:tcMar>
              <w:left w:w="28" w:type="dxa"/>
              <w:right w:w="28" w:type="dxa"/>
            </w:tcMar>
          </w:tcPr>
          <w:p w14:paraId="7C0EE9BD"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(30)</w:t>
            </w:r>
          </w:p>
        </w:tc>
        <w:tc>
          <w:tcPr>
            <w:tcW w:w="2286" w:type="dxa"/>
            <w:gridSpan w:val="3"/>
            <w:tcMar>
              <w:left w:w="28" w:type="dxa"/>
              <w:right w:w="28" w:type="dxa"/>
            </w:tcMar>
          </w:tcPr>
          <w:p w14:paraId="6329EBA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Tributüültina ühendid</w:t>
            </w:r>
            <w:r w:rsidRPr="00CB2133">
              <w:rPr>
                <w:rFonts w:eastAsia="Calibri"/>
                <w:noProof/>
                <w:sz w:val="22"/>
                <w:szCs w:val="22"/>
                <w:vertAlign w:val="superscript"/>
                <w:lang w:eastAsia="en-US"/>
              </w:rPr>
              <w:t>(18)</w:t>
            </w:r>
            <w:r w:rsidRPr="00CB2133">
              <w:rPr>
                <w:rFonts w:eastAsia="Calibri"/>
                <w:noProof/>
                <w:sz w:val="22"/>
                <w:szCs w:val="22"/>
                <w:lang w:eastAsia="en-US"/>
              </w:rPr>
              <w:t xml:space="preserve"> (</w:t>
            </w:r>
            <w:bookmarkStart w:id="35" w:name="_DV_C351"/>
            <w:r w:rsidRPr="00CB2133">
              <w:rPr>
                <w:rFonts w:eastAsia="Calibri"/>
                <w:noProof/>
                <w:sz w:val="22"/>
                <w:szCs w:val="22"/>
                <w:lang w:eastAsia="en-US"/>
              </w:rPr>
              <w:t>tributüültina</w:t>
            </w:r>
            <w:bookmarkStart w:id="36" w:name="_DV_M307"/>
            <w:bookmarkEnd w:id="35"/>
            <w:bookmarkEnd w:id="36"/>
            <w:r w:rsidRPr="00CB2133">
              <w:rPr>
                <w:rFonts w:eastAsia="Calibri"/>
                <w:noProof/>
                <w:sz w:val="22"/>
                <w:szCs w:val="22"/>
                <w:lang w:eastAsia="en-US"/>
              </w:rPr>
              <w:t xml:space="preserve"> katioon)</w:t>
            </w:r>
          </w:p>
        </w:tc>
        <w:tc>
          <w:tcPr>
            <w:tcW w:w="1329" w:type="dxa"/>
            <w:gridSpan w:val="3"/>
            <w:tcMar>
              <w:left w:w="28" w:type="dxa"/>
              <w:right w:w="28" w:type="dxa"/>
            </w:tcMar>
          </w:tcPr>
          <w:p w14:paraId="5A42200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Biotsiidid</w:t>
            </w:r>
          </w:p>
        </w:tc>
        <w:tc>
          <w:tcPr>
            <w:tcW w:w="992" w:type="dxa"/>
            <w:gridSpan w:val="2"/>
            <w:tcMar>
              <w:left w:w="28" w:type="dxa"/>
              <w:right w:w="28" w:type="dxa"/>
            </w:tcMar>
          </w:tcPr>
          <w:p w14:paraId="35D3E63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36643-28-4</w:t>
            </w:r>
          </w:p>
        </w:tc>
        <w:tc>
          <w:tcPr>
            <w:tcW w:w="1134" w:type="dxa"/>
          </w:tcPr>
          <w:p w14:paraId="1D33A9D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620873F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0,0002</w:t>
            </w:r>
          </w:p>
        </w:tc>
        <w:tc>
          <w:tcPr>
            <w:tcW w:w="1279" w:type="dxa"/>
            <w:gridSpan w:val="2"/>
            <w:tcMar>
              <w:left w:w="28" w:type="dxa"/>
              <w:right w:w="28" w:type="dxa"/>
            </w:tcMar>
          </w:tcPr>
          <w:p w14:paraId="79561ED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0,0002</w:t>
            </w:r>
          </w:p>
        </w:tc>
        <w:tc>
          <w:tcPr>
            <w:tcW w:w="1277" w:type="dxa"/>
            <w:gridSpan w:val="2"/>
            <w:tcMar>
              <w:left w:w="28" w:type="dxa"/>
              <w:right w:w="28" w:type="dxa"/>
            </w:tcMar>
          </w:tcPr>
          <w:p w14:paraId="77EA73A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0,0015</w:t>
            </w:r>
          </w:p>
        </w:tc>
        <w:tc>
          <w:tcPr>
            <w:tcW w:w="1276" w:type="dxa"/>
            <w:gridSpan w:val="2"/>
            <w:tcMar>
              <w:left w:w="28" w:type="dxa"/>
              <w:right w:w="28" w:type="dxa"/>
            </w:tcMar>
          </w:tcPr>
          <w:p w14:paraId="78639B3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0,0015</w:t>
            </w:r>
          </w:p>
        </w:tc>
        <w:tc>
          <w:tcPr>
            <w:tcW w:w="1135" w:type="dxa"/>
            <w:gridSpan w:val="2"/>
            <w:tcMar>
              <w:left w:w="28" w:type="dxa"/>
              <w:right w:w="28" w:type="dxa"/>
            </w:tcMar>
          </w:tcPr>
          <w:p w14:paraId="20468D2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[1,3]</w:t>
            </w:r>
            <w:r w:rsidRPr="00CB2133">
              <w:rPr>
                <w:rFonts w:eastAsia="Calibri"/>
                <w:noProof/>
                <w:sz w:val="22"/>
                <w:szCs w:val="22"/>
                <w:vertAlign w:val="superscript"/>
                <w:lang w:eastAsia="en-US"/>
              </w:rPr>
              <w:t>(19)</w:t>
            </w:r>
          </w:p>
        </w:tc>
        <w:tc>
          <w:tcPr>
            <w:tcW w:w="1262" w:type="dxa"/>
            <w:tcMar>
              <w:left w:w="28" w:type="dxa"/>
              <w:right w:w="28" w:type="dxa"/>
            </w:tcMar>
          </w:tcPr>
          <w:p w14:paraId="4DA315D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X </w:t>
            </w:r>
          </w:p>
        </w:tc>
        <w:tc>
          <w:tcPr>
            <w:tcW w:w="1154" w:type="dxa"/>
            <w:gridSpan w:val="2"/>
            <w:tcMar>
              <w:left w:w="28" w:type="dxa"/>
              <w:right w:w="28" w:type="dxa"/>
            </w:tcMar>
          </w:tcPr>
          <w:p w14:paraId="0488F9A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15DE1F6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33856E56" w14:textId="77777777" w:rsidTr="000238DA">
        <w:trPr>
          <w:gridBefore w:val="1"/>
          <w:wBefore w:w="11" w:type="dxa"/>
          <w:cantSplit/>
          <w:tblHeader/>
          <w:jc w:val="center"/>
        </w:trPr>
        <w:tc>
          <w:tcPr>
            <w:tcW w:w="649" w:type="dxa"/>
            <w:gridSpan w:val="3"/>
            <w:tcMar>
              <w:left w:w="28" w:type="dxa"/>
              <w:right w:w="28" w:type="dxa"/>
            </w:tcMar>
          </w:tcPr>
          <w:p w14:paraId="79EE04E2"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(31)</w:t>
            </w:r>
          </w:p>
        </w:tc>
        <w:tc>
          <w:tcPr>
            <w:tcW w:w="2286" w:type="dxa"/>
            <w:gridSpan w:val="3"/>
            <w:tcMar>
              <w:left w:w="28" w:type="dxa"/>
              <w:right w:w="28" w:type="dxa"/>
            </w:tcMar>
          </w:tcPr>
          <w:p w14:paraId="3B3E44B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Triklorobenseenid</w:t>
            </w:r>
          </w:p>
        </w:tc>
        <w:tc>
          <w:tcPr>
            <w:tcW w:w="1329" w:type="dxa"/>
            <w:gridSpan w:val="3"/>
            <w:tcMar>
              <w:left w:w="28" w:type="dxa"/>
              <w:right w:w="28" w:type="dxa"/>
            </w:tcMar>
          </w:tcPr>
          <w:p w14:paraId="5EE0039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 (lahustid)</w:t>
            </w:r>
          </w:p>
        </w:tc>
        <w:tc>
          <w:tcPr>
            <w:tcW w:w="992" w:type="dxa"/>
            <w:gridSpan w:val="2"/>
            <w:tcMar>
              <w:left w:w="28" w:type="dxa"/>
              <w:right w:w="28" w:type="dxa"/>
            </w:tcMar>
          </w:tcPr>
          <w:p w14:paraId="52F5A3A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12002-48-1</w:t>
            </w:r>
          </w:p>
        </w:tc>
        <w:tc>
          <w:tcPr>
            <w:tcW w:w="1134" w:type="dxa"/>
          </w:tcPr>
          <w:p w14:paraId="3493E63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234-413-4</w:t>
            </w:r>
          </w:p>
        </w:tc>
        <w:tc>
          <w:tcPr>
            <w:tcW w:w="1279" w:type="dxa"/>
            <w:gridSpan w:val="2"/>
            <w:tcMar>
              <w:left w:w="28" w:type="dxa"/>
              <w:right w:w="28" w:type="dxa"/>
            </w:tcMar>
          </w:tcPr>
          <w:p w14:paraId="28F33CF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0,4 </w:t>
            </w:r>
          </w:p>
        </w:tc>
        <w:tc>
          <w:tcPr>
            <w:tcW w:w="1279" w:type="dxa"/>
            <w:gridSpan w:val="2"/>
            <w:tcMar>
              <w:left w:w="28" w:type="dxa"/>
              <w:right w:w="28" w:type="dxa"/>
            </w:tcMar>
          </w:tcPr>
          <w:p w14:paraId="1677CFE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0,4</w:t>
            </w:r>
          </w:p>
        </w:tc>
        <w:tc>
          <w:tcPr>
            <w:tcW w:w="1277" w:type="dxa"/>
            <w:gridSpan w:val="2"/>
            <w:tcMar>
              <w:left w:w="28" w:type="dxa"/>
              <w:right w:w="28" w:type="dxa"/>
            </w:tcMar>
          </w:tcPr>
          <w:p w14:paraId="0D6F1BB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7A873D0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313D37EB"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14970E50"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020CC1AC"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E6E9636"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478E35EF" w14:textId="77777777" w:rsidTr="000238DA">
        <w:trPr>
          <w:gridBefore w:val="1"/>
          <w:wBefore w:w="11" w:type="dxa"/>
          <w:cantSplit/>
          <w:tblHeader/>
          <w:jc w:val="center"/>
        </w:trPr>
        <w:tc>
          <w:tcPr>
            <w:tcW w:w="649" w:type="dxa"/>
            <w:gridSpan w:val="3"/>
            <w:tcMar>
              <w:left w:w="28" w:type="dxa"/>
              <w:right w:w="28" w:type="dxa"/>
            </w:tcMar>
          </w:tcPr>
          <w:p w14:paraId="20E6A61F"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(32)</w:t>
            </w:r>
          </w:p>
        </w:tc>
        <w:tc>
          <w:tcPr>
            <w:tcW w:w="2286" w:type="dxa"/>
            <w:gridSpan w:val="3"/>
            <w:tcMar>
              <w:left w:w="28" w:type="dxa"/>
              <w:right w:w="28" w:type="dxa"/>
            </w:tcMar>
          </w:tcPr>
          <w:p w14:paraId="4B7FB4A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Triklorometaan</w:t>
            </w:r>
          </w:p>
        </w:tc>
        <w:tc>
          <w:tcPr>
            <w:tcW w:w="1329" w:type="dxa"/>
            <w:gridSpan w:val="3"/>
            <w:tcMar>
              <w:left w:w="28" w:type="dxa"/>
              <w:right w:w="28" w:type="dxa"/>
            </w:tcMar>
          </w:tcPr>
          <w:p w14:paraId="7D431A4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1253EFE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67-66-3</w:t>
            </w:r>
          </w:p>
        </w:tc>
        <w:tc>
          <w:tcPr>
            <w:tcW w:w="1134" w:type="dxa"/>
          </w:tcPr>
          <w:p w14:paraId="39286B1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200-663-8</w:t>
            </w:r>
          </w:p>
        </w:tc>
        <w:tc>
          <w:tcPr>
            <w:tcW w:w="1279" w:type="dxa"/>
            <w:gridSpan w:val="2"/>
            <w:tcMar>
              <w:left w:w="28" w:type="dxa"/>
              <w:right w:w="28" w:type="dxa"/>
            </w:tcMar>
          </w:tcPr>
          <w:p w14:paraId="5EA0D48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2,5 </w:t>
            </w:r>
          </w:p>
        </w:tc>
        <w:tc>
          <w:tcPr>
            <w:tcW w:w="1279" w:type="dxa"/>
            <w:gridSpan w:val="2"/>
            <w:tcMar>
              <w:left w:w="28" w:type="dxa"/>
              <w:right w:w="28" w:type="dxa"/>
            </w:tcMar>
          </w:tcPr>
          <w:p w14:paraId="5B05247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 xml:space="preserve">2,5 </w:t>
            </w:r>
          </w:p>
        </w:tc>
        <w:tc>
          <w:tcPr>
            <w:tcW w:w="1277" w:type="dxa"/>
            <w:gridSpan w:val="2"/>
            <w:tcMar>
              <w:left w:w="28" w:type="dxa"/>
              <w:right w:w="28" w:type="dxa"/>
            </w:tcMar>
          </w:tcPr>
          <w:p w14:paraId="6F54CDA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2361A8F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749C52A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C1C276A"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4F20D776"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9F6AE6C"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6C49EA44" w14:textId="77777777" w:rsidTr="000238DA">
        <w:trPr>
          <w:gridBefore w:val="1"/>
          <w:wBefore w:w="11" w:type="dxa"/>
          <w:cantSplit/>
          <w:tblHeader/>
          <w:jc w:val="center"/>
        </w:trPr>
        <w:tc>
          <w:tcPr>
            <w:tcW w:w="649" w:type="dxa"/>
            <w:gridSpan w:val="3"/>
            <w:tcMar>
              <w:left w:w="28" w:type="dxa"/>
              <w:right w:w="28" w:type="dxa"/>
            </w:tcMar>
          </w:tcPr>
          <w:p w14:paraId="35B7DD5A"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(33)</w:t>
            </w:r>
          </w:p>
        </w:tc>
        <w:tc>
          <w:tcPr>
            <w:tcW w:w="2286" w:type="dxa"/>
            <w:gridSpan w:val="3"/>
            <w:tcMar>
              <w:left w:w="28" w:type="dxa"/>
              <w:right w:w="28" w:type="dxa"/>
            </w:tcMar>
          </w:tcPr>
          <w:p w14:paraId="69B3A32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Trifluraliin</w:t>
            </w:r>
          </w:p>
        </w:tc>
        <w:tc>
          <w:tcPr>
            <w:tcW w:w="1329" w:type="dxa"/>
            <w:gridSpan w:val="3"/>
            <w:tcMar>
              <w:left w:w="28" w:type="dxa"/>
              <w:right w:w="28" w:type="dxa"/>
            </w:tcMar>
          </w:tcPr>
          <w:p w14:paraId="2B8616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520FCF3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1582-09-8</w:t>
            </w:r>
          </w:p>
        </w:tc>
        <w:tc>
          <w:tcPr>
            <w:tcW w:w="1134" w:type="dxa"/>
          </w:tcPr>
          <w:p w14:paraId="438C6B0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216-428-8</w:t>
            </w:r>
          </w:p>
        </w:tc>
        <w:tc>
          <w:tcPr>
            <w:tcW w:w="1279" w:type="dxa"/>
            <w:gridSpan w:val="2"/>
            <w:tcMar>
              <w:left w:w="28" w:type="dxa"/>
              <w:right w:w="28" w:type="dxa"/>
            </w:tcMar>
          </w:tcPr>
          <w:p w14:paraId="7CF20E4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0,03</w:t>
            </w:r>
          </w:p>
        </w:tc>
        <w:tc>
          <w:tcPr>
            <w:tcW w:w="1279" w:type="dxa"/>
            <w:gridSpan w:val="2"/>
            <w:tcMar>
              <w:left w:w="28" w:type="dxa"/>
              <w:right w:w="28" w:type="dxa"/>
            </w:tcMar>
          </w:tcPr>
          <w:p w14:paraId="6D19CE5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0,03</w:t>
            </w:r>
          </w:p>
        </w:tc>
        <w:tc>
          <w:tcPr>
            <w:tcW w:w="1277" w:type="dxa"/>
            <w:gridSpan w:val="2"/>
            <w:tcMar>
              <w:left w:w="28" w:type="dxa"/>
              <w:right w:w="28" w:type="dxa"/>
            </w:tcMar>
          </w:tcPr>
          <w:p w14:paraId="120DF43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tcMar>
              <w:left w:w="28" w:type="dxa"/>
              <w:right w:w="28" w:type="dxa"/>
            </w:tcMar>
          </w:tcPr>
          <w:p w14:paraId="3C5DB6C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tcMar>
              <w:left w:w="28" w:type="dxa"/>
              <w:right w:w="28" w:type="dxa"/>
            </w:tcMar>
          </w:tcPr>
          <w:p w14:paraId="72397B88"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244F3B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4A457457"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658CF96E"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1DFF7ED4" w14:textId="77777777" w:rsidTr="000238DA">
        <w:trPr>
          <w:gridBefore w:val="1"/>
          <w:wBefore w:w="11" w:type="dxa"/>
          <w:cantSplit/>
          <w:tblHeader/>
          <w:jc w:val="center"/>
        </w:trPr>
        <w:tc>
          <w:tcPr>
            <w:tcW w:w="649" w:type="dxa"/>
            <w:gridSpan w:val="3"/>
            <w:tcMar>
              <w:left w:w="28" w:type="dxa"/>
              <w:right w:w="28" w:type="dxa"/>
            </w:tcMar>
          </w:tcPr>
          <w:p w14:paraId="6AAD35D3"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(34)</w:t>
            </w:r>
          </w:p>
        </w:tc>
        <w:tc>
          <w:tcPr>
            <w:tcW w:w="2286" w:type="dxa"/>
            <w:gridSpan w:val="3"/>
            <w:tcMar>
              <w:left w:w="28" w:type="dxa"/>
              <w:right w:w="28" w:type="dxa"/>
            </w:tcMar>
          </w:tcPr>
          <w:p w14:paraId="11F6DB1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Dikofool</w:t>
            </w:r>
          </w:p>
        </w:tc>
        <w:tc>
          <w:tcPr>
            <w:tcW w:w="1329" w:type="dxa"/>
            <w:gridSpan w:val="3"/>
            <w:tcMar>
              <w:left w:w="28" w:type="dxa"/>
              <w:right w:w="28" w:type="dxa"/>
            </w:tcMar>
          </w:tcPr>
          <w:p w14:paraId="463EAE8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6DB985D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115-32-2</w:t>
            </w:r>
          </w:p>
        </w:tc>
        <w:tc>
          <w:tcPr>
            <w:tcW w:w="1134" w:type="dxa"/>
          </w:tcPr>
          <w:p w14:paraId="014FA5E8"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204-082-0</w:t>
            </w:r>
          </w:p>
        </w:tc>
        <w:tc>
          <w:tcPr>
            <w:tcW w:w="1279" w:type="dxa"/>
            <w:gridSpan w:val="2"/>
            <w:tcMar>
              <w:left w:w="28" w:type="dxa"/>
              <w:right w:w="28" w:type="dxa"/>
            </w:tcMar>
          </w:tcPr>
          <w:p w14:paraId="679C55DF"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[4,45 × 10</w:t>
            </w:r>
            <w:r w:rsidRPr="00CB2133">
              <w:rPr>
                <w:rFonts w:eastAsia="Calibri"/>
                <w:noProof/>
                <w:sz w:val="22"/>
                <w:szCs w:val="22"/>
                <w:vertAlign w:val="superscript"/>
                <w:lang w:eastAsia="en-US"/>
              </w:rPr>
              <w:t>-3</w:t>
            </w:r>
            <w:r w:rsidRPr="00CB2133">
              <w:rPr>
                <w:rFonts w:eastAsia="Calibri"/>
                <w:noProof/>
                <w:sz w:val="22"/>
                <w:szCs w:val="22"/>
                <w:lang w:eastAsia="en-US"/>
              </w:rPr>
              <w:t>]</w:t>
            </w:r>
          </w:p>
        </w:tc>
        <w:tc>
          <w:tcPr>
            <w:tcW w:w="1279" w:type="dxa"/>
            <w:gridSpan w:val="2"/>
            <w:tcMar>
              <w:left w:w="28" w:type="dxa"/>
              <w:right w:w="28" w:type="dxa"/>
            </w:tcMar>
          </w:tcPr>
          <w:p w14:paraId="73974CB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[0,185 × 10</w:t>
            </w:r>
            <w:r w:rsidRPr="00CB2133">
              <w:rPr>
                <w:rFonts w:eastAsia="Calibri"/>
                <w:noProof/>
                <w:sz w:val="22"/>
                <w:szCs w:val="22"/>
                <w:vertAlign w:val="superscript"/>
                <w:lang w:eastAsia="en-US"/>
              </w:rPr>
              <w:t>-3</w:t>
            </w:r>
            <w:r w:rsidRPr="00CB2133">
              <w:rPr>
                <w:rFonts w:eastAsia="Calibri"/>
                <w:noProof/>
                <w:sz w:val="22"/>
                <w:szCs w:val="22"/>
                <w:lang w:eastAsia="en-US"/>
              </w:rPr>
              <w:t>]</w:t>
            </w:r>
          </w:p>
        </w:tc>
        <w:tc>
          <w:tcPr>
            <w:tcW w:w="1277" w:type="dxa"/>
            <w:gridSpan w:val="2"/>
            <w:tcMar>
              <w:left w:w="28" w:type="dxa"/>
              <w:right w:w="28" w:type="dxa"/>
            </w:tcMar>
          </w:tcPr>
          <w:p w14:paraId="0E67D637"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Ei kohaldata</w:t>
            </w:r>
            <w:bookmarkStart w:id="37" w:name="_DV_M308"/>
            <w:bookmarkStart w:id="38" w:name="_Ref101447957"/>
            <w:bookmarkEnd w:id="37"/>
            <w:r w:rsidRPr="00CB2133">
              <w:rPr>
                <w:rFonts w:eastAsia="Calibri"/>
                <w:noProof/>
                <w:sz w:val="22"/>
                <w:szCs w:val="22"/>
                <w:vertAlign w:val="superscript"/>
                <w:lang w:eastAsia="en-US"/>
              </w:rPr>
              <w:t>(20)</w:t>
            </w:r>
            <w:bookmarkEnd w:id="38"/>
          </w:p>
        </w:tc>
        <w:tc>
          <w:tcPr>
            <w:tcW w:w="1276" w:type="dxa"/>
            <w:gridSpan w:val="2"/>
            <w:tcMar>
              <w:left w:w="28" w:type="dxa"/>
              <w:right w:w="28" w:type="dxa"/>
            </w:tcMar>
          </w:tcPr>
          <w:p w14:paraId="4091B0A8"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Ei kohaldata</w:t>
            </w:r>
            <w:r w:rsidRPr="00CB2133">
              <w:rPr>
                <w:rFonts w:eastAsia="Calibri"/>
                <w:noProof/>
                <w:sz w:val="22"/>
                <w:szCs w:val="22"/>
                <w:vertAlign w:val="superscript"/>
                <w:lang w:eastAsia="en-US"/>
              </w:rPr>
              <w:t>(20)</w:t>
            </w:r>
            <w:bookmarkStart w:id="39" w:name="_DV_M309"/>
            <w:bookmarkEnd w:id="39"/>
          </w:p>
        </w:tc>
        <w:tc>
          <w:tcPr>
            <w:tcW w:w="1135" w:type="dxa"/>
            <w:gridSpan w:val="2"/>
            <w:tcMar>
              <w:left w:w="28" w:type="dxa"/>
              <w:right w:w="28" w:type="dxa"/>
            </w:tcMar>
          </w:tcPr>
          <w:p w14:paraId="3032EB1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[5,45]</w:t>
            </w:r>
          </w:p>
        </w:tc>
        <w:tc>
          <w:tcPr>
            <w:tcW w:w="1262" w:type="dxa"/>
            <w:tcMar>
              <w:left w:w="28" w:type="dxa"/>
              <w:right w:w="28" w:type="dxa"/>
            </w:tcMar>
          </w:tcPr>
          <w:p w14:paraId="2C724EF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384D1421"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000A162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22DE3F7B" w14:textId="77777777" w:rsidTr="000238DA">
        <w:trPr>
          <w:gridBefore w:val="1"/>
          <w:wBefore w:w="11" w:type="dxa"/>
          <w:cantSplit/>
          <w:tblHeader/>
          <w:jc w:val="center"/>
        </w:trPr>
        <w:tc>
          <w:tcPr>
            <w:tcW w:w="649" w:type="dxa"/>
            <w:gridSpan w:val="3"/>
            <w:tcMar>
              <w:left w:w="28" w:type="dxa"/>
              <w:right w:w="28" w:type="dxa"/>
            </w:tcMar>
          </w:tcPr>
          <w:p w14:paraId="6DB13D24"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(35)</w:t>
            </w:r>
          </w:p>
        </w:tc>
        <w:tc>
          <w:tcPr>
            <w:tcW w:w="2286" w:type="dxa"/>
            <w:gridSpan w:val="3"/>
            <w:tcMar>
              <w:left w:w="28" w:type="dxa"/>
              <w:right w:w="28" w:type="dxa"/>
            </w:tcMar>
          </w:tcPr>
          <w:p w14:paraId="43838969" w14:textId="77777777" w:rsidR="00C45ED4" w:rsidRPr="00CB2133" w:rsidRDefault="00C45ED4" w:rsidP="00C45ED4">
            <w:pPr>
              <w:pageBreakBefore/>
              <w:widowControl/>
              <w:spacing w:before="40" w:after="40"/>
              <w:rPr>
                <w:rFonts w:eastAsia="Calibri"/>
                <w:noProof/>
                <w:sz w:val="22"/>
                <w:szCs w:val="22"/>
                <w:lang w:eastAsia="en-US"/>
              </w:rPr>
            </w:pPr>
            <w:r w:rsidRPr="00CB2133">
              <w:rPr>
                <w:rFonts w:eastAsia="Calibri"/>
                <w:noProof/>
                <w:sz w:val="22"/>
                <w:szCs w:val="22"/>
                <w:lang w:eastAsia="en-US"/>
              </w:rPr>
              <w:t>Perfluorooktaansulfoonhape ja selle derivaadid (PFOS)</w:t>
            </w:r>
          </w:p>
        </w:tc>
        <w:tc>
          <w:tcPr>
            <w:tcW w:w="1329" w:type="dxa"/>
            <w:gridSpan w:val="3"/>
            <w:tcMar>
              <w:left w:w="28" w:type="dxa"/>
              <w:right w:w="28" w:type="dxa"/>
            </w:tcMar>
          </w:tcPr>
          <w:p w14:paraId="283B5A6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0807484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1763-23-1</w:t>
            </w:r>
          </w:p>
        </w:tc>
        <w:tc>
          <w:tcPr>
            <w:tcW w:w="1134" w:type="dxa"/>
          </w:tcPr>
          <w:p w14:paraId="1A6BB99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217-179-8</w:t>
            </w:r>
          </w:p>
        </w:tc>
        <w:tc>
          <w:tcPr>
            <w:tcW w:w="9632" w:type="dxa"/>
            <w:gridSpan w:val="14"/>
            <w:tcMar>
              <w:left w:w="28" w:type="dxa"/>
              <w:right w:w="28" w:type="dxa"/>
            </w:tcMar>
          </w:tcPr>
          <w:p w14:paraId="31BC60E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Kuuluvad ainerühma 65 (</w:t>
            </w:r>
            <w:r w:rsidRPr="00CB2133">
              <w:rPr>
                <w:rFonts w:eastAsia="Calibri"/>
                <w:noProof/>
                <w:color w:val="000000"/>
                <w:sz w:val="22"/>
                <w:szCs w:val="22"/>
                <w:lang w:eastAsia="en-US"/>
              </w:rPr>
              <w:t>perfluoritud ja polüfluoritud alküülühendid (PFAS) – 24 ühendi summa</w:t>
            </w:r>
            <w:r w:rsidRPr="00CB2133">
              <w:rPr>
                <w:rFonts w:eastAsia="Calibri"/>
                <w:noProof/>
                <w:sz w:val="22"/>
                <w:szCs w:val="22"/>
                <w:lang w:eastAsia="en-US"/>
              </w:rPr>
              <w:t>)</w:t>
            </w:r>
          </w:p>
        </w:tc>
      </w:tr>
      <w:tr w:rsidR="00C45ED4" w:rsidRPr="00CB2133" w14:paraId="76637341" w14:textId="77777777" w:rsidTr="000238DA">
        <w:trPr>
          <w:gridBefore w:val="1"/>
          <w:wBefore w:w="11" w:type="dxa"/>
          <w:cantSplit/>
          <w:tblHeader/>
          <w:jc w:val="center"/>
        </w:trPr>
        <w:tc>
          <w:tcPr>
            <w:tcW w:w="649" w:type="dxa"/>
            <w:gridSpan w:val="3"/>
            <w:tcMar>
              <w:left w:w="28" w:type="dxa"/>
              <w:right w:w="28" w:type="dxa"/>
            </w:tcMar>
          </w:tcPr>
          <w:p w14:paraId="4336290D"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lastRenderedPageBreak/>
              <w:t>(36)</w:t>
            </w:r>
          </w:p>
        </w:tc>
        <w:tc>
          <w:tcPr>
            <w:tcW w:w="2286" w:type="dxa"/>
            <w:gridSpan w:val="3"/>
            <w:tcMar>
              <w:left w:w="28" w:type="dxa"/>
              <w:right w:w="28" w:type="dxa"/>
            </w:tcMar>
          </w:tcPr>
          <w:p w14:paraId="0FD1A99F" w14:textId="77777777" w:rsidR="00C45ED4" w:rsidRPr="00CB2133" w:rsidRDefault="00C45ED4" w:rsidP="00C45ED4">
            <w:pPr>
              <w:pageBreakBefore/>
              <w:widowControl/>
              <w:spacing w:before="40" w:after="40"/>
              <w:rPr>
                <w:rFonts w:eastAsia="Calibri"/>
                <w:noProof/>
                <w:sz w:val="22"/>
                <w:szCs w:val="22"/>
                <w:lang w:eastAsia="en-US"/>
              </w:rPr>
            </w:pPr>
            <w:r w:rsidRPr="00CB2133">
              <w:rPr>
                <w:rFonts w:eastAsia="Calibri"/>
                <w:noProof/>
                <w:sz w:val="22"/>
                <w:szCs w:val="22"/>
                <w:lang w:eastAsia="en-US"/>
              </w:rPr>
              <w:t>Kinoksüfeen</w:t>
            </w:r>
          </w:p>
        </w:tc>
        <w:tc>
          <w:tcPr>
            <w:tcW w:w="1329" w:type="dxa"/>
            <w:gridSpan w:val="3"/>
            <w:tcMar>
              <w:left w:w="28" w:type="dxa"/>
              <w:right w:w="28" w:type="dxa"/>
            </w:tcMar>
          </w:tcPr>
          <w:p w14:paraId="796500B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Taimekaitsevahendid</w:t>
            </w:r>
          </w:p>
        </w:tc>
        <w:tc>
          <w:tcPr>
            <w:tcW w:w="992" w:type="dxa"/>
            <w:gridSpan w:val="2"/>
            <w:tcMar>
              <w:left w:w="28" w:type="dxa"/>
              <w:right w:w="28" w:type="dxa"/>
            </w:tcMar>
          </w:tcPr>
          <w:p w14:paraId="32D86E8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124495-18-7</w:t>
            </w:r>
          </w:p>
        </w:tc>
        <w:tc>
          <w:tcPr>
            <w:tcW w:w="1134" w:type="dxa"/>
          </w:tcPr>
          <w:p w14:paraId="3414FDF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2460E80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0,15</w:t>
            </w:r>
          </w:p>
        </w:tc>
        <w:tc>
          <w:tcPr>
            <w:tcW w:w="1279" w:type="dxa"/>
            <w:gridSpan w:val="2"/>
            <w:tcMar>
              <w:left w:w="28" w:type="dxa"/>
              <w:right w:w="28" w:type="dxa"/>
            </w:tcMar>
          </w:tcPr>
          <w:p w14:paraId="34B1CD2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0,015</w:t>
            </w:r>
          </w:p>
        </w:tc>
        <w:tc>
          <w:tcPr>
            <w:tcW w:w="1277" w:type="dxa"/>
            <w:gridSpan w:val="2"/>
            <w:tcMar>
              <w:left w:w="28" w:type="dxa"/>
              <w:right w:w="28" w:type="dxa"/>
            </w:tcMar>
          </w:tcPr>
          <w:p w14:paraId="24171F2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2,7</w:t>
            </w:r>
          </w:p>
        </w:tc>
        <w:tc>
          <w:tcPr>
            <w:tcW w:w="1276" w:type="dxa"/>
            <w:gridSpan w:val="2"/>
            <w:tcMar>
              <w:left w:w="28" w:type="dxa"/>
              <w:right w:w="28" w:type="dxa"/>
            </w:tcMar>
          </w:tcPr>
          <w:p w14:paraId="26126BB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0,54</w:t>
            </w:r>
          </w:p>
        </w:tc>
        <w:tc>
          <w:tcPr>
            <w:tcW w:w="1135" w:type="dxa"/>
            <w:gridSpan w:val="2"/>
            <w:tcMar>
              <w:left w:w="28" w:type="dxa"/>
              <w:right w:w="28" w:type="dxa"/>
            </w:tcMar>
          </w:tcPr>
          <w:p w14:paraId="2BBC0C53"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68319DB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527DA12C"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389CE75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0EF2C1D5" w14:textId="77777777" w:rsidTr="000238DA">
        <w:trPr>
          <w:cantSplit/>
          <w:tblHeader/>
          <w:jc w:val="center"/>
        </w:trPr>
        <w:tc>
          <w:tcPr>
            <w:tcW w:w="660" w:type="dxa"/>
            <w:gridSpan w:val="4"/>
            <w:tcMar>
              <w:left w:w="28" w:type="dxa"/>
              <w:right w:w="28" w:type="dxa"/>
            </w:tcMar>
          </w:tcPr>
          <w:p w14:paraId="60497A7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(37)</w:t>
            </w:r>
          </w:p>
        </w:tc>
        <w:tc>
          <w:tcPr>
            <w:tcW w:w="2193" w:type="dxa"/>
            <w:tcMar>
              <w:left w:w="28" w:type="dxa"/>
              <w:right w:w="28" w:type="dxa"/>
            </w:tcMar>
          </w:tcPr>
          <w:p w14:paraId="7DEC6984" w14:textId="77777777" w:rsidR="00C45ED4" w:rsidRPr="00CB2133" w:rsidRDefault="00C45ED4" w:rsidP="00C45ED4">
            <w:pPr>
              <w:widowControl/>
              <w:spacing w:before="40" w:after="40"/>
              <w:rPr>
                <w:rFonts w:eastAsia="Calibri"/>
                <w:noProof/>
                <w:color w:val="F79646"/>
                <w:sz w:val="22"/>
                <w:szCs w:val="22"/>
                <w:lang w:eastAsia="en-US"/>
              </w:rPr>
            </w:pPr>
            <w:r w:rsidRPr="00CB2133">
              <w:rPr>
                <w:rFonts w:eastAsia="Calibri"/>
                <w:noProof/>
                <w:sz w:val="22"/>
                <w:szCs w:val="22"/>
                <w:lang w:eastAsia="en-US"/>
              </w:rPr>
              <w:t>Dioksiinid ja dioksiinilaadsed ühendid</w:t>
            </w:r>
            <w:r w:rsidRPr="00CB2133">
              <w:rPr>
                <w:rFonts w:eastAsia="Calibri"/>
                <w:noProof/>
                <w:sz w:val="22"/>
                <w:szCs w:val="22"/>
                <w:vertAlign w:val="superscript"/>
                <w:lang w:eastAsia="en-US"/>
              </w:rPr>
              <w:t>(21)</w:t>
            </w:r>
          </w:p>
        </w:tc>
        <w:tc>
          <w:tcPr>
            <w:tcW w:w="1422" w:type="dxa"/>
            <w:gridSpan w:val="5"/>
            <w:tcMar>
              <w:left w:w="28" w:type="dxa"/>
              <w:right w:w="28" w:type="dxa"/>
            </w:tcMar>
          </w:tcPr>
          <w:p w14:paraId="7198ECE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 kõrvalsaadused</w:t>
            </w:r>
          </w:p>
        </w:tc>
        <w:tc>
          <w:tcPr>
            <w:tcW w:w="992" w:type="dxa"/>
            <w:gridSpan w:val="2"/>
            <w:tcMar>
              <w:left w:w="28" w:type="dxa"/>
              <w:right w:w="28" w:type="dxa"/>
            </w:tcMar>
          </w:tcPr>
          <w:p w14:paraId="12C6499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4" w:type="dxa"/>
          </w:tcPr>
          <w:p w14:paraId="5C020BA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tcMar>
              <w:left w:w="28" w:type="dxa"/>
              <w:right w:w="28" w:type="dxa"/>
            </w:tcMar>
          </w:tcPr>
          <w:p w14:paraId="55870CA5" w14:textId="77777777" w:rsidR="00C45ED4" w:rsidRPr="00CB2133" w:rsidRDefault="00C45ED4" w:rsidP="00C45ED4">
            <w:pPr>
              <w:widowControl/>
              <w:spacing w:before="40" w:after="40"/>
              <w:rPr>
                <w:rFonts w:eastAsia="Calibri"/>
                <w:noProof/>
                <w:sz w:val="22"/>
                <w:szCs w:val="22"/>
                <w:lang w:eastAsia="en-US"/>
              </w:rPr>
            </w:pPr>
          </w:p>
        </w:tc>
        <w:tc>
          <w:tcPr>
            <w:tcW w:w="1279" w:type="dxa"/>
            <w:gridSpan w:val="2"/>
            <w:tcMar>
              <w:left w:w="28" w:type="dxa"/>
              <w:right w:w="28" w:type="dxa"/>
            </w:tcMar>
          </w:tcPr>
          <w:p w14:paraId="38FCE823" w14:textId="77777777" w:rsidR="00C45ED4" w:rsidRPr="00CB2133" w:rsidRDefault="00C45ED4" w:rsidP="00C45ED4">
            <w:pPr>
              <w:widowControl/>
              <w:spacing w:before="40" w:after="40"/>
              <w:rPr>
                <w:rFonts w:eastAsia="Calibri"/>
                <w:noProof/>
                <w:sz w:val="22"/>
                <w:szCs w:val="22"/>
                <w:lang w:eastAsia="en-US"/>
              </w:rPr>
            </w:pPr>
          </w:p>
        </w:tc>
        <w:tc>
          <w:tcPr>
            <w:tcW w:w="1277" w:type="dxa"/>
            <w:gridSpan w:val="2"/>
            <w:tcMar>
              <w:left w:w="28" w:type="dxa"/>
              <w:right w:w="28" w:type="dxa"/>
            </w:tcMar>
          </w:tcPr>
          <w:p w14:paraId="59626A85" w14:textId="77777777" w:rsidR="00C45ED4" w:rsidRPr="00CB2133" w:rsidRDefault="00C45ED4" w:rsidP="00C45ED4">
            <w:pPr>
              <w:widowControl/>
              <w:spacing w:before="40" w:after="40"/>
              <w:rPr>
                <w:rFonts w:eastAsia="Calibri"/>
                <w:b/>
                <w:i/>
                <w:noProof/>
                <w:sz w:val="22"/>
                <w:szCs w:val="22"/>
                <w:lang w:eastAsia="en-US"/>
              </w:rPr>
            </w:pPr>
            <w:bookmarkStart w:id="40" w:name="_DV_C352"/>
            <w:r w:rsidRPr="00CB2133">
              <w:rPr>
                <w:rFonts w:eastAsia="Calibri"/>
                <w:noProof/>
                <w:sz w:val="22"/>
                <w:szCs w:val="22"/>
                <w:lang w:eastAsia="en-US"/>
              </w:rPr>
              <w:t>Ei kohaldata</w:t>
            </w:r>
            <w:bookmarkEnd w:id="40"/>
          </w:p>
        </w:tc>
        <w:tc>
          <w:tcPr>
            <w:tcW w:w="1276" w:type="dxa"/>
            <w:gridSpan w:val="2"/>
            <w:tcMar>
              <w:left w:w="28" w:type="dxa"/>
              <w:right w:w="28" w:type="dxa"/>
            </w:tcMar>
          </w:tcPr>
          <w:p w14:paraId="2F9D480F" w14:textId="77777777" w:rsidR="00C45ED4" w:rsidRPr="00CB2133" w:rsidRDefault="00C45ED4" w:rsidP="00C45ED4">
            <w:pPr>
              <w:widowControl/>
              <w:spacing w:before="40" w:after="40"/>
              <w:rPr>
                <w:rFonts w:eastAsia="Calibri"/>
                <w:b/>
                <w:i/>
                <w:noProof/>
                <w:sz w:val="22"/>
                <w:szCs w:val="22"/>
                <w:lang w:eastAsia="en-US"/>
              </w:rPr>
            </w:pPr>
            <w:bookmarkStart w:id="41" w:name="_DV_C353"/>
            <w:r w:rsidRPr="00CB2133">
              <w:rPr>
                <w:rFonts w:eastAsia="Calibri"/>
                <w:noProof/>
                <w:sz w:val="22"/>
                <w:szCs w:val="22"/>
                <w:lang w:eastAsia="en-US"/>
              </w:rPr>
              <w:t>Ei kohaldata</w:t>
            </w:r>
            <w:bookmarkEnd w:id="41"/>
          </w:p>
        </w:tc>
        <w:tc>
          <w:tcPr>
            <w:tcW w:w="1135" w:type="dxa"/>
            <w:gridSpan w:val="2"/>
            <w:tcMar>
              <w:left w:w="28" w:type="dxa"/>
              <w:right w:w="28" w:type="dxa"/>
            </w:tcMar>
          </w:tcPr>
          <w:p w14:paraId="3FE235D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PCDDde, PCDFde ja PCB-DLde ekvivalentide summa: [3,5 × 10</w:t>
            </w:r>
            <w:r w:rsidRPr="00CB2133">
              <w:rPr>
                <w:rFonts w:eastAsia="Calibri"/>
                <w:noProof/>
                <w:sz w:val="22"/>
                <w:szCs w:val="22"/>
                <w:vertAlign w:val="superscript"/>
                <w:lang w:eastAsia="en-US"/>
              </w:rPr>
              <w:t>-5</w:t>
            </w:r>
            <w:r w:rsidRPr="00CB2133">
              <w:rPr>
                <w:rFonts w:eastAsia="Calibri"/>
                <w:noProof/>
                <w:sz w:val="22"/>
                <w:szCs w:val="22"/>
                <w:lang w:eastAsia="en-US"/>
              </w:rPr>
              <w:t>]</w:t>
            </w:r>
            <w:r w:rsidRPr="00CB2133">
              <w:rPr>
                <w:rFonts w:eastAsia="Calibri"/>
                <w:noProof/>
                <w:sz w:val="22"/>
                <w:szCs w:val="22"/>
                <w:vertAlign w:val="superscript"/>
                <w:lang w:eastAsia="en-US"/>
              </w:rPr>
              <w:t>(22)</w:t>
            </w:r>
          </w:p>
          <w:p w14:paraId="6437B957" w14:textId="77777777" w:rsidR="00C45ED4" w:rsidRPr="00CB2133" w:rsidRDefault="00C45ED4" w:rsidP="00C45ED4">
            <w:pPr>
              <w:widowControl/>
              <w:spacing w:before="40" w:after="40"/>
              <w:rPr>
                <w:rFonts w:eastAsia="Calibri"/>
                <w:noProof/>
                <w:sz w:val="22"/>
                <w:szCs w:val="22"/>
                <w:vertAlign w:val="superscript"/>
                <w:lang w:eastAsia="en-US"/>
              </w:rPr>
            </w:pPr>
          </w:p>
        </w:tc>
        <w:tc>
          <w:tcPr>
            <w:tcW w:w="1262" w:type="dxa"/>
            <w:tcMar>
              <w:left w:w="28" w:type="dxa"/>
              <w:right w:w="28" w:type="dxa"/>
            </w:tcMar>
          </w:tcPr>
          <w:p w14:paraId="48CE28B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27FC630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186FAAA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0B7E1BD1" w14:textId="77777777" w:rsidTr="000238DA">
        <w:trPr>
          <w:gridBefore w:val="1"/>
          <w:wBefore w:w="11" w:type="dxa"/>
          <w:cantSplit/>
          <w:tblHeader/>
          <w:jc w:val="center"/>
        </w:trPr>
        <w:tc>
          <w:tcPr>
            <w:tcW w:w="649" w:type="dxa"/>
            <w:gridSpan w:val="3"/>
            <w:tcMar>
              <w:left w:w="28" w:type="dxa"/>
              <w:right w:w="28" w:type="dxa"/>
            </w:tcMar>
          </w:tcPr>
          <w:p w14:paraId="1202B0D8"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(38)</w:t>
            </w:r>
          </w:p>
        </w:tc>
        <w:tc>
          <w:tcPr>
            <w:tcW w:w="2286" w:type="dxa"/>
            <w:gridSpan w:val="3"/>
            <w:tcMar>
              <w:left w:w="28" w:type="dxa"/>
              <w:right w:w="28" w:type="dxa"/>
            </w:tcMar>
          </w:tcPr>
          <w:p w14:paraId="0C47053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Aklonifeen</w:t>
            </w:r>
          </w:p>
        </w:tc>
        <w:tc>
          <w:tcPr>
            <w:tcW w:w="1329" w:type="dxa"/>
            <w:gridSpan w:val="3"/>
            <w:tcMar>
              <w:left w:w="28" w:type="dxa"/>
              <w:right w:w="28" w:type="dxa"/>
            </w:tcMar>
          </w:tcPr>
          <w:p w14:paraId="1BA0ECE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07ACF11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74070-46-5</w:t>
            </w:r>
          </w:p>
        </w:tc>
        <w:tc>
          <w:tcPr>
            <w:tcW w:w="1134" w:type="dxa"/>
          </w:tcPr>
          <w:p w14:paraId="10A91E4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277-704-1</w:t>
            </w:r>
          </w:p>
        </w:tc>
        <w:tc>
          <w:tcPr>
            <w:tcW w:w="1279" w:type="dxa"/>
            <w:gridSpan w:val="2"/>
            <w:tcMar>
              <w:left w:w="28" w:type="dxa"/>
              <w:right w:w="28" w:type="dxa"/>
            </w:tcMar>
          </w:tcPr>
          <w:p w14:paraId="42FA478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0,12</w:t>
            </w:r>
          </w:p>
        </w:tc>
        <w:tc>
          <w:tcPr>
            <w:tcW w:w="1279" w:type="dxa"/>
            <w:gridSpan w:val="2"/>
            <w:tcMar>
              <w:left w:w="28" w:type="dxa"/>
              <w:right w:w="28" w:type="dxa"/>
            </w:tcMar>
          </w:tcPr>
          <w:p w14:paraId="1695F9E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0,012</w:t>
            </w:r>
          </w:p>
        </w:tc>
        <w:tc>
          <w:tcPr>
            <w:tcW w:w="1277" w:type="dxa"/>
            <w:gridSpan w:val="2"/>
            <w:tcMar>
              <w:left w:w="28" w:type="dxa"/>
              <w:right w:w="28" w:type="dxa"/>
            </w:tcMar>
          </w:tcPr>
          <w:p w14:paraId="12A1DFA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0,12</w:t>
            </w:r>
          </w:p>
        </w:tc>
        <w:tc>
          <w:tcPr>
            <w:tcW w:w="1276" w:type="dxa"/>
            <w:gridSpan w:val="2"/>
            <w:tcMar>
              <w:left w:w="28" w:type="dxa"/>
              <w:right w:w="28" w:type="dxa"/>
            </w:tcMar>
          </w:tcPr>
          <w:p w14:paraId="670EBCD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0,012</w:t>
            </w:r>
          </w:p>
        </w:tc>
        <w:tc>
          <w:tcPr>
            <w:tcW w:w="1135" w:type="dxa"/>
            <w:gridSpan w:val="2"/>
            <w:tcMar>
              <w:left w:w="28" w:type="dxa"/>
              <w:right w:w="28" w:type="dxa"/>
            </w:tcMar>
          </w:tcPr>
          <w:p w14:paraId="3B70ACB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6C9F1CC1"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2F1F195E"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571CEB5C"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6DB28A92" w14:textId="77777777" w:rsidTr="000238DA">
        <w:trPr>
          <w:gridBefore w:val="1"/>
          <w:wBefore w:w="11" w:type="dxa"/>
          <w:cantSplit/>
          <w:tblHeader/>
          <w:jc w:val="center"/>
        </w:trPr>
        <w:tc>
          <w:tcPr>
            <w:tcW w:w="649" w:type="dxa"/>
            <w:gridSpan w:val="3"/>
            <w:tcMar>
              <w:left w:w="28" w:type="dxa"/>
              <w:right w:w="28" w:type="dxa"/>
            </w:tcMar>
          </w:tcPr>
          <w:p w14:paraId="7FFDC9E8"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(39)</w:t>
            </w:r>
          </w:p>
        </w:tc>
        <w:tc>
          <w:tcPr>
            <w:tcW w:w="2286" w:type="dxa"/>
            <w:gridSpan w:val="3"/>
            <w:tcMar>
              <w:left w:w="28" w:type="dxa"/>
              <w:right w:w="28" w:type="dxa"/>
            </w:tcMar>
          </w:tcPr>
          <w:p w14:paraId="4637D73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Bifenoks</w:t>
            </w:r>
          </w:p>
        </w:tc>
        <w:tc>
          <w:tcPr>
            <w:tcW w:w="1329" w:type="dxa"/>
            <w:gridSpan w:val="3"/>
            <w:tcMar>
              <w:left w:w="28" w:type="dxa"/>
              <w:right w:w="28" w:type="dxa"/>
            </w:tcMar>
          </w:tcPr>
          <w:p w14:paraId="6747743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3B41BCF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42576-02-3</w:t>
            </w:r>
          </w:p>
        </w:tc>
        <w:tc>
          <w:tcPr>
            <w:tcW w:w="1134" w:type="dxa"/>
          </w:tcPr>
          <w:p w14:paraId="63FB33E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255-894-7</w:t>
            </w:r>
          </w:p>
        </w:tc>
        <w:tc>
          <w:tcPr>
            <w:tcW w:w="1279" w:type="dxa"/>
            <w:gridSpan w:val="2"/>
            <w:tcMar>
              <w:left w:w="28" w:type="dxa"/>
              <w:right w:w="28" w:type="dxa"/>
            </w:tcMar>
          </w:tcPr>
          <w:p w14:paraId="370345D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0,012</w:t>
            </w:r>
          </w:p>
        </w:tc>
        <w:tc>
          <w:tcPr>
            <w:tcW w:w="1279" w:type="dxa"/>
            <w:gridSpan w:val="2"/>
            <w:tcMar>
              <w:left w:w="28" w:type="dxa"/>
              <w:right w:w="28" w:type="dxa"/>
            </w:tcMar>
          </w:tcPr>
          <w:p w14:paraId="139C0F6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0,0012</w:t>
            </w:r>
          </w:p>
        </w:tc>
        <w:tc>
          <w:tcPr>
            <w:tcW w:w="1277" w:type="dxa"/>
            <w:gridSpan w:val="2"/>
            <w:tcMar>
              <w:left w:w="28" w:type="dxa"/>
              <w:right w:w="28" w:type="dxa"/>
            </w:tcMar>
          </w:tcPr>
          <w:p w14:paraId="6508576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0,04</w:t>
            </w:r>
          </w:p>
        </w:tc>
        <w:tc>
          <w:tcPr>
            <w:tcW w:w="1276" w:type="dxa"/>
            <w:gridSpan w:val="2"/>
            <w:tcMar>
              <w:left w:w="28" w:type="dxa"/>
              <w:right w:w="28" w:type="dxa"/>
            </w:tcMar>
          </w:tcPr>
          <w:p w14:paraId="0C0F15D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0,004</w:t>
            </w:r>
          </w:p>
        </w:tc>
        <w:tc>
          <w:tcPr>
            <w:tcW w:w="1135" w:type="dxa"/>
            <w:gridSpan w:val="2"/>
            <w:tcMar>
              <w:left w:w="28" w:type="dxa"/>
              <w:right w:w="28" w:type="dxa"/>
            </w:tcMar>
          </w:tcPr>
          <w:p w14:paraId="39C4BA42"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B2A4CD1"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30D1DBC6"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7DE8F957"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56520772" w14:textId="77777777" w:rsidTr="000238DA">
        <w:trPr>
          <w:gridBefore w:val="1"/>
          <w:wBefore w:w="11" w:type="dxa"/>
          <w:cantSplit/>
          <w:tblHeader/>
          <w:jc w:val="center"/>
        </w:trPr>
        <w:tc>
          <w:tcPr>
            <w:tcW w:w="649" w:type="dxa"/>
            <w:gridSpan w:val="3"/>
            <w:tcMar>
              <w:left w:w="28" w:type="dxa"/>
              <w:right w:w="28" w:type="dxa"/>
            </w:tcMar>
          </w:tcPr>
          <w:p w14:paraId="757AE89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(40)</w:t>
            </w:r>
          </w:p>
        </w:tc>
        <w:tc>
          <w:tcPr>
            <w:tcW w:w="2286" w:type="dxa"/>
            <w:gridSpan w:val="3"/>
            <w:tcMar>
              <w:left w:w="28" w:type="dxa"/>
              <w:right w:w="28" w:type="dxa"/>
            </w:tcMar>
          </w:tcPr>
          <w:p w14:paraId="0738E15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Tsübutriin</w:t>
            </w:r>
          </w:p>
        </w:tc>
        <w:tc>
          <w:tcPr>
            <w:tcW w:w="1329" w:type="dxa"/>
            <w:gridSpan w:val="3"/>
            <w:tcMar>
              <w:left w:w="28" w:type="dxa"/>
              <w:right w:w="28" w:type="dxa"/>
            </w:tcMar>
          </w:tcPr>
          <w:p w14:paraId="2C287D6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Biotsiidid</w:t>
            </w:r>
          </w:p>
        </w:tc>
        <w:tc>
          <w:tcPr>
            <w:tcW w:w="992" w:type="dxa"/>
            <w:gridSpan w:val="2"/>
            <w:tcMar>
              <w:left w:w="28" w:type="dxa"/>
              <w:right w:w="28" w:type="dxa"/>
            </w:tcMar>
          </w:tcPr>
          <w:p w14:paraId="28607D6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28159-98-0</w:t>
            </w:r>
          </w:p>
        </w:tc>
        <w:tc>
          <w:tcPr>
            <w:tcW w:w="1134" w:type="dxa"/>
          </w:tcPr>
          <w:p w14:paraId="18B7210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248-872-3</w:t>
            </w:r>
          </w:p>
        </w:tc>
        <w:tc>
          <w:tcPr>
            <w:tcW w:w="1279" w:type="dxa"/>
            <w:gridSpan w:val="2"/>
            <w:tcMar>
              <w:left w:w="28" w:type="dxa"/>
              <w:right w:w="28" w:type="dxa"/>
            </w:tcMar>
          </w:tcPr>
          <w:p w14:paraId="447B9A4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0,0025</w:t>
            </w:r>
          </w:p>
        </w:tc>
        <w:tc>
          <w:tcPr>
            <w:tcW w:w="1279" w:type="dxa"/>
            <w:gridSpan w:val="2"/>
            <w:tcMar>
              <w:left w:w="28" w:type="dxa"/>
              <w:right w:w="28" w:type="dxa"/>
            </w:tcMar>
          </w:tcPr>
          <w:p w14:paraId="54DA9C9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0,0025</w:t>
            </w:r>
          </w:p>
        </w:tc>
        <w:tc>
          <w:tcPr>
            <w:tcW w:w="1277" w:type="dxa"/>
            <w:gridSpan w:val="2"/>
            <w:tcMar>
              <w:left w:w="28" w:type="dxa"/>
              <w:right w:w="28" w:type="dxa"/>
            </w:tcMar>
          </w:tcPr>
          <w:p w14:paraId="61B61DE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0,016</w:t>
            </w:r>
          </w:p>
        </w:tc>
        <w:tc>
          <w:tcPr>
            <w:tcW w:w="1276" w:type="dxa"/>
            <w:gridSpan w:val="2"/>
            <w:tcMar>
              <w:left w:w="28" w:type="dxa"/>
              <w:right w:w="28" w:type="dxa"/>
            </w:tcMar>
          </w:tcPr>
          <w:p w14:paraId="22A6FB7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0,016</w:t>
            </w:r>
          </w:p>
        </w:tc>
        <w:tc>
          <w:tcPr>
            <w:tcW w:w="1135" w:type="dxa"/>
            <w:gridSpan w:val="2"/>
            <w:tcMar>
              <w:left w:w="28" w:type="dxa"/>
              <w:right w:w="28" w:type="dxa"/>
            </w:tcMar>
          </w:tcPr>
          <w:p w14:paraId="7B09F36C"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7CC655A"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075915ED"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7FAACB9B"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1363692C" w14:textId="77777777" w:rsidTr="000238DA">
        <w:trPr>
          <w:gridBefore w:val="1"/>
          <w:wBefore w:w="11" w:type="dxa"/>
          <w:cantSplit/>
          <w:tblHeader/>
          <w:jc w:val="center"/>
        </w:trPr>
        <w:tc>
          <w:tcPr>
            <w:tcW w:w="649" w:type="dxa"/>
            <w:gridSpan w:val="3"/>
            <w:tcMar>
              <w:left w:w="28" w:type="dxa"/>
              <w:right w:w="28" w:type="dxa"/>
            </w:tcMar>
          </w:tcPr>
          <w:p w14:paraId="23F4904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(41)</w:t>
            </w:r>
          </w:p>
        </w:tc>
        <w:tc>
          <w:tcPr>
            <w:tcW w:w="2286" w:type="dxa"/>
            <w:gridSpan w:val="3"/>
            <w:tcMar>
              <w:left w:w="28" w:type="dxa"/>
              <w:right w:w="28" w:type="dxa"/>
            </w:tcMar>
          </w:tcPr>
          <w:p w14:paraId="784FFB4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Tsüpermetriin</w:t>
            </w:r>
            <w:r w:rsidRPr="00CB2133">
              <w:rPr>
                <w:rFonts w:eastAsia="Calibri"/>
                <w:noProof/>
                <w:sz w:val="22"/>
                <w:szCs w:val="22"/>
                <w:vertAlign w:val="superscript"/>
                <w:lang w:eastAsia="en-US"/>
              </w:rPr>
              <w:t>(23)</w:t>
            </w:r>
          </w:p>
        </w:tc>
        <w:tc>
          <w:tcPr>
            <w:tcW w:w="1329" w:type="dxa"/>
            <w:gridSpan w:val="3"/>
            <w:tcMar>
              <w:left w:w="28" w:type="dxa"/>
              <w:right w:w="28" w:type="dxa"/>
            </w:tcMar>
          </w:tcPr>
          <w:p w14:paraId="2F6722C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Püretroidpestitsiidid</w:t>
            </w:r>
          </w:p>
        </w:tc>
        <w:tc>
          <w:tcPr>
            <w:tcW w:w="992" w:type="dxa"/>
            <w:gridSpan w:val="2"/>
            <w:tcMar>
              <w:left w:w="28" w:type="dxa"/>
              <w:right w:w="28" w:type="dxa"/>
            </w:tcMar>
          </w:tcPr>
          <w:p w14:paraId="22AD828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52315-07-8</w:t>
            </w:r>
          </w:p>
        </w:tc>
        <w:tc>
          <w:tcPr>
            <w:tcW w:w="1134" w:type="dxa"/>
          </w:tcPr>
          <w:p w14:paraId="75767B1E"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257-842-9</w:t>
            </w:r>
          </w:p>
        </w:tc>
        <w:tc>
          <w:tcPr>
            <w:tcW w:w="1279" w:type="dxa"/>
            <w:gridSpan w:val="2"/>
            <w:tcMar>
              <w:left w:w="28" w:type="dxa"/>
              <w:right w:w="28" w:type="dxa"/>
            </w:tcMar>
          </w:tcPr>
          <w:p w14:paraId="5D5E1F9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 × 10</w:t>
            </w:r>
            <w:r w:rsidRPr="00CB2133">
              <w:rPr>
                <w:rFonts w:eastAsia="Calibri"/>
                <w:noProof/>
                <w:sz w:val="22"/>
                <w:szCs w:val="22"/>
                <w:vertAlign w:val="superscript"/>
                <w:lang w:eastAsia="en-US"/>
              </w:rPr>
              <w:t>-5</w:t>
            </w:r>
          </w:p>
        </w:tc>
        <w:tc>
          <w:tcPr>
            <w:tcW w:w="1279" w:type="dxa"/>
            <w:gridSpan w:val="2"/>
            <w:tcMar>
              <w:left w:w="28" w:type="dxa"/>
              <w:right w:w="28" w:type="dxa"/>
            </w:tcMar>
          </w:tcPr>
          <w:p w14:paraId="7EEDC64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 × 10</w:t>
            </w:r>
            <w:r w:rsidRPr="00CB2133">
              <w:rPr>
                <w:rFonts w:eastAsia="Calibri"/>
                <w:noProof/>
                <w:sz w:val="22"/>
                <w:szCs w:val="22"/>
                <w:vertAlign w:val="superscript"/>
                <w:lang w:eastAsia="en-US"/>
              </w:rPr>
              <w:t>-6</w:t>
            </w:r>
          </w:p>
        </w:tc>
        <w:tc>
          <w:tcPr>
            <w:tcW w:w="1277" w:type="dxa"/>
            <w:gridSpan w:val="2"/>
            <w:tcMar>
              <w:left w:w="28" w:type="dxa"/>
              <w:right w:w="28" w:type="dxa"/>
            </w:tcMar>
          </w:tcPr>
          <w:p w14:paraId="02DC9260"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6 × 10</w:t>
            </w:r>
            <w:r w:rsidRPr="00CB2133">
              <w:rPr>
                <w:rFonts w:eastAsia="Calibri"/>
                <w:noProof/>
                <w:sz w:val="22"/>
                <w:szCs w:val="22"/>
                <w:vertAlign w:val="superscript"/>
                <w:lang w:eastAsia="en-US"/>
              </w:rPr>
              <w:t>-4</w:t>
            </w:r>
          </w:p>
        </w:tc>
        <w:tc>
          <w:tcPr>
            <w:tcW w:w="1276" w:type="dxa"/>
            <w:gridSpan w:val="2"/>
            <w:tcMar>
              <w:left w:w="28" w:type="dxa"/>
              <w:right w:w="28" w:type="dxa"/>
            </w:tcMar>
          </w:tcPr>
          <w:p w14:paraId="62E814A9"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6 × 10</w:t>
            </w:r>
            <w:r w:rsidRPr="00CB2133">
              <w:rPr>
                <w:rFonts w:eastAsia="Calibri"/>
                <w:noProof/>
                <w:sz w:val="22"/>
                <w:szCs w:val="22"/>
                <w:vertAlign w:val="superscript"/>
                <w:lang w:eastAsia="en-US"/>
              </w:rPr>
              <w:t>-5</w:t>
            </w:r>
          </w:p>
        </w:tc>
        <w:tc>
          <w:tcPr>
            <w:tcW w:w="1135" w:type="dxa"/>
            <w:gridSpan w:val="2"/>
            <w:tcMar>
              <w:left w:w="28" w:type="dxa"/>
              <w:right w:w="28" w:type="dxa"/>
            </w:tcMar>
          </w:tcPr>
          <w:p w14:paraId="7C6D828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1035F59A" w14:textId="77777777" w:rsidR="00C45ED4" w:rsidRPr="00CB2133" w:rsidRDefault="00C45ED4" w:rsidP="00C45ED4">
            <w:pPr>
              <w:widowControl/>
              <w:spacing w:before="40" w:after="40"/>
              <w:rPr>
                <w:rFonts w:eastAsia="Calibri"/>
                <w:noProof/>
                <w:sz w:val="22"/>
                <w:szCs w:val="22"/>
                <w:vertAlign w:val="superscript"/>
                <w:lang w:eastAsia="en-US"/>
              </w:rPr>
            </w:pPr>
          </w:p>
        </w:tc>
        <w:tc>
          <w:tcPr>
            <w:tcW w:w="1154" w:type="dxa"/>
            <w:gridSpan w:val="2"/>
            <w:tcMar>
              <w:left w:w="28" w:type="dxa"/>
              <w:right w:w="28" w:type="dxa"/>
            </w:tcMar>
          </w:tcPr>
          <w:p w14:paraId="011BC607" w14:textId="77777777" w:rsidR="00C45ED4" w:rsidRPr="00CB2133" w:rsidRDefault="00C45ED4" w:rsidP="00C45ED4">
            <w:pPr>
              <w:widowControl/>
              <w:spacing w:before="40" w:after="40"/>
              <w:rPr>
                <w:rFonts w:eastAsia="Calibri"/>
                <w:noProof/>
                <w:sz w:val="22"/>
                <w:szCs w:val="22"/>
                <w:vertAlign w:val="superscript"/>
                <w:lang w:eastAsia="en-US"/>
              </w:rPr>
            </w:pPr>
          </w:p>
        </w:tc>
        <w:tc>
          <w:tcPr>
            <w:tcW w:w="970" w:type="dxa"/>
            <w:tcMar>
              <w:left w:w="28" w:type="dxa"/>
              <w:right w:w="28" w:type="dxa"/>
            </w:tcMar>
          </w:tcPr>
          <w:p w14:paraId="2188AD0C"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X</w:t>
            </w:r>
          </w:p>
        </w:tc>
      </w:tr>
      <w:tr w:rsidR="00C45ED4" w:rsidRPr="00CB2133" w14:paraId="3C7231E3" w14:textId="77777777" w:rsidTr="000238DA">
        <w:trPr>
          <w:gridBefore w:val="1"/>
          <w:wBefore w:w="11" w:type="dxa"/>
          <w:cantSplit/>
          <w:tblHeader/>
          <w:jc w:val="center"/>
        </w:trPr>
        <w:tc>
          <w:tcPr>
            <w:tcW w:w="649" w:type="dxa"/>
            <w:gridSpan w:val="3"/>
            <w:tcMar>
              <w:left w:w="28" w:type="dxa"/>
              <w:right w:w="28" w:type="dxa"/>
            </w:tcMar>
          </w:tcPr>
          <w:p w14:paraId="67C68AB8"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(42)</w:t>
            </w:r>
          </w:p>
        </w:tc>
        <w:tc>
          <w:tcPr>
            <w:tcW w:w="2286" w:type="dxa"/>
            <w:gridSpan w:val="3"/>
            <w:tcMar>
              <w:left w:w="28" w:type="dxa"/>
              <w:right w:w="28" w:type="dxa"/>
            </w:tcMar>
          </w:tcPr>
          <w:p w14:paraId="46C4B33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Diklorofoss</w:t>
            </w:r>
          </w:p>
        </w:tc>
        <w:tc>
          <w:tcPr>
            <w:tcW w:w="1329" w:type="dxa"/>
            <w:gridSpan w:val="3"/>
            <w:tcMar>
              <w:left w:w="28" w:type="dxa"/>
              <w:right w:w="28" w:type="dxa"/>
            </w:tcMar>
          </w:tcPr>
          <w:p w14:paraId="031BF23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Fosfaatorgaanilised pestitsiidid</w:t>
            </w:r>
          </w:p>
        </w:tc>
        <w:tc>
          <w:tcPr>
            <w:tcW w:w="992" w:type="dxa"/>
            <w:gridSpan w:val="2"/>
            <w:tcMar>
              <w:left w:w="28" w:type="dxa"/>
              <w:right w:w="28" w:type="dxa"/>
            </w:tcMar>
          </w:tcPr>
          <w:p w14:paraId="6228DCE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62-73-7</w:t>
            </w:r>
          </w:p>
        </w:tc>
        <w:tc>
          <w:tcPr>
            <w:tcW w:w="1134" w:type="dxa"/>
          </w:tcPr>
          <w:p w14:paraId="54AFACD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200-547-7</w:t>
            </w:r>
          </w:p>
        </w:tc>
        <w:tc>
          <w:tcPr>
            <w:tcW w:w="1279" w:type="dxa"/>
            <w:gridSpan w:val="2"/>
            <w:tcMar>
              <w:left w:w="28" w:type="dxa"/>
              <w:right w:w="28" w:type="dxa"/>
            </w:tcMar>
          </w:tcPr>
          <w:p w14:paraId="7285940E"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6 × 10</w:t>
            </w:r>
            <w:r w:rsidRPr="00CB2133">
              <w:rPr>
                <w:rFonts w:eastAsia="Calibri"/>
                <w:noProof/>
                <w:sz w:val="22"/>
                <w:szCs w:val="22"/>
                <w:vertAlign w:val="superscript"/>
                <w:lang w:eastAsia="en-US"/>
              </w:rPr>
              <w:t>-4</w:t>
            </w:r>
          </w:p>
        </w:tc>
        <w:tc>
          <w:tcPr>
            <w:tcW w:w="1279" w:type="dxa"/>
            <w:gridSpan w:val="2"/>
            <w:tcMar>
              <w:left w:w="28" w:type="dxa"/>
              <w:right w:w="28" w:type="dxa"/>
            </w:tcMar>
          </w:tcPr>
          <w:p w14:paraId="098DDDE4"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6 × 10</w:t>
            </w:r>
            <w:r w:rsidRPr="00CB2133">
              <w:rPr>
                <w:rFonts w:eastAsia="Calibri"/>
                <w:noProof/>
                <w:sz w:val="22"/>
                <w:szCs w:val="22"/>
                <w:vertAlign w:val="superscript"/>
                <w:lang w:eastAsia="en-US"/>
              </w:rPr>
              <w:t>-5</w:t>
            </w:r>
          </w:p>
        </w:tc>
        <w:tc>
          <w:tcPr>
            <w:tcW w:w="1277" w:type="dxa"/>
            <w:gridSpan w:val="2"/>
            <w:tcMar>
              <w:left w:w="28" w:type="dxa"/>
              <w:right w:w="28" w:type="dxa"/>
            </w:tcMar>
          </w:tcPr>
          <w:p w14:paraId="22863099"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7 × 10</w:t>
            </w:r>
            <w:r w:rsidRPr="00CB2133">
              <w:rPr>
                <w:rFonts w:eastAsia="Calibri"/>
                <w:noProof/>
                <w:sz w:val="22"/>
                <w:szCs w:val="22"/>
                <w:vertAlign w:val="superscript"/>
                <w:lang w:eastAsia="en-US"/>
              </w:rPr>
              <w:t>-4</w:t>
            </w:r>
          </w:p>
        </w:tc>
        <w:tc>
          <w:tcPr>
            <w:tcW w:w="1276" w:type="dxa"/>
            <w:gridSpan w:val="2"/>
            <w:tcMar>
              <w:left w:w="28" w:type="dxa"/>
              <w:right w:w="28" w:type="dxa"/>
            </w:tcMar>
          </w:tcPr>
          <w:p w14:paraId="11031CF9"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7 × 10</w:t>
            </w:r>
            <w:r w:rsidRPr="00CB2133">
              <w:rPr>
                <w:rFonts w:eastAsia="Calibri"/>
                <w:noProof/>
                <w:sz w:val="22"/>
                <w:szCs w:val="22"/>
                <w:vertAlign w:val="superscript"/>
                <w:lang w:eastAsia="en-US"/>
              </w:rPr>
              <w:t>-5</w:t>
            </w:r>
          </w:p>
        </w:tc>
        <w:tc>
          <w:tcPr>
            <w:tcW w:w="1135" w:type="dxa"/>
            <w:gridSpan w:val="2"/>
            <w:tcMar>
              <w:left w:w="28" w:type="dxa"/>
              <w:right w:w="28" w:type="dxa"/>
            </w:tcMar>
          </w:tcPr>
          <w:p w14:paraId="3F7B498F" w14:textId="77777777" w:rsidR="00C45ED4" w:rsidRPr="00CB2133" w:rsidRDefault="00C45ED4" w:rsidP="00C45ED4">
            <w:pPr>
              <w:widowControl/>
              <w:spacing w:before="40" w:after="40"/>
              <w:rPr>
                <w:rFonts w:eastAsia="Calibri"/>
                <w:noProof/>
                <w:sz w:val="22"/>
                <w:szCs w:val="22"/>
                <w:vertAlign w:val="superscript"/>
                <w:lang w:eastAsia="en-US"/>
              </w:rPr>
            </w:pPr>
          </w:p>
        </w:tc>
        <w:tc>
          <w:tcPr>
            <w:tcW w:w="1262" w:type="dxa"/>
            <w:tcMar>
              <w:left w:w="28" w:type="dxa"/>
              <w:right w:w="28" w:type="dxa"/>
            </w:tcMar>
          </w:tcPr>
          <w:p w14:paraId="77C1C943" w14:textId="77777777" w:rsidR="00C45ED4" w:rsidRPr="00CB2133" w:rsidRDefault="00C45ED4" w:rsidP="00C45ED4">
            <w:pPr>
              <w:widowControl/>
              <w:spacing w:before="40" w:after="40"/>
              <w:rPr>
                <w:rFonts w:eastAsia="Calibri"/>
                <w:noProof/>
                <w:sz w:val="22"/>
                <w:szCs w:val="22"/>
                <w:vertAlign w:val="superscript"/>
                <w:lang w:eastAsia="en-US"/>
              </w:rPr>
            </w:pPr>
          </w:p>
        </w:tc>
        <w:tc>
          <w:tcPr>
            <w:tcW w:w="1154" w:type="dxa"/>
            <w:gridSpan w:val="2"/>
            <w:tcMar>
              <w:left w:w="28" w:type="dxa"/>
              <w:right w:w="28" w:type="dxa"/>
            </w:tcMar>
          </w:tcPr>
          <w:p w14:paraId="60531922" w14:textId="77777777" w:rsidR="00C45ED4" w:rsidRPr="00CB2133" w:rsidRDefault="00C45ED4" w:rsidP="00C45ED4">
            <w:pPr>
              <w:widowControl/>
              <w:spacing w:before="40" w:after="40"/>
              <w:rPr>
                <w:rFonts w:eastAsia="Calibri"/>
                <w:noProof/>
                <w:sz w:val="22"/>
                <w:szCs w:val="22"/>
                <w:vertAlign w:val="superscript"/>
                <w:lang w:eastAsia="en-US"/>
              </w:rPr>
            </w:pPr>
          </w:p>
        </w:tc>
        <w:tc>
          <w:tcPr>
            <w:tcW w:w="970" w:type="dxa"/>
            <w:tcMar>
              <w:left w:w="28" w:type="dxa"/>
              <w:right w:w="28" w:type="dxa"/>
            </w:tcMar>
          </w:tcPr>
          <w:p w14:paraId="6EF808B0" w14:textId="77777777" w:rsidR="00C45ED4" w:rsidRPr="00CB2133" w:rsidRDefault="00C45ED4" w:rsidP="00C45ED4">
            <w:pPr>
              <w:widowControl/>
              <w:spacing w:before="40" w:after="40"/>
              <w:rPr>
                <w:rFonts w:eastAsia="Calibri"/>
                <w:noProof/>
                <w:sz w:val="22"/>
                <w:szCs w:val="22"/>
                <w:vertAlign w:val="superscript"/>
                <w:lang w:eastAsia="en-US"/>
              </w:rPr>
            </w:pPr>
          </w:p>
        </w:tc>
      </w:tr>
      <w:tr w:rsidR="00C45ED4" w:rsidRPr="00CB2133" w14:paraId="33FCED8B" w14:textId="77777777" w:rsidTr="000238DA">
        <w:trPr>
          <w:gridBefore w:val="1"/>
          <w:wBefore w:w="11" w:type="dxa"/>
          <w:cantSplit/>
          <w:tblHeader/>
          <w:jc w:val="center"/>
        </w:trPr>
        <w:tc>
          <w:tcPr>
            <w:tcW w:w="649" w:type="dxa"/>
            <w:gridSpan w:val="3"/>
            <w:tcMar>
              <w:left w:w="28" w:type="dxa"/>
              <w:right w:w="28" w:type="dxa"/>
            </w:tcMar>
          </w:tcPr>
          <w:p w14:paraId="03F0A55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(43)</w:t>
            </w:r>
          </w:p>
        </w:tc>
        <w:tc>
          <w:tcPr>
            <w:tcW w:w="2286" w:type="dxa"/>
            <w:gridSpan w:val="3"/>
            <w:tcMar>
              <w:left w:w="28" w:type="dxa"/>
              <w:right w:w="28" w:type="dxa"/>
            </w:tcMar>
          </w:tcPr>
          <w:p w14:paraId="4202AB5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Heksabromotsüklododekaan (HBCDD)</w:t>
            </w:r>
            <w:r w:rsidRPr="00CB2133">
              <w:rPr>
                <w:rFonts w:eastAsia="Calibri"/>
                <w:noProof/>
                <w:sz w:val="22"/>
                <w:szCs w:val="22"/>
                <w:vertAlign w:val="superscript"/>
                <w:lang w:eastAsia="en-US"/>
              </w:rPr>
              <w:t>(24)</w:t>
            </w:r>
            <w:r w:rsidRPr="00CB2133">
              <w:rPr>
                <w:rFonts w:eastAsia="Calibri"/>
                <w:noProof/>
                <w:szCs w:val="22"/>
                <w:u w:val="single"/>
                <w:lang w:eastAsia="en-US"/>
              </w:rPr>
              <w:t xml:space="preserve"> </w:t>
            </w:r>
          </w:p>
        </w:tc>
        <w:tc>
          <w:tcPr>
            <w:tcW w:w="1329" w:type="dxa"/>
            <w:gridSpan w:val="3"/>
            <w:tcMar>
              <w:left w:w="28" w:type="dxa"/>
              <w:right w:w="28" w:type="dxa"/>
            </w:tcMar>
          </w:tcPr>
          <w:p w14:paraId="7B748BD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Tööstuses kasutatavad ained</w:t>
            </w:r>
          </w:p>
        </w:tc>
        <w:tc>
          <w:tcPr>
            <w:tcW w:w="992" w:type="dxa"/>
            <w:gridSpan w:val="2"/>
            <w:tcMar>
              <w:left w:w="28" w:type="dxa"/>
              <w:right w:w="28" w:type="dxa"/>
            </w:tcMar>
          </w:tcPr>
          <w:p w14:paraId="412673E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Vt joonealune märkus 24</w:t>
            </w:r>
          </w:p>
        </w:tc>
        <w:tc>
          <w:tcPr>
            <w:tcW w:w="1134" w:type="dxa"/>
          </w:tcPr>
          <w:p w14:paraId="7B393DD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Vt joonealune märkus 24</w:t>
            </w:r>
          </w:p>
        </w:tc>
        <w:tc>
          <w:tcPr>
            <w:tcW w:w="1279" w:type="dxa"/>
            <w:gridSpan w:val="2"/>
            <w:tcMar>
              <w:left w:w="28" w:type="dxa"/>
              <w:right w:w="28" w:type="dxa"/>
            </w:tcMar>
          </w:tcPr>
          <w:p w14:paraId="5E06EBB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[4,6 × 10</w:t>
            </w:r>
            <w:r w:rsidRPr="00CB2133">
              <w:rPr>
                <w:rFonts w:eastAsia="Calibri"/>
                <w:noProof/>
                <w:sz w:val="22"/>
                <w:szCs w:val="22"/>
                <w:vertAlign w:val="superscript"/>
                <w:lang w:eastAsia="en-US"/>
              </w:rPr>
              <w:t>-4</w:t>
            </w:r>
            <w:r w:rsidRPr="00CB2133">
              <w:rPr>
                <w:rFonts w:eastAsia="Calibri"/>
                <w:noProof/>
                <w:sz w:val="22"/>
                <w:szCs w:val="22"/>
                <w:lang w:eastAsia="en-US"/>
              </w:rPr>
              <w:t>]</w:t>
            </w:r>
          </w:p>
        </w:tc>
        <w:tc>
          <w:tcPr>
            <w:tcW w:w="1279" w:type="dxa"/>
            <w:gridSpan w:val="2"/>
            <w:tcMar>
              <w:left w:w="28" w:type="dxa"/>
              <w:right w:w="28" w:type="dxa"/>
            </w:tcMar>
          </w:tcPr>
          <w:p w14:paraId="4A8D16A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 × 10</w:t>
            </w:r>
            <w:r w:rsidRPr="00CB2133">
              <w:rPr>
                <w:rFonts w:eastAsia="Calibri"/>
                <w:noProof/>
                <w:sz w:val="22"/>
                <w:szCs w:val="22"/>
                <w:vertAlign w:val="superscript"/>
                <w:lang w:eastAsia="en-US"/>
              </w:rPr>
              <w:t>-5</w:t>
            </w:r>
            <w:r w:rsidRPr="00CB2133">
              <w:rPr>
                <w:rFonts w:eastAsia="Calibri"/>
                <w:noProof/>
                <w:sz w:val="22"/>
                <w:szCs w:val="22"/>
                <w:lang w:eastAsia="en-US"/>
              </w:rPr>
              <w:t>]</w:t>
            </w:r>
          </w:p>
        </w:tc>
        <w:tc>
          <w:tcPr>
            <w:tcW w:w="1277" w:type="dxa"/>
            <w:gridSpan w:val="2"/>
            <w:tcMar>
              <w:left w:w="28" w:type="dxa"/>
              <w:right w:w="28" w:type="dxa"/>
            </w:tcMar>
          </w:tcPr>
          <w:p w14:paraId="21AB02B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0,5</w:t>
            </w:r>
          </w:p>
        </w:tc>
        <w:tc>
          <w:tcPr>
            <w:tcW w:w="1276" w:type="dxa"/>
            <w:gridSpan w:val="2"/>
            <w:tcMar>
              <w:left w:w="28" w:type="dxa"/>
              <w:right w:w="28" w:type="dxa"/>
            </w:tcMar>
          </w:tcPr>
          <w:p w14:paraId="3893546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0,05</w:t>
            </w:r>
          </w:p>
        </w:tc>
        <w:tc>
          <w:tcPr>
            <w:tcW w:w="1135" w:type="dxa"/>
            <w:gridSpan w:val="2"/>
            <w:tcMar>
              <w:left w:w="28" w:type="dxa"/>
              <w:right w:w="28" w:type="dxa"/>
            </w:tcMar>
          </w:tcPr>
          <w:p w14:paraId="071B042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[3,5]</w:t>
            </w:r>
          </w:p>
        </w:tc>
        <w:tc>
          <w:tcPr>
            <w:tcW w:w="1262" w:type="dxa"/>
            <w:tcMar>
              <w:left w:w="28" w:type="dxa"/>
              <w:right w:w="28" w:type="dxa"/>
            </w:tcMar>
          </w:tcPr>
          <w:p w14:paraId="327A761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1F109C0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5B3FA72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52A65D63" w14:textId="77777777" w:rsidTr="000238DA">
        <w:trPr>
          <w:gridBefore w:val="1"/>
          <w:wBefore w:w="11" w:type="dxa"/>
          <w:cantSplit/>
          <w:tblHeader/>
          <w:jc w:val="center"/>
        </w:trPr>
        <w:tc>
          <w:tcPr>
            <w:tcW w:w="649" w:type="dxa"/>
            <w:gridSpan w:val="3"/>
            <w:tcMar>
              <w:left w:w="28" w:type="dxa"/>
              <w:right w:w="28" w:type="dxa"/>
            </w:tcMar>
          </w:tcPr>
          <w:p w14:paraId="0931CDEF"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(44)</w:t>
            </w:r>
          </w:p>
        </w:tc>
        <w:tc>
          <w:tcPr>
            <w:tcW w:w="2286" w:type="dxa"/>
            <w:gridSpan w:val="3"/>
            <w:tcMar>
              <w:left w:w="28" w:type="dxa"/>
              <w:right w:w="28" w:type="dxa"/>
            </w:tcMar>
          </w:tcPr>
          <w:p w14:paraId="56B5F48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Heptakloor ja heptakloorepoksiid</w:t>
            </w:r>
          </w:p>
        </w:tc>
        <w:tc>
          <w:tcPr>
            <w:tcW w:w="1329" w:type="dxa"/>
            <w:gridSpan w:val="3"/>
            <w:tcMar>
              <w:left w:w="28" w:type="dxa"/>
              <w:right w:w="28" w:type="dxa"/>
            </w:tcMar>
          </w:tcPr>
          <w:p w14:paraId="1D72F3C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Kloororgaanilised pestitsiidid</w:t>
            </w:r>
          </w:p>
        </w:tc>
        <w:tc>
          <w:tcPr>
            <w:tcW w:w="992" w:type="dxa"/>
            <w:gridSpan w:val="2"/>
            <w:tcMar>
              <w:left w:w="28" w:type="dxa"/>
              <w:right w:w="28" w:type="dxa"/>
            </w:tcMar>
          </w:tcPr>
          <w:p w14:paraId="5DFEE21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76-44-8/1024-57-3</w:t>
            </w:r>
          </w:p>
        </w:tc>
        <w:tc>
          <w:tcPr>
            <w:tcW w:w="1134" w:type="dxa"/>
          </w:tcPr>
          <w:p w14:paraId="1635AE62" w14:textId="77777777" w:rsidR="00C45ED4" w:rsidRPr="00CB2133" w:rsidRDefault="00C45ED4" w:rsidP="00C45ED4">
            <w:pPr>
              <w:widowControl/>
              <w:spacing w:before="40" w:after="40"/>
              <w:rPr>
                <w:rFonts w:eastAsia="Calibri"/>
                <w:strike/>
                <w:noProof/>
                <w:sz w:val="22"/>
                <w:szCs w:val="22"/>
                <w:lang w:eastAsia="en-US"/>
              </w:rPr>
            </w:pPr>
            <w:r w:rsidRPr="00CB2133">
              <w:rPr>
                <w:rFonts w:eastAsia="Calibri"/>
                <w:noProof/>
                <w:sz w:val="22"/>
                <w:szCs w:val="22"/>
                <w:lang w:eastAsia="en-US"/>
              </w:rPr>
              <w:t>200-962-3/213-831-0</w:t>
            </w:r>
          </w:p>
        </w:tc>
        <w:tc>
          <w:tcPr>
            <w:tcW w:w="1279" w:type="dxa"/>
            <w:gridSpan w:val="2"/>
            <w:tcMar>
              <w:left w:w="28" w:type="dxa"/>
              <w:right w:w="28" w:type="dxa"/>
            </w:tcMar>
          </w:tcPr>
          <w:p w14:paraId="246FA76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[1,7 × 10</w:t>
            </w:r>
            <w:r w:rsidRPr="00CB2133">
              <w:rPr>
                <w:rFonts w:eastAsia="Calibri"/>
                <w:noProof/>
                <w:sz w:val="22"/>
                <w:szCs w:val="22"/>
                <w:vertAlign w:val="superscript"/>
                <w:lang w:eastAsia="en-US"/>
              </w:rPr>
              <w:t>-7</w:t>
            </w:r>
            <w:r w:rsidRPr="00CB2133">
              <w:rPr>
                <w:rFonts w:eastAsia="Calibri"/>
                <w:noProof/>
                <w:sz w:val="22"/>
                <w:szCs w:val="22"/>
                <w:lang w:eastAsia="en-US"/>
              </w:rPr>
              <w:t>]</w:t>
            </w:r>
          </w:p>
        </w:tc>
        <w:tc>
          <w:tcPr>
            <w:tcW w:w="1279" w:type="dxa"/>
            <w:gridSpan w:val="2"/>
            <w:tcMar>
              <w:left w:w="28" w:type="dxa"/>
              <w:right w:w="28" w:type="dxa"/>
            </w:tcMar>
          </w:tcPr>
          <w:p w14:paraId="6A756D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[1,7 × 10</w:t>
            </w:r>
            <w:r w:rsidRPr="00CB2133">
              <w:rPr>
                <w:rFonts w:eastAsia="Calibri"/>
                <w:noProof/>
                <w:sz w:val="22"/>
                <w:szCs w:val="22"/>
                <w:vertAlign w:val="superscript"/>
                <w:lang w:eastAsia="en-US"/>
              </w:rPr>
              <w:t>-7</w:t>
            </w:r>
            <w:r w:rsidRPr="00CB2133">
              <w:rPr>
                <w:rFonts w:eastAsia="Calibri"/>
                <w:noProof/>
                <w:sz w:val="22"/>
                <w:szCs w:val="22"/>
                <w:lang w:eastAsia="en-US"/>
              </w:rPr>
              <w:t>]</w:t>
            </w:r>
          </w:p>
        </w:tc>
        <w:tc>
          <w:tcPr>
            <w:tcW w:w="1277" w:type="dxa"/>
            <w:gridSpan w:val="2"/>
            <w:tcMar>
              <w:left w:w="28" w:type="dxa"/>
              <w:right w:w="28" w:type="dxa"/>
            </w:tcMar>
          </w:tcPr>
          <w:p w14:paraId="35EC82B2"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3 × 10</w:t>
            </w:r>
            <w:r w:rsidRPr="00CB2133">
              <w:rPr>
                <w:rFonts w:eastAsia="Calibri"/>
                <w:noProof/>
                <w:sz w:val="22"/>
                <w:szCs w:val="22"/>
                <w:vertAlign w:val="superscript"/>
                <w:lang w:eastAsia="en-US"/>
              </w:rPr>
              <w:t>-4</w:t>
            </w:r>
          </w:p>
        </w:tc>
        <w:tc>
          <w:tcPr>
            <w:tcW w:w="1276" w:type="dxa"/>
            <w:gridSpan w:val="2"/>
            <w:tcMar>
              <w:left w:w="28" w:type="dxa"/>
              <w:right w:w="28" w:type="dxa"/>
            </w:tcMar>
          </w:tcPr>
          <w:p w14:paraId="4D5EAFB8"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lang w:eastAsia="en-US"/>
              </w:rPr>
              <w:t>3 × 10</w:t>
            </w:r>
            <w:r w:rsidRPr="00CB2133">
              <w:rPr>
                <w:rFonts w:eastAsia="Calibri"/>
                <w:noProof/>
                <w:sz w:val="22"/>
                <w:szCs w:val="22"/>
                <w:vertAlign w:val="superscript"/>
                <w:lang w:eastAsia="en-US"/>
              </w:rPr>
              <w:t>-5</w:t>
            </w:r>
          </w:p>
        </w:tc>
        <w:tc>
          <w:tcPr>
            <w:tcW w:w="1135" w:type="dxa"/>
            <w:gridSpan w:val="2"/>
            <w:tcMar>
              <w:left w:w="28" w:type="dxa"/>
              <w:right w:w="28" w:type="dxa"/>
            </w:tcMar>
          </w:tcPr>
          <w:p w14:paraId="44880381" w14:textId="77777777" w:rsidR="00C45ED4" w:rsidRPr="00CB2133" w:rsidRDefault="00C45ED4" w:rsidP="00C45ED4">
            <w:pPr>
              <w:widowControl/>
              <w:spacing w:before="40" w:after="40"/>
              <w:rPr>
                <w:rFonts w:eastAsia="Calibri"/>
                <w:noProof/>
                <w:sz w:val="22"/>
                <w:szCs w:val="22"/>
                <w:vertAlign w:val="superscript"/>
                <w:lang w:eastAsia="en-US"/>
              </w:rPr>
            </w:pPr>
            <w:r w:rsidRPr="00CB2133">
              <w:rPr>
                <w:rFonts w:eastAsia="Calibri"/>
                <w:noProof/>
                <w:sz w:val="22"/>
                <w:szCs w:val="22"/>
                <w:vertAlign w:val="superscript"/>
                <w:lang w:eastAsia="en-US"/>
              </w:rPr>
              <w:t xml:space="preserve"> </w:t>
            </w:r>
            <w:r w:rsidRPr="00CB2133">
              <w:rPr>
                <w:rFonts w:eastAsia="Calibri"/>
                <w:noProof/>
                <w:sz w:val="22"/>
                <w:szCs w:val="22"/>
                <w:lang w:eastAsia="en-US"/>
              </w:rPr>
              <w:t>[0,013]</w:t>
            </w:r>
          </w:p>
        </w:tc>
        <w:tc>
          <w:tcPr>
            <w:tcW w:w="1262" w:type="dxa"/>
            <w:tcMar>
              <w:left w:w="28" w:type="dxa"/>
              <w:right w:w="28" w:type="dxa"/>
            </w:tcMar>
          </w:tcPr>
          <w:p w14:paraId="30FB47A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32F898B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c>
          <w:tcPr>
            <w:tcW w:w="970" w:type="dxa"/>
            <w:tcMar>
              <w:left w:w="28" w:type="dxa"/>
              <w:right w:w="28" w:type="dxa"/>
            </w:tcMar>
          </w:tcPr>
          <w:p w14:paraId="0606EC5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32F1BCE8" w14:textId="77777777" w:rsidTr="000238DA">
        <w:trPr>
          <w:gridBefore w:val="1"/>
          <w:wBefore w:w="11" w:type="dxa"/>
          <w:cantSplit/>
          <w:tblHeader/>
          <w:jc w:val="center"/>
        </w:trPr>
        <w:tc>
          <w:tcPr>
            <w:tcW w:w="649" w:type="dxa"/>
            <w:gridSpan w:val="3"/>
            <w:tcMar>
              <w:left w:w="28" w:type="dxa"/>
              <w:right w:w="28" w:type="dxa"/>
            </w:tcMar>
          </w:tcPr>
          <w:p w14:paraId="5359823E"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(45)</w:t>
            </w:r>
          </w:p>
        </w:tc>
        <w:tc>
          <w:tcPr>
            <w:tcW w:w="2286" w:type="dxa"/>
            <w:gridSpan w:val="3"/>
            <w:tcMar>
              <w:left w:w="28" w:type="dxa"/>
              <w:right w:w="28" w:type="dxa"/>
            </w:tcMar>
          </w:tcPr>
          <w:p w14:paraId="2BE6783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Terbutriin</w:t>
            </w:r>
          </w:p>
        </w:tc>
        <w:tc>
          <w:tcPr>
            <w:tcW w:w="1329" w:type="dxa"/>
            <w:gridSpan w:val="3"/>
            <w:tcMar>
              <w:left w:w="28" w:type="dxa"/>
              <w:right w:w="28" w:type="dxa"/>
            </w:tcMar>
          </w:tcPr>
          <w:p w14:paraId="439E9AD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Herbitsiidid</w:t>
            </w:r>
          </w:p>
        </w:tc>
        <w:tc>
          <w:tcPr>
            <w:tcW w:w="992" w:type="dxa"/>
            <w:gridSpan w:val="2"/>
            <w:tcMar>
              <w:left w:w="28" w:type="dxa"/>
              <w:right w:w="28" w:type="dxa"/>
            </w:tcMar>
          </w:tcPr>
          <w:p w14:paraId="36A7012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886-50-0</w:t>
            </w:r>
          </w:p>
        </w:tc>
        <w:tc>
          <w:tcPr>
            <w:tcW w:w="1134" w:type="dxa"/>
          </w:tcPr>
          <w:p w14:paraId="3FE4D15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212-950-5</w:t>
            </w:r>
          </w:p>
        </w:tc>
        <w:tc>
          <w:tcPr>
            <w:tcW w:w="1279" w:type="dxa"/>
            <w:gridSpan w:val="2"/>
            <w:tcMar>
              <w:left w:w="28" w:type="dxa"/>
              <w:right w:w="28" w:type="dxa"/>
            </w:tcMar>
          </w:tcPr>
          <w:p w14:paraId="484101E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0,065</w:t>
            </w:r>
          </w:p>
        </w:tc>
        <w:tc>
          <w:tcPr>
            <w:tcW w:w="1279" w:type="dxa"/>
            <w:gridSpan w:val="2"/>
            <w:tcMar>
              <w:left w:w="28" w:type="dxa"/>
              <w:right w:w="28" w:type="dxa"/>
            </w:tcMar>
          </w:tcPr>
          <w:p w14:paraId="00F3C7D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0,0065</w:t>
            </w:r>
          </w:p>
        </w:tc>
        <w:tc>
          <w:tcPr>
            <w:tcW w:w="1277" w:type="dxa"/>
            <w:gridSpan w:val="2"/>
            <w:tcMar>
              <w:left w:w="28" w:type="dxa"/>
              <w:right w:w="28" w:type="dxa"/>
            </w:tcMar>
          </w:tcPr>
          <w:p w14:paraId="2345C49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0,34</w:t>
            </w:r>
          </w:p>
        </w:tc>
        <w:tc>
          <w:tcPr>
            <w:tcW w:w="1276" w:type="dxa"/>
            <w:gridSpan w:val="2"/>
            <w:tcMar>
              <w:left w:w="28" w:type="dxa"/>
              <w:right w:w="28" w:type="dxa"/>
            </w:tcMar>
          </w:tcPr>
          <w:p w14:paraId="4694A88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0,034</w:t>
            </w:r>
          </w:p>
        </w:tc>
        <w:tc>
          <w:tcPr>
            <w:tcW w:w="1135" w:type="dxa"/>
            <w:gridSpan w:val="2"/>
            <w:tcMar>
              <w:left w:w="28" w:type="dxa"/>
              <w:right w:w="28" w:type="dxa"/>
            </w:tcMar>
          </w:tcPr>
          <w:p w14:paraId="501150A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3506C37"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7F544761"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5F43466D" w14:textId="77777777" w:rsidR="00C45ED4" w:rsidRPr="00CB2133" w:rsidRDefault="00C45ED4" w:rsidP="00C45ED4">
            <w:pPr>
              <w:widowControl/>
              <w:spacing w:before="40" w:after="40"/>
              <w:rPr>
                <w:rFonts w:eastAsia="Calibri"/>
                <w:noProof/>
                <w:sz w:val="22"/>
                <w:szCs w:val="22"/>
                <w:lang w:eastAsia="en-US"/>
              </w:rPr>
            </w:pPr>
          </w:p>
        </w:tc>
      </w:tr>
      <w:tr w:rsidR="00C45ED4" w:rsidRPr="00CB2133" w14:paraId="1DEE80C4" w14:textId="77777777" w:rsidTr="000238DA">
        <w:trPr>
          <w:gridBefore w:val="1"/>
          <w:wBefore w:w="11" w:type="dxa"/>
          <w:cantSplit/>
          <w:tblHeader/>
          <w:jc w:val="center"/>
        </w:trPr>
        <w:tc>
          <w:tcPr>
            <w:tcW w:w="649" w:type="dxa"/>
            <w:gridSpan w:val="3"/>
            <w:tcMar>
              <w:left w:w="28" w:type="dxa"/>
              <w:right w:w="28" w:type="dxa"/>
            </w:tcMar>
          </w:tcPr>
          <w:p w14:paraId="7EE8ED0A"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lastRenderedPageBreak/>
              <w:t>(46)</w:t>
            </w:r>
          </w:p>
        </w:tc>
        <w:tc>
          <w:tcPr>
            <w:tcW w:w="2286" w:type="dxa"/>
            <w:gridSpan w:val="3"/>
            <w:shd w:val="clear" w:color="auto" w:fill="auto"/>
            <w:tcMar>
              <w:left w:w="28" w:type="dxa"/>
              <w:right w:w="28" w:type="dxa"/>
            </w:tcMar>
          </w:tcPr>
          <w:p w14:paraId="48DA93E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17-α-etinüülöstradiool (EE2)</w:t>
            </w:r>
          </w:p>
        </w:tc>
        <w:tc>
          <w:tcPr>
            <w:tcW w:w="1329" w:type="dxa"/>
            <w:gridSpan w:val="3"/>
            <w:shd w:val="clear" w:color="auto" w:fill="auto"/>
            <w:tcMar>
              <w:left w:w="28" w:type="dxa"/>
              <w:right w:w="28" w:type="dxa"/>
            </w:tcMar>
          </w:tcPr>
          <w:p w14:paraId="0468640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 (östrogeensed hormoonid)</w:t>
            </w:r>
          </w:p>
        </w:tc>
        <w:tc>
          <w:tcPr>
            <w:tcW w:w="992" w:type="dxa"/>
            <w:gridSpan w:val="2"/>
            <w:shd w:val="clear" w:color="auto" w:fill="auto"/>
            <w:tcMar>
              <w:left w:w="28" w:type="dxa"/>
              <w:right w:w="28" w:type="dxa"/>
            </w:tcMar>
          </w:tcPr>
          <w:p w14:paraId="33D21DF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57-63-6</w:t>
            </w:r>
          </w:p>
        </w:tc>
        <w:tc>
          <w:tcPr>
            <w:tcW w:w="1134" w:type="dxa"/>
          </w:tcPr>
          <w:p w14:paraId="1ED5244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200-342-2</w:t>
            </w:r>
          </w:p>
        </w:tc>
        <w:tc>
          <w:tcPr>
            <w:tcW w:w="1279" w:type="dxa"/>
            <w:gridSpan w:val="2"/>
            <w:shd w:val="clear" w:color="auto" w:fill="auto"/>
            <w:tcMar>
              <w:left w:w="28" w:type="dxa"/>
              <w:right w:w="28" w:type="dxa"/>
            </w:tcMar>
          </w:tcPr>
          <w:p w14:paraId="71DDF94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 × 10</w:t>
            </w:r>
            <w:r w:rsidRPr="00CB2133">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6BB032A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1,6 × 10</w:t>
            </w:r>
            <w:r w:rsidRPr="00CB2133">
              <w:rPr>
                <w:rFonts w:eastAsia="Calibri"/>
                <w:noProof/>
                <w:color w:val="000000"/>
                <w:sz w:val="22"/>
                <w:szCs w:val="22"/>
                <w:vertAlign w:val="superscript"/>
                <w:lang w:eastAsia="en-US"/>
              </w:rPr>
              <w:t>-6</w:t>
            </w:r>
          </w:p>
        </w:tc>
        <w:tc>
          <w:tcPr>
            <w:tcW w:w="1277" w:type="dxa"/>
            <w:gridSpan w:val="2"/>
            <w:shd w:val="clear" w:color="auto" w:fill="auto"/>
            <w:tcMar>
              <w:left w:w="28" w:type="dxa"/>
              <w:right w:w="28" w:type="dxa"/>
            </w:tcMar>
          </w:tcPr>
          <w:p w14:paraId="61948DE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Leidmata</w:t>
            </w:r>
          </w:p>
        </w:tc>
        <w:tc>
          <w:tcPr>
            <w:tcW w:w="1276" w:type="dxa"/>
            <w:gridSpan w:val="2"/>
            <w:shd w:val="clear" w:color="auto" w:fill="auto"/>
            <w:tcMar>
              <w:left w:w="28" w:type="dxa"/>
              <w:right w:w="28" w:type="dxa"/>
            </w:tcMar>
          </w:tcPr>
          <w:p w14:paraId="1B15CC2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Leidmata</w:t>
            </w:r>
          </w:p>
        </w:tc>
        <w:tc>
          <w:tcPr>
            <w:tcW w:w="1135" w:type="dxa"/>
            <w:gridSpan w:val="2"/>
            <w:shd w:val="clear" w:color="auto" w:fill="auto"/>
            <w:tcMar>
              <w:left w:w="28" w:type="dxa"/>
              <w:right w:w="28" w:type="dxa"/>
            </w:tcMar>
          </w:tcPr>
          <w:p w14:paraId="2E452B0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E90EDAF"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08FB1E41"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24C468A0"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1D69873C" w14:textId="77777777" w:rsidTr="000238DA">
        <w:trPr>
          <w:gridBefore w:val="1"/>
          <w:wBefore w:w="11" w:type="dxa"/>
          <w:cantSplit/>
          <w:tblHeader/>
          <w:jc w:val="center"/>
        </w:trPr>
        <w:tc>
          <w:tcPr>
            <w:tcW w:w="649" w:type="dxa"/>
            <w:gridSpan w:val="3"/>
            <w:tcMar>
              <w:left w:w="28" w:type="dxa"/>
              <w:right w:w="28" w:type="dxa"/>
            </w:tcMar>
          </w:tcPr>
          <w:p w14:paraId="61CEB35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(47)</w:t>
            </w:r>
          </w:p>
        </w:tc>
        <w:tc>
          <w:tcPr>
            <w:tcW w:w="2286" w:type="dxa"/>
            <w:gridSpan w:val="3"/>
            <w:shd w:val="clear" w:color="auto" w:fill="auto"/>
            <w:tcMar>
              <w:left w:w="28" w:type="dxa"/>
              <w:right w:w="28" w:type="dxa"/>
            </w:tcMar>
          </w:tcPr>
          <w:p w14:paraId="51C3367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17-β-östradiool (E2)</w:t>
            </w:r>
          </w:p>
        </w:tc>
        <w:tc>
          <w:tcPr>
            <w:tcW w:w="1329" w:type="dxa"/>
            <w:gridSpan w:val="3"/>
            <w:shd w:val="clear" w:color="auto" w:fill="auto"/>
            <w:tcMar>
              <w:left w:w="28" w:type="dxa"/>
              <w:right w:w="28" w:type="dxa"/>
            </w:tcMar>
          </w:tcPr>
          <w:p w14:paraId="490E85D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 (östrogeensed hormoonid)</w:t>
            </w:r>
          </w:p>
        </w:tc>
        <w:tc>
          <w:tcPr>
            <w:tcW w:w="992" w:type="dxa"/>
            <w:gridSpan w:val="2"/>
            <w:shd w:val="clear" w:color="auto" w:fill="auto"/>
            <w:tcMar>
              <w:left w:w="28" w:type="dxa"/>
              <w:right w:w="28" w:type="dxa"/>
            </w:tcMar>
          </w:tcPr>
          <w:p w14:paraId="4D30A16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50-28-2</w:t>
            </w:r>
          </w:p>
        </w:tc>
        <w:tc>
          <w:tcPr>
            <w:tcW w:w="1134" w:type="dxa"/>
          </w:tcPr>
          <w:p w14:paraId="5DACDDA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200-023-8</w:t>
            </w:r>
          </w:p>
        </w:tc>
        <w:tc>
          <w:tcPr>
            <w:tcW w:w="1279" w:type="dxa"/>
            <w:gridSpan w:val="2"/>
            <w:shd w:val="clear" w:color="auto" w:fill="auto"/>
            <w:tcMar>
              <w:left w:w="28" w:type="dxa"/>
              <w:right w:w="28" w:type="dxa"/>
            </w:tcMar>
          </w:tcPr>
          <w:p w14:paraId="4BBF7B4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0,00018</w:t>
            </w:r>
          </w:p>
        </w:tc>
        <w:tc>
          <w:tcPr>
            <w:tcW w:w="1279" w:type="dxa"/>
            <w:gridSpan w:val="2"/>
            <w:shd w:val="clear" w:color="auto" w:fill="auto"/>
            <w:tcMar>
              <w:left w:w="28" w:type="dxa"/>
              <w:right w:w="28" w:type="dxa"/>
            </w:tcMar>
          </w:tcPr>
          <w:p w14:paraId="0BE9FE9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9 × 10</w:t>
            </w:r>
            <w:r w:rsidRPr="00CB2133">
              <w:rPr>
                <w:rFonts w:eastAsia="Calibri"/>
                <w:noProof/>
                <w:color w:val="000000"/>
                <w:sz w:val="22"/>
                <w:szCs w:val="22"/>
                <w:vertAlign w:val="superscript"/>
                <w:lang w:eastAsia="en-US"/>
              </w:rPr>
              <w:t>-6</w:t>
            </w:r>
          </w:p>
        </w:tc>
        <w:tc>
          <w:tcPr>
            <w:tcW w:w="1277" w:type="dxa"/>
            <w:gridSpan w:val="2"/>
            <w:shd w:val="clear" w:color="auto" w:fill="auto"/>
            <w:tcMar>
              <w:left w:w="28" w:type="dxa"/>
              <w:right w:w="28" w:type="dxa"/>
            </w:tcMar>
          </w:tcPr>
          <w:p w14:paraId="2AD86A2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Leidmata</w:t>
            </w:r>
          </w:p>
        </w:tc>
        <w:tc>
          <w:tcPr>
            <w:tcW w:w="1276" w:type="dxa"/>
            <w:gridSpan w:val="2"/>
            <w:shd w:val="clear" w:color="auto" w:fill="auto"/>
            <w:tcMar>
              <w:left w:w="28" w:type="dxa"/>
              <w:right w:w="28" w:type="dxa"/>
            </w:tcMar>
          </w:tcPr>
          <w:p w14:paraId="4B6D33B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Leidmata</w:t>
            </w:r>
          </w:p>
        </w:tc>
        <w:tc>
          <w:tcPr>
            <w:tcW w:w="1135" w:type="dxa"/>
            <w:gridSpan w:val="2"/>
            <w:shd w:val="clear" w:color="auto" w:fill="auto"/>
            <w:tcMar>
              <w:left w:w="28" w:type="dxa"/>
              <w:right w:w="28" w:type="dxa"/>
            </w:tcMar>
          </w:tcPr>
          <w:p w14:paraId="376582EB"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C5C34E2"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08658ED5"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3B2534DB"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723DDC0B" w14:textId="77777777" w:rsidTr="000238DA">
        <w:trPr>
          <w:gridBefore w:val="1"/>
          <w:wBefore w:w="11" w:type="dxa"/>
          <w:cantSplit/>
          <w:tblHeader/>
          <w:jc w:val="center"/>
        </w:trPr>
        <w:tc>
          <w:tcPr>
            <w:tcW w:w="649" w:type="dxa"/>
            <w:gridSpan w:val="3"/>
            <w:tcMar>
              <w:left w:w="28" w:type="dxa"/>
              <w:right w:w="28" w:type="dxa"/>
            </w:tcMar>
          </w:tcPr>
          <w:p w14:paraId="7475BBD2"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(48)</w:t>
            </w:r>
          </w:p>
        </w:tc>
        <w:tc>
          <w:tcPr>
            <w:tcW w:w="2286" w:type="dxa"/>
            <w:gridSpan w:val="3"/>
            <w:shd w:val="clear" w:color="auto" w:fill="auto"/>
            <w:tcMar>
              <w:left w:w="28" w:type="dxa"/>
              <w:right w:w="28" w:type="dxa"/>
            </w:tcMar>
          </w:tcPr>
          <w:p w14:paraId="63B35BE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Atseetamipriid</w:t>
            </w:r>
          </w:p>
        </w:tc>
        <w:tc>
          <w:tcPr>
            <w:tcW w:w="1329" w:type="dxa"/>
            <w:gridSpan w:val="3"/>
            <w:shd w:val="clear" w:color="auto" w:fill="auto"/>
            <w:tcMar>
              <w:left w:w="28" w:type="dxa"/>
              <w:right w:w="28" w:type="dxa"/>
            </w:tcMar>
          </w:tcPr>
          <w:p w14:paraId="72D8927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Neonikotinoidpestitsiidid</w:t>
            </w:r>
          </w:p>
        </w:tc>
        <w:tc>
          <w:tcPr>
            <w:tcW w:w="992" w:type="dxa"/>
            <w:gridSpan w:val="2"/>
            <w:shd w:val="clear" w:color="auto" w:fill="auto"/>
            <w:tcMar>
              <w:left w:w="28" w:type="dxa"/>
              <w:right w:w="28" w:type="dxa"/>
            </w:tcMar>
          </w:tcPr>
          <w:p w14:paraId="7978B7B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135410-20-7/160430-64-8</w:t>
            </w:r>
          </w:p>
        </w:tc>
        <w:tc>
          <w:tcPr>
            <w:tcW w:w="1134" w:type="dxa"/>
          </w:tcPr>
          <w:p w14:paraId="272E21C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603-921-1</w:t>
            </w:r>
          </w:p>
        </w:tc>
        <w:tc>
          <w:tcPr>
            <w:tcW w:w="1279" w:type="dxa"/>
            <w:gridSpan w:val="2"/>
            <w:shd w:val="clear" w:color="auto" w:fill="auto"/>
            <w:tcMar>
              <w:left w:w="28" w:type="dxa"/>
              <w:right w:w="28" w:type="dxa"/>
            </w:tcMar>
          </w:tcPr>
          <w:p w14:paraId="2FD2D83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0,037</w:t>
            </w:r>
          </w:p>
        </w:tc>
        <w:tc>
          <w:tcPr>
            <w:tcW w:w="1279" w:type="dxa"/>
            <w:gridSpan w:val="2"/>
            <w:shd w:val="clear" w:color="auto" w:fill="auto"/>
            <w:tcMar>
              <w:left w:w="28" w:type="dxa"/>
              <w:right w:w="28" w:type="dxa"/>
            </w:tcMar>
          </w:tcPr>
          <w:p w14:paraId="46BC7DC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0,0037</w:t>
            </w:r>
          </w:p>
        </w:tc>
        <w:tc>
          <w:tcPr>
            <w:tcW w:w="1277" w:type="dxa"/>
            <w:gridSpan w:val="2"/>
            <w:shd w:val="clear" w:color="auto" w:fill="auto"/>
            <w:tcMar>
              <w:left w:w="28" w:type="dxa"/>
              <w:right w:w="28" w:type="dxa"/>
            </w:tcMar>
          </w:tcPr>
          <w:p w14:paraId="483335E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0,16</w:t>
            </w:r>
          </w:p>
        </w:tc>
        <w:tc>
          <w:tcPr>
            <w:tcW w:w="1276" w:type="dxa"/>
            <w:gridSpan w:val="2"/>
            <w:shd w:val="clear" w:color="auto" w:fill="auto"/>
            <w:tcMar>
              <w:left w:w="28" w:type="dxa"/>
              <w:right w:w="28" w:type="dxa"/>
            </w:tcMar>
          </w:tcPr>
          <w:p w14:paraId="6FA7D89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0,016</w:t>
            </w:r>
          </w:p>
        </w:tc>
        <w:tc>
          <w:tcPr>
            <w:tcW w:w="1135" w:type="dxa"/>
            <w:gridSpan w:val="2"/>
            <w:shd w:val="clear" w:color="auto" w:fill="auto"/>
            <w:tcMar>
              <w:left w:w="28" w:type="dxa"/>
              <w:right w:w="28" w:type="dxa"/>
            </w:tcMar>
          </w:tcPr>
          <w:p w14:paraId="152D6530"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098FA2CE"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66656D6F"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5C2428CB"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6D9A25F4" w14:textId="77777777" w:rsidTr="000238DA">
        <w:trPr>
          <w:gridBefore w:val="1"/>
          <w:wBefore w:w="11" w:type="dxa"/>
          <w:cantSplit/>
          <w:tblHeader/>
          <w:jc w:val="center"/>
        </w:trPr>
        <w:tc>
          <w:tcPr>
            <w:tcW w:w="649" w:type="dxa"/>
            <w:gridSpan w:val="3"/>
            <w:tcMar>
              <w:left w:w="28" w:type="dxa"/>
              <w:right w:w="28" w:type="dxa"/>
            </w:tcMar>
          </w:tcPr>
          <w:p w14:paraId="4A2F8C34"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(49)</w:t>
            </w:r>
          </w:p>
        </w:tc>
        <w:tc>
          <w:tcPr>
            <w:tcW w:w="2286" w:type="dxa"/>
            <w:gridSpan w:val="3"/>
            <w:shd w:val="clear" w:color="auto" w:fill="auto"/>
            <w:tcMar>
              <w:left w:w="28" w:type="dxa"/>
              <w:right w:w="28" w:type="dxa"/>
            </w:tcMar>
          </w:tcPr>
          <w:p w14:paraId="1D228A9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Asitromütsiin</w:t>
            </w:r>
          </w:p>
        </w:tc>
        <w:tc>
          <w:tcPr>
            <w:tcW w:w="1329" w:type="dxa"/>
            <w:gridSpan w:val="3"/>
            <w:shd w:val="clear" w:color="auto" w:fill="auto"/>
            <w:tcMar>
              <w:left w:w="28" w:type="dxa"/>
              <w:right w:w="28" w:type="dxa"/>
            </w:tcMar>
          </w:tcPr>
          <w:p w14:paraId="512CC68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 (makroliidantibiootikumid)</w:t>
            </w:r>
          </w:p>
        </w:tc>
        <w:tc>
          <w:tcPr>
            <w:tcW w:w="992" w:type="dxa"/>
            <w:gridSpan w:val="2"/>
            <w:shd w:val="clear" w:color="auto" w:fill="auto"/>
            <w:tcMar>
              <w:left w:w="28" w:type="dxa"/>
              <w:right w:w="28" w:type="dxa"/>
            </w:tcMar>
          </w:tcPr>
          <w:p w14:paraId="3DC9484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83905-01-5</w:t>
            </w:r>
          </w:p>
        </w:tc>
        <w:tc>
          <w:tcPr>
            <w:tcW w:w="1134" w:type="dxa"/>
          </w:tcPr>
          <w:p w14:paraId="6DE6320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617-500-5</w:t>
            </w:r>
          </w:p>
        </w:tc>
        <w:tc>
          <w:tcPr>
            <w:tcW w:w="1279" w:type="dxa"/>
            <w:gridSpan w:val="2"/>
            <w:shd w:val="clear" w:color="auto" w:fill="auto"/>
            <w:tcMar>
              <w:left w:w="28" w:type="dxa"/>
              <w:right w:w="28" w:type="dxa"/>
            </w:tcMar>
          </w:tcPr>
          <w:p w14:paraId="3319B11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0,019</w:t>
            </w:r>
          </w:p>
        </w:tc>
        <w:tc>
          <w:tcPr>
            <w:tcW w:w="1279" w:type="dxa"/>
            <w:gridSpan w:val="2"/>
            <w:shd w:val="clear" w:color="auto" w:fill="auto"/>
            <w:tcMar>
              <w:left w:w="28" w:type="dxa"/>
              <w:right w:w="28" w:type="dxa"/>
            </w:tcMar>
          </w:tcPr>
          <w:p w14:paraId="7BAAF5D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0,0019</w:t>
            </w:r>
          </w:p>
        </w:tc>
        <w:tc>
          <w:tcPr>
            <w:tcW w:w="1277" w:type="dxa"/>
            <w:gridSpan w:val="2"/>
            <w:shd w:val="clear" w:color="auto" w:fill="auto"/>
            <w:tcMar>
              <w:left w:w="28" w:type="dxa"/>
              <w:right w:w="28" w:type="dxa"/>
            </w:tcMar>
          </w:tcPr>
          <w:p w14:paraId="68A67EC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0,18</w:t>
            </w:r>
          </w:p>
        </w:tc>
        <w:tc>
          <w:tcPr>
            <w:tcW w:w="1276" w:type="dxa"/>
            <w:gridSpan w:val="2"/>
            <w:shd w:val="clear" w:color="auto" w:fill="auto"/>
            <w:tcMar>
              <w:left w:w="28" w:type="dxa"/>
              <w:right w:w="28" w:type="dxa"/>
            </w:tcMar>
          </w:tcPr>
          <w:p w14:paraId="565A05A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0,018</w:t>
            </w:r>
          </w:p>
        </w:tc>
        <w:tc>
          <w:tcPr>
            <w:tcW w:w="1135" w:type="dxa"/>
            <w:gridSpan w:val="2"/>
            <w:shd w:val="clear" w:color="auto" w:fill="auto"/>
            <w:tcMar>
              <w:left w:w="28" w:type="dxa"/>
              <w:right w:w="28" w:type="dxa"/>
            </w:tcMar>
          </w:tcPr>
          <w:p w14:paraId="56970F49"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7C3251E3" w14:textId="77777777" w:rsidR="00C45ED4" w:rsidRPr="00CB2133" w:rsidRDefault="00C45ED4" w:rsidP="00C45ED4">
            <w:pPr>
              <w:widowControl/>
              <w:spacing w:before="40" w:after="40"/>
              <w:rPr>
                <w:rFonts w:eastAsia="Calibri"/>
                <w:noProof/>
                <w:sz w:val="22"/>
                <w:szCs w:val="22"/>
                <w:lang w:eastAsia="en-US"/>
              </w:rPr>
            </w:pPr>
          </w:p>
        </w:tc>
        <w:tc>
          <w:tcPr>
            <w:tcW w:w="1154" w:type="dxa"/>
            <w:gridSpan w:val="2"/>
            <w:tcMar>
              <w:left w:w="28" w:type="dxa"/>
              <w:right w:w="28" w:type="dxa"/>
            </w:tcMar>
          </w:tcPr>
          <w:p w14:paraId="317C60A9" w14:textId="77777777" w:rsidR="00C45ED4" w:rsidRPr="00CB2133" w:rsidRDefault="00C45ED4" w:rsidP="00C45ED4">
            <w:pPr>
              <w:widowControl/>
              <w:spacing w:before="40" w:after="40"/>
              <w:rPr>
                <w:rFonts w:eastAsia="Calibri"/>
                <w:noProof/>
                <w:sz w:val="22"/>
                <w:szCs w:val="22"/>
                <w:lang w:eastAsia="en-US"/>
              </w:rPr>
            </w:pPr>
          </w:p>
        </w:tc>
        <w:tc>
          <w:tcPr>
            <w:tcW w:w="970" w:type="dxa"/>
            <w:tcMar>
              <w:left w:w="28" w:type="dxa"/>
              <w:right w:w="28" w:type="dxa"/>
            </w:tcMar>
          </w:tcPr>
          <w:p w14:paraId="0B94FC2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X</w:t>
            </w:r>
          </w:p>
        </w:tc>
      </w:tr>
      <w:tr w:rsidR="00C45ED4" w:rsidRPr="00CB2133" w14:paraId="3C374F6B" w14:textId="77777777" w:rsidTr="000238DA">
        <w:trPr>
          <w:gridBefore w:val="1"/>
          <w:wBefore w:w="11" w:type="dxa"/>
          <w:cantSplit/>
          <w:tblHeader/>
          <w:jc w:val="center"/>
        </w:trPr>
        <w:tc>
          <w:tcPr>
            <w:tcW w:w="649" w:type="dxa"/>
            <w:gridSpan w:val="3"/>
            <w:tcMar>
              <w:left w:w="28" w:type="dxa"/>
              <w:right w:w="28" w:type="dxa"/>
            </w:tcMar>
          </w:tcPr>
          <w:p w14:paraId="4DAEEDE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(50)</w:t>
            </w:r>
          </w:p>
        </w:tc>
        <w:tc>
          <w:tcPr>
            <w:tcW w:w="2286" w:type="dxa"/>
            <w:gridSpan w:val="3"/>
            <w:shd w:val="clear" w:color="auto" w:fill="auto"/>
            <w:tcMar>
              <w:left w:w="28" w:type="dxa"/>
              <w:right w:w="28" w:type="dxa"/>
            </w:tcMar>
          </w:tcPr>
          <w:p w14:paraId="4AE9EF9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Bifentriin</w:t>
            </w:r>
          </w:p>
        </w:tc>
        <w:tc>
          <w:tcPr>
            <w:tcW w:w="1329" w:type="dxa"/>
            <w:gridSpan w:val="3"/>
            <w:shd w:val="clear" w:color="auto" w:fill="auto"/>
            <w:tcMar>
              <w:left w:w="28" w:type="dxa"/>
              <w:right w:w="28" w:type="dxa"/>
            </w:tcMar>
          </w:tcPr>
          <w:p w14:paraId="0B9A506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Püretroidpestitsiidid</w:t>
            </w:r>
          </w:p>
        </w:tc>
        <w:tc>
          <w:tcPr>
            <w:tcW w:w="992" w:type="dxa"/>
            <w:gridSpan w:val="2"/>
            <w:shd w:val="clear" w:color="auto" w:fill="auto"/>
            <w:tcMar>
              <w:left w:w="28" w:type="dxa"/>
              <w:right w:w="28" w:type="dxa"/>
            </w:tcMar>
          </w:tcPr>
          <w:p w14:paraId="3A0C18C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82657-04-3</w:t>
            </w:r>
          </w:p>
        </w:tc>
        <w:tc>
          <w:tcPr>
            <w:tcW w:w="1134" w:type="dxa"/>
          </w:tcPr>
          <w:p w14:paraId="7D1F401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617-373-6</w:t>
            </w:r>
          </w:p>
        </w:tc>
        <w:tc>
          <w:tcPr>
            <w:tcW w:w="1279" w:type="dxa"/>
            <w:gridSpan w:val="2"/>
            <w:shd w:val="clear" w:color="auto" w:fill="auto"/>
            <w:tcMar>
              <w:left w:w="28" w:type="dxa"/>
              <w:right w:w="28" w:type="dxa"/>
            </w:tcMar>
          </w:tcPr>
          <w:p w14:paraId="32EA9C3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9,5 × 10</w:t>
            </w:r>
            <w:r w:rsidRPr="00CB2133">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6D78503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9,5 × 10</w:t>
            </w:r>
            <w:r w:rsidRPr="00CB2133">
              <w:rPr>
                <w:rFonts w:eastAsia="Calibri"/>
                <w:noProof/>
                <w:color w:val="000000"/>
                <w:sz w:val="22"/>
                <w:szCs w:val="22"/>
                <w:vertAlign w:val="superscript"/>
                <w:lang w:eastAsia="en-US"/>
              </w:rPr>
              <w:t>-6</w:t>
            </w:r>
          </w:p>
        </w:tc>
        <w:tc>
          <w:tcPr>
            <w:tcW w:w="1277" w:type="dxa"/>
            <w:gridSpan w:val="2"/>
            <w:shd w:val="clear" w:color="auto" w:fill="auto"/>
            <w:tcMar>
              <w:left w:w="28" w:type="dxa"/>
              <w:right w:w="28" w:type="dxa"/>
            </w:tcMar>
          </w:tcPr>
          <w:p w14:paraId="3BAAEE9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0,011</w:t>
            </w:r>
          </w:p>
        </w:tc>
        <w:tc>
          <w:tcPr>
            <w:tcW w:w="1276" w:type="dxa"/>
            <w:gridSpan w:val="2"/>
            <w:shd w:val="clear" w:color="auto" w:fill="auto"/>
            <w:tcMar>
              <w:left w:w="28" w:type="dxa"/>
              <w:right w:w="28" w:type="dxa"/>
            </w:tcMar>
          </w:tcPr>
          <w:p w14:paraId="27907DD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0,001</w:t>
            </w:r>
          </w:p>
        </w:tc>
        <w:tc>
          <w:tcPr>
            <w:tcW w:w="1135" w:type="dxa"/>
            <w:gridSpan w:val="2"/>
            <w:shd w:val="clear" w:color="auto" w:fill="auto"/>
            <w:tcMar>
              <w:left w:w="28" w:type="dxa"/>
              <w:right w:w="28" w:type="dxa"/>
            </w:tcMar>
          </w:tcPr>
          <w:p w14:paraId="6D393AAF"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78D3CA4"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105C3D2B"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3DA34914"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r>
      <w:tr w:rsidR="00C45ED4" w:rsidRPr="00CB2133" w14:paraId="65531918" w14:textId="77777777" w:rsidTr="000238DA">
        <w:trPr>
          <w:gridBefore w:val="1"/>
          <w:wBefore w:w="11" w:type="dxa"/>
          <w:cantSplit/>
          <w:tblHeader/>
          <w:jc w:val="center"/>
        </w:trPr>
        <w:tc>
          <w:tcPr>
            <w:tcW w:w="649" w:type="dxa"/>
            <w:gridSpan w:val="3"/>
            <w:tcMar>
              <w:left w:w="28" w:type="dxa"/>
              <w:right w:w="28" w:type="dxa"/>
            </w:tcMar>
          </w:tcPr>
          <w:p w14:paraId="30EE9CD4" w14:textId="77777777" w:rsidR="00C45ED4" w:rsidRPr="00CB2133" w:rsidRDefault="00C45ED4" w:rsidP="00C45ED4">
            <w:pPr>
              <w:keepNext/>
              <w:widowControl/>
              <w:spacing w:before="40" w:after="40"/>
              <w:jc w:val="both"/>
              <w:rPr>
                <w:rFonts w:eastAsia="Calibri"/>
                <w:noProof/>
                <w:sz w:val="22"/>
                <w:szCs w:val="22"/>
                <w:lang w:eastAsia="en-US"/>
              </w:rPr>
            </w:pPr>
            <w:r w:rsidRPr="00CB2133">
              <w:rPr>
                <w:rFonts w:eastAsia="Calibri"/>
                <w:noProof/>
                <w:sz w:val="22"/>
                <w:szCs w:val="22"/>
                <w:lang w:eastAsia="en-US"/>
              </w:rPr>
              <w:t>(51)</w:t>
            </w:r>
          </w:p>
        </w:tc>
        <w:tc>
          <w:tcPr>
            <w:tcW w:w="2286" w:type="dxa"/>
            <w:gridSpan w:val="3"/>
            <w:shd w:val="clear" w:color="auto" w:fill="auto"/>
            <w:tcMar>
              <w:left w:w="28" w:type="dxa"/>
              <w:right w:w="28" w:type="dxa"/>
            </w:tcMar>
          </w:tcPr>
          <w:p w14:paraId="4D034C81"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Bisfenool A (BPA)</w:t>
            </w:r>
          </w:p>
        </w:tc>
        <w:tc>
          <w:tcPr>
            <w:tcW w:w="1329" w:type="dxa"/>
            <w:gridSpan w:val="3"/>
            <w:shd w:val="clear" w:color="auto" w:fill="auto"/>
            <w:tcMar>
              <w:left w:w="28" w:type="dxa"/>
              <w:right w:w="28" w:type="dxa"/>
            </w:tcMar>
          </w:tcPr>
          <w:p w14:paraId="129AC263"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Tööstuses kasutatavad ained</w:t>
            </w:r>
          </w:p>
        </w:tc>
        <w:tc>
          <w:tcPr>
            <w:tcW w:w="992" w:type="dxa"/>
            <w:gridSpan w:val="2"/>
            <w:shd w:val="clear" w:color="auto" w:fill="auto"/>
            <w:tcMar>
              <w:left w:w="28" w:type="dxa"/>
              <w:right w:w="28" w:type="dxa"/>
            </w:tcMar>
          </w:tcPr>
          <w:p w14:paraId="56201B6B"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80-05-7</w:t>
            </w:r>
          </w:p>
        </w:tc>
        <w:tc>
          <w:tcPr>
            <w:tcW w:w="1134" w:type="dxa"/>
          </w:tcPr>
          <w:p w14:paraId="28C8AE57" w14:textId="77777777" w:rsidR="00C45ED4" w:rsidRPr="00CB2133" w:rsidDel="00E110E0"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201-245-8</w:t>
            </w:r>
          </w:p>
        </w:tc>
        <w:tc>
          <w:tcPr>
            <w:tcW w:w="1279" w:type="dxa"/>
            <w:gridSpan w:val="2"/>
            <w:shd w:val="clear" w:color="auto" w:fill="auto"/>
            <w:tcMar>
              <w:left w:w="28" w:type="dxa"/>
              <w:right w:w="28" w:type="dxa"/>
            </w:tcMar>
          </w:tcPr>
          <w:p w14:paraId="35D50A9C"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3,4 × 10</w:t>
            </w:r>
            <w:r w:rsidRPr="00CB2133">
              <w:rPr>
                <w:rFonts w:eastAsia="Calibri"/>
                <w:noProof/>
                <w:color w:val="000000"/>
                <w:sz w:val="22"/>
                <w:szCs w:val="22"/>
                <w:vertAlign w:val="superscript"/>
                <w:lang w:eastAsia="en-US"/>
              </w:rPr>
              <w:t>-5</w:t>
            </w:r>
            <w:r w:rsidRPr="00CB2133">
              <w:rPr>
                <w:rFonts w:eastAsia="Calibri"/>
                <w:noProof/>
                <w:color w:val="000000"/>
                <w:sz w:val="22"/>
                <w:szCs w:val="22"/>
                <w:lang w:eastAsia="en-US"/>
              </w:rPr>
              <w:t xml:space="preserve"> </w:t>
            </w:r>
          </w:p>
        </w:tc>
        <w:tc>
          <w:tcPr>
            <w:tcW w:w="1279" w:type="dxa"/>
            <w:gridSpan w:val="2"/>
            <w:shd w:val="clear" w:color="auto" w:fill="auto"/>
            <w:tcMar>
              <w:left w:w="28" w:type="dxa"/>
              <w:right w:w="28" w:type="dxa"/>
            </w:tcMar>
          </w:tcPr>
          <w:p w14:paraId="4904D5B1"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3,4 × 10</w:t>
            </w:r>
            <w:r w:rsidRPr="00CB2133">
              <w:rPr>
                <w:rFonts w:eastAsia="Calibri"/>
                <w:noProof/>
                <w:color w:val="000000"/>
                <w:sz w:val="22"/>
                <w:szCs w:val="22"/>
                <w:vertAlign w:val="superscript"/>
                <w:lang w:eastAsia="en-US"/>
              </w:rPr>
              <w:t>-5</w:t>
            </w:r>
            <w:r w:rsidRPr="00CB2133">
              <w:rPr>
                <w:rFonts w:eastAsia="Calibri"/>
                <w:noProof/>
                <w:color w:val="000000"/>
                <w:sz w:val="22"/>
                <w:szCs w:val="22"/>
                <w:lang w:eastAsia="en-US"/>
              </w:rPr>
              <w:t xml:space="preserve"> </w:t>
            </w:r>
          </w:p>
        </w:tc>
        <w:tc>
          <w:tcPr>
            <w:tcW w:w="1277" w:type="dxa"/>
            <w:gridSpan w:val="2"/>
            <w:shd w:val="clear" w:color="auto" w:fill="auto"/>
            <w:tcMar>
              <w:left w:w="28" w:type="dxa"/>
              <w:right w:w="28" w:type="dxa"/>
            </w:tcMar>
          </w:tcPr>
          <w:p w14:paraId="5986CB07"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130</w:t>
            </w:r>
          </w:p>
        </w:tc>
        <w:tc>
          <w:tcPr>
            <w:tcW w:w="1276" w:type="dxa"/>
            <w:gridSpan w:val="2"/>
            <w:shd w:val="clear" w:color="auto" w:fill="auto"/>
            <w:tcMar>
              <w:left w:w="28" w:type="dxa"/>
              <w:right w:w="28" w:type="dxa"/>
            </w:tcMar>
          </w:tcPr>
          <w:p w14:paraId="2327C2AE"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51</w:t>
            </w:r>
          </w:p>
        </w:tc>
        <w:tc>
          <w:tcPr>
            <w:tcW w:w="1135" w:type="dxa"/>
            <w:gridSpan w:val="2"/>
            <w:shd w:val="clear" w:color="auto" w:fill="auto"/>
            <w:tcMar>
              <w:left w:w="28" w:type="dxa"/>
              <w:right w:w="28" w:type="dxa"/>
            </w:tcMar>
          </w:tcPr>
          <w:p w14:paraId="47645FB5"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0,005</w:t>
            </w:r>
          </w:p>
        </w:tc>
        <w:tc>
          <w:tcPr>
            <w:tcW w:w="1262" w:type="dxa"/>
            <w:tcMar>
              <w:left w:w="28" w:type="dxa"/>
              <w:right w:w="28" w:type="dxa"/>
            </w:tcMar>
          </w:tcPr>
          <w:p w14:paraId="70B87C11" w14:textId="77777777" w:rsidR="00C45ED4" w:rsidRPr="00CB2133" w:rsidRDefault="00C45ED4" w:rsidP="00C45ED4">
            <w:pPr>
              <w:keepNext/>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c>
          <w:tcPr>
            <w:tcW w:w="1154" w:type="dxa"/>
            <w:gridSpan w:val="2"/>
            <w:tcMar>
              <w:left w:w="28" w:type="dxa"/>
              <w:right w:w="28" w:type="dxa"/>
            </w:tcMar>
          </w:tcPr>
          <w:p w14:paraId="707C85CB" w14:textId="77777777" w:rsidR="00C45ED4" w:rsidRPr="00CB2133" w:rsidRDefault="00C45ED4" w:rsidP="00C45ED4">
            <w:pPr>
              <w:keepNext/>
              <w:widowControl/>
              <w:spacing w:before="40" w:after="40"/>
              <w:rPr>
                <w:rFonts w:eastAsia="Calibri"/>
                <w:noProof/>
                <w:color w:val="000000"/>
                <w:sz w:val="22"/>
                <w:szCs w:val="22"/>
                <w:lang w:eastAsia="en-US"/>
              </w:rPr>
            </w:pPr>
          </w:p>
        </w:tc>
        <w:tc>
          <w:tcPr>
            <w:tcW w:w="970" w:type="dxa"/>
            <w:tcMar>
              <w:left w:w="28" w:type="dxa"/>
              <w:right w:w="28" w:type="dxa"/>
            </w:tcMar>
          </w:tcPr>
          <w:p w14:paraId="7425B30E" w14:textId="77777777" w:rsidR="00C45ED4" w:rsidRPr="00CB2133" w:rsidRDefault="00C45ED4" w:rsidP="00C45ED4">
            <w:pPr>
              <w:keepNext/>
              <w:widowControl/>
              <w:spacing w:before="40" w:after="40"/>
              <w:rPr>
                <w:rFonts w:eastAsia="Calibri"/>
                <w:noProof/>
                <w:color w:val="000000"/>
                <w:sz w:val="22"/>
                <w:szCs w:val="22"/>
                <w:lang w:eastAsia="en-US"/>
              </w:rPr>
            </w:pPr>
          </w:p>
        </w:tc>
      </w:tr>
      <w:tr w:rsidR="00C45ED4" w:rsidRPr="00CB2133" w14:paraId="06C2FCCE" w14:textId="77777777" w:rsidTr="000238DA">
        <w:trPr>
          <w:gridBefore w:val="1"/>
          <w:wBefore w:w="11" w:type="dxa"/>
          <w:cantSplit/>
          <w:tblHeader/>
          <w:jc w:val="center"/>
        </w:trPr>
        <w:tc>
          <w:tcPr>
            <w:tcW w:w="649" w:type="dxa"/>
            <w:gridSpan w:val="3"/>
            <w:tcMar>
              <w:left w:w="28" w:type="dxa"/>
              <w:right w:w="28" w:type="dxa"/>
            </w:tcMar>
          </w:tcPr>
          <w:p w14:paraId="3FF6950C"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(52)</w:t>
            </w:r>
          </w:p>
        </w:tc>
        <w:tc>
          <w:tcPr>
            <w:tcW w:w="2286" w:type="dxa"/>
            <w:gridSpan w:val="3"/>
            <w:shd w:val="clear" w:color="auto" w:fill="auto"/>
            <w:tcMar>
              <w:left w:w="28" w:type="dxa"/>
              <w:right w:w="28" w:type="dxa"/>
            </w:tcMar>
          </w:tcPr>
          <w:p w14:paraId="71C0B35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Karbaamasepiin</w:t>
            </w:r>
          </w:p>
        </w:tc>
        <w:tc>
          <w:tcPr>
            <w:tcW w:w="1329" w:type="dxa"/>
            <w:gridSpan w:val="3"/>
            <w:shd w:val="clear" w:color="auto" w:fill="auto"/>
            <w:tcMar>
              <w:left w:w="28" w:type="dxa"/>
              <w:right w:w="28" w:type="dxa"/>
            </w:tcMar>
          </w:tcPr>
          <w:p w14:paraId="08AD037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w:t>
            </w:r>
          </w:p>
        </w:tc>
        <w:tc>
          <w:tcPr>
            <w:tcW w:w="992" w:type="dxa"/>
            <w:gridSpan w:val="2"/>
            <w:shd w:val="clear" w:color="auto" w:fill="auto"/>
            <w:tcMar>
              <w:left w:w="28" w:type="dxa"/>
              <w:right w:w="28" w:type="dxa"/>
            </w:tcMar>
          </w:tcPr>
          <w:p w14:paraId="706AFDF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298-46-4</w:t>
            </w:r>
          </w:p>
        </w:tc>
        <w:tc>
          <w:tcPr>
            <w:tcW w:w="1134" w:type="dxa"/>
          </w:tcPr>
          <w:p w14:paraId="539DD1BC" w14:textId="77777777" w:rsidR="00C45ED4" w:rsidRPr="00CB2133" w:rsidDel="00F376D5"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206-062-7</w:t>
            </w:r>
          </w:p>
        </w:tc>
        <w:tc>
          <w:tcPr>
            <w:tcW w:w="1279" w:type="dxa"/>
            <w:gridSpan w:val="2"/>
            <w:shd w:val="clear" w:color="auto" w:fill="auto"/>
            <w:tcMar>
              <w:left w:w="28" w:type="dxa"/>
              <w:right w:w="28" w:type="dxa"/>
            </w:tcMar>
          </w:tcPr>
          <w:p w14:paraId="6883ED7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2,5</w:t>
            </w:r>
          </w:p>
        </w:tc>
        <w:tc>
          <w:tcPr>
            <w:tcW w:w="1279" w:type="dxa"/>
            <w:gridSpan w:val="2"/>
            <w:shd w:val="clear" w:color="auto" w:fill="auto"/>
            <w:tcMar>
              <w:left w:w="28" w:type="dxa"/>
              <w:right w:w="28" w:type="dxa"/>
            </w:tcMar>
          </w:tcPr>
          <w:p w14:paraId="2838E13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0,25</w:t>
            </w:r>
          </w:p>
        </w:tc>
        <w:tc>
          <w:tcPr>
            <w:tcW w:w="1277" w:type="dxa"/>
            <w:gridSpan w:val="2"/>
            <w:shd w:val="clear" w:color="auto" w:fill="auto"/>
            <w:tcMar>
              <w:left w:w="28" w:type="dxa"/>
              <w:right w:w="28" w:type="dxa"/>
            </w:tcMar>
          </w:tcPr>
          <w:p w14:paraId="2924DAA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1,6 × 10</w:t>
            </w:r>
            <w:r w:rsidRPr="00CB2133">
              <w:rPr>
                <w:rFonts w:eastAsia="Calibri"/>
                <w:noProof/>
                <w:color w:val="000000"/>
                <w:sz w:val="22"/>
                <w:szCs w:val="22"/>
                <w:vertAlign w:val="superscript"/>
                <w:lang w:eastAsia="en-US"/>
              </w:rPr>
              <w:t>3</w:t>
            </w:r>
          </w:p>
        </w:tc>
        <w:tc>
          <w:tcPr>
            <w:tcW w:w="1276" w:type="dxa"/>
            <w:gridSpan w:val="2"/>
            <w:shd w:val="clear" w:color="auto" w:fill="auto"/>
            <w:tcMar>
              <w:left w:w="28" w:type="dxa"/>
              <w:right w:w="28" w:type="dxa"/>
            </w:tcMar>
          </w:tcPr>
          <w:p w14:paraId="05E583E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160</w:t>
            </w:r>
          </w:p>
        </w:tc>
        <w:tc>
          <w:tcPr>
            <w:tcW w:w="1135" w:type="dxa"/>
            <w:gridSpan w:val="2"/>
            <w:shd w:val="clear" w:color="auto" w:fill="auto"/>
            <w:tcMar>
              <w:left w:w="28" w:type="dxa"/>
              <w:right w:w="28" w:type="dxa"/>
            </w:tcMar>
          </w:tcPr>
          <w:p w14:paraId="5100F33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C7FE385"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41482AED"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08A39620"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26AE0032" w14:textId="77777777" w:rsidTr="000238DA">
        <w:trPr>
          <w:gridBefore w:val="1"/>
          <w:wBefore w:w="11" w:type="dxa"/>
          <w:cantSplit/>
          <w:tblHeader/>
          <w:jc w:val="center"/>
        </w:trPr>
        <w:tc>
          <w:tcPr>
            <w:tcW w:w="649" w:type="dxa"/>
            <w:gridSpan w:val="3"/>
            <w:tcMar>
              <w:left w:w="28" w:type="dxa"/>
              <w:right w:w="28" w:type="dxa"/>
            </w:tcMar>
          </w:tcPr>
          <w:p w14:paraId="016920A3"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(53)</w:t>
            </w:r>
          </w:p>
        </w:tc>
        <w:tc>
          <w:tcPr>
            <w:tcW w:w="2286" w:type="dxa"/>
            <w:gridSpan w:val="3"/>
            <w:shd w:val="clear" w:color="auto" w:fill="auto"/>
            <w:tcMar>
              <w:left w:w="28" w:type="dxa"/>
              <w:right w:w="28" w:type="dxa"/>
            </w:tcMar>
          </w:tcPr>
          <w:p w14:paraId="3915D0B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Klaritromütsiin</w:t>
            </w:r>
          </w:p>
        </w:tc>
        <w:tc>
          <w:tcPr>
            <w:tcW w:w="1329" w:type="dxa"/>
            <w:gridSpan w:val="3"/>
            <w:shd w:val="clear" w:color="auto" w:fill="auto"/>
            <w:tcMar>
              <w:left w:w="28" w:type="dxa"/>
              <w:right w:w="28" w:type="dxa"/>
            </w:tcMar>
          </w:tcPr>
          <w:p w14:paraId="14F53C4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 (makroliidantibiootikumid)</w:t>
            </w:r>
          </w:p>
        </w:tc>
        <w:tc>
          <w:tcPr>
            <w:tcW w:w="992" w:type="dxa"/>
            <w:gridSpan w:val="2"/>
            <w:shd w:val="clear" w:color="auto" w:fill="auto"/>
            <w:tcMar>
              <w:left w:w="28" w:type="dxa"/>
              <w:right w:w="28" w:type="dxa"/>
            </w:tcMar>
          </w:tcPr>
          <w:p w14:paraId="1F1714E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81103-11-9</w:t>
            </w:r>
          </w:p>
        </w:tc>
        <w:tc>
          <w:tcPr>
            <w:tcW w:w="1134" w:type="dxa"/>
          </w:tcPr>
          <w:p w14:paraId="538A1EA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658-034-2</w:t>
            </w:r>
          </w:p>
        </w:tc>
        <w:tc>
          <w:tcPr>
            <w:tcW w:w="1279" w:type="dxa"/>
            <w:gridSpan w:val="2"/>
            <w:shd w:val="clear" w:color="auto" w:fill="auto"/>
            <w:tcMar>
              <w:left w:w="28" w:type="dxa"/>
              <w:right w:w="28" w:type="dxa"/>
            </w:tcMar>
          </w:tcPr>
          <w:p w14:paraId="74C7286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0,13</w:t>
            </w:r>
          </w:p>
        </w:tc>
        <w:tc>
          <w:tcPr>
            <w:tcW w:w="1279" w:type="dxa"/>
            <w:gridSpan w:val="2"/>
            <w:shd w:val="clear" w:color="auto" w:fill="auto"/>
            <w:tcMar>
              <w:left w:w="28" w:type="dxa"/>
              <w:right w:w="28" w:type="dxa"/>
            </w:tcMar>
          </w:tcPr>
          <w:p w14:paraId="176731D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0,013</w:t>
            </w:r>
          </w:p>
        </w:tc>
        <w:tc>
          <w:tcPr>
            <w:tcW w:w="1277" w:type="dxa"/>
            <w:gridSpan w:val="2"/>
            <w:shd w:val="clear" w:color="auto" w:fill="auto"/>
            <w:tcMar>
              <w:left w:w="28" w:type="dxa"/>
              <w:right w:w="28" w:type="dxa"/>
            </w:tcMar>
          </w:tcPr>
          <w:p w14:paraId="6CF1021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0,13</w:t>
            </w:r>
          </w:p>
        </w:tc>
        <w:tc>
          <w:tcPr>
            <w:tcW w:w="1276" w:type="dxa"/>
            <w:gridSpan w:val="2"/>
            <w:shd w:val="clear" w:color="auto" w:fill="auto"/>
            <w:tcMar>
              <w:left w:w="28" w:type="dxa"/>
              <w:right w:w="28" w:type="dxa"/>
            </w:tcMar>
          </w:tcPr>
          <w:p w14:paraId="74EB050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0,013</w:t>
            </w:r>
          </w:p>
        </w:tc>
        <w:tc>
          <w:tcPr>
            <w:tcW w:w="1135" w:type="dxa"/>
            <w:gridSpan w:val="2"/>
            <w:shd w:val="clear" w:color="auto" w:fill="auto"/>
            <w:tcMar>
              <w:left w:w="28" w:type="dxa"/>
              <w:right w:w="28" w:type="dxa"/>
            </w:tcMar>
          </w:tcPr>
          <w:p w14:paraId="772CA5FF"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06E91A5B"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37A4CC22"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4837FB3C"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r>
      <w:tr w:rsidR="00C45ED4" w:rsidRPr="00CB2133" w14:paraId="08B80084" w14:textId="77777777" w:rsidTr="000238DA">
        <w:trPr>
          <w:gridBefore w:val="1"/>
          <w:wBefore w:w="11" w:type="dxa"/>
          <w:cantSplit/>
          <w:tblHeader/>
          <w:jc w:val="center"/>
        </w:trPr>
        <w:tc>
          <w:tcPr>
            <w:tcW w:w="649" w:type="dxa"/>
            <w:gridSpan w:val="3"/>
            <w:tcMar>
              <w:left w:w="28" w:type="dxa"/>
              <w:right w:w="28" w:type="dxa"/>
            </w:tcMar>
          </w:tcPr>
          <w:p w14:paraId="7C4A3801"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(54)</w:t>
            </w:r>
          </w:p>
        </w:tc>
        <w:tc>
          <w:tcPr>
            <w:tcW w:w="2286" w:type="dxa"/>
            <w:gridSpan w:val="3"/>
            <w:shd w:val="clear" w:color="auto" w:fill="auto"/>
            <w:tcMar>
              <w:left w:w="28" w:type="dxa"/>
              <w:right w:w="28" w:type="dxa"/>
            </w:tcMar>
          </w:tcPr>
          <w:p w14:paraId="4653874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Klotianidiin</w:t>
            </w:r>
          </w:p>
        </w:tc>
        <w:tc>
          <w:tcPr>
            <w:tcW w:w="1329" w:type="dxa"/>
            <w:gridSpan w:val="3"/>
            <w:shd w:val="clear" w:color="auto" w:fill="auto"/>
            <w:tcMar>
              <w:left w:w="28" w:type="dxa"/>
              <w:right w:w="28" w:type="dxa"/>
            </w:tcMar>
          </w:tcPr>
          <w:p w14:paraId="0D78C36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Neonikotinoidpestitsiidid</w:t>
            </w:r>
          </w:p>
        </w:tc>
        <w:tc>
          <w:tcPr>
            <w:tcW w:w="992" w:type="dxa"/>
            <w:gridSpan w:val="2"/>
            <w:shd w:val="clear" w:color="auto" w:fill="auto"/>
            <w:tcMar>
              <w:left w:w="28" w:type="dxa"/>
              <w:right w:w="28" w:type="dxa"/>
            </w:tcMar>
          </w:tcPr>
          <w:p w14:paraId="6CEDD4E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210880-92-5</w:t>
            </w:r>
          </w:p>
        </w:tc>
        <w:tc>
          <w:tcPr>
            <w:tcW w:w="1134" w:type="dxa"/>
          </w:tcPr>
          <w:p w14:paraId="7B0DBDD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433-460-1</w:t>
            </w:r>
          </w:p>
        </w:tc>
        <w:tc>
          <w:tcPr>
            <w:tcW w:w="1279" w:type="dxa"/>
            <w:gridSpan w:val="2"/>
            <w:shd w:val="clear" w:color="auto" w:fill="auto"/>
            <w:tcMar>
              <w:left w:w="28" w:type="dxa"/>
              <w:right w:w="28" w:type="dxa"/>
            </w:tcMar>
          </w:tcPr>
          <w:p w14:paraId="5938E12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7622A5B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0,001</w:t>
            </w:r>
          </w:p>
        </w:tc>
        <w:tc>
          <w:tcPr>
            <w:tcW w:w="1277" w:type="dxa"/>
            <w:gridSpan w:val="2"/>
            <w:shd w:val="clear" w:color="auto" w:fill="auto"/>
            <w:tcMar>
              <w:left w:w="28" w:type="dxa"/>
              <w:right w:w="28" w:type="dxa"/>
            </w:tcMar>
          </w:tcPr>
          <w:p w14:paraId="2A3BD2F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0,34</w:t>
            </w:r>
          </w:p>
        </w:tc>
        <w:tc>
          <w:tcPr>
            <w:tcW w:w="1276" w:type="dxa"/>
            <w:gridSpan w:val="2"/>
            <w:shd w:val="clear" w:color="auto" w:fill="auto"/>
            <w:tcMar>
              <w:left w:w="28" w:type="dxa"/>
              <w:right w:w="28" w:type="dxa"/>
            </w:tcMar>
          </w:tcPr>
          <w:p w14:paraId="541A23A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0,034</w:t>
            </w:r>
          </w:p>
        </w:tc>
        <w:tc>
          <w:tcPr>
            <w:tcW w:w="1135" w:type="dxa"/>
            <w:gridSpan w:val="2"/>
            <w:shd w:val="clear" w:color="auto" w:fill="auto"/>
            <w:tcMar>
              <w:left w:w="28" w:type="dxa"/>
              <w:right w:w="28" w:type="dxa"/>
            </w:tcMar>
          </w:tcPr>
          <w:p w14:paraId="09D5AAA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6500E0B2"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6DB8FB8E"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6C977031"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1D5F9024" w14:textId="77777777" w:rsidTr="000238DA">
        <w:trPr>
          <w:gridBefore w:val="1"/>
          <w:wBefore w:w="11" w:type="dxa"/>
          <w:cantSplit/>
          <w:tblHeader/>
          <w:jc w:val="center"/>
        </w:trPr>
        <w:tc>
          <w:tcPr>
            <w:tcW w:w="649" w:type="dxa"/>
            <w:gridSpan w:val="3"/>
            <w:tcMar>
              <w:left w:w="28" w:type="dxa"/>
              <w:right w:w="28" w:type="dxa"/>
            </w:tcMar>
          </w:tcPr>
          <w:p w14:paraId="15F86D0C"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(55)</w:t>
            </w:r>
          </w:p>
        </w:tc>
        <w:tc>
          <w:tcPr>
            <w:tcW w:w="2286" w:type="dxa"/>
            <w:gridSpan w:val="3"/>
            <w:shd w:val="clear" w:color="auto" w:fill="auto"/>
            <w:tcMar>
              <w:left w:w="28" w:type="dxa"/>
              <w:right w:w="28" w:type="dxa"/>
            </w:tcMar>
          </w:tcPr>
          <w:p w14:paraId="767C157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Deltametriin</w:t>
            </w:r>
          </w:p>
        </w:tc>
        <w:tc>
          <w:tcPr>
            <w:tcW w:w="1329" w:type="dxa"/>
            <w:gridSpan w:val="3"/>
            <w:shd w:val="clear" w:color="auto" w:fill="auto"/>
            <w:tcMar>
              <w:left w:w="28" w:type="dxa"/>
              <w:right w:w="28" w:type="dxa"/>
            </w:tcMar>
          </w:tcPr>
          <w:p w14:paraId="1150413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Püretroidpestitsiidid</w:t>
            </w:r>
          </w:p>
        </w:tc>
        <w:tc>
          <w:tcPr>
            <w:tcW w:w="992" w:type="dxa"/>
            <w:gridSpan w:val="2"/>
            <w:shd w:val="clear" w:color="auto" w:fill="auto"/>
            <w:tcMar>
              <w:left w:w="28" w:type="dxa"/>
              <w:right w:w="28" w:type="dxa"/>
            </w:tcMar>
          </w:tcPr>
          <w:p w14:paraId="4EE36DE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52918-63-5</w:t>
            </w:r>
          </w:p>
        </w:tc>
        <w:tc>
          <w:tcPr>
            <w:tcW w:w="1134" w:type="dxa"/>
          </w:tcPr>
          <w:p w14:paraId="05FBAE8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258-256-6</w:t>
            </w:r>
          </w:p>
        </w:tc>
        <w:tc>
          <w:tcPr>
            <w:tcW w:w="1279" w:type="dxa"/>
            <w:gridSpan w:val="2"/>
            <w:shd w:val="clear" w:color="auto" w:fill="auto"/>
            <w:tcMar>
              <w:left w:w="28" w:type="dxa"/>
              <w:right w:w="28" w:type="dxa"/>
            </w:tcMar>
          </w:tcPr>
          <w:p w14:paraId="23633DB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 × 10</w:t>
            </w:r>
            <w:r w:rsidRPr="00CB2133">
              <w:rPr>
                <w:rFonts w:eastAsia="Calibri"/>
                <w:noProof/>
                <w:color w:val="000000"/>
                <w:sz w:val="22"/>
                <w:szCs w:val="22"/>
                <w:vertAlign w:val="superscript"/>
                <w:lang w:eastAsia="en-US"/>
              </w:rPr>
              <w:t>-6</w:t>
            </w:r>
          </w:p>
        </w:tc>
        <w:tc>
          <w:tcPr>
            <w:tcW w:w="1279" w:type="dxa"/>
            <w:gridSpan w:val="2"/>
            <w:shd w:val="clear" w:color="auto" w:fill="auto"/>
            <w:tcMar>
              <w:left w:w="28" w:type="dxa"/>
              <w:right w:w="28" w:type="dxa"/>
            </w:tcMar>
          </w:tcPr>
          <w:p w14:paraId="3142A88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 × 10</w:t>
            </w:r>
            <w:r w:rsidRPr="00CB2133">
              <w:rPr>
                <w:rFonts w:eastAsia="Calibri"/>
                <w:noProof/>
                <w:color w:val="000000"/>
                <w:sz w:val="22"/>
                <w:szCs w:val="22"/>
                <w:vertAlign w:val="superscript"/>
                <w:lang w:eastAsia="en-US"/>
              </w:rPr>
              <w:t>-7</w:t>
            </w:r>
          </w:p>
        </w:tc>
        <w:tc>
          <w:tcPr>
            <w:tcW w:w="1277" w:type="dxa"/>
            <w:gridSpan w:val="2"/>
            <w:shd w:val="clear" w:color="auto" w:fill="auto"/>
            <w:tcMar>
              <w:left w:w="28" w:type="dxa"/>
              <w:right w:w="28" w:type="dxa"/>
            </w:tcMar>
          </w:tcPr>
          <w:p w14:paraId="6548658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 × 10</w:t>
            </w:r>
            <w:r w:rsidRPr="00CB2133">
              <w:rPr>
                <w:rFonts w:eastAsia="Calibri"/>
                <w:noProof/>
                <w:color w:val="000000"/>
                <w:sz w:val="22"/>
                <w:szCs w:val="22"/>
                <w:vertAlign w:val="superscript"/>
                <w:lang w:eastAsia="en-US"/>
              </w:rPr>
              <w:t>-5</w:t>
            </w:r>
          </w:p>
        </w:tc>
        <w:tc>
          <w:tcPr>
            <w:tcW w:w="1276" w:type="dxa"/>
            <w:gridSpan w:val="2"/>
            <w:shd w:val="clear" w:color="auto" w:fill="auto"/>
            <w:tcMar>
              <w:left w:w="28" w:type="dxa"/>
              <w:right w:w="28" w:type="dxa"/>
            </w:tcMar>
          </w:tcPr>
          <w:p w14:paraId="256D1E5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3,4 × 10</w:t>
            </w:r>
            <w:r w:rsidRPr="00CB2133">
              <w:rPr>
                <w:rFonts w:eastAsia="Calibri"/>
                <w:noProof/>
                <w:color w:val="000000"/>
                <w:sz w:val="22"/>
                <w:szCs w:val="22"/>
                <w:vertAlign w:val="superscript"/>
                <w:lang w:eastAsia="en-US"/>
              </w:rPr>
              <w:t>-6</w:t>
            </w:r>
          </w:p>
        </w:tc>
        <w:tc>
          <w:tcPr>
            <w:tcW w:w="1135" w:type="dxa"/>
            <w:gridSpan w:val="2"/>
            <w:shd w:val="clear" w:color="auto" w:fill="auto"/>
            <w:tcMar>
              <w:left w:w="28" w:type="dxa"/>
              <w:right w:w="28" w:type="dxa"/>
            </w:tcMar>
          </w:tcPr>
          <w:p w14:paraId="66314E43"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0C9440B3"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shd w:val="clear" w:color="auto" w:fill="auto"/>
            <w:tcMar>
              <w:left w:w="28" w:type="dxa"/>
              <w:right w:w="28" w:type="dxa"/>
            </w:tcMar>
          </w:tcPr>
          <w:p w14:paraId="2E82DD22"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6D6A2D7A"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r>
      <w:tr w:rsidR="00C45ED4" w:rsidRPr="00CB2133" w14:paraId="7E43A8DE" w14:textId="77777777" w:rsidTr="000238DA">
        <w:trPr>
          <w:gridBefore w:val="1"/>
          <w:wBefore w:w="11" w:type="dxa"/>
          <w:cantSplit/>
          <w:tblHeader/>
          <w:jc w:val="center"/>
        </w:trPr>
        <w:tc>
          <w:tcPr>
            <w:tcW w:w="649" w:type="dxa"/>
            <w:gridSpan w:val="3"/>
            <w:tcMar>
              <w:left w:w="28" w:type="dxa"/>
              <w:right w:w="28" w:type="dxa"/>
            </w:tcMar>
          </w:tcPr>
          <w:p w14:paraId="7629816D"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(56)</w:t>
            </w:r>
          </w:p>
        </w:tc>
        <w:tc>
          <w:tcPr>
            <w:tcW w:w="2286" w:type="dxa"/>
            <w:gridSpan w:val="3"/>
            <w:shd w:val="clear" w:color="auto" w:fill="auto"/>
            <w:tcMar>
              <w:left w:w="28" w:type="dxa"/>
              <w:right w:w="28" w:type="dxa"/>
            </w:tcMar>
          </w:tcPr>
          <w:p w14:paraId="3157365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Diklofenak</w:t>
            </w:r>
          </w:p>
        </w:tc>
        <w:tc>
          <w:tcPr>
            <w:tcW w:w="1329" w:type="dxa"/>
            <w:gridSpan w:val="3"/>
            <w:shd w:val="clear" w:color="auto" w:fill="auto"/>
            <w:tcMar>
              <w:left w:w="28" w:type="dxa"/>
              <w:right w:w="28" w:type="dxa"/>
            </w:tcMar>
          </w:tcPr>
          <w:p w14:paraId="79CBCE3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w:t>
            </w:r>
          </w:p>
        </w:tc>
        <w:tc>
          <w:tcPr>
            <w:tcW w:w="992" w:type="dxa"/>
            <w:gridSpan w:val="2"/>
            <w:shd w:val="clear" w:color="auto" w:fill="auto"/>
            <w:tcMar>
              <w:left w:w="28" w:type="dxa"/>
              <w:right w:w="28" w:type="dxa"/>
            </w:tcMar>
          </w:tcPr>
          <w:p w14:paraId="1AB2F97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 xml:space="preserve">15307-86-5/15307-79-6 </w:t>
            </w:r>
          </w:p>
        </w:tc>
        <w:tc>
          <w:tcPr>
            <w:tcW w:w="1134" w:type="dxa"/>
          </w:tcPr>
          <w:p w14:paraId="5F17EF1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239-348-5/239-346-4</w:t>
            </w:r>
          </w:p>
        </w:tc>
        <w:tc>
          <w:tcPr>
            <w:tcW w:w="1279" w:type="dxa"/>
            <w:gridSpan w:val="2"/>
            <w:shd w:val="clear" w:color="auto" w:fill="auto"/>
            <w:tcMar>
              <w:left w:w="28" w:type="dxa"/>
              <w:right w:w="28" w:type="dxa"/>
            </w:tcMar>
          </w:tcPr>
          <w:p w14:paraId="343B2D8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5D4F53E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0,004</w:t>
            </w:r>
          </w:p>
        </w:tc>
        <w:tc>
          <w:tcPr>
            <w:tcW w:w="1277" w:type="dxa"/>
            <w:gridSpan w:val="2"/>
            <w:shd w:val="clear" w:color="auto" w:fill="auto"/>
            <w:tcMar>
              <w:left w:w="28" w:type="dxa"/>
              <w:right w:w="28" w:type="dxa"/>
            </w:tcMar>
          </w:tcPr>
          <w:p w14:paraId="4752FBB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250</w:t>
            </w:r>
          </w:p>
        </w:tc>
        <w:tc>
          <w:tcPr>
            <w:tcW w:w="1276" w:type="dxa"/>
            <w:gridSpan w:val="2"/>
            <w:shd w:val="clear" w:color="auto" w:fill="auto"/>
            <w:tcMar>
              <w:left w:w="28" w:type="dxa"/>
              <w:right w:w="28" w:type="dxa"/>
            </w:tcMar>
          </w:tcPr>
          <w:p w14:paraId="559089A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25</w:t>
            </w:r>
          </w:p>
        </w:tc>
        <w:tc>
          <w:tcPr>
            <w:tcW w:w="1135" w:type="dxa"/>
            <w:gridSpan w:val="2"/>
            <w:shd w:val="clear" w:color="auto" w:fill="auto"/>
            <w:tcMar>
              <w:left w:w="28" w:type="dxa"/>
              <w:right w:w="28" w:type="dxa"/>
            </w:tcMar>
          </w:tcPr>
          <w:p w14:paraId="24FDBF82"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35A8B106"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shd w:val="clear" w:color="auto" w:fill="auto"/>
            <w:tcMar>
              <w:left w:w="28" w:type="dxa"/>
              <w:right w:w="28" w:type="dxa"/>
            </w:tcMar>
          </w:tcPr>
          <w:p w14:paraId="239C0202"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3305BD80"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X</w:t>
            </w:r>
          </w:p>
        </w:tc>
      </w:tr>
      <w:tr w:rsidR="00C45ED4" w:rsidRPr="00CB2133" w14:paraId="03E8E92B" w14:textId="77777777" w:rsidTr="000238DA">
        <w:trPr>
          <w:gridBefore w:val="1"/>
          <w:wBefore w:w="11" w:type="dxa"/>
          <w:cantSplit/>
          <w:tblHeader/>
          <w:jc w:val="center"/>
        </w:trPr>
        <w:tc>
          <w:tcPr>
            <w:tcW w:w="649" w:type="dxa"/>
            <w:gridSpan w:val="3"/>
            <w:tcMar>
              <w:left w:w="28" w:type="dxa"/>
              <w:right w:w="28" w:type="dxa"/>
            </w:tcMar>
          </w:tcPr>
          <w:p w14:paraId="04B256E5"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(57)</w:t>
            </w:r>
          </w:p>
        </w:tc>
        <w:tc>
          <w:tcPr>
            <w:tcW w:w="2286" w:type="dxa"/>
            <w:gridSpan w:val="3"/>
            <w:shd w:val="clear" w:color="auto" w:fill="auto"/>
            <w:tcMar>
              <w:left w:w="28" w:type="dxa"/>
              <w:right w:w="28" w:type="dxa"/>
            </w:tcMar>
          </w:tcPr>
          <w:p w14:paraId="48BC479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Erütromütsiin</w:t>
            </w:r>
          </w:p>
        </w:tc>
        <w:tc>
          <w:tcPr>
            <w:tcW w:w="1329" w:type="dxa"/>
            <w:gridSpan w:val="3"/>
            <w:shd w:val="clear" w:color="auto" w:fill="auto"/>
            <w:tcMar>
              <w:left w:w="28" w:type="dxa"/>
              <w:right w:w="28" w:type="dxa"/>
            </w:tcMar>
          </w:tcPr>
          <w:p w14:paraId="7A14234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 (makroliidantibiootikumid)</w:t>
            </w:r>
          </w:p>
        </w:tc>
        <w:tc>
          <w:tcPr>
            <w:tcW w:w="992" w:type="dxa"/>
            <w:gridSpan w:val="2"/>
            <w:shd w:val="clear" w:color="auto" w:fill="auto"/>
            <w:tcMar>
              <w:left w:w="28" w:type="dxa"/>
              <w:right w:w="28" w:type="dxa"/>
            </w:tcMar>
          </w:tcPr>
          <w:p w14:paraId="719970E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114-07-8</w:t>
            </w:r>
          </w:p>
        </w:tc>
        <w:tc>
          <w:tcPr>
            <w:tcW w:w="1134" w:type="dxa"/>
          </w:tcPr>
          <w:p w14:paraId="268DCE6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204-040-1</w:t>
            </w:r>
          </w:p>
        </w:tc>
        <w:tc>
          <w:tcPr>
            <w:tcW w:w="1279" w:type="dxa"/>
            <w:gridSpan w:val="2"/>
            <w:shd w:val="clear" w:color="auto" w:fill="auto"/>
            <w:tcMar>
              <w:left w:w="28" w:type="dxa"/>
              <w:right w:w="28" w:type="dxa"/>
            </w:tcMar>
          </w:tcPr>
          <w:p w14:paraId="2933EF9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0,5</w:t>
            </w:r>
          </w:p>
        </w:tc>
        <w:tc>
          <w:tcPr>
            <w:tcW w:w="1279" w:type="dxa"/>
            <w:gridSpan w:val="2"/>
            <w:shd w:val="clear" w:color="auto" w:fill="auto"/>
            <w:tcMar>
              <w:left w:w="28" w:type="dxa"/>
              <w:right w:w="28" w:type="dxa"/>
            </w:tcMar>
          </w:tcPr>
          <w:p w14:paraId="487BCAE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0,05</w:t>
            </w:r>
          </w:p>
        </w:tc>
        <w:tc>
          <w:tcPr>
            <w:tcW w:w="1277" w:type="dxa"/>
            <w:gridSpan w:val="2"/>
            <w:shd w:val="clear" w:color="auto" w:fill="auto"/>
            <w:tcMar>
              <w:left w:w="28" w:type="dxa"/>
              <w:right w:w="28" w:type="dxa"/>
            </w:tcMar>
          </w:tcPr>
          <w:p w14:paraId="5023BF3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w:t>
            </w:r>
          </w:p>
        </w:tc>
        <w:tc>
          <w:tcPr>
            <w:tcW w:w="1276" w:type="dxa"/>
            <w:gridSpan w:val="2"/>
            <w:shd w:val="clear" w:color="auto" w:fill="auto"/>
            <w:tcMar>
              <w:left w:w="28" w:type="dxa"/>
              <w:right w:w="28" w:type="dxa"/>
            </w:tcMar>
          </w:tcPr>
          <w:p w14:paraId="066C26E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0,1</w:t>
            </w:r>
          </w:p>
        </w:tc>
        <w:tc>
          <w:tcPr>
            <w:tcW w:w="1135" w:type="dxa"/>
            <w:gridSpan w:val="2"/>
            <w:shd w:val="clear" w:color="auto" w:fill="auto"/>
            <w:tcMar>
              <w:left w:w="28" w:type="dxa"/>
              <w:right w:w="28" w:type="dxa"/>
            </w:tcMar>
          </w:tcPr>
          <w:p w14:paraId="7E1E52E5"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6C5F249C"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shd w:val="clear" w:color="auto" w:fill="auto"/>
            <w:tcMar>
              <w:left w:w="28" w:type="dxa"/>
              <w:right w:w="28" w:type="dxa"/>
            </w:tcMar>
          </w:tcPr>
          <w:p w14:paraId="190C539C"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08F0408C"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r>
      <w:tr w:rsidR="00C45ED4" w:rsidRPr="00CB2133" w14:paraId="1203B4D0" w14:textId="77777777" w:rsidTr="000238DA">
        <w:trPr>
          <w:gridBefore w:val="1"/>
          <w:wBefore w:w="11" w:type="dxa"/>
          <w:cantSplit/>
          <w:tblHeader/>
          <w:jc w:val="center"/>
        </w:trPr>
        <w:tc>
          <w:tcPr>
            <w:tcW w:w="649" w:type="dxa"/>
            <w:gridSpan w:val="3"/>
            <w:tcMar>
              <w:left w:w="28" w:type="dxa"/>
              <w:right w:w="28" w:type="dxa"/>
            </w:tcMar>
          </w:tcPr>
          <w:p w14:paraId="1945D3D7"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lastRenderedPageBreak/>
              <w:t>(58)</w:t>
            </w:r>
          </w:p>
        </w:tc>
        <w:tc>
          <w:tcPr>
            <w:tcW w:w="2286" w:type="dxa"/>
            <w:gridSpan w:val="3"/>
            <w:shd w:val="clear" w:color="auto" w:fill="auto"/>
            <w:tcMar>
              <w:left w:w="28" w:type="dxa"/>
              <w:right w:w="28" w:type="dxa"/>
            </w:tcMar>
          </w:tcPr>
          <w:p w14:paraId="26DCA1F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Esfenvaleraat</w:t>
            </w:r>
          </w:p>
        </w:tc>
        <w:tc>
          <w:tcPr>
            <w:tcW w:w="1329" w:type="dxa"/>
            <w:gridSpan w:val="3"/>
            <w:shd w:val="clear" w:color="auto" w:fill="auto"/>
            <w:tcMar>
              <w:left w:w="28" w:type="dxa"/>
              <w:right w:w="28" w:type="dxa"/>
            </w:tcMar>
          </w:tcPr>
          <w:p w14:paraId="793D754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Püretroidpestitsiidid</w:t>
            </w:r>
          </w:p>
        </w:tc>
        <w:tc>
          <w:tcPr>
            <w:tcW w:w="992" w:type="dxa"/>
            <w:gridSpan w:val="2"/>
            <w:shd w:val="clear" w:color="auto" w:fill="auto"/>
            <w:tcMar>
              <w:left w:w="28" w:type="dxa"/>
              <w:right w:w="28" w:type="dxa"/>
            </w:tcMar>
          </w:tcPr>
          <w:p w14:paraId="45C9707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66230-04-4</w:t>
            </w:r>
          </w:p>
        </w:tc>
        <w:tc>
          <w:tcPr>
            <w:tcW w:w="1134" w:type="dxa"/>
          </w:tcPr>
          <w:p w14:paraId="5BEBBA3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613-911-9</w:t>
            </w:r>
          </w:p>
        </w:tc>
        <w:tc>
          <w:tcPr>
            <w:tcW w:w="1279" w:type="dxa"/>
            <w:gridSpan w:val="2"/>
            <w:shd w:val="clear" w:color="auto" w:fill="auto"/>
            <w:tcMar>
              <w:left w:w="28" w:type="dxa"/>
              <w:right w:w="28" w:type="dxa"/>
            </w:tcMar>
          </w:tcPr>
          <w:p w14:paraId="7D5423B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 × 10</w:t>
            </w:r>
            <w:r w:rsidRPr="00CB2133">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1FEB7C8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1,7 × 10</w:t>
            </w:r>
            <w:r w:rsidRPr="00CB2133">
              <w:rPr>
                <w:rFonts w:eastAsia="Calibri"/>
                <w:noProof/>
                <w:color w:val="000000"/>
                <w:sz w:val="22"/>
                <w:szCs w:val="22"/>
                <w:vertAlign w:val="superscript"/>
                <w:lang w:eastAsia="en-US"/>
              </w:rPr>
              <w:t>-6</w:t>
            </w:r>
          </w:p>
        </w:tc>
        <w:tc>
          <w:tcPr>
            <w:tcW w:w="1277" w:type="dxa"/>
            <w:gridSpan w:val="2"/>
            <w:shd w:val="clear" w:color="auto" w:fill="auto"/>
            <w:tcMar>
              <w:left w:w="28" w:type="dxa"/>
              <w:right w:w="28" w:type="dxa"/>
            </w:tcMar>
          </w:tcPr>
          <w:p w14:paraId="2815E8F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0,0085</w:t>
            </w:r>
          </w:p>
        </w:tc>
        <w:tc>
          <w:tcPr>
            <w:tcW w:w="1276" w:type="dxa"/>
            <w:gridSpan w:val="2"/>
            <w:shd w:val="clear" w:color="auto" w:fill="auto"/>
            <w:tcMar>
              <w:left w:w="28" w:type="dxa"/>
              <w:right w:w="28" w:type="dxa"/>
            </w:tcMar>
          </w:tcPr>
          <w:p w14:paraId="6B96367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0,00085</w:t>
            </w:r>
          </w:p>
        </w:tc>
        <w:tc>
          <w:tcPr>
            <w:tcW w:w="1135" w:type="dxa"/>
            <w:gridSpan w:val="2"/>
            <w:shd w:val="clear" w:color="auto" w:fill="auto"/>
            <w:tcMar>
              <w:left w:w="28" w:type="dxa"/>
              <w:right w:w="28" w:type="dxa"/>
            </w:tcMar>
          </w:tcPr>
          <w:p w14:paraId="7CB4A063"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3879ED7A"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shd w:val="clear" w:color="auto" w:fill="auto"/>
            <w:tcMar>
              <w:left w:w="28" w:type="dxa"/>
              <w:right w:w="28" w:type="dxa"/>
            </w:tcMar>
          </w:tcPr>
          <w:p w14:paraId="3898305F"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41847831"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r>
      <w:tr w:rsidR="00C45ED4" w:rsidRPr="00CB2133" w14:paraId="2813C637" w14:textId="77777777" w:rsidTr="000238DA">
        <w:trPr>
          <w:gridBefore w:val="1"/>
          <w:wBefore w:w="11" w:type="dxa"/>
          <w:cantSplit/>
          <w:tblHeader/>
          <w:jc w:val="center"/>
        </w:trPr>
        <w:tc>
          <w:tcPr>
            <w:tcW w:w="649" w:type="dxa"/>
            <w:gridSpan w:val="3"/>
            <w:tcMar>
              <w:left w:w="28" w:type="dxa"/>
              <w:right w:w="28" w:type="dxa"/>
            </w:tcMar>
          </w:tcPr>
          <w:p w14:paraId="333C4E34"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(59)</w:t>
            </w:r>
          </w:p>
        </w:tc>
        <w:tc>
          <w:tcPr>
            <w:tcW w:w="2286" w:type="dxa"/>
            <w:gridSpan w:val="3"/>
            <w:shd w:val="clear" w:color="auto" w:fill="auto"/>
            <w:tcMar>
              <w:left w:w="28" w:type="dxa"/>
              <w:right w:w="28" w:type="dxa"/>
            </w:tcMar>
          </w:tcPr>
          <w:p w14:paraId="2B90F50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Östroon (E1)</w:t>
            </w:r>
          </w:p>
        </w:tc>
        <w:tc>
          <w:tcPr>
            <w:tcW w:w="1329" w:type="dxa"/>
            <w:gridSpan w:val="3"/>
            <w:shd w:val="clear" w:color="auto" w:fill="auto"/>
            <w:tcMar>
              <w:left w:w="28" w:type="dxa"/>
              <w:right w:w="28" w:type="dxa"/>
            </w:tcMar>
          </w:tcPr>
          <w:p w14:paraId="7315336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 (östrogeensed hormoonid)</w:t>
            </w:r>
          </w:p>
        </w:tc>
        <w:tc>
          <w:tcPr>
            <w:tcW w:w="992" w:type="dxa"/>
            <w:gridSpan w:val="2"/>
            <w:shd w:val="clear" w:color="auto" w:fill="auto"/>
            <w:tcMar>
              <w:left w:w="28" w:type="dxa"/>
              <w:right w:w="28" w:type="dxa"/>
            </w:tcMar>
          </w:tcPr>
          <w:p w14:paraId="0F63090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53-16-7</w:t>
            </w:r>
          </w:p>
        </w:tc>
        <w:tc>
          <w:tcPr>
            <w:tcW w:w="1134" w:type="dxa"/>
          </w:tcPr>
          <w:p w14:paraId="655D69E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200-164-5</w:t>
            </w:r>
          </w:p>
        </w:tc>
        <w:tc>
          <w:tcPr>
            <w:tcW w:w="1279" w:type="dxa"/>
            <w:gridSpan w:val="2"/>
            <w:shd w:val="clear" w:color="auto" w:fill="auto"/>
            <w:tcMar>
              <w:left w:w="28" w:type="dxa"/>
              <w:right w:w="28" w:type="dxa"/>
            </w:tcMar>
          </w:tcPr>
          <w:p w14:paraId="4BB52E3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3,6 × 10</w:t>
            </w:r>
            <w:r w:rsidRPr="00CB2133">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00B9F52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1,8 × 10</w:t>
            </w:r>
            <w:r w:rsidRPr="00CB2133">
              <w:rPr>
                <w:rFonts w:eastAsia="Calibri"/>
                <w:noProof/>
                <w:color w:val="000000"/>
                <w:sz w:val="22"/>
                <w:szCs w:val="22"/>
                <w:vertAlign w:val="superscript"/>
                <w:lang w:eastAsia="en-US"/>
              </w:rPr>
              <w:t>-5</w:t>
            </w:r>
          </w:p>
        </w:tc>
        <w:tc>
          <w:tcPr>
            <w:tcW w:w="1277" w:type="dxa"/>
            <w:gridSpan w:val="2"/>
            <w:shd w:val="clear" w:color="auto" w:fill="auto"/>
            <w:tcMar>
              <w:left w:w="28" w:type="dxa"/>
              <w:right w:w="28" w:type="dxa"/>
            </w:tcMar>
          </w:tcPr>
          <w:p w14:paraId="78FDB8F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Leidmata</w:t>
            </w:r>
          </w:p>
        </w:tc>
        <w:tc>
          <w:tcPr>
            <w:tcW w:w="1276" w:type="dxa"/>
            <w:gridSpan w:val="2"/>
            <w:shd w:val="clear" w:color="auto" w:fill="auto"/>
            <w:tcMar>
              <w:left w:w="28" w:type="dxa"/>
              <w:right w:w="28" w:type="dxa"/>
            </w:tcMar>
          </w:tcPr>
          <w:p w14:paraId="38ADF4F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Leidmata</w:t>
            </w:r>
          </w:p>
        </w:tc>
        <w:tc>
          <w:tcPr>
            <w:tcW w:w="1135" w:type="dxa"/>
            <w:gridSpan w:val="2"/>
            <w:shd w:val="clear" w:color="auto" w:fill="auto"/>
            <w:tcMar>
              <w:left w:w="28" w:type="dxa"/>
              <w:right w:w="28" w:type="dxa"/>
            </w:tcMar>
          </w:tcPr>
          <w:p w14:paraId="049B51EB"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5A261F6"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5195000B"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5C2F927E"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633D8655" w14:textId="77777777" w:rsidTr="000238DA">
        <w:trPr>
          <w:gridBefore w:val="1"/>
          <w:wBefore w:w="11" w:type="dxa"/>
          <w:cantSplit/>
          <w:tblHeader/>
          <w:jc w:val="center"/>
        </w:trPr>
        <w:tc>
          <w:tcPr>
            <w:tcW w:w="649" w:type="dxa"/>
            <w:gridSpan w:val="3"/>
            <w:tcMar>
              <w:left w:w="28" w:type="dxa"/>
              <w:right w:w="28" w:type="dxa"/>
            </w:tcMar>
          </w:tcPr>
          <w:p w14:paraId="19A7E8AD" w14:textId="6E1DA10D" w:rsidR="00C45ED4" w:rsidRPr="00CB2133" w:rsidRDefault="00C45ED4" w:rsidP="00C45ED4">
            <w:pPr>
              <w:widowControl/>
              <w:spacing w:before="40" w:after="40"/>
              <w:jc w:val="both"/>
              <w:rPr>
                <w:rFonts w:eastAsia="Calibri"/>
                <w:b/>
                <w:noProof/>
                <w:sz w:val="22"/>
                <w:szCs w:val="22"/>
                <w:lang w:eastAsia="en-US"/>
              </w:rPr>
            </w:pPr>
            <w:r w:rsidRPr="00CB2133">
              <w:rPr>
                <w:rFonts w:eastAsia="Calibri"/>
                <w:noProof/>
                <w:sz w:val="22"/>
                <w:szCs w:val="22"/>
                <w:lang w:eastAsia="en-US"/>
              </w:rPr>
              <w:t>(60)</w:t>
            </w:r>
            <w:r w:rsidR="00BE4FBE" w:rsidRPr="00CB2133">
              <w:rPr>
                <w:rFonts w:eastAsia="Calibri"/>
                <w:b/>
                <w:noProof/>
                <w:sz w:val="22"/>
                <w:szCs w:val="22"/>
                <w:lang w:eastAsia="en-US"/>
              </w:rPr>
              <w:t xml:space="preserve"> [ME 151]</w:t>
            </w:r>
          </w:p>
        </w:tc>
        <w:tc>
          <w:tcPr>
            <w:tcW w:w="2286" w:type="dxa"/>
            <w:gridSpan w:val="3"/>
            <w:shd w:val="clear" w:color="auto" w:fill="auto"/>
            <w:tcMar>
              <w:left w:w="28" w:type="dxa"/>
              <w:right w:w="28" w:type="dxa"/>
            </w:tcMar>
          </w:tcPr>
          <w:p w14:paraId="5995ED4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Glüfosaat</w:t>
            </w:r>
          </w:p>
        </w:tc>
        <w:tc>
          <w:tcPr>
            <w:tcW w:w="1329" w:type="dxa"/>
            <w:gridSpan w:val="3"/>
            <w:shd w:val="clear" w:color="auto" w:fill="auto"/>
            <w:tcMar>
              <w:left w:w="28" w:type="dxa"/>
              <w:right w:w="28" w:type="dxa"/>
            </w:tcMar>
          </w:tcPr>
          <w:p w14:paraId="67BC414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Herbitsiidid</w:t>
            </w:r>
          </w:p>
        </w:tc>
        <w:tc>
          <w:tcPr>
            <w:tcW w:w="992" w:type="dxa"/>
            <w:gridSpan w:val="2"/>
            <w:shd w:val="clear" w:color="auto" w:fill="auto"/>
            <w:tcMar>
              <w:left w:w="28" w:type="dxa"/>
              <w:right w:w="28" w:type="dxa"/>
            </w:tcMar>
          </w:tcPr>
          <w:p w14:paraId="3C2189D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1071-83-6</w:t>
            </w:r>
          </w:p>
        </w:tc>
        <w:tc>
          <w:tcPr>
            <w:tcW w:w="1134" w:type="dxa"/>
          </w:tcPr>
          <w:p w14:paraId="6DB14A9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213-997-4</w:t>
            </w:r>
          </w:p>
        </w:tc>
        <w:tc>
          <w:tcPr>
            <w:tcW w:w="1279" w:type="dxa"/>
            <w:gridSpan w:val="2"/>
            <w:shd w:val="clear" w:color="auto" w:fill="auto"/>
            <w:tcMar>
              <w:left w:w="28" w:type="dxa"/>
              <w:right w:w="28" w:type="dxa"/>
            </w:tcMar>
          </w:tcPr>
          <w:p w14:paraId="4587E5D0" w14:textId="77777777" w:rsidR="00C45ED4" w:rsidRPr="00CB2133" w:rsidRDefault="00C45ED4" w:rsidP="00C45ED4">
            <w:pPr>
              <w:widowControl/>
              <w:spacing w:before="40" w:after="40"/>
              <w:rPr>
                <w:rFonts w:eastAsia="Calibri"/>
                <w:strike/>
                <w:noProof/>
                <w:color w:val="000000"/>
                <w:sz w:val="22"/>
                <w:szCs w:val="22"/>
                <w:lang w:eastAsia="en-US"/>
              </w:rPr>
            </w:pPr>
            <w:r w:rsidRPr="00CB2133">
              <w:rPr>
                <w:rFonts w:eastAsia="Calibri"/>
                <w:strike/>
                <w:noProof/>
                <w:color w:val="000000"/>
                <w:sz w:val="22"/>
                <w:szCs w:val="22"/>
                <w:lang w:eastAsia="en-US"/>
              </w:rPr>
              <w:t>0,1</w:t>
            </w:r>
            <w:r w:rsidRPr="00CB2133">
              <w:rPr>
                <w:rFonts w:eastAsia="Calibri"/>
                <w:strike/>
                <w:noProof/>
                <w:color w:val="000000"/>
                <w:sz w:val="22"/>
                <w:szCs w:val="22"/>
                <w:vertAlign w:val="superscript"/>
                <w:lang w:eastAsia="en-US"/>
              </w:rPr>
              <w:t>(25)</w:t>
            </w:r>
          </w:p>
          <w:p w14:paraId="09883DC0" w14:textId="77777777" w:rsidR="00C45ED4" w:rsidRPr="00CB2133" w:rsidRDefault="00C45ED4" w:rsidP="00C45ED4">
            <w:pPr>
              <w:widowControl/>
              <w:spacing w:before="40" w:after="40"/>
              <w:rPr>
                <w:rFonts w:eastAsia="Calibri"/>
                <w:strike/>
                <w:noProof/>
                <w:color w:val="000000"/>
                <w:sz w:val="22"/>
                <w:szCs w:val="22"/>
                <w:vertAlign w:val="superscript"/>
                <w:lang w:eastAsia="en-US"/>
              </w:rPr>
            </w:pPr>
            <w:r w:rsidRPr="00CB2133">
              <w:rPr>
                <w:rFonts w:eastAsia="Calibri"/>
                <w:strike/>
                <w:noProof/>
                <w:color w:val="000000"/>
                <w:sz w:val="22"/>
                <w:szCs w:val="22"/>
                <w:lang w:eastAsia="en-US"/>
              </w:rPr>
              <w:t>86,7</w:t>
            </w:r>
            <w:r w:rsidRPr="00CB2133">
              <w:rPr>
                <w:rFonts w:eastAsia="Calibri"/>
                <w:strike/>
                <w:noProof/>
                <w:color w:val="000000"/>
                <w:sz w:val="22"/>
                <w:szCs w:val="22"/>
                <w:vertAlign w:val="superscript"/>
                <w:lang w:eastAsia="en-US"/>
              </w:rPr>
              <w:t>(26)</w:t>
            </w:r>
          </w:p>
          <w:p w14:paraId="4AB5926A" w14:textId="0CC39D09" w:rsidR="00C45ED4" w:rsidRPr="00CB2133" w:rsidRDefault="00C45ED4" w:rsidP="00C45ED4">
            <w:pPr>
              <w:widowControl/>
              <w:spacing w:before="40" w:after="40"/>
              <w:rPr>
                <w:rFonts w:eastAsia="Calibri"/>
                <w:b/>
                <w:i/>
                <w:noProof/>
                <w:sz w:val="22"/>
                <w:szCs w:val="22"/>
                <w:lang w:eastAsia="en-US"/>
              </w:rPr>
            </w:pPr>
            <w:r w:rsidRPr="00CB2133">
              <w:rPr>
                <w:rFonts w:eastAsia="Calibri"/>
                <w:b/>
                <w:i/>
                <w:noProof/>
                <w:sz w:val="22"/>
                <w:szCs w:val="22"/>
                <w:lang w:eastAsia="en-US"/>
              </w:rPr>
              <w:t>0,</w:t>
            </w:r>
            <w:r w:rsidR="00AE69CA">
              <w:rPr>
                <w:rFonts w:eastAsia="Calibri"/>
                <w:b/>
                <w:i/>
                <w:noProof/>
                <w:sz w:val="22"/>
                <w:szCs w:val="22"/>
                <w:lang w:eastAsia="en-US"/>
              </w:rPr>
              <w:t>0</w:t>
            </w:r>
            <w:r w:rsidRPr="00CB2133">
              <w:rPr>
                <w:rFonts w:eastAsia="Calibri"/>
                <w:b/>
                <w:i/>
                <w:noProof/>
                <w:sz w:val="22"/>
                <w:szCs w:val="22"/>
                <w:lang w:eastAsia="en-US"/>
              </w:rPr>
              <w:t>1(</w:t>
            </w:r>
            <w:r w:rsidRPr="00CB2133">
              <w:rPr>
                <w:rFonts w:eastAsia="Calibri"/>
                <w:b/>
                <w:i/>
                <w:noProof/>
                <w:sz w:val="22"/>
                <w:szCs w:val="22"/>
                <w:vertAlign w:val="superscript"/>
                <w:lang w:eastAsia="en-US"/>
              </w:rPr>
              <w:t>25</w:t>
            </w:r>
            <w:r w:rsidRPr="00CB2133">
              <w:rPr>
                <w:rFonts w:eastAsia="Calibri"/>
                <w:b/>
                <w:i/>
                <w:noProof/>
                <w:sz w:val="22"/>
                <w:szCs w:val="22"/>
                <w:lang w:eastAsia="en-US"/>
              </w:rPr>
              <w:t>)</w:t>
            </w:r>
          </w:p>
          <w:p w14:paraId="32BED808" w14:textId="77777777" w:rsidR="00C45ED4" w:rsidRPr="00CB2133" w:rsidRDefault="00C45ED4" w:rsidP="00C45ED4">
            <w:pPr>
              <w:widowControl/>
              <w:spacing w:before="40" w:after="40"/>
              <w:rPr>
                <w:rFonts w:eastAsia="Calibri"/>
                <w:b/>
                <w:i/>
                <w:noProof/>
                <w:sz w:val="22"/>
                <w:szCs w:val="22"/>
                <w:lang w:eastAsia="en-US"/>
              </w:rPr>
            </w:pPr>
            <w:r w:rsidRPr="00CB2133">
              <w:rPr>
                <w:rFonts w:eastAsia="Calibri"/>
                <w:b/>
                <w:i/>
                <w:noProof/>
                <w:sz w:val="22"/>
                <w:szCs w:val="22"/>
                <w:lang w:eastAsia="en-US"/>
              </w:rPr>
              <w:t>86,7(</w:t>
            </w:r>
            <w:r w:rsidRPr="00CB2133">
              <w:rPr>
                <w:rFonts w:eastAsia="Calibri"/>
                <w:b/>
                <w:i/>
                <w:noProof/>
                <w:sz w:val="22"/>
                <w:szCs w:val="22"/>
                <w:vertAlign w:val="superscript"/>
                <w:lang w:eastAsia="en-US"/>
              </w:rPr>
              <w:t>26</w:t>
            </w:r>
            <w:r w:rsidRPr="00CB2133">
              <w:rPr>
                <w:rFonts w:eastAsia="Calibri"/>
                <w:b/>
                <w:i/>
                <w:noProof/>
                <w:sz w:val="22"/>
                <w:szCs w:val="22"/>
                <w:lang w:eastAsia="en-US"/>
              </w:rPr>
              <w:t>)</w:t>
            </w:r>
          </w:p>
          <w:p w14:paraId="5E72777B" w14:textId="77777777" w:rsidR="00C45ED4" w:rsidRPr="00CB2133" w:rsidRDefault="00C45ED4" w:rsidP="00C45ED4">
            <w:pPr>
              <w:widowControl/>
              <w:spacing w:before="40" w:after="40"/>
              <w:rPr>
                <w:rFonts w:eastAsia="Calibri"/>
                <w:b/>
                <w:i/>
                <w:noProof/>
                <w:sz w:val="22"/>
                <w:szCs w:val="22"/>
                <w:lang w:eastAsia="en-US"/>
              </w:rPr>
            </w:pPr>
          </w:p>
        </w:tc>
        <w:tc>
          <w:tcPr>
            <w:tcW w:w="1279" w:type="dxa"/>
            <w:gridSpan w:val="2"/>
            <w:shd w:val="clear" w:color="auto" w:fill="auto"/>
            <w:tcMar>
              <w:left w:w="28" w:type="dxa"/>
              <w:right w:w="28" w:type="dxa"/>
            </w:tcMar>
          </w:tcPr>
          <w:p w14:paraId="685E9BF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 xml:space="preserve">8,67 </w:t>
            </w:r>
          </w:p>
        </w:tc>
        <w:tc>
          <w:tcPr>
            <w:tcW w:w="1277" w:type="dxa"/>
            <w:gridSpan w:val="2"/>
            <w:shd w:val="clear" w:color="auto" w:fill="auto"/>
            <w:tcMar>
              <w:left w:w="28" w:type="dxa"/>
              <w:right w:w="28" w:type="dxa"/>
            </w:tcMar>
          </w:tcPr>
          <w:p w14:paraId="1091933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398,6</w:t>
            </w:r>
          </w:p>
        </w:tc>
        <w:tc>
          <w:tcPr>
            <w:tcW w:w="1276" w:type="dxa"/>
            <w:gridSpan w:val="2"/>
            <w:shd w:val="clear" w:color="auto" w:fill="auto"/>
            <w:tcMar>
              <w:left w:w="28" w:type="dxa"/>
              <w:right w:w="28" w:type="dxa"/>
            </w:tcMar>
          </w:tcPr>
          <w:p w14:paraId="3BC8977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39,86</w:t>
            </w:r>
          </w:p>
        </w:tc>
        <w:tc>
          <w:tcPr>
            <w:tcW w:w="1135" w:type="dxa"/>
            <w:gridSpan w:val="2"/>
            <w:shd w:val="clear" w:color="auto" w:fill="auto"/>
            <w:tcMar>
              <w:left w:w="28" w:type="dxa"/>
              <w:right w:w="28" w:type="dxa"/>
            </w:tcMar>
          </w:tcPr>
          <w:p w14:paraId="19669F52"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10FADB64"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02BF5390"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00F572B0"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1473A917" w14:textId="77777777" w:rsidTr="000238DA">
        <w:trPr>
          <w:gridBefore w:val="2"/>
          <w:wBefore w:w="43" w:type="dxa"/>
          <w:cantSplit/>
          <w:tblHeader/>
          <w:jc w:val="center"/>
        </w:trPr>
        <w:tc>
          <w:tcPr>
            <w:tcW w:w="617" w:type="dxa"/>
            <w:gridSpan w:val="2"/>
            <w:tcMar>
              <w:left w:w="28" w:type="dxa"/>
              <w:right w:w="28" w:type="dxa"/>
            </w:tcMar>
          </w:tcPr>
          <w:p w14:paraId="4A5744C9"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(61)</w:t>
            </w:r>
          </w:p>
        </w:tc>
        <w:tc>
          <w:tcPr>
            <w:tcW w:w="2303" w:type="dxa"/>
            <w:gridSpan w:val="4"/>
            <w:shd w:val="clear" w:color="auto" w:fill="auto"/>
            <w:tcMar>
              <w:left w:w="28" w:type="dxa"/>
              <w:right w:w="28" w:type="dxa"/>
            </w:tcMar>
          </w:tcPr>
          <w:p w14:paraId="10F6BEE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Ibuprofeen</w:t>
            </w:r>
          </w:p>
        </w:tc>
        <w:tc>
          <w:tcPr>
            <w:tcW w:w="1312" w:type="dxa"/>
            <w:gridSpan w:val="2"/>
            <w:shd w:val="clear" w:color="auto" w:fill="auto"/>
            <w:tcMar>
              <w:left w:w="28" w:type="dxa"/>
              <w:right w:w="28" w:type="dxa"/>
            </w:tcMar>
          </w:tcPr>
          <w:p w14:paraId="6507066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Ravimid</w:t>
            </w:r>
          </w:p>
        </w:tc>
        <w:tc>
          <w:tcPr>
            <w:tcW w:w="992" w:type="dxa"/>
            <w:gridSpan w:val="2"/>
            <w:shd w:val="clear" w:color="auto" w:fill="auto"/>
            <w:tcMar>
              <w:left w:w="28" w:type="dxa"/>
              <w:right w:w="28" w:type="dxa"/>
            </w:tcMar>
          </w:tcPr>
          <w:p w14:paraId="598E614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15687-27-1</w:t>
            </w:r>
          </w:p>
        </w:tc>
        <w:tc>
          <w:tcPr>
            <w:tcW w:w="1134" w:type="dxa"/>
          </w:tcPr>
          <w:p w14:paraId="4635FCC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239-784-6</w:t>
            </w:r>
          </w:p>
        </w:tc>
        <w:tc>
          <w:tcPr>
            <w:tcW w:w="1279" w:type="dxa"/>
            <w:gridSpan w:val="2"/>
            <w:shd w:val="clear" w:color="auto" w:fill="auto"/>
            <w:tcMar>
              <w:left w:w="28" w:type="dxa"/>
              <w:right w:w="28" w:type="dxa"/>
            </w:tcMar>
          </w:tcPr>
          <w:p w14:paraId="202EB23D"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0,22</w:t>
            </w:r>
          </w:p>
        </w:tc>
        <w:tc>
          <w:tcPr>
            <w:tcW w:w="1279" w:type="dxa"/>
            <w:gridSpan w:val="2"/>
            <w:shd w:val="clear" w:color="auto" w:fill="auto"/>
            <w:tcMar>
              <w:left w:w="28" w:type="dxa"/>
              <w:right w:w="28" w:type="dxa"/>
            </w:tcMar>
          </w:tcPr>
          <w:p w14:paraId="3A78892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0,022</w:t>
            </w:r>
          </w:p>
        </w:tc>
        <w:tc>
          <w:tcPr>
            <w:tcW w:w="1277" w:type="dxa"/>
            <w:gridSpan w:val="2"/>
            <w:shd w:val="clear" w:color="auto" w:fill="auto"/>
            <w:tcMar>
              <w:left w:w="28" w:type="dxa"/>
              <w:right w:w="28" w:type="dxa"/>
            </w:tcMar>
          </w:tcPr>
          <w:p w14:paraId="3D318EF4" w14:textId="77777777" w:rsidR="00C45ED4" w:rsidRPr="00CB2133" w:rsidRDefault="00C45ED4" w:rsidP="00C45ED4">
            <w:pPr>
              <w:widowControl/>
              <w:spacing w:before="40" w:after="40"/>
              <w:rPr>
                <w:rFonts w:eastAsia="Calibri"/>
                <w:noProof/>
                <w:sz w:val="22"/>
                <w:szCs w:val="22"/>
                <w:lang w:eastAsia="en-US"/>
              </w:rPr>
            </w:pPr>
          </w:p>
        </w:tc>
        <w:tc>
          <w:tcPr>
            <w:tcW w:w="1276" w:type="dxa"/>
            <w:gridSpan w:val="2"/>
            <w:shd w:val="clear" w:color="auto" w:fill="auto"/>
            <w:tcMar>
              <w:left w:w="28" w:type="dxa"/>
              <w:right w:w="28" w:type="dxa"/>
            </w:tcMar>
          </w:tcPr>
          <w:p w14:paraId="314609EC" w14:textId="77777777" w:rsidR="00C45ED4" w:rsidRPr="00CB2133" w:rsidRDefault="00C45ED4" w:rsidP="00C45ED4">
            <w:pPr>
              <w:widowControl/>
              <w:spacing w:before="40" w:after="40"/>
              <w:rPr>
                <w:rFonts w:eastAsia="Calibri"/>
                <w:noProof/>
                <w:sz w:val="22"/>
                <w:szCs w:val="22"/>
                <w:lang w:eastAsia="en-US"/>
              </w:rPr>
            </w:pPr>
          </w:p>
        </w:tc>
        <w:tc>
          <w:tcPr>
            <w:tcW w:w="1135" w:type="dxa"/>
            <w:gridSpan w:val="2"/>
            <w:shd w:val="clear" w:color="auto" w:fill="auto"/>
            <w:tcMar>
              <w:left w:w="28" w:type="dxa"/>
              <w:right w:w="28" w:type="dxa"/>
            </w:tcMar>
          </w:tcPr>
          <w:p w14:paraId="66F7700F" w14:textId="77777777" w:rsidR="00C45ED4" w:rsidRPr="00CB2133" w:rsidRDefault="00C45ED4" w:rsidP="00C45ED4">
            <w:pPr>
              <w:widowControl/>
              <w:spacing w:before="40" w:after="40"/>
              <w:rPr>
                <w:rFonts w:eastAsia="Calibri"/>
                <w:noProof/>
                <w:sz w:val="22"/>
                <w:szCs w:val="22"/>
                <w:lang w:eastAsia="en-US"/>
              </w:rPr>
            </w:pPr>
          </w:p>
        </w:tc>
        <w:tc>
          <w:tcPr>
            <w:tcW w:w="1280" w:type="dxa"/>
            <w:gridSpan w:val="2"/>
            <w:tcMar>
              <w:left w:w="28" w:type="dxa"/>
              <w:right w:w="28" w:type="dxa"/>
            </w:tcMar>
          </w:tcPr>
          <w:p w14:paraId="3D92DAAC" w14:textId="77777777" w:rsidR="00C45ED4" w:rsidRPr="00CB2133" w:rsidRDefault="00C45ED4" w:rsidP="00C45ED4">
            <w:pPr>
              <w:widowControl/>
              <w:spacing w:before="40" w:after="40"/>
              <w:rPr>
                <w:rFonts w:eastAsia="Calibri"/>
                <w:noProof/>
                <w:color w:val="000000"/>
                <w:sz w:val="22"/>
                <w:szCs w:val="22"/>
                <w:lang w:eastAsia="en-US"/>
              </w:rPr>
            </w:pPr>
          </w:p>
        </w:tc>
        <w:tc>
          <w:tcPr>
            <w:tcW w:w="1136" w:type="dxa"/>
            <w:tcMar>
              <w:left w:w="28" w:type="dxa"/>
              <w:right w:w="28" w:type="dxa"/>
            </w:tcMar>
          </w:tcPr>
          <w:p w14:paraId="45DBCF8D"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1CB6309D"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X</w:t>
            </w:r>
          </w:p>
        </w:tc>
      </w:tr>
      <w:tr w:rsidR="00C45ED4" w:rsidRPr="00CB2133" w14:paraId="322FA06A" w14:textId="77777777" w:rsidTr="000238DA">
        <w:trPr>
          <w:gridBefore w:val="1"/>
          <w:wBefore w:w="11" w:type="dxa"/>
          <w:cantSplit/>
          <w:tblHeader/>
          <w:jc w:val="center"/>
        </w:trPr>
        <w:tc>
          <w:tcPr>
            <w:tcW w:w="649" w:type="dxa"/>
            <w:gridSpan w:val="3"/>
            <w:tcMar>
              <w:left w:w="28" w:type="dxa"/>
              <w:right w:w="28" w:type="dxa"/>
            </w:tcMar>
          </w:tcPr>
          <w:p w14:paraId="342A97B8"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(62)</w:t>
            </w:r>
          </w:p>
        </w:tc>
        <w:tc>
          <w:tcPr>
            <w:tcW w:w="2286" w:type="dxa"/>
            <w:gridSpan w:val="3"/>
            <w:shd w:val="clear" w:color="auto" w:fill="auto"/>
            <w:tcMar>
              <w:left w:w="28" w:type="dxa"/>
              <w:right w:w="28" w:type="dxa"/>
            </w:tcMar>
          </w:tcPr>
          <w:p w14:paraId="610B48C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Imidaklopriid</w:t>
            </w:r>
          </w:p>
        </w:tc>
        <w:tc>
          <w:tcPr>
            <w:tcW w:w="1329" w:type="dxa"/>
            <w:gridSpan w:val="3"/>
            <w:shd w:val="clear" w:color="auto" w:fill="auto"/>
            <w:tcMar>
              <w:left w:w="28" w:type="dxa"/>
              <w:right w:w="28" w:type="dxa"/>
            </w:tcMar>
          </w:tcPr>
          <w:p w14:paraId="08F4F44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Neonikotinoidpestitsiidid</w:t>
            </w:r>
          </w:p>
        </w:tc>
        <w:tc>
          <w:tcPr>
            <w:tcW w:w="992" w:type="dxa"/>
            <w:gridSpan w:val="2"/>
            <w:shd w:val="clear" w:color="auto" w:fill="auto"/>
            <w:tcMar>
              <w:left w:w="28" w:type="dxa"/>
              <w:right w:w="28" w:type="dxa"/>
            </w:tcMar>
          </w:tcPr>
          <w:p w14:paraId="384D3CA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138261-41-3/105827-78-9</w:t>
            </w:r>
          </w:p>
        </w:tc>
        <w:tc>
          <w:tcPr>
            <w:tcW w:w="1134" w:type="dxa"/>
          </w:tcPr>
          <w:p w14:paraId="061C0D10"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428-040-8</w:t>
            </w:r>
          </w:p>
        </w:tc>
        <w:tc>
          <w:tcPr>
            <w:tcW w:w="1279" w:type="dxa"/>
            <w:gridSpan w:val="2"/>
            <w:shd w:val="clear" w:color="auto" w:fill="auto"/>
            <w:tcMar>
              <w:left w:w="28" w:type="dxa"/>
              <w:right w:w="28" w:type="dxa"/>
            </w:tcMar>
          </w:tcPr>
          <w:p w14:paraId="7D2DDC1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0,0068</w:t>
            </w:r>
          </w:p>
        </w:tc>
        <w:tc>
          <w:tcPr>
            <w:tcW w:w="1279" w:type="dxa"/>
            <w:gridSpan w:val="2"/>
            <w:shd w:val="clear" w:color="auto" w:fill="auto"/>
            <w:tcMar>
              <w:left w:w="28" w:type="dxa"/>
              <w:right w:w="28" w:type="dxa"/>
            </w:tcMar>
          </w:tcPr>
          <w:p w14:paraId="6361C19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6,8 × 10</w:t>
            </w:r>
            <w:r w:rsidRPr="00CB2133">
              <w:rPr>
                <w:rFonts w:eastAsia="Calibri"/>
                <w:noProof/>
                <w:color w:val="000000"/>
                <w:sz w:val="22"/>
                <w:szCs w:val="22"/>
                <w:vertAlign w:val="superscript"/>
                <w:lang w:eastAsia="en-US"/>
              </w:rPr>
              <w:t>-4</w:t>
            </w:r>
          </w:p>
        </w:tc>
        <w:tc>
          <w:tcPr>
            <w:tcW w:w="1277" w:type="dxa"/>
            <w:gridSpan w:val="2"/>
            <w:shd w:val="clear" w:color="auto" w:fill="auto"/>
            <w:tcMar>
              <w:left w:w="28" w:type="dxa"/>
              <w:right w:w="28" w:type="dxa"/>
            </w:tcMar>
          </w:tcPr>
          <w:p w14:paraId="384D7AB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0,057</w:t>
            </w:r>
          </w:p>
        </w:tc>
        <w:tc>
          <w:tcPr>
            <w:tcW w:w="1276" w:type="dxa"/>
            <w:gridSpan w:val="2"/>
            <w:shd w:val="clear" w:color="auto" w:fill="auto"/>
            <w:tcMar>
              <w:left w:w="28" w:type="dxa"/>
              <w:right w:w="28" w:type="dxa"/>
            </w:tcMar>
          </w:tcPr>
          <w:p w14:paraId="0F6A117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0,0057</w:t>
            </w:r>
          </w:p>
        </w:tc>
        <w:tc>
          <w:tcPr>
            <w:tcW w:w="1135" w:type="dxa"/>
            <w:gridSpan w:val="2"/>
            <w:shd w:val="clear" w:color="auto" w:fill="auto"/>
            <w:tcMar>
              <w:left w:w="28" w:type="dxa"/>
              <w:right w:w="28" w:type="dxa"/>
            </w:tcMar>
          </w:tcPr>
          <w:p w14:paraId="732D6257"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2F228876"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5AD9DD39"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7308C30C"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62D88991" w14:textId="77777777" w:rsidTr="000238DA">
        <w:trPr>
          <w:gridBefore w:val="1"/>
          <w:wBefore w:w="11" w:type="dxa"/>
          <w:cantSplit/>
          <w:tblHeader/>
          <w:jc w:val="center"/>
        </w:trPr>
        <w:tc>
          <w:tcPr>
            <w:tcW w:w="649" w:type="dxa"/>
            <w:gridSpan w:val="3"/>
            <w:tcMar>
              <w:left w:w="28" w:type="dxa"/>
              <w:right w:w="28" w:type="dxa"/>
            </w:tcMar>
          </w:tcPr>
          <w:p w14:paraId="6829E27D"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(63)</w:t>
            </w:r>
          </w:p>
        </w:tc>
        <w:tc>
          <w:tcPr>
            <w:tcW w:w="2286" w:type="dxa"/>
            <w:gridSpan w:val="3"/>
            <w:shd w:val="clear" w:color="auto" w:fill="auto"/>
            <w:tcMar>
              <w:left w:w="28" w:type="dxa"/>
              <w:right w:w="28" w:type="dxa"/>
            </w:tcMar>
          </w:tcPr>
          <w:p w14:paraId="29E2C96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Nikosulfuroon</w:t>
            </w:r>
          </w:p>
        </w:tc>
        <w:tc>
          <w:tcPr>
            <w:tcW w:w="1329" w:type="dxa"/>
            <w:gridSpan w:val="3"/>
            <w:shd w:val="clear" w:color="auto" w:fill="auto"/>
            <w:tcMar>
              <w:left w:w="28" w:type="dxa"/>
              <w:right w:w="28" w:type="dxa"/>
            </w:tcMar>
          </w:tcPr>
          <w:p w14:paraId="7C552EC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Herbitsiidid</w:t>
            </w:r>
          </w:p>
        </w:tc>
        <w:tc>
          <w:tcPr>
            <w:tcW w:w="992" w:type="dxa"/>
            <w:gridSpan w:val="2"/>
            <w:shd w:val="clear" w:color="auto" w:fill="auto"/>
            <w:tcMar>
              <w:left w:w="28" w:type="dxa"/>
              <w:right w:w="28" w:type="dxa"/>
            </w:tcMar>
          </w:tcPr>
          <w:p w14:paraId="6AF0C1F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111991-09-4</w:t>
            </w:r>
          </w:p>
        </w:tc>
        <w:tc>
          <w:tcPr>
            <w:tcW w:w="1134" w:type="dxa"/>
          </w:tcPr>
          <w:p w14:paraId="314DFEC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601-148-4</w:t>
            </w:r>
          </w:p>
        </w:tc>
        <w:tc>
          <w:tcPr>
            <w:tcW w:w="1279" w:type="dxa"/>
            <w:gridSpan w:val="2"/>
            <w:shd w:val="clear" w:color="auto" w:fill="auto"/>
            <w:tcMar>
              <w:left w:w="28" w:type="dxa"/>
              <w:right w:w="28" w:type="dxa"/>
            </w:tcMar>
          </w:tcPr>
          <w:p w14:paraId="18337D8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0,0087</w:t>
            </w:r>
          </w:p>
        </w:tc>
        <w:tc>
          <w:tcPr>
            <w:tcW w:w="1279" w:type="dxa"/>
            <w:gridSpan w:val="2"/>
            <w:shd w:val="clear" w:color="auto" w:fill="auto"/>
            <w:tcMar>
              <w:left w:w="28" w:type="dxa"/>
              <w:right w:w="28" w:type="dxa"/>
            </w:tcMar>
          </w:tcPr>
          <w:p w14:paraId="0A641D4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8,7 × 10</w:t>
            </w:r>
            <w:r w:rsidRPr="00CB2133">
              <w:rPr>
                <w:rFonts w:eastAsia="Calibri"/>
                <w:noProof/>
                <w:color w:val="000000"/>
                <w:sz w:val="22"/>
                <w:szCs w:val="22"/>
                <w:vertAlign w:val="superscript"/>
                <w:lang w:eastAsia="en-US"/>
              </w:rPr>
              <w:t>-4</w:t>
            </w:r>
          </w:p>
        </w:tc>
        <w:tc>
          <w:tcPr>
            <w:tcW w:w="1277" w:type="dxa"/>
            <w:gridSpan w:val="2"/>
            <w:shd w:val="clear" w:color="auto" w:fill="auto"/>
            <w:tcMar>
              <w:left w:w="28" w:type="dxa"/>
              <w:right w:w="28" w:type="dxa"/>
            </w:tcMar>
          </w:tcPr>
          <w:p w14:paraId="3DC325B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0,23</w:t>
            </w:r>
          </w:p>
        </w:tc>
        <w:tc>
          <w:tcPr>
            <w:tcW w:w="1276" w:type="dxa"/>
            <w:gridSpan w:val="2"/>
            <w:shd w:val="clear" w:color="auto" w:fill="auto"/>
            <w:tcMar>
              <w:left w:w="28" w:type="dxa"/>
              <w:right w:w="28" w:type="dxa"/>
            </w:tcMar>
          </w:tcPr>
          <w:p w14:paraId="028A0AC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0,023</w:t>
            </w:r>
          </w:p>
        </w:tc>
        <w:tc>
          <w:tcPr>
            <w:tcW w:w="1135" w:type="dxa"/>
            <w:gridSpan w:val="2"/>
            <w:shd w:val="clear" w:color="auto" w:fill="auto"/>
            <w:tcMar>
              <w:left w:w="28" w:type="dxa"/>
              <w:right w:w="28" w:type="dxa"/>
            </w:tcMar>
          </w:tcPr>
          <w:p w14:paraId="04CBA04D"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12D16C11"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072B743A"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2916982C"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73872B4B" w14:textId="77777777" w:rsidTr="000238DA">
        <w:trPr>
          <w:gridBefore w:val="1"/>
          <w:wBefore w:w="11" w:type="dxa"/>
          <w:cantSplit/>
          <w:tblHeader/>
          <w:jc w:val="center"/>
        </w:trPr>
        <w:tc>
          <w:tcPr>
            <w:tcW w:w="649" w:type="dxa"/>
            <w:gridSpan w:val="3"/>
            <w:tcMar>
              <w:left w:w="28" w:type="dxa"/>
              <w:right w:w="28" w:type="dxa"/>
            </w:tcMar>
          </w:tcPr>
          <w:p w14:paraId="28225D0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(64)</w:t>
            </w:r>
          </w:p>
        </w:tc>
        <w:tc>
          <w:tcPr>
            <w:tcW w:w="2286" w:type="dxa"/>
            <w:gridSpan w:val="3"/>
            <w:shd w:val="clear" w:color="auto" w:fill="auto"/>
            <w:tcMar>
              <w:left w:w="28" w:type="dxa"/>
              <w:right w:w="28" w:type="dxa"/>
            </w:tcMar>
          </w:tcPr>
          <w:p w14:paraId="4956989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Permetriin</w:t>
            </w:r>
          </w:p>
        </w:tc>
        <w:tc>
          <w:tcPr>
            <w:tcW w:w="1329" w:type="dxa"/>
            <w:gridSpan w:val="3"/>
            <w:shd w:val="clear" w:color="auto" w:fill="auto"/>
            <w:tcMar>
              <w:left w:w="28" w:type="dxa"/>
              <w:right w:w="28" w:type="dxa"/>
            </w:tcMar>
          </w:tcPr>
          <w:p w14:paraId="1A28157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Püretroidpestitsiidid</w:t>
            </w:r>
          </w:p>
        </w:tc>
        <w:tc>
          <w:tcPr>
            <w:tcW w:w="992" w:type="dxa"/>
            <w:gridSpan w:val="2"/>
            <w:shd w:val="clear" w:color="auto" w:fill="auto"/>
            <w:tcMar>
              <w:left w:w="28" w:type="dxa"/>
              <w:right w:w="28" w:type="dxa"/>
            </w:tcMar>
          </w:tcPr>
          <w:p w14:paraId="0ECD77AA"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52645-53-1</w:t>
            </w:r>
          </w:p>
        </w:tc>
        <w:tc>
          <w:tcPr>
            <w:tcW w:w="1134" w:type="dxa"/>
          </w:tcPr>
          <w:p w14:paraId="7B74760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258-067-9</w:t>
            </w:r>
          </w:p>
        </w:tc>
        <w:tc>
          <w:tcPr>
            <w:tcW w:w="1279" w:type="dxa"/>
            <w:gridSpan w:val="2"/>
            <w:shd w:val="clear" w:color="auto" w:fill="auto"/>
            <w:tcMar>
              <w:left w:w="28" w:type="dxa"/>
              <w:right w:w="28" w:type="dxa"/>
            </w:tcMar>
          </w:tcPr>
          <w:p w14:paraId="3DE07FA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2,7 × 10</w:t>
            </w:r>
            <w:r w:rsidRPr="00CB2133">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688ECC0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2,7 × 10</w:t>
            </w:r>
            <w:r w:rsidRPr="00CB2133">
              <w:rPr>
                <w:rFonts w:eastAsia="Calibri"/>
                <w:noProof/>
                <w:color w:val="000000"/>
                <w:sz w:val="22"/>
                <w:szCs w:val="22"/>
                <w:vertAlign w:val="superscript"/>
                <w:lang w:eastAsia="en-US"/>
              </w:rPr>
              <w:t>-5</w:t>
            </w:r>
          </w:p>
        </w:tc>
        <w:tc>
          <w:tcPr>
            <w:tcW w:w="1277" w:type="dxa"/>
            <w:gridSpan w:val="2"/>
            <w:shd w:val="clear" w:color="auto" w:fill="auto"/>
            <w:tcMar>
              <w:left w:w="28" w:type="dxa"/>
              <w:right w:w="28" w:type="dxa"/>
            </w:tcMar>
          </w:tcPr>
          <w:p w14:paraId="493589D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0,0025</w:t>
            </w:r>
          </w:p>
        </w:tc>
        <w:tc>
          <w:tcPr>
            <w:tcW w:w="1276" w:type="dxa"/>
            <w:gridSpan w:val="2"/>
            <w:shd w:val="clear" w:color="auto" w:fill="auto"/>
            <w:tcMar>
              <w:left w:w="28" w:type="dxa"/>
              <w:right w:w="28" w:type="dxa"/>
            </w:tcMar>
          </w:tcPr>
          <w:p w14:paraId="25F52B5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2,5 × 10</w:t>
            </w:r>
            <w:r w:rsidRPr="00CB2133">
              <w:rPr>
                <w:rFonts w:eastAsia="Calibri"/>
                <w:noProof/>
                <w:color w:val="000000"/>
                <w:sz w:val="22"/>
                <w:szCs w:val="22"/>
                <w:vertAlign w:val="superscript"/>
                <w:lang w:eastAsia="en-US"/>
              </w:rPr>
              <w:t>-4</w:t>
            </w:r>
          </w:p>
        </w:tc>
        <w:tc>
          <w:tcPr>
            <w:tcW w:w="1135" w:type="dxa"/>
            <w:gridSpan w:val="2"/>
            <w:shd w:val="clear" w:color="auto" w:fill="auto"/>
            <w:tcMar>
              <w:left w:w="28" w:type="dxa"/>
              <w:right w:w="28" w:type="dxa"/>
            </w:tcMar>
          </w:tcPr>
          <w:p w14:paraId="498D3BBE"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4A39C143"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24B80DFE"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43FD9D45"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X</w:t>
            </w:r>
          </w:p>
        </w:tc>
      </w:tr>
      <w:tr w:rsidR="00C45ED4" w:rsidRPr="00CB2133" w14:paraId="4870E09E" w14:textId="77777777" w:rsidTr="000238DA">
        <w:trPr>
          <w:gridBefore w:val="1"/>
          <w:wBefore w:w="11" w:type="dxa"/>
          <w:cantSplit/>
          <w:tblHeader/>
          <w:jc w:val="center"/>
        </w:trPr>
        <w:tc>
          <w:tcPr>
            <w:tcW w:w="649" w:type="dxa"/>
            <w:gridSpan w:val="3"/>
            <w:tcMar>
              <w:left w:w="28" w:type="dxa"/>
              <w:right w:w="28" w:type="dxa"/>
            </w:tcMar>
          </w:tcPr>
          <w:p w14:paraId="2394C42C" w14:textId="77777777" w:rsidR="00C45ED4" w:rsidRPr="00CB2133" w:rsidRDefault="00C45ED4" w:rsidP="00C45ED4">
            <w:pPr>
              <w:keepNext/>
              <w:widowControl/>
              <w:spacing w:before="40" w:after="40"/>
              <w:jc w:val="both"/>
              <w:rPr>
                <w:rFonts w:eastAsia="Calibri"/>
                <w:noProof/>
                <w:sz w:val="22"/>
                <w:szCs w:val="22"/>
                <w:lang w:eastAsia="en-US"/>
              </w:rPr>
            </w:pPr>
            <w:r w:rsidRPr="00CB2133">
              <w:rPr>
                <w:rFonts w:eastAsia="Calibri"/>
                <w:noProof/>
                <w:sz w:val="22"/>
                <w:szCs w:val="22"/>
                <w:lang w:eastAsia="en-US"/>
              </w:rPr>
              <w:t>(65)</w:t>
            </w:r>
          </w:p>
        </w:tc>
        <w:tc>
          <w:tcPr>
            <w:tcW w:w="2286" w:type="dxa"/>
            <w:gridSpan w:val="3"/>
            <w:shd w:val="clear" w:color="auto" w:fill="auto"/>
            <w:tcMar>
              <w:left w:w="28" w:type="dxa"/>
              <w:right w:w="28" w:type="dxa"/>
            </w:tcMar>
          </w:tcPr>
          <w:p w14:paraId="1D36A36E"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Perfluoritud ja polüfluoritud alküülühendid (PFAS) – 24 ühendi summa</w:t>
            </w:r>
            <w:bookmarkStart w:id="42" w:name="_Ref101448197"/>
            <w:r w:rsidRPr="00CB2133">
              <w:rPr>
                <w:rFonts w:eastAsia="Calibri"/>
                <w:noProof/>
                <w:color w:val="000000"/>
                <w:sz w:val="22"/>
                <w:szCs w:val="22"/>
                <w:vertAlign w:val="superscript"/>
                <w:lang w:eastAsia="en-US"/>
              </w:rPr>
              <w:t>(27)</w:t>
            </w:r>
            <w:bookmarkEnd w:id="42"/>
          </w:p>
        </w:tc>
        <w:tc>
          <w:tcPr>
            <w:tcW w:w="1329" w:type="dxa"/>
            <w:gridSpan w:val="3"/>
            <w:shd w:val="clear" w:color="auto" w:fill="auto"/>
            <w:tcMar>
              <w:left w:w="28" w:type="dxa"/>
              <w:right w:w="28" w:type="dxa"/>
            </w:tcMar>
          </w:tcPr>
          <w:p w14:paraId="54286576"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Tööstuses kasutatavad ained</w:t>
            </w:r>
          </w:p>
        </w:tc>
        <w:tc>
          <w:tcPr>
            <w:tcW w:w="992" w:type="dxa"/>
            <w:gridSpan w:val="2"/>
            <w:shd w:val="clear" w:color="auto" w:fill="auto"/>
            <w:tcMar>
              <w:left w:w="28" w:type="dxa"/>
              <w:right w:w="28" w:type="dxa"/>
            </w:tcMar>
          </w:tcPr>
          <w:p w14:paraId="2CC94A0B"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4" w:type="dxa"/>
          </w:tcPr>
          <w:p w14:paraId="412A4A3C"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9" w:type="dxa"/>
            <w:gridSpan w:val="2"/>
            <w:shd w:val="clear" w:color="auto" w:fill="auto"/>
            <w:tcMar>
              <w:left w:w="28" w:type="dxa"/>
              <w:right w:w="28" w:type="dxa"/>
            </w:tcMar>
          </w:tcPr>
          <w:p w14:paraId="0E6EA928"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PFOA ekvivalentide summa: 0,0044</w:t>
            </w:r>
            <w:bookmarkStart w:id="43" w:name="_Ref101448285"/>
            <w:r w:rsidRPr="00CB2133">
              <w:rPr>
                <w:rFonts w:eastAsia="Calibri"/>
                <w:noProof/>
                <w:color w:val="000000"/>
                <w:sz w:val="22"/>
                <w:szCs w:val="22"/>
                <w:vertAlign w:val="superscript"/>
                <w:lang w:eastAsia="en-US"/>
              </w:rPr>
              <w:t>(28)</w:t>
            </w:r>
            <w:bookmarkEnd w:id="43"/>
          </w:p>
        </w:tc>
        <w:tc>
          <w:tcPr>
            <w:tcW w:w="1279" w:type="dxa"/>
            <w:gridSpan w:val="2"/>
            <w:shd w:val="clear" w:color="auto" w:fill="auto"/>
            <w:tcMar>
              <w:left w:w="28" w:type="dxa"/>
              <w:right w:w="28" w:type="dxa"/>
            </w:tcMar>
          </w:tcPr>
          <w:p w14:paraId="465C1057"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PFOA ekvivalentide summa: 0,0044</w:t>
            </w:r>
            <w:r w:rsidRPr="00CB2133">
              <w:rPr>
                <w:rFonts w:eastAsia="Calibri"/>
                <w:noProof/>
                <w:color w:val="000000"/>
                <w:sz w:val="22"/>
                <w:szCs w:val="22"/>
                <w:vertAlign w:val="superscript"/>
                <w:lang w:eastAsia="en-US"/>
              </w:rPr>
              <w:t>(28)</w:t>
            </w:r>
          </w:p>
        </w:tc>
        <w:tc>
          <w:tcPr>
            <w:tcW w:w="1277" w:type="dxa"/>
            <w:gridSpan w:val="2"/>
            <w:shd w:val="clear" w:color="auto" w:fill="auto"/>
            <w:tcMar>
              <w:left w:w="28" w:type="dxa"/>
              <w:right w:w="28" w:type="dxa"/>
            </w:tcMar>
          </w:tcPr>
          <w:p w14:paraId="54EBA4E8"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276" w:type="dxa"/>
            <w:gridSpan w:val="2"/>
            <w:shd w:val="clear" w:color="auto" w:fill="auto"/>
            <w:tcMar>
              <w:left w:w="28" w:type="dxa"/>
              <w:right w:w="28" w:type="dxa"/>
            </w:tcMar>
          </w:tcPr>
          <w:p w14:paraId="6F22472C"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sz w:val="22"/>
                <w:szCs w:val="22"/>
                <w:lang w:eastAsia="en-US"/>
              </w:rPr>
              <w:t>Ei kohaldata</w:t>
            </w:r>
          </w:p>
        </w:tc>
        <w:tc>
          <w:tcPr>
            <w:tcW w:w="1135" w:type="dxa"/>
            <w:gridSpan w:val="2"/>
            <w:shd w:val="clear" w:color="auto" w:fill="auto"/>
            <w:tcMar>
              <w:left w:w="28" w:type="dxa"/>
              <w:right w:w="28" w:type="dxa"/>
            </w:tcMar>
          </w:tcPr>
          <w:p w14:paraId="11115C99" w14:textId="77777777" w:rsidR="00C45ED4" w:rsidRPr="00CB2133" w:rsidRDefault="00C45ED4" w:rsidP="00C45ED4">
            <w:pPr>
              <w:keepNext/>
              <w:widowControl/>
              <w:spacing w:before="40" w:after="40"/>
              <w:rPr>
                <w:rFonts w:eastAsia="Calibri"/>
                <w:noProof/>
                <w:sz w:val="22"/>
                <w:szCs w:val="22"/>
                <w:lang w:eastAsia="en-US"/>
              </w:rPr>
            </w:pPr>
            <w:r w:rsidRPr="00CB2133">
              <w:rPr>
                <w:rFonts w:eastAsia="Calibri"/>
                <w:noProof/>
                <w:color w:val="000000"/>
                <w:sz w:val="22"/>
                <w:szCs w:val="22"/>
                <w:lang w:eastAsia="en-US"/>
              </w:rPr>
              <w:t>PFOA ekvivalentide summa: 0,077</w:t>
            </w:r>
            <w:r w:rsidRPr="00CB2133">
              <w:rPr>
                <w:rFonts w:eastAsia="Calibri"/>
                <w:noProof/>
                <w:color w:val="000000"/>
                <w:sz w:val="22"/>
                <w:szCs w:val="22"/>
                <w:vertAlign w:val="superscript"/>
                <w:lang w:eastAsia="en-US"/>
              </w:rPr>
              <w:t>(28)</w:t>
            </w:r>
            <w:r w:rsidRPr="00CB2133">
              <w:rPr>
                <w:rFonts w:eastAsia="Calibri"/>
                <w:noProof/>
                <w:color w:val="000000"/>
                <w:sz w:val="22"/>
                <w:szCs w:val="22"/>
                <w:lang w:eastAsia="en-US"/>
              </w:rPr>
              <w:t xml:space="preserve"> </w:t>
            </w:r>
          </w:p>
        </w:tc>
        <w:tc>
          <w:tcPr>
            <w:tcW w:w="1262" w:type="dxa"/>
            <w:tcMar>
              <w:left w:w="28" w:type="dxa"/>
              <w:right w:w="28" w:type="dxa"/>
            </w:tcMar>
          </w:tcPr>
          <w:p w14:paraId="621A0590" w14:textId="77777777" w:rsidR="00C45ED4" w:rsidRPr="00CB2133" w:rsidRDefault="00C45ED4" w:rsidP="00C45ED4">
            <w:pPr>
              <w:keepNext/>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X</w:t>
            </w:r>
          </w:p>
        </w:tc>
        <w:tc>
          <w:tcPr>
            <w:tcW w:w="1154" w:type="dxa"/>
            <w:gridSpan w:val="2"/>
            <w:tcMar>
              <w:left w:w="28" w:type="dxa"/>
              <w:right w:w="28" w:type="dxa"/>
            </w:tcMar>
          </w:tcPr>
          <w:p w14:paraId="1B54570E" w14:textId="77777777" w:rsidR="00C45ED4" w:rsidRPr="00CB2133" w:rsidRDefault="00C45ED4" w:rsidP="00C45ED4">
            <w:pPr>
              <w:keepNext/>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X</w:t>
            </w:r>
          </w:p>
        </w:tc>
        <w:tc>
          <w:tcPr>
            <w:tcW w:w="970" w:type="dxa"/>
            <w:tcMar>
              <w:left w:w="28" w:type="dxa"/>
              <w:right w:w="28" w:type="dxa"/>
            </w:tcMar>
          </w:tcPr>
          <w:p w14:paraId="0D9C8397" w14:textId="77777777" w:rsidR="00C45ED4" w:rsidRPr="00CB2133" w:rsidRDefault="00C45ED4" w:rsidP="00C45ED4">
            <w:pPr>
              <w:keepNext/>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X</w:t>
            </w:r>
          </w:p>
        </w:tc>
      </w:tr>
      <w:tr w:rsidR="00C45ED4" w:rsidRPr="00CB2133" w14:paraId="54685628" w14:textId="77777777" w:rsidTr="000238DA">
        <w:trPr>
          <w:gridBefore w:val="1"/>
          <w:wBefore w:w="11" w:type="dxa"/>
          <w:cantSplit/>
          <w:tblHeader/>
          <w:jc w:val="center"/>
        </w:trPr>
        <w:tc>
          <w:tcPr>
            <w:tcW w:w="649" w:type="dxa"/>
            <w:gridSpan w:val="3"/>
            <w:tcMar>
              <w:left w:w="28" w:type="dxa"/>
              <w:right w:w="28" w:type="dxa"/>
            </w:tcMar>
          </w:tcPr>
          <w:p w14:paraId="2D65E00C"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(66)</w:t>
            </w:r>
          </w:p>
        </w:tc>
        <w:tc>
          <w:tcPr>
            <w:tcW w:w="2286" w:type="dxa"/>
            <w:gridSpan w:val="3"/>
            <w:shd w:val="clear" w:color="auto" w:fill="auto"/>
            <w:tcMar>
              <w:left w:w="28" w:type="dxa"/>
              <w:right w:w="28" w:type="dxa"/>
            </w:tcMar>
          </w:tcPr>
          <w:p w14:paraId="3850ED40"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Hõbe</w:t>
            </w:r>
          </w:p>
        </w:tc>
        <w:tc>
          <w:tcPr>
            <w:tcW w:w="1329" w:type="dxa"/>
            <w:gridSpan w:val="3"/>
            <w:shd w:val="clear" w:color="auto" w:fill="auto"/>
            <w:tcMar>
              <w:left w:w="28" w:type="dxa"/>
              <w:right w:w="28" w:type="dxa"/>
            </w:tcMar>
          </w:tcPr>
          <w:p w14:paraId="13AA6F45"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sz w:val="22"/>
                <w:szCs w:val="22"/>
                <w:lang w:eastAsia="en-US"/>
              </w:rPr>
              <w:t>Metallid</w:t>
            </w:r>
          </w:p>
        </w:tc>
        <w:tc>
          <w:tcPr>
            <w:tcW w:w="992" w:type="dxa"/>
            <w:gridSpan w:val="2"/>
            <w:shd w:val="clear" w:color="auto" w:fill="auto"/>
            <w:tcMar>
              <w:left w:w="28" w:type="dxa"/>
              <w:right w:w="28" w:type="dxa"/>
            </w:tcMar>
          </w:tcPr>
          <w:p w14:paraId="0C7B5454"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7440-22-4</w:t>
            </w:r>
          </w:p>
        </w:tc>
        <w:tc>
          <w:tcPr>
            <w:tcW w:w="1134" w:type="dxa"/>
          </w:tcPr>
          <w:p w14:paraId="725EDF13"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231-131-3</w:t>
            </w:r>
          </w:p>
        </w:tc>
        <w:tc>
          <w:tcPr>
            <w:tcW w:w="1279" w:type="dxa"/>
            <w:gridSpan w:val="2"/>
            <w:shd w:val="clear" w:color="auto" w:fill="auto"/>
            <w:tcMar>
              <w:left w:w="28" w:type="dxa"/>
              <w:right w:w="28" w:type="dxa"/>
            </w:tcMar>
          </w:tcPr>
          <w:p w14:paraId="3CA0BD76"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7D911E85"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0,006 (soolsus 10 %)</w:t>
            </w:r>
            <w:r w:rsidRPr="00CB2133">
              <w:rPr>
                <w:rFonts w:eastAsia="Calibri"/>
                <w:noProof/>
                <w:szCs w:val="22"/>
                <w:lang w:eastAsia="en-US"/>
              </w:rPr>
              <w:t xml:space="preserve"> </w:t>
            </w:r>
            <w:r w:rsidRPr="00CB2133">
              <w:rPr>
                <w:rFonts w:eastAsia="Calibri"/>
                <w:noProof/>
                <w:szCs w:val="22"/>
                <w:lang w:eastAsia="en-US"/>
              </w:rPr>
              <w:br/>
            </w:r>
            <w:r w:rsidRPr="00CB2133">
              <w:rPr>
                <w:rFonts w:eastAsia="Calibri"/>
                <w:noProof/>
                <w:color w:val="000000"/>
                <w:sz w:val="22"/>
                <w:szCs w:val="22"/>
                <w:lang w:eastAsia="en-US"/>
              </w:rPr>
              <w:t>0,17 (soolsus 30 %)</w:t>
            </w:r>
          </w:p>
        </w:tc>
        <w:tc>
          <w:tcPr>
            <w:tcW w:w="1277" w:type="dxa"/>
            <w:gridSpan w:val="2"/>
            <w:shd w:val="clear" w:color="auto" w:fill="auto"/>
            <w:tcMar>
              <w:left w:w="28" w:type="dxa"/>
              <w:right w:w="28" w:type="dxa"/>
            </w:tcMar>
          </w:tcPr>
          <w:p w14:paraId="434CDF89"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0,022</w:t>
            </w:r>
          </w:p>
        </w:tc>
        <w:tc>
          <w:tcPr>
            <w:tcW w:w="1276" w:type="dxa"/>
            <w:gridSpan w:val="2"/>
            <w:shd w:val="clear" w:color="auto" w:fill="auto"/>
            <w:tcMar>
              <w:left w:w="28" w:type="dxa"/>
              <w:right w:w="28" w:type="dxa"/>
            </w:tcMar>
          </w:tcPr>
          <w:p w14:paraId="77285120"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Leidmata</w:t>
            </w:r>
          </w:p>
        </w:tc>
        <w:tc>
          <w:tcPr>
            <w:tcW w:w="1135" w:type="dxa"/>
            <w:gridSpan w:val="2"/>
            <w:shd w:val="clear" w:color="auto" w:fill="auto"/>
            <w:tcMar>
              <w:left w:w="28" w:type="dxa"/>
              <w:right w:w="28" w:type="dxa"/>
            </w:tcMar>
          </w:tcPr>
          <w:p w14:paraId="60BD27F7" w14:textId="77777777" w:rsidR="00C45ED4" w:rsidRPr="00CB2133" w:rsidDel="00974569" w:rsidRDefault="00C45ED4" w:rsidP="00C45ED4">
            <w:pPr>
              <w:widowControl/>
              <w:spacing w:before="40" w:after="40"/>
              <w:rPr>
                <w:rFonts w:eastAsia="Calibri"/>
                <w:noProof/>
                <w:color w:val="000000"/>
                <w:sz w:val="22"/>
                <w:szCs w:val="22"/>
                <w:lang w:eastAsia="en-US"/>
              </w:rPr>
            </w:pPr>
          </w:p>
        </w:tc>
        <w:tc>
          <w:tcPr>
            <w:tcW w:w="1262" w:type="dxa"/>
            <w:tcMar>
              <w:left w:w="28" w:type="dxa"/>
              <w:right w:w="28" w:type="dxa"/>
            </w:tcMar>
          </w:tcPr>
          <w:p w14:paraId="53B32BEF"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1BA95DAC"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4B7B4DE6"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14CA0CC0" w14:textId="77777777" w:rsidTr="000238DA">
        <w:trPr>
          <w:gridBefore w:val="1"/>
          <w:wBefore w:w="11" w:type="dxa"/>
          <w:cantSplit/>
          <w:tblHeader/>
          <w:jc w:val="center"/>
        </w:trPr>
        <w:tc>
          <w:tcPr>
            <w:tcW w:w="649" w:type="dxa"/>
            <w:gridSpan w:val="3"/>
            <w:tcMar>
              <w:left w:w="28" w:type="dxa"/>
              <w:right w:w="28" w:type="dxa"/>
            </w:tcMar>
          </w:tcPr>
          <w:p w14:paraId="41BE220F"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(67)</w:t>
            </w:r>
          </w:p>
        </w:tc>
        <w:tc>
          <w:tcPr>
            <w:tcW w:w="2286" w:type="dxa"/>
            <w:gridSpan w:val="3"/>
            <w:shd w:val="clear" w:color="auto" w:fill="auto"/>
            <w:tcMar>
              <w:left w:w="28" w:type="dxa"/>
              <w:right w:w="28" w:type="dxa"/>
            </w:tcMar>
          </w:tcPr>
          <w:p w14:paraId="362D780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Tiaklopriid</w:t>
            </w:r>
          </w:p>
        </w:tc>
        <w:tc>
          <w:tcPr>
            <w:tcW w:w="1329" w:type="dxa"/>
            <w:gridSpan w:val="3"/>
            <w:shd w:val="clear" w:color="auto" w:fill="auto"/>
            <w:tcMar>
              <w:left w:w="28" w:type="dxa"/>
              <w:right w:w="28" w:type="dxa"/>
            </w:tcMar>
          </w:tcPr>
          <w:p w14:paraId="0961C76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Neonikotinoidpestitsiidid</w:t>
            </w:r>
          </w:p>
        </w:tc>
        <w:tc>
          <w:tcPr>
            <w:tcW w:w="992" w:type="dxa"/>
            <w:gridSpan w:val="2"/>
            <w:shd w:val="clear" w:color="auto" w:fill="auto"/>
            <w:tcMar>
              <w:left w:w="28" w:type="dxa"/>
              <w:right w:w="28" w:type="dxa"/>
            </w:tcMar>
          </w:tcPr>
          <w:p w14:paraId="072BC31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111988-49-9</w:t>
            </w:r>
          </w:p>
        </w:tc>
        <w:tc>
          <w:tcPr>
            <w:tcW w:w="1134" w:type="dxa"/>
          </w:tcPr>
          <w:p w14:paraId="34E808D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t>601-147-9</w:t>
            </w:r>
          </w:p>
        </w:tc>
        <w:tc>
          <w:tcPr>
            <w:tcW w:w="1279" w:type="dxa"/>
            <w:gridSpan w:val="2"/>
            <w:shd w:val="clear" w:color="auto" w:fill="auto"/>
            <w:tcMar>
              <w:left w:w="28" w:type="dxa"/>
              <w:right w:w="28" w:type="dxa"/>
            </w:tcMar>
          </w:tcPr>
          <w:p w14:paraId="44A7345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5D907F9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0,001</w:t>
            </w:r>
          </w:p>
        </w:tc>
        <w:tc>
          <w:tcPr>
            <w:tcW w:w="1277" w:type="dxa"/>
            <w:gridSpan w:val="2"/>
            <w:shd w:val="clear" w:color="auto" w:fill="auto"/>
            <w:tcMar>
              <w:left w:w="28" w:type="dxa"/>
              <w:right w:w="28" w:type="dxa"/>
            </w:tcMar>
          </w:tcPr>
          <w:p w14:paraId="0B7CB43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0,05</w:t>
            </w:r>
          </w:p>
        </w:tc>
        <w:tc>
          <w:tcPr>
            <w:tcW w:w="1276" w:type="dxa"/>
            <w:gridSpan w:val="2"/>
            <w:shd w:val="clear" w:color="auto" w:fill="auto"/>
            <w:tcMar>
              <w:left w:w="28" w:type="dxa"/>
              <w:right w:w="28" w:type="dxa"/>
            </w:tcMar>
          </w:tcPr>
          <w:p w14:paraId="4A1A06A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0,005</w:t>
            </w:r>
          </w:p>
        </w:tc>
        <w:tc>
          <w:tcPr>
            <w:tcW w:w="1135" w:type="dxa"/>
            <w:gridSpan w:val="2"/>
            <w:shd w:val="clear" w:color="auto" w:fill="auto"/>
            <w:tcMar>
              <w:left w:w="28" w:type="dxa"/>
              <w:right w:w="28" w:type="dxa"/>
            </w:tcMar>
          </w:tcPr>
          <w:p w14:paraId="637D433A"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5788E1C2"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3949B993"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5C611E08"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0639E4B6" w14:textId="77777777" w:rsidTr="000238DA">
        <w:trPr>
          <w:gridBefore w:val="1"/>
          <w:wBefore w:w="11" w:type="dxa"/>
          <w:cantSplit/>
          <w:tblHeader/>
          <w:jc w:val="center"/>
        </w:trPr>
        <w:tc>
          <w:tcPr>
            <w:tcW w:w="649" w:type="dxa"/>
            <w:gridSpan w:val="3"/>
            <w:tcMar>
              <w:left w:w="28" w:type="dxa"/>
              <w:right w:w="28" w:type="dxa"/>
            </w:tcMar>
          </w:tcPr>
          <w:p w14:paraId="2657CE2F"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sz w:val="22"/>
                <w:szCs w:val="22"/>
                <w:lang w:eastAsia="en-US"/>
              </w:rPr>
              <w:lastRenderedPageBreak/>
              <w:t>(68)</w:t>
            </w:r>
          </w:p>
        </w:tc>
        <w:tc>
          <w:tcPr>
            <w:tcW w:w="2286" w:type="dxa"/>
            <w:gridSpan w:val="3"/>
            <w:shd w:val="clear" w:color="auto" w:fill="auto"/>
            <w:tcMar>
              <w:left w:w="28" w:type="dxa"/>
              <w:right w:w="28" w:type="dxa"/>
            </w:tcMar>
          </w:tcPr>
          <w:p w14:paraId="118DAFE7"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Tiametoksaam</w:t>
            </w:r>
          </w:p>
        </w:tc>
        <w:tc>
          <w:tcPr>
            <w:tcW w:w="1329" w:type="dxa"/>
            <w:gridSpan w:val="3"/>
            <w:shd w:val="clear" w:color="auto" w:fill="auto"/>
            <w:tcMar>
              <w:left w:w="28" w:type="dxa"/>
              <w:right w:w="28" w:type="dxa"/>
            </w:tcMar>
          </w:tcPr>
          <w:p w14:paraId="03A1E7B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Neonikotinoidpestitsiidid</w:t>
            </w:r>
          </w:p>
        </w:tc>
        <w:tc>
          <w:tcPr>
            <w:tcW w:w="992" w:type="dxa"/>
            <w:gridSpan w:val="2"/>
            <w:shd w:val="clear" w:color="auto" w:fill="auto"/>
            <w:tcMar>
              <w:left w:w="28" w:type="dxa"/>
              <w:right w:w="28" w:type="dxa"/>
            </w:tcMar>
          </w:tcPr>
          <w:p w14:paraId="754242AC"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153719-23-4</w:t>
            </w:r>
          </w:p>
        </w:tc>
        <w:tc>
          <w:tcPr>
            <w:tcW w:w="1134" w:type="dxa"/>
          </w:tcPr>
          <w:p w14:paraId="0A04A45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428-650-4</w:t>
            </w:r>
          </w:p>
        </w:tc>
        <w:tc>
          <w:tcPr>
            <w:tcW w:w="1279" w:type="dxa"/>
            <w:gridSpan w:val="2"/>
            <w:shd w:val="clear" w:color="auto" w:fill="auto"/>
            <w:tcMar>
              <w:left w:w="28" w:type="dxa"/>
              <w:right w:w="28" w:type="dxa"/>
            </w:tcMar>
          </w:tcPr>
          <w:p w14:paraId="6F226291"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152C4C44"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0,004</w:t>
            </w:r>
          </w:p>
        </w:tc>
        <w:tc>
          <w:tcPr>
            <w:tcW w:w="1277" w:type="dxa"/>
            <w:gridSpan w:val="2"/>
            <w:shd w:val="clear" w:color="auto" w:fill="auto"/>
            <w:tcMar>
              <w:left w:w="28" w:type="dxa"/>
              <w:right w:w="28" w:type="dxa"/>
            </w:tcMar>
          </w:tcPr>
          <w:p w14:paraId="5F767C48"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0,77</w:t>
            </w:r>
          </w:p>
        </w:tc>
        <w:tc>
          <w:tcPr>
            <w:tcW w:w="1276" w:type="dxa"/>
            <w:gridSpan w:val="2"/>
            <w:shd w:val="clear" w:color="auto" w:fill="auto"/>
            <w:tcMar>
              <w:left w:w="28" w:type="dxa"/>
              <w:right w:w="28" w:type="dxa"/>
            </w:tcMar>
          </w:tcPr>
          <w:p w14:paraId="5F8ABD1B"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0,077</w:t>
            </w:r>
          </w:p>
        </w:tc>
        <w:tc>
          <w:tcPr>
            <w:tcW w:w="1135" w:type="dxa"/>
            <w:gridSpan w:val="2"/>
            <w:shd w:val="clear" w:color="auto" w:fill="auto"/>
            <w:tcMar>
              <w:left w:w="28" w:type="dxa"/>
              <w:right w:w="28" w:type="dxa"/>
            </w:tcMar>
          </w:tcPr>
          <w:p w14:paraId="6885A4AD"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6A0B61F4"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51B9B710"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5CB0D074"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1DD2D0BB" w14:textId="77777777" w:rsidTr="000238DA">
        <w:trPr>
          <w:gridBefore w:val="1"/>
          <w:wBefore w:w="11" w:type="dxa"/>
          <w:cantSplit/>
          <w:tblHeader/>
          <w:jc w:val="center"/>
        </w:trPr>
        <w:tc>
          <w:tcPr>
            <w:tcW w:w="649" w:type="dxa"/>
            <w:gridSpan w:val="3"/>
            <w:tcMar>
              <w:left w:w="28" w:type="dxa"/>
              <w:right w:w="28" w:type="dxa"/>
            </w:tcMar>
          </w:tcPr>
          <w:p w14:paraId="7607C32D"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(69)</w:t>
            </w:r>
          </w:p>
        </w:tc>
        <w:tc>
          <w:tcPr>
            <w:tcW w:w="2286" w:type="dxa"/>
            <w:gridSpan w:val="3"/>
            <w:shd w:val="clear" w:color="auto" w:fill="auto"/>
            <w:tcMar>
              <w:left w:w="28" w:type="dxa"/>
              <w:right w:w="28" w:type="dxa"/>
            </w:tcMar>
          </w:tcPr>
          <w:p w14:paraId="22D783D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Triklosaan</w:t>
            </w:r>
          </w:p>
        </w:tc>
        <w:tc>
          <w:tcPr>
            <w:tcW w:w="1329" w:type="dxa"/>
            <w:gridSpan w:val="3"/>
            <w:shd w:val="clear" w:color="auto" w:fill="auto"/>
            <w:tcMar>
              <w:left w:w="28" w:type="dxa"/>
              <w:right w:w="28" w:type="dxa"/>
            </w:tcMar>
          </w:tcPr>
          <w:p w14:paraId="40EAB27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Biotsiidid</w:t>
            </w:r>
          </w:p>
        </w:tc>
        <w:tc>
          <w:tcPr>
            <w:tcW w:w="992" w:type="dxa"/>
            <w:gridSpan w:val="2"/>
            <w:shd w:val="clear" w:color="auto" w:fill="auto"/>
            <w:tcMar>
              <w:left w:w="28" w:type="dxa"/>
              <w:right w:w="28" w:type="dxa"/>
            </w:tcMar>
          </w:tcPr>
          <w:p w14:paraId="06CE5342"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3380-34-5</w:t>
            </w:r>
          </w:p>
        </w:tc>
        <w:tc>
          <w:tcPr>
            <w:tcW w:w="1134" w:type="dxa"/>
          </w:tcPr>
          <w:p w14:paraId="345CC965"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222-182-2</w:t>
            </w:r>
          </w:p>
        </w:tc>
        <w:tc>
          <w:tcPr>
            <w:tcW w:w="1279" w:type="dxa"/>
            <w:gridSpan w:val="2"/>
            <w:shd w:val="clear" w:color="auto" w:fill="auto"/>
            <w:tcMar>
              <w:left w:w="28" w:type="dxa"/>
              <w:right w:w="28" w:type="dxa"/>
            </w:tcMar>
          </w:tcPr>
          <w:p w14:paraId="66A6E6E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0,02</w:t>
            </w:r>
          </w:p>
        </w:tc>
        <w:tc>
          <w:tcPr>
            <w:tcW w:w="1279" w:type="dxa"/>
            <w:gridSpan w:val="2"/>
            <w:shd w:val="clear" w:color="auto" w:fill="auto"/>
            <w:tcMar>
              <w:left w:w="28" w:type="dxa"/>
              <w:right w:w="28" w:type="dxa"/>
            </w:tcMar>
          </w:tcPr>
          <w:p w14:paraId="2BF61DFE"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0,002</w:t>
            </w:r>
          </w:p>
        </w:tc>
        <w:tc>
          <w:tcPr>
            <w:tcW w:w="1277" w:type="dxa"/>
            <w:gridSpan w:val="2"/>
            <w:shd w:val="clear" w:color="auto" w:fill="auto"/>
            <w:tcMar>
              <w:left w:w="28" w:type="dxa"/>
              <w:right w:w="28" w:type="dxa"/>
            </w:tcMar>
          </w:tcPr>
          <w:p w14:paraId="1BE95179"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0,02</w:t>
            </w:r>
          </w:p>
        </w:tc>
        <w:tc>
          <w:tcPr>
            <w:tcW w:w="1276" w:type="dxa"/>
            <w:gridSpan w:val="2"/>
            <w:shd w:val="clear" w:color="auto" w:fill="auto"/>
            <w:tcMar>
              <w:left w:w="28" w:type="dxa"/>
              <w:right w:w="28" w:type="dxa"/>
            </w:tcMar>
          </w:tcPr>
          <w:p w14:paraId="60E74B46" w14:textId="77777777" w:rsidR="00C45ED4" w:rsidRPr="00CB2133" w:rsidRDefault="00C45ED4" w:rsidP="00C45ED4">
            <w:pPr>
              <w:widowControl/>
              <w:spacing w:before="40" w:after="40"/>
              <w:rPr>
                <w:rFonts w:eastAsia="Calibri"/>
                <w:noProof/>
                <w:sz w:val="22"/>
                <w:szCs w:val="22"/>
                <w:lang w:eastAsia="en-US"/>
              </w:rPr>
            </w:pPr>
            <w:r w:rsidRPr="00CB2133">
              <w:rPr>
                <w:rFonts w:eastAsia="Calibri"/>
                <w:noProof/>
                <w:color w:val="000000"/>
                <w:sz w:val="22"/>
                <w:szCs w:val="22"/>
                <w:lang w:eastAsia="en-US"/>
              </w:rPr>
              <w:t>0,002</w:t>
            </w:r>
          </w:p>
        </w:tc>
        <w:tc>
          <w:tcPr>
            <w:tcW w:w="1135" w:type="dxa"/>
            <w:gridSpan w:val="2"/>
            <w:shd w:val="clear" w:color="auto" w:fill="auto"/>
            <w:tcMar>
              <w:left w:w="28" w:type="dxa"/>
              <w:right w:w="28" w:type="dxa"/>
            </w:tcMar>
          </w:tcPr>
          <w:p w14:paraId="243F9EBD" w14:textId="77777777" w:rsidR="00C45ED4" w:rsidRPr="00CB2133" w:rsidRDefault="00C45ED4" w:rsidP="00C45ED4">
            <w:pPr>
              <w:widowControl/>
              <w:spacing w:before="40" w:after="40"/>
              <w:rPr>
                <w:rFonts w:eastAsia="Calibri"/>
                <w:noProof/>
                <w:sz w:val="22"/>
                <w:szCs w:val="22"/>
                <w:lang w:eastAsia="en-US"/>
              </w:rPr>
            </w:pPr>
          </w:p>
        </w:tc>
        <w:tc>
          <w:tcPr>
            <w:tcW w:w="1262" w:type="dxa"/>
            <w:tcMar>
              <w:left w:w="28" w:type="dxa"/>
              <w:right w:w="28" w:type="dxa"/>
            </w:tcMar>
          </w:tcPr>
          <w:p w14:paraId="37B97820"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614237B1"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445F79DC"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2F985623" w14:textId="77777777" w:rsidTr="000238DA">
        <w:trPr>
          <w:gridBefore w:val="1"/>
          <w:wBefore w:w="11" w:type="dxa"/>
          <w:cantSplit/>
          <w:tblHeader/>
          <w:jc w:val="center"/>
        </w:trPr>
        <w:tc>
          <w:tcPr>
            <w:tcW w:w="649" w:type="dxa"/>
            <w:gridSpan w:val="3"/>
            <w:tcMar>
              <w:left w:w="28" w:type="dxa"/>
              <w:right w:w="28" w:type="dxa"/>
            </w:tcMar>
          </w:tcPr>
          <w:p w14:paraId="3B9E4750" w14:textId="77777777" w:rsidR="00C45ED4" w:rsidRPr="00CB2133" w:rsidRDefault="00C45ED4" w:rsidP="00C45ED4">
            <w:pPr>
              <w:widowControl/>
              <w:spacing w:before="40" w:after="40"/>
              <w:jc w:val="both"/>
              <w:rPr>
                <w:rFonts w:eastAsia="Calibri"/>
                <w:noProof/>
                <w:sz w:val="22"/>
                <w:szCs w:val="22"/>
                <w:lang w:eastAsia="en-US"/>
              </w:rPr>
            </w:pPr>
            <w:r w:rsidRPr="00CB2133">
              <w:rPr>
                <w:rFonts w:eastAsia="Calibri"/>
                <w:noProof/>
                <w:sz w:val="22"/>
                <w:szCs w:val="22"/>
                <w:lang w:eastAsia="en-US"/>
              </w:rPr>
              <w:t>(70)</w:t>
            </w:r>
          </w:p>
        </w:tc>
        <w:tc>
          <w:tcPr>
            <w:tcW w:w="2286" w:type="dxa"/>
            <w:gridSpan w:val="3"/>
            <w:shd w:val="clear" w:color="auto" w:fill="auto"/>
            <w:tcMar>
              <w:left w:w="28" w:type="dxa"/>
              <w:right w:w="28" w:type="dxa"/>
            </w:tcMar>
          </w:tcPr>
          <w:p w14:paraId="42229670"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Pestitsiidide toimeained kokku, sealhulgas nende olulised metaboliidid ning lagunemis- ja reaktsioonisaadused</w:t>
            </w:r>
            <w:r w:rsidRPr="00CB2133">
              <w:rPr>
                <w:rFonts w:eastAsia="Calibri"/>
                <w:noProof/>
                <w:color w:val="000000"/>
                <w:sz w:val="22"/>
                <w:szCs w:val="22"/>
                <w:vertAlign w:val="superscript"/>
                <w:lang w:eastAsia="en-US"/>
              </w:rPr>
              <w:t>(29)</w:t>
            </w:r>
          </w:p>
        </w:tc>
        <w:tc>
          <w:tcPr>
            <w:tcW w:w="1329" w:type="dxa"/>
            <w:gridSpan w:val="3"/>
            <w:shd w:val="clear" w:color="auto" w:fill="auto"/>
            <w:tcMar>
              <w:left w:w="28" w:type="dxa"/>
              <w:right w:w="28" w:type="dxa"/>
            </w:tcMar>
          </w:tcPr>
          <w:p w14:paraId="43F22060"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Taimekaitsevahendid ja biotsiidid</w:t>
            </w:r>
          </w:p>
        </w:tc>
        <w:tc>
          <w:tcPr>
            <w:tcW w:w="992" w:type="dxa"/>
            <w:gridSpan w:val="2"/>
            <w:shd w:val="clear" w:color="auto" w:fill="auto"/>
            <w:tcMar>
              <w:left w:w="28" w:type="dxa"/>
              <w:right w:w="28" w:type="dxa"/>
            </w:tcMar>
          </w:tcPr>
          <w:p w14:paraId="3AD0ECF9" w14:textId="77777777" w:rsidR="00C45ED4" w:rsidRPr="00CB2133" w:rsidRDefault="00C45ED4" w:rsidP="00C45ED4">
            <w:pPr>
              <w:widowControl/>
              <w:spacing w:before="40" w:after="40"/>
              <w:rPr>
                <w:rFonts w:eastAsia="Calibri"/>
                <w:noProof/>
                <w:color w:val="000000"/>
                <w:sz w:val="22"/>
                <w:szCs w:val="22"/>
                <w:lang w:eastAsia="en-US"/>
              </w:rPr>
            </w:pPr>
          </w:p>
        </w:tc>
        <w:tc>
          <w:tcPr>
            <w:tcW w:w="1134" w:type="dxa"/>
          </w:tcPr>
          <w:p w14:paraId="7C1FEE16" w14:textId="77777777" w:rsidR="00C45ED4" w:rsidRPr="00CB2133" w:rsidRDefault="00C45ED4" w:rsidP="00C45ED4">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6FFDB5D4"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0,5</w:t>
            </w:r>
            <w:r w:rsidRPr="00CB2133">
              <w:rPr>
                <w:rFonts w:eastAsia="Calibri"/>
                <w:noProof/>
                <w:color w:val="000000"/>
                <w:sz w:val="22"/>
                <w:szCs w:val="22"/>
                <w:vertAlign w:val="superscript"/>
                <w:lang w:eastAsia="en-US"/>
              </w:rPr>
              <w:t>(30)</w:t>
            </w:r>
          </w:p>
        </w:tc>
        <w:tc>
          <w:tcPr>
            <w:tcW w:w="1279" w:type="dxa"/>
            <w:gridSpan w:val="2"/>
            <w:shd w:val="clear" w:color="auto" w:fill="auto"/>
            <w:tcMar>
              <w:left w:w="28" w:type="dxa"/>
              <w:right w:w="28" w:type="dxa"/>
            </w:tcMar>
          </w:tcPr>
          <w:p w14:paraId="73357F52" w14:textId="77777777" w:rsidR="00C45ED4" w:rsidRPr="00CB2133" w:rsidRDefault="00C45ED4" w:rsidP="00C45ED4">
            <w:pPr>
              <w:widowControl/>
              <w:spacing w:before="40" w:after="40"/>
              <w:rPr>
                <w:rFonts w:eastAsia="Calibri"/>
                <w:noProof/>
                <w:color w:val="000000"/>
                <w:sz w:val="22"/>
                <w:szCs w:val="22"/>
                <w:lang w:eastAsia="en-US"/>
              </w:rPr>
            </w:pPr>
            <w:r w:rsidRPr="00CB2133">
              <w:rPr>
                <w:rFonts w:eastAsia="Calibri"/>
                <w:noProof/>
                <w:color w:val="000000"/>
                <w:sz w:val="22"/>
                <w:szCs w:val="22"/>
                <w:lang w:eastAsia="en-US"/>
              </w:rPr>
              <w:t>0,5</w:t>
            </w:r>
            <w:r w:rsidRPr="00CB2133">
              <w:rPr>
                <w:rFonts w:eastAsia="Calibri"/>
                <w:noProof/>
                <w:color w:val="000000"/>
                <w:sz w:val="22"/>
                <w:szCs w:val="22"/>
                <w:vertAlign w:val="superscript"/>
                <w:lang w:eastAsia="en-US"/>
              </w:rPr>
              <w:t>(30)</w:t>
            </w:r>
          </w:p>
        </w:tc>
        <w:tc>
          <w:tcPr>
            <w:tcW w:w="1277" w:type="dxa"/>
            <w:gridSpan w:val="2"/>
            <w:shd w:val="clear" w:color="auto" w:fill="auto"/>
            <w:tcMar>
              <w:left w:w="28" w:type="dxa"/>
              <w:right w:w="28" w:type="dxa"/>
            </w:tcMar>
          </w:tcPr>
          <w:p w14:paraId="66626FFD" w14:textId="77777777" w:rsidR="00C45ED4" w:rsidRPr="00CB2133" w:rsidRDefault="00C45ED4" w:rsidP="00C45ED4">
            <w:pPr>
              <w:widowControl/>
              <w:spacing w:before="40" w:after="40"/>
              <w:rPr>
                <w:rFonts w:eastAsia="Calibri"/>
                <w:noProof/>
                <w:color w:val="000000"/>
                <w:sz w:val="22"/>
                <w:szCs w:val="22"/>
                <w:lang w:eastAsia="en-US"/>
              </w:rPr>
            </w:pPr>
          </w:p>
        </w:tc>
        <w:tc>
          <w:tcPr>
            <w:tcW w:w="1276" w:type="dxa"/>
            <w:gridSpan w:val="2"/>
            <w:shd w:val="clear" w:color="auto" w:fill="auto"/>
            <w:tcMar>
              <w:left w:w="28" w:type="dxa"/>
              <w:right w:w="28" w:type="dxa"/>
            </w:tcMar>
          </w:tcPr>
          <w:p w14:paraId="696F18D8" w14:textId="77777777" w:rsidR="00C45ED4" w:rsidRPr="00CB2133" w:rsidRDefault="00C45ED4" w:rsidP="00C45ED4">
            <w:pPr>
              <w:widowControl/>
              <w:spacing w:before="40" w:after="40"/>
              <w:rPr>
                <w:rFonts w:eastAsia="Calibri"/>
                <w:noProof/>
                <w:color w:val="000000"/>
                <w:sz w:val="22"/>
                <w:szCs w:val="22"/>
                <w:lang w:eastAsia="en-US"/>
              </w:rPr>
            </w:pPr>
          </w:p>
        </w:tc>
        <w:tc>
          <w:tcPr>
            <w:tcW w:w="1135" w:type="dxa"/>
            <w:gridSpan w:val="2"/>
            <w:shd w:val="clear" w:color="auto" w:fill="auto"/>
            <w:tcMar>
              <w:left w:w="28" w:type="dxa"/>
              <w:right w:w="28" w:type="dxa"/>
            </w:tcMar>
          </w:tcPr>
          <w:p w14:paraId="661911CC" w14:textId="77777777" w:rsidR="00C45ED4" w:rsidRPr="00CB2133" w:rsidRDefault="00C45ED4" w:rsidP="00C45ED4">
            <w:pPr>
              <w:widowControl/>
              <w:spacing w:before="40" w:after="40"/>
              <w:rPr>
                <w:rFonts w:eastAsia="Calibri"/>
                <w:noProof/>
                <w:color w:val="000000"/>
                <w:sz w:val="22"/>
                <w:szCs w:val="22"/>
                <w:lang w:eastAsia="en-US"/>
              </w:rPr>
            </w:pPr>
          </w:p>
        </w:tc>
        <w:tc>
          <w:tcPr>
            <w:tcW w:w="1262" w:type="dxa"/>
            <w:tcMar>
              <w:left w:w="28" w:type="dxa"/>
              <w:right w:w="28" w:type="dxa"/>
            </w:tcMar>
          </w:tcPr>
          <w:p w14:paraId="6ACCBE8F" w14:textId="77777777" w:rsidR="00C45ED4" w:rsidRPr="00CB2133" w:rsidRDefault="00C45ED4" w:rsidP="00C45ED4">
            <w:pPr>
              <w:widowControl/>
              <w:spacing w:before="40" w:after="40"/>
              <w:rPr>
                <w:rFonts w:eastAsia="Calibri"/>
                <w:noProof/>
                <w:color w:val="000000"/>
                <w:sz w:val="22"/>
                <w:szCs w:val="22"/>
                <w:lang w:eastAsia="en-US"/>
              </w:rPr>
            </w:pPr>
          </w:p>
        </w:tc>
        <w:tc>
          <w:tcPr>
            <w:tcW w:w="1154" w:type="dxa"/>
            <w:gridSpan w:val="2"/>
            <w:tcMar>
              <w:left w:w="28" w:type="dxa"/>
              <w:right w:w="28" w:type="dxa"/>
            </w:tcMar>
          </w:tcPr>
          <w:p w14:paraId="4BB77307" w14:textId="77777777" w:rsidR="00C45ED4" w:rsidRPr="00CB2133" w:rsidRDefault="00C45ED4" w:rsidP="00C45ED4">
            <w:pPr>
              <w:widowControl/>
              <w:spacing w:before="40" w:after="40"/>
              <w:rPr>
                <w:rFonts w:eastAsia="Calibri"/>
                <w:noProof/>
                <w:color w:val="000000"/>
                <w:sz w:val="22"/>
                <w:szCs w:val="22"/>
                <w:lang w:eastAsia="en-US"/>
              </w:rPr>
            </w:pPr>
          </w:p>
        </w:tc>
        <w:tc>
          <w:tcPr>
            <w:tcW w:w="970" w:type="dxa"/>
            <w:tcMar>
              <w:left w:w="28" w:type="dxa"/>
              <w:right w:w="28" w:type="dxa"/>
            </w:tcMar>
          </w:tcPr>
          <w:p w14:paraId="57C4AFC7" w14:textId="77777777" w:rsidR="00C45ED4" w:rsidRPr="00CB2133" w:rsidRDefault="00C45ED4" w:rsidP="00C45ED4">
            <w:pPr>
              <w:widowControl/>
              <w:spacing w:before="40" w:after="40"/>
              <w:rPr>
                <w:rFonts w:eastAsia="Calibri"/>
                <w:noProof/>
                <w:color w:val="000000"/>
                <w:sz w:val="22"/>
                <w:szCs w:val="22"/>
                <w:lang w:eastAsia="en-US"/>
              </w:rPr>
            </w:pPr>
          </w:p>
        </w:tc>
      </w:tr>
      <w:tr w:rsidR="00C45ED4" w:rsidRPr="00CB2133" w14:paraId="5A70EB21" w14:textId="77777777" w:rsidTr="000238DA">
        <w:trPr>
          <w:gridBefore w:val="1"/>
          <w:wBefore w:w="11" w:type="dxa"/>
          <w:cantSplit/>
          <w:tblHeader/>
          <w:jc w:val="center"/>
        </w:trPr>
        <w:tc>
          <w:tcPr>
            <w:tcW w:w="649" w:type="dxa"/>
            <w:gridSpan w:val="3"/>
            <w:tcMar>
              <w:left w:w="28" w:type="dxa"/>
              <w:right w:w="28" w:type="dxa"/>
            </w:tcMar>
          </w:tcPr>
          <w:p w14:paraId="022D4553" w14:textId="2E978C85" w:rsidR="00C45ED4" w:rsidRPr="00CB2133" w:rsidRDefault="00C45ED4" w:rsidP="00C45ED4">
            <w:pPr>
              <w:spacing w:before="120" w:after="120" w:line="360" w:lineRule="auto"/>
              <w:rPr>
                <w:b/>
                <w:sz w:val="22"/>
                <w:szCs w:val="22"/>
                <w:lang w:eastAsia="en-US"/>
              </w:rPr>
            </w:pPr>
            <w:r w:rsidRPr="00CB2133">
              <w:rPr>
                <w:b/>
                <w:i/>
                <w:sz w:val="22"/>
                <w:szCs w:val="22"/>
                <w:lang w:eastAsia="en-US"/>
              </w:rPr>
              <w:t>(70a)</w:t>
            </w:r>
            <w:r w:rsidR="00C05A6E" w:rsidRPr="00CB2133">
              <w:rPr>
                <w:b/>
                <w:sz w:val="22"/>
                <w:szCs w:val="22"/>
                <w:lang w:eastAsia="en-US"/>
              </w:rPr>
              <w:t xml:space="preserve"> [ME 152]</w:t>
            </w:r>
          </w:p>
        </w:tc>
        <w:tc>
          <w:tcPr>
            <w:tcW w:w="2286" w:type="dxa"/>
            <w:gridSpan w:val="3"/>
            <w:shd w:val="clear" w:color="auto" w:fill="auto"/>
            <w:tcMar>
              <w:left w:w="28" w:type="dxa"/>
              <w:right w:w="28" w:type="dxa"/>
            </w:tcMar>
          </w:tcPr>
          <w:p w14:paraId="1DC93501"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Bisfenoolid</w:t>
            </w:r>
          </w:p>
        </w:tc>
        <w:tc>
          <w:tcPr>
            <w:tcW w:w="1329" w:type="dxa"/>
            <w:gridSpan w:val="3"/>
            <w:shd w:val="clear" w:color="auto" w:fill="auto"/>
            <w:tcMar>
              <w:left w:w="28" w:type="dxa"/>
              <w:right w:w="28" w:type="dxa"/>
            </w:tcMar>
          </w:tcPr>
          <w:p w14:paraId="4B033584"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Tööstuskemikaalid</w:t>
            </w:r>
          </w:p>
        </w:tc>
        <w:tc>
          <w:tcPr>
            <w:tcW w:w="992" w:type="dxa"/>
            <w:gridSpan w:val="2"/>
            <w:shd w:val="clear" w:color="auto" w:fill="auto"/>
            <w:tcMar>
              <w:left w:w="28" w:type="dxa"/>
              <w:right w:w="28" w:type="dxa"/>
            </w:tcMar>
          </w:tcPr>
          <w:p w14:paraId="5528E4BD"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Ei kohaldata</w:t>
            </w:r>
          </w:p>
        </w:tc>
        <w:tc>
          <w:tcPr>
            <w:tcW w:w="1134" w:type="dxa"/>
          </w:tcPr>
          <w:p w14:paraId="1CDC140F"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Ei kohaldata</w:t>
            </w:r>
          </w:p>
        </w:tc>
        <w:tc>
          <w:tcPr>
            <w:tcW w:w="1279" w:type="dxa"/>
            <w:gridSpan w:val="2"/>
            <w:shd w:val="clear" w:color="auto" w:fill="auto"/>
            <w:tcMar>
              <w:left w:w="28" w:type="dxa"/>
              <w:right w:w="28" w:type="dxa"/>
            </w:tcMar>
          </w:tcPr>
          <w:p w14:paraId="41FA3E6B"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279" w:type="dxa"/>
            <w:gridSpan w:val="2"/>
            <w:shd w:val="clear" w:color="auto" w:fill="auto"/>
            <w:tcMar>
              <w:left w:w="28" w:type="dxa"/>
              <w:right w:w="28" w:type="dxa"/>
            </w:tcMar>
          </w:tcPr>
          <w:p w14:paraId="383966D6"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277" w:type="dxa"/>
            <w:gridSpan w:val="2"/>
            <w:shd w:val="clear" w:color="auto" w:fill="auto"/>
            <w:tcMar>
              <w:left w:w="28" w:type="dxa"/>
              <w:right w:w="28" w:type="dxa"/>
            </w:tcMar>
          </w:tcPr>
          <w:p w14:paraId="0D2B0307"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276" w:type="dxa"/>
            <w:gridSpan w:val="2"/>
            <w:shd w:val="clear" w:color="auto" w:fill="auto"/>
            <w:tcMar>
              <w:left w:w="28" w:type="dxa"/>
              <w:right w:w="28" w:type="dxa"/>
            </w:tcMar>
          </w:tcPr>
          <w:p w14:paraId="461FCA81"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135" w:type="dxa"/>
            <w:gridSpan w:val="2"/>
            <w:shd w:val="clear" w:color="auto" w:fill="auto"/>
            <w:tcMar>
              <w:left w:w="28" w:type="dxa"/>
              <w:right w:w="28" w:type="dxa"/>
            </w:tcMar>
          </w:tcPr>
          <w:p w14:paraId="4CA8A216" w14:textId="77777777" w:rsidR="00C45ED4" w:rsidRPr="00CB2133" w:rsidRDefault="00C45ED4" w:rsidP="00C45ED4">
            <w:pPr>
              <w:spacing w:before="120" w:after="120" w:line="360" w:lineRule="auto"/>
              <w:rPr>
                <w:b/>
                <w:i/>
                <w:sz w:val="22"/>
                <w:szCs w:val="22"/>
                <w:lang w:eastAsia="en-US"/>
              </w:rPr>
            </w:pPr>
          </w:p>
        </w:tc>
        <w:tc>
          <w:tcPr>
            <w:tcW w:w="1262" w:type="dxa"/>
            <w:tcMar>
              <w:left w:w="28" w:type="dxa"/>
              <w:right w:w="28" w:type="dxa"/>
            </w:tcMar>
          </w:tcPr>
          <w:p w14:paraId="7C5EFD0E" w14:textId="77777777" w:rsidR="00C45ED4" w:rsidRPr="00CB2133" w:rsidRDefault="00C45ED4" w:rsidP="00C45ED4">
            <w:pPr>
              <w:spacing w:before="120" w:after="120" w:line="360" w:lineRule="auto"/>
              <w:rPr>
                <w:b/>
                <w:i/>
                <w:sz w:val="22"/>
                <w:szCs w:val="22"/>
                <w:lang w:eastAsia="en-US"/>
              </w:rPr>
            </w:pPr>
          </w:p>
        </w:tc>
        <w:tc>
          <w:tcPr>
            <w:tcW w:w="1154" w:type="dxa"/>
            <w:gridSpan w:val="2"/>
            <w:tcMar>
              <w:left w:w="28" w:type="dxa"/>
              <w:right w:w="28" w:type="dxa"/>
            </w:tcMar>
          </w:tcPr>
          <w:p w14:paraId="631F04D6" w14:textId="77777777" w:rsidR="00C45ED4" w:rsidRPr="00CB2133" w:rsidRDefault="00C45ED4" w:rsidP="00C45ED4">
            <w:pPr>
              <w:spacing w:before="120" w:after="120" w:line="360" w:lineRule="auto"/>
              <w:rPr>
                <w:b/>
                <w:i/>
                <w:sz w:val="22"/>
                <w:szCs w:val="22"/>
                <w:lang w:eastAsia="en-US"/>
              </w:rPr>
            </w:pPr>
          </w:p>
        </w:tc>
        <w:tc>
          <w:tcPr>
            <w:tcW w:w="970" w:type="dxa"/>
            <w:tcMar>
              <w:left w:w="28" w:type="dxa"/>
              <w:right w:w="28" w:type="dxa"/>
            </w:tcMar>
          </w:tcPr>
          <w:p w14:paraId="38095E3C" w14:textId="77777777" w:rsidR="00C45ED4" w:rsidRPr="00CB2133" w:rsidRDefault="00C45ED4" w:rsidP="00C45ED4">
            <w:pPr>
              <w:spacing w:before="120" w:after="120" w:line="360" w:lineRule="auto"/>
              <w:rPr>
                <w:b/>
                <w:i/>
                <w:sz w:val="22"/>
                <w:szCs w:val="22"/>
                <w:lang w:eastAsia="en-US"/>
              </w:rPr>
            </w:pPr>
          </w:p>
        </w:tc>
      </w:tr>
      <w:tr w:rsidR="00C45ED4" w:rsidRPr="00CB2133" w14:paraId="754634C6" w14:textId="77777777" w:rsidTr="000238DA">
        <w:trPr>
          <w:gridBefore w:val="1"/>
          <w:wBefore w:w="11" w:type="dxa"/>
          <w:cantSplit/>
          <w:tblHeader/>
          <w:jc w:val="center"/>
        </w:trPr>
        <w:tc>
          <w:tcPr>
            <w:tcW w:w="649" w:type="dxa"/>
            <w:gridSpan w:val="3"/>
            <w:tcMar>
              <w:left w:w="28" w:type="dxa"/>
              <w:right w:w="28" w:type="dxa"/>
            </w:tcMar>
          </w:tcPr>
          <w:p w14:paraId="38F927D5" w14:textId="740E1E14" w:rsidR="00C45ED4" w:rsidRPr="00CB2133" w:rsidRDefault="00C45ED4" w:rsidP="00C45ED4">
            <w:pPr>
              <w:spacing w:before="120" w:after="120" w:line="360" w:lineRule="auto"/>
              <w:rPr>
                <w:b/>
                <w:sz w:val="22"/>
                <w:szCs w:val="22"/>
                <w:lang w:eastAsia="en-US"/>
              </w:rPr>
            </w:pPr>
            <w:r w:rsidRPr="00CB2133">
              <w:rPr>
                <w:b/>
                <w:i/>
                <w:sz w:val="22"/>
                <w:szCs w:val="22"/>
                <w:lang w:eastAsia="en-US"/>
              </w:rPr>
              <w:t>(70b)</w:t>
            </w:r>
            <w:r w:rsidR="00C05A6E" w:rsidRPr="00CB2133">
              <w:rPr>
                <w:b/>
                <w:sz w:val="22"/>
                <w:szCs w:val="22"/>
                <w:lang w:eastAsia="en-US"/>
              </w:rPr>
              <w:t xml:space="preserve"> [ME 153]</w:t>
            </w:r>
          </w:p>
        </w:tc>
        <w:tc>
          <w:tcPr>
            <w:tcW w:w="2286" w:type="dxa"/>
            <w:gridSpan w:val="3"/>
            <w:shd w:val="clear" w:color="auto" w:fill="auto"/>
            <w:tcMar>
              <w:left w:w="28" w:type="dxa"/>
              <w:right w:w="28" w:type="dxa"/>
            </w:tcMar>
          </w:tcPr>
          <w:p w14:paraId="4979DDDC"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PFASid kokku</w:t>
            </w:r>
          </w:p>
        </w:tc>
        <w:tc>
          <w:tcPr>
            <w:tcW w:w="1329" w:type="dxa"/>
            <w:gridSpan w:val="3"/>
            <w:shd w:val="clear" w:color="auto" w:fill="auto"/>
            <w:tcMar>
              <w:left w:w="28" w:type="dxa"/>
              <w:right w:w="28" w:type="dxa"/>
            </w:tcMar>
          </w:tcPr>
          <w:p w14:paraId="634125B3"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Tööstuskemikaalid</w:t>
            </w:r>
          </w:p>
        </w:tc>
        <w:tc>
          <w:tcPr>
            <w:tcW w:w="992" w:type="dxa"/>
            <w:gridSpan w:val="2"/>
            <w:shd w:val="clear" w:color="auto" w:fill="auto"/>
            <w:tcMar>
              <w:left w:w="28" w:type="dxa"/>
              <w:right w:w="28" w:type="dxa"/>
            </w:tcMar>
          </w:tcPr>
          <w:p w14:paraId="555029A1"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Ei kohaldata</w:t>
            </w:r>
          </w:p>
        </w:tc>
        <w:tc>
          <w:tcPr>
            <w:tcW w:w="1134" w:type="dxa"/>
          </w:tcPr>
          <w:p w14:paraId="7F59EB03"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Ei kohaldata</w:t>
            </w:r>
          </w:p>
        </w:tc>
        <w:tc>
          <w:tcPr>
            <w:tcW w:w="1279" w:type="dxa"/>
            <w:gridSpan w:val="2"/>
            <w:shd w:val="clear" w:color="auto" w:fill="auto"/>
            <w:tcMar>
              <w:left w:w="28" w:type="dxa"/>
              <w:right w:w="28" w:type="dxa"/>
            </w:tcMar>
          </w:tcPr>
          <w:p w14:paraId="3799D703"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279" w:type="dxa"/>
            <w:gridSpan w:val="2"/>
            <w:shd w:val="clear" w:color="auto" w:fill="auto"/>
            <w:tcMar>
              <w:left w:w="28" w:type="dxa"/>
              <w:right w:w="28" w:type="dxa"/>
            </w:tcMar>
          </w:tcPr>
          <w:p w14:paraId="23DA70EC"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277" w:type="dxa"/>
            <w:gridSpan w:val="2"/>
            <w:shd w:val="clear" w:color="auto" w:fill="auto"/>
            <w:tcMar>
              <w:left w:w="28" w:type="dxa"/>
              <w:right w:w="28" w:type="dxa"/>
            </w:tcMar>
          </w:tcPr>
          <w:p w14:paraId="0E2AD79E"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276" w:type="dxa"/>
            <w:gridSpan w:val="2"/>
            <w:shd w:val="clear" w:color="auto" w:fill="auto"/>
            <w:tcMar>
              <w:left w:w="28" w:type="dxa"/>
              <w:right w:w="28" w:type="dxa"/>
            </w:tcMar>
          </w:tcPr>
          <w:p w14:paraId="1C9E7FA0"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w:t>
            </w:r>
          </w:p>
        </w:tc>
        <w:tc>
          <w:tcPr>
            <w:tcW w:w="1135" w:type="dxa"/>
            <w:gridSpan w:val="2"/>
            <w:shd w:val="clear" w:color="auto" w:fill="auto"/>
            <w:tcMar>
              <w:left w:w="28" w:type="dxa"/>
              <w:right w:w="28" w:type="dxa"/>
            </w:tcMar>
          </w:tcPr>
          <w:p w14:paraId="0792CB96" w14:textId="77777777" w:rsidR="00C45ED4" w:rsidRPr="00CB2133" w:rsidRDefault="00C45ED4" w:rsidP="00C45ED4">
            <w:pPr>
              <w:spacing w:before="120" w:after="120" w:line="360" w:lineRule="auto"/>
              <w:rPr>
                <w:b/>
                <w:i/>
                <w:sz w:val="22"/>
                <w:szCs w:val="22"/>
                <w:lang w:eastAsia="en-US"/>
              </w:rPr>
            </w:pPr>
          </w:p>
        </w:tc>
        <w:tc>
          <w:tcPr>
            <w:tcW w:w="1262" w:type="dxa"/>
            <w:tcMar>
              <w:left w:w="28" w:type="dxa"/>
              <w:right w:w="28" w:type="dxa"/>
            </w:tcMar>
          </w:tcPr>
          <w:p w14:paraId="2598DE49" w14:textId="77777777" w:rsidR="00C45ED4" w:rsidRPr="00CB2133" w:rsidRDefault="00C45ED4" w:rsidP="00C45ED4">
            <w:pPr>
              <w:spacing w:before="120" w:after="120" w:line="360" w:lineRule="auto"/>
              <w:rPr>
                <w:b/>
                <w:i/>
                <w:sz w:val="22"/>
                <w:szCs w:val="22"/>
                <w:lang w:eastAsia="en-US"/>
              </w:rPr>
            </w:pPr>
          </w:p>
        </w:tc>
        <w:tc>
          <w:tcPr>
            <w:tcW w:w="1154" w:type="dxa"/>
            <w:gridSpan w:val="2"/>
            <w:tcMar>
              <w:left w:w="28" w:type="dxa"/>
              <w:right w:w="28" w:type="dxa"/>
            </w:tcMar>
          </w:tcPr>
          <w:p w14:paraId="7494511C" w14:textId="77777777" w:rsidR="00C45ED4" w:rsidRPr="00CB2133" w:rsidRDefault="00C45ED4" w:rsidP="00C45ED4">
            <w:pPr>
              <w:spacing w:before="120" w:after="120" w:line="360" w:lineRule="auto"/>
              <w:rPr>
                <w:b/>
                <w:i/>
                <w:sz w:val="22"/>
                <w:szCs w:val="22"/>
                <w:lang w:eastAsia="en-US"/>
              </w:rPr>
            </w:pPr>
          </w:p>
        </w:tc>
        <w:tc>
          <w:tcPr>
            <w:tcW w:w="970" w:type="dxa"/>
            <w:tcMar>
              <w:left w:w="28" w:type="dxa"/>
              <w:right w:w="28" w:type="dxa"/>
            </w:tcMar>
          </w:tcPr>
          <w:p w14:paraId="78F8A105" w14:textId="77777777" w:rsidR="00C45ED4" w:rsidRPr="00CB2133" w:rsidRDefault="00C45ED4" w:rsidP="00C45ED4">
            <w:pPr>
              <w:spacing w:before="120" w:after="120" w:line="360" w:lineRule="auto"/>
              <w:rPr>
                <w:b/>
                <w:i/>
                <w:sz w:val="22"/>
                <w:szCs w:val="22"/>
                <w:lang w:eastAsia="en-US"/>
              </w:rPr>
            </w:pPr>
          </w:p>
        </w:tc>
      </w:tr>
      <w:tr w:rsidR="00C45ED4" w:rsidRPr="00CB2133" w14:paraId="78D687F0" w14:textId="77777777" w:rsidTr="000238DA">
        <w:trPr>
          <w:gridBefore w:val="1"/>
          <w:wBefore w:w="11" w:type="dxa"/>
          <w:cantSplit/>
          <w:tblHeader/>
          <w:jc w:val="center"/>
        </w:trPr>
        <w:tc>
          <w:tcPr>
            <w:tcW w:w="649" w:type="dxa"/>
            <w:gridSpan w:val="3"/>
            <w:tcMar>
              <w:left w:w="28" w:type="dxa"/>
              <w:right w:w="28" w:type="dxa"/>
            </w:tcMar>
          </w:tcPr>
          <w:p w14:paraId="216388CB" w14:textId="3B6FF854" w:rsidR="00C45ED4" w:rsidRPr="00CB2133" w:rsidRDefault="00C45ED4" w:rsidP="00C45ED4">
            <w:pPr>
              <w:spacing w:before="120" w:after="120" w:line="360" w:lineRule="auto"/>
              <w:rPr>
                <w:b/>
                <w:sz w:val="22"/>
                <w:szCs w:val="22"/>
                <w:lang w:eastAsia="en-US"/>
              </w:rPr>
            </w:pPr>
            <w:r w:rsidRPr="00CB2133">
              <w:rPr>
                <w:b/>
                <w:i/>
                <w:sz w:val="22"/>
                <w:szCs w:val="22"/>
                <w:lang w:eastAsia="en-US"/>
              </w:rPr>
              <w:t>(70c)</w:t>
            </w:r>
            <w:r w:rsidR="00C05A6E" w:rsidRPr="00CB2133">
              <w:rPr>
                <w:b/>
                <w:sz w:val="22"/>
                <w:szCs w:val="22"/>
                <w:lang w:eastAsia="en-US"/>
              </w:rPr>
              <w:t xml:space="preserve"> [ME 154]</w:t>
            </w:r>
          </w:p>
        </w:tc>
        <w:tc>
          <w:tcPr>
            <w:tcW w:w="2286" w:type="dxa"/>
            <w:gridSpan w:val="3"/>
            <w:shd w:val="clear" w:color="auto" w:fill="auto"/>
            <w:tcMar>
              <w:left w:w="28" w:type="dxa"/>
              <w:right w:w="28" w:type="dxa"/>
            </w:tcMar>
          </w:tcPr>
          <w:p w14:paraId="028386C7"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Farmakoloogilised toimeained kokku</w:t>
            </w:r>
          </w:p>
        </w:tc>
        <w:tc>
          <w:tcPr>
            <w:tcW w:w="1329" w:type="dxa"/>
            <w:gridSpan w:val="3"/>
            <w:shd w:val="clear" w:color="auto" w:fill="auto"/>
            <w:tcMar>
              <w:left w:w="28" w:type="dxa"/>
              <w:right w:w="28" w:type="dxa"/>
            </w:tcMar>
          </w:tcPr>
          <w:p w14:paraId="0AD62829"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Ravimid</w:t>
            </w:r>
          </w:p>
        </w:tc>
        <w:tc>
          <w:tcPr>
            <w:tcW w:w="992" w:type="dxa"/>
            <w:gridSpan w:val="2"/>
            <w:shd w:val="clear" w:color="auto" w:fill="auto"/>
            <w:tcMar>
              <w:left w:w="28" w:type="dxa"/>
              <w:right w:w="28" w:type="dxa"/>
            </w:tcMar>
          </w:tcPr>
          <w:p w14:paraId="54CF5249"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Ei kohaldata</w:t>
            </w:r>
          </w:p>
        </w:tc>
        <w:tc>
          <w:tcPr>
            <w:tcW w:w="1134" w:type="dxa"/>
          </w:tcPr>
          <w:p w14:paraId="30949D7E"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Ei kohaldata</w:t>
            </w:r>
          </w:p>
        </w:tc>
        <w:tc>
          <w:tcPr>
            <w:tcW w:w="1279" w:type="dxa"/>
            <w:gridSpan w:val="2"/>
            <w:shd w:val="clear" w:color="auto" w:fill="auto"/>
            <w:tcMar>
              <w:left w:w="28" w:type="dxa"/>
              <w:right w:w="28" w:type="dxa"/>
            </w:tcMar>
          </w:tcPr>
          <w:p w14:paraId="506AB34E"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0,25</w:t>
            </w:r>
          </w:p>
        </w:tc>
        <w:tc>
          <w:tcPr>
            <w:tcW w:w="1279" w:type="dxa"/>
            <w:gridSpan w:val="2"/>
            <w:shd w:val="clear" w:color="auto" w:fill="auto"/>
            <w:tcMar>
              <w:left w:w="28" w:type="dxa"/>
              <w:right w:w="28" w:type="dxa"/>
            </w:tcMar>
          </w:tcPr>
          <w:p w14:paraId="286D8A95" w14:textId="77777777" w:rsidR="00C45ED4" w:rsidRPr="00CB2133" w:rsidRDefault="00C45ED4" w:rsidP="00C45ED4">
            <w:pPr>
              <w:spacing w:before="120" w:after="120" w:line="360" w:lineRule="auto"/>
              <w:rPr>
                <w:b/>
                <w:i/>
                <w:sz w:val="22"/>
                <w:szCs w:val="22"/>
                <w:lang w:eastAsia="en-US"/>
              </w:rPr>
            </w:pPr>
            <w:r w:rsidRPr="00CB2133">
              <w:rPr>
                <w:b/>
                <w:i/>
                <w:sz w:val="22"/>
                <w:szCs w:val="22"/>
                <w:lang w:eastAsia="en-US"/>
              </w:rPr>
              <w:t>0,025</w:t>
            </w:r>
          </w:p>
        </w:tc>
        <w:tc>
          <w:tcPr>
            <w:tcW w:w="1277" w:type="dxa"/>
            <w:gridSpan w:val="2"/>
            <w:shd w:val="clear" w:color="auto" w:fill="auto"/>
            <w:tcMar>
              <w:left w:w="28" w:type="dxa"/>
              <w:right w:w="28" w:type="dxa"/>
            </w:tcMar>
          </w:tcPr>
          <w:p w14:paraId="0D6A4867" w14:textId="77777777" w:rsidR="00C45ED4" w:rsidRPr="00CB2133" w:rsidRDefault="00C45ED4" w:rsidP="00C45ED4">
            <w:pPr>
              <w:spacing w:before="120" w:after="120" w:line="360" w:lineRule="auto"/>
              <w:rPr>
                <w:b/>
                <w:i/>
                <w:sz w:val="22"/>
                <w:szCs w:val="22"/>
                <w:lang w:eastAsia="en-US"/>
              </w:rPr>
            </w:pPr>
          </w:p>
        </w:tc>
        <w:tc>
          <w:tcPr>
            <w:tcW w:w="1276" w:type="dxa"/>
            <w:gridSpan w:val="2"/>
            <w:shd w:val="clear" w:color="auto" w:fill="auto"/>
            <w:tcMar>
              <w:left w:w="28" w:type="dxa"/>
              <w:right w:w="28" w:type="dxa"/>
            </w:tcMar>
          </w:tcPr>
          <w:p w14:paraId="41685BD4" w14:textId="77777777" w:rsidR="00C45ED4" w:rsidRPr="00CB2133" w:rsidRDefault="00C45ED4" w:rsidP="00C45ED4">
            <w:pPr>
              <w:spacing w:before="120" w:after="120" w:line="360" w:lineRule="auto"/>
              <w:rPr>
                <w:b/>
                <w:i/>
                <w:sz w:val="22"/>
                <w:szCs w:val="22"/>
                <w:lang w:eastAsia="en-US"/>
              </w:rPr>
            </w:pPr>
          </w:p>
        </w:tc>
        <w:tc>
          <w:tcPr>
            <w:tcW w:w="1135" w:type="dxa"/>
            <w:gridSpan w:val="2"/>
            <w:shd w:val="clear" w:color="auto" w:fill="auto"/>
            <w:tcMar>
              <w:left w:w="28" w:type="dxa"/>
              <w:right w:w="28" w:type="dxa"/>
            </w:tcMar>
          </w:tcPr>
          <w:p w14:paraId="5B97A7A2" w14:textId="77777777" w:rsidR="00C45ED4" w:rsidRPr="00CB2133" w:rsidRDefault="00C45ED4" w:rsidP="00C45ED4">
            <w:pPr>
              <w:spacing w:before="120" w:after="120" w:line="360" w:lineRule="auto"/>
              <w:rPr>
                <w:b/>
                <w:i/>
                <w:sz w:val="22"/>
                <w:szCs w:val="22"/>
                <w:lang w:eastAsia="en-US"/>
              </w:rPr>
            </w:pPr>
          </w:p>
        </w:tc>
        <w:tc>
          <w:tcPr>
            <w:tcW w:w="1262" w:type="dxa"/>
            <w:tcMar>
              <w:left w:w="28" w:type="dxa"/>
              <w:right w:w="28" w:type="dxa"/>
            </w:tcMar>
          </w:tcPr>
          <w:p w14:paraId="6406E6F6" w14:textId="77777777" w:rsidR="00C45ED4" w:rsidRPr="00CB2133" w:rsidRDefault="00C45ED4" w:rsidP="00C45ED4">
            <w:pPr>
              <w:spacing w:before="120" w:after="120" w:line="360" w:lineRule="auto"/>
              <w:rPr>
                <w:b/>
                <w:i/>
                <w:sz w:val="22"/>
                <w:szCs w:val="22"/>
                <w:lang w:eastAsia="en-US"/>
              </w:rPr>
            </w:pPr>
          </w:p>
        </w:tc>
        <w:tc>
          <w:tcPr>
            <w:tcW w:w="1154" w:type="dxa"/>
            <w:gridSpan w:val="2"/>
            <w:tcMar>
              <w:left w:w="28" w:type="dxa"/>
              <w:right w:w="28" w:type="dxa"/>
            </w:tcMar>
          </w:tcPr>
          <w:p w14:paraId="77D767E5" w14:textId="77777777" w:rsidR="00C45ED4" w:rsidRPr="00CB2133" w:rsidRDefault="00C45ED4" w:rsidP="00C45ED4">
            <w:pPr>
              <w:spacing w:before="120" w:after="120" w:line="360" w:lineRule="auto"/>
              <w:rPr>
                <w:b/>
                <w:i/>
                <w:sz w:val="22"/>
                <w:szCs w:val="22"/>
                <w:lang w:eastAsia="en-US"/>
              </w:rPr>
            </w:pPr>
          </w:p>
        </w:tc>
        <w:tc>
          <w:tcPr>
            <w:tcW w:w="970" w:type="dxa"/>
            <w:tcMar>
              <w:left w:w="28" w:type="dxa"/>
              <w:right w:w="28" w:type="dxa"/>
            </w:tcMar>
          </w:tcPr>
          <w:p w14:paraId="1DB9B80D" w14:textId="77777777" w:rsidR="00C45ED4" w:rsidRPr="00CB2133" w:rsidRDefault="00C45ED4" w:rsidP="00C45ED4">
            <w:pPr>
              <w:spacing w:before="120" w:after="120" w:line="360" w:lineRule="auto"/>
              <w:rPr>
                <w:b/>
                <w:i/>
                <w:sz w:val="22"/>
                <w:szCs w:val="22"/>
                <w:lang w:eastAsia="en-US"/>
              </w:rPr>
            </w:pPr>
          </w:p>
        </w:tc>
      </w:tr>
    </w:tbl>
    <w:p w14:paraId="6AF5F14C" w14:textId="3FF36241" w:rsidR="00F503C2" w:rsidRPr="00CB2133" w:rsidRDefault="00C05A6E" w:rsidP="00C05A6E">
      <w:pPr>
        <w:widowControl/>
        <w:ind w:left="851"/>
        <w:rPr>
          <w:b/>
          <w:i/>
          <w:szCs w:val="24"/>
          <w:lang w:eastAsia="en-US"/>
        </w:rPr>
      </w:pPr>
      <w:r w:rsidRPr="00CB2133">
        <w:rPr>
          <w:b/>
          <w:i/>
          <w:szCs w:val="24"/>
          <w:lang w:eastAsia="en-US"/>
        </w:rPr>
        <w:t>* Kvaliteedistandardid kehtestab komisjon delegeeritud õigusaktiga.</w:t>
      </w:r>
    </w:p>
    <w:p w14:paraId="770D37BE" w14:textId="512075F3" w:rsidR="00D30CC0" w:rsidRPr="00CB2133" w:rsidRDefault="00D30CC0" w:rsidP="00C05A6E">
      <w:pPr>
        <w:widowControl/>
        <w:ind w:left="851"/>
        <w:rPr>
          <w:b/>
          <w:i/>
          <w:szCs w:val="24"/>
          <w:lang w:eastAsia="en-US"/>
        </w:rPr>
      </w:pPr>
    </w:p>
    <w:p w14:paraId="6559C3EA" w14:textId="77777777" w:rsidR="00D30CC0" w:rsidRPr="00CB2133" w:rsidRDefault="00D30CC0" w:rsidP="00C05A6E">
      <w:pPr>
        <w:widowControl/>
        <w:ind w:left="851"/>
        <w:rPr>
          <w:b/>
          <w:i/>
          <w:szCs w:val="24"/>
          <w:lang w:eastAsia="en-US"/>
        </w:rPr>
        <w:sectPr w:rsidR="00D30CC0" w:rsidRPr="00CB2133" w:rsidSect="00F503C2">
          <w:footnotePr>
            <w:numRestart w:val="eachSect"/>
          </w:footnotePr>
          <w:endnotePr>
            <w:numFmt w:val="decimal"/>
          </w:endnotePr>
          <w:pgSz w:w="16834" w:h="11909" w:orient="landscape"/>
          <w:pgMar w:top="1134" w:right="1134" w:bottom="1418" w:left="1418" w:header="1134" w:footer="567" w:gutter="0"/>
          <w:cols w:space="720"/>
          <w:docGrid w:linePitch="326"/>
        </w:sectPr>
      </w:pPr>
    </w:p>
    <w:p w14:paraId="5929EB63" w14:textId="5342F0C9"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1)</w:t>
      </w:r>
      <w:r w:rsidR="00C45ED4" w:rsidRPr="00CB2133">
        <w:rPr>
          <w:szCs w:val="24"/>
          <w:lang w:eastAsia="en-US"/>
        </w:rPr>
        <w:tab/>
        <w:t>CAS – Chemical Abstracts Service.</w:t>
      </w:r>
    </w:p>
    <w:p w14:paraId="38380FB4" w14:textId="4A1C397E"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w:t>
      </w:r>
      <w:r w:rsidR="00C45ED4" w:rsidRPr="00CB2133">
        <w:rPr>
          <w:szCs w:val="24"/>
          <w:lang w:eastAsia="en-US"/>
        </w:rPr>
        <w:tab/>
        <w:t>ELi number – Euroopa kaubanduslike keemiliste ainete loetelu (EINECS) või Euroopa uute keemiliste ainete loetelu (ELINCS) number.</w:t>
      </w:r>
    </w:p>
    <w:p w14:paraId="59BF44F4" w14:textId="37D674E2"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3)</w:t>
      </w:r>
      <w:r w:rsidR="00C45ED4" w:rsidRPr="00CB2133">
        <w:rPr>
          <w:szCs w:val="24"/>
          <w:lang w:eastAsia="en-US"/>
        </w:rPr>
        <w:tab/>
        <w:t>See näitaja on aasta keskmise väärtusena väljendatud EQS (AA-EQS). Kui ei ole märgitud teisiti, kohaldatakse seda kõikide ainete ja isomeeride summaarse kontsentratsiooni suhtes.</w:t>
      </w:r>
    </w:p>
    <w:p w14:paraId="19C5394E" w14:textId="394EE156"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4)</w:t>
      </w:r>
      <w:r w:rsidR="00C45ED4" w:rsidRPr="00CB2133">
        <w:rPr>
          <w:szCs w:val="24"/>
          <w:lang w:eastAsia="en-US"/>
        </w:rPr>
        <w:tab/>
        <w:t>Maismaa pinnaveed hõlmavad jõgesid, järvi ning nendega seotud tehisveekogusid ja oluliselt muudetud veekogusid.</w:t>
      </w:r>
    </w:p>
    <w:p w14:paraId="3E34380F" w14:textId="222774EA"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5)</w:t>
      </w:r>
      <w:r w:rsidR="00C45ED4" w:rsidRPr="00CB2133">
        <w:rPr>
          <w:szCs w:val="24"/>
          <w:lang w:eastAsia="en-US"/>
        </w:rPr>
        <w:tab/>
        <w:t>See näitaja on suurima lubatud kontsentratsioonina väljendatud EQS (MAC-EQS). Kui MAC-EQSi juures on märge „ei kohaldata“, peetakse AA-EQSi väärtusi pideva keskkonda juhtimise korral reostuse lühiajalise suurenemise puhul kaitset pakkuvaks, kuna need on oluliselt väiksemad kui ägeda mürgisuse põhjal tuletatud väärtused.</w:t>
      </w:r>
    </w:p>
    <w:p w14:paraId="45455DE7" w14:textId="77777777" w:rsidR="00C05A6E" w:rsidRPr="00CB2133" w:rsidRDefault="00C05A6E">
      <w:pPr>
        <w:widowControl/>
        <w:rPr>
          <w:szCs w:val="24"/>
          <w:vertAlign w:val="superscript"/>
          <w:lang w:eastAsia="en-US"/>
        </w:rPr>
      </w:pPr>
      <w:r w:rsidRPr="00CB2133">
        <w:rPr>
          <w:szCs w:val="24"/>
          <w:vertAlign w:val="superscript"/>
          <w:lang w:eastAsia="en-US"/>
        </w:rPr>
        <w:br w:type="page"/>
      </w:r>
    </w:p>
    <w:p w14:paraId="74575F4D" w14:textId="60736061"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6)</w:t>
      </w:r>
      <w:r w:rsidR="00C45ED4" w:rsidRPr="00CB2133">
        <w:rPr>
          <w:szCs w:val="24"/>
          <w:lang w:eastAsia="en-US"/>
        </w:rPr>
        <w:tab/>
        <w:t>Kui on esitatud elustikuga seotud EQS, kohaldatakse seda veega seotud EQSi asemel, ilma et see piiraks käesoleva direktiivi artikli 3 lõike 3 selle sätte kohaldamist, mis võimaldab kasutada seireks mõnda muud elustiku taksonit või mõnda muud maatriksit, juhul kui kohaldatav EQS pakub samaväärset kaitset. Kui ei ole märgitud teisiti, peetakse elustikuga seotud EQSi puhul silmas kalu. Ainete nr 15 (fluoranteen), 28 (polütsüklilised aromaatsed süsivesinikud) ja 51 (bisfenool A) puhul peetakse elustikuga seotud EQSi kohaldamisel silmas koorikloomi ja molluskeid. Fluoranteeni, polütsükliliste aromaatsete süsivesinike ja bisfenool A seire kalades ei ole keemilise seisundi hindamiseks sobiv. Aine nr 37 (dioksiinid ja dioksiinilaadsed ühendid) puhul peetakse elustikuga seotud EQSi kohaldamisel silmas kalu, koorikloomi ja molluskeid kooskõlas komisjoni määruse (EL) nr 1259/2011* lisas esitatud punktiga 5.3.</w:t>
      </w:r>
    </w:p>
    <w:p w14:paraId="56F01498" w14:textId="11A55DE9"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7)</w:t>
      </w:r>
      <w:r w:rsidR="00C45ED4" w:rsidRPr="00CB2133">
        <w:rPr>
          <w:szCs w:val="24"/>
          <w:lang w:eastAsia="en-US"/>
        </w:rPr>
        <w:tab/>
        <w:t>Bromodifenüüleetrite (nr 5) hulka kuuluvate prioriteetsete ainete rühma puhul viitab EQS analoogide nr 28, 47, 99, 100, 153 ja 154 summaaarsele kontsentratsioonile.</w:t>
      </w:r>
    </w:p>
    <w:p w14:paraId="02201070" w14:textId="77777777" w:rsidR="00C05A6E" w:rsidRPr="00CB2133" w:rsidRDefault="00C05A6E">
      <w:pPr>
        <w:widowControl/>
        <w:rPr>
          <w:szCs w:val="24"/>
          <w:vertAlign w:val="superscript"/>
          <w:lang w:eastAsia="en-US"/>
        </w:rPr>
      </w:pPr>
      <w:r w:rsidRPr="00CB2133">
        <w:rPr>
          <w:szCs w:val="24"/>
          <w:vertAlign w:val="superscript"/>
          <w:lang w:eastAsia="en-US"/>
        </w:rPr>
        <w:br w:type="page"/>
      </w:r>
    </w:p>
    <w:p w14:paraId="5352DC5E" w14:textId="113039A4"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8)</w:t>
      </w:r>
      <w:r w:rsidR="00C45ED4" w:rsidRPr="00CB2133">
        <w:rPr>
          <w:szCs w:val="24"/>
          <w:lang w:eastAsia="en-US"/>
        </w:rPr>
        <w:tab/>
        <w:t>Tetra-, penta-, heksa-, hepta-, okta- ja dekabromodifenüüleeter (vastavad CASi numbrid: 40088-47-9, 32534-81-9, 36483-60-0, 68928-80-3, 32536-52-0, 1163-19-5).</w:t>
      </w:r>
    </w:p>
    <w:p w14:paraId="2CDCD120" w14:textId="23235395"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9)</w:t>
      </w:r>
      <w:r w:rsidR="00C45ED4" w:rsidRPr="00CB2133">
        <w:rPr>
          <w:szCs w:val="24"/>
          <w:lang w:eastAsia="en-US"/>
        </w:rPr>
        <w:tab/>
        <w:t>Kaadmiumi ja selle ühendite (nr 6) puhul sõltuvad EQSi väärtused vee karedusest, mille alusel eristatakse viit klassi (1. klass: &lt; 40 mg CaCO</w:t>
      </w:r>
      <w:r w:rsidR="00C45ED4" w:rsidRPr="00CB2133">
        <w:rPr>
          <w:szCs w:val="24"/>
          <w:vertAlign w:val="subscript"/>
          <w:lang w:eastAsia="en-US"/>
        </w:rPr>
        <w:t>3</w:t>
      </w:r>
      <w:r w:rsidR="00C45ED4" w:rsidRPr="00CB2133">
        <w:rPr>
          <w:szCs w:val="24"/>
          <w:lang w:eastAsia="en-US"/>
        </w:rPr>
        <w:t>/l; 2. klass: 40 kuni &lt; 50 mg CaCO</w:t>
      </w:r>
      <w:r w:rsidR="00C45ED4" w:rsidRPr="00CB2133">
        <w:rPr>
          <w:szCs w:val="24"/>
          <w:vertAlign w:val="subscript"/>
          <w:lang w:eastAsia="en-US"/>
        </w:rPr>
        <w:t>3</w:t>
      </w:r>
      <w:r w:rsidR="00C45ED4" w:rsidRPr="00CB2133">
        <w:rPr>
          <w:szCs w:val="24"/>
          <w:lang w:eastAsia="en-US"/>
        </w:rPr>
        <w:t>/l; 3. klass: 50 kuni &lt; 100 mg CaCO</w:t>
      </w:r>
      <w:r w:rsidR="00C45ED4" w:rsidRPr="00CB2133">
        <w:rPr>
          <w:szCs w:val="24"/>
          <w:vertAlign w:val="subscript"/>
          <w:lang w:eastAsia="en-US"/>
        </w:rPr>
        <w:t>3</w:t>
      </w:r>
      <w:r w:rsidR="00C45ED4" w:rsidRPr="00CB2133">
        <w:rPr>
          <w:szCs w:val="24"/>
          <w:lang w:eastAsia="en-US"/>
        </w:rPr>
        <w:t>/l; 4. klass: 100 kuni &lt; 200 mg CaCO</w:t>
      </w:r>
      <w:r w:rsidR="00C45ED4" w:rsidRPr="00CB2133">
        <w:rPr>
          <w:szCs w:val="24"/>
          <w:vertAlign w:val="subscript"/>
          <w:lang w:eastAsia="en-US"/>
        </w:rPr>
        <w:t>3</w:t>
      </w:r>
      <w:r w:rsidR="00C45ED4" w:rsidRPr="00CB2133">
        <w:rPr>
          <w:szCs w:val="24"/>
          <w:lang w:eastAsia="en-US"/>
        </w:rPr>
        <w:t>/l; 5. klass: ≥ 200 mg CaCO</w:t>
      </w:r>
      <w:r w:rsidR="00C45ED4" w:rsidRPr="00CB2133">
        <w:rPr>
          <w:szCs w:val="24"/>
          <w:vertAlign w:val="subscript"/>
          <w:lang w:eastAsia="en-US"/>
        </w:rPr>
        <w:t>3</w:t>
      </w:r>
      <w:r w:rsidR="00C45ED4" w:rsidRPr="00CB2133">
        <w:rPr>
          <w:szCs w:val="24"/>
          <w:lang w:eastAsia="en-US"/>
        </w:rPr>
        <w:t>/l).</w:t>
      </w:r>
    </w:p>
    <w:p w14:paraId="2E4F7D56" w14:textId="1D4A4C22"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10)</w:t>
      </w:r>
      <w:r w:rsidR="00C45ED4" w:rsidRPr="00CB2133">
        <w:rPr>
          <w:szCs w:val="24"/>
          <w:lang w:eastAsia="en-US"/>
        </w:rPr>
        <w:tab/>
        <w:t>Selle ainerühma jaoks ei ole soovituslikke näitajaid esitatud. Soovituslik(ud) näitaja(d) tuleb kindlaks määrata analüütilisel meetodil.</w:t>
      </w:r>
    </w:p>
    <w:p w14:paraId="3A88155F" w14:textId="46576607"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11)</w:t>
      </w:r>
      <w:r w:rsidR="00C45ED4" w:rsidRPr="00CB2133">
        <w:rPr>
          <w:szCs w:val="24"/>
          <w:lang w:eastAsia="en-US"/>
        </w:rPr>
        <w:tab/>
        <w:t>DDT üldsisaldus on isomeeride 1,1,1-trikloro-2,2-bis(p-klorofenüül)etaani (CASi nr: 50-29-3; ELi nr: 200-024-3), 1,1,1-trikloro-2-(o-klorofenüül)-2-(p-klorofenüül)etaani (CASi nr: 789-02-6; ELi nr: 212-332-5), 1,1-dikloro-2,2-bis(p-klorofenüül)etüleeni (CASi nr: 72-55-9; ELi nr: 200-784-6) ja 1,1-dikloro-2,2-bis(p-klorofenüül)etaani (CASi nr: 72-54-8; ELi nr: 200-783-0) summaarne kontsentratsioon.</w:t>
      </w:r>
    </w:p>
    <w:p w14:paraId="11A8C225" w14:textId="21F204CB"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12)</w:t>
      </w:r>
      <w:r w:rsidR="00C45ED4" w:rsidRPr="00CB2133">
        <w:rPr>
          <w:szCs w:val="24"/>
          <w:lang w:eastAsia="en-US"/>
        </w:rPr>
        <w:tab/>
        <w:t>Need EQSid viitavad ainete biosaadavale kontsentratsioonile.</w:t>
      </w:r>
    </w:p>
    <w:p w14:paraId="133D1B45" w14:textId="77777777" w:rsidR="009B18F2" w:rsidRPr="00CB2133" w:rsidRDefault="009B18F2">
      <w:pPr>
        <w:widowControl/>
        <w:rPr>
          <w:szCs w:val="24"/>
          <w:vertAlign w:val="superscript"/>
          <w:lang w:eastAsia="en-US"/>
        </w:rPr>
      </w:pPr>
      <w:r w:rsidRPr="00CB2133">
        <w:rPr>
          <w:szCs w:val="24"/>
          <w:vertAlign w:val="superscript"/>
          <w:lang w:eastAsia="en-US"/>
        </w:rPr>
        <w:br w:type="page"/>
      </w:r>
    </w:p>
    <w:p w14:paraId="122CB6BF" w14:textId="331DA484"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13)</w:t>
      </w:r>
      <w:r w:rsidR="00C45ED4" w:rsidRPr="00CB2133">
        <w:rPr>
          <w:szCs w:val="24"/>
          <w:lang w:eastAsia="en-US"/>
        </w:rPr>
        <w:tab/>
        <w:t>Elustikuga seotud EQSi kohaldatakse metüülelavhõbeda suhtes.</w:t>
      </w:r>
    </w:p>
    <w:p w14:paraId="586B84CB" w14:textId="33945DE0"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14)</w:t>
      </w:r>
      <w:r w:rsidR="00C45ED4" w:rsidRPr="00CB2133">
        <w:rPr>
          <w:szCs w:val="24"/>
          <w:lang w:eastAsia="en-US"/>
        </w:rPr>
        <w:tab/>
        <w:t>Nonüülfenool (CASi nr: 25154-52-3; ELi nr: 246-672-0), sealhulgas isomeerid 4-nonüülfenool (CASi nr: 104-40-5; ELi nr: 203-199-4) ja 4-nonüülfenool (hargahelaga) (CASi nr: 84852-15-3; ELi nr: 284-325-5).</w:t>
      </w:r>
    </w:p>
    <w:p w14:paraId="2FD23D8F" w14:textId="5DE22DEB"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15)</w:t>
      </w:r>
      <w:r w:rsidR="00C45ED4" w:rsidRPr="00CB2133">
        <w:rPr>
          <w:szCs w:val="24"/>
          <w:lang w:eastAsia="en-US"/>
        </w:rPr>
        <w:tab/>
        <w:t>Oktüülfenool (CASi nr: 1806-26-4; ELi nr: 217-302-5), sealhulgas isomeer 4-(1,1′,3,3′-tetrametüülbutüül)fenool (CASi nr: 140-66-9; ELi nr: 205-426-2).</w:t>
      </w:r>
    </w:p>
    <w:p w14:paraId="2F905A50" w14:textId="49087E84" w:rsidR="00C45ED4" w:rsidRPr="00CB2133" w:rsidRDefault="00C05A6E"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16)</w:t>
      </w:r>
      <w:r w:rsidR="00C45ED4" w:rsidRPr="00CB2133">
        <w:rPr>
          <w:szCs w:val="24"/>
          <w:lang w:eastAsia="en-US"/>
        </w:rPr>
        <w:tab/>
        <w:t>Benso[a]püreen (CASi nr: 50-32-8) (RPF: 1), benso[b]fluoranteen (CASi nr: 205-99-2) (RPF: 0,1), benso[k]fluoranteen (CASi nr: 207-08-9) (RPF: 0,1), benso[g,h,i]perüleen (CASi nr: 191-24-2) (RPF: 0), indeno[1,2,3-c,d]püreen (CASi nr: 193-39-5) (RPF: 0,1), krüseen (CASi nr: 218-01-9) (RPF: 0,01), benso[a]antratseen (CASi nr: 56-55-3) (RPF: 0,1) ja dibens[a,h]antratseen (CASi nr: 53-70-3) (RPF: 1). Polütsüklilised aromaatsed süsivesinikud antratseen, fluoranteen ja naftaleen on loetletud eraldi.</w:t>
      </w:r>
    </w:p>
    <w:p w14:paraId="3DB13AF7" w14:textId="77777777" w:rsidR="009B18F2" w:rsidRPr="00CB2133" w:rsidRDefault="009B18F2">
      <w:pPr>
        <w:widowControl/>
        <w:rPr>
          <w:szCs w:val="24"/>
          <w:lang w:eastAsia="en-US"/>
        </w:rPr>
      </w:pPr>
      <w:r w:rsidRPr="00CB2133">
        <w:rPr>
          <w:szCs w:val="24"/>
          <w:lang w:eastAsia="en-US"/>
        </w:rPr>
        <w:br w:type="page"/>
      </w:r>
    </w:p>
    <w:p w14:paraId="4FE56DDA" w14:textId="532FF8C9"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17)</w:t>
      </w:r>
      <w:r w:rsidR="00C45ED4" w:rsidRPr="00CB2133">
        <w:rPr>
          <w:szCs w:val="24"/>
          <w:lang w:eastAsia="en-US"/>
        </w:rPr>
        <w:tab/>
        <w:t>Polütsükliliste aromaatsete süsivesinike rühma (nr 28) puhul kohaldatakse elustikuga seotud EQSi joonealuses märkuses 17 loetletud kaheksast polütsüklilisest aromaatsest süsivesinikust seitsme summaarse kontsentratsiooni suhtes, mis on väljendatud benso[a]püreeni ekvivalentides lähtuvalt asjaomaste ainete suhtelisest kantserogeensusest võrdluses benso[a]püreeniga, st lähtuvalt nende RPFst, mis on esitatud joonealuses märkuses 16. Benso[g,h,i]perüleeni sisalduse mõõtmine elustikus ei ole elustikuga seotud üldisele EQSile vastavuse kindlakstegemiseks vajalik.</w:t>
      </w:r>
    </w:p>
    <w:p w14:paraId="2FB42647" w14:textId="726815CD"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18)</w:t>
      </w:r>
      <w:r w:rsidR="00C45ED4" w:rsidRPr="00CB2133">
        <w:rPr>
          <w:szCs w:val="24"/>
          <w:lang w:eastAsia="en-US"/>
        </w:rPr>
        <w:tab/>
        <w:t>Tributüültina ühendid, sealhulgas tributüültina katioon (CASi nr: 36643-28-4).</w:t>
      </w:r>
    </w:p>
    <w:p w14:paraId="2D2D42B8" w14:textId="1E195110"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19)</w:t>
      </w:r>
      <w:r w:rsidR="00C45ED4" w:rsidRPr="00CB2133">
        <w:rPr>
          <w:szCs w:val="24"/>
          <w:lang w:eastAsia="en-US"/>
        </w:rPr>
        <w:tab/>
        <w:t>Settega seotud EQS.</w:t>
      </w:r>
    </w:p>
    <w:p w14:paraId="3C6546EA" w14:textId="4C478264"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20)</w:t>
      </w:r>
      <w:r w:rsidR="00C45ED4" w:rsidRPr="00CB2133">
        <w:rPr>
          <w:szCs w:val="24"/>
          <w:lang w:eastAsia="en-US"/>
        </w:rPr>
        <w:tab/>
        <w:t>Nende ainete jaoks MAC-EQSi kehtestamiseks ei ole piisavalt teavet.</w:t>
      </w:r>
    </w:p>
    <w:p w14:paraId="145E5015" w14:textId="6E621D47"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21)</w:t>
      </w:r>
      <w:r w:rsidR="00C45ED4" w:rsidRPr="00CB2133">
        <w:rPr>
          <w:szCs w:val="24"/>
          <w:lang w:eastAsia="en-US"/>
        </w:rPr>
        <w:tab/>
        <w:t>Peetakse silmas järgmisi ühendeid:</w:t>
      </w:r>
    </w:p>
    <w:p w14:paraId="0132FDA4" w14:textId="77777777" w:rsidR="00C45ED4" w:rsidRPr="00CB2133" w:rsidRDefault="00C45ED4" w:rsidP="00C45ED4">
      <w:pPr>
        <w:spacing w:before="120" w:after="120" w:line="360" w:lineRule="auto"/>
        <w:ind w:left="1416"/>
        <w:rPr>
          <w:szCs w:val="24"/>
          <w:lang w:eastAsia="en-US"/>
        </w:rPr>
      </w:pPr>
      <w:r w:rsidRPr="00CB2133">
        <w:rPr>
          <w:szCs w:val="24"/>
          <w:lang w:eastAsia="en-US"/>
        </w:rPr>
        <w:tab/>
        <w:t>7 polüklooritud dibenso-p-dioksiini (PCDDd): 2,3,7,8-T4CDD (CASi nr: 1746-01-6; ELi nr: 217-122-7), 1,2,3,7,8-P5CDD (CASi nr: 40321-76-4), 1,2,3,4,7,8-H6CDD (CASi nr: 39227-28-6), 1,2,3,6,7,8-H6CDD (CASi nr: 57653-85-7), 1,2,3,7,8,9-H6CDD (CASi nr: 19408-74-3), 1,2,3,4,6,7,8-H7CDD (CASi nr: 35822-46-9), 1,2,3,4,6,7,8,9-O8CDD (CASi nr: 3268-87-9);</w:t>
      </w:r>
    </w:p>
    <w:p w14:paraId="2FFA6094" w14:textId="77777777" w:rsidR="009B18F2" w:rsidRPr="00CB2133" w:rsidRDefault="009B18F2">
      <w:pPr>
        <w:widowControl/>
        <w:rPr>
          <w:szCs w:val="24"/>
          <w:lang w:eastAsia="en-US"/>
        </w:rPr>
      </w:pPr>
      <w:r w:rsidRPr="00CB2133">
        <w:rPr>
          <w:szCs w:val="24"/>
          <w:lang w:eastAsia="en-US"/>
        </w:rPr>
        <w:br w:type="page"/>
      </w:r>
    </w:p>
    <w:p w14:paraId="1C391F0C" w14:textId="450A1CA9" w:rsidR="00C45ED4" w:rsidRPr="00CB2133" w:rsidRDefault="00C45ED4" w:rsidP="00C45ED4">
      <w:pPr>
        <w:spacing w:before="120" w:after="120" w:line="360" w:lineRule="auto"/>
        <w:ind w:left="1416"/>
        <w:rPr>
          <w:szCs w:val="24"/>
          <w:lang w:eastAsia="en-US"/>
        </w:rPr>
      </w:pPr>
      <w:r w:rsidRPr="00CB2133">
        <w:rPr>
          <w:szCs w:val="24"/>
          <w:lang w:eastAsia="en-US"/>
        </w:rPr>
        <w:lastRenderedPageBreak/>
        <w:tab/>
        <w:t>10 polüklooritud dibensofuraani (PCDFd): 2,3,7,8-T4CDF (CASi nr: 51207-31-9), 1,2,3,7,8-P5CDF (CASi nr: 57117-41-6), 2,3,4,7,8-P5CDF (CASi nr: 57117-31-4), 1,2,3,4,7,8-H6CDF (CASi nr: 70648-26-9), 1,2,3,6,7,8-H6CDF (CASi nr: 57117-44-9), 1,2,3,7,8,9-H6CDF (CASi nr: 72918-21-9), 2,3,4,6,7,8-H6CDF (CASi nr: 60851-34-5), 1,2,3,4,6,7,8-H7CDF (CASi nr: 67562-39-4), 1,2,3,4,7,8,9-H7CDF (CASi nr: 55673-89-7), 1,2,3,4,6,7,8,9-O8CDF (CASi nr: 39001-02-0);</w:t>
      </w:r>
    </w:p>
    <w:p w14:paraId="5668D81D" w14:textId="77777777" w:rsidR="00C45ED4" w:rsidRPr="00CB2133" w:rsidRDefault="00C45ED4" w:rsidP="00C45ED4">
      <w:pPr>
        <w:spacing w:before="120" w:after="120" w:line="360" w:lineRule="auto"/>
        <w:ind w:left="1416"/>
        <w:rPr>
          <w:szCs w:val="24"/>
          <w:lang w:eastAsia="en-US"/>
        </w:rPr>
      </w:pPr>
      <w:r w:rsidRPr="00CB2133">
        <w:rPr>
          <w:szCs w:val="24"/>
          <w:lang w:eastAsia="en-US"/>
        </w:rPr>
        <w:tab/>
        <w:t>12 dioksiinilaadset polüklooritud bifenüüli (PCB-DLd): 3,3′,4,4′-T4CB (PCB 77, CASi nr: 32598-13-3), 3,3′,4′,5-T4CB (PCB 81, CASi nr: 70362-50-4), 2,3,3′,4,4′-P5CB (PCB 105, CASi nr: 32598-14-4), 2,3,4,4′,5-P5CB (PCB 114, CASi nr: 74472-37-0), 2,3′,4,4′,5-P5CB (PCB 118, CASi nr: 31508-00-6), 2,3′,4,4′,5′-P5CB (PCB 123, CASi nr: 65510-44-3), 3,3′,4,4′,5-P5CB (PCB 126, CASi nr: 57465-28-8), 2,3,3′,4,4′,5-H6CB (PCB 156, CASi nr: 38380-08-4), 2,3,3′,4,4′,5′-H6CB (PCB 157, CASi nr: 69782-90-7), 2,3′,4,4′,5,5′-H6CB (PCB 167, CASi nr: 52663-72-6), 3,3′,4,4′,5,5′-H6CB (PCB 169, CASi nr: 32774-16-6), 2,3,3′,4,4′,5,5′-H7CB (PCB 189, CASi nr: 39635-31-9).</w:t>
      </w:r>
    </w:p>
    <w:p w14:paraId="4BFE7245" w14:textId="77777777" w:rsidR="009B18F2" w:rsidRPr="00CB2133" w:rsidRDefault="009B18F2">
      <w:pPr>
        <w:widowControl/>
        <w:rPr>
          <w:szCs w:val="24"/>
          <w:lang w:eastAsia="en-US"/>
        </w:rPr>
      </w:pPr>
      <w:r w:rsidRPr="00CB2133">
        <w:rPr>
          <w:szCs w:val="24"/>
          <w:lang w:eastAsia="en-US"/>
        </w:rPr>
        <w:br w:type="page"/>
      </w:r>
    </w:p>
    <w:p w14:paraId="0F37C431" w14:textId="3B963E75"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22)</w:t>
      </w:r>
      <w:r w:rsidR="00C45ED4" w:rsidRPr="00CB2133">
        <w:rPr>
          <w:szCs w:val="24"/>
          <w:lang w:eastAsia="en-US"/>
        </w:rPr>
        <w:tab/>
        <w:t>Dioksiinide ja dioksiinilaadsete ühendite rühma (nr 37) puhul kohaldatakse elustikuga seotud EQSi joonealuses märkuses 20 loetletud ainete summaarse kontsentratsiooni suhtes, mis on väljendatud toksilisusekvivalentides lähtuvalt Maailma Terviseorganisatsiooni 2005. aasta mürgisuskordajatest.</w:t>
      </w:r>
    </w:p>
    <w:p w14:paraId="696E39F4" w14:textId="0DE6EE31"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23)</w:t>
      </w:r>
      <w:r w:rsidR="00C45ED4" w:rsidRPr="00CB2133">
        <w:rPr>
          <w:szCs w:val="24"/>
          <w:lang w:eastAsia="en-US"/>
        </w:rPr>
        <w:tab/>
        <w:t>CASi numbriga 52315-07-8 tähistatakse tsüpermetriini, α-tsüpermetriini (CASi nr: 67375-30-8; ELi nr: 257-842-9), β-tsüpermetriini (CASi nr: 65731-84-2; ELi nr: 265-898-0), θ-tsüpermetriini (CASi nr: 71691-59-1) ja ζ-tsüpermetriini (CASi nr: 52315-07-8; ELi nr: 257-842-9) isomeeride segu.</w:t>
      </w:r>
    </w:p>
    <w:p w14:paraId="44B241A6" w14:textId="6F4C7F8D"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24)</w:t>
      </w:r>
      <w:r w:rsidR="00C45ED4" w:rsidRPr="00CB2133">
        <w:rPr>
          <w:szCs w:val="24"/>
          <w:lang w:eastAsia="en-US"/>
        </w:rPr>
        <w:tab/>
        <w:t>Peetakse silmas järgmisi ühendeid: 1,3,5,7,9,11-heksabromotsüklododekaan (CASi nr :25637-99-4; ELi nr: 247-148-4), 1,2,5,6,9,10-heksabromotsüklododekaan (CASi nr: 3194-55-6; ELi nr: 221-695-9), α-heksabromotsüklododekaan (CASi nr: 134237-50-6), β-heksabromotsüklododekaan (CASi nr: 134237-51-7) ja γ-heksabromotsüklododekaan (CASi nr: 134237-52-8).</w:t>
      </w:r>
    </w:p>
    <w:p w14:paraId="058D4863" w14:textId="64C63570" w:rsidR="00C45ED4" w:rsidRPr="00CB2133" w:rsidRDefault="009B18F2" w:rsidP="00C45ED4">
      <w:pPr>
        <w:spacing w:before="120" w:after="120" w:line="360" w:lineRule="auto"/>
        <w:ind w:left="1416" w:hanging="566"/>
        <w:rPr>
          <w:szCs w:val="24"/>
          <w:lang w:eastAsia="en-US"/>
        </w:rPr>
      </w:pPr>
      <w:r w:rsidRPr="00CB2133">
        <w:rPr>
          <w:strike/>
          <w:szCs w:val="24"/>
          <w:vertAlign w:val="superscript"/>
          <w:lang w:eastAsia="en-US"/>
        </w:rPr>
        <w:t>(</w:t>
      </w:r>
      <w:r w:rsidR="00C45ED4" w:rsidRPr="00CB2133">
        <w:rPr>
          <w:strike/>
          <w:szCs w:val="24"/>
          <w:vertAlign w:val="superscript"/>
          <w:lang w:eastAsia="en-US"/>
        </w:rPr>
        <w:t>25)</w:t>
      </w:r>
      <w:r w:rsidR="00C45ED4" w:rsidRPr="00CB2133">
        <w:rPr>
          <w:szCs w:val="24"/>
          <w:lang w:eastAsia="en-US"/>
        </w:rPr>
        <w:tab/>
      </w:r>
      <w:r w:rsidR="00C45ED4" w:rsidRPr="00CB2133">
        <w:rPr>
          <w:strike/>
          <w:szCs w:val="24"/>
          <w:lang w:eastAsia="en-US"/>
        </w:rPr>
        <w:t>Joogivee võtmiseks ja valmistamiseks kasutatava magevee puhul.</w:t>
      </w:r>
    </w:p>
    <w:p w14:paraId="181EB198" w14:textId="22FCF536" w:rsidR="00C45ED4" w:rsidRPr="00CB2133" w:rsidRDefault="009B18F2" w:rsidP="00C45ED4">
      <w:pPr>
        <w:spacing w:before="120" w:after="120" w:line="360" w:lineRule="auto"/>
        <w:ind w:left="1416" w:hanging="566"/>
        <w:rPr>
          <w:szCs w:val="24"/>
          <w:lang w:eastAsia="en-US"/>
        </w:rPr>
      </w:pPr>
      <w:r w:rsidRPr="00CB2133">
        <w:rPr>
          <w:strike/>
          <w:szCs w:val="24"/>
          <w:vertAlign w:val="superscript"/>
          <w:lang w:eastAsia="en-US"/>
        </w:rPr>
        <w:t>(</w:t>
      </w:r>
      <w:r w:rsidR="00C45ED4" w:rsidRPr="00CB2133">
        <w:rPr>
          <w:strike/>
          <w:szCs w:val="24"/>
          <w:vertAlign w:val="superscript"/>
          <w:lang w:eastAsia="en-US"/>
        </w:rPr>
        <w:t>26)</w:t>
      </w:r>
      <w:r w:rsidR="00C45ED4" w:rsidRPr="00CB2133">
        <w:rPr>
          <w:szCs w:val="24"/>
          <w:lang w:eastAsia="en-US"/>
        </w:rPr>
        <w:tab/>
      </w:r>
      <w:r w:rsidR="00C45ED4" w:rsidRPr="00CB2133">
        <w:rPr>
          <w:strike/>
          <w:szCs w:val="24"/>
          <w:lang w:eastAsia="en-US"/>
        </w:rPr>
        <w:t>Magevee puhul, mida ei kasutata joogivee võtmiseks ega valmistamiseks.</w:t>
      </w:r>
    </w:p>
    <w:p w14:paraId="74B0BED7" w14:textId="77777777" w:rsidR="009B18F2" w:rsidRPr="00CB2133" w:rsidRDefault="009B18F2">
      <w:pPr>
        <w:widowControl/>
        <w:rPr>
          <w:szCs w:val="24"/>
          <w:lang w:eastAsia="en-US"/>
        </w:rPr>
      </w:pPr>
      <w:r w:rsidRPr="00CB2133">
        <w:rPr>
          <w:szCs w:val="24"/>
          <w:lang w:eastAsia="en-US"/>
        </w:rPr>
        <w:br w:type="page"/>
      </w:r>
    </w:p>
    <w:p w14:paraId="6C8FCD76" w14:textId="5D57E531"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27)</w:t>
      </w:r>
      <w:r w:rsidR="00C45ED4" w:rsidRPr="00CB2133">
        <w:rPr>
          <w:szCs w:val="24"/>
          <w:lang w:eastAsia="en-US"/>
        </w:rPr>
        <w:tab/>
        <w:t>Peetakse silmas järgmisi ühendeid, loetletuna koos ühendi CASi numbri, ELi numbri ja suhtelise potentsuse teguriga (RPF):</w:t>
      </w:r>
    </w:p>
    <w:p w14:paraId="63CA1F60" w14:textId="77777777" w:rsidR="00C45ED4" w:rsidRPr="00CB2133" w:rsidRDefault="00C45ED4" w:rsidP="00C45ED4">
      <w:pPr>
        <w:spacing w:before="120" w:after="120" w:line="360" w:lineRule="auto"/>
        <w:ind w:left="1416"/>
        <w:rPr>
          <w:szCs w:val="24"/>
          <w:lang w:eastAsia="en-US"/>
        </w:rPr>
      </w:pPr>
      <w:r w:rsidRPr="00CB2133">
        <w:rPr>
          <w:szCs w:val="24"/>
          <w:lang w:eastAsia="en-US"/>
        </w:rPr>
        <w:tab/>
        <w:t>perfluorooktaanhape (PFOA) (CASi nr: 335-67-1; ELi nr: 206-397-9) (RPF: 1), perfluorooktaansulfoonhape (PFOS) (CASi nr: 1763-23-1; ELi nr: 217-179-8) (RPF: 2), perfluoroheksaansulfoonhape (PFHxS) (CASi nr: 355-46-4; ELi nr: 206-587-1) (RPF: 0,6), perfluorononaanhape (PFNA) (CASi nr: 375-95-1; ELi nr: 206-801-3) (RPF: 10), perfluorobutaansulfoonhape (PFBS) (CASi nr: 375-73-5; ELi nr: 206-793-1) (RPF: 0,001), perfluoroheksaanhape (PFHxA) (CASi nr: 307-24-4; ELi nr: 206-196-6) (RPF: 0,01), perfluorobutaanhape (PFBA) (CASi nr: 375-22-4; ELi nr: 206-786-3) (RPF: 0,05), perfluoropentaanhape (PFPeA) (CASi nr: 2706-90-3; ELi nr: 220-300-7) (RPF: 0,03), perfluoropentaansulfoonhape (PFPeS) (CASi nr: 2706-91-4; ELi nr: 220-301-2) (RPF: 0,3005), perfluorodekaanhape (PFDA) (CASi nr: 335-76-2; ELi nr: 206-400-3) (RPF: 7), perfluorododekaanhape (PFDoDA või PFDoA) (CASi nr: 307-55-1; ELi nr: 206-203-2) (RPF: 3), perfluoroundekaanhape (PFUnDA või PFUnA) (CASi nr: 2058-94-8; ELi nr: 218-165-4) (RPF: 4), perfluoroheptaanhape (PFHpA) (CASi nr: 375-85-9; ELi nr: 206-798-9) (RPF: 0,505), perfluorotridekaanhape (PFTrDA) (CASi nr: 72629-94-8; ELi nr: 276-745-2) (RPF: 1,65), perfluoroheptaansulfoonhape (PFHpS) (CASi nr: 375-92-8; ELi nr: 206-800-8) (RPF: 1,3), perfluorodekaansulfoonhape (PFDS) (CASi nr: 335-77-3; ELi nr: 206-401-9) (RPF: 2), perfluorotetradekaanhape (PFTeDA) (CASi nr: 376-06-7; ELi nr: 206-803-4) (RPF: 0,3), perfluoroheksadekaanhape (PFHxDA) (CASi nr: 67905-19-5; ELi nr: 267-638-1) (RPF: 0,02), perfluorooktadekaanhape (PFODA) (CASi nr: 16517-11-6; ELi nr: 240-582-5) (RPF: 0,02), ammooniumperfluoro(2-metüül-3-oksaheksanaat) (HFPO-DA või Gen X) (CASi nr: 62037-80-3) (RPF: 0,06), ammoonium-2,2,3-trifluoro-3-(1,1,2,2,3,3-heksafluoro-3-(trifluorometoksü)propoksü)propanaat (ADONA) (CASi nr: 958445-44-8) (RPF: 0,03), 2- (perfluoroheksüül)etüülalkohol (6:2 FTOH) (CASi nr: 647-42-7; ELi nr: 211-477-1) (RPF: 0,02), 2-(perfluorooktüül)etanool (8:2 FTOH) (CASi nr: 678-39-7; ELi nr: 211-648-0) (RPF: 0,04) ja 2,2-difluoro-2-((2,2,4,5-tetrafluoro-5-(trifluorometoksü)-1,3-dioksolaan-4-üül)oksü)äädikhape (C6O4) (CASi nr: 1190931-41-9) (RPF: 0,06).</w:t>
      </w:r>
    </w:p>
    <w:p w14:paraId="7D7E1516" w14:textId="77777777" w:rsidR="009B18F2" w:rsidRPr="00CB2133" w:rsidRDefault="009B18F2">
      <w:pPr>
        <w:widowControl/>
        <w:rPr>
          <w:szCs w:val="24"/>
          <w:lang w:eastAsia="en-US"/>
        </w:rPr>
      </w:pPr>
      <w:r w:rsidRPr="00CB2133">
        <w:rPr>
          <w:szCs w:val="24"/>
          <w:lang w:eastAsia="en-US"/>
        </w:rPr>
        <w:br w:type="page"/>
      </w:r>
    </w:p>
    <w:p w14:paraId="5C229B49" w14:textId="470BBB74"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28)</w:t>
      </w:r>
      <w:r w:rsidR="00C45ED4" w:rsidRPr="00CB2133">
        <w:rPr>
          <w:szCs w:val="24"/>
          <w:lang w:eastAsia="en-US"/>
        </w:rPr>
        <w:tab/>
        <w:t>PFASide rühma (nr 65) puhul kohaldatakse EQSi joonealuses märkuses 27 loetletud 24 PFASi summaarse kontsentratsiooni suhtes, mis on väljendatud PFOA-ekvivalentides lähtuvalt asjaomaste ainete suhtelisest potentsusest võrdluses PFOAga, st lähtuvalt nende RPFst, mis on esitatud joonealuses märkuses 27.</w:t>
      </w:r>
    </w:p>
    <w:p w14:paraId="36AC3190" w14:textId="28233A44"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29)</w:t>
      </w:r>
      <w:r w:rsidR="00C45ED4" w:rsidRPr="00CB2133">
        <w:rPr>
          <w:szCs w:val="24"/>
          <w:lang w:eastAsia="en-US"/>
        </w:rPr>
        <w:tab/>
        <w:t>Mõistega „pestitsiidid“ tähistatakse määruse (EÜ) nr 1107/2009 artiklis 2 osutatud taimekaitsevahendeid ning määruse (EL) nr 528/2012 artiklis 3 määratletud biotsiide.</w:t>
      </w:r>
    </w:p>
    <w:p w14:paraId="2C28FCCB" w14:textId="6A7F1678" w:rsidR="00C45ED4" w:rsidRPr="00CB2133" w:rsidRDefault="009B18F2" w:rsidP="009B18F2">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30)</w:t>
      </w:r>
      <w:r w:rsidR="00C45ED4" w:rsidRPr="00CB2133">
        <w:rPr>
          <w:szCs w:val="24"/>
          <w:lang w:eastAsia="en-US"/>
        </w:rPr>
        <w:tab/>
        <w:t>„Kokku“ tähendab kõikide seire käigus tuvastatud ja kvantifitseeritud pestitsiidide, sealhulgas nende pestitsiidide oluliste metaboliitide ning lagunemis- ja reaktsioonisaaduste summaarset kontsentratsiooni.“</w:t>
      </w:r>
    </w:p>
    <w:p w14:paraId="53F70871" w14:textId="77777777" w:rsidR="009B18F2" w:rsidRPr="00CB2133" w:rsidRDefault="009B18F2">
      <w:pPr>
        <w:widowControl/>
        <w:rPr>
          <w:szCs w:val="24"/>
          <w:lang w:eastAsia="en-US"/>
        </w:rPr>
      </w:pPr>
      <w:r w:rsidRPr="00CB2133">
        <w:rPr>
          <w:szCs w:val="24"/>
          <w:lang w:eastAsia="en-US"/>
        </w:rPr>
        <w:br w:type="page"/>
      </w:r>
    </w:p>
    <w:p w14:paraId="3B76CBE4" w14:textId="5CA8D4C2" w:rsidR="00C45ED4" w:rsidRPr="00CB2133" w:rsidRDefault="00C45ED4" w:rsidP="00C45ED4">
      <w:pPr>
        <w:spacing w:before="120" w:after="120" w:line="360" w:lineRule="auto"/>
        <w:ind w:left="850" w:hanging="850"/>
        <w:rPr>
          <w:szCs w:val="24"/>
          <w:lang w:eastAsia="en-US"/>
        </w:rPr>
      </w:pPr>
      <w:r w:rsidRPr="00CB2133">
        <w:rPr>
          <w:szCs w:val="24"/>
          <w:lang w:eastAsia="en-US"/>
        </w:rPr>
        <w:lastRenderedPageBreak/>
        <w:t>3)</w:t>
      </w:r>
      <w:r w:rsidRPr="00CB2133">
        <w:rPr>
          <w:szCs w:val="24"/>
          <w:lang w:eastAsia="en-US"/>
        </w:rPr>
        <w:tab/>
        <w:t>B osa muudetakse järgmiselt:</w:t>
      </w:r>
    </w:p>
    <w:p w14:paraId="5778C2FE"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punkti 1 esimene lõik asendatakse järgmisega:</w:t>
      </w:r>
    </w:p>
    <w:p w14:paraId="4EDD69F5" w14:textId="77777777" w:rsidR="00C45ED4" w:rsidRPr="00CB2133" w:rsidRDefault="00C45ED4" w:rsidP="00C45ED4">
      <w:pPr>
        <w:spacing w:before="120" w:after="120" w:line="360" w:lineRule="auto"/>
        <w:ind w:left="1416"/>
        <w:rPr>
          <w:szCs w:val="24"/>
          <w:lang w:eastAsia="en-US"/>
        </w:rPr>
      </w:pPr>
      <w:r w:rsidRPr="00CB2133">
        <w:rPr>
          <w:szCs w:val="24"/>
          <w:lang w:eastAsia="en-US"/>
        </w:rPr>
        <w:t>„Mis tahes konkreetse pinnaveekogu puhul tähendab aasta keskmise väärtusena väljendatud keskkonnakvaliteedi standardi (AA-EQS) kohaldamine seda, et veekogu üheski representatiivses seirepunktis ei tohi aasta jooksul eri aegadel mõõdetud kontsentratsioonide aritmeetiline keskmine ületada standardi väärtust.;“</w:t>
      </w:r>
    </w:p>
    <w:p w14:paraId="1F36B41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punkti 2 esimene lõik asendatakse järgmisega:</w:t>
      </w:r>
    </w:p>
    <w:p w14:paraId="10A8D41E" w14:textId="77777777" w:rsidR="00C45ED4" w:rsidRPr="00CB2133" w:rsidRDefault="00C45ED4" w:rsidP="00C45ED4">
      <w:pPr>
        <w:spacing w:before="120" w:after="120" w:line="360" w:lineRule="auto"/>
        <w:ind w:left="1416"/>
        <w:rPr>
          <w:szCs w:val="24"/>
          <w:lang w:eastAsia="en-US"/>
        </w:rPr>
      </w:pPr>
      <w:r w:rsidRPr="00CB2133">
        <w:rPr>
          <w:szCs w:val="24"/>
          <w:lang w:eastAsia="en-US"/>
        </w:rPr>
        <w:t>„Mis tahes konkreetse pinnaveekogu puhul tähendab suurima lubatud kontsentratsioonina väljendatud keskkonnakvaliteedi standardi (MAC-EQS) kohaldamine seda, et veekogu üheski representatiivses seirepunktis ei tohi mõõdetud kontsentratsioon ületada standardi väärtust.“</w:t>
      </w:r>
    </w:p>
    <w:p w14:paraId="37DE47FC" w14:textId="77777777" w:rsidR="00C45ED4" w:rsidRPr="00CB2133" w:rsidRDefault="00C45ED4" w:rsidP="00C45ED4">
      <w:pPr>
        <w:spacing w:before="120" w:after="120" w:line="360" w:lineRule="auto"/>
        <w:rPr>
          <w:szCs w:val="24"/>
          <w:lang w:eastAsia="en-US"/>
        </w:rPr>
        <w:sectPr w:rsidR="00C45ED4" w:rsidRPr="00CB2133" w:rsidSect="00F503C2">
          <w:footnotePr>
            <w:numRestart w:val="eachSect"/>
          </w:footnotePr>
          <w:endnotePr>
            <w:numFmt w:val="decimal"/>
          </w:endnotePr>
          <w:pgSz w:w="11909" w:h="16834"/>
          <w:pgMar w:top="1134" w:right="1417" w:bottom="1417" w:left="1134" w:header="1134" w:footer="567" w:gutter="0"/>
          <w:cols w:space="720"/>
          <w:docGrid w:linePitch="326"/>
        </w:sectPr>
      </w:pPr>
    </w:p>
    <w:p w14:paraId="657C5427" w14:textId="77777777" w:rsidR="00C45ED4" w:rsidRPr="00CB2133" w:rsidRDefault="00C45ED4" w:rsidP="00C45ED4">
      <w:pPr>
        <w:spacing w:before="120" w:after="120" w:line="360" w:lineRule="auto"/>
        <w:jc w:val="center"/>
        <w:rPr>
          <w:lang w:eastAsia="en-US"/>
        </w:rPr>
      </w:pPr>
      <w:r w:rsidRPr="00CB2133">
        <w:rPr>
          <w:lang w:eastAsia="en-US"/>
        </w:rPr>
        <w:lastRenderedPageBreak/>
        <w:t>VI LISA</w:t>
      </w:r>
    </w:p>
    <w:p w14:paraId="6DB5528D" w14:textId="77777777" w:rsidR="00C45ED4" w:rsidRPr="00CB2133" w:rsidRDefault="00C45ED4" w:rsidP="00C45ED4">
      <w:pPr>
        <w:spacing w:before="120" w:after="120" w:line="360" w:lineRule="auto"/>
        <w:ind w:left="850"/>
        <w:rPr>
          <w:szCs w:val="24"/>
          <w:lang w:eastAsia="en-US"/>
        </w:rPr>
      </w:pPr>
      <w:r w:rsidRPr="00CB2133">
        <w:rPr>
          <w:szCs w:val="24"/>
          <w:lang w:eastAsia="en-US"/>
        </w:rPr>
        <w:t>„II LISA</w:t>
      </w:r>
    </w:p>
    <w:p w14:paraId="602CEB20" w14:textId="77777777" w:rsidR="00C45ED4" w:rsidRPr="00CB2133" w:rsidRDefault="00C45ED4" w:rsidP="00C45ED4">
      <w:pPr>
        <w:spacing w:before="120" w:after="120" w:line="360" w:lineRule="auto"/>
        <w:ind w:left="850"/>
        <w:rPr>
          <w:szCs w:val="24"/>
          <w:lang w:eastAsia="en-US"/>
        </w:rPr>
      </w:pPr>
      <w:r w:rsidRPr="00CB2133">
        <w:rPr>
          <w:szCs w:val="24"/>
          <w:lang w:eastAsia="en-US"/>
        </w:rPr>
        <w:t>KESKKONNAKVALITEEDI STANDARDID VESIKONNASPETSIIFILISTE SAASTEAINETE JAOKS</w:t>
      </w:r>
    </w:p>
    <w:p w14:paraId="364506DD" w14:textId="77777777" w:rsidR="00C45ED4" w:rsidRPr="00CB2133" w:rsidRDefault="00C45ED4" w:rsidP="00C45ED4">
      <w:pPr>
        <w:spacing w:before="120" w:after="120" w:line="360" w:lineRule="auto"/>
        <w:ind w:left="850"/>
        <w:rPr>
          <w:szCs w:val="24"/>
          <w:lang w:eastAsia="en-US"/>
        </w:rPr>
      </w:pPr>
      <w:r w:rsidRPr="00CB2133">
        <w:rPr>
          <w:szCs w:val="24"/>
          <w:lang w:eastAsia="en-US"/>
        </w:rPr>
        <w:t xml:space="preserve">A OSA: VESIKONNASPETSIIFILISTE SAASTEAINETE KATEGOORIATE LOETELU </w:t>
      </w:r>
    </w:p>
    <w:p w14:paraId="112516C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w:t>
      </w:r>
      <w:r w:rsidRPr="00CB2133">
        <w:rPr>
          <w:szCs w:val="24"/>
          <w:lang w:eastAsia="en-US"/>
        </w:rPr>
        <w:tab/>
        <w:t>Halogeenorgaanilised ühendid ja ained, mis võivad veekeskkonnas selliseid ühendeid moodustada.</w:t>
      </w:r>
    </w:p>
    <w:p w14:paraId="56E725CF"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2.</w:t>
      </w:r>
      <w:r w:rsidRPr="00CB2133">
        <w:rPr>
          <w:szCs w:val="24"/>
          <w:lang w:eastAsia="en-US"/>
        </w:rPr>
        <w:tab/>
        <w:t>Fosfororgaanilised ühendid.</w:t>
      </w:r>
    </w:p>
    <w:p w14:paraId="7CA25069"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3.</w:t>
      </w:r>
      <w:r w:rsidRPr="00CB2133">
        <w:rPr>
          <w:szCs w:val="24"/>
          <w:lang w:eastAsia="en-US"/>
        </w:rPr>
        <w:tab/>
        <w:t>Tinaorgaanilised ühendid.</w:t>
      </w:r>
    </w:p>
    <w:p w14:paraId="79F3C0A8"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4.</w:t>
      </w:r>
      <w:r w:rsidRPr="00CB2133">
        <w:rPr>
          <w:szCs w:val="24"/>
          <w:lang w:eastAsia="en-US"/>
        </w:rPr>
        <w:tab/>
        <w:t>Ained ja valmistised või nende lagunemissaadused, millel on tõendatult kantserogeensed või mutageensed omadused või omadused, mis võivad veekeskkonnas või veekeskkonna kaudu mõjutada steroidogeneesi, kilpnäärme talitlust, sigimist või muid sisesekretsiooniga seotud funktsioone.</w:t>
      </w:r>
    </w:p>
    <w:p w14:paraId="6A2213DD" w14:textId="77777777" w:rsidR="009B18F2" w:rsidRPr="00CB2133" w:rsidRDefault="009B18F2">
      <w:pPr>
        <w:widowControl/>
        <w:rPr>
          <w:szCs w:val="24"/>
          <w:lang w:eastAsia="en-US"/>
        </w:rPr>
      </w:pPr>
      <w:r w:rsidRPr="00CB2133">
        <w:rPr>
          <w:szCs w:val="24"/>
          <w:lang w:eastAsia="en-US"/>
        </w:rPr>
        <w:br w:type="page"/>
      </w:r>
    </w:p>
    <w:p w14:paraId="1732D842" w14:textId="288DFCA5"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5.</w:t>
      </w:r>
      <w:r w:rsidRPr="00CB2133">
        <w:rPr>
          <w:szCs w:val="24"/>
          <w:lang w:eastAsia="en-US"/>
        </w:rPr>
        <w:tab/>
        <w:t>Püsivad süsivesinikud ja püsivad bioakumuleeruvad toksilised orgaanilised ained.</w:t>
      </w:r>
    </w:p>
    <w:p w14:paraId="149F0CC2"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6.</w:t>
      </w:r>
      <w:r w:rsidRPr="00CB2133">
        <w:rPr>
          <w:szCs w:val="24"/>
          <w:lang w:eastAsia="en-US"/>
        </w:rPr>
        <w:tab/>
        <w:t>Tsüaniidid.</w:t>
      </w:r>
    </w:p>
    <w:p w14:paraId="34B92B78"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7.</w:t>
      </w:r>
      <w:r w:rsidRPr="00CB2133">
        <w:rPr>
          <w:szCs w:val="24"/>
          <w:lang w:eastAsia="en-US"/>
        </w:rPr>
        <w:tab/>
        <w:t>Metallid ja nende ühendid.</w:t>
      </w:r>
    </w:p>
    <w:p w14:paraId="3EC56EE3"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8.</w:t>
      </w:r>
      <w:r w:rsidRPr="00CB2133">
        <w:rPr>
          <w:szCs w:val="24"/>
          <w:lang w:eastAsia="en-US"/>
        </w:rPr>
        <w:tab/>
        <w:t>Arseen ja selle ühendid.</w:t>
      </w:r>
    </w:p>
    <w:p w14:paraId="373BE19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9.</w:t>
      </w:r>
      <w:r w:rsidRPr="00CB2133">
        <w:rPr>
          <w:szCs w:val="24"/>
          <w:lang w:eastAsia="en-US"/>
        </w:rPr>
        <w:tab/>
        <w:t>Biotsiidid ja taimekaitsevahendid.</w:t>
      </w:r>
    </w:p>
    <w:p w14:paraId="0F494F1F" w14:textId="7D10816C" w:rsidR="00C45ED4" w:rsidRPr="00CB2133" w:rsidRDefault="00C45ED4" w:rsidP="00C45ED4">
      <w:pPr>
        <w:spacing w:before="120" w:after="120" w:line="360" w:lineRule="auto"/>
        <w:ind w:left="1416" w:hanging="566"/>
        <w:rPr>
          <w:b/>
          <w:szCs w:val="24"/>
          <w:lang w:eastAsia="en-US"/>
        </w:rPr>
      </w:pPr>
      <w:r w:rsidRPr="00CB2133">
        <w:rPr>
          <w:szCs w:val="24"/>
          <w:lang w:eastAsia="en-US"/>
        </w:rPr>
        <w:t>10.</w:t>
      </w:r>
      <w:r w:rsidRPr="00CB2133">
        <w:rPr>
          <w:szCs w:val="24"/>
          <w:lang w:eastAsia="en-US"/>
        </w:rPr>
        <w:tab/>
        <w:t>Heljum, sealhulgas mikro-/nanoplast</w:t>
      </w:r>
      <w:r w:rsidRPr="00CB2133">
        <w:rPr>
          <w:b/>
          <w:i/>
          <w:szCs w:val="24"/>
          <w:lang w:eastAsia="en-US"/>
        </w:rPr>
        <w:t>, ning materjalid, mis teadaolevalt tekitavad mikro-/nanoplasti</w:t>
      </w:r>
      <w:r w:rsidRPr="00CB2133">
        <w:rPr>
          <w:szCs w:val="24"/>
          <w:lang w:eastAsia="en-US"/>
        </w:rPr>
        <w:t>.</w:t>
      </w:r>
      <w:r w:rsidR="00BE4FBE" w:rsidRPr="00CB2133">
        <w:rPr>
          <w:b/>
          <w:szCs w:val="24"/>
          <w:lang w:eastAsia="en-US"/>
        </w:rPr>
        <w:t xml:space="preserve"> [ME 155]</w:t>
      </w:r>
    </w:p>
    <w:p w14:paraId="0A6D0AC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11.</w:t>
      </w:r>
      <w:r w:rsidRPr="00CB2133">
        <w:rPr>
          <w:szCs w:val="24"/>
          <w:lang w:eastAsia="en-US"/>
        </w:rPr>
        <w:tab/>
        <w:t>Eutrofeerumist soodustavad ained (eelkõige nitraadid ja fosfaadid).</w:t>
      </w:r>
    </w:p>
    <w:p w14:paraId="1442C504"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12.</w:t>
      </w:r>
      <w:r w:rsidRPr="00CB2133">
        <w:rPr>
          <w:szCs w:val="24"/>
          <w:lang w:eastAsia="en-US"/>
        </w:rPr>
        <w:tab/>
        <w:t>Ained, millel on ebasoodne mõju hapnikubilansile ja mille sisaldust saab mõõta selliste näitajate kaudu nagu bioloogiline hapnikutarve (BHT), keemiline hapnikutarve (KHT) vms.</w:t>
      </w:r>
    </w:p>
    <w:p w14:paraId="7C926449" w14:textId="77777777" w:rsidR="009B18F2" w:rsidRPr="00CB2133" w:rsidRDefault="009B18F2">
      <w:pPr>
        <w:widowControl/>
        <w:rPr>
          <w:szCs w:val="24"/>
          <w:lang w:eastAsia="en-US"/>
        </w:rPr>
      </w:pPr>
      <w:r w:rsidRPr="00CB2133">
        <w:rPr>
          <w:szCs w:val="24"/>
          <w:lang w:eastAsia="en-US"/>
        </w:rPr>
        <w:br w:type="page"/>
      </w:r>
    </w:p>
    <w:p w14:paraId="608CECB0" w14:textId="386101E4"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13.</w:t>
      </w:r>
      <w:r w:rsidRPr="00CB2133">
        <w:rPr>
          <w:szCs w:val="24"/>
          <w:lang w:eastAsia="en-US"/>
        </w:rPr>
        <w:tab/>
        <w:t>Mikroobivastaste ainete suhtes resistentsete mikroorganismide, eelkõige inimestele või kariloomadele patogeensete mikroorganismide esinemisele viitavad mikroorganismid, geenid või geneetiline materjal.</w:t>
      </w:r>
    </w:p>
    <w:p w14:paraId="19610BA9" w14:textId="77777777" w:rsidR="00C45ED4" w:rsidRPr="00CB2133" w:rsidRDefault="00C45ED4" w:rsidP="00C45ED4">
      <w:pPr>
        <w:spacing w:before="120" w:after="120" w:line="360" w:lineRule="auto"/>
        <w:ind w:left="850"/>
        <w:rPr>
          <w:szCs w:val="24"/>
          <w:lang w:eastAsia="en-US"/>
        </w:rPr>
      </w:pPr>
      <w:r w:rsidRPr="00CB2133">
        <w:rPr>
          <w:szCs w:val="24"/>
          <w:lang w:eastAsia="en-US"/>
        </w:rPr>
        <w:t>B OSA: KESKKONNAKVALITEEDI STANDARDITE TULETAMINE VESIKONNASPETSIIFILISTE SAASTEAINETE JAOKS</w:t>
      </w:r>
    </w:p>
    <w:p w14:paraId="3B08FF34" w14:textId="77777777" w:rsidR="00C45ED4" w:rsidRPr="00CB2133" w:rsidRDefault="00C45ED4" w:rsidP="00C45ED4">
      <w:pPr>
        <w:spacing w:before="120" w:after="120" w:line="360" w:lineRule="auto"/>
        <w:ind w:left="850"/>
        <w:rPr>
          <w:szCs w:val="24"/>
          <w:lang w:eastAsia="en-US"/>
        </w:rPr>
      </w:pPr>
      <w:r w:rsidRPr="00CB2133">
        <w:rPr>
          <w:szCs w:val="24"/>
          <w:lang w:eastAsia="en-US"/>
        </w:rPr>
        <w:t>Meetodid, mida kasutatakse vesikonnaspetsiifiliste saasteainete jaoks keskkonnakvaliteedi standardite (EQS) kehtestamiseks, peavad hõlmama järgmisi etappe:</w:t>
      </w:r>
    </w:p>
    <w:p w14:paraId="63333931"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a)</w:t>
      </w:r>
      <w:r w:rsidRPr="00CB2133">
        <w:rPr>
          <w:szCs w:val="24"/>
          <w:lang w:eastAsia="en-US"/>
        </w:rPr>
        <w:tab/>
        <w:t>asjaomasest probleemsest ainest ohustatud vastuvõtjate ja keskkonnaosade või maatriksite kindlakstegemine;</w:t>
      </w:r>
    </w:p>
    <w:p w14:paraId="3F25FBB2"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b)</w:t>
      </w:r>
      <w:r w:rsidRPr="00CB2133">
        <w:rPr>
          <w:szCs w:val="24"/>
          <w:lang w:eastAsia="en-US"/>
        </w:rPr>
        <w:tab/>
        <w:t>asjaomase probleemse aine omaduste, sealhulgas selle (öko)toksilisuse kohta andmete kogumine ja nende kvaliteedi hindamine, eelkõige lähtuvalt labori-, mesokosmi- ja väliuuringute aruannetest, kus on käsitletud nii kroonilist kui ka ägedat mõju mageveekeskkonnas ja ka soolases vees;</w:t>
      </w:r>
    </w:p>
    <w:p w14:paraId="0013F563" w14:textId="77777777" w:rsidR="009B18F2" w:rsidRPr="00CB2133" w:rsidRDefault="009B18F2">
      <w:pPr>
        <w:widowControl/>
        <w:rPr>
          <w:szCs w:val="24"/>
          <w:lang w:eastAsia="en-US"/>
        </w:rPr>
      </w:pPr>
      <w:r w:rsidRPr="00CB2133">
        <w:rPr>
          <w:szCs w:val="24"/>
          <w:lang w:eastAsia="en-US"/>
        </w:rPr>
        <w:br w:type="page"/>
      </w:r>
    </w:p>
    <w:p w14:paraId="2F35AEE9" w14:textId="171E4A45" w:rsidR="00C45ED4" w:rsidRPr="00CB2133" w:rsidRDefault="00C45ED4" w:rsidP="00C45ED4">
      <w:pPr>
        <w:spacing w:before="120" w:after="120" w:line="360" w:lineRule="auto"/>
        <w:ind w:left="1416" w:hanging="566"/>
        <w:rPr>
          <w:szCs w:val="24"/>
          <w:lang w:eastAsia="en-US"/>
        </w:rPr>
      </w:pPr>
      <w:r w:rsidRPr="00CB2133">
        <w:rPr>
          <w:szCs w:val="24"/>
          <w:lang w:eastAsia="en-US"/>
        </w:rPr>
        <w:lastRenderedPageBreak/>
        <w:t>c)</w:t>
      </w:r>
      <w:r w:rsidRPr="00CB2133">
        <w:rPr>
          <w:szCs w:val="24"/>
          <w:lang w:eastAsia="en-US"/>
        </w:rPr>
        <w:tab/>
        <w:t>(öko)toksilisuse andmete ekstrapoleerimine toime puudumise kontsentratsioonini või muu samalaadse kontsentratsioonini deterministlike või tõenäosuslike meetodite abil ning sobivate hindamistegurite valimine ja rakendamine määramatuse vähendamiseks ja EQSi tuletamiseks;</w:t>
      </w:r>
    </w:p>
    <w:p w14:paraId="3983F2EB" w14:textId="77777777" w:rsidR="00C45ED4" w:rsidRPr="00CB2133" w:rsidRDefault="00C45ED4" w:rsidP="00C45ED4">
      <w:pPr>
        <w:spacing w:before="120" w:after="120" w:line="360" w:lineRule="auto"/>
        <w:ind w:left="1416" w:hanging="566"/>
        <w:rPr>
          <w:szCs w:val="24"/>
          <w:lang w:eastAsia="en-US"/>
        </w:rPr>
      </w:pPr>
      <w:r w:rsidRPr="00CB2133">
        <w:rPr>
          <w:szCs w:val="24"/>
          <w:lang w:eastAsia="en-US"/>
        </w:rPr>
        <w:t>d)</w:t>
      </w:r>
      <w:r w:rsidRPr="00CB2133">
        <w:rPr>
          <w:szCs w:val="24"/>
          <w:lang w:eastAsia="en-US"/>
        </w:rPr>
        <w:tab/>
        <w:t>EQSi väärtuste võrdlemine eri vastuvõtjate ja keskkonnaosade lõikes ning kriitilise tähtsusega EQSi, st kõige tundlikumale vastuvõtjale kõige asjakohasemas keskkonnaosas või maatriksis kaitset pakkuva EQSi valimine.</w:t>
      </w:r>
    </w:p>
    <w:p w14:paraId="160AE5C9" w14:textId="75CE0B74" w:rsidR="00C45ED4" w:rsidRPr="00CB2133" w:rsidRDefault="00C45ED4" w:rsidP="00C45ED4">
      <w:pPr>
        <w:spacing w:before="120" w:after="120" w:line="360" w:lineRule="auto"/>
        <w:ind w:left="1416" w:hanging="566"/>
        <w:rPr>
          <w:b/>
          <w:szCs w:val="24"/>
          <w:lang w:eastAsia="en-US"/>
        </w:rPr>
      </w:pPr>
      <w:r w:rsidRPr="00CB2133">
        <w:rPr>
          <w:b/>
          <w:i/>
          <w:szCs w:val="24"/>
          <w:lang w:eastAsia="en-US"/>
        </w:rPr>
        <w:t>da)</w:t>
      </w:r>
      <w:r w:rsidRPr="00CB2133">
        <w:rPr>
          <w:szCs w:val="24"/>
          <w:lang w:eastAsia="en-US"/>
        </w:rPr>
        <w:tab/>
      </w:r>
      <w:r w:rsidRPr="00CB2133">
        <w:rPr>
          <w:b/>
          <w:i/>
          <w:szCs w:val="24"/>
          <w:lang w:eastAsia="en-US"/>
        </w:rPr>
        <w:t>metallide kohta keskkonnakvaliteedi standardite kehtestamisel võetakse biosaadavuse mudelite puhul arvesse mitmesuguseid veekvaliteedi parameetreid, mis metallide biosaadavust mõjutavad.</w:t>
      </w:r>
      <w:r w:rsidR="00BE4FBE" w:rsidRPr="00CB2133">
        <w:rPr>
          <w:b/>
          <w:szCs w:val="24"/>
          <w:lang w:eastAsia="en-US"/>
        </w:rPr>
        <w:t xml:space="preserve"> [ME 156]</w:t>
      </w:r>
    </w:p>
    <w:p w14:paraId="2245B41D" w14:textId="77777777" w:rsidR="009B18F2" w:rsidRPr="00CB2133" w:rsidRDefault="009B18F2">
      <w:pPr>
        <w:widowControl/>
        <w:rPr>
          <w:szCs w:val="24"/>
          <w:lang w:eastAsia="en-US"/>
        </w:rPr>
      </w:pPr>
      <w:r w:rsidRPr="00CB2133">
        <w:rPr>
          <w:szCs w:val="24"/>
          <w:lang w:eastAsia="en-US"/>
        </w:rPr>
        <w:br w:type="page"/>
      </w:r>
    </w:p>
    <w:p w14:paraId="60076F05" w14:textId="77777777" w:rsidR="0097022D" w:rsidRPr="00CB2133" w:rsidRDefault="0097022D" w:rsidP="00C45ED4">
      <w:pPr>
        <w:spacing w:before="120" w:after="120" w:line="360" w:lineRule="auto"/>
        <w:ind w:left="850"/>
        <w:rPr>
          <w:szCs w:val="24"/>
          <w:lang w:eastAsia="en-US"/>
        </w:rPr>
        <w:sectPr w:rsidR="0097022D" w:rsidRPr="00CB2133" w:rsidSect="0097022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type w:val="continuous"/>
          <w:pgSz w:w="11906" w:h="16838" w:code="9"/>
          <w:pgMar w:top="1134" w:right="1418" w:bottom="1418" w:left="1134" w:header="1134" w:footer="567" w:gutter="0"/>
          <w:cols w:space="720"/>
          <w:noEndnote/>
          <w:docGrid w:linePitch="326"/>
        </w:sectPr>
      </w:pPr>
    </w:p>
    <w:p w14:paraId="3B1DFD47" w14:textId="68DF77E5" w:rsidR="00C45ED4" w:rsidRPr="00CB2133" w:rsidRDefault="00C45ED4" w:rsidP="00C45ED4">
      <w:pPr>
        <w:spacing w:before="120" w:after="120" w:line="360" w:lineRule="auto"/>
        <w:ind w:left="850"/>
        <w:rPr>
          <w:szCs w:val="24"/>
          <w:lang w:eastAsia="en-US"/>
        </w:rPr>
      </w:pPr>
      <w:r w:rsidRPr="00CB2133">
        <w:rPr>
          <w:szCs w:val="24"/>
          <w:lang w:eastAsia="en-US"/>
        </w:rPr>
        <w:lastRenderedPageBreak/>
        <w:t>C OSA: VESIKONNASPETSIIFILISTE SAASTEAINETEGA SEOTUD ÜHTLUSTATUD KESKKONNAKVALITEEDI STANDARDITE ANDMEKOGU</w:t>
      </w:r>
    </w:p>
    <w:p w14:paraId="2AF13409" w14:textId="77777777" w:rsidR="0097022D" w:rsidRPr="00CB2133" w:rsidRDefault="0097022D" w:rsidP="00C45ED4">
      <w:pPr>
        <w:widowControl/>
        <w:spacing w:before="120" w:after="120"/>
        <w:jc w:val="both"/>
        <w:rPr>
          <w:noProof/>
          <w:szCs w:val="24"/>
        </w:rPr>
        <w:sectPr w:rsidR="0097022D" w:rsidRPr="00CB2133" w:rsidSect="00D30CC0">
          <w:footnotePr>
            <w:numRestart w:val="eachSect"/>
          </w:footnotePr>
          <w:endnotePr>
            <w:numFmt w:val="decimal"/>
          </w:endnotePr>
          <w:pgSz w:w="16838" w:h="11906" w:orient="landscape" w:code="9"/>
          <w:pgMar w:top="1134" w:right="1134" w:bottom="1418" w:left="1418" w:header="1134" w:footer="567" w:gutter="0"/>
          <w:cols w:space="720"/>
          <w:noEndnote/>
          <w:docGrid w:linePitch="326"/>
        </w:sectPr>
      </w:pPr>
    </w:p>
    <w:tbl>
      <w:tblPr>
        <w:tblStyle w:val="TableGrid6"/>
        <w:tblW w:w="14312" w:type="dxa"/>
        <w:tblLayout w:type="fixed"/>
        <w:tblLook w:val="04A0" w:firstRow="1" w:lastRow="0" w:firstColumn="1" w:lastColumn="0" w:noHBand="0" w:noVBand="1"/>
      </w:tblPr>
      <w:tblGrid>
        <w:gridCol w:w="846"/>
        <w:gridCol w:w="1276"/>
        <w:gridCol w:w="1417"/>
        <w:gridCol w:w="1276"/>
        <w:gridCol w:w="1276"/>
        <w:gridCol w:w="1559"/>
        <w:gridCol w:w="1417"/>
        <w:gridCol w:w="1560"/>
        <w:gridCol w:w="1701"/>
        <w:gridCol w:w="1984"/>
      </w:tblGrid>
      <w:tr w:rsidR="00D30CC0" w:rsidRPr="00CB2133" w14:paraId="436A7453" w14:textId="77777777" w:rsidTr="00D30CC0">
        <w:tc>
          <w:tcPr>
            <w:tcW w:w="846" w:type="dxa"/>
          </w:tcPr>
          <w:p w14:paraId="088A5B8C" w14:textId="183B0310"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Kande nr</w:t>
            </w:r>
          </w:p>
        </w:tc>
        <w:tc>
          <w:tcPr>
            <w:tcW w:w="1276" w:type="dxa"/>
          </w:tcPr>
          <w:p w14:paraId="3EE6B9AA" w14:textId="77777777" w:rsidR="00D30CC0" w:rsidRPr="00CB2133" w:rsidRDefault="00D30CC0" w:rsidP="00C45ED4">
            <w:pPr>
              <w:widowControl/>
              <w:spacing w:before="120" w:after="120"/>
              <w:rPr>
                <w:rFonts w:ascii="Times New Roman" w:hAnsi="Times New Roman"/>
                <w:noProof/>
                <w:szCs w:val="24"/>
              </w:rPr>
            </w:pPr>
            <w:r w:rsidRPr="00CB2133">
              <w:rPr>
                <w:rFonts w:ascii="Times New Roman" w:hAnsi="Times New Roman"/>
                <w:noProof/>
                <w:szCs w:val="24"/>
              </w:rPr>
              <w:t>Aine nimetus</w:t>
            </w:r>
          </w:p>
        </w:tc>
        <w:tc>
          <w:tcPr>
            <w:tcW w:w="1417" w:type="dxa"/>
          </w:tcPr>
          <w:p w14:paraId="346D8441"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Ainekategooria</w:t>
            </w:r>
          </w:p>
        </w:tc>
        <w:tc>
          <w:tcPr>
            <w:tcW w:w="1276" w:type="dxa"/>
          </w:tcPr>
          <w:p w14:paraId="68776EC1"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CASi number</w:t>
            </w:r>
            <w:r w:rsidRPr="00CB2133">
              <w:rPr>
                <w:rFonts w:ascii="Times New Roman" w:hAnsi="Times New Roman"/>
                <w:noProof/>
                <w:szCs w:val="24"/>
                <w:vertAlign w:val="superscript"/>
              </w:rPr>
              <w:t>(1)</w:t>
            </w:r>
          </w:p>
        </w:tc>
        <w:tc>
          <w:tcPr>
            <w:tcW w:w="1276" w:type="dxa"/>
          </w:tcPr>
          <w:p w14:paraId="48E0C458" w14:textId="77777777"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ELi number</w:t>
            </w:r>
            <w:r w:rsidRPr="00CB2133">
              <w:rPr>
                <w:rFonts w:ascii="Times New Roman" w:hAnsi="Times New Roman"/>
                <w:noProof/>
                <w:szCs w:val="24"/>
                <w:vertAlign w:val="superscript"/>
              </w:rPr>
              <w:t>(2)</w:t>
            </w:r>
          </w:p>
        </w:tc>
        <w:tc>
          <w:tcPr>
            <w:tcW w:w="1559" w:type="dxa"/>
          </w:tcPr>
          <w:p w14:paraId="71D942D3" w14:textId="484D700E"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AA-EQS</w:t>
            </w:r>
            <w:r w:rsidRPr="00CB2133">
              <w:rPr>
                <w:rFonts w:ascii="Times New Roman" w:hAnsi="Times New Roman"/>
                <w:noProof/>
                <w:szCs w:val="24"/>
                <w:vertAlign w:val="superscript"/>
              </w:rPr>
              <w:t>(3)</w:t>
            </w:r>
          </w:p>
          <w:p w14:paraId="36E59735" w14:textId="77777777"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Maismaa pinnaveed</w:t>
            </w:r>
            <w:r w:rsidRPr="00CB2133">
              <w:rPr>
                <w:rFonts w:ascii="Times New Roman" w:hAnsi="Times New Roman"/>
                <w:noProof/>
                <w:szCs w:val="24"/>
                <w:vertAlign w:val="superscript"/>
              </w:rPr>
              <w:t>(4)</w:t>
            </w:r>
          </w:p>
          <w:p w14:paraId="20E69E27"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[µg/l]</w:t>
            </w:r>
          </w:p>
        </w:tc>
        <w:tc>
          <w:tcPr>
            <w:tcW w:w="1417" w:type="dxa"/>
          </w:tcPr>
          <w:p w14:paraId="4A4E0619" w14:textId="77777777" w:rsidR="00D30CC0" w:rsidRPr="00CB2133" w:rsidRDefault="00D30CC0" w:rsidP="00C45ED4">
            <w:pPr>
              <w:widowControl/>
              <w:spacing w:before="40" w:after="40"/>
              <w:rPr>
                <w:rFonts w:ascii="Times New Roman" w:hAnsi="Times New Roman"/>
                <w:noProof/>
                <w:szCs w:val="24"/>
                <w:vertAlign w:val="superscript"/>
              </w:rPr>
            </w:pPr>
            <w:r w:rsidRPr="00CB2133">
              <w:rPr>
                <w:rFonts w:ascii="Times New Roman" w:hAnsi="Times New Roman"/>
                <w:noProof/>
                <w:szCs w:val="24"/>
              </w:rPr>
              <w:t>AA-EQS</w:t>
            </w:r>
            <w:r w:rsidRPr="00CB2133">
              <w:rPr>
                <w:rFonts w:ascii="Times New Roman" w:hAnsi="Times New Roman"/>
                <w:noProof/>
                <w:szCs w:val="24"/>
                <w:vertAlign w:val="superscript"/>
              </w:rPr>
              <w:t>(3)</w:t>
            </w:r>
          </w:p>
          <w:p w14:paraId="2E4CD54F" w14:textId="6081F5DF"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Muud pinnaveed</w:t>
            </w:r>
          </w:p>
          <w:p w14:paraId="54A00493"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[µg/l]</w:t>
            </w:r>
          </w:p>
        </w:tc>
        <w:tc>
          <w:tcPr>
            <w:tcW w:w="1560" w:type="dxa"/>
          </w:tcPr>
          <w:p w14:paraId="19DC632E" w14:textId="57692E27"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MAC-EQS</w:t>
            </w:r>
            <w:r w:rsidRPr="00CB2133">
              <w:rPr>
                <w:rFonts w:ascii="Times New Roman" w:hAnsi="Times New Roman"/>
                <w:noProof/>
                <w:szCs w:val="24"/>
                <w:vertAlign w:val="superscript"/>
              </w:rPr>
              <w:t>(5)</w:t>
            </w:r>
          </w:p>
          <w:p w14:paraId="36D5A524" w14:textId="77777777" w:rsidR="00D30CC0" w:rsidRPr="00CB2133" w:rsidRDefault="00D30CC0" w:rsidP="00C45ED4">
            <w:pPr>
              <w:widowControl/>
              <w:spacing w:before="40" w:after="40"/>
              <w:rPr>
                <w:rFonts w:ascii="Times New Roman" w:hAnsi="Times New Roman"/>
                <w:noProof/>
                <w:szCs w:val="24"/>
                <w:vertAlign w:val="superscript"/>
              </w:rPr>
            </w:pPr>
            <w:r w:rsidRPr="00CB2133">
              <w:rPr>
                <w:rFonts w:ascii="Times New Roman" w:hAnsi="Times New Roman"/>
                <w:noProof/>
                <w:szCs w:val="24"/>
              </w:rPr>
              <w:t>Maismaa pinnaveed</w:t>
            </w:r>
            <w:r w:rsidRPr="00CB2133">
              <w:rPr>
                <w:rFonts w:ascii="Times New Roman" w:hAnsi="Times New Roman"/>
                <w:noProof/>
                <w:szCs w:val="24"/>
                <w:vertAlign w:val="superscript"/>
              </w:rPr>
              <w:t>(4)</w:t>
            </w:r>
          </w:p>
          <w:p w14:paraId="099F9B87" w14:textId="07EA69AE" w:rsidR="00D30CC0" w:rsidRPr="00CB2133" w:rsidRDefault="00D30CC0" w:rsidP="00D30CC0">
            <w:pPr>
              <w:widowControl/>
              <w:spacing w:before="40" w:after="40"/>
              <w:rPr>
                <w:rFonts w:ascii="Times New Roman" w:hAnsi="Times New Roman"/>
                <w:noProof/>
                <w:szCs w:val="24"/>
              </w:rPr>
            </w:pPr>
            <w:r w:rsidRPr="00CB2133">
              <w:rPr>
                <w:rFonts w:ascii="Times New Roman" w:hAnsi="Times New Roman"/>
                <w:noProof/>
                <w:szCs w:val="24"/>
              </w:rPr>
              <w:t>[µg/l]</w:t>
            </w:r>
          </w:p>
        </w:tc>
        <w:tc>
          <w:tcPr>
            <w:tcW w:w="1701" w:type="dxa"/>
          </w:tcPr>
          <w:p w14:paraId="4B1E52F3" w14:textId="77777777"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MAC-EQS</w:t>
            </w:r>
            <w:r w:rsidRPr="00CB2133">
              <w:rPr>
                <w:rFonts w:ascii="Times New Roman" w:hAnsi="Times New Roman"/>
                <w:noProof/>
                <w:szCs w:val="24"/>
                <w:vertAlign w:val="superscript"/>
              </w:rPr>
              <w:t>(5)</w:t>
            </w:r>
          </w:p>
          <w:p w14:paraId="65610400" w14:textId="77777777"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Muud pinnaveed</w:t>
            </w:r>
          </w:p>
          <w:p w14:paraId="55E35807"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[µg/l]</w:t>
            </w:r>
          </w:p>
        </w:tc>
        <w:tc>
          <w:tcPr>
            <w:tcW w:w="1984" w:type="dxa"/>
            <w:tcBorders>
              <w:right w:val="single" w:sz="4" w:space="0" w:color="auto"/>
            </w:tcBorders>
          </w:tcPr>
          <w:p w14:paraId="7195A6CF" w14:textId="791C65FB" w:rsidR="00D30CC0" w:rsidRPr="00CB2133" w:rsidRDefault="00D30CC0" w:rsidP="00C45ED4">
            <w:pPr>
              <w:widowControl/>
              <w:spacing w:before="40" w:after="40"/>
              <w:rPr>
                <w:rFonts w:ascii="Times New Roman" w:hAnsi="Times New Roman"/>
                <w:noProof/>
                <w:szCs w:val="24"/>
              </w:rPr>
            </w:pPr>
            <w:r w:rsidRPr="00CB2133">
              <w:rPr>
                <w:rFonts w:ascii="Times New Roman" w:hAnsi="Times New Roman"/>
                <w:noProof/>
                <w:szCs w:val="24"/>
              </w:rPr>
              <w:t>Elustikuga seotud EQS</w:t>
            </w:r>
            <w:r w:rsidRPr="00CB2133">
              <w:rPr>
                <w:rFonts w:ascii="Times New Roman" w:hAnsi="Times New Roman"/>
                <w:noProof/>
                <w:szCs w:val="24"/>
                <w:vertAlign w:val="superscript"/>
              </w:rPr>
              <w:t>(6)</w:t>
            </w:r>
          </w:p>
          <w:p w14:paraId="152D5461" w14:textId="77777777" w:rsidR="00D30CC0" w:rsidRPr="00CB2133" w:rsidRDefault="00D30CC0" w:rsidP="00D30CC0">
            <w:pPr>
              <w:widowControl/>
              <w:spacing w:before="120" w:after="120"/>
              <w:rPr>
                <w:rFonts w:ascii="Times New Roman" w:hAnsi="Times New Roman"/>
                <w:noProof/>
                <w:szCs w:val="24"/>
              </w:rPr>
            </w:pPr>
            <w:r w:rsidRPr="00CB2133">
              <w:rPr>
                <w:rFonts w:ascii="Times New Roman" w:hAnsi="Times New Roman"/>
                <w:noProof/>
                <w:szCs w:val="24"/>
              </w:rPr>
              <w:t>[µg/kg – sisaldus märgmassis] või settega seotud EQS [µg/kg – sisaldus kuivmassis], kui on nii märgitud</w:t>
            </w:r>
          </w:p>
        </w:tc>
      </w:tr>
      <w:tr w:rsidR="00D30CC0" w:rsidRPr="00CB2133" w14:paraId="3E1C9C82" w14:textId="77777777" w:rsidTr="00D30CC0">
        <w:tc>
          <w:tcPr>
            <w:tcW w:w="846" w:type="dxa"/>
          </w:tcPr>
          <w:p w14:paraId="65FD673F"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1</w:t>
            </w:r>
          </w:p>
        </w:tc>
        <w:tc>
          <w:tcPr>
            <w:tcW w:w="1276" w:type="dxa"/>
            <w:tcMar>
              <w:left w:w="57" w:type="dxa"/>
              <w:right w:w="57" w:type="dxa"/>
            </w:tcMar>
          </w:tcPr>
          <w:p w14:paraId="456EC696" w14:textId="77777777" w:rsidR="00D30CC0" w:rsidRPr="00CB2133" w:rsidRDefault="00D30CC0" w:rsidP="00C45ED4">
            <w:pPr>
              <w:widowControl/>
              <w:spacing w:before="120" w:after="120"/>
              <w:rPr>
                <w:rFonts w:ascii="Times New Roman" w:hAnsi="Times New Roman"/>
                <w:noProof/>
                <w:szCs w:val="24"/>
              </w:rPr>
            </w:pPr>
            <w:r w:rsidRPr="00CB2133">
              <w:rPr>
                <w:rFonts w:ascii="Times New Roman" w:hAnsi="Times New Roman"/>
                <w:noProof/>
                <w:szCs w:val="24"/>
              </w:rPr>
              <w:t>Alakloor</w:t>
            </w:r>
            <w:r w:rsidRPr="00CB2133">
              <w:rPr>
                <w:rFonts w:ascii="Times New Roman" w:hAnsi="Times New Roman"/>
                <w:noProof/>
                <w:szCs w:val="24"/>
                <w:vertAlign w:val="superscript"/>
              </w:rPr>
              <w:t>(7)</w:t>
            </w:r>
          </w:p>
        </w:tc>
        <w:tc>
          <w:tcPr>
            <w:tcW w:w="1417" w:type="dxa"/>
          </w:tcPr>
          <w:p w14:paraId="45C53525"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Pestitsiidid</w:t>
            </w:r>
          </w:p>
        </w:tc>
        <w:tc>
          <w:tcPr>
            <w:tcW w:w="1276" w:type="dxa"/>
            <w:tcMar>
              <w:left w:w="28" w:type="dxa"/>
              <w:right w:w="28" w:type="dxa"/>
            </w:tcMar>
          </w:tcPr>
          <w:p w14:paraId="39949F50"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15972-60-8</w:t>
            </w:r>
          </w:p>
        </w:tc>
        <w:tc>
          <w:tcPr>
            <w:tcW w:w="1276" w:type="dxa"/>
          </w:tcPr>
          <w:p w14:paraId="15B095DC"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240-110-8</w:t>
            </w:r>
          </w:p>
        </w:tc>
        <w:tc>
          <w:tcPr>
            <w:tcW w:w="1559" w:type="dxa"/>
          </w:tcPr>
          <w:p w14:paraId="3271CB93"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0,3</w:t>
            </w:r>
          </w:p>
        </w:tc>
        <w:tc>
          <w:tcPr>
            <w:tcW w:w="1417" w:type="dxa"/>
          </w:tcPr>
          <w:p w14:paraId="529B9826"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0,3</w:t>
            </w:r>
          </w:p>
        </w:tc>
        <w:tc>
          <w:tcPr>
            <w:tcW w:w="1560" w:type="dxa"/>
          </w:tcPr>
          <w:p w14:paraId="3628CA2A"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0,7</w:t>
            </w:r>
          </w:p>
        </w:tc>
        <w:tc>
          <w:tcPr>
            <w:tcW w:w="1701" w:type="dxa"/>
          </w:tcPr>
          <w:p w14:paraId="55E0775C"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0,7</w:t>
            </w:r>
          </w:p>
        </w:tc>
        <w:tc>
          <w:tcPr>
            <w:tcW w:w="1984" w:type="dxa"/>
          </w:tcPr>
          <w:p w14:paraId="1F4FF6EA" w14:textId="77777777" w:rsidR="00D30CC0" w:rsidRPr="00CB2133" w:rsidRDefault="00D30CC0" w:rsidP="00C45ED4">
            <w:pPr>
              <w:widowControl/>
              <w:spacing w:before="120" w:after="120"/>
              <w:jc w:val="both"/>
              <w:rPr>
                <w:rFonts w:ascii="Times New Roman" w:hAnsi="Times New Roman"/>
                <w:noProof/>
                <w:szCs w:val="24"/>
              </w:rPr>
            </w:pPr>
          </w:p>
        </w:tc>
      </w:tr>
      <w:tr w:rsidR="00D30CC0" w:rsidRPr="00CB2133" w14:paraId="45811137" w14:textId="77777777" w:rsidTr="00D30CC0">
        <w:tc>
          <w:tcPr>
            <w:tcW w:w="846" w:type="dxa"/>
          </w:tcPr>
          <w:p w14:paraId="6AACFD9E"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2</w:t>
            </w:r>
          </w:p>
        </w:tc>
        <w:tc>
          <w:tcPr>
            <w:tcW w:w="1276" w:type="dxa"/>
            <w:tcMar>
              <w:left w:w="57" w:type="dxa"/>
              <w:right w:w="57" w:type="dxa"/>
            </w:tcMar>
          </w:tcPr>
          <w:p w14:paraId="098A80CD" w14:textId="77777777" w:rsidR="00D30CC0" w:rsidRPr="00CB2133" w:rsidRDefault="00D30CC0" w:rsidP="00C45ED4">
            <w:pPr>
              <w:widowControl/>
              <w:spacing w:before="120" w:after="120"/>
              <w:rPr>
                <w:rFonts w:ascii="Times New Roman" w:hAnsi="Times New Roman"/>
                <w:noProof/>
                <w:szCs w:val="24"/>
              </w:rPr>
            </w:pPr>
            <w:r w:rsidRPr="00CB2133">
              <w:rPr>
                <w:rFonts w:ascii="Times New Roman" w:hAnsi="Times New Roman"/>
                <w:noProof/>
                <w:szCs w:val="24"/>
              </w:rPr>
              <w:t>Süsiniktetrakloriid</w:t>
            </w:r>
            <w:r w:rsidRPr="00CB2133">
              <w:rPr>
                <w:rFonts w:ascii="Times New Roman" w:hAnsi="Times New Roman"/>
                <w:noProof/>
                <w:szCs w:val="24"/>
                <w:vertAlign w:val="superscript"/>
              </w:rPr>
              <w:t>(7)</w:t>
            </w:r>
          </w:p>
        </w:tc>
        <w:tc>
          <w:tcPr>
            <w:tcW w:w="1417" w:type="dxa"/>
          </w:tcPr>
          <w:p w14:paraId="217BE941"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Tööstuses kasutatavad ained</w:t>
            </w:r>
          </w:p>
        </w:tc>
        <w:tc>
          <w:tcPr>
            <w:tcW w:w="1276" w:type="dxa"/>
            <w:tcMar>
              <w:left w:w="28" w:type="dxa"/>
              <w:right w:w="28" w:type="dxa"/>
            </w:tcMar>
          </w:tcPr>
          <w:p w14:paraId="29B01F9B"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56-23-5</w:t>
            </w:r>
          </w:p>
        </w:tc>
        <w:tc>
          <w:tcPr>
            <w:tcW w:w="1276" w:type="dxa"/>
          </w:tcPr>
          <w:p w14:paraId="64B9519A"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200-262-8</w:t>
            </w:r>
          </w:p>
        </w:tc>
        <w:tc>
          <w:tcPr>
            <w:tcW w:w="1559" w:type="dxa"/>
          </w:tcPr>
          <w:p w14:paraId="347C680C"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 xml:space="preserve">12 </w:t>
            </w:r>
          </w:p>
        </w:tc>
        <w:tc>
          <w:tcPr>
            <w:tcW w:w="1417" w:type="dxa"/>
          </w:tcPr>
          <w:p w14:paraId="23B06BCE"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12</w:t>
            </w:r>
          </w:p>
        </w:tc>
        <w:tc>
          <w:tcPr>
            <w:tcW w:w="1560" w:type="dxa"/>
          </w:tcPr>
          <w:p w14:paraId="42247056"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Ei kohaldata</w:t>
            </w:r>
          </w:p>
        </w:tc>
        <w:tc>
          <w:tcPr>
            <w:tcW w:w="1701" w:type="dxa"/>
          </w:tcPr>
          <w:p w14:paraId="0AF67D6B"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Ei kohaldata</w:t>
            </w:r>
          </w:p>
        </w:tc>
        <w:tc>
          <w:tcPr>
            <w:tcW w:w="1984" w:type="dxa"/>
          </w:tcPr>
          <w:p w14:paraId="2D36341C" w14:textId="77777777" w:rsidR="00D30CC0" w:rsidRPr="00CB2133" w:rsidRDefault="00D30CC0" w:rsidP="00C45ED4">
            <w:pPr>
              <w:widowControl/>
              <w:spacing w:before="120" w:after="120"/>
              <w:jc w:val="both"/>
              <w:rPr>
                <w:rFonts w:ascii="Times New Roman" w:hAnsi="Times New Roman"/>
                <w:noProof/>
                <w:szCs w:val="24"/>
              </w:rPr>
            </w:pPr>
          </w:p>
        </w:tc>
      </w:tr>
      <w:tr w:rsidR="00D30CC0" w:rsidRPr="00CB2133" w14:paraId="283DBC8F" w14:textId="77777777" w:rsidTr="00D30CC0">
        <w:tc>
          <w:tcPr>
            <w:tcW w:w="846" w:type="dxa"/>
          </w:tcPr>
          <w:p w14:paraId="037E364A"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3</w:t>
            </w:r>
          </w:p>
        </w:tc>
        <w:tc>
          <w:tcPr>
            <w:tcW w:w="1276" w:type="dxa"/>
            <w:tcMar>
              <w:left w:w="57" w:type="dxa"/>
              <w:right w:w="57" w:type="dxa"/>
            </w:tcMar>
          </w:tcPr>
          <w:p w14:paraId="1BF5570D" w14:textId="77777777" w:rsidR="00D30CC0" w:rsidRPr="00CB2133" w:rsidRDefault="00D30CC0" w:rsidP="00C45ED4">
            <w:pPr>
              <w:widowControl/>
              <w:spacing w:before="120" w:after="120"/>
              <w:rPr>
                <w:rFonts w:ascii="Times New Roman" w:hAnsi="Times New Roman"/>
                <w:noProof/>
                <w:szCs w:val="24"/>
              </w:rPr>
            </w:pPr>
            <w:r w:rsidRPr="00CB2133">
              <w:rPr>
                <w:rFonts w:ascii="Times New Roman" w:hAnsi="Times New Roman"/>
                <w:noProof/>
                <w:szCs w:val="24"/>
              </w:rPr>
              <w:t>Kloorfenvinfoss</w:t>
            </w:r>
            <w:r w:rsidRPr="00CB2133">
              <w:rPr>
                <w:rFonts w:ascii="Times New Roman" w:hAnsi="Times New Roman"/>
                <w:noProof/>
                <w:szCs w:val="24"/>
                <w:vertAlign w:val="superscript"/>
              </w:rPr>
              <w:t>(7)</w:t>
            </w:r>
          </w:p>
        </w:tc>
        <w:tc>
          <w:tcPr>
            <w:tcW w:w="1417" w:type="dxa"/>
          </w:tcPr>
          <w:p w14:paraId="2E1960F8"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Pestitsiidid</w:t>
            </w:r>
          </w:p>
        </w:tc>
        <w:tc>
          <w:tcPr>
            <w:tcW w:w="1276" w:type="dxa"/>
            <w:tcMar>
              <w:left w:w="28" w:type="dxa"/>
              <w:right w:w="28" w:type="dxa"/>
            </w:tcMar>
          </w:tcPr>
          <w:p w14:paraId="1EA9DC5E"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470-90-6</w:t>
            </w:r>
          </w:p>
        </w:tc>
        <w:tc>
          <w:tcPr>
            <w:tcW w:w="1276" w:type="dxa"/>
          </w:tcPr>
          <w:p w14:paraId="7577C68E"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207-432-0</w:t>
            </w:r>
          </w:p>
        </w:tc>
        <w:tc>
          <w:tcPr>
            <w:tcW w:w="1559" w:type="dxa"/>
          </w:tcPr>
          <w:p w14:paraId="0F092F93"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0,1</w:t>
            </w:r>
          </w:p>
        </w:tc>
        <w:tc>
          <w:tcPr>
            <w:tcW w:w="1417" w:type="dxa"/>
          </w:tcPr>
          <w:p w14:paraId="6E72C2C9"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0,1</w:t>
            </w:r>
          </w:p>
        </w:tc>
        <w:tc>
          <w:tcPr>
            <w:tcW w:w="1560" w:type="dxa"/>
          </w:tcPr>
          <w:p w14:paraId="43A7958D"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0,3</w:t>
            </w:r>
          </w:p>
        </w:tc>
        <w:tc>
          <w:tcPr>
            <w:tcW w:w="1701" w:type="dxa"/>
          </w:tcPr>
          <w:p w14:paraId="0F2117DE"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0,3</w:t>
            </w:r>
          </w:p>
        </w:tc>
        <w:tc>
          <w:tcPr>
            <w:tcW w:w="1984" w:type="dxa"/>
          </w:tcPr>
          <w:p w14:paraId="039D6ABB" w14:textId="77777777" w:rsidR="00D30CC0" w:rsidRPr="00CB2133" w:rsidRDefault="00D30CC0" w:rsidP="00C45ED4">
            <w:pPr>
              <w:widowControl/>
              <w:spacing w:before="120" w:after="120"/>
              <w:jc w:val="both"/>
              <w:rPr>
                <w:rFonts w:ascii="Times New Roman" w:hAnsi="Times New Roman"/>
                <w:noProof/>
                <w:szCs w:val="24"/>
              </w:rPr>
            </w:pPr>
          </w:p>
        </w:tc>
      </w:tr>
      <w:tr w:rsidR="00D30CC0" w:rsidRPr="00CB2133" w14:paraId="525A6648" w14:textId="77777777" w:rsidTr="00D30CC0">
        <w:tc>
          <w:tcPr>
            <w:tcW w:w="846" w:type="dxa"/>
          </w:tcPr>
          <w:p w14:paraId="63778B18"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4</w:t>
            </w:r>
          </w:p>
        </w:tc>
        <w:tc>
          <w:tcPr>
            <w:tcW w:w="1276" w:type="dxa"/>
            <w:tcMar>
              <w:left w:w="57" w:type="dxa"/>
              <w:right w:w="57" w:type="dxa"/>
            </w:tcMar>
          </w:tcPr>
          <w:p w14:paraId="7C200D0E" w14:textId="77777777" w:rsidR="00D30CC0" w:rsidRPr="00CB2133" w:rsidRDefault="00D30CC0" w:rsidP="00C45ED4">
            <w:pPr>
              <w:widowControl/>
              <w:spacing w:before="120" w:after="120"/>
              <w:rPr>
                <w:rFonts w:ascii="Times New Roman" w:hAnsi="Times New Roman"/>
                <w:noProof/>
                <w:szCs w:val="24"/>
              </w:rPr>
            </w:pPr>
            <w:r w:rsidRPr="00CB2133">
              <w:rPr>
                <w:rFonts w:ascii="Times New Roman" w:hAnsi="Times New Roman"/>
                <w:noProof/>
                <w:szCs w:val="24"/>
              </w:rPr>
              <w:t>Simasiin</w:t>
            </w:r>
            <w:r w:rsidRPr="00CB2133">
              <w:rPr>
                <w:rFonts w:ascii="Times New Roman" w:hAnsi="Times New Roman"/>
                <w:noProof/>
                <w:szCs w:val="24"/>
                <w:vertAlign w:val="superscript"/>
              </w:rPr>
              <w:t>(7)</w:t>
            </w:r>
          </w:p>
        </w:tc>
        <w:tc>
          <w:tcPr>
            <w:tcW w:w="1417" w:type="dxa"/>
          </w:tcPr>
          <w:p w14:paraId="74A1BD28"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Pestitsiidid</w:t>
            </w:r>
          </w:p>
        </w:tc>
        <w:tc>
          <w:tcPr>
            <w:tcW w:w="1276" w:type="dxa"/>
            <w:tcMar>
              <w:left w:w="28" w:type="dxa"/>
              <w:right w:w="28" w:type="dxa"/>
            </w:tcMar>
          </w:tcPr>
          <w:p w14:paraId="7BE29719"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122-34-9</w:t>
            </w:r>
          </w:p>
        </w:tc>
        <w:tc>
          <w:tcPr>
            <w:tcW w:w="1276" w:type="dxa"/>
          </w:tcPr>
          <w:p w14:paraId="3ECB85C1"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204-535-2</w:t>
            </w:r>
          </w:p>
        </w:tc>
        <w:tc>
          <w:tcPr>
            <w:tcW w:w="1559" w:type="dxa"/>
          </w:tcPr>
          <w:p w14:paraId="20D717B4"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1</w:t>
            </w:r>
          </w:p>
        </w:tc>
        <w:tc>
          <w:tcPr>
            <w:tcW w:w="1417" w:type="dxa"/>
          </w:tcPr>
          <w:p w14:paraId="76B51F04"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1</w:t>
            </w:r>
          </w:p>
        </w:tc>
        <w:tc>
          <w:tcPr>
            <w:tcW w:w="1560" w:type="dxa"/>
          </w:tcPr>
          <w:p w14:paraId="1D73D95C"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4</w:t>
            </w:r>
          </w:p>
        </w:tc>
        <w:tc>
          <w:tcPr>
            <w:tcW w:w="1701" w:type="dxa"/>
          </w:tcPr>
          <w:p w14:paraId="00667079" w14:textId="77777777" w:rsidR="00D30CC0" w:rsidRPr="00CB2133" w:rsidRDefault="00D30CC0" w:rsidP="00C45ED4">
            <w:pPr>
              <w:widowControl/>
              <w:spacing w:before="120" w:after="120"/>
              <w:jc w:val="both"/>
              <w:rPr>
                <w:rFonts w:ascii="Times New Roman" w:hAnsi="Times New Roman"/>
                <w:noProof/>
                <w:szCs w:val="24"/>
              </w:rPr>
            </w:pPr>
            <w:r w:rsidRPr="00CB2133">
              <w:rPr>
                <w:rFonts w:ascii="Times New Roman" w:hAnsi="Times New Roman"/>
                <w:noProof/>
                <w:szCs w:val="24"/>
              </w:rPr>
              <w:t>4</w:t>
            </w:r>
          </w:p>
        </w:tc>
        <w:tc>
          <w:tcPr>
            <w:tcW w:w="1984" w:type="dxa"/>
          </w:tcPr>
          <w:p w14:paraId="74F58175" w14:textId="77777777" w:rsidR="00D30CC0" w:rsidRPr="00CB2133" w:rsidRDefault="00D30CC0" w:rsidP="00C45ED4">
            <w:pPr>
              <w:widowControl/>
              <w:spacing w:before="120" w:after="120"/>
              <w:jc w:val="both"/>
              <w:rPr>
                <w:rFonts w:ascii="Times New Roman" w:hAnsi="Times New Roman"/>
                <w:noProof/>
                <w:szCs w:val="24"/>
              </w:rPr>
            </w:pPr>
          </w:p>
        </w:tc>
      </w:tr>
    </w:tbl>
    <w:p w14:paraId="20D0C783" w14:textId="4FBF0F61" w:rsidR="0097022D" w:rsidRPr="00CB2133" w:rsidRDefault="0097022D" w:rsidP="00C45ED4">
      <w:pPr>
        <w:spacing w:before="120" w:after="120" w:line="360" w:lineRule="auto"/>
        <w:ind w:left="1416" w:hanging="566"/>
        <w:rPr>
          <w:szCs w:val="24"/>
          <w:lang w:eastAsia="en-US"/>
        </w:rPr>
      </w:pPr>
    </w:p>
    <w:p w14:paraId="6FBDEC8E" w14:textId="77777777" w:rsidR="00D30CC0" w:rsidRPr="00CB2133" w:rsidRDefault="00D30CC0" w:rsidP="00C45ED4">
      <w:pPr>
        <w:spacing w:before="120" w:after="120" w:line="360" w:lineRule="auto"/>
        <w:ind w:left="1416" w:hanging="566"/>
        <w:rPr>
          <w:szCs w:val="24"/>
          <w:lang w:eastAsia="en-US"/>
        </w:rPr>
        <w:sectPr w:rsidR="00D30CC0" w:rsidRPr="00CB2133" w:rsidSect="00D30CC0">
          <w:footnotePr>
            <w:numRestart w:val="eachSect"/>
          </w:footnotePr>
          <w:endnotePr>
            <w:numFmt w:val="decimal"/>
          </w:endnotePr>
          <w:type w:val="continuous"/>
          <w:pgSz w:w="16838" w:h="11906" w:orient="landscape" w:code="9"/>
          <w:pgMar w:top="1134" w:right="1134" w:bottom="1418" w:left="1418" w:header="1134" w:footer="567" w:gutter="0"/>
          <w:cols w:space="720"/>
          <w:noEndnote/>
          <w:docGrid w:linePitch="326"/>
        </w:sectPr>
      </w:pPr>
    </w:p>
    <w:p w14:paraId="7112BB0F" w14:textId="7A796DAE"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1)</w:t>
      </w:r>
      <w:r w:rsidR="00C45ED4" w:rsidRPr="00CB2133">
        <w:rPr>
          <w:szCs w:val="24"/>
          <w:lang w:eastAsia="en-US"/>
        </w:rPr>
        <w:tab/>
        <w:t>CAS – Chemical Abstracts Service.</w:t>
      </w:r>
    </w:p>
    <w:p w14:paraId="769F25A8" w14:textId="1F71A7D8"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2)</w:t>
      </w:r>
      <w:r w:rsidR="00C45ED4" w:rsidRPr="00CB2133">
        <w:rPr>
          <w:szCs w:val="24"/>
          <w:lang w:eastAsia="en-US"/>
        </w:rPr>
        <w:tab/>
        <w:t>ELi number – Euroopa kaubanduslike keemiliste ainete loetelu (EINECS) või Euroopa uute keemiliste ainete loetelu (ELINCS) number.</w:t>
      </w:r>
    </w:p>
    <w:p w14:paraId="52749DEF" w14:textId="6640D837"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3)</w:t>
      </w:r>
      <w:r w:rsidR="00C45ED4" w:rsidRPr="00CB2133">
        <w:rPr>
          <w:szCs w:val="24"/>
          <w:lang w:eastAsia="en-US"/>
        </w:rPr>
        <w:tab/>
        <w:t>See näitaja on aasta keskmise väärtusena väljendatud EQS (AA-EQS). Kui ei ole märgitud teisiti, kohaldatakse seda kõikide ainete ja isomeeride summaarse kontsentratsiooni suhtes.</w:t>
      </w:r>
    </w:p>
    <w:p w14:paraId="5EDBB60F" w14:textId="60B3B282"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4)</w:t>
      </w:r>
      <w:r w:rsidR="00C45ED4" w:rsidRPr="00CB2133">
        <w:rPr>
          <w:szCs w:val="24"/>
          <w:lang w:eastAsia="en-US"/>
        </w:rPr>
        <w:tab/>
        <w:t>Maismaa pinnaveed hõlmavad jõgesid, järvi ning nendega seotud tehisveekogusid ja oluliselt muudetud veekogusid.</w:t>
      </w:r>
    </w:p>
    <w:p w14:paraId="2DE44E4B" w14:textId="68D42115"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t>(</w:t>
      </w:r>
      <w:r w:rsidR="00C45ED4" w:rsidRPr="00CB2133">
        <w:rPr>
          <w:szCs w:val="24"/>
          <w:vertAlign w:val="superscript"/>
          <w:lang w:eastAsia="en-US"/>
        </w:rPr>
        <w:t>5)</w:t>
      </w:r>
      <w:r w:rsidR="00C45ED4" w:rsidRPr="00CB2133">
        <w:rPr>
          <w:szCs w:val="24"/>
          <w:lang w:eastAsia="en-US"/>
        </w:rPr>
        <w:tab/>
        <w:t>See näitaja on suurima lubatud kontsentratsioonina väljendatud EQS (MAC-EQS). Kui MAC-EQSi juures on märge „ei kohaldata“, peetakse AA-EQSi väärtusi pideva keskkonda juhtimise korral reostuse lühiajalise suurenemise puhul kaitset pakkuvaks, kuna need on oluliselt väiksemad kui ägeda mürgisuse põhjal tuletatud väärtused.</w:t>
      </w:r>
    </w:p>
    <w:p w14:paraId="105E7DEE" w14:textId="77777777" w:rsidR="00D30CC0" w:rsidRPr="00CB2133" w:rsidRDefault="00D30CC0">
      <w:pPr>
        <w:widowControl/>
        <w:rPr>
          <w:szCs w:val="24"/>
          <w:vertAlign w:val="superscript"/>
          <w:lang w:eastAsia="en-US"/>
        </w:rPr>
      </w:pPr>
      <w:r w:rsidRPr="00CB2133">
        <w:rPr>
          <w:szCs w:val="24"/>
          <w:vertAlign w:val="superscript"/>
          <w:lang w:eastAsia="en-US"/>
        </w:rPr>
        <w:br w:type="page"/>
      </w:r>
    </w:p>
    <w:p w14:paraId="2A9C5BDA" w14:textId="6428E823" w:rsidR="00C45ED4" w:rsidRPr="00CB2133" w:rsidRDefault="009B18F2" w:rsidP="00C45ED4">
      <w:pPr>
        <w:spacing w:before="120" w:after="120" w:line="360" w:lineRule="auto"/>
        <w:ind w:left="1416" w:hanging="566"/>
        <w:rPr>
          <w:szCs w:val="24"/>
          <w:lang w:eastAsia="en-US"/>
        </w:rPr>
      </w:pPr>
      <w:r w:rsidRPr="00CB2133">
        <w:rPr>
          <w:szCs w:val="24"/>
          <w:vertAlign w:val="superscript"/>
          <w:lang w:eastAsia="en-US"/>
        </w:rPr>
        <w:lastRenderedPageBreak/>
        <w:t>(</w:t>
      </w:r>
      <w:r w:rsidR="00C45ED4" w:rsidRPr="00CB2133">
        <w:rPr>
          <w:szCs w:val="24"/>
          <w:vertAlign w:val="superscript"/>
          <w:lang w:eastAsia="en-US"/>
        </w:rPr>
        <w:t>6)</w:t>
      </w:r>
      <w:r w:rsidR="00C45ED4" w:rsidRPr="00CB2133">
        <w:rPr>
          <w:szCs w:val="24"/>
          <w:lang w:eastAsia="en-US"/>
        </w:rPr>
        <w:tab/>
        <w:t>Kui on esitatud elustikuga seotud EQS, kohaldatakse seda veega seotud EQSi asemel, ilma et see piiraks käesoleva direktiivi artikli 3 lõike 3 selle sätte kohaldamist, mis võimaldab kasutada seireks mõnda muud elustiku taksonit või mõnda muud maatriksit, juhul kui kohaldatav EQS pakub samaväärset kaitset. Kui ei ole märgitud teisiti, peetakse elustikuga seotud EQSi puhul silmas kalu.</w:t>
      </w:r>
    </w:p>
    <w:p w14:paraId="6A335847" w14:textId="61EFBAFD" w:rsidR="00E365E1" w:rsidRPr="005230E3" w:rsidRDefault="009B18F2" w:rsidP="009B18F2">
      <w:pPr>
        <w:spacing w:before="120" w:after="120" w:line="360" w:lineRule="auto"/>
        <w:ind w:left="1416" w:hanging="566"/>
      </w:pPr>
      <w:r w:rsidRPr="00CB2133">
        <w:rPr>
          <w:szCs w:val="24"/>
          <w:vertAlign w:val="superscript"/>
          <w:lang w:eastAsia="en-US"/>
        </w:rPr>
        <w:t>(</w:t>
      </w:r>
      <w:r w:rsidR="00C45ED4" w:rsidRPr="00CB2133">
        <w:rPr>
          <w:szCs w:val="24"/>
          <w:vertAlign w:val="superscript"/>
          <w:lang w:eastAsia="en-US"/>
        </w:rPr>
        <w:t>7)</w:t>
      </w:r>
      <w:r w:rsidR="00C45ED4" w:rsidRPr="00CB2133">
        <w:rPr>
          <w:szCs w:val="24"/>
          <w:lang w:eastAsia="en-US"/>
        </w:rPr>
        <w:tab/>
        <w:t>Aine, mis varem oli loetletud prioriteetse ainena direktiivi 2000/60/EÜ X lisas või direktiivi 2008/105/EÜ I lisas.“</w:t>
      </w:r>
    </w:p>
    <w:sectPr w:rsidR="00E365E1" w:rsidRPr="005230E3" w:rsidSect="0097022D">
      <w:footnotePr>
        <w:numRestart w:val="eachSect"/>
      </w:footnotePr>
      <w:endnotePr>
        <w:numFmt w:val="decimal"/>
      </w:endnotePr>
      <w:pgSz w:w="11906" w:h="16838" w:code="9"/>
      <w:pgMar w:top="1134" w:right="1418" w:bottom="1418"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CD687" w14:textId="77777777" w:rsidR="00D1072B" w:rsidRPr="00DF4B4C" w:rsidRDefault="00D1072B">
      <w:r w:rsidRPr="00DF4B4C">
        <w:separator/>
      </w:r>
    </w:p>
  </w:endnote>
  <w:endnote w:type="continuationSeparator" w:id="0">
    <w:p w14:paraId="3B099773" w14:textId="77777777" w:rsidR="00D1072B" w:rsidRPr="00DF4B4C" w:rsidRDefault="00D1072B">
      <w:r w:rsidRPr="00DF4B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0122" w14:textId="77777777" w:rsidR="00D1072B" w:rsidRDefault="00D1072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BDA68" w14:textId="065CC787" w:rsidR="00D1072B" w:rsidRPr="00C45ED4" w:rsidRDefault="00D1072B" w:rsidP="00C45E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12CF" w14:textId="77777777" w:rsidR="00D1072B" w:rsidRDefault="00D1072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F61C1" w14:textId="77777777" w:rsidR="00D1072B" w:rsidRPr="007D1A24" w:rsidRDefault="00D1072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513F" w14:textId="77777777" w:rsidR="00D1072B" w:rsidRPr="007D1A24" w:rsidRDefault="00D1072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4E8BD" w14:textId="77777777" w:rsidR="00D1072B" w:rsidRPr="007D1A24" w:rsidRDefault="00D107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C7F98" w14:textId="77777777" w:rsidR="00D1072B" w:rsidRPr="00DF4B4C" w:rsidRDefault="00D1072B">
      <w:r w:rsidRPr="00DF4B4C">
        <w:separator/>
      </w:r>
    </w:p>
  </w:footnote>
  <w:footnote w:type="continuationSeparator" w:id="0">
    <w:p w14:paraId="41FE6760" w14:textId="77777777" w:rsidR="00D1072B" w:rsidRPr="00DF4B4C" w:rsidRDefault="00D1072B">
      <w:r w:rsidRPr="00DF4B4C">
        <w:continuationSeparator/>
      </w:r>
    </w:p>
  </w:footnote>
  <w:footnote w:id="1">
    <w:p w14:paraId="18AB6A8F" w14:textId="7D734D33" w:rsidR="00D1072B" w:rsidRPr="00653E56" w:rsidRDefault="00D1072B" w:rsidP="00653E56">
      <w:pPr>
        <w:pStyle w:val="FootnoteText"/>
        <w:spacing w:line="240" w:lineRule="auto"/>
        <w:ind w:left="851" w:hanging="851"/>
        <w:rPr>
          <w:sz w:val="24"/>
          <w:szCs w:val="24"/>
          <w:lang w:val="et-EE"/>
        </w:rPr>
      </w:pPr>
      <w:r w:rsidRPr="00653E56">
        <w:rPr>
          <w:rStyle w:val="FootnoteReference"/>
          <w:sz w:val="24"/>
          <w:szCs w:val="24"/>
          <w:lang w:val="et-EE"/>
        </w:rPr>
        <w:footnoteRef/>
      </w:r>
      <w:r w:rsidRPr="00653E56">
        <w:rPr>
          <w:sz w:val="24"/>
          <w:szCs w:val="24"/>
          <w:lang w:val="et-EE"/>
        </w:rPr>
        <w:tab/>
        <w:t>ELT C 146, 27.4.2023, lk 41.</w:t>
      </w:r>
    </w:p>
  </w:footnote>
  <w:footnote w:id="2">
    <w:p w14:paraId="0323A022" w14:textId="14DC7B32" w:rsidR="00D1072B" w:rsidRPr="00653E56" w:rsidRDefault="00D1072B" w:rsidP="00653E56">
      <w:pPr>
        <w:keepLines/>
        <w:ind w:left="851" w:hanging="851"/>
        <w:rPr>
          <w:szCs w:val="24"/>
        </w:rPr>
      </w:pPr>
      <w:r w:rsidRPr="00653E56">
        <w:rPr>
          <w:rStyle w:val="FootnoteReference"/>
          <w:szCs w:val="24"/>
        </w:rPr>
        <w:footnoteRef/>
      </w:r>
      <w:r w:rsidRPr="00653E56">
        <w:rPr>
          <w:szCs w:val="24"/>
        </w:rPr>
        <w:tab/>
        <w:t xml:space="preserve">Käesolev seisukoht vastab 12. septembril 2023. aastal vastu võetud muudatusettepanekutele (ELT C, C/2024/1777, 22.3.2024, ELI: </w:t>
      </w:r>
      <w:hyperlink r:id="rId1" w:history="1">
        <w:r w:rsidRPr="00653E56">
          <w:rPr>
            <w:rStyle w:val="Hyperlink"/>
            <w:szCs w:val="24"/>
          </w:rPr>
          <w:t>http://data.europa.eu/eli/C/2024/1777/oj</w:t>
        </w:r>
      </w:hyperlink>
      <w:r w:rsidRPr="00653E56">
        <w:rPr>
          <w:szCs w:val="24"/>
        </w:rPr>
        <w:t>).</w:t>
      </w:r>
    </w:p>
  </w:footnote>
  <w:footnote w:id="3">
    <w:p w14:paraId="05564E4C"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ELT C , , lk .</w:t>
      </w:r>
    </w:p>
  </w:footnote>
  <w:footnote w:id="4">
    <w:p w14:paraId="5B067E64"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ELT C , , lk .</w:t>
      </w:r>
    </w:p>
  </w:footnote>
  <w:footnote w:id="5">
    <w:p w14:paraId="232BB8CB"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Euroopa Parlamendi ja nõukogu 6. aprilli 2022. aasta otsus (EL) 2022/591, mis käsitleb Euroopa Liidu üldist keskkonnaalast tegevusprogrammi aastani 2030.</w:t>
      </w:r>
    </w:p>
  </w:footnote>
  <w:footnote w:id="6">
    <w:p w14:paraId="5F5CFDE4"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Aruanne 09/2021 „Drivers of and pressures arising from selected key water management challenges: A European overview“ (Valitud peamistest veemajandusega seotud probleemidest tulenevad tegurid ja survetegurid: Euroopa ülevaade), EEA.</w:t>
      </w:r>
    </w:p>
  </w:footnote>
  <w:footnote w:id="7">
    <w:p w14:paraId="0D84EBDF"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https://www.oecd.org/agriculture/topics/water-and-agriculture/</w:t>
      </w:r>
    </w:p>
  </w:footnote>
  <w:footnote w:id="8">
    <w:p w14:paraId="3F598DE6"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https://www.eea.europa.eu/publications/state-of-water</w:t>
      </w:r>
    </w:p>
  </w:footnote>
  <w:footnote w:id="9">
    <w:p w14:paraId="69A579C2"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https://food.ec.europa.eu/plants/pesticides/sustainable-use-pesticides/farm-fork-targets-progress/eu-trends_en</w:t>
      </w:r>
    </w:p>
  </w:footnote>
  <w:footnote w:id="10">
    <w:p w14:paraId="0C3CF314"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Euroopa Ülemkogule, nõukogule, Euroopa Majandus- ja Sotsiaalkomiteele ning Regioonide Komiteele „Euroopa roheline kokkulepe“ (COM(2019) 640 final).</w:t>
      </w:r>
    </w:p>
  </w:footnote>
  <w:footnote w:id="11">
    <w:p w14:paraId="1945F373"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„Kestlikkust toetav kemikaalistrateegia. Mürgivaba keskkonna loomise suunas“ (COM(2020) 667 final).</w:t>
      </w:r>
    </w:p>
  </w:footnote>
  <w:footnote w:id="12">
    <w:p w14:paraId="2B994A8F"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„Heas seisundis planeet kõigi jaoks. ELi tegevuskava „Õhu, vee ja pinnase nullsaaste suunas““ (COM(2021) 400 final).</w:t>
      </w:r>
    </w:p>
  </w:footnote>
  <w:footnote w:id="13">
    <w:p w14:paraId="32CE2A3D"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„Euroopa strateegia plasti kohta ringmajanduses“ (COM(2018) 028 final).</w:t>
      </w:r>
    </w:p>
  </w:footnote>
  <w:footnote w:id="14">
    <w:p w14:paraId="2A373B48"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„Euroopa ravimistrateegia“ (COM(2020) 761 final).</w:t>
      </w:r>
    </w:p>
  </w:footnote>
  <w:footnote w:id="15">
    <w:p w14:paraId="23E9F9D2"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„ELi elurikkuse strateegia aastani 2030. Toome looduse oma ellu tagasi“ (COM(2020) 380 final).</w:t>
      </w:r>
    </w:p>
  </w:footnote>
  <w:footnote w:id="16">
    <w:p w14:paraId="6221BDC3"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„Strateegia „Talust taldrikule“ õiglase, tervisliku ja keskkonnahoidliku toidusüsteemi edendamiseks“ (COM/2020/381 final).</w:t>
      </w:r>
    </w:p>
  </w:footnote>
  <w:footnote w:id="17">
    <w:p w14:paraId="4379BED3"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„ELi mullastrateegia 2030. aastaks. Heas seisundis muld inimeste, toidu, looduse ja kliima hüvanguks“ (COM(2021) 699 final).</w:t>
      </w:r>
    </w:p>
  </w:footnote>
  <w:footnote w:id="18">
    <w:p w14:paraId="309A8E74"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 xml:space="preserve">Komisjoni teatis Euroopa Parlamendile, nõukogule, Euroopa Majandus- ja Sotsiaalkomiteele ning Regioonide Komiteele „Euroopa digituleviku kujundamine“ </w:t>
      </w:r>
      <w:r w:rsidRPr="00653E56">
        <w:rPr>
          <w:szCs w:val="24"/>
          <w:lang w:val="et-EE"/>
        </w:rPr>
        <w:tab/>
        <w:t>(COM(2020) 67 final).</w:t>
      </w:r>
    </w:p>
  </w:footnote>
  <w:footnote w:id="19">
    <w:p w14:paraId="3457BDE6"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teatis Euroopa Parlamendile, nõukogule, Euroopa Majandus- ja Sotsiaalkomiteele ning Regioonide Komiteele, „Euroopa andmestrateegia“ (COM(2020) 66 final).</w:t>
      </w:r>
    </w:p>
  </w:footnote>
  <w:footnote w:id="20">
    <w:p w14:paraId="251CFE84"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23. oktoobri 2000. aasta direktiiv 2000/60/EÜ, millega kehtestatakse ühenduse veepoliitika alane tegevusraamistik (EÜT L 327, 22.12.2000, lk 1).</w:t>
      </w:r>
    </w:p>
  </w:footnote>
  <w:footnote w:id="21">
    <w:p w14:paraId="645CDF40"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16. detsembri 2008. aasta direktiiv 2008/105/EÜ, mis käsitleb keskkonnakvaliteedi standardeid veepoliitika valdkonnas ning millega muudetakse nõukogu direktiive 82/176/EMÜ, 83/513/EMÜ, 84/156/EMÜ, 84/491/EMÜ, 86/280/EMÜ ja tunnistatakse need seejärel kehtetuks ning muudetakse direktiivi 2000/60/EÜ (ELT L 348, 24.12.2008, lk 84).</w:t>
      </w:r>
    </w:p>
  </w:footnote>
  <w:footnote w:id="22">
    <w:p w14:paraId="59ED7729"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20. novembri 2001. aasta otsus nr 2455/2001/EÜ, millega kehtestatakse veepoliitika valdkonna prioriteetsete ainete nimistu ning muudetakse direktiivi 2000/60/EÜ (EÜT L 331, 15.12.2001, lk 1).</w:t>
      </w:r>
    </w:p>
  </w:footnote>
  <w:footnote w:id="23">
    <w:p w14:paraId="060142BB"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12. detsembri 2006. aasta direktiiv 2006/118/EÜ, mis käsitleb põhjavee kaitset reostuse ja seisundi halvenemise eest (ELT L 372, 27.12.2006, lk 19).</w:t>
      </w:r>
    </w:p>
  </w:footnote>
  <w:footnote w:id="24">
    <w:p w14:paraId="7969A372"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18. detsembri 2006. aasta määrus (EÜ) nr 1907/2006, mis käsitleb kemikaalide registreerimist, hindamist, autoriseerimist ja piiramist (REACH-määrus) (ELT L 396, 30.12.2006, lk 1).</w:t>
      </w:r>
    </w:p>
  </w:footnote>
  <w:footnote w:id="25">
    <w:p w14:paraId="64B0505C"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21. oktoobri 2009. aasta määrus (EÜ) nr 1107/2009 taimekaitsevahendite turulelaskmise ja nõukogu direktiivide 79/117/EMÜ ja 91/414/EMÜ kehtetuks tunnistamise kohta (ELT L 309, 24.11.2009, lk 1).</w:t>
      </w:r>
    </w:p>
  </w:footnote>
  <w:footnote w:id="26">
    <w:p w14:paraId="5B07D4AD"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22. mai 2012. aasta määrus (EL) nr 528/2012, milles käsitletakse biotsiidide turul kättesaadavaks tegemist ja kasutamist (ELT L 167, 27.6.2012, lk 1).</w:t>
      </w:r>
    </w:p>
  </w:footnote>
  <w:footnote w:id="27">
    <w:p w14:paraId="5676E955"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11. detsembri 2018. aasta määrus (EL) 2019/6, mis käsitleb veterinaarravimeid ning millega tunnistatakse kehtetuks direktiiv 2001/82/EÜ (ELT L 4, 7.1.2019, lk 43).</w:t>
      </w:r>
    </w:p>
  </w:footnote>
  <w:footnote w:id="28">
    <w:p w14:paraId="2AE23EB7"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6. novembri 2001. aasta direktiiv 2001/83/EÜ inimtervishoius kasutatavaid ravimeid käsitlevate ühenduse eeskirjade kohta (EÜT L 311, 28.11.2001, lk 67).</w:t>
      </w:r>
    </w:p>
  </w:footnote>
  <w:footnote w:id="29">
    <w:p w14:paraId="448CCE58"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21. oktoobri 2009. aasta direktiiv 2009/128/EÜ, millega kehtestatakse ühenduse tegevusraamistik pestitsiidide säästva kasutamise saavutamiseks (ELT L 309, 24.11.2009, lk 71).</w:t>
      </w:r>
    </w:p>
  </w:footnote>
  <w:footnote w:id="30">
    <w:p w14:paraId="68D4D3F8"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24. novembri 2010. aasta direktiiv 2010/75/EL tööstusheidete kohta (saastuse kompleksne vältimine ja kontroll) (ELT L 334, 17.12.2010, lk 17).</w:t>
      </w:r>
    </w:p>
  </w:footnote>
  <w:footnote w:id="31">
    <w:p w14:paraId="47D4AE4E"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Nõukogu 21. mai 1991. aasta direktiiv 91/271/EMÜ asulareovee puhastamise kohta (EÜT L 135, 30.5.1991, lk 40).</w:t>
      </w:r>
    </w:p>
  </w:footnote>
  <w:footnote w:id="32">
    <w:p w14:paraId="452FBEAD"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Transcriptomic signalling in zebrafish embryos exposed to environmental concentrations of glyphosate, 2022 (Keskkonnas glüfosaadisisaldusega kokku puutuvate vöötdaanio embrüote transkriptoomiline signaalimine, 2022). Effects of low-concentration glyphosate and aminomethyl phosphonic acid on zebrafish embryo development, 2021 (Madala glüfosaadi- ja aminometüülfosfoonhappe sisalduse mõju vöötdaanio embrüonaalsele arengule, 2021). Global transcriptomic profiling demonstrates induction of oxidative stress and compensatory cellular stress responses in brown trout exposed to glyphosate and Roundup, 2018 (Oksüdatiivse stressi ja kompenseerivate rakuliste stressireaktsioonide ilmingud glüfosaadi ja Roundupiga kokku puutunud jõeforelli globaalsel transkriptoomilisel profileerimisel, 2018).</w:t>
      </w:r>
    </w:p>
  </w:footnote>
  <w:footnote w:id="33">
    <w:p w14:paraId="53B2D29B"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Komisjoni otsus 10. märtsi 2004. aasta otsus 2004/248/EÜ atrasiini nõukogu direktiivi 91/414/EMÜ I lisasse kandmata jätmise ja kõnealust toimeainet sisaldavate taimekaitsevahendite lubade kehtetuks tunnistamise kohta (ELT L 78, 16.03.2004, lk 53).</w:t>
      </w:r>
    </w:p>
  </w:footnote>
  <w:footnote w:id="34">
    <w:p w14:paraId="0E466365" w14:textId="52F7B208"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Euroopa Parlamendi ja nõukogu 16. detsembri 2020. aasta direktiiv (EL) 2020/2184 olmevee kvaliteedi kohta (uuesti sõnasta</w:t>
      </w:r>
      <w:r>
        <w:rPr>
          <w:b/>
          <w:i/>
          <w:szCs w:val="24"/>
          <w:lang w:val="et-EE"/>
        </w:rPr>
        <w:t>tud) (ELT L 435, 23.12.2020, lk </w:t>
      </w:r>
      <w:r w:rsidRPr="00653E56">
        <w:rPr>
          <w:b/>
          <w:i/>
          <w:szCs w:val="24"/>
          <w:lang w:val="et-EE"/>
        </w:rPr>
        <w:t>1).</w:t>
      </w:r>
    </w:p>
  </w:footnote>
  <w:footnote w:id="35">
    <w:p w14:paraId="3D5FE06D"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SCHEER „Contribution to ENV consultation: Comments on the Commission’s proposal for amending the WFD/GWD/EQSD“ (Panus keskkonna nõukogu konsultatsiooni: Märkused komisjoni ettepaneku kohta muuta veepoliitika raamdirektiivi, põhjavee direktiivi, keskkonnakvaliteedi standardite direktiivi), märts 2023. SCHEER. Põhjavee kvaliteedistandardid põhjavee direktiivi (2006/118/EÜ) lisades esitatud täiendavate saasteainete kohta, juuli 2022.</w:t>
      </w:r>
    </w:p>
  </w:footnote>
  <w:footnote w:id="36">
    <w:p w14:paraId="22317B0F"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Euroopa Ravimiamet: Põhjavees kasutatavate veterinaarravimite toksikoloogilise riski hindamine inimeste tervisele ja põhjaveekogumitele – teaduslikud suunised, aprill 2018.</w:t>
      </w:r>
    </w:p>
  </w:footnote>
  <w:footnote w:id="37">
    <w:p w14:paraId="5F4AB089"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Euroopa põhjaveealane memorandum: Joogivee kvaliteedi ja kvantiteedi tagamine tulevaste põlvede jaoks, märts 2022.</w:t>
      </w:r>
    </w:p>
  </w:footnote>
  <w:footnote w:id="38">
    <w:p w14:paraId="4F63598D"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Euroopa Ravimiamet: Põhjavees kasutatavate veterinaarravimite toksikoloogilise riski hindamine inimeste tervisele ja põhjaveekogumitele – teaduslikud suunised, aprill 2018.</w:t>
      </w:r>
    </w:p>
  </w:footnote>
  <w:footnote w:id="39">
    <w:p w14:paraId="316F51A3"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16. detsembri 2020. aasta direktiiv (EL) 2020/2184 olmevee kvaliteedi kohta (uuesti sõnastatud) (ELT L 435, 23.12.2020, lk 1).</w:t>
      </w:r>
    </w:p>
  </w:footnote>
  <w:footnote w:id="40">
    <w:p w14:paraId="169BA4C5" w14:textId="1677CFE4" w:rsidR="00D1072B" w:rsidRPr="00653E56" w:rsidRDefault="00D1072B" w:rsidP="00653E56">
      <w:pPr>
        <w:pStyle w:val="FootnoteTextForceStyle"/>
        <w:ind w:left="709" w:hanging="709"/>
        <w:rPr>
          <w:szCs w:val="24"/>
          <w:lang w:val="et-EE"/>
        </w:rPr>
      </w:pPr>
      <w:r w:rsidRPr="00653E56">
        <w:rPr>
          <w:szCs w:val="24"/>
          <w:vertAlign w:val="superscript"/>
          <w:lang w:val="et-EE"/>
        </w:rPr>
        <w:footnoteRef/>
      </w:r>
      <w:r w:rsidRPr="00653E56">
        <w:rPr>
          <w:szCs w:val="24"/>
          <w:lang w:val="et-EE"/>
        </w:rPr>
        <w:tab/>
      </w:r>
      <w:r w:rsidRPr="00653E56">
        <w:rPr>
          <w:b/>
          <w:i/>
          <w:szCs w:val="24"/>
          <w:lang w:val="et-EE"/>
        </w:rPr>
        <w:t>„Global burden of bacterial antimicrobial resistance in 2019: a systematic analysis” (Bakteripõhise antimikroobse resisten</w:t>
      </w:r>
      <w:r>
        <w:rPr>
          <w:b/>
          <w:i/>
          <w:szCs w:val="24"/>
          <w:lang w:val="et-EE"/>
        </w:rPr>
        <w:t>tsuse ülemaailmne koormus 2019. </w:t>
      </w:r>
      <w:r w:rsidRPr="00653E56">
        <w:rPr>
          <w:b/>
          <w:i/>
          <w:szCs w:val="24"/>
          <w:lang w:val="et-EE"/>
        </w:rPr>
        <w:t>aastal: süsteemne analüüs), Lancet, 19. jaanuar 2022, https://www.sciencedirect.com/science/article/pii/S0140673621027240?via%3Dihub</w:t>
      </w:r>
    </w:p>
  </w:footnote>
  <w:footnote w:id="41">
    <w:p w14:paraId="6C0CE923"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https://www.sciencedirect.com/science/article/pii/S2352186422000724</w:t>
      </w:r>
    </w:p>
  </w:footnote>
  <w:footnote w:id="42">
    <w:p w14:paraId="4658E02C"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Komisjoni talituste töödokument „Veepoliitika raamdirektiivi, põhjaveedirektiivi, keskkonnakvaliteedi standardite direktiivi ja üleujutuste direktiivi toimivuskontroll“ (SWD(2019) 439 final).</w:t>
      </w:r>
    </w:p>
  </w:footnote>
  <w:footnote w:id="43">
    <w:p w14:paraId="5A9CC695"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https://www.igb-berlin.de/sites/default/files/media-files/download-files/IGB_Policy_Brief_WFD_2019.pdf</w:t>
      </w:r>
    </w:p>
  </w:footnote>
  <w:footnote w:id="44">
    <w:p w14:paraId="4B7B30B9"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14. märtsi 2007. aasta direktiiv 2007/2/EÜ, millega rajatakse Euroopa Ühenduse ruumiandmete infrastruktuur (INSPIRE) (ELT L 108, 25.4.2007, lk 1).</w:t>
      </w:r>
    </w:p>
  </w:footnote>
  <w:footnote w:id="45">
    <w:p w14:paraId="500906F1"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20. juuni 2019. aasta direktiiv (EL) 2019/1024 avaandmete ja avaliku sektori valduses oleva teabe taaskasutamise kohta (ELT L 172, 26.6.2019, lk 56).</w:t>
      </w:r>
    </w:p>
  </w:footnote>
  <w:footnote w:id="46">
    <w:p w14:paraId="055C2E4F"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strike/>
          <w:szCs w:val="24"/>
          <w:lang w:val="et-EE"/>
        </w:rPr>
        <w:t>Euroopa Parlamendi ja nõukogu 18. jaanuari 2006. aasta määrus (EÜ) nr 166/2006, mis käsitleb Euroopa saasteainete heite- ja ülekanderegistri loomist ning millega muudetakse nõukogu direktiive 91/689/EMÜ ja 96/61/EÜ (ELT L 33, 4.2.2006, lk 1).</w:t>
      </w:r>
    </w:p>
  </w:footnote>
  <w:footnote w:id="47">
    <w:p w14:paraId="3C694F9C"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48">
    <w:p w14:paraId="2F1FF561"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szCs w:val="24"/>
          <w:vertAlign w:val="superscript"/>
          <w:lang w:val="et-EE"/>
        </w:rPr>
        <w:t>+</w:t>
      </w:r>
      <w:r w:rsidRPr="00653E56">
        <w:rPr>
          <w:szCs w:val="24"/>
          <w:lang w:val="et-EE"/>
        </w:rPr>
        <w:t>Väljaannete talitus: palun lisada teksti dokumendis COM(2022) 157 sisalduva määruse number ning joonealusesse märkusesse selle määruse number, kuupäev, pealkiri ja ELT viide.</w:t>
      </w:r>
    </w:p>
  </w:footnote>
  <w:footnote w:id="49">
    <w:p w14:paraId="78155EAE"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Euroopa Kohtu (esimene koda) 28. mai 2020. aasta otsus kohtuasjas C-535/18 IL jt vs. Land Nordrhein Westfalen. Euroopa Kohtu (teine koda) 20. detsembri 2017. aasta otsus kohtuasjas C-664/15 Protect Natur-, Arten- und Landschaftsschutz Umweltorganisation vs. Bezirkshauptmannschaft Gmünd.</w:t>
      </w:r>
    </w:p>
  </w:footnote>
  <w:footnote w:id="50">
    <w:p w14:paraId="66DE2E3F"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t>Euroopa Parlamendi ja nõukogu 17. detsembri 2013. aasta otsus nr 1313/2013/EL liidu elanikkonnakaitse mehhanismi kohta (ELT L 347, 20.12.2013, lk 924).</w:t>
      </w:r>
    </w:p>
  </w:footnote>
  <w:footnote w:id="51">
    <w:p w14:paraId="74A11C99" w14:textId="77777777" w:rsidR="00D1072B" w:rsidRPr="00653E56" w:rsidRDefault="00D1072B" w:rsidP="00653E56">
      <w:pPr>
        <w:pStyle w:val="FootnoteTextForceStyle"/>
        <w:ind w:left="851" w:hanging="851"/>
        <w:rPr>
          <w:szCs w:val="24"/>
          <w:lang w:val="et-EE"/>
        </w:rPr>
      </w:pPr>
      <w:r w:rsidRPr="00653E56">
        <w:rPr>
          <w:szCs w:val="24"/>
          <w:vertAlign w:val="superscript"/>
          <w:lang w:val="et-EE"/>
        </w:rPr>
        <w:footnoteRef/>
      </w:r>
      <w:r w:rsidRPr="00653E56">
        <w:rPr>
          <w:szCs w:val="24"/>
          <w:lang w:val="et-EE"/>
        </w:rPr>
        <w:tab/>
      </w:r>
      <w:r w:rsidRPr="00653E56">
        <w:rPr>
          <w:b/>
          <w:i/>
          <w:szCs w:val="24"/>
          <w:lang w:val="et-EE"/>
        </w:rPr>
        <w:t>OECD, 6. vee rahastamise teemaline ümarlaud. Kättesaadav aadressil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FF51" w14:textId="77777777" w:rsidR="00D1072B" w:rsidRPr="007D1A24" w:rsidRDefault="00D107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1C525" w14:textId="77777777" w:rsidR="00D1072B" w:rsidRPr="007D1A24" w:rsidRDefault="00D1072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3DE3" w14:textId="77777777" w:rsidR="00D1072B" w:rsidRPr="007D1A24" w:rsidRDefault="00D107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D55CDA10"/>
    <w:lvl w:ilvl="0">
      <w:start w:val="1"/>
      <w:numFmt w:val="decimal"/>
      <w:pStyle w:val="ThetitleofAnnexIPoint0number"/>
      <w:lvlText w:val="%1."/>
      <w:lvlJc w:val="left"/>
      <w:pPr>
        <w:tabs>
          <w:tab w:val="num" w:pos="926"/>
        </w:tabs>
        <w:ind w:left="926" w:hanging="360"/>
      </w:pPr>
    </w:lvl>
  </w:abstractNum>
  <w:abstractNum w:abstractNumId="1" w15:restartNumberingAfterBreak="0">
    <w:nsid w:val="FFFFFF81"/>
    <w:multiLevelType w:val="singleLevel"/>
    <w:tmpl w:val="090446A8"/>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4CC41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7455E0"/>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BCC00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5"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575675458">
    <w:abstractNumId w:val="4"/>
  </w:num>
  <w:num w:numId="2" w16cid:durableId="873082185">
    <w:abstractNumId w:val="3"/>
  </w:num>
  <w:num w:numId="3" w16cid:durableId="543444317">
    <w:abstractNumId w:val="2"/>
  </w:num>
  <w:num w:numId="4" w16cid:durableId="1578048825">
    <w:abstractNumId w:val="1"/>
  </w:num>
  <w:num w:numId="5" w16cid:durableId="1307317331">
    <w:abstractNumId w:val="0"/>
  </w:num>
  <w:num w:numId="6" w16cid:durableId="1614482292">
    <w:abstractNumId w:val="6"/>
  </w:num>
  <w:num w:numId="7" w16cid:durableId="2089686619">
    <w:abstractNumId w:val="17"/>
  </w:num>
  <w:num w:numId="8" w16cid:durableId="1361710883">
    <w:abstractNumId w:val="9"/>
  </w:num>
  <w:num w:numId="9" w16cid:durableId="1699817010">
    <w:abstractNumId w:val="5"/>
  </w:num>
  <w:num w:numId="10" w16cid:durableId="1737779745">
    <w:abstractNumId w:val="14"/>
  </w:num>
  <w:num w:numId="11" w16cid:durableId="493187869">
    <w:abstractNumId w:val="24"/>
  </w:num>
  <w:num w:numId="12" w16cid:durableId="1977100732">
    <w:abstractNumId w:val="23"/>
  </w:num>
  <w:num w:numId="13" w16cid:durableId="78645724">
    <w:abstractNumId w:val="32"/>
  </w:num>
  <w:num w:numId="14" w16cid:durableId="1899239163">
    <w:abstractNumId w:val="7"/>
  </w:num>
  <w:num w:numId="15" w16cid:durableId="1211500325">
    <w:abstractNumId w:val="16"/>
  </w:num>
  <w:num w:numId="16" w16cid:durableId="896739428">
    <w:abstractNumId w:val="8"/>
  </w:num>
  <w:num w:numId="17" w16cid:durableId="282225947">
    <w:abstractNumId w:val="18"/>
  </w:num>
  <w:num w:numId="18" w16cid:durableId="1010061095">
    <w:abstractNumId w:val="15"/>
  </w:num>
  <w:num w:numId="19" w16cid:durableId="334117066">
    <w:abstractNumId w:val="25"/>
  </w:num>
  <w:num w:numId="20" w16cid:durableId="1840267569">
    <w:abstractNumId w:val="13"/>
  </w:num>
  <w:num w:numId="21" w16cid:durableId="844326008">
    <w:abstractNumId w:val="29"/>
  </w:num>
  <w:num w:numId="22" w16cid:durableId="783690926">
    <w:abstractNumId w:val="19"/>
  </w:num>
  <w:num w:numId="23" w16cid:durableId="663708460">
    <w:abstractNumId w:val="31"/>
  </w:num>
  <w:num w:numId="24" w16cid:durableId="150566936">
    <w:abstractNumId w:val="12"/>
  </w:num>
  <w:num w:numId="25" w16cid:durableId="1414202178">
    <w:abstractNumId w:val="20"/>
  </w:num>
  <w:num w:numId="26" w16cid:durableId="170527719">
    <w:abstractNumId w:val="21"/>
  </w:num>
  <w:num w:numId="27" w16cid:durableId="212039657">
    <w:abstractNumId w:val="10"/>
  </w:num>
  <w:num w:numId="28" w16cid:durableId="1554197835">
    <w:abstractNumId w:val="22"/>
  </w:num>
  <w:num w:numId="29" w16cid:durableId="908806879">
    <w:abstractNumId w:val="27"/>
  </w:num>
  <w:num w:numId="30" w16cid:durableId="1805275518">
    <w:abstractNumId w:val="28"/>
  </w:num>
  <w:num w:numId="31" w16cid:durableId="1801262485">
    <w:abstractNumId w:val="11"/>
  </w:num>
  <w:num w:numId="32" w16cid:durableId="105605449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ET"/>
    <w:docVar w:name="dvnumam" w:val="228"/>
    <w:docVar w:name="dvpe" w:val="740.884"/>
    <w:docVar w:name="dvrapporteur" w:val="Raportöör: "/>
    <w:docVar w:name="dvstar" w:val="***I"/>
    <w:docVar w:name="dvtitre" w:val="Euroopa Parlamendi .... 2024. aasta seadusandlik resolutsioon ettepaneku kohta võtta vastu Euroopa Parlamendi ja nõukogu direktiiv, millega muudetakse direktiivi 2000/60/EÜ, millega kehtestatakse ühenduse veepoliitika alane tegevusraamistik, direktiivi 2006/118/EÜ, mis käsitleb põhjavee kaitset reostuse ja seisundi halvenemise eest, ning direktiivi 2008/105/EÜ, mis käsitleb keskkonnakvaliteedi standardeid veepoliitika valdkonnas(COM(2022)0540 – C9-0361/2022 – 2022/0344(COD))"/>
  </w:docVars>
  <w:rsids>
    <w:rsidRoot w:val="00420EAC"/>
    <w:rsid w:val="00002272"/>
    <w:rsid w:val="000238DA"/>
    <w:rsid w:val="00064002"/>
    <w:rsid w:val="000677B9"/>
    <w:rsid w:val="000831BA"/>
    <w:rsid w:val="000A42CC"/>
    <w:rsid w:val="000B7BF7"/>
    <w:rsid w:val="000E7DD9"/>
    <w:rsid w:val="0010095E"/>
    <w:rsid w:val="00125B37"/>
    <w:rsid w:val="00187494"/>
    <w:rsid w:val="001B3D34"/>
    <w:rsid w:val="001D41FA"/>
    <w:rsid w:val="001F32AE"/>
    <w:rsid w:val="002310C9"/>
    <w:rsid w:val="002767FF"/>
    <w:rsid w:val="002B18FE"/>
    <w:rsid w:val="002B5493"/>
    <w:rsid w:val="002F1B82"/>
    <w:rsid w:val="00322782"/>
    <w:rsid w:val="00343214"/>
    <w:rsid w:val="00361C00"/>
    <w:rsid w:val="00395FA1"/>
    <w:rsid w:val="003A293C"/>
    <w:rsid w:val="003E15D4"/>
    <w:rsid w:val="00411CCE"/>
    <w:rsid w:val="0041666E"/>
    <w:rsid w:val="00420EAC"/>
    <w:rsid w:val="00421060"/>
    <w:rsid w:val="00471C19"/>
    <w:rsid w:val="004867E3"/>
    <w:rsid w:val="00494A28"/>
    <w:rsid w:val="004C0004"/>
    <w:rsid w:val="004C5D52"/>
    <w:rsid w:val="0050519A"/>
    <w:rsid w:val="005072A1"/>
    <w:rsid w:val="00514517"/>
    <w:rsid w:val="005208EA"/>
    <w:rsid w:val="005230E3"/>
    <w:rsid w:val="00545827"/>
    <w:rsid w:val="00560270"/>
    <w:rsid w:val="005C2568"/>
    <w:rsid w:val="006037C0"/>
    <w:rsid w:val="00653E56"/>
    <w:rsid w:val="006631B6"/>
    <w:rsid w:val="00680577"/>
    <w:rsid w:val="006E0805"/>
    <w:rsid w:val="006F74FA"/>
    <w:rsid w:val="00731ADD"/>
    <w:rsid w:val="00734777"/>
    <w:rsid w:val="00747932"/>
    <w:rsid w:val="00751A4A"/>
    <w:rsid w:val="00756632"/>
    <w:rsid w:val="00762C74"/>
    <w:rsid w:val="007859A8"/>
    <w:rsid w:val="00786EC0"/>
    <w:rsid w:val="007D1690"/>
    <w:rsid w:val="007E22AD"/>
    <w:rsid w:val="00817416"/>
    <w:rsid w:val="00842779"/>
    <w:rsid w:val="00862394"/>
    <w:rsid w:val="00865F67"/>
    <w:rsid w:val="00881A7B"/>
    <w:rsid w:val="008840E5"/>
    <w:rsid w:val="00887B3E"/>
    <w:rsid w:val="008A04CB"/>
    <w:rsid w:val="008B5757"/>
    <w:rsid w:val="008C2AC6"/>
    <w:rsid w:val="008F77EF"/>
    <w:rsid w:val="00930C23"/>
    <w:rsid w:val="0093193B"/>
    <w:rsid w:val="009509D8"/>
    <w:rsid w:val="00950B64"/>
    <w:rsid w:val="00956089"/>
    <w:rsid w:val="0097022D"/>
    <w:rsid w:val="00981893"/>
    <w:rsid w:val="009B18F2"/>
    <w:rsid w:val="00A1687D"/>
    <w:rsid w:val="00A43E52"/>
    <w:rsid w:val="00A4678D"/>
    <w:rsid w:val="00A66115"/>
    <w:rsid w:val="00A778C7"/>
    <w:rsid w:val="00AB441E"/>
    <w:rsid w:val="00AB6293"/>
    <w:rsid w:val="00AE0928"/>
    <w:rsid w:val="00AE69CA"/>
    <w:rsid w:val="00AF3B82"/>
    <w:rsid w:val="00B12E95"/>
    <w:rsid w:val="00B22876"/>
    <w:rsid w:val="00B558F0"/>
    <w:rsid w:val="00BC271D"/>
    <w:rsid w:val="00BD48FE"/>
    <w:rsid w:val="00BD7BD8"/>
    <w:rsid w:val="00BE4FBE"/>
    <w:rsid w:val="00BE6ADC"/>
    <w:rsid w:val="00C05A6E"/>
    <w:rsid w:val="00C05BFE"/>
    <w:rsid w:val="00C23CD4"/>
    <w:rsid w:val="00C45ED4"/>
    <w:rsid w:val="00C61C0C"/>
    <w:rsid w:val="00C941CB"/>
    <w:rsid w:val="00CB2133"/>
    <w:rsid w:val="00CC2357"/>
    <w:rsid w:val="00CF071A"/>
    <w:rsid w:val="00D058B8"/>
    <w:rsid w:val="00D1072B"/>
    <w:rsid w:val="00D12FD3"/>
    <w:rsid w:val="00D2672E"/>
    <w:rsid w:val="00D30CC0"/>
    <w:rsid w:val="00D56C11"/>
    <w:rsid w:val="00D71270"/>
    <w:rsid w:val="00D834A0"/>
    <w:rsid w:val="00D872DF"/>
    <w:rsid w:val="00D91E21"/>
    <w:rsid w:val="00DA7FCD"/>
    <w:rsid w:val="00DF4B4C"/>
    <w:rsid w:val="00E365E1"/>
    <w:rsid w:val="00E820A4"/>
    <w:rsid w:val="00E87FD2"/>
    <w:rsid w:val="00EB006A"/>
    <w:rsid w:val="00EB4772"/>
    <w:rsid w:val="00EC5D77"/>
    <w:rsid w:val="00ED169E"/>
    <w:rsid w:val="00ED4235"/>
    <w:rsid w:val="00EE61CD"/>
    <w:rsid w:val="00F04346"/>
    <w:rsid w:val="00F075DC"/>
    <w:rsid w:val="00F149E9"/>
    <w:rsid w:val="00F21202"/>
    <w:rsid w:val="00F503C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5E2CC"/>
  <w15:chartTrackingRefBased/>
  <w15:docId w15:val="{E961E5B3-AE1A-478A-BD4F-19C288C62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iPriority="35" w:unhideWhenUsed="1"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macro" w:uiPriority="99"/>
    <w:lsdException w:name="List" w:uiPriority="99"/>
    <w:lsdException w:name="List Number" w:uiPriority="99"/>
    <w:lsdException w:name="List 2" w:uiPriority="99"/>
    <w:lsdException w:name="List 3" w:uiPriority="99"/>
    <w:lsdException w:name="List 4" w:uiPriority="99"/>
    <w:lsdException w:name="List 5"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qFormat="1"/>
    <w:lsdException w:name="Closing" w:uiPriority="99"/>
    <w:lsdException w:name="Signature" w:uiPriority="99"/>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6"/>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6"/>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6"/>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7"/>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A293C"/>
    <w:rPr>
      <w:b/>
      <w:kern w:val="28"/>
      <w:sz w:val="28"/>
      <w:lang w:val="fr-FR" w:eastAsia="fr-FR"/>
    </w:rPr>
  </w:style>
  <w:style w:type="character" w:customStyle="1" w:styleId="Heading2Char">
    <w:name w:val="Heading 2 Char"/>
    <w:basedOn w:val="DefaultParagraphFont"/>
    <w:link w:val="Heading2"/>
    <w:uiPriority w:val="9"/>
    <w:semiHidden/>
    <w:rsid w:val="003A293C"/>
    <w:rPr>
      <w:sz w:val="24"/>
      <w:lang w:val="fr-FR" w:eastAsia="fr-FR"/>
    </w:rPr>
  </w:style>
  <w:style w:type="character" w:customStyle="1" w:styleId="Heading3Char">
    <w:name w:val="Heading 3 Char"/>
    <w:basedOn w:val="DefaultParagraphFont"/>
    <w:link w:val="Heading3"/>
    <w:uiPriority w:val="9"/>
    <w:semiHidden/>
    <w:rsid w:val="003A293C"/>
    <w:rPr>
      <w:rFonts w:ascii="Arial" w:hAnsi="Arial"/>
      <w:sz w:val="24"/>
      <w:lang w:val="fr-FR" w:eastAsia="fr-FR"/>
    </w:rPr>
  </w:style>
  <w:style w:type="character" w:customStyle="1" w:styleId="Heading4Char">
    <w:name w:val="Heading 4 Char"/>
    <w:basedOn w:val="DefaultParagraphFont"/>
    <w:link w:val="Heading4"/>
    <w:uiPriority w:val="9"/>
    <w:semiHidden/>
    <w:rsid w:val="003A293C"/>
    <w:rPr>
      <w:sz w:val="24"/>
      <w:lang w:val="en-US" w:eastAsia="fr-FR"/>
    </w:rPr>
  </w:style>
  <w:style w:type="character" w:customStyle="1" w:styleId="Heading5Char">
    <w:name w:val="Heading 5 Char"/>
    <w:basedOn w:val="DefaultParagraphFont"/>
    <w:link w:val="Heading5"/>
    <w:uiPriority w:val="9"/>
    <w:semiHidden/>
    <w:rsid w:val="003A293C"/>
    <w:rPr>
      <w:sz w:val="24"/>
      <w:lang w:val="en-US" w:eastAsia="fr-FR"/>
    </w:rPr>
  </w:style>
  <w:style w:type="character" w:customStyle="1" w:styleId="Heading6Char">
    <w:name w:val="Heading 6 Char"/>
    <w:basedOn w:val="DefaultParagraphFont"/>
    <w:link w:val="Heading6"/>
    <w:uiPriority w:val="9"/>
    <w:semiHidden/>
    <w:rsid w:val="003A293C"/>
    <w:rPr>
      <w:i/>
      <w:sz w:val="22"/>
      <w:lang w:val="et-EE"/>
    </w:rPr>
  </w:style>
  <w:style w:type="character" w:customStyle="1" w:styleId="Heading7Char">
    <w:name w:val="Heading 7 Char"/>
    <w:basedOn w:val="DefaultParagraphFont"/>
    <w:link w:val="Heading7"/>
    <w:uiPriority w:val="9"/>
    <w:semiHidden/>
    <w:rsid w:val="003A293C"/>
    <w:rPr>
      <w:rFonts w:ascii="Arial" w:hAnsi="Arial"/>
      <w:sz w:val="24"/>
      <w:lang w:val="et-EE"/>
    </w:rPr>
  </w:style>
  <w:style w:type="character" w:customStyle="1" w:styleId="Heading8Char">
    <w:name w:val="Heading 8 Char"/>
    <w:basedOn w:val="DefaultParagraphFont"/>
    <w:link w:val="Heading8"/>
    <w:uiPriority w:val="9"/>
    <w:rsid w:val="003A293C"/>
    <w:rPr>
      <w:rFonts w:ascii="Arial" w:hAnsi="Arial"/>
      <w:i/>
      <w:sz w:val="24"/>
      <w:lang w:val="et-EE"/>
    </w:rPr>
  </w:style>
  <w:style w:type="character" w:customStyle="1" w:styleId="Heading9Char">
    <w:name w:val="Heading 9 Char"/>
    <w:basedOn w:val="DefaultParagraphFont"/>
    <w:link w:val="Heading9"/>
    <w:uiPriority w:val="9"/>
    <w:rsid w:val="003A293C"/>
    <w:rPr>
      <w:rFonts w:ascii="Arial" w:hAnsi="Arial"/>
      <w:b/>
      <w:i/>
      <w:sz w:val="18"/>
      <w:lang w:val="et-EE"/>
    </w:rPr>
  </w:style>
  <w:style w:type="paragraph" w:styleId="TOCHeading">
    <w:name w:val="TOC Heading"/>
    <w:basedOn w:val="Normal"/>
    <w:next w:val="Normal"/>
    <w:uiPriority w:val="39"/>
    <w:unhideWhenUsed/>
    <w:qFormat/>
    <w:rsid w:val="003A293C"/>
    <w:pPr>
      <w:widowControl/>
      <w:spacing w:after="240"/>
    </w:pPr>
    <w:rPr>
      <w:lang w:val="en-GB"/>
    </w:rPr>
  </w:style>
  <w:style w:type="paragraph" w:customStyle="1" w:styleId="EPFooter2">
    <w:name w:val="EPFooter2"/>
    <w:basedOn w:val="Normal"/>
    <w:next w:val="Normal"/>
    <w:rsid w:val="003A293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A293C"/>
    <w:pPr>
      <w:keepNext/>
      <w:spacing w:after="240"/>
      <w:jc w:val="right"/>
    </w:pPr>
    <w:rPr>
      <w:rFonts w:ascii="Arial" w:hAnsi="Arial"/>
      <w:b/>
    </w:rPr>
  </w:style>
  <w:style w:type="paragraph" w:customStyle="1" w:styleId="Normal6a">
    <w:name w:val="Normal6a"/>
    <w:basedOn w:val="Normal"/>
    <w:rsid w:val="003A293C"/>
    <w:pPr>
      <w:spacing w:after="120"/>
    </w:pPr>
  </w:style>
  <w:style w:type="paragraph" w:customStyle="1" w:styleId="PageHeading">
    <w:name w:val="PageHeading"/>
    <w:basedOn w:val="Normal"/>
    <w:rsid w:val="003A293C"/>
    <w:pPr>
      <w:keepNext/>
      <w:spacing w:after="480"/>
      <w:jc w:val="center"/>
    </w:pPr>
    <w:rPr>
      <w:rFonts w:ascii="Arial" w:hAnsi="Arial" w:cs="Arial"/>
      <w:b/>
    </w:rPr>
  </w:style>
  <w:style w:type="paragraph" w:customStyle="1" w:styleId="NormalBold">
    <w:name w:val="NormalBold"/>
    <w:basedOn w:val="Normal"/>
    <w:link w:val="NormalBoldChar"/>
    <w:rsid w:val="003A293C"/>
    <w:rPr>
      <w:b/>
    </w:rPr>
  </w:style>
  <w:style w:type="character" w:customStyle="1" w:styleId="NormalBoldChar">
    <w:name w:val="NormalBold Char"/>
    <w:basedOn w:val="DefaultParagraphFont"/>
    <w:link w:val="NormalBold"/>
    <w:rsid w:val="003A293C"/>
    <w:rPr>
      <w:b/>
      <w:sz w:val="24"/>
      <w:lang w:val="et-EE"/>
    </w:rPr>
  </w:style>
  <w:style w:type="paragraph" w:customStyle="1" w:styleId="NormalBold12a">
    <w:name w:val="NormalBold12a"/>
    <w:basedOn w:val="Normal"/>
    <w:rsid w:val="003A293C"/>
    <w:pPr>
      <w:spacing w:after="240"/>
    </w:pPr>
    <w:rPr>
      <w:b/>
    </w:rPr>
  </w:style>
  <w:style w:type="paragraph" w:customStyle="1" w:styleId="AmJustText">
    <w:name w:val="AmJustText"/>
    <w:basedOn w:val="Normal"/>
    <w:rsid w:val="003A293C"/>
    <w:pPr>
      <w:spacing w:after="240"/>
    </w:pPr>
    <w:rPr>
      <w:i/>
    </w:rPr>
  </w:style>
  <w:style w:type="paragraph" w:customStyle="1" w:styleId="NormalHanging12a">
    <w:name w:val="NormalHanging12a"/>
    <w:basedOn w:val="Normal"/>
    <w:rsid w:val="003A293C"/>
    <w:pPr>
      <w:spacing w:after="240"/>
      <w:ind w:left="567" w:hanging="567"/>
    </w:pPr>
  </w:style>
  <w:style w:type="paragraph" w:customStyle="1" w:styleId="CoverNormal24a">
    <w:name w:val="CoverNormal24a"/>
    <w:basedOn w:val="Normal"/>
    <w:rsid w:val="003A293C"/>
    <w:pPr>
      <w:spacing w:after="480"/>
      <w:ind w:left="1417"/>
    </w:pPr>
  </w:style>
  <w:style w:type="paragraph" w:customStyle="1" w:styleId="CoverNormal">
    <w:name w:val="CoverNormal"/>
    <w:basedOn w:val="Normal"/>
    <w:rsid w:val="003A293C"/>
    <w:pPr>
      <w:ind w:left="1418"/>
    </w:pPr>
  </w:style>
  <w:style w:type="paragraph" w:customStyle="1" w:styleId="AmCrossRef">
    <w:name w:val="AmCrossRef"/>
    <w:basedOn w:val="Normal"/>
    <w:rsid w:val="003A293C"/>
    <w:pPr>
      <w:spacing w:before="240" w:after="240"/>
      <w:jc w:val="center"/>
    </w:pPr>
    <w:rPr>
      <w:i/>
    </w:rPr>
  </w:style>
  <w:style w:type="paragraph" w:customStyle="1" w:styleId="AmJustTitle">
    <w:name w:val="AmJustTitle"/>
    <w:basedOn w:val="Normal"/>
    <w:next w:val="AmJustText"/>
    <w:rsid w:val="003A293C"/>
    <w:pPr>
      <w:keepNext/>
      <w:spacing w:before="240" w:after="240"/>
      <w:jc w:val="center"/>
    </w:pPr>
    <w:rPr>
      <w:i/>
    </w:rPr>
  </w:style>
  <w:style w:type="paragraph" w:customStyle="1" w:styleId="CoverReference">
    <w:name w:val="CoverReference"/>
    <w:basedOn w:val="Normal"/>
    <w:rsid w:val="003A293C"/>
    <w:pPr>
      <w:spacing w:before="1080"/>
      <w:jc w:val="right"/>
    </w:pPr>
    <w:rPr>
      <w:rFonts w:ascii="Arial" w:hAnsi="Arial" w:cs="Arial"/>
      <w:b/>
    </w:rPr>
  </w:style>
  <w:style w:type="paragraph" w:customStyle="1" w:styleId="CoverDocType">
    <w:name w:val="CoverDocType"/>
    <w:basedOn w:val="Normal"/>
    <w:rsid w:val="003A293C"/>
    <w:pPr>
      <w:ind w:left="1418"/>
    </w:pPr>
    <w:rPr>
      <w:rFonts w:ascii="Arial" w:hAnsi="Arial"/>
      <w:b/>
      <w:sz w:val="48"/>
    </w:rPr>
  </w:style>
  <w:style w:type="paragraph" w:customStyle="1" w:styleId="CoverDocType24a">
    <w:name w:val="CoverDocType24a"/>
    <w:basedOn w:val="Normal"/>
    <w:rsid w:val="003A293C"/>
    <w:pPr>
      <w:spacing w:after="480"/>
      <w:ind w:left="1418"/>
    </w:pPr>
    <w:rPr>
      <w:rFonts w:ascii="Arial" w:hAnsi="Arial"/>
      <w:b/>
      <w:sz w:val="48"/>
    </w:rPr>
  </w:style>
  <w:style w:type="paragraph" w:customStyle="1" w:styleId="CoverDate">
    <w:name w:val="CoverDate"/>
    <w:basedOn w:val="Normal"/>
    <w:rsid w:val="003A293C"/>
    <w:pPr>
      <w:spacing w:before="240" w:after="1200"/>
    </w:pPr>
  </w:style>
  <w:style w:type="paragraph" w:styleId="Header">
    <w:name w:val="header"/>
    <w:basedOn w:val="Normal"/>
    <w:link w:val="HeaderChar"/>
    <w:uiPriority w:val="99"/>
    <w:rsid w:val="003A293C"/>
    <w:pPr>
      <w:tabs>
        <w:tab w:val="center" w:pos="4513"/>
        <w:tab w:val="right" w:pos="9026"/>
      </w:tabs>
    </w:pPr>
  </w:style>
  <w:style w:type="character" w:customStyle="1" w:styleId="HeaderChar">
    <w:name w:val="Header Char"/>
    <w:basedOn w:val="DefaultParagraphFont"/>
    <w:link w:val="Header"/>
    <w:uiPriority w:val="99"/>
    <w:rsid w:val="003A293C"/>
    <w:rPr>
      <w:sz w:val="24"/>
      <w:lang w:val="et-EE"/>
    </w:rPr>
  </w:style>
  <w:style w:type="paragraph" w:customStyle="1" w:styleId="AmOrLang">
    <w:name w:val="AmOrLang"/>
    <w:basedOn w:val="Normal"/>
    <w:rsid w:val="003A293C"/>
    <w:pPr>
      <w:spacing w:before="240" w:after="240"/>
      <w:jc w:val="right"/>
    </w:pPr>
  </w:style>
  <w:style w:type="paragraph" w:customStyle="1" w:styleId="AmColumnHeading">
    <w:name w:val="AmColumnHeading"/>
    <w:basedOn w:val="Normal"/>
    <w:rsid w:val="003A293C"/>
    <w:pPr>
      <w:spacing w:after="240"/>
      <w:jc w:val="center"/>
    </w:pPr>
    <w:rPr>
      <w:i/>
    </w:rPr>
  </w:style>
  <w:style w:type="paragraph" w:customStyle="1" w:styleId="AmNumberTabs">
    <w:name w:val="AmNumberTabs"/>
    <w:basedOn w:val="Normal"/>
    <w:link w:val="AmNumberTabsChar"/>
    <w:rsid w:val="003A29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A293C"/>
    <w:rPr>
      <w:b/>
      <w:sz w:val="24"/>
      <w:lang w:val="et-EE"/>
    </w:rPr>
  </w:style>
  <w:style w:type="paragraph" w:customStyle="1" w:styleId="NormalBold12b">
    <w:name w:val="NormalBold12b"/>
    <w:basedOn w:val="Normal"/>
    <w:link w:val="NormalBold12bChar"/>
    <w:rsid w:val="003A293C"/>
    <w:pPr>
      <w:spacing w:before="240"/>
    </w:pPr>
    <w:rPr>
      <w:b/>
    </w:rPr>
  </w:style>
  <w:style w:type="character" w:customStyle="1" w:styleId="NormalBold12bChar">
    <w:name w:val="NormalBold12b Char"/>
    <w:basedOn w:val="AmNumberTabsChar"/>
    <w:link w:val="NormalBold12b"/>
    <w:rsid w:val="003A293C"/>
    <w:rPr>
      <w:b/>
      <w:sz w:val="24"/>
      <w:lang w:val="et-EE"/>
    </w:rPr>
  </w:style>
  <w:style w:type="paragraph" w:customStyle="1" w:styleId="EPBody">
    <w:name w:val="EPBody"/>
    <w:basedOn w:val="Normal"/>
    <w:rsid w:val="003A293C"/>
    <w:pPr>
      <w:jc w:val="center"/>
    </w:pPr>
    <w:rPr>
      <w:rFonts w:ascii="Arial" w:hAnsi="Arial" w:cs="Arial"/>
      <w:i/>
      <w:sz w:val="22"/>
      <w:szCs w:val="22"/>
    </w:rPr>
  </w:style>
  <w:style w:type="paragraph" w:customStyle="1" w:styleId="EPFooter">
    <w:name w:val="EPFooter"/>
    <w:basedOn w:val="Normal"/>
    <w:rsid w:val="003A293C"/>
    <w:pPr>
      <w:tabs>
        <w:tab w:val="center" w:pos="4535"/>
        <w:tab w:val="right" w:pos="9071"/>
      </w:tabs>
      <w:spacing w:before="240" w:after="240"/>
    </w:pPr>
    <w:rPr>
      <w:color w:val="010000"/>
      <w:sz w:val="22"/>
    </w:rPr>
  </w:style>
  <w:style w:type="paragraph" w:customStyle="1" w:styleId="EPComma">
    <w:name w:val="EPComma"/>
    <w:basedOn w:val="Normal"/>
    <w:rsid w:val="003A293C"/>
    <w:pPr>
      <w:spacing w:before="480" w:after="240"/>
    </w:pPr>
  </w:style>
  <w:style w:type="paragraph" w:customStyle="1" w:styleId="Lgendesigne">
    <w:name w:val="Légende signe"/>
    <w:basedOn w:val="Normal"/>
    <w:rsid w:val="003A293C"/>
    <w:pPr>
      <w:tabs>
        <w:tab w:val="right" w:pos="454"/>
        <w:tab w:val="left" w:pos="737"/>
      </w:tabs>
      <w:ind w:left="737" w:hanging="737"/>
    </w:pPr>
    <w:rPr>
      <w:snapToGrid w:val="0"/>
      <w:sz w:val="18"/>
      <w:lang w:eastAsia="en-US"/>
    </w:rPr>
  </w:style>
  <w:style w:type="paragraph" w:customStyle="1" w:styleId="Lgendetitre">
    <w:name w:val="Légende titre"/>
    <w:basedOn w:val="Normal"/>
    <w:rsid w:val="003A293C"/>
    <w:pPr>
      <w:spacing w:before="240" w:after="240"/>
    </w:pPr>
    <w:rPr>
      <w:b/>
      <w:i/>
      <w:snapToGrid w:val="0"/>
      <w:lang w:eastAsia="en-US"/>
    </w:rPr>
  </w:style>
  <w:style w:type="paragraph" w:customStyle="1" w:styleId="Lgendestandard">
    <w:name w:val="Légende standard"/>
    <w:basedOn w:val="Normal"/>
    <w:rsid w:val="003A293C"/>
    <w:rPr>
      <w:sz w:val="18"/>
    </w:rPr>
  </w:style>
  <w:style w:type="paragraph" w:customStyle="1" w:styleId="EntPE">
    <w:name w:val="EntPE"/>
    <w:basedOn w:val="Normal12"/>
    <w:rsid w:val="003A293C"/>
    <w:pPr>
      <w:jc w:val="center"/>
    </w:pPr>
    <w:rPr>
      <w:noProof w:val="0"/>
      <w:sz w:val="56"/>
    </w:rPr>
  </w:style>
  <w:style w:type="paragraph" w:customStyle="1" w:styleId="Normal12">
    <w:name w:val="Normal12"/>
    <w:basedOn w:val="Normal"/>
    <w:link w:val="Normal12Char"/>
    <w:rsid w:val="003A293C"/>
    <w:pPr>
      <w:spacing w:after="240"/>
    </w:pPr>
    <w:rPr>
      <w:noProof/>
    </w:rPr>
  </w:style>
  <w:style w:type="character" w:customStyle="1" w:styleId="Normal12Char">
    <w:name w:val="Normal12 Char"/>
    <w:basedOn w:val="DefaultParagraphFont"/>
    <w:link w:val="Normal12"/>
    <w:locked/>
    <w:rsid w:val="003A293C"/>
    <w:rPr>
      <w:noProof/>
      <w:sz w:val="24"/>
      <w:lang w:val="et-EE"/>
    </w:rPr>
  </w:style>
  <w:style w:type="paragraph" w:customStyle="1" w:styleId="CommitteeAM">
    <w:name w:val="CommitteeAM"/>
    <w:basedOn w:val="Normal"/>
    <w:rsid w:val="003A293C"/>
    <w:pPr>
      <w:spacing w:before="240" w:after="600"/>
      <w:jc w:val="center"/>
    </w:pPr>
    <w:rPr>
      <w:i/>
    </w:rPr>
  </w:style>
  <w:style w:type="paragraph" w:customStyle="1" w:styleId="ZDateAM">
    <w:name w:val="ZDateAM"/>
    <w:basedOn w:val="Normal"/>
    <w:rsid w:val="003A293C"/>
    <w:pPr>
      <w:tabs>
        <w:tab w:val="right" w:pos="9356"/>
      </w:tabs>
      <w:spacing w:after="480"/>
    </w:pPr>
    <w:rPr>
      <w:noProof/>
    </w:rPr>
  </w:style>
  <w:style w:type="paragraph" w:customStyle="1" w:styleId="ProjRap">
    <w:name w:val="ProjRap"/>
    <w:basedOn w:val="Normal"/>
    <w:rsid w:val="003A293C"/>
    <w:pPr>
      <w:tabs>
        <w:tab w:val="right" w:pos="9356"/>
      </w:tabs>
    </w:pPr>
    <w:rPr>
      <w:b/>
      <w:noProof/>
    </w:rPr>
  </w:style>
  <w:style w:type="paragraph" w:customStyle="1" w:styleId="PELeft">
    <w:name w:val="PELeft"/>
    <w:basedOn w:val="Normal"/>
    <w:rsid w:val="003A293C"/>
    <w:pPr>
      <w:spacing w:before="40" w:after="40"/>
    </w:pPr>
    <w:rPr>
      <w:rFonts w:ascii="Arial" w:hAnsi="Arial" w:cs="Arial"/>
      <w:sz w:val="22"/>
      <w:szCs w:val="22"/>
    </w:rPr>
  </w:style>
  <w:style w:type="paragraph" w:customStyle="1" w:styleId="PERight">
    <w:name w:val="PERight"/>
    <w:basedOn w:val="Normal"/>
    <w:next w:val="Normal"/>
    <w:rsid w:val="003A293C"/>
    <w:pPr>
      <w:jc w:val="right"/>
    </w:pPr>
    <w:rPr>
      <w:rFonts w:ascii="Arial" w:hAnsi="Arial" w:cs="Arial"/>
      <w:sz w:val="22"/>
      <w:szCs w:val="22"/>
    </w:rPr>
  </w:style>
  <w:style w:type="paragraph" w:customStyle="1" w:styleId="Normal6">
    <w:name w:val="Normal6"/>
    <w:basedOn w:val="Normal"/>
    <w:link w:val="Normal6Char"/>
    <w:rsid w:val="003A293C"/>
    <w:pPr>
      <w:spacing w:after="120"/>
    </w:pPr>
  </w:style>
  <w:style w:type="character" w:customStyle="1" w:styleId="Normal6Char">
    <w:name w:val="Normal6 Char"/>
    <w:basedOn w:val="DefaultParagraphFont"/>
    <w:link w:val="Normal6"/>
    <w:rsid w:val="003A293C"/>
    <w:rPr>
      <w:sz w:val="24"/>
      <w:lang w:val="et-EE"/>
    </w:rPr>
  </w:style>
  <w:style w:type="paragraph" w:customStyle="1" w:styleId="Normal12Italic">
    <w:name w:val="Normal12Italic"/>
    <w:basedOn w:val="Normal12"/>
    <w:rsid w:val="003A293C"/>
    <w:rPr>
      <w:i/>
    </w:rPr>
  </w:style>
  <w:style w:type="paragraph" w:customStyle="1" w:styleId="JustificationTitle">
    <w:name w:val="JustificationTitle"/>
    <w:basedOn w:val="Normal"/>
    <w:next w:val="Normal12"/>
    <w:rsid w:val="003A293C"/>
    <w:pPr>
      <w:keepNext/>
      <w:spacing w:before="240" w:after="240"/>
      <w:jc w:val="center"/>
    </w:pPr>
    <w:rPr>
      <w:i/>
      <w:noProof/>
    </w:rPr>
  </w:style>
  <w:style w:type="paragraph" w:customStyle="1" w:styleId="Olang">
    <w:name w:val="Olang"/>
    <w:basedOn w:val="Normal"/>
    <w:rsid w:val="003A293C"/>
    <w:pPr>
      <w:spacing w:before="240" w:after="240"/>
      <w:jc w:val="right"/>
    </w:pPr>
    <w:rPr>
      <w:noProof/>
      <w:szCs w:val="24"/>
    </w:rPr>
  </w:style>
  <w:style w:type="paragraph" w:customStyle="1" w:styleId="ColumnHeading">
    <w:name w:val="ColumnHeading"/>
    <w:basedOn w:val="Normal"/>
    <w:rsid w:val="003A293C"/>
    <w:pPr>
      <w:spacing w:after="240"/>
      <w:jc w:val="center"/>
    </w:pPr>
    <w:rPr>
      <w:i/>
    </w:rPr>
  </w:style>
  <w:style w:type="paragraph" w:customStyle="1" w:styleId="AMNumberTabs0">
    <w:name w:val="AMNumberTabs"/>
    <w:basedOn w:val="Normal"/>
    <w:rsid w:val="003A29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A293C"/>
    <w:pPr>
      <w:spacing w:before="240"/>
      <w:jc w:val="center"/>
    </w:pPr>
    <w:rPr>
      <w:i/>
    </w:rPr>
  </w:style>
  <w:style w:type="character" w:customStyle="1" w:styleId="Footer2Middle">
    <w:name w:val="Footer2Middle"/>
    <w:rsid w:val="003A293C"/>
    <w:rPr>
      <w:rFonts w:ascii="Arial" w:cs="Arial"/>
      <w:b w:val="0"/>
      <w:i/>
      <w:color w:val="C0C0C0"/>
      <w:sz w:val="22"/>
    </w:rPr>
  </w:style>
  <w:style w:type="paragraph" w:customStyle="1" w:styleId="Normal24a">
    <w:name w:val="Normal24a"/>
    <w:basedOn w:val="Normal"/>
    <w:rsid w:val="003A293C"/>
    <w:pPr>
      <w:spacing w:after="480"/>
    </w:pPr>
  </w:style>
  <w:style w:type="paragraph" w:customStyle="1" w:styleId="NormalBoldCenter">
    <w:name w:val="NormalBoldCenter"/>
    <w:basedOn w:val="Normal"/>
    <w:rsid w:val="003A293C"/>
    <w:pPr>
      <w:jc w:val="center"/>
    </w:pPr>
    <w:rPr>
      <w:b/>
    </w:rPr>
  </w:style>
  <w:style w:type="paragraph" w:customStyle="1" w:styleId="Point0number">
    <w:name w:val="Point 0 (number)"/>
    <w:basedOn w:val="Normal"/>
    <w:rsid w:val="003A293C"/>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rsid w:val="003A293C"/>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rsid w:val="003A293C"/>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rsid w:val="003A293C"/>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rsid w:val="003A293C"/>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rsid w:val="003A293C"/>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rsid w:val="003A293C"/>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rsid w:val="003A293C"/>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rsid w:val="003A293C"/>
    <w:pPr>
      <w:widowControl/>
      <w:numPr>
        <w:ilvl w:val="8"/>
        <w:numId w:val="8"/>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3A293C"/>
    <w:rPr>
      <w:rFonts w:ascii="Segoe UI" w:hAnsi="Segoe UI" w:cs="Segoe UI"/>
      <w:sz w:val="18"/>
      <w:szCs w:val="18"/>
    </w:rPr>
  </w:style>
  <w:style w:type="character" w:customStyle="1" w:styleId="BalloonTextChar">
    <w:name w:val="Balloon Text Char"/>
    <w:basedOn w:val="DefaultParagraphFont"/>
    <w:link w:val="BalloonText"/>
    <w:uiPriority w:val="99"/>
    <w:rsid w:val="003A293C"/>
    <w:rPr>
      <w:rFonts w:ascii="Segoe UI" w:hAnsi="Segoe UI" w:cs="Segoe UI"/>
      <w:sz w:val="18"/>
      <w:szCs w:val="18"/>
      <w:lang w:val="et-EE"/>
    </w:rPr>
  </w:style>
  <w:style w:type="character" w:styleId="CommentReference">
    <w:name w:val="annotation reference"/>
    <w:basedOn w:val="DefaultParagraphFont"/>
    <w:uiPriority w:val="99"/>
    <w:rsid w:val="003A293C"/>
    <w:rPr>
      <w:sz w:val="16"/>
      <w:szCs w:val="16"/>
    </w:rPr>
  </w:style>
  <w:style w:type="paragraph" w:styleId="CommentText">
    <w:name w:val="annotation text"/>
    <w:basedOn w:val="Normal"/>
    <w:link w:val="CommentTextChar"/>
    <w:uiPriority w:val="99"/>
    <w:rsid w:val="003A293C"/>
    <w:rPr>
      <w:sz w:val="20"/>
    </w:rPr>
  </w:style>
  <w:style w:type="character" w:customStyle="1" w:styleId="CommentTextChar">
    <w:name w:val="Comment Text Char"/>
    <w:basedOn w:val="DefaultParagraphFont"/>
    <w:link w:val="CommentText"/>
    <w:uiPriority w:val="99"/>
    <w:rsid w:val="003A293C"/>
    <w:rPr>
      <w:lang w:val="et-EE"/>
    </w:rPr>
  </w:style>
  <w:style w:type="paragraph" w:styleId="CommentSubject">
    <w:name w:val="annotation subject"/>
    <w:basedOn w:val="CommentText"/>
    <w:next w:val="CommentText"/>
    <w:link w:val="CommentSubjectChar"/>
    <w:uiPriority w:val="99"/>
    <w:unhideWhenUsed/>
    <w:rsid w:val="003A293C"/>
    <w:rPr>
      <w:b/>
      <w:bCs/>
    </w:rPr>
  </w:style>
  <w:style w:type="character" w:customStyle="1" w:styleId="CommentSubjectChar">
    <w:name w:val="Comment Subject Char"/>
    <w:basedOn w:val="CommentTextChar"/>
    <w:link w:val="CommentSubject"/>
    <w:uiPriority w:val="99"/>
    <w:rsid w:val="003A293C"/>
    <w:rPr>
      <w:b/>
      <w:bCs/>
      <w:lang w:val="et-EE"/>
    </w:rPr>
  </w:style>
  <w:style w:type="paragraph" w:styleId="Revision">
    <w:name w:val="Revision"/>
    <w:hidden/>
    <w:uiPriority w:val="99"/>
    <w:semiHidden/>
    <w:rsid w:val="003A293C"/>
    <w:rPr>
      <w:sz w:val="24"/>
      <w:lang w:val="et-EE"/>
    </w:rPr>
  </w:style>
  <w:style w:type="character" w:customStyle="1" w:styleId="highlight-diff">
    <w:name w:val="highlight-diff"/>
    <w:basedOn w:val="DefaultParagraphFont"/>
    <w:rsid w:val="003A293C"/>
  </w:style>
  <w:style w:type="paragraph" w:customStyle="1" w:styleId="Normal12a">
    <w:name w:val="Normal12a"/>
    <w:basedOn w:val="Normal"/>
    <w:rsid w:val="003A293C"/>
    <w:pPr>
      <w:spacing w:after="240"/>
    </w:pPr>
    <w:rPr>
      <w:lang w:val="en-GB"/>
    </w:rPr>
  </w:style>
  <w:style w:type="paragraph" w:customStyle="1" w:styleId="PageHeadingNotTOC">
    <w:name w:val="PageHeadingNotTOC"/>
    <w:basedOn w:val="Normal"/>
    <w:rsid w:val="003A293C"/>
    <w:pPr>
      <w:keepNext/>
      <w:spacing w:after="480"/>
      <w:jc w:val="center"/>
    </w:pPr>
    <w:rPr>
      <w:rFonts w:ascii="Arial" w:hAnsi="Arial" w:cs="Arial"/>
      <w:b/>
      <w:lang w:val="en-GB"/>
    </w:rPr>
  </w:style>
  <w:style w:type="paragraph" w:customStyle="1" w:styleId="AmHeadingPA">
    <w:name w:val="AmHeadingPA"/>
    <w:basedOn w:val="Normal"/>
    <w:next w:val="Normal"/>
    <w:rsid w:val="003A293C"/>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3A293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3A293C"/>
    <w:pPr>
      <w:tabs>
        <w:tab w:val="center" w:pos="284"/>
        <w:tab w:val="left" w:pos="426"/>
      </w:tabs>
    </w:pPr>
    <w:rPr>
      <w:snapToGrid w:val="0"/>
      <w:lang w:val="en-GB" w:eastAsia="en-US"/>
    </w:rPr>
  </w:style>
  <w:style w:type="paragraph" w:customStyle="1" w:styleId="RollCallVotes">
    <w:name w:val="RollCallVotes"/>
    <w:basedOn w:val="Normal"/>
    <w:rsid w:val="003A293C"/>
    <w:pPr>
      <w:spacing w:before="120" w:after="120"/>
      <w:jc w:val="center"/>
    </w:pPr>
    <w:rPr>
      <w:b/>
      <w:bCs/>
      <w:snapToGrid w:val="0"/>
      <w:sz w:val="16"/>
      <w:lang w:val="en-GB" w:eastAsia="en-US"/>
    </w:rPr>
  </w:style>
  <w:style w:type="paragraph" w:customStyle="1" w:styleId="RollCallTable">
    <w:name w:val="RollCallTable"/>
    <w:basedOn w:val="Normal"/>
    <w:rsid w:val="003A293C"/>
    <w:pPr>
      <w:spacing w:before="120" w:after="120"/>
    </w:pPr>
    <w:rPr>
      <w:snapToGrid w:val="0"/>
      <w:sz w:val="16"/>
      <w:lang w:val="en-GB" w:eastAsia="en-US"/>
    </w:rPr>
  </w:style>
  <w:style w:type="character" w:styleId="Hyperlink">
    <w:name w:val="Hyperlink"/>
    <w:uiPriority w:val="99"/>
    <w:rsid w:val="003A293C"/>
    <w:rPr>
      <w:color w:val="0000FF"/>
      <w:u w:val="single"/>
      <w:shd w:val="clear" w:color="auto" w:fill="auto"/>
    </w:rPr>
  </w:style>
  <w:style w:type="paragraph" w:customStyle="1" w:styleId="CM1">
    <w:name w:val="CM1"/>
    <w:basedOn w:val="Normal"/>
    <w:next w:val="Normal"/>
    <w:uiPriority w:val="99"/>
    <w:rsid w:val="003A293C"/>
    <w:pPr>
      <w:widowControl/>
      <w:autoSpaceDE w:val="0"/>
      <w:autoSpaceDN w:val="0"/>
      <w:adjustRightInd w:val="0"/>
    </w:pPr>
    <w:rPr>
      <w:szCs w:val="24"/>
      <w:lang w:val="en-GB"/>
    </w:rPr>
  </w:style>
  <w:style w:type="paragraph" w:customStyle="1" w:styleId="CM3">
    <w:name w:val="CM3"/>
    <w:basedOn w:val="Normal"/>
    <w:next w:val="Normal"/>
    <w:uiPriority w:val="99"/>
    <w:rsid w:val="003A293C"/>
    <w:pPr>
      <w:widowControl/>
      <w:autoSpaceDE w:val="0"/>
      <w:autoSpaceDN w:val="0"/>
      <w:adjustRightInd w:val="0"/>
    </w:pPr>
    <w:rPr>
      <w:szCs w:val="24"/>
      <w:lang w:val="en-GB"/>
    </w:rPr>
  </w:style>
  <w:style w:type="paragraph" w:styleId="Footer">
    <w:name w:val="footer"/>
    <w:basedOn w:val="Normal"/>
    <w:link w:val="FooterChar"/>
    <w:uiPriority w:val="99"/>
    <w:rsid w:val="003A293C"/>
    <w:pPr>
      <w:tabs>
        <w:tab w:val="center" w:pos="4513"/>
        <w:tab w:val="right" w:pos="9026"/>
      </w:tabs>
    </w:pPr>
  </w:style>
  <w:style w:type="character" w:customStyle="1" w:styleId="FooterChar">
    <w:name w:val="Footer Char"/>
    <w:basedOn w:val="DefaultParagraphFont"/>
    <w:link w:val="Footer"/>
    <w:uiPriority w:val="99"/>
    <w:rsid w:val="003A293C"/>
    <w:rPr>
      <w:sz w:val="24"/>
      <w:lang w:val="et-EE"/>
    </w:rPr>
  </w:style>
  <w:style w:type="numbering" w:customStyle="1" w:styleId="NoList1">
    <w:name w:val="No List1"/>
    <w:next w:val="NoList"/>
    <w:uiPriority w:val="99"/>
    <w:semiHidden/>
    <w:unhideWhenUsed/>
    <w:rsid w:val="00C45ED4"/>
  </w:style>
  <w:style w:type="paragraph" w:customStyle="1" w:styleId="SignaturePersonne">
    <w:name w:val="Signature Personne"/>
    <w:basedOn w:val="Normal"/>
    <w:rsid w:val="00C45ED4"/>
    <w:pPr>
      <w:widowControl/>
      <w:tabs>
        <w:tab w:val="left" w:pos="4252"/>
      </w:tabs>
      <w:spacing w:line="360" w:lineRule="auto"/>
    </w:pPr>
    <w:rPr>
      <w:i/>
      <w:szCs w:val="24"/>
      <w:lang w:val="en-GB" w:eastAsia="en-US"/>
    </w:rPr>
  </w:style>
  <w:style w:type="paragraph" w:customStyle="1" w:styleId="Considrant">
    <w:name w:val="Considérant"/>
    <w:basedOn w:val="Normal"/>
    <w:rsid w:val="00C45ED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45ED4"/>
    <w:pPr>
      <w:keepNext/>
      <w:spacing w:before="600" w:after="120" w:line="360" w:lineRule="auto"/>
    </w:pPr>
    <w:rPr>
      <w:szCs w:val="24"/>
      <w:lang w:val="en-GB" w:eastAsia="en-US"/>
    </w:rPr>
  </w:style>
  <w:style w:type="paragraph" w:customStyle="1" w:styleId="Institutionquisigne">
    <w:name w:val="Institution qui signe"/>
    <w:basedOn w:val="Normal"/>
    <w:next w:val="Normal"/>
    <w:rsid w:val="00C45ED4"/>
    <w:pPr>
      <w:keepNext/>
      <w:tabs>
        <w:tab w:val="left" w:pos="4252"/>
      </w:tabs>
      <w:spacing w:before="720" w:line="360" w:lineRule="auto"/>
    </w:pPr>
    <w:rPr>
      <w:i/>
      <w:szCs w:val="24"/>
      <w:lang w:val="en-GB" w:eastAsia="en-US"/>
    </w:rPr>
  </w:style>
  <w:style w:type="paragraph" w:customStyle="1" w:styleId="Fait">
    <w:name w:val="Fait à"/>
    <w:basedOn w:val="Normal"/>
    <w:rsid w:val="00C45ED4"/>
    <w:pPr>
      <w:keepNext/>
      <w:widowControl/>
      <w:spacing w:before="120" w:line="360" w:lineRule="auto"/>
    </w:pPr>
    <w:rPr>
      <w:szCs w:val="24"/>
      <w:lang w:val="en-GB" w:eastAsia="en-US"/>
    </w:rPr>
  </w:style>
  <w:style w:type="paragraph" w:customStyle="1" w:styleId="FootnoteTextForceStyle">
    <w:name w:val="Footnote Text ForceStyle"/>
    <w:rsid w:val="00C45ED4"/>
    <w:pPr>
      <w:keepLines/>
      <w:widowControl w:val="0"/>
      <w:ind w:left="850" w:hanging="850"/>
    </w:pPr>
    <w:rPr>
      <w:sz w:val="24"/>
      <w:lang w:eastAsia="en-US"/>
    </w:rPr>
  </w:style>
  <w:style w:type="character" w:customStyle="1" w:styleId="Footer2">
    <w:name w:val="Footer2"/>
    <w:rsid w:val="00C45ED4"/>
    <w:rPr>
      <w:rFonts w:ascii="Arial" w:hAnsi="Arial"/>
      <w:b/>
      <w:sz w:val="48"/>
    </w:rPr>
  </w:style>
  <w:style w:type="paragraph" w:customStyle="1" w:styleId="Applicationdirecte">
    <w:name w:val="Application directe"/>
    <w:basedOn w:val="Normal"/>
    <w:next w:val="Normal"/>
    <w:rsid w:val="00C45ED4"/>
    <w:pPr>
      <w:spacing w:before="120" w:after="120" w:line="360" w:lineRule="auto"/>
    </w:pPr>
    <w:rPr>
      <w:szCs w:val="24"/>
      <w:lang w:val="en-GB" w:eastAsia="en-US"/>
    </w:rPr>
  </w:style>
  <w:style w:type="paragraph" w:customStyle="1" w:styleId="Normale">
    <w:name w:val="Normale"/>
    <w:rsid w:val="00C45ED4"/>
    <w:pPr>
      <w:widowControl w:val="0"/>
      <w:spacing w:before="120" w:after="120" w:line="360" w:lineRule="auto"/>
    </w:pPr>
    <w:rPr>
      <w:sz w:val="24"/>
      <w:lang w:eastAsia="en-US"/>
    </w:rPr>
  </w:style>
  <w:style w:type="paragraph" w:customStyle="1" w:styleId="Formuledadoption">
    <w:name w:val="Formule d'adoption"/>
    <w:basedOn w:val="Normal"/>
    <w:next w:val="Normal"/>
    <w:rsid w:val="00C45ED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45ED4"/>
    <w:pPr>
      <w:widowControl/>
      <w:spacing w:after="240" w:line="360" w:lineRule="auto"/>
      <w:ind w:left="5102"/>
    </w:pPr>
    <w:rPr>
      <w:szCs w:val="24"/>
      <w:lang w:val="en-GB" w:eastAsia="en-US"/>
    </w:rPr>
  </w:style>
  <w:style w:type="paragraph" w:customStyle="1" w:styleId="Footer1">
    <w:name w:val="Footer1"/>
    <w:basedOn w:val="Normal"/>
    <w:rsid w:val="00C45ED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45ED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45ED4"/>
    <w:pPr>
      <w:widowControl/>
      <w:spacing w:before="840" w:line="360" w:lineRule="auto"/>
      <w:jc w:val="center"/>
    </w:pPr>
    <w:rPr>
      <w:szCs w:val="24"/>
      <w:lang w:val="en-GB" w:eastAsia="en-US"/>
    </w:rPr>
  </w:style>
  <w:style w:type="paragraph" w:customStyle="1" w:styleId="Typedudocument">
    <w:name w:val="Type du document"/>
    <w:basedOn w:val="Normal"/>
    <w:next w:val="Normal"/>
    <w:rsid w:val="00C45ED4"/>
    <w:pPr>
      <w:widowControl/>
      <w:spacing w:before="360" w:line="360" w:lineRule="auto"/>
      <w:jc w:val="center"/>
    </w:pPr>
    <w:rPr>
      <w:b/>
      <w:szCs w:val="24"/>
      <w:lang w:val="en-GB" w:eastAsia="en-US"/>
    </w:rPr>
  </w:style>
  <w:style w:type="paragraph" w:customStyle="1" w:styleId="Titreobjet">
    <w:name w:val="Titre objet"/>
    <w:basedOn w:val="Normal"/>
    <w:next w:val="Normal"/>
    <w:rsid w:val="00C45ED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45ED4"/>
    <w:pPr>
      <w:widowControl/>
      <w:spacing w:before="360" w:after="240" w:line="360" w:lineRule="auto"/>
      <w:jc w:val="center"/>
    </w:pPr>
    <w:rPr>
      <w:szCs w:val="24"/>
      <w:lang w:val="en-GB" w:eastAsia="en-US"/>
    </w:rPr>
  </w:style>
  <w:style w:type="character" w:customStyle="1" w:styleId="CMissingStyle">
    <w:name w:val="C_MissingStyle"/>
    <w:rsid w:val="00C45ED4"/>
    <w:rPr>
      <w:color w:val="FFFFFF"/>
      <w:sz w:val="22"/>
      <w:shd w:val="clear" w:color="000000" w:fill="000000"/>
    </w:rPr>
  </w:style>
  <w:style w:type="paragraph" w:customStyle="1" w:styleId="PMissingStyle">
    <w:name w:val="P_MissingStyle"/>
    <w:basedOn w:val="Normal"/>
    <w:rsid w:val="00C45ED4"/>
    <w:pPr>
      <w:spacing w:before="120" w:after="120" w:line="360" w:lineRule="auto"/>
    </w:pPr>
    <w:rPr>
      <w:color w:val="FFFFFF"/>
      <w:szCs w:val="24"/>
      <w:shd w:val="clear" w:color="000000" w:fill="000000"/>
      <w:lang w:val="en-GB" w:eastAsia="en-US"/>
    </w:rPr>
  </w:style>
  <w:style w:type="character" w:customStyle="1" w:styleId="Heading1Char1">
    <w:name w:val="Heading 1 Char1"/>
    <w:basedOn w:val="DefaultParagraphFont"/>
    <w:rsid w:val="00C45ED4"/>
    <w:rPr>
      <w:rFonts w:ascii="Cambria" w:eastAsia="Times New Roman" w:hAnsi="Cambria" w:cs="Times New Roman"/>
      <w:color w:val="365F91"/>
      <w:sz w:val="32"/>
      <w:szCs w:val="32"/>
    </w:rPr>
  </w:style>
  <w:style w:type="character" w:customStyle="1" w:styleId="Heading2Char1">
    <w:name w:val="Heading 2 Char1"/>
    <w:basedOn w:val="DefaultParagraphFont"/>
    <w:rsid w:val="00C45ED4"/>
    <w:rPr>
      <w:rFonts w:ascii="Cambria" w:eastAsia="Times New Roman" w:hAnsi="Cambria" w:cs="Times New Roman"/>
      <w:color w:val="365F91"/>
      <w:sz w:val="26"/>
      <w:szCs w:val="26"/>
    </w:rPr>
  </w:style>
  <w:style w:type="character" w:customStyle="1" w:styleId="Heading3Char1">
    <w:name w:val="Heading 3 Char1"/>
    <w:basedOn w:val="DefaultParagraphFont"/>
    <w:rsid w:val="00C45ED4"/>
    <w:rPr>
      <w:rFonts w:ascii="Cambria" w:eastAsia="Times New Roman" w:hAnsi="Cambria" w:cs="Times New Roman"/>
      <w:color w:val="243F60"/>
      <w:sz w:val="24"/>
      <w:szCs w:val="24"/>
    </w:rPr>
  </w:style>
  <w:style w:type="character" w:customStyle="1" w:styleId="Heading4Char1">
    <w:name w:val="Heading 4 Char1"/>
    <w:basedOn w:val="DefaultParagraphFont"/>
    <w:rsid w:val="00C45ED4"/>
    <w:rPr>
      <w:rFonts w:ascii="Cambria" w:eastAsia="Times New Roman" w:hAnsi="Cambria" w:cs="Times New Roman"/>
      <w:i/>
      <w:iCs/>
      <w:color w:val="365F91"/>
      <w:sz w:val="24"/>
      <w:szCs w:val="24"/>
    </w:rPr>
  </w:style>
  <w:style w:type="paragraph" w:customStyle="1" w:styleId="ListBullet10">
    <w:name w:val="List Bullet1"/>
    <w:basedOn w:val="Normal"/>
    <w:next w:val="ListBullet"/>
    <w:uiPriority w:val="99"/>
    <w:unhideWhenUsed/>
    <w:rsid w:val="00C45ED4"/>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C45ED4"/>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C45ED4"/>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C45ED4"/>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C45E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C45ED4"/>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C45ED4"/>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C45ED4"/>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C45ED4"/>
    <w:pPr>
      <w:keepLines w:val="0"/>
      <w:spacing w:line="240" w:lineRule="auto"/>
      <w:ind w:left="0" w:firstLine="0"/>
    </w:pPr>
    <w:rPr>
      <w:rFonts w:eastAsia="Calibri"/>
      <w:sz w:val="16"/>
      <w:szCs w:val="16"/>
      <w:lang w:val="et-EE" w:eastAsia="en-US"/>
    </w:rPr>
  </w:style>
  <w:style w:type="character" w:customStyle="1" w:styleId="foonoteChar">
    <w:name w:val="foonote Char"/>
    <w:basedOn w:val="DefaultParagraphFont"/>
    <w:link w:val="foonote"/>
    <w:rsid w:val="00C45ED4"/>
    <w:rPr>
      <w:rFonts w:eastAsia="Calibri"/>
      <w:sz w:val="16"/>
      <w:szCs w:val="16"/>
      <w:lang w:val="et-EE" w:eastAsia="en-US"/>
    </w:rPr>
  </w:style>
  <w:style w:type="paragraph" w:styleId="ListNumber">
    <w:name w:val="List Number"/>
    <w:basedOn w:val="Normal"/>
    <w:uiPriority w:val="99"/>
    <w:rsid w:val="00C45ED4"/>
    <w:pPr>
      <w:widowControl/>
      <w:numPr>
        <w:numId w:val="13"/>
      </w:numPr>
      <w:spacing w:before="120" w:after="120"/>
      <w:jc w:val="both"/>
    </w:pPr>
    <w:rPr>
      <w:szCs w:val="22"/>
      <w:lang w:eastAsia="de-DE"/>
    </w:rPr>
  </w:style>
  <w:style w:type="paragraph" w:customStyle="1" w:styleId="ListBullet1">
    <w:name w:val="List Bullet 1"/>
    <w:basedOn w:val="Normal"/>
    <w:rsid w:val="00C45ED4"/>
    <w:pPr>
      <w:widowControl/>
      <w:numPr>
        <w:numId w:val="9"/>
      </w:numPr>
      <w:spacing w:before="120" w:after="120"/>
      <w:jc w:val="both"/>
    </w:pPr>
    <w:rPr>
      <w:szCs w:val="22"/>
      <w:lang w:eastAsia="de-DE"/>
    </w:rPr>
  </w:style>
  <w:style w:type="paragraph" w:customStyle="1" w:styleId="ListDash">
    <w:name w:val="List Dash"/>
    <w:basedOn w:val="Normal"/>
    <w:rsid w:val="00C45ED4"/>
    <w:pPr>
      <w:widowControl/>
      <w:numPr>
        <w:numId w:val="10"/>
      </w:numPr>
      <w:spacing w:before="120" w:after="120"/>
      <w:jc w:val="both"/>
    </w:pPr>
    <w:rPr>
      <w:szCs w:val="22"/>
      <w:lang w:eastAsia="de-DE"/>
    </w:rPr>
  </w:style>
  <w:style w:type="paragraph" w:customStyle="1" w:styleId="ListDash1">
    <w:name w:val="List Dash 1"/>
    <w:basedOn w:val="Normal"/>
    <w:rsid w:val="00C45ED4"/>
    <w:pPr>
      <w:widowControl/>
      <w:numPr>
        <w:numId w:val="11"/>
      </w:numPr>
      <w:spacing w:before="120" w:after="120"/>
      <w:jc w:val="both"/>
    </w:pPr>
    <w:rPr>
      <w:szCs w:val="22"/>
      <w:lang w:eastAsia="de-DE"/>
    </w:rPr>
  </w:style>
  <w:style w:type="paragraph" w:customStyle="1" w:styleId="ListDash2">
    <w:name w:val="List Dash 2"/>
    <w:basedOn w:val="Normal"/>
    <w:rsid w:val="00C45ED4"/>
    <w:pPr>
      <w:widowControl/>
      <w:numPr>
        <w:numId w:val="12"/>
      </w:numPr>
      <w:spacing w:before="120" w:after="120"/>
      <w:jc w:val="both"/>
    </w:pPr>
    <w:rPr>
      <w:szCs w:val="22"/>
      <w:lang w:eastAsia="de-DE"/>
    </w:rPr>
  </w:style>
  <w:style w:type="paragraph" w:customStyle="1" w:styleId="ListNumberLevel2">
    <w:name w:val="List Number (Level 2)"/>
    <w:basedOn w:val="Normal"/>
    <w:rsid w:val="00C45ED4"/>
    <w:pPr>
      <w:widowControl/>
      <w:numPr>
        <w:ilvl w:val="1"/>
        <w:numId w:val="13"/>
      </w:numPr>
      <w:spacing w:before="120" w:after="120"/>
      <w:jc w:val="both"/>
    </w:pPr>
    <w:rPr>
      <w:szCs w:val="22"/>
      <w:lang w:eastAsia="de-DE"/>
    </w:rPr>
  </w:style>
  <w:style w:type="paragraph" w:customStyle="1" w:styleId="ListNumberLevel3">
    <w:name w:val="List Number (Level 3)"/>
    <w:basedOn w:val="Normal"/>
    <w:rsid w:val="00C45ED4"/>
    <w:pPr>
      <w:widowControl/>
      <w:numPr>
        <w:ilvl w:val="2"/>
        <w:numId w:val="13"/>
      </w:numPr>
      <w:spacing w:before="120" w:after="120"/>
      <w:jc w:val="both"/>
    </w:pPr>
    <w:rPr>
      <w:szCs w:val="22"/>
      <w:lang w:eastAsia="de-DE"/>
    </w:rPr>
  </w:style>
  <w:style w:type="paragraph" w:customStyle="1" w:styleId="ListNumberLevel4">
    <w:name w:val="List Number (Level 4)"/>
    <w:basedOn w:val="Normal"/>
    <w:rsid w:val="00C45ED4"/>
    <w:pPr>
      <w:widowControl/>
      <w:numPr>
        <w:ilvl w:val="3"/>
        <w:numId w:val="13"/>
      </w:numPr>
      <w:spacing w:before="120" w:after="120"/>
      <w:jc w:val="both"/>
    </w:pPr>
    <w:rPr>
      <w:szCs w:val="22"/>
      <w:lang w:eastAsia="de-DE"/>
    </w:rPr>
  </w:style>
  <w:style w:type="table" w:customStyle="1" w:styleId="TableGrid11">
    <w:name w:val="Table Grid11"/>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C45ED4"/>
    <w:pPr>
      <w:widowControl/>
      <w:numPr>
        <w:numId w:val="17"/>
      </w:numPr>
      <w:spacing w:before="120" w:after="120"/>
      <w:jc w:val="both"/>
    </w:pPr>
    <w:rPr>
      <w:szCs w:val="22"/>
    </w:rPr>
  </w:style>
  <w:style w:type="paragraph" w:styleId="ListNumber3">
    <w:name w:val="List Number 3"/>
    <w:basedOn w:val="Normal"/>
    <w:uiPriority w:val="99"/>
    <w:rsid w:val="00C45ED4"/>
    <w:pPr>
      <w:widowControl/>
      <w:numPr>
        <w:numId w:val="18"/>
      </w:numPr>
      <w:spacing w:before="120" w:after="120"/>
      <w:jc w:val="both"/>
    </w:pPr>
    <w:rPr>
      <w:szCs w:val="22"/>
    </w:rPr>
  </w:style>
  <w:style w:type="paragraph" w:styleId="ListNumber4">
    <w:name w:val="List Number 4"/>
    <w:basedOn w:val="Normal"/>
    <w:uiPriority w:val="99"/>
    <w:rsid w:val="00C45ED4"/>
    <w:pPr>
      <w:widowControl/>
      <w:numPr>
        <w:numId w:val="19"/>
      </w:numPr>
      <w:spacing w:before="120" w:after="120"/>
      <w:jc w:val="both"/>
    </w:pPr>
    <w:rPr>
      <w:szCs w:val="22"/>
    </w:rPr>
  </w:style>
  <w:style w:type="paragraph" w:customStyle="1" w:styleId="ListDash3">
    <w:name w:val="List Dash 3"/>
    <w:basedOn w:val="Normal"/>
    <w:rsid w:val="00C45ED4"/>
    <w:pPr>
      <w:widowControl/>
      <w:numPr>
        <w:numId w:val="14"/>
      </w:numPr>
      <w:spacing w:before="120" w:after="120"/>
      <w:jc w:val="both"/>
    </w:pPr>
    <w:rPr>
      <w:szCs w:val="22"/>
    </w:rPr>
  </w:style>
  <w:style w:type="paragraph" w:customStyle="1" w:styleId="ListDash4">
    <w:name w:val="List Dash 4"/>
    <w:basedOn w:val="Normal"/>
    <w:rsid w:val="00C45ED4"/>
    <w:pPr>
      <w:widowControl/>
      <w:numPr>
        <w:numId w:val="15"/>
      </w:numPr>
      <w:spacing w:before="120" w:after="120"/>
      <w:jc w:val="both"/>
    </w:pPr>
    <w:rPr>
      <w:szCs w:val="22"/>
    </w:rPr>
  </w:style>
  <w:style w:type="paragraph" w:customStyle="1" w:styleId="ListNumber1">
    <w:name w:val="List Number 1"/>
    <w:basedOn w:val="Text1"/>
    <w:rsid w:val="00C45ED4"/>
    <w:pPr>
      <w:numPr>
        <w:numId w:val="16"/>
      </w:numPr>
      <w:tabs>
        <w:tab w:val="clear" w:pos="1701"/>
        <w:tab w:val="num" w:pos="360"/>
      </w:tabs>
      <w:ind w:left="360" w:hanging="360"/>
    </w:pPr>
    <w:rPr>
      <w:rFonts w:eastAsia="Times New Roman"/>
      <w:lang w:eastAsia="en-GB"/>
    </w:rPr>
  </w:style>
  <w:style w:type="paragraph" w:customStyle="1" w:styleId="ListNumber1Level2">
    <w:name w:val="List Number 1 (Level 2)"/>
    <w:basedOn w:val="Text1"/>
    <w:rsid w:val="00C45ED4"/>
    <w:pPr>
      <w:numPr>
        <w:ilvl w:val="1"/>
        <w:numId w:val="16"/>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C45ED4"/>
    <w:pPr>
      <w:numPr>
        <w:ilvl w:val="1"/>
        <w:numId w:val="17"/>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C45ED4"/>
    <w:pPr>
      <w:numPr>
        <w:ilvl w:val="1"/>
        <w:numId w:val="18"/>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C45ED4"/>
    <w:pPr>
      <w:numPr>
        <w:ilvl w:val="1"/>
        <w:numId w:val="19"/>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C45ED4"/>
    <w:pPr>
      <w:numPr>
        <w:ilvl w:val="2"/>
        <w:numId w:val="16"/>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C45ED4"/>
    <w:pPr>
      <w:numPr>
        <w:ilvl w:val="2"/>
        <w:numId w:val="17"/>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C45ED4"/>
    <w:pPr>
      <w:numPr>
        <w:ilvl w:val="2"/>
        <w:numId w:val="18"/>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C45ED4"/>
    <w:pPr>
      <w:numPr>
        <w:ilvl w:val="2"/>
        <w:numId w:val="19"/>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C45ED4"/>
    <w:pPr>
      <w:numPr>
        <w:ilvl w:val="3"/>
        <w:numId w:val="16"/>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C45ED4"/>
    <w:pPr>
      <w:numPr>
        <w:ilvl w:val="3"/>
        <w:numId w:val="17"/>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C45ED4"/>
    <w:pPr>
      <w:numPr>
        <w:ilvl w:val="3"/>
        <w:numId w:val="18"/>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C45ED4"/>
    <w:pPr>
      <w:numPr>
        <w:ilvl w:val="3"/>
        <w:numId w:val="19"/>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C45ED4"/>
    <w:pPr>
      <w:widowControl/>
      <w:spacing w:before="120" w:after="120"/>
      <w:jc w:val="center"/>
    </w:pPr>
    <w:rPr>
      <w:b/>
      <w:szCs w:val="22"/>
      <w:u w:val="single"/>
    </w:rPr>
  </w:style>
  <w:style w:type="paragraph" w:customStyle="1" w:styleId="Annexetitreexposglobal">
    <w:name w:val="Annexe titre (exposé global)"/>
    <w:basedOn w:val="Normal"/>
    <w:next w:val="Normal"/>
    <w:rsid w:val="00C45ED4"/>
    <w:pPr>
      <w:widowControl/>
      <w:spacing w:before="120" w:after="120"/>
      <w:jc w:val="center"/>
    </w:pPr>
    <w:rPr>
      <w:b/>
      <w:szCs w:val="22"/>
      <w:u w:val="single"/>
    </w:rPr>
  </w:style>
  <w:style w:type="paragraph" w:customStyle="1" w:styleId="Annexetitrefichefinacte">
    <w:name w:val="Annexe titre (fiche fin. acte)"/>
    <w:basedOn w:val="Normal"/>
    <w:next w:val="Normal"/>
    <w:rsid w:val="00C45ED4"/>
    <w:pPr>
      <w:widowControl/>
      <w:spacing w:before="120" w:after="120"/>
      <w:jc w:val="center"/>
    </w:pPr>
    <w:rPr>
      <w:b/>
      <w:szCs w:val="22"/>
      <w:u w:val="single"/>
    </w:rPr>
  </w:style>
  <w:style w:type="paragraph" w:customStyle="1" w:styleId="Annexetitrefichefinglobale">
    <w:name w:val="Annexe titre (fiche fin. globale)"/>
    <w:basedOn w:val="Normal"/>
    <w:next w:val="Normal"/>
    <w:rsid w:val="00C45ED4"/>
    <w:pPr>
      <w:widowControl/>
      <w:spacing w:before="120" w:after="120"/>
      <w:jc w:val="center"/>
    </w:pPr>
    <w:rPr>
      <w:b/>
      <w:szCs w:val="22"/>
      <w:u w:val="single"/>
    </w:rPr>
  </w:style>
  <w:style w:type="paragraph" w:customStyle="1" w:styleId="Annexetitreglobale">
    <w:name w:val="Annexe titre (globale)"/>
    <w:basedOn w:val="Normal"/>
    <w:next w:val="Normal"/>
    <w:rsid w:val="00C45ED4"/>
    <w:pPr>
      <w:widowControl/>
      <w:spacing w:before="120" w:after="120"/>
      <w:jc w:val="center"/>
    </w:pPr>
    <w:rPr>
      <w:b/>
      <w:szCs w:val="22"/>
      <w:u w:val="single"/>
    </w:rPr>
  </w:style>
  <w:style w:type="paragraph" w:customStyle="1" w:styleId="Exposdesmotifstitreglobal">
    <w:name w:val="Exposé des motifs titre (global)"/>
    <w:basedOn w:val="Normal"/>
    <w:next w:val="Normal"/>
    <w:rsid w:val="00C45ED4"/>
    <w:pPr>
      <w:widowControl/>
      <w:spacing w:before="120" w:after="120"/>
      <w:jc w:val="center"/>
    </w:pPr>
    <w:rPr>
      <w:b/>
      <w:szCs w:val="22"/>
      <w:u w:val="single"/>
    </w:rPr>
  </w:style>
  <w:style w:type="paragraph" w:customStyle="1" w:styleId="Langueoriginale">
    <w:name w:val="Langue originale"/>
    <w:basedOn w:val="Normal"/>
    <w:rsid w:val="00C45ED4"/>
    <w:pPr>
      <w:widowControl/>
      <w:spacing w:before="360" w:after="120"/>
      <w:jc w:val="center"/>
    </w:pPr>
    <w:rPr>
      <w:caps/>
      <w:szCs w:val="22"/>
    </w:rPr>
  </w:style>
  <w:style w:type="paragraph" w:customStyle="1" w:styleId="Phrasefinale">
    <w:name w:val="Phrase finale"/>
    <w:basedOn w:val="Normal"/>
    <w:next w:val="Normal"/>
    <w:rsid w:val="00C45ED4"/>
    <w:pPr>
      <w:widowControl/>
      <w:spacing w:before="360"/>
      <w:jc w:val="center"/>
    </w:pPr>
    <w:rPr>
      <w:szCs w:val="22"/>
    </w:rPr>
  </w:style>
  <w:style w:type="paragraph" w:customStyle="1" w:styleId="Prliminairetitre">
    <w:name w:val="Préliminaire titre"/>
    <w:basedOn w:val="Normal"/>
    <w:next w:val="Normal"/>
    <w:rsid w:val="00C45ED4"/>
    <w:pPr>
      <w:widowControl/>
      <w:spacing w:before="360" w:after="360"/>
      <w:jc w:val="center"/>
    </w:pPr>
    <w:rPr>
      <w:b/>
      <w:szCs w:val="22"/>
    </w:rPr>
  </w:style>
  <w:style w:type="paragraph" w:customStyle="1" w:styleId="Prliminairetype">
    <w:name w:val="Préliminaire type"/>
    <w:basedOn w:val="Normal"/>
    <w:next w:val="Normal"/>
    <w:rsid w:val="00C45ED4"/>
    <w:pPr>
      <w:widowControl/>
      <w:spacing w:before="360"/>
      <w:jc w:val="center"/>
    </w:pPr>
    <w:rPr>
      <w:b/>
      <w:szCs w:val="22"/>
    </w:rPr>
  </w:style>
  <w:style w:type="paragraph" w:customStyle="1" w:styleId="Rfrenceinstitutionelle">
    <w:name w:val="Référence institutionelle"/>
    <w:basedOn w:val="Normal"/>
    <w:next w:val="Statut"/>
    <w:rsid w:val="00C45ED4"/>
    <w:pPr>
      <w:widowControl/>
      <w:spacing w:after="240"/>
      <w:ind w:left="5103"/>
    </w:pPr>
    <w:rPr>
      <w:szCs w:val="22"/>
    </w:rPr>
  </w:style>
  <w:style w:type="paragraph" w:customStyle="1" w:styleId="Rfrenceinterinstitutionelle">
    <w:name w:val="Référence interinstitutionelle"/>
    <w:basedOn w:val="Normal"/>
    <w:next w:val="Statut"/>
    <w:rsid w:val="00C45ED4"/>
    <w:pPr>
      <w:widowControl/>
      <w:ind w:left="5103"/>
    </w:pPr>
    <w:rPr>
      <w:szCs w:val="22"/>
    </w:rPr>
  </w:style>
  <w:style w:type="paragraph" w:customStyle="1" w:styleId="Rfrenceinterinstitutionelleprliminaire">
    <w:name w:val="Référence interinstitutionelle (préliminaire)"/>
    <w:basedOn w:val="Normal"/>
    <w:next w:val="Normal"/>
    <w:rsid w:val="00C45ED4"/>
    <w:pPr>
      <w:widowControl/>
      <w:ind w:left="5103"/>
    </w:pPr>
    <w:rPr>
      <w:szCs w:val="22"/>
    </w:rPr>
  </w:style>
  <w:style w:type="paragraph" w:customStyle="1" w:styleId="Sous-titreobjetprliminaire">
    <w:name w:val="Sous-titre objet (préliminaire)"/>
    <w:basedOn w:val="Normal"/>
    <w:rsid w:val="00C45ED4"/>
    <w:pPr>
      <w:widowControl/>
      <w:jc w:val="center"/>
    </w:pPr>
    <w:rPr>
      <w:b/>
      <w:szCs w:val="22"/>
    </w:rPr>
  </w:style>
  <w:style w:type="paragraph" w:customStyle="1" w:styleId="Statutprliminaire">
    <w:name w:val="Statut (préliminaire)"/>
    <w:basedOn w:val="Normal"/>
    <w:next w:val="Normal"/>
    <w:rsid w:val="00C45ED4"/>
    <w:pPr>
      <w:widowControl/>
      <w:spacing w:before="360"/>
      <w:jc w:val="center"/>
    </w:pPr>
    <w:rPr>
      <w:szCs w:val="22"/>
    </w:rPr>
  </w:style>
  <w:style w:type="paragraph" w:customStyle="1" w:styleId="Titreobjetprliminaire">
    <w:name w:val="Titre objet (préliminaire)"/>
    <w:basedOn w:val="Normal"/>
    <w:next w:val="Normal"/>
    <w:rsid w:val="00C45ED4"/>
    <w:pPr>
      <w:widowControl/>
      <w:spacing w:before="360" w:after="360"/>
      <w:jc w:val="center"/>
    </w:pPr>
    <w:rPr>
      <w:b/>
      <w:szCs w:val="22"/>
    </w:rPr>
  </w:style>
  <w:style w:type="paragraph" w:customStyle="1" w:styleId="Typedudocumentprliminaire">
    <w:name w:val="Type du document (préliminaire)"/>
    <w:basedOn w:val="Normal"/>
    <w:next w:val="Normal"/>
    <w:rsid w:val="00C45ED4"/>
    <w:pPr>
      <w:widowControl/>
      <w:spacing w:before="360"/>
      <w:jc w:val="center"/>
    </w:pPr>
    <w:rPr>
      <w:b/>
      <w:szCs w:val="22"/>
    </w:rPr>
  </w:style>
  <w:style w:type="paragraph" w:customStyle="1" w:styleId="Fichefinancirestandardtitre">
    <w:name w:val="Fiche financière (standard) titre"/>
    <w:basedOn w:val="Normal"/>
    <w:next w:val="Normal"/>
    <w:rsid w:val="00C45ED4"/>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C45ED4"/>
    <w:pPr>
      <w:widowControl/>
      <w:spacing w:before="120" w:after="120"/>
      <w:jc w:val="center"/>
    </w:pPr>
    <w:rPr>
      <w:b/>
      <w:szCs w:val="22"/>
      <w:u w:val="single"/>
    </w:rPr>
  </w:style>
  <w:style w:type="paragraph" w:customStyle="1" w:styleId="Fichefinanciretravailtitre">
    <w:name w:val="Fiche financière (travail) titre"/>
    <w:basedOn w:val="Normal"/>
    <w:next w:val="Normal"/>
    <w:rsid w:val="00C45ED4"/>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C45ED4"/>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C45ED4"/>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C45ED4"/>
    <w:pPr>
      <w:widowControl/>
      <w:spacing w:before="120" w:after="120"/>
      <w:jc w:val="center"/>
    </w:pPr>
    <w:rPr>
      <w:b/>
      <w:szCs w:val="22"/>
      <w:u w:val="single"/>
    </w:rPr>
  </w:style>
  <w:style w:type="paragraph" w:styleId="Caption">
    <w:name w:val="caption"/>
    <w:basedOn w:val="Normal"/>
    <w:next w:val="Normal"/>
    <w:uiPriority w:val="35"/>
    <w:qFormat/>
    <w:rsid w:val="00C45ED4"/>
    <w:pPr>
      <w:widowControl/>
      <w:spacing w:before="120" w:after="120"/>
      <w:jc w:val="both"/>
    </w:pPr>
    <w:rPr>
      <w:b/>
      <w:bCs/>
      <w:sz w:val="20"/>
    </w:rPr>
  </w:style>
  <w:style w:type="paragraph" w:styleId="TableofFigures">
    <w:name w:val="table of figures"/>
    <w:basedOn w:val="Normal"/>
    <w:next w:val="Normal"/>
    <w:uiPriority w:val="99"/>
    <w:rsid w:val="00C45ED4"/>
    <w:pPr>
      <w:widowControl/>
      <w:spacing w:before="120" w:after="120"/>
      <w:jc w:val="both"/>
    </w:pPr>
    <w:rPr>
      <w:szCs w:val="22"/>
    </w:rPr>
  </w:style>
  <w:style w:type="character" w:customStyle="1" w:styleId="tw4winMark">
    <w:name w:val="tw4winMark"/>
    <w:rsid w:val="00C45ED4"/>
    <w:rPr>
      <w:vanish/>
      <w:color w:val="800080"/>
      <w:vertAlign w:val="subscript"/>
    </w:rPr>
  </w:style>
  <w:style w:type="character" w:styleId="FollowedHyperlink">
    <w:name w:val="FollowedHyperlink"/>
    <w:uiPriority w:val="99"/>
    <w:rsid w:val="00C45ED4"/>
    <w:rPr>
      <w:color w:val="800080"/>
      <w:u w:val="single"/>
    </w:rPr>
  </w:style>
  <w:style w:type="paragraph" w:customStyle="1" w:styleId="Sous-titreobjet">
    <w:name w:val="Sous-titre objet"/>
    <w:basedOn w:val="Normal"/>
    <w:rsid w:val="00C45ED4"/>
    <w:pPr>
      <w:widowControl/>
      <w:jc w:val="center"/>
    </w:pPr>
    <w:rPr>
      <w:b/>
      <w:szCs w:val="22"/>
    </w:rPr>
  </w:style>
  <w:style w:type="paragraph" w:customStyle="1" w:styleId="Sous-titreobjetPagedecouverture">
    <w:name w:val="Sous-titre objet (Page de couverture)"/>
    <w:basedOn w:val="Sous-titreobjet"/>
    <w:rsid w:val="00C45ED4"/>
  </w:style>
  <w:style w:type="paragraph" w:customStyle="1" w:styleId="FooterCoverPage">
    <w:name w:val="Footer Cover Page"/>
    <w:basedOn w:val="Normal"/>
    <w:link w:val="FooterCoverPageChar"/>
    <w:rsid w:val="00C45ED4"/>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C45ED4"/>
    <w:rPr>
      <w:rFonts w:ascii="Times New Roman" w:hAnsi="Times New Roman" w:cs="Times New Roman"/>
      <w:b/>
      <w:sz w:val="28"/>
      <w:lang w:val="et-EE"/>
    </w:rPr>
  </w:style>
  <w:style w:type="character" w:customStyle="1" w:styleId="FooterCoverPageChar">
    <w:name w:val="Footer Cover Page Char"/>
    <w:link w:val="FooterCoverPage"/>
    <w:rsid w:val="00C45ED4"/>
    <w:rPr>
      <w:rFonts w:eastAsia="Calibri"/>
      <w:sz w:val="24"/>
      <w:szCs w:val="22"/>
      <w:lang w:val="et-EE"/>
    </w:rPr>
  </w:style>
  <w:style w:type="paragraph" w:customStyle="1" w:styleId="HeaderCoverPage">
    <w:name w:val="Header Cover Page"/>
    <w:basedOn w:val="Normal"/>
    <w:link w:val="HeaderCoverPageChar"/>
    <w:rsid w:val="00C45ED4"/>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C45ED4"/>
    <w:rPr>
      <w:rFonts w:eastAsia="Calibri"/>
      <w:sz w:val="24"/>
      <w:szCs w:val="22"/>
      <w:lang w:val="et-EE"/>
    </w:rPr>
  </w:style>
  <w:style w:type="paragraph" w:customStyle="1" w:styleId="ListParagraph1">
    <w:name w:val="List Paragraph1"/>
    <w:basedOn w:val="Normal"/>
    <w:next w:val="ListParagraph"/>
    <w:uiPriority w:val="34"/>
    <w:qFormat/>
    <w:rsid w:val="00C45ED4"/>
    <w:pPr>
      <w:widowControl/>
      <w:spacing w:before="120" w:after="120"/>
      <w:ind w:left="720"/>
      <w:contextualSpacing/>
      <w:jc w:val="both"/>
    </w:pPr>
    <w:rPr>
      <w:rFonts w:eastAsia="Calibri"/>
      <w:szCs w:val="22"/>
      <w:lang w:eastAsia="en-US"/>
    </w:rPr>
  </w:style>
  <w:style w:type="paragraph" w:customStyle="1" w:styleId="Default">
    <w:name w:val="Default"/>
    <w:rsid w:val="00C45ED4"/>
    <w:pPr>
      <w:autoSpaceDE w:val="0"/>
      <w:autoSpaceDN w:val="0"/>
      <w:adjustRightInd w:val="0"/>
    </w:pPr>
    <w:rPr>
      <w:rFonts w:eastAsia="Calibri"/>
      <w:color w:val="000000"/>
      <w:sz w:val="24"/>
      <w:szCs w:val="24"/>
      <w:lang w:val="en-US" w:eastAsia="en-US"/>
    </w:rPr>
  </w:style>
  <w:style w:type="table" w:customStyle="1" w:styleId="Table11">
    <w:name w:val="Table 11"/>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C45ED4"/>
    <w:pPr>
      <w:spacing w:line="240" w:lineRule="auto"/>
    </w:pPr>
    <w:rPr>
      <w:rFonts w:eastAsia="Calibri"/>
      <w:szCs w:val="22"/>
      <w:lang w:val="et-EE"/>
    </w:rPr>
  </w:style>
  <w:style w:type="table" w:customStyle="1" w:styleId="TableGrid2">
    <w:name w:val="Table Grid2"/>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C45ED4"/>
  </w:style>
  <w:style w:type="table" w:customStyle="1" w:styleId="TableGrid3">
    <w:name w:val="Table Grid3"/>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
    <w:name w:val="No List2"/>
    <w:next w:val="NoList"/>
    <w:uiPriority w:val="99"/>
    <w:semiHidden/>
    <w:unhideWhenUsed/>
    <w:rsid w:val="00C45ED4"/>
  </w:style>
  <w:style w:type="table" w:customStyle="1" w:styleId="TableGrid4">
    <w:name w:val="Table Grid4"/>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C45ED4"/>
    <w:pPr>
      <w:autoSpaceDE w:val="0"/>
      <w:autoSpaceDN w:val="0"/>
      <w:adjustRightInd w:val="0"/>
      <w:jc w:val="right"/>
    </w:pPr>
    <w:rPr>
      <w:b/>
      <w:bCs/>
      <w:szCs w:val="24"/>
      <w:lang w:eastAsia="fr-BE"/>
    </w:rPr>
  </w:style>
  <w:style w:type="paragraph" w:customStyle="1" w:styleId="EntRefer">
    <w:name w:val="EntRefer"/>
    <w:basedOn w:val="Normal"/>
    <w:rsid w:val="00C45ED4"/>
    <w:pPr>
      <w:autoSpaceDE w:val="0"/>
      <w:autoSpaceDN w:val="0"/>
      <w:adjustRightInd w:val="0"/>
    </w:pPr>
    <w:rPr>
      <w:b/>
      <w:bCs/>
      <w:szCs w:val="24"/>
      <w:lang w:eastAsia="fr-BE"/>
    </w:rPr>
  </w:style>
  <w:style w:type="paragraph" w:customStyle="1" w:styleId="Par-number1">
    <w:name w:val="Par-number 1)"/>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C45ED4"/>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C45ED4"/>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C45ED4"/>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C45ED4"/>
    <w:rPr>
      <w:sz w:val="24"/>
      <w:szCs w:val="24"/>
      <w:lang w:val="et-EE" w:eastAsia="fr-BE"/>
    </w:rPr>
  </w:style>
  <w:style w:type="character" w:styleId="EndnoteReference">
    <w:name w:val="endnote reference"/>
    <w:basedOn w:val="DefaultParagraphFont"/>
    <w:uiPriority w:val="99"/>
    <w:rsid w:val="00C45ED4"/>
    <w:rPr>
      <w:rFonts w:cs="Times New Roman"/>
      <w:b/>
      <w:bCs/>
      <w:spacing w:val="0"/>
      <w:vertAlign w:val="superscript"/>
    </w:rPr>
  </w:style>
  <w:style w:type="paragraph" w:customStyle="1" w:styleId="AC">
    <w:name w:val="AC"/>
    <w:basedOn w:val="Normal"/>
    <w:next w:val="Normal"/>
    <w:rsid w:val="00C45ED4"/>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C45ED4"/>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C45ED4"/>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C45ED4"/>
    <w:rPr>
      <w:rFonts w:cs="Times New Roman"/>
      <w:color w:val="auto"/>
      <w:spacing w:val="0"/>
    </w:rPr>
  </w:style>
  <w:style w:type="paragraph" w:customStyle="1" w:styleId="AddReference">
    <w:name w:val="Add Reference"/>
    <w:basedOn w:val="Normal"/>
    <w:rsid w:val="00C45ED4"/>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C45ED4"/>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C45ED4"/>
    <w:rPr>
      <w:rFonts w:ascii="Tahoma" w:hAnsi="Tahoma" w:cs="Tahoma"/>
      <w:sz w:val="24"/>
      <w:szCs w:val="24"/>
      <w:shd w:val="clear" w:color="auto" w:fill="000080"/>
      <w:lang w:val="et-EE" w:eastAsia="fr-BE"/>
    </w:rPr>
  </w:style>
  <w:style w:type="paragraph" w:customStyle="1" w:styleId="RKrubrik">
    <w:name w:val="RKrubrik"/>
    <w:basedOn w:val="Normal"/>
    <w:next w:val="Normal"/>
    <w:rsid w:val="00C45ED4"/>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5Char1">
    <w:name w:val="Heading 5 Char1"/>
    <w:basedOn w:val="DefaultParagraphFont"/>
    <w:rsid w:val="00C45ED4"/>
    <w:rPr>
      <w:rFonts w:ascii="Arial" w:hAnsi="Arial" w:cs="Arial"/>
      <w:spacing w:val="0"/>
      <w:sz w:val="24"/>
      <w:szCs w:val="24"/>
      <w:lang w:val="et-EE"/>
    </w:rPr>
  </w:style>
  <w:style w:type="character" w:customStyle="1" w:styleId="Heading6Char1">
    <w:name w:val="Heading 6 Char1"/>
    <w:basedOn w:val="DefaultParagraphFont"/>
    <w:rsid w:val="00C45ED4"/>
    <w:rPr>
      <w:rFonts w:ascii="Arial" w:hAnsi="Arial" w:cs="Arial"/>
      <w:i/>
      <w:iCs/>
      <w:spacing w:val="0"/>
      <w:sz w:val="24"/>
      <w:szCs w:val="24"/>
      <w:lang w:val="et-EE"/>
    </w:rPr>
  </w:style>
  <w:style w:type="character" w:customStyle="1" w:styleId="Heading7Char1">
    <w:name w:val="Heading 7 Char1"/>
    <w:basedOn w:val="DefaultParagraphFont"/>
    <w:rsid w:val="00C45ED4"/>
    <w:rPr>
      <w:rFonts w:ascii="Arial" w:hAnsi="Arial" w:cs="Arial"/>
      <w:spacing w:val="0"/>
      <w:sz w:val="24"/>
      <w:szCs w:val="24"/>
      <w:lang w:val="et-EE"/>
    </w:rPr>
  </w:style>
  <w:style w:type="character" w:customStyle="1" w:styleId="Heading8Char1">
    <w:name w:val="Heading 8 Char1"/>
    <w:basedOn w:val="DefaultParagraphFont"/>
    <w:rsid w:val="00C45ED4"/>
    <w:rPr>
      <w:rFonts w:ascii="Arial" w:hAnsi="Arial" w:cs="Arial"/>
      <w:i/>
      <w:iCs/>
      <w:spacing w:val="0"/>
      <w:sz w:val="24"/>
      <w:szCs w:val="24"/>
      <w:lang w:val="et-EE"/>
    </w:rPr>
  </w:style>
  <w:style w:type="character" w:customStyle="1" w:styleId="Heading9Char1">
    <w:name w:val="Heading 9 Char1"/>
    <w:basedOn w:val="DefaultParagraphFont"/>
    <w:rsid w:val="00C45ED4"/>
    <w:rPr>
      <w:rFonts w:ascii="Arial" w:hAnsi="Arial" w:cs="Arial"/>
      <w:i/>
      <w:iCs/>
      <w:spacing w:val="0"/>
      <w:sz w:val="24"/>
      <w:szCs w:val="24"/>
      <w:lang w:val="et-EE"/>
    </w:rPr>
  </w:style>
  <w:style w:type="character" w:customStyle="1" w:styleId="BalloonTextChar1">
    <w:name w:val="Balloon Text Char1"/>
    <w:basedOn w:val="DefaultParagraphFont"/>
    <w:rsid w:val="00C45ED4"/>
    <w:rPr>
      <w:rFonts w:ascii="Tahoma" w:hAnsi="Tahoma" w:cs="Tahoma"/>
      <w:spacing w:val="0"/>
      <w:sz w:val="16"/>
      <w:szCs w:val="16"/>
      <w:lang w:val="et-EE"/>
    </w:rPr>
  </w:style>
  <w:style w:type="character" w:customStyle="1" w:styleId="HeaderChar1">
    <w:name w:val="Header Char1"/>
    <w:basedOn w:val="DefaultParagraphFont"/>
    <w:rsid w:val="00C45ED4"/>
    <w:rPr>
      <w:rFonts w:cs="Times New Roman"/>
      <w:spacing w:val="0"/>
      <w:sz w:val="24"/>
      <w:szCs w:val="24"/>
      <w:lang w:val="et-EE"/>
    </w:rPr>
  </w:style>
  <w:style w:type="character" w:customStyle="1" w:styleId="FooterChar1">
    <w:name w:val="Footer Char1"/>
    <w:basedOn w:val="DefaultParagraphFont"/>
    <w:rsid w:val="00C45ED4"/>
    <w:rPr>
      <w:rFonts w:cs="Times New Roman"/>
      <w:spacing w:val="0"/>
      <w:sz w:val="24"/>
      <w:szCs w:val="24"/>
      <w:lang w:val="et-EE"/>
    </w:rPr>
  </w:style>
  <w:style w:type="paragraph" w:customStyle="1" w:styleId="Overskrift1">
    <w:name w:val="Overskrift1"/>
    <w:basedOn w:val="Normal"/>
    <w:next w:val="Normal"/>
    <w:rsid w:val="00C45ED4"/>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C45ED4"/>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C45ED4"/>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C45ED4"/>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C45ED4"/>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C45ED4"/>
    <w:pPr>
      <w:widowControl/>
      <w:autoSpaceDE w:val="0"/>
      <w:autoSpaceDN w:val="0"/>
      <w:adjustRightInd w:val="0"/>
      <w:jc w:val="center"/>
    </w:pPr>
    <w:rPr>
      <w:b/>
      <w:bCs/>
      <w:szCs w:val="24"/>
      <w:lang w:eastAsia="fr-BE"/>
    </w:rPr>
  </w:style>
  <w:style w:type="paragraph" w:customStyle="1" w:styleId="EntACP">
    <w:name w:val="EntACP"/>
    <w:basedOn w:val="Normal"/>
    <w:rsid w:val="00C45ED4"/>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C45ED4"/>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C45ED4"/>
    <w:pPr>
      <w:widowControl/>
      <w:spacing w:before="240"/>
    </w:pPr>
  </w:style>
  <w:style w:type="paragraph" w:customStyle="1" w:styleId="Accordtitre">
    <w:name w:val="Accord titre"/>
    <w:basedOn w:val="Normal"/>
    <w:rsid w:val="00C45ED4"/>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C45ED4"/>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C45ED4"/>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C45ED4"/>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C45ED4"/>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C45ED4"/>
    <w:rPr>
      <w:sz w:val="24"/>
      <w:szCs w:val="24"/>
      <w:lang w:val="et-EE" w:eastAsia="fr-BE"/>
    </w:rPr>
  </w:style>
  <w:style w:type="character" w:customStyle="1" w:styleId="BodyTextChar1">
    <w:name w:val="Body Text Char1"/>
    <w:basedOn w:val="DefaultParagraphFont"/>
    <w:rsid w:val="00C45ED4"/>
    <w:rPr>
      <w:rFonts w:cs="Times New Roman"/>
      <w:spacing w:val="0"/>
      <w:sz w:val="24"/>
      <w:szCs w:val="24"/>
      <w:lang w:val="et-EE"/>
    </w:rPr>
  </w:style>
  <w:style w:type="paragraph" w:styleId="BodyTextIndent">
    <w:name w:val="Body Text Indent"/>
    <w:basedOn w:val="Normal"/>
    <w:link w:val="BodyTextIndentChar"/>
    <w:uiPriority w:val="99"/>
    <w:rsid w:val="00C45ED4"/>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C45ED4"/>
    <w:rPr>
      <w:sz w:val="24"/>
      <w:szCs w:val="24"/>
      <w:lang w:val="et-EE" w:eastAsia="fr-BE"/>
    </w:rPr>
  </w:style>
  <w:style w:type="character" w:customStyle="1" w:styleId="BodyText2Char">
    <w:name w:val="Body Text 2 Char"/>
    <w:basedOn w:val="DefaultParagraphFont"/>
    <w:rsid w:val="00C45ED4"/>
    <w:rPr>
      <w:rFonts w:ascii="Times New Roman" w:hAnsi="Times New Roman" w:cs="Times New Roman"/>
      <w:spacing w:val="0"/>
      <w:sz w:val="24"/>
      <w:szCs w:val="24"/>
      <w:lang w:val="et-EE"/>
    </w:rPr>
  </w:style>
  <w:style w:type="paragraph" w:styleId="BodyText3">
    <w:name w:val="Body Text 3"/>
    <w:basedOn w:val="Normal"/>
    <w:link w:val="BodyText3Char"/>
    <w:uiPriority w:val="99"/>
    <w:rsid w:val="00C45ED4"/>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C45ED4"/>
    <w:rPr>
      <w:sz w:val="16"/>
      <w:szCs w:val="16"/>
      <w:lang w:val="et-EE" w:eastAsia="fr-BE"/>
    </w:rPr>
  </w:style>
  <w:style w:type="character" w:customStyle="1" w:styleId="BodyText3Char1">
    <w:name w:val="Body Text 3 Char1"/>
    <w:basedOn w:val="DefaultParagraphFont"/>
    <w:rsid w:val="00C45ED4"/>
    <w:rPr>
      <w:rFonts w:cs="Times New Roman"/>
      <w:spacing w:val="0"/>
      <w:sz w:val="16"/>
      <w:szCs w:val="16"/>
      <w:lang w:val="et-EE"/>
    </w:rPr>
  </w:style>
  <w:style w:type="paragraph" w:styleId="BodyTextFirstIndent">
    <w:name w:val="Body Text First Indent"/>
    <w:basedOn w:val="BodyText"/>
    <w:link w:val="BodyTextFirstIndentChar"/>
    <w:uiPriority w:val="99"/>
    <w:rsid w:val="00C45ED4"/>
    <w:pPr>
      <w:ind w:firstLine="210"/>
    </w:pPr>
  </w:style>
  <w:style w:type="character" w:customStyle="1" w:styleId="BodyTextFirstIndentChar">
    <w:name w:val="Body Text First Indent Char"/>
    <w:basedOn w:val="BodyTextChar"/>
    <w:link w:val="BodyTextFirstIndent"/>
    <w:uiPriority w:val="99"/>
    <w:rsid w:val="00C45ED4"/>
    <w:rPr>
      <w:sz w:val="24"/>
      <w:szCs w:val="24"/>
      <w:lang w:val="et-EE" w:eastAsia="fr-BE"/>
    </w:rPr>
  </w:style>
  <w:style w:type="character" w:customStyle="1" w:styleId="BodyTextFirstIndentChar1">
    <w:name w:val="Body Text First Indent Char1"/>
    <w:basedOn w:val="BodyTextChar1"/>
    <w:rsid w:val="00C45ED4"/>
    <w:rPr>
      <w:rFonts w:cs="Times New Roman"/>
      <w:spacing w:val="0"/>
      <w:sz w:val="24"/>
      <w:szCs w:val="24"/>
      <w:lang w:val="et-EE"/>
    </w:rPr>
  </w:style>
  <w:style w:type="character" w:customStyle="1" w:styleId="BodyTextIndentChar1">
    <w:name w:val="Body Text Indent Char1"/>
    <w:basedOn w:val="DefaultParagraphFont"/>
    <w:rsid w:val="00C45ED4"/>
    <w:rPr>
      <w:rFonts w:cs="Times New Roman"/>
      <w:spacing w:val="0"/>
      <w:sz w:val="24"/>
      <w:szCs w:val="24"/>
      <w:lang w:val="et-EE"/>
    </w:rPr>
  </w:style>
  <w:style w:type="paragraph" w:styleId="BodyTextFirstIndent2">
    <w:name w:val="Body Text First Indent 2"/>
    <w:basedOn w:val="BodyTextIndent"/>
    <w:link w:val="BodyTextFirstIndent2Char"/>
    <w:uiPriority w:val="99"/>
    <w:rsid w:val="00C45ED4"/>
    <w:pPr>
      <w:ind w:firstLine="210"/>
    </w:pPr>
  </w:style>
  <w:style w:type="character" w:customStyle="1" w:styleId="BodyTextFirstIndent2Char">
    <w:name w:val="Body Text First Indent 2 Char"/>
    <w:basedOn w:val="BodyTextIndentChar"/>
    <w:link w:val="BodyTextFirstIndent2"/>
    <w:uiPriority w:val="99"/>
    <w:rsid w:val="00C45ED4"/>
    <w:rPr>
      <w:sz w:val="24"/>
      <w:szCs w:val="24"/>
      <w:lang w:val="et-EE" w:eastAsia="fr-BE"/>
    </w:rPr>
  </w:style>
  <w:style w:type="character" w:customStyle="1" w:styleId="BodyTextFirstIndent2Char1">
    <w:name w:val="Body Text First Indent 2 Char1"/>
    <w:basedOn w:val="BodyTextIndentChar1"/>
    <w:rsid w:val="00C45ED4"/>
    <w:rPr>
      <w:rFonts w:cs="Times New Roman"/>
      <w:spacing w:val="0"/>
      <w:sz w:val="24"/>
      <w:szCs w:val="24"/>
      <w:lang w:val="et-EE"/>
    </w:rPr>
  </w:style>
  <w:style w:type="paragraph" w:styleId="BodyTextIndent2">
    <w:name w:val="Body Text Indent 2"/>
    <w:basedOn w:val="Normal"/>
    <w:link w:val="BodyTextIndent2Char"/>
    <w:uiPriority w:val="99"/>
    <w:rsid w:val="00C45ED4"/>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C45ED4"/>
    <w:rPr>
      <w:sz w:val="24"/>
      <w:szCs w:val="24"/>
      <w:lang w:val="et-EE" w:eastAsia="fr-BE"/>
    </w:rPr>
  </w:style>
  <w:style w:type="character" w:customStyle="1" w:styleId="BodyTextIndent2Char1">
    <w:name w:val="Body Text Indent 2 Char1"/>
    <w:basedOn w:val="DefaultParagraphFont"/>
    <w:rsid w:val="00C45ED4"/>
    <w:rPr>
      <w:rFonts w:cs="Times New Roman"/>
      <w:spacing w:val="0"/>
      <w:sz w:val="24"/>
      <w:szCs w:val="24"/>
      <w:lang w:val="et-EE"/>
    </w:rPr>
  </w:style>
  <w:style w:type="paragraph" w:styleId="BodyTextIndent3">
    <w:name w:val="Body Text Indent 3"/>
    <w:basedOn w:val="Normal"/>
    <w:link w:val="BodyTextIndent3Char"/>
    <w:uiPriority w:val="99"/>
    <w:rsid w:val="00C45ED4"/>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C45ED4"/>
    <w:rPr>
      <w:sz w:val="16"/>
      <w:szCs w:val="16"/>
      <w:lang w:val="et-EE" w:eastAsia="fr-BE"/>
    </w:rPr>
  </w:style>
  <w:style w:type="character" w:customStyle="1" w:styleId="BodyTextIndent3Char1">
    <w:name w:val="Body Text Indent 3 Char1"/>
    <w:basedOn w:val="DefaultParagraphFont"/>
    <w:rsid w:val="00C45ED4"/>
    <w:rPr>
      <w:rFonts w:cs="Times New Roman"/>
      <w:spacing w:val="0"/>
      <w:sz w:val="16"/>
      <w:szCs w:val="16"/>
      <w:lang w:val="et-EE"/>
    </w:rPr>
  </w:style>
  <w:style w:type="paragraph" w:styleId="Closing">
    <w:name w:val="Closing"/>
    <w:basedOn w:val="Normal"/>
    <w:link w:val="ClosingChar"/>
    <w:uiPriority w:val="99"/>
    <w:rsid w:val="00C45ED4"/>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C45ED4"/>
    <w:rPr>
      <w:sz w:val="24"/>
      <w:szCs w:val="24"/>
      <w:lang w:val="et-EE" w:eastAsia="fr-BE"/>
    </w:rPr>
  </w:style>
  <w:style w:type="character" w:customStyle="1" w:styleId="ClosingChar1">
    <w:name w:val="Closing Char1"/>
    <w:basedOn w:val="DefaultParagraphFont"/>
    <w:rsid w:val="00C45ED4"/>
    <w:rPr>
      <w:rFonts w:cs="Times New Roman"/>
      <w:spacing w:val="0"/>
      <w:sz w:val="24"/>
      <w:szCs w:val="24"/>
      <w:lang w:val="et-EE"/>
    </w:rPr>
  </w:style>
  <w:style w:type="character" w:customStyle="1" w:styleId="CommentTextChar1">
    <w:name w:val="Comment Text Char1"/>
    <w:basedOn w:val="DefaultParagraphFont"/>
    <w:rsid w:val="00C45ED4"/>
    <w:rPr>
      <w:rFonts w:cs="Times New Roman"/>
      <w:spacing w:val="0"/>
      <w:sz w:val="24"/>
      <w:szCs w:val="24"/>
      <w:lang w:val="et-EE"/>
    </w:rPr>
  </w:style>
  <w:style w:type="character" w:customStyle="1" w:styleId="CommentSubjectChar1">
    <w:name w:val="Comment Subject Char1"/>
    <w:basedOn w:val="CommentTextChar1"/>
    <w:rsid w:val="00C45ED4"/>
    <w:rPr>
      <w:rFonts w:cs="Times New Roman"/>
      <w:b/>
      <w:bCs/>
      <w:spacing w:val="0"/>
      <w:sz w:val="24"/>
      <w:szCs w:val="24"/>
      <w:lang w:val="et-EE"/>
    </w:rPr>
  </w:style>
  <w:style w:type="character" w:customStyle="1" w:styleId="DocumentMapChar1">
    <w:name w:val="Document Map Char1"/>
    <w:basedOn w:val="DefaultParagraphFont"/>
    <w:rsid w:val="00C45ED4"/>
    <w:rPr>
      <w:rFonts w:ascii="Tahoma" w:hAnsi="Tahoma" w:cs="Tahoma"/>
      <w:spacing w:val="0"/>
      <w:sz w:val="24"/>
      <w:szCs w:val="24"/>
      <w:lang w:val="et-EE"/>
    </w:rPr>
  </w:style>
  <w:style w:type="paragraph" w:styleId="E-mailSignature">
    <w:name w:val="E-mail Signature"/>
    <w:basedOn w:val="Normal"/>
    <w:link w:val="E-mailSignatureChar"/>
    <w:uiPriority w:val="99"/>
    <w:rsid w:val="00C45ED4"/>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C45ED4"/>
    <w:rPr>
      <w:sz w:val="24"/>
      <w:szCs w:val="24"/>
      <w:lang w:val="et-EE" w:eastAsia="fr-BE"/>
    </w:rPr>
  </w:style>
  <w:style w:type="character" w:customStyle="1" w:styleId="E-mailSignatureChar1">
    <w:name w:val="E-mail Signature Char1"/>
    <w:basedOn w:val="DefaultParagraphFont"/>
    <w:rsid w:val="00C45ED4"/>
    <w:rPr>
      <w:rFonts w:cs="Times New Roman"/>
      <w:spacing w:val="0"/>
      <w:sz w:val="24"/>
      <w:szCs w:val="24"/>
      <w:lang w:val="et-EE"/>
    </w:rPr>
  </w:style>
  <w:style w:type="character" w:styleId="Emphasis">
    <w:name w:val="Emphasis"/>
    <w:basedOn w:val="DefaultParagraphFont"/>
    <w:uiPriority w:val="20"/>
    <w:qFormat/>
    <w:rsid w:val="00C45ED4"/>
    <w:rPr>
      <w:rFonts w:cs="Times New Roman"/>
      <w:i/>
      <w:iCs/>
      <w:spacing w:val="0"/>
    </w:rPr>
  </w:style>
  <w:style w:type="character" w:customStyle="1" w:styleId="EndnoteTextChar1">
    <w:name w:val="Endnote Text Char1"/>
    <w:basedOn w:val="DefaultParagraphFont"/>
    <w:rsid w:val="00C45ED4"/>
    <w:rPr>
      <w:rFonts w:cs="Times New Roman"/>
      <w:spacing w:val="0"/>
      <w:sz w:val="24"/>
      <w:szCs w:val="24"/>
      <w:lang w:val="et-EE"/>
    </w:rPr>
  </w:style>
  <w:style w:type="paragraph" w:styleId="EnvelopeAddress">
    <w:name w:val="envelope address"/>
    <w:basedOn w:val="Normal"/>
    <w:uiPriority w:val="99"/>
    <w:rsid w:val="00C45ED4"/>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C45ED4"/>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C45ED4"/>
    <w:rPr>
      <w:rFonts w:cs="Times New Roman"/>
    </w:rPr>
  </w:style>
  <w:style w:type="paragraph" w:styleId="HTMLAddress">
    <w:name w:val="HTML Address"/>
    <w:basedOn w:val="Normal"/>
    <w:link w:val="HTMLAddressChar"/>
    <w:uiPriority w:val="99"/>
    <w:rsid w:val="00C45ED4"/>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C45ED4"/>
    <w:rPr>
      <w:i/>
      <w:iCs/>
      <w:sz w:val="24"/>
      <w:szCs w:val="24"/>
      <w:lang w:val="et-EE" w:eastAsia="fr-BE"/>
    </w:rPr>
  </w:style>
  <w:style w:type="character" w:customStyle="1" w:styleId="HTMLAddressChar1">
    <w:name w:val="HTML Address Char1"/>
    <w:basedOn w:val="DefaultParagraphFont"/>
    <w:rsid w:val="00C45ED4"/>
    <w:rPr>
      <w:rFonts w:cs="Times New Roman"/>
      <w:i/>
      <w:iCs/>
      <w:spacing w:val="0"/>
      <w:sz w:val="24"/>
      <w:szCs w:val="24"/>
      <w:lang w:val="et-EE"/>
    </w:rPr>
  </w:style>
  <w:style w:type="character" w:styleId="HTMLCite">
    <w:name w:val="HTML Cite"/>
    <w:basedOn w:val="DefaultParagraphFont"/>
    <w:uiPriority w:val="99"/>
    <w:rsid w:val="00C45ED4"/>
    <w:rPr>
      <w:rFonts w:cs="Times New Roman"/>
      <w:i/>
      <w:iCs/>
      <w:spacing w:val="0"/>
    </w:rPr>
  </w:style>
  <w:style w:type="character" w:styleId="HTMLCode">
    <w:name w:val="HTML Code"/>
    <w:basedOn w:val="DefaultParagraphFont"/>
    <w:uiPriority w:val="99"/>
    <w:rsid w:val="00C45ED4"/>
    <w:rPr>
      <w:rFonts w:ascii="Courier New" w:hAnsi="Courier New" w:cs="Courier New"/>
      <w:spacing w:val="0"/>
      <w:sz w:val="20"/>
      <w:szCs w:val="20"/>
    </w:rPr>
  </w:style>
  <w:style w:type="character" w:styleId="HTMLDefinition">
    <w:name w:val="HTML Definition"/>
    <w:basedOn w:val="DefaultParagraphFont"/>
    <w:uiPriority w:val="99"/>
    <w:rsid w:val="00C45ED4"/>
    <w:rPr>
      <w:rFonts w:cs="Times New Roman"/>
      <w:i/>
      <w:iCs/>
      <w:spacing w:val="0"/>
    </w:rPr>
  </w:style>
  <w:style w:type="character" w:styleId="HTMLKeyboard">
    <w:name w:val="HTML Keyboard"/>
    <w:basedOn w:val="DefaultParagraphFont"/>
    <w:uiPriority w:val="99"/>
    <w:rsid w:val="00C45ED4"/>
    <w:rPr>
      <w:rFonts w:ascii="Courier New" w:hAnsi="Courier New" w:cs="Courier New"/>
      <w:spacing w:val="0"/>
      <w:sz w:val="20"/>
      <w:szCs w:val="20"/>
    </w:rPr>
  </w:style>
  <w:style w:type="paragraph" w:styleId="HTMLPreformatted">
    <w:name w:val="HTML Preformatted"/>
    <w:basedOn w:val="Normal"/>
    <w:link w:val="HTMLPreformattedChar"/>
    <w:uiPriority w:val="99"/>
    <w:rsid w:val="00C45ED4"/>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C45ED4"/>
    <w:rPr>
      <w:rFonts w:ascii="Courier New" w:hAnsi="Courier New" w:cs="Courier New"/>
      <w:sz w:val="24"/>
      <w:szCs w:val="24"/>
      <w:lang w:val="et-EE" w:eastAsia="fr-BE"/>
    </w:rPr>
  </w:style>
  <w:style w:type="character" w:customStyle="1" w:styleId="HTMLPreformattedChar1">
    <w:name w:val="HTML Preformatted Char1"/>
    <w:basedOn w:val="DefaultParagraphFont"/>
    <w:rsid w:val="00C45ED4"/>
    <w:rPr>
      <w:rFonts w:ascii="Courier New" w:hAnsi="Courier New" w:cs="Courier New"/>
      <w:spacing w:val="0"/>
      <w:sz w:val="24"/>
      <w:szCs w:val="24"/>
      <w:lang w:val="et-EE"/>
    </w:rPr>
  </w:style>
  <w:style w:type="character" w:styleId="HTMLSample">
    <w:name w:val="HTML Sample"/>
    <w:basedOn w:val="DefaultParagraphFont"/>
    <w:uiPriority w:val="99"/>
    <w:rsid w:val="00C45ED4"/>
    <w:rPr>
      <w:rFonts w:ascii="Courier New" w:hAnsi="Courier New" w:cs="Courier New"/>
      <w:spacing w:val="0"/>
    </w:rPr>
  </w:style>
  <w:style w:type="character" w:styleId="HTMLTypewriter">
    <w:name w:val="HTML Typewriter"/>
    <w:basedOn w:val="DefaultParagraphFont"/>
    <w:uiPriority w:val="99"/>
    <w:rsid w:val="00C45ED4"/>
    <w:rPr>
      <w:rFonts w:ascii="Courier New" w:hAnsi="Courier New" w:cs="Courier New"/>
      <w:spacing w:val="0"/>
      <w:sz w:val="20"/>
      <w:szCs w:val="20"/>
    </w:rPr>
  </w:style>
  <w:style w:type="character" w:styleId="HTMLVariable">
    <w:name w:val="HTML Variable"/>
    <w:basedOn w:val="DefaultParagraphFont"/>
    <w:uiPriority w:val="99"/>
    <w:rsid w:val="00C45ED4"/>
    <w:rPr>
      <w:rFonts w:cs="Times New Roman"/>
      <w:i/>
      <w:iCs/>
      <w:spacing w:val="0"/>
    </w:rPr>
  </w:style>
  <w:style w:type="character" w:styleId="LineNumber">
    <w:name w:val="line number"/>
    <w:basedOn w:val="DefaultParagraphFont"/>
    <w:uiPriority w:val="99"/>
    <w:rsid w:val="00C45ED4"/>
    <w:rPr>
      <w:rFonts w:cs="Times New Roman"/>
    </w:rPr>
  </w:style>
  <w:style w:type="paragraph" w:styleId="List">
    <w:name w:val="List"/>
    <w:basedOn w:val="Normal"/>
    <w:uiPriority w:val="99"/>
    <w:rsid w:val="00C45ED4"/>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C45ED4"/>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C45ED4"/>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C45ED4"/>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C45ED4"/>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C45ED4"/>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C45ED4"/>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C45ED4"/>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C45ED4"/>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C45ED4"/>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C45ED4"/>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C45ED4"/>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C45ED4"/>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C45ED4"/>
    <w:rPr>
      <w:rFonts w:ascii="Courier New" w:hAnsi="Courier New" w:cs="Courier New"/>
      <w:sz w:val="24"/>
      <w:szCs w:val="24"/>
      <w:lang w:val="en-US" w:eastAsia="fr-BE"/>
    </w:rPr>
  </w:style>
  <w:style w:type="character" w:customStyle="1" w:styleId="MacroTextChar1">
    <w:name w:val="Macro Text Char1"/>
    <w:basedOn w:val="DefaultParagraphFont"/>
    <w:rsid w:val="00C45ED4"/>
    <w:rPr>
      <w:rFonts w:ascii="Courier New" w:hAnsi="Courier New" w:cs="Courier New"/>
      <w:spacing w:val="0"/>
      <w:sz w:val="24"/>
      <w:szCs w:val="24"/>
      <w:lang w:val="et-EE"/>
    </w:rPr>
  </w:style>
  <w:style w:type="paragraph" w:styleId="MessageHeader">
    <w:name w:val="Message Header"/>
    <w:basedOn w:val="Normal"/>
    <w:link w:val="MessageHeaderChar"/>
    <w:uiPriority w:val="99"/>
    <w:rsid w:val="00C45ED4"/>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C45ED4"/>
    <w:rPr>
      <w:rFonts w:ascii="Arial" w:hAnsi="Arial" w:cs="Arial"/>
      <w:sz w:val="24"/>
      <w:szCs w:val="24"/>
      <w:lang w:val="et-EE" w:eastAsia="fr-BE"/>
    </w:rPr>
  </w:style>
  <w:style w:type="character" w:customStyle="1" w:styleId="MessageHeaderChar1">
    <w:name w:val="Message Header Char1"/>
    <w:basedOn w:val="DefaultParagraphFont"/>
    <w:rsid w:val="00C45ED4"/>
    <w:rPr>
      <w:rFonts w:ascii="Arial" w:hAnsi="Arial" w:cs="Arial"/>
      <w:spacing w:val="0"/>
      <w:sz w:val="24"/>
      <w:szCs w:val="24"/>
      <w:shd w:val="pct20" w:color="auto" w:fill="auto"/>
      <w:lang w:val="et-EE"/>
    </w:rPr>
  </w:style>
  <w:style w:type="paragraph" w:styleId="NormalWeb">
    <w:name w:val="Normal (Web)"/>
    <w:basedOn w:val="Normal"/>
    <w:uiPriority w:val="99"/>
    <w:rsid w:val="00C45ED4"/>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rsid w:val="00C45ED4"/>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C45ED4"/>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C45ED4"/>
    <w:rPr>
      <w:rFonts w:ascii="Courier New" w:hAnsi="Courier New" w:cs="Courier New"/>
      <w:sz w:val="24"/>
      <w:szCs w:val="24"/>
      <w:lang w:val="et-EE" w:eastAsia="fr-BE"/>
    </w:rPr>
  </w:style>
  <w:style w:type="character" w:customStyle="1" w:styleId="PlainTextChar1">
    <w:name w:val="Plain Text Char1"/>
    <w:basedOn w:val="DefaultParagraphFont"/>
    <w:rsid w:val="00C45ED4"/>
    <w:rPr>
      <w:rFonts w:ascii="Courier New" w:hAnsi="Courier New" w:cs="Courier New"/>
      <w:spacing w:val="0"/>
      <w:sz w:val="24"/>
      <w:szCs w:val="24"/>
      <w:lang w:val="et-EE"/>
    </w:rPr>
  </w:style>
  <w:style w:type="paragraph" w:styleId="Signature">
    <w:name w:val="Signature"/>
    <w:basedOn w:val="Normal"/>
    <w:link w:val="SignatureChar"/>
    <w:uiPriority w:val="99"/>
    <w:rsid w:val="00C45ED4"/>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C45ED4"/>
    <w:rPr>
      <w:sz w:val="24"/>
      <w:szCs w:val="24"/>
      <w:lang w:val="et-EE" w:eastAsia="fr-BE"/>
    </w:rPr>
  </w:style>
  <w:style w:type="character" w:customStyle="1" w:styleId="SignatureChar1">
    <w:name w:val="Signature Char1"/>
    <w:basedOn w:val="DefaultParagraphFont"/>
    <w:rsid w:val="00C45ED4"/>
    <w:rPr>
      <w:rFonts w:cs="Times New Roman"/>
      <w:spacing w:val="0"/>
      <w:sz w:val="24"/>
      <w:szCs w:val="24"/>
      <w:lang w:val="et-EE"/>
    </w:rPr>
  </w:style>
  <w:style w:type="character" w:styleId="Strong">
    <w:name w:val="Strong"/>
    <w:basedOn w:val="DefaultParagraphFont"/>
    <w:uiPriority w:val="22"/>
    <w:qFormat/>
    <w:rsid w:val="00C45ED4"/>
    <w:rPr>
      <w:rFonts w:cs="Times New Roman"/>
      <w:b/>
      <w:bCs/>
      <w:spacing w:val="0"/>
    </w:rPr>
  </w:style>
  <w:style w:type="paragraph" w:styleId="Subtitle">
    <w:name w:val="Subtitle"/>
    <w:basedOn w:val="Normal"/>
    <w:link w:val="SubtitleChar"/>
    <w:uiPriority w:val="11"/>
    <w:qFormat/>
    <w:rsid w:val="00C45ED4"/>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C45ED4"/>
    <w:rPr>
      <w:rFonts w:ascii="Arial" w:hAnsi="Arial" w:cs="Arial"/>
      <w:sz w:val="24"/>
      <w:szCs w:val="24"/>
      <w:lang w:val="et-EE" w:eastAsia="fr-BE"/>
    </w:rPr>
  </w:style>
  <w:style w:type="character" w:customStyle="1" w:styleId="SubtitleChar1">
    <w:name w:val="Subtitle Char1"/>
    <w:basedOn w:val="DefaultParagraphFont"/>
    <w:rsid w:val="00C45ED4"/>
    <w:rPr>
      <w:rFonts w:ascii="Arial" w:hAnsi="Arial" w:cs="Arial"/>
      <w:spacing w:val="0"/>
      <w:sz w:val="24"/>
      <w:szCs w:val="24"/>
      <w:lang w:val="et-EE"/>
    </w:rPr>
  </w:style>
  <w:style w:type="paragraph" w:styleId="Title">
    <w:name w:val="Title"/>
    <w:basedOn w:val="Normal"/>
    <w:link w:val="TitleChar"/>
    <w:uiPriority w:val="10"/>
    <w:qFormat/>
    <w:rsid w:val="00C45ED4"/>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C45ED4"/>
    <w:rPr>
      <w:rFonts w:ascii="Arial" w:hAnsi="Arial" w:cs="Arial"/>
      <w:b/>
      <w:bCs/>
      <w:kern w:val="28"/>
      <w:sz w:val="32"/>
      <w:szCs w:val="32"/>
      <w:lang w:val="et-EE" w:eastAsia="fr-BE"/>
    </w:rPr>
  </w:style>
  <w:style w:type="character" w:customStyle="1" w:styleId="TitleChar1">
    <w:name w:val="Title Char1"/>
    <w:basedOn w:val="DefaultParagraphFont"/>
    <w:rsid w:val="00C45ED4"/>
    <w:rPr>
      <w:rFonts w:ascii="Arial" w:hAnsi="Arial" w:cs="Arial"/>
      <w:b/>
      <w:bCs/>
      <w:spacing w:val="0"/>
      <w:kern w:val="28"/>
      <w:sz w:val="32"/>
      <w:szCs w:val="32"/>
      <w:lang w:val="et-EE"/>
    </w:rPr>
  </w:style>
  <w:style w:type="paragraph" w:styleId="Index1">
    <w:name w:val="index 1"/>
    <w:basedOn w:val="Normal"/>
    <w:next w:val="Normal"/>
    <w:autoRedefine/>
    <w:uiPriority w:val="99"/>
    <w:rsid w:val="00C45ED4"/>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C45ED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C45ED4"/>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C45ED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C45ED4"/>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C45ED4"/>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C45ED4"/>
    <w:pPr>
      <w:spacing w:before="0" w:after="0"/>
    </w:pPr>
  </w:style>
  <w:style w:type="paragraph" w:customStyle="1" w:styleId="Considerant">
    <w:name w:val="Considerant"/>
    <w:basedOn w:val="Considrant"/>
    <w:rsid w:val="00C45ED4"/>
    <w:pPr>
      <w:tabs>
        <w:tab w:val="num" w:pos="709"/>
      </w:tabs>
      <w:autoSpaceDE w:val="0"/>
      <w:autoSpaceDN w:val="0"/>
      <w:adjustRightInd w:val="0"/>
      <w:spacing w:before="0" w:after="0"/>
      <w:ind w:left="709" w:hanging="709"/>
    </w:pPr>
    <w:rPr>
      <w:lang w:val="et-EE" w:eastAsia="fr-BE"/>
    </w:rPr>
  </w:style>
  <w:style w:type="paragraph" w:customStyle="1" w:styleId="Lginef">
    <w:name w:val="Lgine f"/>
    <w:basedOn w:val="Normal"/>
    <w:rsid w:val="00C45ED4"/>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C45ED4"/>
    <w:pPr>
      <w:autoSpaceDE w:val="0"/>
      <w:autoSpaceDN w:val="0"/>
      <w:adjustRightInd w:val="0"/>
    </w:pPr>
    <w:rPr>
      <w:b/>
      <w:bCs/>
      <w:noProof w:val="0"/>
      <w:szCs w:val="24"/>
      <w:lang w:eastAsia="fr-BE"/>
    </w:rPr>
  </w:style>
  <w:style w:type="paragraph" w:customStyle="1" w:styleId="Normal12Hanging">
    <w:name w:val="Normal12Hanging"/>
    <w:basedOn w:val="Normal12"/>
    <w:rsid w:val="00C45ED4"/>
    <w:pPr>
      <w:autoSpaceDE w:val="0"/>
      <w:autoSpaceDN w:val="0"/>
      <w:adjustRightInd w:val="0"/>
      <w:ind w:left="357" w:hanging="357"/>
    </w:pPr>
    <w:rPr>
      <w:noProof w:val="0"/>
      <w:szCs w:val="24"/>
      <w:lang w:eastAsia="fr-BE"/>
    </w:rPr>
  </w:style>
  <w:style w:type="character" w:customStyle="1" w:styleId="italic1">
    <w:name w:val="italic1"/>
    <w:basedOn w:val="DefaultParagraphFont"/>
    <w:rsid w:val="00C45ED4"/>
    <w:rPr>
      <w:rFonts w:cs="Times New Roman"/>
      <w:i/>
      <w:iCs/>
      <w:spacing w:val="0"/>
      <w:shd w:val="clear" w:color="auto" w:fill="auto"/>
    </w:rPr>
  </w:style>
  <w:style w:type="paragraph" w:customStyle="1" w:styleId="CM4">
    <w:name w:val="CM4"/>
    <w:basedOn w:val="Default"/>
    <w:next w:val="Default"/>
    <w:uiPriority w:val="99"/>
    <w:rsid w:val="00C45ED4"/>
    <w:rPr>
      <w:rFonts w:ascii="EUAlbertina" w:eastAsia="Times New Roman" w:hAnsi="EUAlbertina" w:cs="EUAlbertina"/>
      <w:color w:val="auto"/>
      <w:lang w:eastAsia="fr-BE"/>
    </w:rPr>
  </w:style>
  <w:style w:type="paragraph" w:customStyle="1" w:styleId="NormalConseil">
    <w:name w:val="NormalConseil"/>
    <w:basedOn w:val="Normal"/>
    <w:rsid w:val="00C45ED4"/>
    <w:pPr>
      <w:widowControl/>
      <w:autoSpaceDE w:val="0"/>
      <w:autoSpaceDN w:val="0"/>
      <w:adjustRightInd w:val="0"/>
    </w:pPr>
    <w:rPr>
      <w:szCs w:val="24"/>
      <w:lang w:eastAsia="fr-BE"/>
    </w:rPr>
  </w:style>
  <w:style w:type="paragraph" w:customStyle="1" w:styleId="FooterConseil">
    <w:name w:val="FooterConseil"/>
    <w:basedOn w:val="NormalConseil"/>
    <w:rsid w:val="00C45ED4"/>
    <w:pPr>
      <w:tabs>
        <w:tab w:val="center" w:pos="4820"/>
        <w:tab w:val="center" w:pos="7371"/>
        <w:tab w:val="right" w:pos="9639"/>
      </w:tabs>
    </w:pPr>
  </w:style>
  <w:style w:type="character" w:customStyle="1" w:styleId="st1">
    <w:name w:val="st1"/>
    <w:rsid w:val="00C45ED4"/>
    <w:rPr>
      <w:spacing w:val="0"/>
      <w:sz w:val="24"/>
      <w:lang w:val="et-EE"/>
    </w:rPr>
  </w:style>
  <w:style w:type="character" w:customStyle="1" w:styleId="Point0Char">
    <w:name w:val="Point 0 Char"/>
    <w:rsid w:val="00C45ED4"/>
    <w:rPr>
      <w:spacing w:val="0"/>
      <w:sz w:val="24"/>
      <w:lang w:val="et-EE"/>
    </w:rPr>
  </w:style>
  <w:style w:type="paragraph" w:customStyle="1" w:styleId="DeltaViewTableHeading">
    <w:name w:val="DeltaView Table Heading"/>
    <w:basedOn w:val="Normal"/>
    <w:rsid w:val="00C45ED4"/>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C45ED4"/>
    <w:pPr>
      <w:widowControl/>
      <w:autoSpaceDE w:val="0"/>
      <w:autoSpaceDN w:val="0"/>
      <w:adjustRightInd w:val="0"/>
    </w:pPr>
    <w:rPr>
      <w:rFonts w:ascii="Arial" w:hAnsi="Arial" w:cs="Arial"/>
      <w:szCs w:val="24"/>
      <w:lang w:eastAsia="fr-BE"/>
    </w:rPr>
  </w:style>
  <w:style w:type="paragraph" w:customStyle="1" w:styleId="DeltaViewAnnounce">
    <w:name w:val="DeltaView Announce"/>
    <w:rsid w:val="00C45ED4"/>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C45ED4"/>
    <w:rPr>
      <w:b/>
      <w:i/>
      <w:spacing w:val="0"/>
    </w:rPr>
  </w:style>
  <w:style w:type="character" w:customStyle="1" w:styleId="DeltaViewDeletion">
    <w:name w:val="DeltaView Deletion"/>
    <w:rsid w:val="00C45ED4"/>
    <w:rPr>
      <w:strike/>
      <w:spacing w:val="0"/>
    </w:rPr>
  </w:style>
  <w:style w:type="character" w:customStyle="1" w:styleId="DeltaViewMoveSource">
    <w:name w:val="DeltaView Move Source"/>
    <w:rsid w:val="00C45ED4"/>
    <w:rPr>
      <w:strike/>
      <w:spacing w:val="0"/>
    </w:rPr>
  </w:style>
  <w:style w:type="character" w:customStyle="1" w:styleId="DeltaViewMoveDestination">
    <w:name w:val="DeltaView Move Destination"/>
    <w:rsid w:val="00C45ED4"/>
    <w:rPr>
      <w:spacing w:val="0"/>
      <w:u w:val="double"/>
    </w:rPr>
  </w:style>
  <w:style w:type="character" w:customStyle="1" w:styleId="DeltaViewChangeNumber">
    <w:name w:val="DeltaView Change Number"/>
    <w:rsid w:val="00C45ED4"/>
    <w:rPr>
      <w:color w:val="000000"/>
      <w:spacing w:val="0"/>
      <w:vertAlign w:val="superscript"/>
    </w:rPr>
  </w:style>
  <w:style w:type="character" w:customStyle="1" w:styleId="DeltaViewDelimiter">
    <w:name w:val="DeltaView Delimiter"/>
    <w:rsid w:val="00C45ED4"/>
    <w:rPr>
      <w:spacing w:val="0"/>
    </w:rPr>
  </w:style>
  <w:style w:type="character" w:customStyle="1" w:styleId="DeltaViewFormatChange">
    <w:name w:val="DeltaView Format Change"/>
    <w:rsid w:val="00C45ED4"/>
    <w:rPr>
      <w:color w:val="000000"/>
      <w:spacing w:val="0"/>
    </w:rPr>
  </w:style>
  <w:style w:type="character" w:customStyle="1" w:styleId="DeltaViewMovedDeletion">
    <w:name w:val="DeltaView Moved Deletion"/>
    <w:rsid w:val="00C45ED4"/>
    <w:rPr>
      <w:strike/>
      <w:color w:val="C08080"/>
      <w:spacing w:val="0"/>
    </w:rPr>
  </w:style>
  <w:style w:type="character" w:customStyle="1" w:styleId="DeltaViewEditorComment">
    <w:name w:val="DeltaView Editor Comment"/>
    <w:basedOn w:val="DefaultParagraphFont"/>
    <w:rsid w:val="00C45ED4"/>
    <w:rPr>
      <w:rFonts w:cs="Times New Roman"/>
      <w:color w:val="0000FF"/>
      <w:spacing w:val="0"/>
      <w:u w:val="double"/>
    </w:rPr>
  </w:style>
  <w:style w:type="character" w:customStyle="1" w:styleId="DeltaViewStyleChangeText">
    <w:name w:val="DeltaView Style Change Text"/>
    <w:rsid w:val="00C45ED4"/>
    <w:rPr>
      <w:color w:val="000000"/>
      <w:spacing w:val="0"/>
      <w:u w:val="double"/>
    </w:rPr>
  </w:style>
  <w:style w:type="character" w:customStyle="1" w:styleId="DeltaViewStyleChangeLabel">
    <w:name w:val="DeltaView Style Change Label"/>
    <w:rsid w:val="00C45ED4"/>
    <w:rPr>
      <w:color w:val="000000"/>
      <w:spacing w:val="0"/>
    </w:rPr>
  </w:style>
  <w:style w:type="character" w:customStyle="1" w:styleId="UnresolvedMention1">
    <w:name w:val="Unresolved Mention1"/>
    <w:basedOn w:val="DefaultParagraphFont"/>
    <w:uiPriority w:val="99"/>
    <w:semiHidden/>
    <w:unhideWhenUsed/>
    <w:rsid w:val="00C45ED4"/>
    <w:rPr>
      <w:color w:val="605E5C"/>
      <w:shd w:val="clear" w:color="auto" w:fill="E1DFDD"/>
    </w:rPr>
  </w:style>
  <w:style w:type="character" w:customStyle="1" w:styleId="UnresolvedMention2">
    <w:name w:val="Unresolved Mention2"/>
    <w:basedOn w:val="DefaultParagraphFont"/>
    <w:uiPriority w:val="99"/>
    <w:semiHidden/>
    <w:unhideWhenUsed/>
    <w:rsid w:val="00C45ED4"/>
    <w:rPr>
      <w:color w:val="605E5C"/>
      <w:shd w:val="clear" w:color="auto" w:fill="E1DFDD"/>
    </w:rPr>
  </w:style>
  <w:style w:type="paragraph" w:customStyle="1" w:styleId="ThetitleofAnnexIPoint0number">
    <w:name w:val="The title of Annex I Point 0 (number)"/>
    <w:basedOn w:val="Point0number"/>
    <w:rsid w:val="00C45ED4"/>
    <w:pPr>
      <w:numPr>
        <w:numId w:val="5"/>
      </w:numPr>
    </w:pPr>
  </w:style>
  <w:style w:type="paragraph" w:customStyle="1" w:styleId="Part1isreplacedwiththefollowignPoint0number">
    <w:name w:val="Part 1 is replaced with the followign: Point 0 (number)"/>
    <w:basedOn w:val="Point0number"/>
    <w:rsid w:val="00C45ED4"/>
    <w:pPr>
      <w:numPr>
        <w:numId w:val="0"/>
      </w:numPr>
      <w:tabs>
        <w:tab w:val="num" w:pos="926"/>
      </w:tabs>
      <w:ind w:left="926" w:hanging="360"/>
    </w:pPr>
  </w:style>
  <w:style w:type="paragraph" w:customStyle="1" w:styleId="PartPoint0number">
    <w:name w:val="PartPoint 0 (number)"/>
    <w:basedOn w:val="Point0number"/>
    <w:rsid w:val="00C45ED4"/>
    <w:pPr>
      <w:numPr>
        <w:numId w:val="0"/>
      </w:numPr>
      <w:tabs>
        <w:tab w:val="num" w:pos="926"/>
      </w:tabs>
      <w:ind w:left="926" w:hanging="360"/>
    </w:pPr>
  </w:style>
  <w:style w:type="paragraph" w:customStyle="1" w:styleId="AnewPoint0number">
    <w:name w:val="A new Point 0 (number)"/>
    <w:basedOn w:val="Point0number"/>
    <w:rsid w:val="00C45ED4"/>
    <w:pPr>
      <w:numPr>
        <w:numId w:val="0"/>
      </w:numPr>
      <w:tabs>
        <w:tab w:val="num" w:pos="926"/>
      </w:tabs>
      <w:ind w:left="926" w:hanging="360"/>
    </w:pPr>
    <w:rPr>
      <w:lang w:eastAsia="en-GB"/>
    </w:rPr>
  </w:style>
  <w:style w:type="paragraph" w:customStyle="1" w:styleId="LegalNumPar">
    <w:name w:val="LegalNumPar"/>
    <w:basedOn w:val="Normal"/>
    <w:rsid w:val="00C45ED4"/>
    <w:pPr>
      <w:widowControl/>
      <w:numPr>
        <w:numId w:val="20"/>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C45ED4"/>
    <w:pPr>
      <w:widowControl/>
      <w:numPr>
        <w:ilvl w:val="1"/>
        <w:numId w:val="20"/>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C45ED4"/>
    <w:pPr>
      <w:widowControl/>
      <w:numPr>
        <w:ilvl w:val="2"/>
        <w:numId w:val="20"/>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C45ED4"/>
    <w:rPr>
      <w:color w:val="605E5C"/>
      <w:shd w:val="clear" w:color="auto" w:fill="E1DFDD"/>
    </w:rPr>
  </w:style>
  <w:style w:type="paragraph" w:customStyle="1" w:styleId="title-gr-seq-level-1">
    <w:name w:val="title-gr-seq-level-1"/>
    <w:basedOn w:val="Normal"/>
    <w:rsid w:val="00C45ED4"/>
    <w:pPr>
      <w:widowControl/>
      <w:spacing w:before="100" w:beforeAutospacing="1" w:after="100" w:afterAutospacing="1"/>
    </w:pPr>
    <w:rPr>
      <w:szCs w:val="24"/>
      <w:lang w:eastAsia="en-US"/>
    </w:rPr>
  </w:style>
  <w:style w:type="character" w:customStyle="1" w:styleId="boldface">
    <w:name w:val="boldface"/>
    <w:basedOn w:val="DefaultParagraphFont"/>
    <w:rsid w:val="00C45ED4"/>
  </w:style>
  <w:style w:type="paragraph" w:customStyle="1" w:styleId="title-gr-seq-level-4">
    <w:name w:val="title-gr-seq-level-4"/>
    <w:basedOn w:val="Normal"/>
    <w:rsid w:val="00C45ED4"/>
    <w:pPr>
      <w:widowControl/>
      <w:spacing w:before="100" w:beforeAutospacing="1" w:after="100" w:afterAutospacing="1"/>
    </w:pPr>
    <w:rPr>
      <w:szCs w:val="24"/>
      <w:lang w:eastAsia="en-US"/>
    </w:rPr>
  </w:style>
  <w:style w:type="paragraph" w:customStyle="1" w:styleId="norm">
    <w:name w:val="norm"/>
    <w:basedOn w:val="Normal"/>
    <w:rsid w:val="00C45ED4"/>
    <w:pPr>
      <w:widowControl/>
      <w:spacing w:before="100" w:beforeAutospacing="1" w:after="100" w:afterAutospacing="1"/>
    </w:pPr>
    <w:rPr>
      <w:szCs w:val="24"/>
      <w:lang w:eastAsia="en-US"/>
    </w:rPr>
  </w:style>
  <w:style w:type="paragraph" w:customStyle="1" w:styleId="title-table">
    <w:name w:val="title-table"/>
    <w:basedOn w:val="Normal"/>
    <w:rsid w:val="00C45ED4"/>
    <w:pPr>
      <w:widowControl/>
      <w:spacing w:before="100" w:beforeAutospacing="1" w:after="100" w:afterAutospacing="1"/>
    </w:pPr>
    <w:rPr>
      <w:szCs w:val="24"/>
      <w:lang w:eastAsia="en-US"/>
    </w:rPr>
  </w:style>
  <w:style w:type="character" w:customStyle="1" w:styleId="superscript">
    <w:name w:val="superscript"/>
    <w:basedOn w:val="DefaultParagraphFont"/>
    <w:rsid w:val="00C45ED4"/>
  </w:style>
  <w:style w:type="paragraph" w:customStyle="1" w:styleId="tbl-norm">
    <w:name w:val="tbl-norm"/>
    <w:basedOn w:val="Normal"/>
    <w:rsid w:val="00C45ED4"/>
    <w:pPr>
      <w:widowControl/>
      <w:spacing w:before="100" w:beforeAutospacing="1" w:after="100" w:afterAutospacing="1"/>
    </w:pPr>
    <w:rPr>
      <w:szCs w:val="24"/>
      <w:lang w:eastAsia="en-US"/>
    </w:rPr>
  </w:style>
  <w:style w:type="paragraph" w:customStyle="1" w:styleId="item-none">
    <w:name w:val="item-none"/>
    <w:basedOn w:val="Normal"/>
    <w:rsid w:val="00C45ED4"/>
    <w:pPr>
      <w:widowControl/>
      <w:spacing w:before="100" w:beforeAutospacing="1" w:after="100" w:afterAutospacing="1"/>
    </w:pPr>
    <w:rPr>
      <w:szCs w:val="24"/>
      <w:lang w:eastAsia="en-US"/>
    </w:rPr>
  </w:style>
  <w:style w:type="character" w:customStyle="1" w:styleId="FooterChar2">
    <w:name w:val="Footer Char2"/>
    <w:basedOn w:val="DefaultParagraphFont"/>
    <w:semiHidden/>
    <w:rsid w:val="00C45ED4"/>
    <w:rPr>
      <w:sz w:val="24"/>
      <w:szCs w:val="24"/>
    </w:rPr>
  </w:style>
  <w:style w:type="paragraph" w:customStyle="1" w:styleId="TOC41">
    <w:name w:val="TOC 41"/>
    <w:basedOn w:val="Normal"/>
    <w:next w:val="Normal"/>
    <w:uiPriority w:val="39"/>
    <w:semiHidden/>
    <w:unhideWhenUsed/>
    <w:rsid w:val="00C45ED4"/>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C45ED4"/>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C45ED4"/>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C45ED4"/>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C45ED4"/>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C45ED4"/>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C45ED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C45ED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C45ED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C45ED4"/>
    <w:pPr>
      <w:widowControl/>
      <w:spacing w:after="120"/>
      <w:jc w:val="right"/>
    </w:pPr>
    <w:rPr>
      <w:rFonts w:eastAsia="Calibri"/>
      <w:sz w:val="28"/>
      <w:szCs w:val="22"/>
      <w:lang w:eastAsia="en-US"/>
    </w:rPr>
  </w:style>
  <w:style w:type="paragraph" w:customStyle="1" w:styleId="FooterSensitivity">
    <w:name w:val="Footer Sensitivity"/>
    <w:basedOn w:val="Normal"/>
    <w:rsid w:val="00C45ED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C45ED4"/>
    <w:pPr>
      <w:widowControl/>
      <w:spacing w:before="120" w:after="120"/>
      <w:ind w:left="850"/>
      <w:jc w:val="both"/>
    </w:pPr>
    <w:rPr>
      <w:rFonts w:eastAsia="Calibri"/>
      <w:szCs w:val="22"/>
      <w:lang w:eastAsia="en-US"/>
    </w:rPr>
  </w:style>
  <w:style w:type="paragraph" w:customStyle="1" w:styleId="Text2">
    <w:name w:val="Text 2"/>
    <w:basedOn w:val="Normal"/>
    <w:rsid w:val="00C45ED4"/>
    <w:pPr>
      <w:widowControl/>
      <w:spacing w:before="120" w:after="120"/>
      <w:ind w:left="1417"/>
      <w:jc w:val="both"/>
    </w:pPr>
    <w:rPr>
      <w:rFonts w:eastAsia="Calibri"/>
      <w:szCs w:val="22"/>
      <w:lang w:eastAsia="en-US"/>
    </w:rPr>
  </w:style>
  <w:style w:type="paragraph" w:customStyle="1" w:styleId="Text3">
    <w:name w:val="Text 3"/>
    <w:basedOn w:val="Normal"/>
    <w:rsid w:val="00C45ED4"/>
    <w:pPr>
      <w:widowControl/>
      <w:spacing w:before="120" w:after="120"/>
      <w:ind w:left="1984"/>
      <w:jc w:val="both"/>
    </w:pPr>
    <w:rPr>
      <w:rFonts w:eastAsia="Calibri"/>
      <w:szCs w:val="22"/>
      <w:lang w:eastAsia="en-US"/>
    </w:rPr>
  </w:style>
  <w:style w:type="paragraph" w:customStyle="1" w:styleId="Text4">
    <w:name w:val="Text 4"/>
    <w:basedOn w:val="Normal"/>
    <w:rsid w:val="00C45ED4"/>
    <w:pPr>
      <w:widowControl/>
      <w:spacing w:before="120" w:after="120"/>
      <w:ind w:left="2551"/>
      <w:jc w:val="both"/>
    </w:pPr>
    <w:rPr>
      <w:rFonts w:eastAsia="Calibri"/>
      <w:szCs w:val="22"/>
      <w:lang w:eastAsia="en-US"/>
    </w:rPr>
  </w:style>
  <w:style w:type="paragraph" w:customStyle="1" w:styleId="Text5">
    <w:name w:val="Text 5"/>
    <w:basedOn w:val="Normal"/>
    <w:rsid w:val="00C45ED4"/>
    <w:pPr>
      <w:widowControl/>
      <w:spacing w:before="120" w:after="120"/>
      <w:ind w:left="3118"/>
      <w:jc w:val="both"/>
    </w:pPr>
    <w:rPr>
      <w:rFonts w:eastAsia="Calibri"/>
      <w:szCs w:val="22"/>
      <w:lang w:eastAsia="en-US"/>
    </w:rPr>
  </w:style>
  <w:style w:type="paragraph" w:customStyle="1" w:styleId="Text6">
    <w:name w:val="Text 6"/>
    <w:basedOn w:val="Normal"/>
    <w:rsid w:val="00C45ED4"/>
    <w:pPr>
      <w:widowControl/>
      <w:spacing w:before="120" w:after="120"/>
      <w:ind w:left="3685"/>
      <w:jc w:val="both"/>
    </w:pPr>
    <w:rPr>
      <w:rFonts w:eastAsia="Calibri"/>
      <w:szCs w:val="22"/>
      <w:lang w:eastAsia="en-US"/>
    </w:rPr>
  </w:style>
  <w:style w:type="paragraph" w:customStyle="1" w:styleId="NormalCentered">
    <w:name w:val="Normal Centered"/>
    <w:basedOn w:val="Normal"/>
    <w:rsid w:val="00C45ED4"/>
    <w:pPr>
      <w:widowControl/>
      <w:spacing w:before="120" w:after="120"/>
      <w:jc w:val="center"/>
    </w:pPr>
    <w:rPr>
      <w:rFonts w:eastAsia="Calibri"/>
      <w:szCs w:val="22"/>
      <w:lang w:eastAsia="en-US"/>
    </w:rPr>
  </w:style>
  <w:style w:type="paragraph" w:customStyle="1" w:styleId="NormalLeft">
    <w:name w:val="Normal Left"/>
    <w:basedOn w:val="Normal"/>
    <w:rsid w:val="00C45ED4"/>
    <w:pPr>
      <w:widowControl/>
      <w:spacing w:before="120" w:after="120"/>
    </w:pPr>
    <w:rPr>
      <w:rFonts w:eastAsia="Calibri"/>
      <w:szCs w:val="22"/>
      <w:lang w:eastAsia="en-US"/>
    </w:rPr>
  </w:style>
  <w:style w:type="paragraph" w:customStyle="1" w:styleId="NormalRight">
    <w:name w:val="Normal Right"/>
    <w:basedOn w:val="Normal"/>
    <w:rsid w:val="00C45ED4"/>
    <w:pPr>
      <w:widowControl/>
      <w:spacing w:before="120" w:after="120"/>
      <w:jc w:val="right"/>
    </w:pPr>
    <w:rPr>
      <w:rFonts w:eastAsia="Calibri"/>
      <w:szCs w:val="22"/>
      <w:lang w:eastAsia="en-US"/>
    </w:rPr>
  </w:style>
  <w:style w:type="paragraph" w:customStyle="1" w:styleId="QuotedText">
    <w:name w:val="Quoted Text"/>
    <w:basedOn w:val="Normal"/>
    <w:rsid w:val="00C45ED4"/>
    <w:pPr>
      <w:widowControl/>
      <w:spacing w:before="120" w:after="120"/>
      <w:ind w:left="1417"/>
      <w:jc w:val="both"/>
    </w:pPr>
    <w:rPr>
      <w:rFonts w:eastAsia="Calibri"/>
      <w:szCs w:val="22"/>
      <w:lang w:eastAsia="en-US"/>
    </w:rPr>
  </w:style>
  <w:style w:type="paragraph" w:customStyle="1" w:styleId="Point0">
    <w:name w:val="Point 0"/>
    <w:basedOn w:val="Normal"/>
    <w:rsid w:val="00C45ED4"/>
    <w:pPr>
      <w:widowControl/>
      <w:spacing w:before="120" w:after="120"/>
      <w:ind w:left="850" w:hanging="850"/>
      <w:jc w:val="both"/>
    </w:pPr>
    <w:rPr>
      <w:rFonts w:eastAsia="Calibri"/>
      <w:szCs w:val="22"/>
      <w:lang w:eastAsia="en-US"/>
    </w:rPr>
  </w:style>
  <w:style w:type="paragraph" w:customStyle="1" w:styleId="Point1">
    <w:name w:val="Point 1"/>
    <w:basedOn w:val="Normal"/>
    <w:rsid w:val="00C45ED4"/>
    <w:pPr>
      <w:widowControl/>
      <w:spacing w:before="120" w:after="120"/>
      <w:ind w:left="1417" w:hanging="567"/>
      <w:jc w:val="both"/>
    </w:pPr>
    <w:rPr>
      <w:rFonts w:eastAsia="Calibri"/>
      <w:szCs w:val="22"/>
      <w:lang w:eastAsia="en-US"/>
    </w:rPr>
  </w:style>
  <w:style w:type="paragraph" w:customStyle="1" w:styleId="Point2">
    <w:name w:val="Point 2"/>
    <w:basedOn w:val="Normal"/>
    <w:rsid w:val="00C45ED4"/>
    <w:pPr>
      <w:widowControl/>
      <w:spacing w:before="120" w:after="120"/>
      <w:ind w:left="1984" w:hanging="567"/>
      <w:jc w:val="both"/>
    </w:pPr>
    <w:rPr>
      <w:rFonts w:eastAsia="Calibri"/>
      <w:szCs w:val="22"/>
      <w:lang w:eastAsia="en-US"/>
    </w:rPr>
  </w:style>
  <w:style w:type="paragraph" w:customStyle="1" w:styleId="Point3">
    <w:name w:val="Point 3"/>
    <w:basedOn w:val="Normal"/>
    <w:rsid w:val="00C45ED4"/>
    <w:pPr>
      <w:widowControl/>
      <w:spacing w:before="120" w:after="120"/>
      <w:ind w:left="2551" w:hanging="567"/>
      <w:jc w:val="both"/>
    </w:pPr>
    <w:rPr>
      <w:rFonts w:eastAsia="Calibri"/>
      <w:szCs w:val="22"/>
      <w:lang w:eastAsia="en-US"/>
    </w:rPr>
  </w:style>
  <w:style w:type="paragraph" w:customStyle="1" w:styleId="Point4">
    <w:name w:val="Point 4"/>
    <w:basedOn w:val="Normal"/>
    <w:rsid w:val="00C45ED4"/>
    <w:pPr>
      <w:widowControl/>
      <w:spacing w:before="120" w:after="120"/>
      <w:ind w:left="3118" w:hanging="567"/>
      <w:jc w:val="both"/>
    </w:pPr>
    <w:rPr>
      <w:rFonts w:eastAsia="Calibri"/>
      <w:szCs w:val="22"/>
      <w:lang w:eastAsia="en-US"/>
    </w:rPr>
  </w:style>
  <w:style w:type="paragraph" w:customStyle="1" w:styleId="Point5">
    <w:name w:val="Point 5"/>
    <w:basedOn w:val="Normal"/>
    <w:rsid w:val="00C45ED4"/>
    <w:pPr>
      <w:widowControl/>
      <w:spacing w:before="120" w:after="120"/>
      <w:ind w:left="3685" w:hanging="567"/>
      <w:jc w:val="both"/>
    </w:pPr>
    <w:rPr>
      <w:rFonts w:eastAsia="Calibri"/>
      <w:szCs w:val="22"/>
      <w:lang w:eastAsia="en-US"/>
    </w:rPr>
  </w:style>
  <w:style w:type="paragraph" w:customStyle="1" w:styleId="Tiret0">
    <w:name w:val="Tiret 0"/>
    <w:basedOn w:val="Point0"/>
    <w:rsid w:val="00C45ED4"/>
    <w:pPr>
      <w:numPr>
        <w:numId w:val="21"/>
      </w:numPr>
      <w:tabs>
        <w:tab w:val="clear" w:pos="850"/>
        <w:tab w:val="num" w:pos="1492"/>
      </w:tabs>
      <w:ind w:left="1492" w:hanging="360"/>
    </w:pPr>
  </w:style>
  <w:style w:type="paragraph" w:customStyle="1" w:styleId="Tiret1">
    <w:name w:val="Tiret 1"/>
    <w:basedOn w:val="Point1"/>
    <w:rsid w:val="00C45ED4"/>
    <w:pPr>
      <w:numPr>
        <w:numId w:val="22"/>
      </w:numPr>
      <w:tabs>
        <w:tab w:val="clear" w:pos="1417"/>
        <w:tab w:val="num" w:pos="360"/>
      </w:tabs>
      <w:ind w:left="360" w:hanging="360"/>
    </w:pPr>
  </w:style>
  <w:style w:type="paragraph" w:customStyle="1" w:styleId="Tiret2">
    <w:name w:val="Tiret 2"/>
    <w:basedOn w:val="Point2"/>
    <w:rsid w:val="00C45ED4"/>
    <w:pPr>
      <w:numPr>
        <w:numId w:val="23"/>
      </w:numPr>
      <w:tabs>
        <w:tab w:val="clear" w:pos="1984"/>
        <w:tab w:val="num" w:pos="643"/>
      </w:tabs>
      <w:ind w:left="643" w:hanging="360"/>
    </w:pPr>
  </w:style>
  <w:style w:type="paragraph" w:customStyle="1" w:styleId="Tiret3">
    <w:name w:val="Tiret 3"/>
    <w:basedOn w:val="Point3"/>
    <w:rsid w:val="00C45ED4"/>
    <w:pPr>
      <w:numPr>
        <w:numId w:val="24"/>
      </w:numPr>
      <w:tabs>
        <w:tab w:val="clear" w:pos="2551"/>
        <w:tab w:val="num" w:pos="926"/>
      </w:tabs>
      <w:ind w:left="926" w:hanging="360"/>
    </w:pPr>
  </w:style>
  <w:style w:type="paragraph" w:customStyle="1" w:styleId="Tiret4">
    <w:name w:val="Tiret 4"/>
    <w:basedOn w:val="Point4"/>
    <w:rsid w:val="00C45ED4"/>
    <w:pPr>
      <w:numPr>
        <w:numId w:val="25"/>
      </w:numPr>
      <w:tabs>
        <w:tab w:val="clear" w:pos="3118"/>
        <w:tab w:val="num" w:pos="1209"/>
      </w:tabs>
      <w:ind w:left="1209" w:hanging="360"/>
    </w:pPr>
  </w:style>
  <w:style w:type="paragraph" w:customStyle="1" w:styleId="Tiret5">
    <w:name w:val="Tiret 5"/>
    <w:basedOn w:val="Point5"/>
    <w:rsid w:val="00C45ED4"/>
    <w:pPr>
      <w:numPr>
        <w:numId w:val="26"/>
      </w:numPr>
      <w:tabs>
        <w:tab w:val="clear" w:pos="3685"/>
        <w:tab w:val="num" w:pos="1492"/>
      </w:tabs>
      <w:ind w:left="1492" w:hanging="360"/>
    </w:pPr>
  </w:style>
  <w:style w:type="paragraph" w:customStyle="1" w:styleId="PointDouble0">
    <w:name w:val="PointDouble 0"/>
    <w:basedOn w:val="Normal"/>
    <w:rsid w:val="00C45ED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C45ED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C45ED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C45ED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C45ED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C45ED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C45ED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C45ED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C45ED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C45ED4"/>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C45ED4"/>
    <w:pPr>
      <w:widowControl/>
      <w:numPr>
        <w:numId w:val="27"/>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C45ED4"/>
    <w:pPr>
      <w:widowControl/>
      <w:numPr>
        <w:ilvl w:val="1"/>
        <w:numId w:val="27"/>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C45ED4"/>
    <w:pPr>
      <w:widowControl/>
      <w:numPr>
        <w:ilvl w:val="2"/>
        <w:numId w:val="27"/>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C45ED4"/>
    <w:pPr>
      <w:widowControl/>
      <w:numPr>
        <w:ilvl w:val="3"/>
        <w:numId w:val="27"/>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C45ED4"/>
    <w:pPr>
      <w:widowControl/>
      <w:numPr>
        <w:ilvl w:val="4"/>
        <w:numId w:val="27"/>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C45ED4"/>
    <w:pPr>
      <w:widowControl/>
      <w:numPr>
        <w:ilvl w:val="5"/>
        <w:numId w:val="27"/>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C45ED4"/>
    <w:pPr>
      <w:widowControl/>
      <w:numPr>
        <w:ilvl w:val="6"/>
        <w:numId w:val="27"/>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C45ED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C45ED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C45ED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C45ED4"/>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C45ED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C45ED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C45ED4"/>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C45ED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C45ED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C45ED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C45ED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C45ED4"/>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C45ED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C45ED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C45ED4"/>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C45ED4"/>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C45ED4"/>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C45ED4"/>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C45ED4"/>
    <w:pPr>
      <w:widowControl/>
      <w:spacing w:before="120" w:after="120"/>
      <w:jc w:val="center"/>
    </w:pPr>
    <w:rPr>
      <w:rFonts w:eastAsia="Calibri"/>
      <w:b/>
      <w:szCs w:val="22"/>
      <w:lang w:eastAsia="en-US"/>
    </w:rPr>
  </w:style>
  <w:style w:type="character" w:customStyle="1" w:styleId="Marker">
    <w:name w:val="Marker"/>
    <w:basedOn w:val="DefaultParagraphFont"/>
    <w:rsid w:val="00C45ED4"/>
    <w:rPr>
      <w:color w:val="0000FF"/>
      <w:shd w:val="clear" w:color="auto" w:fill="auto"/>
    </w:rPr>
  </w:style>
  <w:style w:type="character" w:customStyle="1" w:styleId="Marker1">
    <w:name w:val="Marker1"/>
    <w:basedOn w:val="DefaultParagraphFont"/>
    <w:rsid w:val="00C45ED4"/>
    <w:rPr>
      <w:color w:val="008000"/>
      <w:shd w:val="clear" w:color="auto" w:fill="auto"/>
    </w:rPr>
  </w:style>
  <w:style w:type="character" w:customStyle="1" w:styleId="Marker2">
    <w:name w:val="Marker2"/>
    <w:basedOn w:val="DefaultParagraphFont"/>
    <w:rsid w:val="00C45ED4"/>
    <w:rPr>
      <w:color w:val="FF0000"/>
      <w:shd w:val="clear" w:color="auto" w:fill="auto"/>
    </w:rPr>
  </w:style>
  <w:style w:type="paragraph" w:customStyle="1" w:styleId="Bullet0">
    <w:name w:val="Bullet 0"/>
    <w:basedOn w:val="Normal"/>
    <w:rsid w:val="00C45ED4"/>
    <w:pPr>
      <w:widowControl/>
      <w:numPr>
        <w:numId w:val="28"/>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C45ED4"/>
    <w:pPr>
      <w:widowControl/>
      <w:numPr>
        <w:numId w:val="29"/>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C45ED4"/>
    <w:pPr>
      <w:widowControl/>
      <w:numPr>
        <w:numId w:val="30"/>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C45ED4"/>
    <w:pPr>
      <w:widowControl/>
      <w:numPr>
        <w:numId w:val="31"/>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C45ED4"/>
    <w:pPr>
      <w:widowControl/>
      <w:numPr>
        <w:numId w:val="32"/>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C45ED4"/>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C45ED4"/>
    <w:pPr>
      <w:widowControl/>
    </w:pPr>
    <w:rPr>
      <w:rFonts w:ascii="Arial" w:eastAsia="Calibri" w:hAnsi="Arial" w:cs="Arial"/>
      <w:szCs w:val="22"/>
      <w:lang w:eastAsia="en-US"/>
    </w:rPr>
  </w:style>
  <w:style w:type="paragraph" w:customStyle="1" w:styleId="Emission">
    <w:name w:val="Emission"/>
    <w:basedOn w:val="Normal"/>
    <w:next w:val="Rfrenceinstitutionnelle"/>
    <w:rsid w:val="00C45ED4"/>
    <w:pPr>
      <w:widowControl/>
      <w:ind w:left="5103"/>
    </w:pPr>
    <w:rPr>
      <w:rFonts w:eastAsia="Calibri"/>
      <w:szCs w:val="22"/>
      <w:lang w:eastAsia="en-US"/>
    </w:rPr>
  </w:style>
  <w:style w:type="paragraph" w:customStyle="1" w:styleId="Pagedecouverture">
    <w:name w:val="Page de couverture"/>
    <w:basedOn w:val="Normal"/>
    <w:next w:val="Normal"/>
    <w:rsid w:val="00C45ED4"/>
    <w:pPr>
      <w:widowControl/>
      <w:jc w:val="both"/>
    </w:pPr>
    <w:rPr>
      <w:rFonts w:eastAsia="Calibri"/>
      <w:szCs w:val="22"/>
      <w:lang w:eastAsia="en-US"/>
    </w:rPr>
  </w:style>
  <w:style w:type="paragraph" w:customStyle="1" w:styleId="Declassification">
    <w:name w:val="Declassification"/>
    <w:basedOn w:val="Normal"/>
    <w:next w:val="Normal"/>
    <w:rsid w:val="00C45ED4"/>
    <w:pPr>
      <w:widowControl/>
      <w:jc w:val="both"/>
    </w:pPr>
    <w:rPr>
      <w:rFonts w:eastAsia="Calibri"/>
      <w:szCs w:val="22"/>
      <w:lang w:eastAsia="en-US"/>
    </w:rPr>
  </w:style>
  <w:style w:type="paragraph" w:customStyle="1" w:styleId="Disclaimer">
    <w:name w:val="Disclaimer"/>
    <w:basedOn w:val="Normal"/>
    <w:rsid w:val="00C45ED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C45ED4"/>
    <w:pPr>
      <w:widowControl/>
      <w:spacing w:line="276" w:lineRule="auto"/>
      <w:ind w:left="5103"/>
    </w:pPr>
    <w:rPr>
      <w:rFonts w:eastAsia="Calibri"/>
      <w:sz w:val="28"/>
      <w:szCs w:val="22"/>
      <w:lang w:eastAsia="en-US"/>
    </w:rPr>
  </w:style>
  <w:style w:type="paragraph" w:customStyle="1" w:styleId="DateMarking">
    <w:name w:val="DateMarking"/>
    <w:basedOn w:val="Normal"/>
    <w:rsid w:val="00C45ED4"/>
    <w:pPr>
      <w:widowControl/>
      <w:spacing w:line="276" w:lineRule="auto"/>
      <w:ind w:left="5103"/>
    </w:pPr>
    <w:rPr>
      <w:rFonts w:eastAsia="Calibri"/>
      <w:i/>
      <w:sz w:val="28"/>
      <w:szCs w:val="22"/>
      <w:lang w:eastAsia="en-US"/>
    </w:rPr>
  </w:style>
  <w:style w:type="paragraph" w:customStyle="1" w:styleId="ReleasableTo">
    <w:name w:val="ReleasableTo"/>
    <w:basedOn w:val="Normal"/>
    <w:rsid w:val="00C45ED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C45ED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C45ED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C45ED4"/>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C45ED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C45ED4"/>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C45ED4"/>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C45ED4"/>
    <w:pPr>
      <w:widowControl/>
      <w:spacing w:after="240"/>
    </w:pPr>
    <w:rPr>
      <w:rFonts w:eastAsia="Calibri"/>
      <w:szCs w:val="22"/>
      <w:lang w:eastAsia="en-US"/>
    </w:rPr>
  </w:style>
  <w:style w:type="paragraph" w:customStyle="1" w:styleId="Datedadoption">
    <w:name w:val="Date d'adoption"/>
    <w:basedOn w:val="Normal"/>
    <w:next w:val="IntrtEEE"/>
    <w:rsid w:val="00C45ED4"/>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C45ED4"/>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C45ED4"/>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C45ED4"/>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C45ED4"/>
    <w:pPr>
      <w:widowControl/>
      <w:ind w:left="5103"/>
    </w:pPr>
    <w:rPr>
      <w:rFonts w:eastAsia="Calibri"/>
      <w:szCs w:val="22"/>
      <w:lang w:eastAsia="en-US"/>
    </w:rPr>
  </w:style>
  <w:style w:type="paragraph" w:customStyle="1" w:styleId="Rfrenceinterne">
    <w:name w:val="Référence interne"/>
    <w:basedOn w:val="Normal"/>
    <w:next w:val="Rfrenceinterinstitutionnelle"/>
    <w:rsid w:val="00C45ED4"/>
    <w:pPr>
      <w:widowControl/>
      <w:ind w:left="5103"/>
    </w:pPr>
    <w:rPr>
      <w:rFonts w:eastAsia="Calibri"/>
      <w:szCs w:val="22"/>
      <w:lang w:eastAsia="en-US"/>
    </w:rPr>
  </w:style>
  <w:style w:type="paragraph" w:customStyle="1" w:styleId="Titrearticle">
    <w:name w:val="Titre article"/>
    <w:basedOn w:val="Normal"/>
    <w:next w:val="Normal"/>
    <w:rsid w:val="00C45ED4"/>
    <w:pPr>
      <w:keepNext/>
      <w:widowControl/>
      <w:spacing w:before="360" w:after="120"/>
      <w:jc w:val="center"/>
    </w:pPr>
    <w:rPr>
      <w:rFonts w:eastAsia="Calibri"/>
      <w:i/>
      <w:szCs w:val="22"/>
      <w:lang w:eastAsia="en-US"/>
    </w:rPr>
  </w:style>
  <w:style w:type="character" w:customStyle="1" w:styleId="Added">
    <w:name w:val="Added"/>
    <w:basedOn w:val="DefaultParagraphFont"/>
    <w:rsid w:val="00C45ED4"/>
    <w:rPr>
      <w:b/>
      <w:u w:val="single"/>
      <w:shd w:val="clear" w:color="auto" w:fill="auto"/>
    </w:rPr>
  </w:style>
  <w:style w:type="character" w:customStyle="1" w:styleId="Deleted">
    <w:name w:val="Deleted"/>
    <w:basedOn w:val="DefaultParagraphFont"/>
    <w:rsid w:val="00C45ED4"/>
    <w:rPr>
      <w:strike/>
      <w:dstrike w:val="0"/>
      <w:shd w:val="clear" w:color="auto" w:fill="auto"/>
    </w:rPr>
  </w:style>
  <w:style w:type="paragraph" w:customStyle="1" w:styleId="Address">
    <w:name w:val="Address"/>
    <w:basedOn w:val="Normal"/>
    <w:next w:val="Normal"/>
    <w:rsid w:val="00C45ED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C45ED4"/>
    <w:pPr>
      <w:widowControl/>
      <w:spacing w:before="120" w:after="120"/>
      <w:jc w:val="both"/>
    </w:pPr>
    <w:rPr>
      <w:rFonts w:eastAsia="Calibri"/>
      <w:i/>
      <w:caps/>
      <w:szCs w:val="22"/>
      <w:lang w:eastAsia="en-US"/>
    </w:rPr>
  </w:style>
  <w:style w:type="paragraph" w:customStyle="1" w:styleId="Supertitre">
    <w:name w:val="Supertitre"/>
    <w:basedOn w:val="Normal"/>
    <w:next w:val="Normal"/>
    <w:rsid w:val="00C45ED4"/>
    <w:pPr>
      <w:widowControl/>
      <w:spacing w:after="600"/>
      <w:jc w:val="center"/>
    </w:pPr>
    <w:rPr>
      <w:rFonts w:eastAsia="Calibri"/>
      <w:b/>
      <w:szCs w:val="22"/>
      <w:lang w:eastAsia="en-US"/>
    </w:rPr>
  </w:style>
  <w:style w:type="paragraph" w:customStyle="1" w:styleId="Languesfaisantfoi">
    <w:name w:val="Langues faisant foi"/>
    <w:basedOn w:val="Normal"/>
    <w:next w:val="Normal"/>
    <w:rsid w:val="00C45ED4"/>
    <w:pPr>
      <w:widowControl/>
      <w:spacing w:before="360"/>
      <w:jc w:val="center"/>
    </w:pPr>
    <w:rPr>
      <w:rFonts w:eastAsia="Calibri"/>
      <w:szCs w:val="22"/>
      <w:lang w:eastAsia="en-US"/>
    </w:rPr>
  </w:style>
  <w:style w:type="paragraph" w:customStyle="1" w:styleId="Rfrencecroise">
    <w:name w:val="Référence croisée"/>
    <w:basedOn w:val="Normal"/>
    <w:rsid w:val="00C45ED4"/>
    <w:pPr>
      <w:widowControl/>
      <w:jc w:val="center"/>
    </w:pPr>
    <w:rPr>
      <w:rFonts w:eastAsia="Calibri"/>
      <w:szCs w:val="22"/>
      <w:lang w:eastAsia="en-US"/>
    </w:rPr>
  </w:style>
  <w:style w:type="paragraph" w:customStyle="1" w:styleId="Fichefinanciretitre">
    <w:name w:val="Fiche financière titre"/>
    <w:basedOn w:val="Normal"/>
    <w:next w:val="Normal"/>
    <w:rsid w:val="00C45ED4"/>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C45ED4"/>
  </w:style>
  <w:style w:type="paragraph" w:customStyle="1" w:styleId="RfrenceinterinstitutionnellePagedecouverture">
    <w:name w:val="Référence interinstitutionnelle (Page de couverture)"/>
    <w:basedOn w:val="Rfrenceinterinstitutionnelle"/>
    <w:next w:val="Confidentialit"/>
    <w:rsid w:val="00C45ED4"/>
  </w:style>
  <w:style w:type="paragraph" w:customStyle="1" w:styleId="StatutPagedecouverture">
    <w:name w:val="Statut (Page de couverture)"/>
    <w:basedOn w:val="Statut"/>
    <w:next w:val="TypedudocumentPagedecouverture"/>
    <w:rsid w:val="00C45ED4"/>
    <w:pPr>
      <w:spacing w:before="0" w:after="240" w:line="240" w:lineRule="auto"/>
    </w:pPr>
    <w:rPr>
      <w:rFonts w:eastAsia="Calibri"/>
      <w:szCs w:val="22"/>
      <w:lang w:val="et-EE"/>
    </w:rPr>
  </w:style>
  <w:style w:type="paragraph" w:customStyle="1" w:styleId="TypedudocumentPagedecouverture">
    <w:name w:val="Type du document (Page de couverture)"/>
    <w:basedOn w:val="Typedudocument"/>
    <w:next w:val="AccompagnantPagedecouverture"/>
    <w:rsid w:val="00C45ED4"/>
    <w:pPr>
      <w:spacing w:after="180" w:line="240" w:lineRule="auto"/>
    </w:pPr>
    <w:rPr>
      <w:rFonts w:eastAsia="Calibri"/>
      <w:szCs w:val="22"/>
      <w:lang w:val="et-EE"/>
    </w:rPr>
  </w:style>
  <w:style w:type="paragraph" w:customStyle="1" w:styleId="Volume">
    <w:name w:val="Volume"/>
    <w:basedOn w:val="Normal"/>
    <w:next w:val="Confidentialit"/>
    <w:rsid w:val="00C45ED4"/>
    <w:pPr>
      <w:widowControl/>
      <w:spacing w:after="240"/>
      <w:ind w:left="5103"/>
    </w:pPr>
    <w:rPr>
      <w:rFonts w:eastAsia="Calibri"/>
      <w:szCs w:val="22"/>
      <w:lang w:eastAsia="en-US"/>
    </w:rPr>
  </w:style>
  <w:style w:type="paragraph" w:customStyle="1" w:styleId="Accompagnant">
    <w:name w:val="Accompagnant"/>
    <w:basedOn w:val="Normal"/>
    <w:next w:val="Typeacteprincipal"/>
    <w:rsid w:val="00C45ED4"/>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C45ED4"/>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C45ED4"/>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C45ED4"/>
    <w:pPr>
      <w:spacing w:line="240" w:lineRule="auto"/>
    </w:pPr>
    <w:rPr>
      <w:rFonts w:eastAsia="Calibri"/>
      <w:szCs w:val="22"/>
      <w:lang w:val="et-EE"/>
    </w:rPr>
  </w:style>
  <w:style w:type="paragraph" w:customStyle="1" w:styleId="AccompagnantPagedecouverture">
    <w:name w:val="Accompagnant (Page de couverture)"/>
    <w:basedOn w:val="Accompagnant"/>
    <w:next w:val="TypeacteprincipalPagedecouverture"/>
    <w:rsid w:val="00C45ED4"/>
  </w:style>
  <w:style w:type="paragraph" w:customStyle="1" w:styleId="TypeacteprincipalPagedecouverture">
    <w:name w:val="Type acte principal (Page de couverture)"/>
    <w:basedOn w:val="Typeacteprincipal"/>
    <w:next w:val="ObjetacteprincipalPagedecouverture"/>
    <w:rsid w:val="00C45ED4"/>
  </w:style>
  <w:style w:type="paragraph" w:customStyle="1" w:styleId="ObjetacteprincipalPagedecouverture">
    <w:name w:val="Objet acte principal (Page de couverture)"/>
    <w:basedOn w:val="Objetacteprincipal"/>
    <w:next w:val="Rfrencecroise"/>
    <w:rsid w:val="00C45ED4"/>
  </w:style>
  <w:style w:type="paragraph" w:customStyle="1" w:styleId="LanguesfaisantfoiPagedecouverture">
    <w:name w:val="Langues faisant foi (Page de couverture)"/>
    <w:basedOn w:val="Normal"/>
    <w:next w:val="Normal"/>
    <w:rsid w:val="00C45ED4"/>
    <w:pPr>
      <w:widowControl/>
      <w:spacing w:before="360"/>
      <w:jc w:val="center"/>
    </w:pPr>
    <w:rPr>
      <w:rFonts w:eastAsia="Calibri"/>
      <w:szCs w:val="22"/>
      <w:lang w:eastAsia="en-US"/>
    </w:rPr>
  </w:style>
  <w:style w:type="numbering" w:customStyle="1" w:styleId="NoList3">
    <w:name w:val="No List3"/>
    <w:next w:val="NoList"/>
    <w:uiPriority w:val="99"/>
    <w:semiHidden/>
    <w:unhideWhenUsed/>
    <w:rsid w:val="00C45ED4"/>
  </w:style>
  <w:style w:type="table" w:customStyle="1" w:styleId="TableGrid5">
    <w:name w:val="Table Grid5"/>
    <w:basedOn w:val="TableNormal"/>
    <w:next w:val="TableGrid"/>
    <w:uiPriority w:val="59"/>
    <w:rsid w:val="00C45E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TableNormal"/>
    <w:next w:val="PlainTable1"/>
    <w:uiPriority w:val="41"/>
    <w:rsid w:val="00C45ED4"/>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
    <w:name w:val="Table Grid Light11"/>
    <w:basedOn w:val="TableNormal"/>
    <w:next w:val="TableGridLight"/>
    <w:uiPriority w:val="40"/>
    <w:rsid w:val="00C45ED4"/>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1">
    <w:name w:val="Plain Table 511"/>
    <w:basedOn w:val="TableNormal"/>
    <w:next w:val="PlainTable5"/>
    <w:uiPriority w:val="45"/>
    <w:rsid w:val="00C45ED4"/>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3">
    <w:name w:val="Table Grid13"/>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4">
    <w:name w:val="Table 114"/>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21">
    <w:name w:val="Table Grid21"/>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1">
    <w:name w:val="Table 1111"/>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1">
    <w:name w:val="No List111"/>
    <w:next w:val="NoList"/>
    <w:uiPriority w:val="99"/>
    <w:semiHidden/>
    <w:unhideWhenUsed/>
    <w:rsid w:val="00C45ED4"/>
  </w:style>
  <w:style w:type="table" w:customStyle="1" w:styleId="TableGrid31">
    <w:name w:val="Table Grid31"/>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1">
    <w:name w:val="Table 1121"/>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1">
    <w:name w:val="Table Grid111"/>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C45ED4"/>
  </w:style>
  <w:style w:type="table" w:customStyle="1" w:styleId="TableGrid41">
    <w:name w:val="Table Grid41"/>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1">
    <w:name w:val="Table 1131"/>
    <w:basedOn w:val="TableNormal"/>
    <w:uiPriority w:val="99"/>
    <w:rsid w:val="00C45ED4"/>
    <w:pPr>
      <w:jc w:val="center"/>
    </w:pPr>
    <w:rPr>
      <w:rFonts w:ascii="Trebuchet MS" w:eastAsia="Calibri" w:hAnsi="Trebuchet MS"/>
      <w:sz w:val="16"/>
      <w:lang w:val="et-EE"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1">
    <w:name w:val="Table Grid121"/>
    <w:basedOn w:val="TableNormal"/>
    <w:next w:val="TableGrid"/>
    <w:rsid w:val="00C45ED4"/>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45E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C45ED4"/>
    <w:pPr>
      <w:numPr>
        <w:numId w:val="1"/>
      </w:numPr>
      <w:contextualSpacing/>
    </w:pPr>
  </w:style>
  <w:style w:type="paragraph" w:styleId="ListBullet2">
    <w:name w:val="List Bullet 2"/>
    <w:basedOn w:val="Normal"/>
    <w:rsid w:val="00C45ED4"/>
    <w:pPr>
      <w:numPr>
        <w:numId w:val="2"/>
      </w:numPr>
      <w:contextualSpacing/>
    </w:pPr>
  </w:style>
  <w:style w:type="paragraph" w:styleId="ListBullet3">
    <w:name w:val="List Bullet 3"/>
    <w:basedOn w:val="Normal"/>
    <w:rsid w:val="00C45ED4"/>
    <w:pPr>
      <w:numPr>
        <w:numId w:val="3"/>
      </w:numPr>
      <w:contextualSpacing/>
    </w:pPr>
  </w:style>
  <w:style w:type="paragraph" w:styleId="ListBullet4">
    <w:name w:val="List Bullet 4"/>
    <w:basedOn w:val="Normal"/>
    <w:rsid w:val="00C45ED4"/>
    <w:pPr>
      <w:numPr>
        <w:numId w:val="4"/>
      </w:numPr>
      <w:contextualSpacing/>
    </w:pPr>
  </w:style>
  <w:style w:type="table" w:styleId="PlainTable1">
    <w:name w:val="Plain Table 1"/>
    <w:basedOn w:val="TableNormal"/>
    <w:uiPriority w:val="41"/>
    <w:rsid w:val="00C45E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45E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C45ED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C45E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37CFF-23AD-4CF1-801A-AB5C4FB1F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210</Pages>
  <Words>28349</Words>
  <Characters>161593</Characters>
  <Application>Microsoft Office Word</Application>
  <DocSecurity>0</DocSecurity>
  <Lines>1346</Lines>
  <Paragraphs>379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BINKEVICIUTE Aurelija</cp:lastModifiedBy>
  <cp:revision>3</cp:revision>
  <cp:lastPrinted>2004-11-19T15:42:00Z</cp:lastPrinted>
  <dcterms:created xsi:type="dcterms:W3CDTF">2025-09-08T12:52:00Z</dcterms:created>
  <dcterms:modified xsi:type="dcterms:W3CDTF">2025-09-08T12:54:00Z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A9-0238/2023</vt:lpwstr>
  </property>
  <property fmtid="{D5CDD505-2E9C-101B-9397-08002B2CF9AE}" pid="4" name="&lt;Type&gt;">
    <vt:lpwstr>RR</vt:lpwstr>
  </property>
</Properties>
</file>