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34E9D" w14:paraId="5C84DC6A" w14:textId="77777777" w:rsidTr="0010095E">
        <w:trPr>
          <w:trHeight w:hRule="exact" w:val="1418"/>
        </w:trPr>
        <w:tc>
          <w:tcPr>
            <w:tcW w:w="6804" w:type="dxa"/>
            <w:shd w:val="clear" w:color="auto" w:fill="auto"/>
            <w:vAlign w:val="center"/>
          </w:tcPr>
          <w:p w14:paraId="70EB5DF7" w14:textId="77777777" w:rsidR="00751A4A" w:rsidRPr="00434E9D" w:rsidRDefault="00EE330D" w:rsidP="0010095E">
            <w:pPr>
              <w:pStyle w:val="EPName"/>
            </w:pPr>
            <w:r w:rsidRPr="00434E9D">
              <w:t>Parlement européen</w:t>
            </w:r>
          </w:p>
          <w:p w14:paraId="1080B64F" w14:textId="77777777" w:rsidR="00751A4A" w:rsidRPr="00434E9D" w:rsidRDefault="00817416" w:rsidP="00756632">
            <w:pPr>
              <w:pStyle w:val="EPTerm"/>
              <w:rPr>
                <w:rStyle w:val="HideTWBExt"/>
                <w:noProof w:val="0"/>
                <w:vanish w:val="0"/>
                <w:color w:val="auto"/>
              </w:rPr>
            </w:pPr>
            <w:r w:rsidRPr="00434E9D">
              <w:t>2019-2024</w:t>
            </w:r>
          </w:p>
        </w:tc>
        <w:tc>
          <w:tcPr>
            <w:tcW w:w="2268" w:type="dxa"/>
            <w:shd w:val="clear" w:color="auto" w:fill="auto"/>
          </w:tcPr>
          <w:p w14:paraId="34DEA5A1" w14:textId="77777777" w:rsidR="00751A4A" w:rsidRPr="00434E9D" w:rsidRDefault="00187494" w:rsidP="0010095E">
            <w:pPr>
              <w:pStyle w:val="EPLogo"/>
            </w:pPr>
            <w:r w:rsidRPr="00434E9D">
              <w:rPr>
                <w:noProof/>
                <w:lang w:val="pl-PL" w:eastAsia="pl-PL"/>
              </w:rPr>
              <w:drawing>
                <wp:inline distT="0" distB="0" distL="0" distR="0" wp14:anchorId="755CF4F0" wp14:editId="0A2D97B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008C0EC" w14:textId="77777777" w:rsidR="00D058B8" w:rsidRPr="00434E9D" w:rsidRDefault="00D058B8" w:rsidP="004C5D52">
      <w:pPr>
        <w:pStyle w:val="LineTop"/>
      </w:pPr>
    </w:p>
    <w:p w14:paraId="1ADE0596" w14:textId="77777777" w:rsidR="00680577" w:rsidRPr="00434E9D" w:rsidRDefault="00EE330D" w:rsidP="00680577">
      <w:pPr>
        <w:pStyle w:val="EPBodyTA1"/>
      </w:pPr>
      <w:r w:rsidRPr="00434E9D">
        <w:t>TEXTES ADOPTÉS</w:t>
      </w:r>
    </w:p>
    <w:p w14:paraId="52891C0A" w14:textId="77777777" w:rsidR="00D058B8" w:rsidRPr="00434E9D" w:rsidRDefault="00D058B8" w:rsidP="00D058B8">
      <w:pPr>
        <w:pStyle w:val="LineBottom"/>
      </w:pPr>
    </w:p>
    <w:p w14:paraId="71058F96" w14:textId="77777777" w:rsidR="00EE330D" w:rsidRPr="00434E9D" w:rsidRDefault="00EE330D" w:rsidP="00EE330D">
      <w:pPr>
        <w:pStyle w:val="ATHeading1"/>
      </w:pPr>
      <w:bookmarkStart w:id="0" w:name="TANumber"/>
      <w:r w:rsidRPr="00434E9D">
        <w:t>P9_TA(2024)</w:t>
      </w:r>
      <w:bookmarkEnd w:id="0"/>
      <w:r w:rsidR="006E06C3" w:rsidRPr="00434E9D">
        <w:t>0358</w:t>
      </w:r>
    </w:p>
    <w:p w14:paraId="7D62532B" w14:textId="77777777" w:rsidR="00EE330D" w:rsidRPr="00434E9D" w:rsidRDefault="00225568" w:rsidP="00EE330D">
      <w:pPr>
        <w:pStyle w:val="ATHeading2"/>
      </w:pPr>
      <w:r w:rsidRPr="00434E9D">
        <w:rPr>
          <w:bCs/>
        </w:rPr>
        <w:t>Polluants des eaux de surface et des eaux souterraines</w:t>
      </w:r>
    </w:p>
    <w:p w14:paraId="401D8531" w14:textId="77777777" w:rsidR="00EE330D" w:rsidRPr="00434E9D" w:rsidRDefault="00EE330D" w:rsidP="00EE330D">
      <w:pPr>
        <w:rPr>
          <w:i/>
          <w:vanish/>
        </w:rPr>
      </w:pPr>
      <w:r w:rsidRPr="00434E9D">
        <w:rPr>
          <w:i/>
        </w:rPr>
        <w:fldChar w:fldCharType="begin"/>
      </w:r>
      <w:r w:rsidRPr="00434E9D">
        <w:rPr>
          <w:i/>
        </w:rPr>
        <w:instrText xml:space="preserve"> TC"(</w:instrText>
      </w:r>
      <w:bookmarkStart w:id="1" w:name="DocNumber"/>
      <w:r w:rsidRPr="00434E9D">
        <w:rPr>
          <w:i/>
        </w:rPr>
        <w:instrText>A9-0238/2023</w:instrText>
      </w:r>
      <w:bookmarkEnd w:id="1"/>
      <w:r w:rsidRPr="00434E9D">
        <w:rPr>
          <w:i/>
        </w:rPr>
        <w:instrText xml:space="preserve"> - Rapporteur: Milan </w:instrText>
      </w:r>
      <w:proofErr w:type="spellStart"/>
      <w:r w:rsidRPr="00434E9D">
        <w:rPr>
          <w:i/>
        </w:rPr>
        <w:instrText>Brglez</w:instrText>
      </w:r>
      <w:proofErr w:type="spellEnd"/>
      <w:r w:rsidRPr="00434E9D">
        <w:rPr>
          <w:i/>
        </w:rPr>
        <w:instrText xml:space="preserve">)"\l3 \n&gt; \* MERGEFORMAT </w:instrText>
      </w:r>
      <w:r w:rsidRPr="00434E9D">
        <w:rPr>
          <w:i/>
        </w:rPr>
        <w:fldChar w:fldCharType="end"/>
      </w:r>
    </w:p>
    <w:p w14:paraId="478B8A48" w14:textId="77777777" w:rsidR="00EE330D" w:rsidRPr="00434E9D" w:rsidRDefault="00EE330D" w:rsidP="00EE330D">
      <w:pPr>
        <w:rPr>
          <w:vanish/>
        </w:rPr>
      </w:pPr>
      <w:bookmarkStart w:id="2" w:name="Commission"/>
      <w:r w:rsidRPr="00434E9D">
        <w:rPr>
          <w:vanish/>
        </w:rPr>
        <w:t>Commission de l’environnement, de la santé publique et de la sécurité alimentaire</w:t>
      </w:r>
      <w:bookmarkEnd w:id="2"/>
    </w:p>
    <w:p w14:paraId="4F44D20F" w14:textId="77777777" w:rsidR="00EE330D" w:rsidRPr="00434E9D" w:rsidRDefault="00EE330D" w:rsidP="00EE330D">
      <w:pPr>
        <w:rPr>
          <w:vanish/>
        </w:rPr>
      </w:pPr>
      <w:bookmarkStart w:id="3" w:name="PE"/>
      <w:r w:rsidRPr="00434E9D">
        <w:rPr>
          <w:vanish/>
        </w:rPr>
        <w:t>PE740.884</w:t>
      </w:r>
      <w:bookmarkEnd w:id="3"/>
    </w:p>
    <w:p w14:paraId="1E3B647D" w14:textId="77777777" w:rsidR="00EE330D" w:rsidRPr="00434E9D" w:rsidRDefault="00EE330D" w:rsidP="00EE330D">
      <w:pPr>
        <w:pStyle w:val="ATHeading3"/>
      </w:pPr>
      <w:bookmarkStart w:id="4" w:name="Sujet"/>
      <w:r w:rsidRPr="00434E9D">
        <w:t xml:space="preserve">Résolution législative du Parlement européen du </w:t>
      </w:r>
      <w:r w:rsidR="00A15BE8" w:rsidRPr="00434E9D">
        <w:t>2</w:t>
      </w:r>
      <w:r w:rsidR="00D55A15" w:rsidRPr="00434E9D">
        <w:t>4</w:t>
      </w:r>
      <w:r w:rsidR="00225568" w:rsidRPr="00434E9D">
        <w:t xml:space="preserve"> avril</w:t>
      </w:r>
      <w:r w:rsidRPr="00434E9D">
        <w:t xml:space="preserve"> 2024 sur la proposition de directive du Parlement européen et du Conseil modifiant la directive 2000/60/CE établissant un cadre pour une politique communautaire dans le domaine de l’eau, la directive 2006/118/CE sur la protection des eaux souterraines contre la pollution et la détérioration, et la directive 2008/105/CE établissant des normes de qualité environnementale dans le domaine de l’eau</w:t>
      </w:r>
      <w:bookmarkEnd w:id="4"/>
      <w:r w:rsidRPr="00434E9D">
        <w:t xml:space="preserve"> </w:t>
      </w:r>
      <w:bookmarkStart w:id="5" w:name="References"/>
      <w:r w:rsidRPr="00434E9D">
        <w:t>(COM(2022)0540 – C9-0361/2022 – 2022/0344(COD))</w:t>
      </w:r>
      <w:bookmarkEnd w:id="5"/>
    </w:p>
    <w:p w14:paraId="678ADD7C" w14:textId="77777777" w:rsidR="00515114" w:rsidRPr="00434E9D" w:rsidRDefault="00515114" w:rsidP="00515114">
      <w:pPr>
        <w:pStyle w:val="NormalBold"/>
        <w:widowControl/>
      </w:pPr>
      <w:bookmarkStart w:id="6" w:name="TextBodyBegin"/>
      <w:bookmarkEnd w:id="6"/>
      <w:r w:rsidRPr="00434E9D">
        <w:t>(Procédure législative ordinaire: première lecture)</w:t>
      </w:r>
    </w:p>
    <w:p w14:paraId="555FC23A" w14:textId="77777777" w:rsidR="00515114" w:rsidRPr="00434E9D" w:rsidRDefault="00515114" w:rsidP="00515114">
      <w:pPr>
        <w:pStyle w:val="EPComma"/>
        <w:widowControl/>
      </w:pPr>
      <w:r w:rsidRPr="00434E9D">
        <w:rPr>
          <w:i/>
        </w:rPr>
        <w:t>Le Parlement européen</w:t>
      </w:r>
      <w:r w:rsidRPr="00434E9D">
        <w:t>,</w:t>
      </w:r>
    </w:p>
    <w:p w14:paraId="55AAFF4A" w14:textId="77777777" w:rsidR="00515114" w:rsidRPr="00434E9D" w:rsidRDefault="00515114" w:rsidP="00515114">
      <w:pPr>
        <w:pStyle w:val="NormalHanging12a"/>
      </w:pPr>
      <w:r w:rsidRPr="00434E9D">
        <w:t>–</w:t>
      </w:r>
      <w:r w:rsidRPr="00434E9D">
        <w:tab/>
        <w:t>vu la proposition de la Commission au Parlement européen et au Conseil (COM(2022)0540),</w:t>
      </w:r>
    </w:p>
    <w:p w14:paraId="1C109A05" w14:textId="77777777" w:rsidR="00515114" w:rsidRPr="00434E9D" w:rsidRDefault="00515114" w:rsidP="00515114">
      <w:pPr>
        <w:pStyle w:val="NormalHanging12a"/>
      </w:pPr>
      <w:r w:rsidRPr="00434E9D">
        <w:t>–</w:t>
      </w:r>
      <w:r w:rsidRPr="00434E9D">
        <w:tab/>
        <w:t>vu l’article 294, paragraphe 2, et l’article 192, paragraphe 1, du traité sur le fonctionnement de l’Union européenne, conformément auxquels la proposition lui a été présentée par la Commission (C9</w:t>
      </w:r>
      <w:r w:rsidRPr="00434E9D">
        <w:noBreakHyphen/>
        <w:t>0361/2022),</w:t>
      </w:r>
    </w:p>
    <w:p w14:paraId="43F16704" w14:textId="77777777" w:rsidR="00515114" w:rsidRPr="00434E9D" w:rsidRDefault="00515114" w:rsidP="00515114">
      <w:pPr>
        <w:pStyle w:val="NormalHanging12a"/>
      </w:pPr>
      <w:r w:rsidRPr="00434E9D">
        <w:t>–</w:t>
      </w:r>
      <w:r w:rsidRPr="00434E9D">
        <w:tab/>
        <w:t>vu l’article 294, paragraphe 3, du traité sur le fonctionnement de l’Union européenne,</w:t>
      </w:r>
    </w:p>
    <w:p w14:paraId="1F09DCF2" w14:textId="77777777" w:rsidR="00515114" w:rsidRPr="00434E9D" w:rsidRDefault="00515114" w:rsidP="00515114">
      <w:pPr>
        <w:pStyle w:val="NormalHanging12a"/>
      </w:pPr>
      <w:r w:rsidRPr="00434E9D">
        <w:t>–</w:t>
      </w:r>
      <w:r w:rsidRPr="00434E9D">
        <w:tab/>
        <w:t>vu l’avis du Comité économique et social du 22 février 2023</w:t>
      </w:r>
      <w:r w:rsidRPr="00434E9D">
        <w:rPr>
          <w:rStyle w:val="FootnoteReference"/>
        </w:rPr>
        <w:footnoteReference w:id="1"/>
      </w:r>
      <w:r w:rsidRPr="00434E9D">
        <w:t>,</w:t>
      </w:r>
    </w:p>
    <w:p w14:paraId="586DF73F" w14:textId="77777777" w:rsidR="00515114" w:rsidRPr="00434E9D" w:rsidRDefault="00515114" w:rsidP="00515114">
      <w:pPr>
        <w:pStyle w:val="NormalHanging12a"/>
      </w:pPr>
      <w:r w:rsidRPr="00434E9D">
        <w:t>–</w:t>
      </w:r>
      <w:r w:rsidRPr="00434E9D">
        <w:tab/>
        <w:t>après consultation du Comité des régions,</w:t>
      </w:r>
    </w:p>
    <w:p w14:paraId="0DB302BB" w14:textId="77777777" w:rsidR="00515114" w:rsidRPr="00434E9D" w:rsidRDefault="00515114" w:rsidP="00515114">
      <w:pPr>
        <w:pStyle w:val="NormalHanging12a"/>
      </w:pPr>
      <w:r w:rsidRPr="00434E9D">
        <w:t>–</w:t>
      </w:r>
      <w:r w:rsidRPr="00434E9D">
        <w:tab/>
        <w:t>vu l’article 59 de son règlement intérieur,</w:t>
      </w:r>
    </w:p>
    <w:p w14:paraId="277C876B" w14:textId="77777777" w:rsidR="00515114" w:rsidRPr="00434E9D" w:rsidRDefault="00515114" w:rsidP="00515114">
      <w:pPr>
        <w:pStyle w:val="NormalHanging12a"/>
      </w:pPr>
      <w:r w:rsidRPr="00434E9D">
        <w:t>–</w:t>
      </w:r>
      <w:r w:rsidRPr="00434E9D">
        <w:tab/>
        <w:t>vu les avis de la commission de l’industrie, de la recherche et de l’énergie et de la commission de l’agriculture et du développement rural,</w:t>
      </w:r>
    </w:p>
    <w:p w14:paraId="6F63D249" w14:textId="77777777" w:rsidR="00515114" w:rsidRPr="00434E9D" w:rsidRDefault="00515114" w:rsidP="00515114">
      <w:pPr>
        <w:pStyle w:val="NormalHanging12a"/>
      </w:pPr>
      <w:r w:rsidRPr="00434E9D">
        <w:t>–</w:t>
      </w:r>
      <w:r w:rsidRPr="00434E9D">
        <w:tab/>
        <w:t>vu le rapport de la commission de l’environnement, de la santé publique et de la sécurité alimentaire (A9-0238/2023),</w:t>
      </w:r>
    </w:p>
    <w:p w14:paraId="6387201F" w14:textId="77777777" w:rsidR="00515114" w:rsidRPr="00434E9D" w:rsidRDefault="00515114" w:rsidP="00515114">
      <w:pPr>
        <w:pStyle w:val="NormalHanging12a"/>
      </w:pPr>
      <w:r w:rsidRPr="00434E9D">
        <w:lastRenderedPageBreak/>
        <w:t>1.</w:t>
      </w:r>
      <w:r w:rsidRPr="00434E9D">
        <w:tab/>
        <w:t>arrête la position en première lecture figurant ci-après</w:t>
      </w:r>
      <w:r w:rsidR="005F55D6" w:rsidRPr="00434E9D">
        <w:rPr>
          <w:rStyle w:val="FootnoteReference"/>
        </w:rPr>
        <w:footnoteReference w:id="2"/>
      </w:r>
      <w:r w:rsidRPr="00434E9D">
        <w:t>;</w:t>
      </w:r>
    </w:p>
    <w:p w14:paraId="51E82ACA" w14:textId="77777777" w:rsidR="00515114" w:rsidRPr="00434E9D" w:rsidRDefault="00515114" w:rsidP="00515114">
      <w:pPr>
        <w:pStyle w:val="NormalHanging12a"/>
      </w:pPr>
      <w:r w:rsidRPr="00434E9D">
        <w:t>2.</w:t>
      </w:r>
      <w:r w:rsidRPr="00434E9D">
        <w:tab/>
        <w:t>demande à la Commission de le saisir à nouveau, si elle remplace, modifie de manière substantielle ou entend modifier de manière substantielle sa proposition;</w:t>
      </w:r>
    </w:p>
    <w:p w14:paraId="52BE65F1" w14:textId="77777777" w:rsidR="008C3DE0" w:rsidRPr="00434E9D" w:rsidRDefault="00515114" w:rsidP="008C3DE0">
      <w:pPr>
        <w:pStyle w:val="NormalHanging12a"/>
        <w:sectPr w:rsidR="008C3DE0" w:rsidRPr="00434E9D">
          <w:footerReference w:type="even" r:id="rId9"/>
          <w:footerReference w:type="first" r:id="rId10"/>
          <w:footnotePr>
            <w:numRestart w:val="eachSect"/>
          </w:footnotePr>
          <w:pgSz w:w="11909" w:h="16834"/>
          <w:pgMar w:top="1134" w:right="1417" w:bottom="1417" w:left="1417" w:header="1134" w:footer="567" w:gutter="0"/>
          <w:cols w:space="720"/>
        </w:sectPr>
      </w:pPr>
      <w:r w:rsidRPr="00434E9D">
        <w:t>3.</w:t>
      </w:r>
      <w:r w:rsidRPr="00434E9D">
        <w:tab/>
        <w:t>charge sa Présidente de transmettre la position du Parlement au Conseil et à la Commission ainsi qu’aux parlements nationaux.</w:t>
      </w:r>
    </w:p>
    <w:p w14:paraId="6D59B13B" w14:textId="77777777" w:rsidR="008C3DE0" w:rsidRPr="00434E9D" w:rsidRDefault="008C3DE0" w:rsidP="008C3DE0">
      <w:pPr>
        <w:widowControl/>
        <w:spacing w:after="240"/>
        <w:jc w:val="both"/>
        <w:rPr>
          <w:b/>
          <w:szCs w:val="24"/>
        </w:rPr>
      </w:pPr>
      <w:r w:rsidRPr="00434E9D">
        <w:rPr>
          <w:b/>
          <w:szCs w:val="24"/>
        </w:rPr>
        <w:lastRenderedPageBreak/>
        <w:t>P9_TC1-COD(2022)0344</w:t>
      </w:r>
    </w:p>
    <w:p w14:paraId="24F106BE" w14:textId="77777777" w:rsidR="008C3DE0" w:rsidRPr="00434E9D" w:rsidRDefault="008C3DE0" w:rsidP="008C3DE0">
      <w:pPr>
        <w:widowControl/>
        <w:spacing w:after="240"/>
        <w:jc w:val="both"/>
        <w:rPr>
          <w:b/>
          <w:szCs w:val="24"/>
        </w:rPr>
      </w:pPr>
      <w:r w:rsidRPr="00434E9D">
        <w:rPr>
          <w:b/>
          <w:szCs w:val="24"/>
        </w:rPr>
        <w:t>Position du Parlement européen arrêtée en première lecture le 24 avril 2024 en vue de l’adoption de la directive (UE) 2024/... du Parlement européen et du Conseil modifiant la directive 2000/60/CE établissant un cadre pour une politique communautaire dans le domaine de l’eau, la directive 2006/118/CE sur la protection des eaux souterraines contre la pollution et la détérioration, et la directive 2008/105/CE établissant des normes de qualité environnementale dans le domaine de l’eau</w:t>
      </w:r>
    </w:p>
    <w:p w14:paraId="4D9C667D" w14:textId="77777777" w:rsidR="008C3DE0" w:rsidRPr="00434E9D" w:rsidRDefault="008C3DE0" w:rsidP="008C3DE0">
      <w:pPr>
        <w:pStyle w:val="IntrtEEE"/>
        <w:rPr>
          <w:lang w:val="fr-FR"/>
        </w:rPr>
      </w:pPr>
      <w:r w:rsidRPr="00434E9D">
        <w:rPr>
          <w:lang w:val="fr-FR"/>
        </w:rPr>
        <w:t>(Texte présentant de l’intérêt pour l’EEE)</w:t>
      </w:r>
    </w:p>
    <w:p w14:paraId="04149D7C" w14:textId="77777777" w:rsidR="008C3DE0" w:rsidRPr="00434E9D" w:rsidRDefault="008C3DE0" w:rsidP="008C3DE0">
      <w:pPr>
        <w:pStyle w:val="Institutionquiagit"/>
        <w:rPr>
          <w:lang w:val="fr-FR"/>
        </w:rPr>
      </w:pPr>
      <w:r w:rsidRPr="00434E9D">
        <w:rPr>
          <w:lang w:val="fr-FR"/>
        </w:rPr>
        <w:t>LE PARLEMENT EUROPÉEN ET LE CONSEIL DE L’UNION EUROPÉENNE,</w:t>
      </w:r>
    </w:p>
    <w:p w14:paraId="25EA49E2" w14:textId="77777777" w:rsidR="008C3DE0" w:rsidRPr="00434E9D" w:rsidRDefault="008C3DE0" w:rsidP="008C3DE0">
      <w:pPr>
        <w:pStyle w:val="Normale"/>
        <w:rPr>
          <w:lang w:val="fr-FR"/>
        </w:rPr>
      </w:pPr>
      <w:r w:rsidRPr="00434E9D">
        <w:rPr>
          <w:lang w:val="fr-FR"/>
        </w:rPr>
        <w:t>vu le traité sur le fonctionnement de l’Union européenne, et notamment son article 192, paragraphe 1,</w:t>
      </w:r>
    </w:p>
    <w:p w14:paraId="2821208B" w14:textId="77777777" w:rsidR="008C3DE0" w:rsidRPr="00434E9D" w:rsidRDefault="008C3DE0" w:rsidP="008C3DE0">
      <w:pPr>
        <w:pStyle w:val="Normale"/>
        <w:rPr>
          <w:lang w:val="fr-FR"/>
        </w:rPr>
      </w:pPr>
      <w:r w:rsidRPr="00434E9D">
        <w:rPr>
          <w:lang w:val="fr-FR"/>
        </w:rPr>
        <w:t>vu la proposition de la Commission européenne,</w:t>
      </w:r>
    </w:p>
    <w:p w14:paraId="19EA4C3D" w14:textId="77777777" w:rsidR="008C3DE0" w:rsidRPr="00434E9D" w:rsidRDefault="008C3DE0" w:rsidP="008C3DE0">
      <w:pPr>
        <w:pStyle w:val="Normale"/>
        <w:rPr>
          <w:lang w:val="fr-FR"/>
        </w:rPr>
      </w:pPr>
      <w:r w:rsidRPr="00434E9D">
        <w:rPr>
          <w:lang w:val="fr-FR"/>
        </w:rPr>
        <w:t>après transmission du projet d’acte législatif aux parlements nationaux,</w:t>
      </w:r>
    </w:p>
    <w:p w14:paraId="4C7B8E89" w14:textId="77777777" w:rsidR="008C3DE0" w:rsidRPr="00434E9D" w:rsidRDefault="008C3DE0" w:rsidP="008C3DE0">
      <w:pPr>
        <w:pStyle w:val="Normale"/>
        <w:rPr>
          <w:lang w:val="fr-FR"/>
        </w:rPr>
      </w:pPr>
      <w:r w:rsidRPr="00434E9D">
        <w:rPr>
          <w:lang w:val="fr-FR"/>
        </w:rPr>
        <w:t>vu l’avis du Comité économique et social européen</w:t>
      </w:r>
      <w:r w:rsidRPr="00434E9D">
        <w:rPr>
          <w:rStyle w:val="FootnoteReference"/>
        </w:rPr>
        <w:footnoteReference w:id="3"/>
      </w:r>
      <w:r w:rsidRPr="00434E9D">
        <w:rPr>
          <w:lang w:val="fr-FR"/>
        </w:rPr>
        <w:t>,</w:t>
      </w:r>
    </w:p>
    <w:p w14:paraId="3B17F776" w14:textId="77777777" w:rsidR="008C3DE0" w:rsidRPr="00434E9D" w:rsidRDefault="008C3DE0" w:rsidP="008C3DE0">
      <w:pPr>
        <w:pStyle w:val="Normale"/>
        <w:rPr>
          <w:lang w:val="fr-FR"/>
        </w:rPr>
      </w:pPr>
      <w:r w:rsidRPr="00434E9D">
        <w:rPr>
          <w:lang w:val="fr-FR"/>
        </w:rPr>
        <w:t>vu l’avis du Comité des régions</w:t>
      </w:r>
      <w:r w:rsidRPr="00434E9D">
        <w:rPr>
          <w:rStyle w:val="FootnoteReference"/>
        </w:rPr>
        <w:footnoteReference w:id="4"/>
      </w:r>
      <w:r w:rsidRPr="00434E9D">
        <w:rPr>
          <w:lang w:val="fr-FR"/>
        </w:rPr>
        <w:t>,</w:t>
      </w:r>
    </w:p>
    <w:p w14:paraId="217D2D9B" w14:textId="77777777" w:rsidR="008C3DE0" w:rsidRPr="00434E9D" w:rsidRDefault="008C3DE0" w:rsidP="008C3DE0">
      <w:pPr>
        <w:pStyle w:val="Normale"/>
        <w:rPr>
          <w:lang w:val="fr-FR"/>
        </w:rPr>
      </w:pPr>
      <w:r w:rsidRPr="00434E9D">
        <w:rPr>
          <w:lang w:val="fr-FR"/>
        </w:rPr>
        <w:t>statuant conformément à la procédure législative ordinaire,</w:t>
      </w:r>
    </w:p>
    <w:p w14:paraId="5A4B4E93" w14:textId="77777777" w:rsidR="00DE1CD3" w:rsidRPr="00434E9D" w:rsidRDefault="00DE1CD3" w:rsidP="00DE1CD3">
      <w:pPr>
        <w:widowControl/>
        <w:rPr>
          <w:b/>
          <w:i/>
          <w:szCs w:val="24"/>
          <w:lang w:eastAsia="en-US"/>
        </w:rPr>
      </w:pPr>
      <w:r w:rsidRPr="00434E9D">
        <w:rPr>
          <w:b/>
          <w:i/>
        </w:rPr>
        <w:br w:type="page"/>
      </w:r>
    </w:p>
    <w:p w14:paraId="1612513F" w14:textId="77777777" w:rsidR="008C3DE0" w:rsidRPr="00434E9D" w:rsidRDefault="008C3DE0" w:rsidP="008C3DE0">
      <w:pPr>
        <w:pStyle w:val="Normale"/>
        <w:rPr>
          <w:lang w:val="fr-FR"/>
        </w:rPr>
      </w:pPr>
      <w:r w:rsidRPr="00434E9D">
        <w:rPr>
          <w:lang w:val="fr-FR"/>
        </w:rPr>
        <w:lastRenderedPageBreak/>
        <w:t>considérant ce qui suit:</w:t>
      </w:r>
    </w:p>
    <w:p w14:paraId="57C38A51" w14:textId="77777777" w:rsidR="008C3DE0" w:rsidRPr="00434E9D" w:rsidRDefault="008C3DE0" w:rsidP="008C3DE0">
      <w:pPr>
        <w:pStyle w:val="Considrant"/>
        <w:rPr>
          <w:b/>
          <w:lang w:val="fr-FR"/>
        </w:rPr>
      </w:pPr>
      <w:r w:rsidRPr="00434E9D">
        <w:rPr>
          <w:b/>
          <w:i/>
          <w:lang w:val="fr-FR"/>
        </w:rPr>
        <w:t>(-1)</w:t>
      </w:r>
      <w:r w:rsidRPr="00434E9D">
        <w:rPr>
          <w:lang w:val="fr-FR"/>
        </w:rPr>
        <w:tab/>
      </w:r>
      <w:r w:rsidRPr="00434E9D">
        <w:rPr>
          <w:b/>
          <w:i/>
          <w:lang w:val="fr-FR"/>
        </w:rPr>
        <w:t xml:space="preserve">L’eau n’est pas un produit commercial comme les autres, mais plutôt un bien commun et un patrimoine qu’il faut protéger et traiter comme tel, afin de garantir la préservation des écosystèmes et l’accès universel à l’eau potable. </w:t>
      </w:r>
      <w:r w:rsidRPr="00434E9D">
        <w:rPr>
          <w:b/>
          <w:lang w:val="fr-FR"/>
        </w:rPr>
        <w:t xml:space="preserve"> [Am. 1]</w:t>
      </w:r>
    </w:p>
    <w:p w14:paraId="039E3A9E" w14:textId="77777777" w:rsidR="008C3DE0" w:rsidRPr="00434E9D" w:rsidRDefault="008C3DE0" w:rsidP="008C3DE0">
      <w:pPr>
        <w:pStyle w:val="Considrant"/>
        <w:rPr>
          <w:b/>
          <w:lang w:val="fr-FR"/>
        </w:rPr>
      </w:pPr>
      <w:r w:rsidRPr="00434E9D">
        <w:rPr>
          <w:b/>
          <w:i/>
          <w:lang w:val="fr-FR"/>
        </w:rPr>
        <w:t>(-1 bis)</w:t>
      </w:r>
      <w:r w:rsidRPr="00434E9D">
        <w:rPr>
          <w:b/>
          <w:i/>
          <w:lang w:val="fr-FR"/>
        </w:rPr>
        <w:tab/>
        <w:t xml:space="preserve">Le 28 juillet 2010, l’Assemblée générale des Nations unies a reconnu que le droit à l’eau potable et à l’assainissement est un droit de l’homme, essentiel à la pleine jouissance de la vie et à l’exercice de tous les droits de l’homme. Après le succès de l’initiative citoyenne européenne de 2014 intitulée «Right2Water», une proposition de révision de la directive sur l’eau potable a été adoptée par la Commission en 2018 et la directive modifiée correspondante est entrée en vigueur le 12 janvier 2021. Ladite directive établit l’obligation pour les États membres d’améliorer l’accès à l’eau destinée à la consommation humaine en s’appuyant, notamment, sur les connaissances acquises et les actions menées au titre de la directive 2000/60/CE. Les États membres devraient également garantir l’effectivité du droit à l’eau potable et à l’assainissement en améliorant la qualité des eaux de surface et des eaux souterraines. </w:t>
      </w:r>
      <w:r w:rsidRPr="00434E9D">
        <w:rPr>
          <w:b/>
          <w:lang w:val="fr-FR"/>
        </w:rPr>
        <w:t xml:space="preserve"> [Am. 2]</w:t>
      </w:r>
    </w:p>
    <w:p w14:paraId="683B762B" w14:textId="77777777" w:rsidR="008C3DE0" w:rsidRPr="00434E9D" w:rsidRDefault="008C3DE0">
      <w:pPr>
        <w:widowControl/>
        <w:rPr>
          <w:szCs w:val="24"/>
          <w:lang w:eastAsia="en-US"/>
        </w:rPr>
      </w:pPr>
      <w:r w:rsidRPr="00434E9D">
        <w:br w:type="page"/>
      </w:r>
    </w:p>
    <w:p w14:paraId="4C31475B" w14:textId="77777777" w:rsidR="008C3DE0" w:rsidRPr="00434E9D" w:rsidRDefault="008C3DE0" w:rsidP="008C3DE0">
      <w:pPr>
        <w:pStyle w:val="Considrant"/>
        <w:rPr>
          <w:b/>
          <w:lang w:val="fr-FR"/>
        </w:rPr>
      </w:pPr>
      <w:r w:rsidRPr="00434E9D">
        <w:rPr>
          <w:lang w:val="fr-FR"/>
        </w:rPr>
        <w:lastRenderedPageBreak/>
        <w:t>(1)</w:t>
      </w:r>
      <w:r w:rsidRPr="00434E9D">
        <w:rPr>
          <w:lang w:val="fr-FR"/>
        </w:rPr>
        <w:tab/>
        <w:t>La pollution chimique des eaux de surface et des eaux souterraines constitue une menace tant pour l’environnement aquatique, avec des effets tels qu’une toxicité aiguë et chronique pour les organismes aquatiques, l’accumulation de polluants dans les écosystèmes, la disparition d’habitats et la perte de biodiversité, que pour la santé humaine. Le fait de fixer des normes de qualité environnementale aide à mettre en œuvre l’ambition «zéro pollution» pour un environnement exempt de substances toxiques</w:t>
      </w:r>
      <w:r w:rsidRPr="00434E9D">
        <w:rPr>
          <w:b/>
          <w:i/>
          <w:lang w:val="fr-FR"/>
        </w:rPr>
        <w:t>, en tant que l’un des objectifs prioritaires du huitième programme d’action pour l’environnement</w:t>
      </w:r>
      <w:r w:rsidRPr="00434E9D">
        <w:rPr>
          <w:rStyle w:val="FootnoteReference"/>
        </w:rPr>
        <w:footnoteReference w:id="5"/>
      </w:r>
      <w:r w:rsidRPr="00434E9D">
        <w:rPr>
          <w:lang w:val="fr-FR"/>
        </w:rPr>
        <w:t xml:space="preserve">. </w:t>
      </w:r>
      <w:r w:rsidRPr="00434E9D">
        <w:rPr>
          <w:b/>
          <w:lang w:val="fr-FR"/>
        </w:rPr>
        <w:t xml:space="preserve"> [Am. 3]</w:t>
      </w:r>
    </w:p>
    <w:p w14:paraId="198B51F1" w14:textId="77777777" w:rsidR="008C3DE0" w:rsidRPr="00434E9D" w:rsidRDefault="008C3DE0" w:rsidP="008C3DE0">
      <w:pPr>
        <w:pStyle w:val="Considrant"/>
        <w:rPr>
          <w:b/>
          <w:lang w:val="fr-FR"/>
        </w:rPr>
      </w:pPr>
      <w:r w:rsidRPr="00434E9D">
        <w:rPr>
          <w:b/>
          <w:i/>
          <w:lang w:val="fr-FR"/>
        </w:rPr>
        <w:t>(1 bis)</w:t>
      </w:r>
      <w:r w:rsidRPr="00434E9D">
        <w:rPr>
          <w:lang w:val="fr-FR"/>
        </w:rPr>
        <w:tab/>
      </w:r>
      <w:r w:rsidRPr="00434E9D">
        <w:rPr>
          <w:b/>
          <w:i/>
          <w:lang w:val="fr-FR"/>
        </w:rPr>
        <w:t xml:space="preserve">Selon l’Agence européenne pour l’environnement, environ 90 % de la superficie des masses d’eau souterraine est en bon état quantitatif, environ 75 % de la superficie des masses d’eau souterraine est en bon état chimique, 40 % des masses d’eau de surface présentent un bon ou un très bon état écologique, et 38 % des masses d’eau de surface sont en bon état chimique. Dans son rapport du 4 décembre 2019, intitulé «The </w:t>
      </w:r>
      <w:proofErr w:type="spellStart"/>
      <w:r w:rsidRPr="00434E9D">
        <w:rPr>
          <w:b/>
          <w:i/>
          <w:lang w:val="fr-FR"/>
        </w:rPr>
        <w:t>European</w:t>
      </w:r>
      <w:proofErr w:type="spellEnd"/>
      <w:r w:rsidRPr="00434E9D">
        <w:rPr>
          <w:b/>
          <w:i/>
          <w:lang w:val="fr-FR"/>
        </w:rPr>
        <w:t xml:space="preserve"> </w:t>
      </w:r>
      <w:proofErr w:type="spellStart"/>
      <w:r w:rsidRPr="00434E9D">
        <w:rPr>
          <w:b/>
          <w:i/>
          <w:lang w:val="fr-FR"/>
        </w:rPr>
        <w:t>environment</w:t>
      </w:r>
      <w:proofErr w:type="spellEnd"/>
      <w:r w:rsidRPr="00434E9D">
        <w:rPr>
          <w:b/>
          <w:i/>
          <w:lang w:val="fr-FR"/>
        </w:rPr>
        <w:t xml:space="preserve"> – state and </w:t>
      </w:r>
      <w:proofErr w:type="spellStart"/>
      <w:r w:rsidRPr="00434E9D">
        <w:rPr>
          <w:b/>
          <w:i/>
          <w:lang w:val="fr-FR"/>
        </w:rPr>
        <w:t>outlook</w:t>
      </w:r>
      <w:proofErr w:type="spellEnd"/>
      <w:r w:rsidRPr="00434E9D">
        <w:rPr>
          <w:b/>
          <w:i/>
          <w:lang w:val="fr-FR"/>
        </w:rPr>
        <w:t xml:space="preserve"> 2020: </w:t>
      </w:r>
      <w:proofErr w:type="spellStart"/>
      <w:r w:rsidRPr="00434E9D">
        <w:rPr>
          <w:b/>
          <w:i/>
          <w:lang w:val="fr-FR"/>
        </w:rPr>
        <w:t>Knowledge</w:t>
      </w:r>
      <w:proofErr w:type="spellEnd"/>
      <w:r w:rsidRPr="00434E9D">
        <w:rPr>
          <w:b/>
          <w:i/>
          <w:lang w:val="fr-FR"/>
        </w:rPr>
        <w:t xml:space="preserve"> for transition to a </w:t>
      </w:r>
      <w:proofErr w:type="spellStart"/>
      <w:r w:rsidRPr="00434E9D">
        <w:rPr>
          <w:b/>
          <w:i/>
          <w:lang w:val="fr-FR"/>
        </w:rPr>
        <w:t>sustainable</w:t>
      </w:r>
      <w:proofErr w:type="spellEnd"/>
      <w:r w:rsidRPr="00434E9D">
        <w:rPr>
          <w:b/>
          <w:i/>
          <w:lang w:val="fr-FR"/>
        </w:rPr>
        <w:t xml:space="preserve"> Europe» (L’environnement en Europe - état et perspectives 2020: une analyse au service de la transition vers une Europe durable), l’Agence indique que la diminution de la pollution a permis d’améliorer la qualité de l’eau, mais que l’Union était encore loin de l’objectif visant à atteindre un bon état écologique pour l’ensemble de ses eaux d’ici à 2020.</w:t>
      </w:r>
      <w:r w:rsidR="00067EED" w:rsidRPr="00434E9D">
        <w:rPr>
          <w:b/>
          <w:lang w:val="fr-FR"/>
        </w:rPr>
        <w:t xml:space="preserve"> [Am. 4]</w:t>
      </w:r>
    </w:p>
    <w:p w14:paraId="10D342E6" w14:textId="77777777" w:rsidR="00067EED" w:rsidRPr="00434E9D" w:rsidRDefault="00067EED">
      <w:pPr>
        <w:widowControl/>
        <w:rPr>
          <w:b/>
          <w:i/>
          <w:szCs w:val="24"/>
          <w:lang w:eastAsia="en-US"/>
        </w:rPr>
      </w:pPr>
      <w:r w:rsidRPr="00434E9D">
        <w:rPr>
          <w:b/>
          <w:i/>
        </w:rPr>
        <w:br w:type="page"/>
      </w:r>
    </w:p>
    <w:p w14:paraId="13BA3BD0" w14:textId="77777777" w:rsidR="008C3DE0" w:rsidRPr="00434E9D" w:rsidRDefault="008C3DE0" w:rsidP="008C3DE0">
      <w:pPr>
        <w:pStyle w:val="Considrant"/>
        <w:rPr>
          <w:b/>
          <w:lang w:val="fr-FR"/>
        </w:rPr>
      </w:pPr>
      <w:r w:rsidRPr="00434E9D">
        <w:rPr>
          <w:b/>
          <w:i/>
          <w:lang w:val="fr-FR"/>
        </w:rPr>
        <w:lastRenderedPageBreak/>
        <w:t>(1 ter)</w:t>
      </w:r>
      <w:r w:rsidRPr="00434E9D">
        <w:rPr>
          <w:lang w:val="fr-FR"/>
        </w:rPr>
        <w:tab/>
      </w:r>
      <w:r w:rsidRPr="00434E9D">
        <w:rPr>
          <w:b/>
          <w:i/>
          <w:lang w:val="fr-FR"/>
        </w:rPr>
        <w:t>Le bilan de qualité 2019 de la directive-cadre sur l’eau (ci-après dénommé le «bilan de qualité») a abouti dans son évaluation à la conclusion que le prochain cycle de programmes de mesures sera primordial pour garantir l’accomplissement des progrès nécessaires à la réalisation des objectifs environnementaux de la directive 2000/60/CE d’ici à 2027, et a indiqué que, pour le moment, des dérogations au titre de ladite directive ont été accordées pour plus de la moitié des masses d’eau européennes, ce qui complique particulièrement la tâche des États membres de satisfaire aux normes de qualité environnementale applicables aux substances prioritaires. En outre, le bilan de qualité a conclu que les objectifs environnementaux n’ont pas encore été complètement atteints, principalement en raison d’un financement insuffisant, de la lenteur de la mise en œuvre et de l’insuffisante intégration des objectifs environnementaux dans les politiques sectorielles, et non en raison de lacunes dans la législation.</w:t>
      </w:r>
      <w:r w:rsidR="00067EED" w:rsidRPr="00434E9D">
        <w:rPr>
          <w:b/>
          <w:lang w:val="fr-FR"/>
        </w:rPr>
        <w:t xml:space="preserve"> [Am. 5]</w:t>
      </w:r>
    </w:p>
    <w:p w14:paraId="6A954E43" w14:textId="77777777" w:rsidR="00067EED" w:rsidRPr="00434E9D" w:rsidRDefault="00067EED">
      <w:pPr>
        <w:widowControl/>
        <w:rPr>
          <w:b/>
          <w:i/>
          <w:szCs w:val="24"/>
          <w:lang w:eastAsia="en-US"/>
        </w:rPr>
      </w:pPr>
      <w:r w:rsidRPr="00434E9D">
        <w:rPr>
          <w:b/>
          <w:i/>
        </w:rPr>
        <w:br w:type="page"/>
      </w:r>
    </w:p>
    <w:p w14:paraId="7CE846EA" w14:textId="77777777" w:rsidR="008C3DE0" w:rsidRPr="00434E9D" w:rsidRDefault="00067EED" w:rsidP="008C3DE0">
      <w:pPr>
        <w:pStyle w:val="Considrant"/>
        <w:rPr>
          <w:b/>
          <w:lang w:val="fr-FR"/>
        </w:rPr>
      </w:pPr>
      <w:r w:rsidRPr="00434E9D">
        <w:rPr>
          <w:b/>
          <w:i/>
          <w:lang w:val="fr-FR"/>
        </w:rPr>
        <w:lastRenderedPageBreak/>
        <w:t>(1 quater</w:t>
      </w:r>
      <w:r w:rsidR="008C3DE0" w:rsidRPr="00434E9D">
        <w:rPr>
          <w:b/>
          <w:i/>
          <w:lang w:val="fr-FR"/>
        </w:rPr>
        <w:t>)</w:t>
      </w:r>
      <w:r w:rsidRPr="00434E9D">
        <w:rPr>
          <w:lang w:val="fr-FR"/>
        </w:rPr>
        <w:t xml:space="preserve"> </w:t>
      </w:r>
      <w:r w:rsidR="008C3DE0" w:rsidRPr="00434E9D">
        <w:rPr>
          <w:b/>
          <w:i/>
          <w:lang w:val="fr-FR"/>
        </w:rPr>
        <w:t>Des facteurs géographiques et socio-économiques rendent certaines populations, notamment les populations autochtones, plus vulnérables que d’autres à la pollution de l’eau. Le secteur minier de l’Union européenne devrait connaître une croissance afin de garantir le développement de l’industrie «zéro net». Ainsi qu’il est indiqué dans le rapport 09/2021 de l’Agence européenne pour l’environnement</w:t>
      </w:r>
      <w:r w:rsidR="008C3DE0" w:rsidRPr="00434E9D">
        <w:rPr>
          <w:rStyle w:val="FootnoteReference"/>
        </w:rPr>
        <w:footnoteReference w:id="6"/>
      </w:r>
      <w:r w:rsidR="008C3DE0" w:rsidRPr="00434E9D">
        <w:rPr>
          <w:b/>
          <w:i/>
          <w:lang w:val="fr-FR"/>
        </w:rPr>
        <w:t>, le secteur minier a des répercussions directes sur la qualité et la quantité d’eau. Il est dès lors nécessaire de mieux mettre en œuvre les cadres législatifs et de planifier et contrôler l’utilisation de l’eau et les rejets dans les opérations minières.</w:t>
      </w:r>
      <w:r w:rsidRPr="00434E9D">
        <w:rPr>
          <w:b/>
          <w:i/>
          <w:lang w:val="fr-FR"/>
        </w:rPr>
        <w:t xml:space="preserve"> </w:t>
      </w:r>
      <w:r w:rsidRPr="00434E9D">
        <w:rPr>
          <w:b/>
          <w:lang w:val="fr-FR"/>
        </w:rPr>
        <w:t xml:space="preserve"> [Am. 6]</w:t>
      </w:r>
    </w:p>
    <w:p w14:paraId="75F57265" w14:textId="77777777" w:rsidR="008C3DE0" w:rsidRPr="00434E9D" w:rsidRDefault="00067EED" w:rsidP="008C3DE0">
      <w:pPr>
        <w:pStyle w:val="Considrant"/>
        <w:rPr>
          <w:b/>
          <w:lang w:val="fr-FR"/>
        </w:rPr>
      </w:pPr>
      <w:r w:rsidRPr="00434E9D">
        <w:rPr>
          <w:b/>
          <w:i/>
          <w:lang w:val="fr-FR"/>
        </w:rPr>
        <w:t>(1 quinquies</w:t>
      </w:r>
      <w:r w:rsidR="008C3DE0" w:rsidRPr="00434E9D">
        <w:rPr>
          <w:b/>
          <w:i/>
          <w:lang w:val="fr-FR"/>
        </w:rPr>
        <w:t>)</w:t>
      </w:r>
      <w:r w:rsidR="008C3DE0" w:rsidRPr="00434E9D">
        <w:rPr>
          <w:lang w:val="fr-FR"/>
        </w:rPr>
        <w:tab/>
      </w:r>
      <w:r w:rsidR="008C3DE0" w:rsidRPr="00434E9D">
        <w:rPr>
          <w:b/>
          <w:i/>
          <w:lang w:val="fr-FR"/>
        </w:rPr>
        <w:t>De nombreux territoires de l’Union sont soumis à des contraintes hydriques de plus en plus importantes. Les sécheresses importantes et persistantes des dernières années, en particulier dans les régions méditerranéennes, compromettent la production agricole et provoquent un grave déclin des réserves d’eau de surface et d’eau souterraine</w:t>
      </w:r>
      <w:r w:rsidR="008C3DE0" w:rsidRPr="00434E9D">
        <w:rPr>
          <w:rStyle w:val="FootnoteReference"/>
        </w:rPr>
        <w:footnoteReference w:id="7"/>
      </w:r>
      <w:r w:rsidR="008C3DE0" w:rsidRPr="00434E9D">
        <w:rPr>
          <w:b/>
          <w:i/>
          <w:lang w:val="fr-FR"/>
        </w:rPr>
        <w:t>.</w:t>
      </w:r>
      <w:r w:rsidRPr="00434E9D">
        <w:rPr>
          <w:b/>
          <w:i/>
          <w:lang w:val="fr-FR"/>
        </w:rPr>
        <w:t xml:space="preserve"> </w:t>
      </w:r>
      <w:r w:rsidRPr="00434E9D">
        <w:rPr>
          <w:b/>
          <w:lang w:val="fr-FR"/>
        </w:rPr>
        <w:t xml:space="preserve"> [Am. 7]</w:t>
      </w:r>
    </w:p>
    <w:p w14:paraId="64328267" w14:textId="77777777" w:rsidR="008C3DE0" w:rsidRPr="00434E9D" w:rsidRDefault="00067EED" w:rsidP="008C3DE0">
      <w:pPr>
        <w:pStyle w:val="Considrant"/>
        <w:rPr>
          <w:b/>
          <w:lang w:val="fr-FR"/>
        </w:rPr>
      </w:pPr>
      <w:r w:rsidRPr="00434E9D">
        <w:rPr>
          <w:b/>
          <w:i/>
          <w:lang w:val="fr-FR"/>
        </w:rPr>
        <w:t>(1 sexies</w:t>
      </w:r>
      <w:r w:rsidR="008C3DE0" w:rsidRPr="00434E9D">
        <w:rPr>
          <w:b/>
          <w:i/>
          <w:lang w:val="fr-FR"/>
        </w:rPr>
        <w:t>)</w:t>
      </w:r>
      <w:r w:rsidR="008C3DE0" w:rsidRPr="00434E9D">
        <w:rPr>
          <w:lang w:val="fr-FR"/>
        </w:rPr>
        <w:tab/>
      </w:r>
      <w:r w:rsidR="008C3DE0" w:rsidRPr="00434E9D">
        <w:rPr>
          <w:b/>
          <w:i/>
          <w:lang w:val="fr-FR"/>
        </w:rPr>
        <w:t>L’eau est un bien public qui bénéficie à tous, qui constitue une ressource naturelle essentielle, irremplaçable et indispensable à la vie, et dont il est nécessaire de tenir dûment compte eu égard à ses dimensions sociale, économique et environnementale. Tant le changement climatique, notamment la fréquence accrue des catastrophes naturelles et des phénomènes météorologiques extrêmes, que la dégradation de l’environnement ont une incidence négative sur la quantité d’eau et sa qualité, ce qui met sous tension les secteurs dépendants de la disponibilité en eau, en particulier l’agriculture.</w:t>
      </w:r>
      <w:r w:rsidRPr="00434E9D">
        <w:rPr>
          <w:b/>
          <w:i/>
          <w:lang w:val="fr-FR"/>
        </w:rPr>
        <w:t xml:space="preserve"> </w:t>
      </w:r>
      <w:r w:rsidRPr="00434E9D">
        <w:rPr>
          <w:b/>
          <w:lang w:val="fr-FR"/>
        </w:rPr>
        <w:t xml:space="preserve"> [Am. 8]</w:t>
      </w:r>
    </w:p>
    <w:p w14:paraId="00C1910C" w14:textId="77777777" w:rsidR="00067EED" w:rsidRPr="00434E9D" w:rsidRDefault="00067EED">
      <w:pPr>
        <w:widowControl/>
        <w:rPr>
          <w:b/>
          <w:i/>
          <w:szCs w:val="24"/>
          <w:lang w:eastAsia="en-US"/>
        </w:rPr>
      </w:pPr>
      <w:r w:rsidRPr="00434E9D">
        <w:rPr>
          <w:b/>
          <w:i/>
        </w:rPr>
        <w:br w:type="page"/>
      </w:r>
    </w:p>
    <w:p w14:paraId="1CE634DB" w14:textId="77777777" w:rsidR="008C3DE0" w:rsidRPr="00434E9D" w:rsidRDefault="00067EED" w:rsidP="008C3DE0">
      <w:pPr>
        <w:pStyle w:val="Considrant"/>
        <w:rPr>
          <w:b/>
          <w:lang w:val="fr-FR"/>
        </w:rPr>
      </w:pPr>
      <w:r w:rsidRPr="00434E9D">
        <w:rPr>
          <w:b/>
          <w:i/>
          <w:lang w:val="fr-FR"/>
        </w:rPr>
        <w:lastRenderedPageBreak/>
        <w:t>(1 septies</w:t>
      </w:r>
      <w:r w:rsidR="008C3DE0" w:rsidRPr="00434E9D">
        <w:rPr>
          <w:b/>
          <w:i/>
          <w:lang w:val="fr-FR"/>
        </w:rPr>
        <w:t>)</w:t>
      </w:r>
      <w:r w:rsidR="008C3DE0" w:rsidRPr="00434E9D">
        <w:rPr>
          <w:lang w:val="fr-FR"/>
        </w:rPr>
        <w:tab/>
      </w:r>
      <w:r w:rsidR="008C3DE0" w:rsidRPr="00434E9D">
        <w:rPr>
          <w:b/>
          <w:i/>
          <w:lang w:val="fr-FR"/>
        </w:rPr>
        <w:t>Alors que, dans son rapport de 2018 intitulé «</w:t>
      </w:r>
      <w:proofErr w:type="spellStart"/>
      <w:r w:rsidR="008C3DE0" w:rsidRPr="00434E9D">
        <w:rPr>
          <w:b/>
          <w:i/>
          <w:lang w:val="fr-FR"/>
        </w:rPr>
        <w:t>European</w:t>
      </w:r>
      <w:proofErr w:type="spellEnd"/>
      <w:r w:rsidR="008C3DE0" w:rsidRPr="00434E9D">
        <w:rPr>
          <w:b/>
          <w:i/>
          <w:lang w:val="fr-FR"/>
        </w:rPr>
        <w:t xml:space="preserve"> waters - </w:t>
      </w:r>
      <w:proofErr w:type="spellStart"/>
      <w:r w:rsidR="008C3DE0" w:rsidRPr="00434E9D">
        <w:rPr>
          <w:b/>
          <w:i/>
          <w:lang w:val="fr-FR"/>
        </w:rPr>
        <w:t>assessment</w:t>
      </w:r>
      <w:proofErr w:type="spellEnd"/>
      <w:r w:rsidR="008C3DE0" w:rsidRPr="00434E9D">
        <w:rPr>
          <w:b/>
          <w:i/>
          <w:lang w:val="fr-FR"/>
        </w:rPr>
        <w:t xml:space="preserve"> of </w:t>
      </w:r>
      <w:proofErr w:type="spellStart"/>
      <w:r w:rsidR="008C3DE0" w:rsidRPr="00434E9D">
        <w:rPr>
          <w:b/>
          <w:i/>
          <w:lang w:val="fr-FR"/>
        </w:rPr>
        <w:t>status</w:t>
      </w:r>
      <w:proofErr w:type="spellEnd"/>
      <w:r w:rsidR="008C3DE0" w:rsidRPr="00434E9D">
        <w:rPr>
          <w:b/>
          <w:i/>
          <w:lang w:val="fr-FR"/>
        </w:rPr>
        <w:t xml:space="preserve"> and pressures» (Eaux européennes – évaluation de l’état et des pressions), l’Agence européenne pour l’environnement (AEE) a mis en évidence certaines pratiques agricoles qui constituent des obstacles au bon état chimique des eaux souterraines dans l’Union, en raison de la pollution par le nitrate et les pesticides qu’elles entraînent, une diminution constante de l’utilisation des engrais minéraux et de l’excédent de nutriments dans l’Union a été constatée au cours des décennies écoulées</w:t>
      </w:r>
      <w:r w:rsidR="008C3DE0" w:rsidRPr="00434E9D">
        <w:rPr>
          <w:rStyle w:val="FootnoteReference"/>
        </w:rPr>
        <w:footnoteReference w:id="8"/>
      </w:r>
      <w:r w:rsidR="008C3DE0" w:rsidRPr="00434E9D">
        <w:rPr>
          <w:b/>
          <w:i/>
          <w:lang w:val="fr-FR"/>
        </w:rPr>
        <w:t>. Les rejets qui ne sont pas connectés à un réseau d’assainissement, les sites contaminés ou les sites industriels abandonnés représentent d’autres sources de pollution importantes.</w:t>
      </w:r>
      <w:r w:rsidRPr="00434E9D">
        <w:rPr>
          <w:b/>
          <w:i/>
          <w:lang w:val="fr-FR"/>
        </w:rPr>
        <w:t xml:space="preserve"> </w:t>
      </w:r>
      <w:r w:rsidRPr="00434E9D">
        <w:rPr>
          <w:b/>
          <w:lang w:val="fr-FR"/>
        </w:rPr>
        <w:t xml:space="preserve"> [Am. 9]</w:t>
      </w:r>
    </w:p>
    <w:p w14:paraId="46867194" w14:textId="77777777" w:rsidR="008C3DE0" w:rsidRPr="00434E9D" w:rsidRDefault="00067EED" w:rsidP="008C3DE0">
      <w:pPr>
        <w:pStyle w:val="Considrant"/>
        <w:rPr>
          <w:b/>
          <w:lang w:val="fr-FR"/>
        </w:rPr>
      </w:pPr>
      <w:r w:rsidRPr="00434E9D">
        <w:rPr>
          <w:b/>
          <w:i/>
          <w:lang w:val="fr-FR"/>
        </w:rPr>
        <w:t>(1 octies</w:t>
      </w:r>
      <w:r w:rsidR="008C3DE0" w:rsidRPr="00434E9D">
        <w:rPr>
          <w:b/>
          <w:i/>
          <w:lang w:val="fr-FR"/>
        </w:rPr>
        <w:t>)</w:t>
      </w:r>
      <w:r w:rsidR="008C3DE0" w:rsidRPr="00434E9D">
        <w:rPr>
          <w:lang w:val="fr-FR"/>
        </w:rPr>
        <w:tab/>
      </w:r>
      <w:r w:rsidR="008C3DE0" w:rsidRPr="00434E9D">
        <w:rPr>
          <w:b/>
          <w:i/>
          <w:lang w:val="fr-FR"/>
        </w:rPr>
        <w:t>Le bon état des masses d’eau et la bonne gestion des ressources hydriques constituent des priorités pour l’agriculture, car les agriculteurs ont besoin d’eau pour exercer leur activité et ont donc tout intérêt à ce que ces ressources soient utilisées de manière durable.</w:t>
      </w:r>
      <w:r w:rsidRPr="00434E9D">
        <w:rPr>
          <w:b/>
          <w:i/>
          <w:lang w:val="fr-FR"/>
        </w:rPr>
        <w:t xml:space="preserve"> </w:t>
      </w:r>
      <w:r w:rsidRPr="00434E9D">
        <w:rPr>
          <w:b/>
          <w:lang w:val="fr-FR"/>
        </w:rPr>
        <w:t xml:space="preserve"> [Am. 10]</w:t>
      </w:r>
    </w:p>
    <w:p w14:paraId="2EC00CB3" w14:textId="77777777" w:rsidR="008C3DE0" w:rsidRPr="00434E9D" w:rsidRDefault="00067EED" w:rsidP="008C3DE0">
      <w:pPr>
        <w:pStyle w:val="Considrant"/>
        <w:rPr>
          <w:b/>
          <w:lang w:val="fr-FR"/>
        </w:rPr>
      </w:pPr>
      <w:r w:rsidRPr="00434E9D">
        <w:rPr>
          <w:b/>
          <w:i/>
          <w:lang w:val="fr-FR"/>
        </w:rPr>
        <w:t>(1 nonies</w:t>
      </w:r>
      <w:r w:rsidR="008C3DE0" w:rsidRPr="00434E9D">
        <w:rPr>
          <w:b/>
          <w:i/>
          <w:lang w:val="fr-FR"/>
        </w:rPr>
        <w:t>)</w:t>
      </w:r>
      <w:r w:rsidR="008C3DE0" w:rsidRPr="00434E9D">
        <w:rPr>
          <w:lang w:val="fr-FR"/>
        </w:rPr>
        <w:tab/>
      </w:r>
      <w:r w:rsidR="008C3DE0" w:rsidRPr="00434E9D">
        <w:rPr>
          <w:b/>
          <w:i/>
          <w:lang w:val="fr-FR"/>
        </w:rPr>
        <w:t>Afin de faciliter la transition vers un secteur agricole plus durable, plus productif et résiliant face aux contraintes hydriques, des incitations devraient être mises en place pour encourager les agriculteurs à améliorer leur gestion de l’eau et à moderniser leurs techniques et leurs systèmes d’irrigation.</w:t>
      </w:r>
      <w:r w:rsidRPr="00434E9D">
        <w:rPr>
          <w:b/>
          <w:i/>
          <w:lang w:val="fr-FR"/>
        </w:rPr>
        <w:t xml:space="preserve"> </w:t>
      </w:r>
      <w:r w:rsidRPr="00434E9D">
        <w:rPr>
          <w:b/>
          <w:lang w:val="fr-FR"/>
        </w:rPr>
        <w:t xml:space="preserve"> [Am. 11]</w:t>
      </w:r>
    </w:p>
    <w:p w14:paraId="18B40D97" w14:textId="77777777" w:rsidR="00067EED" w:rsidRPr="00434E9D" w:rsidRDefault="00067EED">
      <w:pPr>
        <w:widowControl/>
        <w:rPr>
          <w:b/>
          <w:i/>
          <w:szCs w:val="24"/>
          <w:lang w:eastAsia="en-US"/>
        </w:rPr>
      </w:pPr>
      <w:r w:rsidRPr="00434E9D">
        <w:rPr>
          <w:b/>
          <w:i/>
        </w:rPr>
        <w:br w:type="page"/>
      </w:r>
    </w:p>
    <w:p w14:paraId="4E7A162C" w14:textId="77777777" w:rsidR="008C3DE0" w:rsidRPr="00434E9D" w:rsidRDefault="00067EED" w:rsidP="008C3DE0">
      <w:pPr>
        <w:pStyle w:val="Considrant"/>
        <w:rPr>
          <w:b/>
          <w:lang w:val="fr-FR"/>
        </w:rPr>
      </w:pPr>
      <w:r w:rsidRPr="00434E9D">
        <w:rPr>
          <w:b/>
          <w:i/>
          <w:lang w:val="fr-FR"/>
        </w:rPr>
        <w:lastRenderedPageBreak/>
        <w:t>(1 decies</w:t>
      </w:r>
      <w:r w:rsidR="008C3DE0" w:rsidRPr="00434E9D">
        <w:rPr>
          <w:b/>
          <w:i/>
          <w:lang w:val="fr-FR"/>
        </w:rPr>
        <w:t>)</w:t>
      </w:r>
      <w:r w:rsidR="008C3DE0" w:rsidRPr="00434E9D">
        <w:rPr>
          <w:lang w:val="fr-FR"/>
        </w:rPr>
        <w:tab/>
      </w:r>
      <w:r w:rsidR="008C3DE0" w:rsidRPr="00434E9D">
        <w:rPr>
          <w:b/>
          <w:i/>
          <w:lang w:val="fr-FR"/>
        </w:rPr>
        <w:t xml:space="preserve">Les pesticides peuvent avoir une grave incidence sur la quantité et la qualité des eaux, et donc des effets négatifs sur la biodiversité terrestre et aquatique. Il est donc approprié de surveiller les effets des pesticides et de leurs métabolites sur les masses d’eau, ainsi que le sort </w:t>
      </w:r>
      <w:proofErr w:type="spellStart"/>
      <w:r w:rsidR="008C3DE0" w:rsidRPr="00434E9D">
        <w:rPr>
          <w:b/>
          <w:i/>
          <w:lang w:val="fr-FR"/>
        </w:rPr>
        <w:t>écotoxicologique</w:t>
      </w:r>
      <w:proofErr w:type="spellEnd"/>
      <w:r w:rsidR="008C3DE0" w:rsidRPr="00434E9D">
        <w:rPr>
          <w:b/>
          <w:i/>
          <w:lang w:val="fr-FR"/>
        </w:rPr>
        <w:t xml:space="preserve"> qui leur y est réservé.</w:t>
      </w:r>
      <w:r w:rsidRPr="00434E9D">
        <w:rPr>
          <w:b/>
          <w:i/>
          <w:lang w:val="fr-FR"/>
        </w:rPr>
        <w:t xml:space="preserve"> </w:t>
      </w:r>
      <w:r w:rsidRPr="00434E9D">
        <w:rPr>
          <w:b/>
          <w:lang w:val="fr-FR"/>
        </w:rPr>
        <w:t xml:space="preserve"> [Am. 12]</w:t>
      </w:r>
    </w:p>
    <w:p w14:paraId="3CB1784A" w14:textId="77777777" w:rsidR="008C3DE0" w:rsidRPr="00434E9D" w:rsidRDefault="00067EED" w:rsidP="008C3DE0">
      <w:pPr>
        <w:pStyle w:val="Considrant"/>
        <w:rPr>
          <w:b/>
          <w:lang w:val="fr-FR"/>
        </w:rPr>
      </w:pPr>
      <w:r w:rsidRPr="00434E9D">
        <w:rPr>
          <w:b/>
          <w:i/>
          <w:lang w:val="fr-FR"/>
        </w:rPr>
        <w:t>(1 undecies</w:t>
      </w:r>
      <w:r w:rsidR="008C3DE0" w:rsidRPr="00434E9D">
        <w:rPr>
          <w:b/>
          <w:i/>
          <w:lang w:val="fr-FR"/>
        </w:rPr>
        <w:t>)</w:t>
      </w:r>
      <w:r w:rsidR="008C3DE0" w:rsidRPr="00434E9D">
        <w:rPr>
          <w:lang w:val="fr-FR"/>
        </w:rPr>
        <w:tab/>
      </w:r>
      <w:r w:rsidR="008C3DE0" w:rsidRPr="00434E9D">
        <w:rPr>
          <w:b/>
          <w:i/>
          <w:lang w:val="fr-FR"/>
        </w:rPr>
        <w:t>Il est essentiel de tenir compte des efforts déployés jusqu’ici dans des secteurs tels que l’agriculture, où la contamination phytosanitaire a déjà été réduite de 14 % par rapport à la période 2015-2017 et de 26 % si l’on considère les polluants les plus dangereux. Les chiffres montrent donc une réduction continue de l’utilisation de produits chimiques et des risques qu’ils présentent, 2020 étant la deuxième année consécutive durant laquelle une réduction considérable de l’utilisation de pesticides, en particulier des plus dangereux, a pu être observée</w:t>
      </w:r>
      <w:r w:rsidR="008C3DE0" w:rsidRPr="00434E9D">
        <w:rPr>
          <w:rStyle w:val="FootnoteReference"/>
        </w:rPr>
        <w:footnoteReference w:id="9"/>
      </w:r>
      <w:r w:rsidR="008C3DE0" w:rsidRPr="00434E9D">
        <w:rPr>
          <w:b/>
          <w:i/>
          <w:lang w:val="fr-FR"/>
        </w:rPr>
        <w:t>.</w:t>
      </w:r>
      <w:r w:rsidRPr="00434E9D">
        <w:rPr>
          <w:b/>
          <w:i/>
          <w:lang w:val="fr-FR"/>
        </w:rPr>
        <w:t xml:space="preserve"> </w:t>
      </w:r>
      <w:r w:rsidRPr="00434E9D">
        <w:rPr>
          <w:b/>
          <w:lang w:val="fr-FR"/>
        </w:rPr>
        <w:t xml:space="preserve"> [Am. 13]</w:t>
      </w:r>
    </w:p>
    <w:p w14:paraId="7F6094B5" w14:textId="77777777" w:rsidR="00067EED" w:rsidRPr="00434E9D" w:rsidRDefault="00067EED">
      <w:pPr>
        <w:widowControl/>
        <w:rPr>
          <w:b/>
          <w:i/>
          <w:szCs w:val="24"/>
          <w:lang w:eastAsia="en-US"/>
        </w:rPr>
      </w:pPr>
      <w:r w:rsidRPr="00434E9D">
        <w:rPr>
          <w:b/>
          <w:i/>
        </w:rPr>
        <w:br w:type="page"/>
      </w:r>
    </w:p>
    <w:p w14:paraId="3735DE30" w14:textId="77777777" w:rsidR="008C3DE0" w:rsidRPr="00434E9D" w:rsidRDefault="00067EED" w:rsidP="008C3DE0">
      <w:pPr>
        <w:pStyle w:val="Considrant"/>
        <w:rPr>
          <w:b/>
          <w:lang w:val="fr-FR"/>
        </w:rPr>
      </w:pPr>
      <w:r w:rsidRPr="00434E9D">
        <w:rPr>
          <w:b/>
          <w:i/>
          <w:lang w:val="fr-FR"/>
        </w:rPr>
        <w:lastRenderedPageBreak/>
        <w:t>(1 duodecies</w:t>
      </w:r>
      <w:r w:rsidR="008C3DE0" w:rsidRPr="00434E9D">
        <w:rPr>
          <w:b/>
          <w:i/>
          <w:lang w:val="fr-FR"/>
        </w:rPr>
        <w:t>)</w:t>
      </w:r>
      <w:r w:rsidR="008C3DE0" w:rsidRPr="00434E9D">
        <w:rPr>
          <w:lang w:val="fr-FR"/>
        </w:rPr>
        <w:tab/>
      </w:r>
      <w:r w:rsidR="008C3DE0" w:rsidRPr="00434E9D">
        <w:rPr>
          <w:b/>
          <w:i/>
          <w:lang w:val="fr-FR"/>
        </w:rPr>
        <w:t>La pollution chimique des eaux de surface et des eaux souterraines constitue également une menace pour l’agriculture puisqu’elle limite la quantité disponible d’eau adaptée à l’irrigation, ce qui aggrave plus encore le problème de la rareté de l’eau. Par conséquent, l’Union et les États membres devraient accroître le soutien à la recherche et à l’innovation afin de déployer rapidement des solutions à la pollution et à la rareté des eaux de surfaces et des eaux souterraines, ces solutions comprenant la transition numérique, l’agriculture de précision, la modernisation et l’optimisation de l’irrigation ainsi qu’une utilisation circulaire des ressources, avec pour objectif d’arriver à une gestion de l’eau améliorée et résiliente face au changement climatique, d’appliquer des pesticides et des engrais sur les cultures de façon plus ciblée, de trouver des solutions de substitution aux intrants agricoles moins polluantes et plus sûres, de privilégier des variétés de cultures plus résistantes et plus performantes pour ce qui est des nutriments ainsi que de rendre plus fréquente l’irrigation des cultures au moyen des eaux usées traitées. Une telle démarche contribuerait à rendre le système alimentaire de l’Union durable et résilient, tout en réduisant la pollution diffuse issue de l’agriculture et le besoin de captage de l’eau à des fins agricoles.</w:t>
      </w:r>
      <w:r w:rsidRPr="00434E9D">
        <w:rPr>
          <w:b/>
          <w:i/>
          <w:lang w:val="fr-FR"/>
        </w:rPr>
        <w:t xml:space="preserve"> </w:t>
      </w:r>
      <w:r w:rsidRPr="00434E9D">
        <w:rPr>
          <w:b/>
          <w:lang w:val="fr-FR"/>
        </w:rPr>
        <w:t xml:space="preserve"> [Am. 14]</w:t>
      </w:r>
    </w:p>
    <w:p w14:paraId="2899A9C9" w14:textId="77777777" w:rsidR="00067EED" w:rsidRPr="00434E9D" w:rsidRDefault="00067EED">
      <w:pPr>
        <w:widowControl/>
        <w:rPr>
          <w:szCs w:val="24"/>
          <w:lang w:eastAsia="en-US"/>
        </w:rPr>
      </w:pPr>
      <w:r w:rsidRPr="00434E9D">
        <w:br w:type="page"/>
      </w:r>
    </w:p>
    <w:p w14:paraId="2A134F66" w14:textId="77777777" w:rsidR="008C3DE0" w:rsidRPr="00434E9D" w:rsidRDefault="008C3DE0" w:rsidP="008C3DE0">
      <w:pPr>
        <w:pStyle w:val="Considrant"/>
        <w:rPr>
          <w:lang w:val="fr-FR"/>
        </w:rPr>
      </w:pPr>
      <w:r w:rsidRPr="00434E9D">
        <w:rPr>
          <w:lang w:val="fr-FR"/>
        </w:rPr>
        <w:lastRenderedPageBreak/>
        <w:t>(2)</w:t>
      </w:r>
      <w:r w:rsidRPr="00434E9D">
        <w:rPr>
          <w:lang w:val="fr-FR"/>
        </w:rPr>
        <w:tab/>
        <w:t>Aux termes de l’article 191, paragraphe 2, deuxième phrase, du traité sur le fonctionnement de l’Union européenne (TFUE), la politique de l’Union dans le domaine de l’environnement est fondée sur les principes de précaution et d’action préventive, sur le principe de la correction, par priorité à la source, des atteintes à l’environnement et sur le principe du «pollueur payeur».</w:t>
      </w:r>
    </w:p>
    <w:p w14:paraId="41D9CB8E" w14:textId="77777777" w:rsidR="008C3DE0" w:rsidRPr="00434E9D" w:rsidRDefault="008C3DE0" w:rsidP="008C3DE0">
      <w:pPr>
        <w:pStyle w:val="Considrant"/>
        <w:rPr>
          <w:b/>
          <w:lang w:val="fr-FR"/>
        </w:rPr>
      </w:pPr>
      <w:r w:rsidRPr="00434E9D">
        <w:rPr>
          <w:b/>
          <w:i/>
          <w:lang w:val="fr-FR"/>
        </w:rPr>
        <w:t>(2 bis)</w:t>
      </w:r>
      <w:r w:rsidRPr="00434E9D">
        <w:rPr>
          <w:b/>
          <w:i/>
          <w:lang w:val="fr-FR"/>
        </w:rPr>
        <w:tab/>
        <w:t>Lorsqu’elle s’efforce d’atteindre un haut niveau de protection environnementale et de mettre en œuvre son plan d’action «zéro pollution», l’Union devrait tenir compte de la pluralité des situations dans ses différentes régions, de l’incidence de sa politique sur la sécurité alimentaire, sur la production alimentaire et sur le caractère abordable des denrées alimentaires, ainsi que sur les régimes alimentaires sains et durables.</w:t>
      </w:r>
      <w:r w:rsidR="00067EED" w:rsidRPr="00434E9D">
        <w:rPr>
          <w:b/>
          <w:i/>
          <w:lang w:val="fr-FR"/>
        </w:rPr>
        <w:t xml:space="preserve"> </w:t>
      </w:r>
      <w:r w:rsidR="00067EED" w:rsidRPr="00434E9D">
        <w:rPr>
          <w:b/>
          <w:lang w:val="fr-FR"/>
        </w:rPr>
        <w:t xml:space="preserve"> [Am. 15]</w:t>
      </w:r>
    </w:p>
    <w:p w14:paraId="5B62D5B5" w14:textId="77777777" w:rsidR="00067EED" w:rsidRPr="00434E9D" w:rsidRDefault="00067EED">
      <w:pPr>
        <w:widowControl/>
        <w:rPr>
          <w:szCs w:val="24"/>
          <w:lang w:eastAsia="en-US"/>
        </w:rPr>
      </w:pPr>
      <w:r w:rsidRPr="00434E9D">
        <w:br w:type="page"/>
      </w:r>
    </w:p>
    <w:p w14:paraId="79AD79C3" w14:textId="77777777" w:rsidR="008C3DE0" w:rsidRPr="00434E9D" w:rsidRDefault="008C3DE0" w:rsidP="008C3DE0">
      <w:pPr>
        <w:pStyle w:val="Considrant"/>
        <w:rPr>
          <w:lang w:val="fr-FR"/>
        </w:rPr>
      </w:pPr>
      <w:r w:rsidRPr="00434E9D">
        <w:rPr>
          <w:lang w:val="fr-FR"/>
        </w:rPr>
        <w:lastRenderedPageBreak/>
        <w:t>(3)</w:t>
      </w:r>
      <w:r w:rsidRPr="00434E9D">
        <w:rPr>
          <w:lang w:val="fr-FR"/>
        </w:rPr>
        <w:tab/>
        <w:t>Le pacte vert pour l’Europe</w:t>
      </w:r>
      <w:r w:rsidRPr="00434E9D">
        <w:rPr>
          <w:rStyle w:val="FootnoteReference"/>
        </w:rPr>
        <w:footnoteReference w:id="10"/>
      </w:r>
      <w:r w:rsidRPr="00434E9D">
        <w:rPr>
          <w:lang w:val="fr-FR"/>
        </w:rPr>
        <w:t xml:space="preserve"> est la stratégie de l’Union pour garantir, d’ici à 2050, une économie neutre pour le climat, propre et circulaire, qui optimise la gestion des ressources tout en limitant la pollution. La stratégie pour la durabilité dans le domaine des produits chimiques</w:t>
      </w:r>
      <w:r w:rsidRPr="00434E9D">
        <w:rPr>
          <w:rStyle w:val="FootnoteReference"/>
        </w:rPr>
        <w:footnoteReference w:id="11"/>
      </w:r>
      <w:r w:rsidRPr="00434E9D">
        <w:rPr>
          <w:lang w:val="fr-FR"/>
        </w:rPr>
        <w:t xml:space="preserve"> et le plan d’action «zéro pollution»</w:t>
      </w:r>
      <w:r w:rsidRPr="00434E9D">
        <w:rPr>
          <w:rStyle w:val="FootnoteReference"/>
        </w:rPr>
        <w:footnoteReference w:id="12"/>
      </w:r>
      <w:r w:rsidRPr="00434E9D">
        <w:rPr>
          <w:lang w:val="fr-FR"/>
        </w:rPr>
        <w:t xml:space="preserve"> traitent spécifiquement des aspects du pacte vert pour l’Europe liés à la pollution. Parmi les autres politiques particulièrement pertinentes et complémentaires figurent la stratégie sur les matières plastiques de 2018</w:t>
      </w:r>
      <w:r w:rsidRPr="00434E9D">
        <w:rPr>
          <w:rStyle w:val="FootnoteReference"/>
        </w:rPr>
        <w:footnoteReference w:id="13"/>
      </w:r>
      <w:r w:rsidRPr="00434E9D">
        <w:rPr>
          <w:lang w:val="fr-FR"/>
        </w:rPr>
        <w:t>, la stratégie pharmaceutique pour l’Europe de 2021</w:t>
      </w:r>
      <w:r w:rsidRPr="00434E9D">
        <w:rPr>
          <w:rStyle w:val="FootnoteReference"/>
        </w:rPr>
        <w:footnoteReference w:id="14"/>
      </w:r>
      <w:r w:rsidRPr="00434E9D">
        <w:rPr>
          <w:lang w:val="fr-FR"/>
        </w:rPr>
        <w:t>, la stratégie en faveur de la biodiversité</w:t>
      </w:r>
      <w:r w:rsidRPr="00434E9D">
        <w:rPr>
          <w:rStyle w:val="FootnoteReference"/>
        </w:rPr>
        <w:footnoteReference w:id="15"/>
      </w:r>
      <w:r w:rsidRPr="00434E9D">
        <w:rPr>
          <w:lang w:val="fr-FR"/>
        </w:rPr>
        <w:t>, la stratégie «De la ferme à la table»</w:t>
      </w:r>
      <w:r w:rsidRPr="00434E9D">
        <w:rPr>
          <w:rStyle w:val="FootnoteReference"/>
        </w:rPr>
        <w:footnoteReference w:id="16"/>
      </w:r>
      <w:r w:rsidRPr="00434E9D">
        <w:rPr>
          <w:lang w:val="fr-FR"/>
        </w:rPr>
        <w:t>, la stratégie de l’UE pour la protection des sols à l’horizon 2030</w:t>
      </w:r>
      <w:r w:rsidRPr="00434E9D">
        <w:rPr>
          <w:rStyle w:val="FootnoteReference"/>
        </w:rPr>
        <w:footnoteReference w:id="17"/>
      </w:r>
      <w:r w:rsidRPr="00434E9D">
        <w:rPr>
          <w:lang w:val="fr-FR"/>
        </w:rPr>
        <w:t>, la stratégie numérique de l’Union</w:t>
      </w:r>
      <w:r w:rsidRPr="00434E9D">
        <w:rPr>
          <w:rStyle w:val="FootnoteReference"/>
        </w:rPr>
        <w:footnoteReference w:id="18"/>
      </w:r>
      <w:r w:rsidRPr="00434E9D">
        <w:rPr>
          <w:lang w:val="fr-FR"/>
        </w:rPr>
        <w:t xml:space="preserve"> et la stratégie de l’Union pour les données</w:t>
      </w:r>
      <w:r w:rsidRPr="00434E9D">
        <w:rPr>
          <w:rStyle w:val="FootnoteReference"/>
        </w:rPr>
        <w:footnoteReference w:id="19"/>
      </w:r>
      <w:r w:rsidRPr="00434E9D">
        <w:rPr>
          <w:lang w:val="fr-FR"/>
        </w:rPr>
        <w:t>.</w:t>
      </w:r>
    </w:p>
    <w:p w14:paraId="0F251518" w14:textId="77777777" w:rsidR="008C3DE0" w:rsidRPr="00434E9D" w:rsidRDefault="00067EED" w:rsidP="008C3DE0">
      <w:pPr>
        <w:pStyle w:val="Considrant"/>
        <w:rPr>
          <w:b/>
          <w:lang w:val="fr-FR"/>
        </w:rPr>
      </w:pPr>
      <w:r w:rsidRPr="00434E9D">
        <w:rPr>
          <w:b/>
          <w:i/>
          <w:lang w:val="fr-FR"/>
        </w:rPr>
        <w:lastRenderedPageBreak/>
        <w:t>(3 bis</w:t>
      </w:r>
      <w:r w:rsidR="008C3DE0" w:rsidRPr="00434E9D">
        <w:rPr>
          <w:b/>
          <w:i/>
          <w:lang w:val="fr-FR"/>
        </w:rPr>
        <w:t>)</w:t>
      </w:r>
      <w:r w:rsidR="008C3DE0" w:rsidRPr="00434E9D">
        <w:rPr>
          <w:lang w:val="fr-FR"/>
        </w:rPr>
        <w:tab/>
      </w:r>
      <w:r w:rsidR="008C3DE0" w:rsidRPr="00434E9D">
        <w:rPr>
          <w:b/>
          <w:i/>
          <w:lang w:val="fr-FR"/>
        </w:rPr>
        <w:t>Les objectifs consistant à atteindre le «bon état des masses d’eau» et à garantir la disponibilité de l’eau sont transversaux et ne sont souvent pas poursuivis de manière suffisamment cohérente. Une bonne gestion de l’eau devrait être intégrée à toutes les politiques de l’Union qui concernent les secteurs consommateurs d’eau.</w:t>
      </w:r>
      <w:r w:rsidRPr="00434E9D">
        <w:rPr>
          <w:b/>
          <w:i/>
          <w:lang w:val="fr-FR"/>
        </w:rPr>
        <w:t xml:space="preserve"> </w:t>
      </w:r>
      <w:r w:rsidRPr="00434E9D">
        <w:rPr>
          <w:b/>
          <w:lang w:val="fr-FR"/>
        </w:rPr>
        <w:t xml:space="preserve"> [Am. 16]</w:t>
      </w:r>
    </w:p>
    <w:p w14:paraId="1CA6F8E3" w14:textId="77777777" w:rsidR="008C3DE0" w:rsidRPr="00434E9D" w:rsidRDefault="00067EED" w:rsidP="008C3DE0">
      <w:pPr>
        <w:pStyle w:val="Considrant"/>
        <w:rPr>
          <w:b/>
          <w:lang w:val="fr-FR"/>
        </w:rPr>
      </w:pPr>
      <w:r w:rsidRPr="00434E9D">
        <w:rPr>
          <w:b/>
          <w:i/>
          <w:lang w:val="fr-FR"/>
        </w:rPr>
        <w:t>(3 ter</w:t>
      </w:r>
      <w:r w:rsidR="008C3DE0" w:rsidRPr="00434E9D">
        <w:rPr>
          <w:b/>
          <w:i/>
          <w:lang w:val="fr-FR"/>
        </w:rPr>
        <w:t>)</w:t>
      </w:r>
      <w:r w:rsidR="008C3DE0" w:rsidRPr="00434E9D">
        <w:rPr>
          <w:lang w:val="fr-FR"/>
        </w:rPr>
        <w:tab/>
      </w:r>
      <w:r w:rsidR="008C3DE0" w:rsidRPr="00434E9D">
        <w:rPr>
          <w:b/>
          <w:i/>
          <w:lang w:val="fr-FR"/>
        </w:rPr>
        <w:t>Le bilan de qualité a indiqué qu’il était nécessaire de mieux intégrer à la politique agricole les objectifs en matière d’eau. La nouvelle PAC comporte des mesures qui assurent une gestion de l’eau plus durable. Afin d’avoir des politiques en matière d’eau et d’agriculture plus cohérentes, les États membres devraient tirer pleinement parti des possibilités offertes par la nouvelle PAC, intégrer entièrement à leurs plans stratégiques les enjeux liés à l’eau, notamment l’utilisation des systèmes de connaissances et d’innovation agricoles (SCIA), et faciliter le développement de services de conseil pour encourager l’adoption de bonnes pratiques de gestion de l’eau.</w:t>
      </w:r>
      <w:r w:rsidRPr="00434E9D">
        <w:rPr>
          <w:b/>
          <w:i/>
          <w:lang w:val="fr-FR"/>
        </w:rPr>
        <w:t xml:space="preserve"> </w:t>
      </w:r>
      <w:r w:rsidRPr="00434E9D">
        <w:rPr>
          <w:b/>
          <w:lang w:val="fr-FR"/>
        </w:rPr>
        <w:t xml:space="preserve"> [Am. 17]</w:t>
      </w:r>
    </w:p>
    <w:p w14:paraId="4CA6D4A9" w14:textId="77777777" w:rsidR="00067EED" w:rsidRPr="00434E9D" w:rsidRDefault="00067EED">
      <w:pPr>
        <w:widowControl/>
        <w:rPr>
          <w:szCs w:val="24"/>
          <w:lang w:eastAsia="en-US"/>
        </w:rPr>
      </w:pPr>
      <w:r w:rsidRPr="00434E9D">
        <w:br w:type="page"/>
      </w:r>
    </w:p>
    <w:p w14:paraId="37393A13" w14:textId="77777777" w:rsidR="008C3DE0" w:rsidRPr="00434E9D" w:rsidRDefault="008C3DE0" w:rsidP="008C3DE0">
      <w:pPr>
        <w:pStyle w:val="Considrant"/>
        <w:rPr>
          <w:b/>
          <w:lang w:val="fr-FR"/>
        </w:rPr>
      </w:pPr>
      <w:r w:rsidRPr="00434E9D">
        <w:rPr>
          <w:lang w:val="fr-FR"/>
        </w:rPr>
        <w:lastRenderedPageBreak/>
        <w:t>(4)</w:t>
      </w:r>
      <w:r w:rsidRPr="00434E9D">
        <w:rPr>
          <w:lang w:val="fr-FR"/>
        </w:rPr>
        <w:tab/>
        <w:t>La directive 2000/60/CE du Parlement européen et du Conseil</w:t>
      </w:r>
      <w:r w:rsidRPr="00434E9D">
        <w:rPr>
          <w:rStyle w:val="FootnoteReference"/>
        </w:rPr>
        <w:footnoteReference w:id="20"/>
      </w:r>
      <w:r w:rsidRPr="00434E9D">
        <w:rPr>
          <w:lang w:val="fr-FR"/>
        </w:rPr>
        <w:t xml:space="preserve"> établit un cadre pour la protection des eaux de surface intérieures, des eaux de transition, des eaux côtières, et des eaux souterraines. Ce cadre suppose de recenser des substances prioritaires parmi celles qui présentent un risque significatif pour ou via l’environnement aquatique au niveau de l’Union. La directive 2008/105/CE du Parlement européen et du Conseil</w:t>
      </w:r>
      <w:r w:rsidRPr="00434E9D">
        <w:rPr>
          <w:rStyle w:val="FootnoteReference"/>
        </w:rPr>
        <w:footnoteReference w:id="21"/>
      </w:r>
      <w:r w:rsidRPr="00434E9D">
        <w:rPr>
          <w:lang w:val="fr-FR"/>
        </w:rPr>
        <w:t xml:space="preserve"> établit des normes de qualité environnementale (NQE) à l’échelle de l’Union pour les 45 substances prioritaires figurant à l’annexe X de la directive 2000/60/CE et huit autres polluants qui étaient déjà réglementés au niveau de l’Union avant que l’annexe X soit introduite par la décision nº 2455/2001/CE du Parlement européen et du Conseil</w:t>
      </w:r>
      <w:r w:rsidRPr="00434E9D">
        <w:rPr>
          <w:rStyle w:val="FootnoteReference"/>
        </w:rPr>
        <w:footnoteReference w:id="22"/>
      </w:r>
      <w:r w:rsidRPr="00434E9D">
        <w:rPr>
          <w:lang w:val="fr-FR"/>
        </w:rPr>
        <w:t>. La directive 2006/118/CE du Parlement européen et du Conseil</w:t>
      </w:r>
      <w:r w:rsidRPr="00434E9D">
        <w:rPr>
          <w:rStyle w:val="FootnoteReference"/>
        </w:rPr>
        <w:footnoteReference w:id="23"/>
      </w:r>
      <w:r w:rsidRPr="00434E9D">
        <w:rPr>
          <w:lang w:val="fr-FR"/>
        </w:rPr>
        <w:t xml:space="preserve"> établit des normes de qualité des eaux souterraines à l’échelle de l’Union pour les nitrates et pour les substances actives dans les pesticides et des critères en vue d’établir des valeurs seuils nationales pour d’autres polluants des eaux souterraines. Elle dresse également une liste minimale de 12 polluants et de leurs indicateurs pour lesquels les États membres sont tenus d’</w:t>
      </w:r>
      <w:r w:rsidRPr="00434E9D">
        <w:rPr>
          <w:strike/>
          <w:lang w:val="fr-FR"/>
        </w:rPr>
        <w:t>envisager d’</w:t>
      </w:r>
      <w:r w:rsidRPr="00434E9D">
        <w:rPr>
          <w:b/>
          <w:i/>
          <w:lang w:val="fr-FR"/>
        </w:rPr>
        <w:t>établir</w:t>
      </w:r>
      <w:r w:rsidRPr="00434E9D">
        <w:rPr>
          <w:lang w:val="fr-FR"/>
        </w:rPr>
        <w:t xml:space="preserve"> de telles valeurs seuils nationales. Les normes de qualité des eaux souterraines sont énoncées à l’annexe I de la directive 2006/118/CE.</w:t>
      </w:r>
      <w:r w:rsidR="00067EED" w:rsidRPr="00434E9D">
        <w:rPr>
          <w:lang w:val="fr-FR"/>
        </w:rPr>
        <w:t xml:space="preserve"> </w:t>
      </w:r>
      <w:r w:rsidR="00067EED" w:rsidRPr="00434E9D">
        <w:rPr>
          <w:b/>
          <w:lang w:val="fr-FR"/>
        </w:rPr>
        <w:t xml:space="preserve"> [Am. 18]</w:t>
      </w:r>
    </w:p>
    <w:p w14:paraId="2975CD36" w14:textId="77777777" w:rsidR="00067EED" w:rsidRPr="00434E9D" w:rsidRDefault="00067EED">
      <w:pPr>
        <w:widowControl/>
        <w:rPr>
          <w:b/>
          <w:i/>
          <w:szCs w:val="24"/>
          <w:lang w:eastAsia="en-US"/>
        </w:rPr>
      </w:pPr>
      <w:r w:rsidRPr="00434E9D">
        <w:rPr>
          <w:b/>
          <w:i/>
        </w:rPr>
        <w:br w:type="page"/>
      </w:r>
    </w:p>
    <w:p w14:paraId="274E5015" w14:textId="77777777" w:rsidR="008C3DE0" w:rsidRPr="00434E9D" w:rsidRDefault="00067EED" w:rsidP="008C3DE0">
      <w:pPr>
        <w:pStyle w:val="Considrant"/>
        <w:rPr>
          <w:b/>
          <w:lang w:val="fr-FR"/>
        </w:rPr>
      </w:pPr>
      <w:r w:rsidRPr="00434E9D">
        <w:rPr>
          <w:b/>
          <w:i/>
          <w:lang w:val="fr-FR"/>
        </w:rPr>
        <w:lastRenderedPageBreak/>
        <w:t>(4 bis</w:t>
      </w:r>
      <w:r w:rsidR="008C3DE0" w:rsidRPr="00434E9D">
        <w:rPr>
          <w:b/>
          <w:i/>
          <w:lang w:val="fr-FR"/>
        </w:rPr>
        <w:t>)</w:t>
      </w:r>
      <w:r w:rsidR="008C3DE0" w:rsidRPr="00434E9D">
        <w:rPr>
          <w:lang w:val="fr-FR"/>
        </w:rPr>
        <w:tab/>
      </w:r>
      <w:r w:rsidR="008C3DE0" w:rsidRPr="00434E9D">
        <w:rPr>
          <w:b/>
          <w:i/>
          <w:lang w:val="fr-FR"/>
        </w:rPr>
        <w:t>Les États membres devraient veiller à ce que la pollution par le rejet, l’émission ou la perte de substances dangereuses prioritaires cesse ou soit progressivement éliminée dans un délai approprié et, en tout état de cause, au plus tard 20 ans après qu’une substance prioritaire a été classée comme dangereuse à l’annexe I, partie A, de la directive 2008/105/CE. Ce délai devrait être respecté sans préjudice de l’application de délais plus stricts prévus par toute autre législation applicable de l’Union.</w:t>
      </w:r>
      <w:r w:rsidRPr="00434E9D">
        <w:rPr>
          <w:b/>
          <w:i/>
          <w:lang w:val="fr-FR"/>
        </w:rPr>
        <w:t xml:space="preserve"> </w:t>
      </w:r>
      <w:r w:rsidRPr="00434E9D">
        <w:rPr>
          <w:b/>
          <w:lang w:val="fr-FR"/>
        </w:rPr>
        <w:t xml:space="preserve"> [Am. 19]</w:t>
      </w:r>
    </w:p>
    <w:p w14:paraId="026309B4" w14:textId="77777777" w:rsidR="008C3DE0" w:rsidRPr="00434E9D" w:rsidRDefault="008C3DE0" w:rsidP="008C3DE0">
      <w:pPr>
        <w:pStyle w:val="Considrant"/>
        <w:rPr>
          <w:b/>
          <w:lang w:val="fr-FR"/>
        </w:rPr>
      </w:pPr>
      <w:r w:rsidRPr="00434E9D">
        <w:rPr>
          <w:lang w:val="fr-FR"/>
        </w:rPr>
        <w:t>(5)</w:t>
      </w:r>
      <w:r w:rsidRPr="00434E9D">
        <w:rPr>
          <w:lang w:val="fr-FR"/>
        </w:rPr>
        <w:tab/>
        <w:t xml:space="preserve">Les substances sont envisagées en vue d’une inscription sur la liste de l’annexe X de la directive 2000/60/CE ou de l’annexe I ou de l’annexe II de la directive 2006/118/CE sur la base d’une évaluation du risque qu’elles présentent pour les êtres humains et pour l’environnement aquatique. Les éléments essentiels de cette évaluation sont la connaissance des concentrations des substances dans l’environnement, y compris les informations recueillies à partir de la surveillance au titre de la liste de vigilance, et de la toxicologie (ou écotoxicologie) des substances, ainsi que de leur persistance, leur bioaccumulation, leur </w:t>
      </w:r>
      <w:r w:rsidRPr="00434E9D">
        <w:rPr>
          <w:b/>
          <w:i/>
          <w:lang w:val="fr-FR"/>
        </w:rPr>
        <w:t xml:space="preserve">toxicité, leur mobilité, leur </w:t>
      </w:r>
      <w:r w:rsidRPr="00434E9D">
        <w:rPr>
          <w:lang w:val="fr-FR"/>
        </w:rPr>
        <w:t xml:space="preserve">cancérogénicité, leur mutagénicité, leur </w:t>
      </w:r>
      <w:proofErr w:type="spellStart"/>
      <w:r w:rsidRPr="00434E9D">
        <w:rPr>
          <w:lang w:val="fr-FR"/>
        </w:rPr>
        <w:t>reprotoxicité</w:t>
      </w:r>
      <w:proofErr w:type="spellEnd"/>
      <w:r w:rsidRPr="00434E9D">
        <w:rPr>
          <w:lang w:val="fr-FR"/>
        </w:rPr>
        <w:t xml:space="preserve"> et leur potentiel de perturbation du système endocrinien.</w:t>
      </w:r>
      <w:r w:rsidR="00067EED" w:rsidRPr="00434E9D">
        <w:rPr>
          <w:lang w:val="fr-FR"/>
        </w:rPr>
        <w:t xml:space="preserve"> </w:t>
      </w:r>
      <w:r w:rsidR="00067EED" w:rsidRPr="00434E9D">
        <w:rPr>
          <w:b/>
          <w:lang w:val="fr-FR"/>
        </w:rPr>
        <w:t xml:space="preserve"> [Am. 20]</w:t>
      </w:r>
    </w:p>
    <w:p w14:paraId="2C77EA3A" w14:textId="77777777" w:rsidR="00067EED" w:rsidRPr="00434E9D" w:rsidRDefault="00067EED">
      <w:pPr>
        <w:widowControl/>
        <w:rPr>
          <w:szCs w:val="24"/>
          <w:lang w:eastAsia="en-US"/>
        </w:rPr>
      </w:pPr>
      <w:r w:rsidRPr="00434E9D">
        <w:br w:type="page"/>
      </w:r>
    </w:p>
    <w:p w14:paraId="0F617084" w14:textId="77777777" w:rsidR="008C3DE0" w:rsidRPr="00434E9D" w:rsidRDefault="008C3DE0" w:rsidP="008C3DE0">
      <w:pPr>
        <w:pStyle w:val="Considrant"/>
        <w:rPr>
          <w:lang w:val="fr-FR"/>
        </w:rPr>
      </w:pPr>
      <w:r w:rsidRPr="00434E9D">
        <w:rPr>
          <w:lang w:val="fr-FR"/>
        </w:rPr>
        <w:lastRenderedPageBreak/>
        <w:t>(6)</w:t>
      </w:r>
      <w:r w:rsidRPr="00434E9D">
        <w:rPr>
          <w:lang w:val="fr-FR"/>
        </w:rPr>
        <w:tab/>
        <w:t>La Commission a procédé à un réexamen de la liste des substances prioritaires figurant à l’annexe X de la directive 2000/60/CE conformément à l’article 16, paragraphe 4, de ladite directive et à l’article 8 de la directive 2008/105/CE, et à un réexamen des listes de substances figurant aux annexes I et II de la directive 2006/118/CE conformément à l’article 10 de ladite directive, et a conclu, à la lumière des nouvelles connaissances scientifiques, qu’il y avait lieu de modifier ces listes en y ajoutant de nouvelles substances, en fixant des NQE ou des normes de qualité des eaux souterraines pour ces nouvelles substances, en révisant les NQE pour certaines substances existantes conformément au progrès scientifique, et en fixant des NQE dans le biote pour certaines substances existantes et nouvelles substances. Elle a aussi déterminé quelles substances supplémentaires étaient susceptibles de s’accumuler dans les sédiments ou le biote, et a clarifié qu’un suivi de l’évolution de ces substances devrait être effectué dans les sédiments ou le biote. Le réexamen des listes de substances a été étayé par une large consultation menée auprès d’experts des services de la Commission, des États membres, des groupes de parties prenantes et du comité scientifique des risques sanitaires, environnementaux et émergents.</w:t>
      </w:r>
    </w:p>
    <w:p w14:paraId="28264056" w14:textId="77777777" w:rsidR="00067EED" w:rsidRPr="00434E9D" w:rsidRDefault="00067EED">
      <w:pPr>
        <w:widowControl/>
        <w:rPr>
          <w:szCs w:val="24"/>
          <w:lang w:eastAsia="en-US"/>
        </w:rPr>
      </w:pPr>
      <w:r w:rsidRPr="00434E9D">
        <w:br w:type="page"/>
      </w:r>
    </w:p>
    <w:p w14:paraId="5E7EE88D" w14:textId="77777777" w:rsidR="008C3DE0" w:rsidRPr="00434E9D" w:rsidRDefault="008C3DE0" w:rsidP="008C3DE0">
      <w:pPr>
        <w:pStyle w:val="Considrant"/>
        <w:rPr>
          <w:b/>
          <w:lang w:val="fr-FR"/>
        </w:rPr>
      </w:pPr>
      <w:r w:rsidRPr="00434E9D">
        <w:rPr>
          <w:lang w:val="fr-FR"/>
        </w:rPr>
        <w:lastRenderedPageBreak/>
        <w:t>(7)</w:t>
      </w:r>
      <w:r w:rsidRPr="00434E9D">
        <w:rPr>
          <w:lang w:val="fr-FR"/>
        </w:rPr>
        <w:tab/>
        <w:t xml:space="preserve">Une combinaison de lutte à la source et de mesures en fin de cycle est nécessaire pour lutter efficacement contre la majorité des polluants tout au long de leur cycle de vie, y compris, le cas échéant, la conception chimique, l’autorisation ou l’agrément, le contrôle des émissions au cours de la production et de l’utilisation ou d’autres processus, et la gestion des déchets. La fixation de nouvelles normes de qualité ou de normes de qualité plus strictes dans les masses d’eau complète donc les autres dispositions législatives de l’Union qui traitent ou </w:t>
      </w:r>
      <w:proofErr w:type="spellStart"/>
      <w:r w:rsidRPr="00434E9D">
        <w:rPr>
          <w:strike/>
          <w:lang w:val="fr-FR"/>
        </w:rPr>
        <w:t>pourraient</w:t>
      </w:r>
      <w:r w:rsidRPr="00434E9D">
        <w:rPr>
          <w:b/>
          <w:i/>
          <w:lang w:val="fr-FR"/>
        </w:rPr>
        <w:t>devraient</w:t>
      </w:r>
      <w:proofErr w:type="spellEnd"/>
      <w:r w:rsidRPr="00434E9D">
        <w:rPr>
          <w:lang w:val="fr-FR"/>
        </w:rPr>
        <w:t xml:space="preserve"> traiter du problème de pollution à une ou plusieurs de ces étapes, et est cohérente avec celles-ci, dont le règlement (CE) nº 1907/2006 du Parlement européen et du Conseil</w:t>
      </w:r>
      <w:r w:rsidRPr="00434E9D">
        <w:rPr>
          <w:rStyle w:val="FootnoteReference"/>
        </w:rPr>
        <w:footnoteReference w:id="24"/>
      </w:r>
      <w:r w:rsidRPr="00434E9D">
        <w:rPr>
          <w:lang w:val="fr-FR"/>
        </w:rPr>
        <w:t>, le règlement (CE) nº 1107/2009 du Parlement européen et du Conseil</w:t>
      </w:r>
      <w:r w:rsidRPr="00434E9D">
        <w:rPr>
          <w:rStyle w:val="FootnoteReference"/>
        </w:rPr>
        <w:footnoteReference w:id="25"/>
      </w:r>
      <w:r w:rsidRPr="00434E9D">
        <w:rPr>
          <w:lang w:val="fr-FR"/>
        </w:rPr>
        <w:t>, le règlement (UE) nº 528/2012 du Parlement européen et du Conseil</w:t>
      </w:r>
      <w:r w:rsidRPr="00434E9D">
        <w:rPr>
          <w:rStyle w:val="FootnoteReference"/>
        </w:rPr>
        <w:footnoteReference w:id="26"/>
      </w:r>
      <w:r w:rsidRPr="00434E9D">
        <w:rPr>
          <w:lang w:val="fr-FR"/>
        </w:rPr>
        <w:t>, le règlement (UE) 2019/6 du Parlement européen et du Conseil</w:t>
      </w:r>
      <w:r w:rsidRPr="00434E9D">
        <w:rPr>
          <w:rStyle w:val="FootnoteReference"/>
        </w:rPr>
        <w:footnoteReference w:id="27"/>
      </w:r>
      <w:r w:rsidRPr="00434E9D">
        <w:rPr>
          <w:lang w:val="fr-FR"/>
        </w:rPr>
        <w:t>, la directive 2001/83/CE du Parlement européen et du Conseil</w:t>
      </w:r>
      <w:r w:rsidRPr="00434E9D">
        <w:rPr>
          <w:rStyle w:val="FootnoteReference"/>
        </w:rPr>
        <w:footnoteReference w:id="28"/>
      </w:r>
      <w:r w:rsidRPr="00434E9D">
        <w:rPr>
          <w:lang w:val="fr-FR"/>
        </w:rPr>
        <w:t>, la directive 2009/128/CE du Parlement européen et du Conseil</w:t>
      </w:r>
      <w:r w:rsidRPr="00434E9D">
        <w:rPr>
          <w:rStyle w:val="FootnoteReference"/>
        </w:rPr>
        <w:footnoteReference w:id="29"/>
      </w:r>
      <w:r w:rsidRPr="00434E9D">
        <w:rPr>
          <w:lang w:val="fr-FR"/>
        </w:rPr>
        <w:t>, la directive 2010/75/UE du Parlement européen et du Conseil</w:t>
      </w:r>
      <w:r w:rsidRPr="00434E9D">
        <w:rPr>
          <w:rStyle w:val="FootnoteReference"/>
        </w:rPr>
        <w:footnoteReference w:id="30"/>
      </w:r>
      <w:r w:rsidRPr="00434E9D">
        <w:rPr>
          <w:lang w:val="fr-FR"/>
        </w:rPr>
        <w:t xml:space="preserve"> et la directive 91/271/CEE du Conseil</w:t>
      </w:r>
      <w:r w:rsidRPr="00434E9D">
        <w:rPr>
          <w:rStyle w:val="FootnoteReference"/>
        </w:rPr>
        <w:footnoteReference w:id="31"/>
      </w:r>
      <w:r w:rsidRPr="00434E9D">
        <w:rPr>
          <w:lang w:val="fr-FR"/>
        </w:rPr>
        <w:t>.</w:t>
      </w:r>
      <w:r w:rsidRPr="00434E9D">
        <w:rPr>
          <w:b/>
          <w:i/>
          <w:lang w:val="fr-FR"/>
        </w:rPr>
        <w:t xml:space="preserve"> Pour que les États membres atteignent les objectifs environnementaux énoncés à l’article 4 de la directive 2000/60/CE de la </w:t>
      </w:r>
      <w:r w:rsidRPr="00434E9D">
        <w:rPr>
          <w:b/>
          <w:i/>
          <w:lang w:val="fr-FR"/>
        </w:rPr>
        <w:lastRenderedPageBreak/>
        <w:t>meilleure et la plus économiquement efficace des manières possibles, ils devraient veiller, lors de l’établissement de leurs programmes de mesures, à ce que les mesures de lutte à la source soient prioritaires par rapport aux mesures en fin de cycle et à ce que ces mesures soient conformes à la législation sectorielle pertinente de l’Union en matière de pollution. Lorsque des mesures de lutte à la source risquent de ne pas permettre d’obtenir un bon état écologique des masses d’eau, il convient d’appliquer des mesures en fin de cycle. La Commission devrait définir des orientations en matière de bonnes pratiques pour les mesures de réduction de la pollution à la source et la complémentarité des mesures en fin de cycle.</w:t>
      </w:r>
      <w:r w:rsidR="00067EED" w:rsidRPr="00434E9D">
        <w:rPr>
          <w:b/>
          <w:i/>
          <w:lang w:val="fr-FR"/>
        </w:rPr>
        <w:t xml:space="preserve"> </w:t>
      </w:r>
      <w:r w:rsidR="00067EED" w:rsidRPr="00434E9D">
        <w:rPr>
          <w:b/>
          <w:lang w:val="fr-FR"/>
        </w:rPr>
        <w:t xml:space="preserve"> [Am. 21]</w:t>
      </w:r>
    </w:p>
    <w:p w14:paraId="45AC43BC" w14:textId="77777777" w:rsidR="00067EED" w:rsidRPr="00434E9D" w:rsidRDefault="00067EED">
      <w:pPr>
        <w:widowControl/>
        <w:rPr>
          <w:b/>
          <w:i/>
          <w:szCs w:val="24"/>
          <w:lang w:eastAsia="en-US"/>
        </w:rPr>
      </w:pPr>
      <w:r w:rsidRPr="00434E9D">
        <w:rPr>
          <w:b/>
          <w:i/>
        </w:rPr>
        <w:br w:type="page"/>
      </w:r>
    </w:p>
    <w:p w14:paraId="7CAF6D51" w14:textId="77777777" w:rsidR="008C3DE0" w:rsidRPr="00434E9D" w:rsidRDefault="00067EED" w:rsidP="008C3DE0">
      <w:pPr>
        <w:pStyle w:val="Considrant"/>
        <w:rPr>
          <w:b/>
          <w:lang w:val="fr-FR"/>
        </w:rPr>
      </w:pPr>
      <w:r w:rsidRPr="00434E9D">
        <w:rPr>
          <w:b/>
          <w:i/>
          <w:lang w:val="fr-FR"/>
        </w:rPr>
        <w:lastRenderedPageBreak/>
        <w:t>(7 bis</w:t>
      </w:r>
      <w:r w:rsidR="008C3DE0" w:rsidRPr="00434E9D">
        <w:rPr>
          <w:b/>
          <w:i/>
          <w:lang w:val="fr-FR"/>
        </w:rPr>
        <w:t>)</w:t>
      </w:r>
      <w:r w:rsidR="008C3DE0" w:rsidRPr="00434E9D">
        <w:rPr>
          <w:lang w:val="fr-FR"/>
        </w:rPr>
        <w:tab/>
      </w:r>
      <w:r w:rsidR="008C3DE0" w:rsidRPr="00434E9D">
        <w:rPr>
          <w:b/>
          <w:i/>
          <w:lang w:val="fr-FR"/>
        </w:rPr>
        <w:t>La pollution de l’eau résulte principalement des activités industrielles et agricoles, des rejets d’eaux usées et du ruissellement urbain, y compris des pluies d’orage. Les actions de la Commission et des États membres devraient viser en priorité les mesures de réduction de la pollution à la source, ainsi que leur mise en œuvre. À cette fin, il faudrait assurer une cohérence entre tous les textes législatifs nationaux et de l’Union relatifs aux émissions de polluants à la source pour réduire la pollution à des niveaux qui ne soient plus considérés comme nocifs pour la santé et les écosystèmes naturels.</w:t>
      </w:r>
      <w:r w:rsidRPr="00434E9D">
        <w:rPr>
          <w:b/>
          <w:i/>
          <w:lang w:val="fr-FR"/>
        </w:rPr>
        <w:t xml:space="preserve"> </w:t>
      </w:r>
      <w:r w:rsidRPr="00434E9D">
        <w:rPr>
          <w:b/>
          <w:lang w:val="fr-FR"/>
        </w:rPr>
        <w:t xml:space="preserve"> [Am. 22]</w:t>
      </w:r>
    </w:p>
    <w:p w14:paraId="7101BD73" w14:textId="77777777" w:rsidR="00067EED" w:rsidRPr="00434E9D" w:rsidRDefault="00067EED">
      <w:pPr>
        <w:widowControl/>
        <w:rPr>
          <w:b/>
          <w:i/>
          <w:szCs w:val="24"/>
          <w:lang w:eastAsia="en-US"/>
        </w:rPr>
      </w:pPr>
      <w:r w:rsidRPr="00434E9D">
        <w:rPr>
          <w:b/>
          <w:i/>
        </w:rPr>
        <w:br w:type="page"/>
      </w:r>
    </w:p>
    <w:p w14:paraId="6ACDDCE3" w14:textId="77777777" w:rsidR="008C3DE0" w:rsidRPr="00434E9D" w:rsidRDefault="00067EED" w:rsidP="008C3DE0">
      <w:pPr>
        <w:pStyle w:val="Considrant"/>
        <w:rPr>
          <w:b/>
          <w:lang w:val="fr-FR"/>
        </w:rPr>
      </w:pPr>
      <w:r w:rsidRPr="00434E9D">
        <w:rPr>
          <w:b/>
          <w:i/>
          <w:lang w:val="fr-FR"/>
        </w:rPr>
        <w:lastRenderedPageBreak/>
        <w:t>(7 ter</w:t>
      </w:r>
      <w:r w:rsidR="008C3DE0" w:rsidRPr="00434E9D">
        <w:rPr>
          <w:b/>
          <w:i/>
          <w:lang w:val="fr-FR"/>
        </w:rPr>
        <w:t>)</w:t>
      </w:r>
      <w:r w:rsidR="008C3DE0" w:rsidRPr="00434E9D">
        <w:rPr>
          <w:lang w:val="fr-FR"/>
        </w:rPr>
        <w:tab/>
      </w:r>
      <w:r w:rsidR="008C3DE0" w:rsidRPr="00434E9D">
        <w:rPr>
          <w:b/>
          <w:i/>
          <w:lang w:val="fr-FR"/>
        </w:rPr>
        <w:t>Afin de garantir que la législation consacrée à la prévention de la pollution des eaux de surface et des eaux souterraines est à jour par rapport à l’évolution rapide de substances chimiques nouvelles et émergentes susceptibles, en tant que polluants, de représenter un risque considérable pour la santé humaine et l’environnement aquatique, il convient de renforcer les mécanismes stratégiques de détection et d’évaluation de ces substances émergentes préoccupantes. À cet égard, il conviendrait de concevoir une approche permettant de contrôler et d’analyser les quantités supplémentaires de ces substances ou groupes de substances par rapport aux listes de vigilance pour les eaux de surface et les eaux souterraines. Les substances ou les groupes de substances devant être placées sur la liste de vigilance devraient être choisis parmi les substances qui, au vu des informations disponibles, pourraient présenter au niveau de l’Union un risque significatif pour l’environnement aquatique ou par l’intermédiaire de celui-ci, et pour lesquelles les données de surveillance sont insuffisantes. Le nombre de ces substances ou groupes de substances à surveiller et à analyser dans le cadre des listes de vigilance pour les eaux de surface et les eaux souterraines ne doit pas être limité.</w:t>
      </w:r>
      <w:r w:rsidRPr="00434E9D">
        <w:rPr>
          <w:b/>
          <w:i/>
          <w:lang w:val="fr-FR"/>
        </w:rPr>
        <w:t xml:space="preserve"> </w:t>
      </w:r>
      <w:r w:rsidRPr="00434E9D">
        <w:rPr>
          <w:b/>
          <w:lang w:val="fr-FR"/>
        </w:rPr>
        <w:t xml:space="preserve"> [Am. 23]</w:t>
      </w:r>
    </w:p>
    <w:p w14:paraId="769FD0E5" w14:textId="77777777" w:rsidR="00067EED" w:rsidRPr="00434E9D" w:rsidRDefault="00067EED">
      <w:pPr>
        <w:widowControl/>
        <w:rPr>
          <w:szCs w:val="24"/>
          <w:lang w:eastAsia="en-US"/>
        </w:rPr>
      </w:pPr>
      <w:r w:rsidRPr="00434E9D">
        <w:br w:type="page"/>
      </w:r>
    </w:p>
    <w:p w14:paraId="6C1DD8B3" w14:textId="77777777" w:rsidR="008C3DE0" w:rsidRPr="00434E9D" w:rsidRDefault="008C3DE0" w:rsidP="008C3DE0">
      <w:pPr>
        <w:pStyle w:val="Considrant"/>
        <w:rPr>
          <w:b/>
          <w:lang w:val="fr-FR"/>
        </w:rPr>
      </w:pPr>
      <w:r w:rsidRPr="00434E9D">
        <w:rPr>
          <w:lang w:val="fr-FR"/>
        </w:rPr>
        <w:lastRenderedPageBreak/>
        <w:t>(8)</w:t>
      </w:r>
      <w:r w:rsidRPr="00434E9D">
        <w:rPr>
          <w:lang w:val="fr-FR"/>
        </w:rPr>
        <w:tab/>
        <w:t xml:space="preserve">Les nouvelles connaissances scientifiques indiquent un risque significatif présenté par plusieurs autres polluants présents dans les masses d’eau, en plus de ceux déjà </w:t>
      </w:r>
      <w:proofErr w:type="spellStart"/>
      <w:r w:rsidRPr="00434E9D">
        <w:rPr>
          <w:lang w:val="fr-FR"/>
        </w:rPr>
        <w:t>réglementés.Dans</w:t>
      </w:r>
      <w:proofErr w:type="spellEnd"/>
      <w:r w:rsidRPr="00434E9D">
        <w:rPr>
          <w:lang w:val="fr-FR"/>
        </w:rPr>
        <w:t xml:space="preserve"> les eaux souterraines, un problème particulier a été découvert grâce à la surveillance volontaire des substances alkylées per- et </w:t>
      </w:r>
      <w:proofErr w:type="spellStart"/>
      <w:r w:rsidRPr="00434E9D">
        <w:rPr>
          <w:lang w:val="fr-FR"/>
        </w:rPr>
        <w:t>polyfluorées</w:t>
      </w:r>
      <w:proofErr w:type="spellEnd"/>
      <w:r w:rsidRPr="00434E9D">
        <w:rPr>
          <w:lang w:val="fr-FR"/>
        </w:rPr>
        <w:t xml:space="preserve"> (PFAS) et des produits pharmaceutiques. Des PFAS ont été détectés dans plus de 70 % des points de mesure des eaux souterraines dans l’Union et les seuils nationaux existants sont clairement dépassés dans un nombre considérable de lieux, et des substances pharmaceutiques sont également très souvent détectées. </w:t>
      </w:r>
      <w:r w:rsidRPr="00434E9D">
        <w:rPr>
          <w:b/>
          <w:i/>
          <w:lang w:val="fr-FR"/>
        </w:rPr>
        <w:t xml:space="preserve">Un sous-ensemble de PFAS spécifiques et de total des PFAS devrait dès lors être ajouté à la liste des polluants présents dans les eaux souterraines. </w:t>
      </w:r>
      <w:r w:rsidRPr="00434E9D">
        <w:rPr>
          <w:lang w:val="fr-FR"/>
        </w:rPr>
        <w:t xml:space="preserve">Dans les eaux de surface, l’acide </w:t>
      </w:r>
      <w:proofErr w:type="spellStart"/>
      <w:r w:rsidRPr="00434E9D">
        <w:rPr>
          <w:lang w:val="fr-FR"/>
        </w:rPr>
        <w:t>perfluorooctane</w:t>
      </w:r>
      <w:proofErr w:type="spellEnd"/>
      <w:r w:rsidRPr="00434E9D">
        <w:rPr>
          <w:lang w:val="fr-FR"/>
        </w:rPr>
        <w:t xml:space="preserve"> sulfonique et ses dérivés figurent déjà sur la liste des substances prioritaires, mais d’autres PFAS sont à présent également considérés comme présentant un risque. </w:t>
      </w:r>
      <w:r w:rsidRPr="00434E9D">
        <w:rPr>
          <w:b/>
          <w:i/>
          <w:lang w:val="fr-FR"/>
        </w:rPr>
        <w:t xml:space="preserve">Un sous-ensemble de PFAS spécifiques et de total des PFAS devrait dès lors être ajouté à la liste des substances prioritaires. Afin de garantir une approche harmonisée et des conditions égales pour tous dans l’Union, le pouvoir d’adopter des actes conformément à l’article 290 du traité FUE devrait être délégué à la Commission afin de modifier l’annexe I de la directive 2006/118/CE en établissant une norme de qualité pour le total des PFAS. </w:t>
      </w:r>
      <w:r w:rsidRPr="00434E9D">
        <w:rPr>
          <w:lang w:val="fr-FR"/>
        </w:rPr>
        <w:t>La surveillance des substances figurant sur la liste de vigilance au titre de l’article 8 ter de la directive 2008/105/CE a</w:t>
      </w:r>
      <w:r w:rsidRPr="00434E9D">
        <w:rPr>
          <w:b/>
          <w:i/>
          <w:lang w:val="fr-FR"/>
        </w:rPr>
        <w:t xml:space="preserve"> également</w:t>
      </w:r>
      <w:r w:rsidRPr="00434E9D">
        <w:rPr>
          <w:lang w:val="fr-FR"/>
        </w:rPr>
        <w:t xml:space="preserve"> confirmé un risque dans les eaux de surface en provenance d’une série de substances pharmaceutiques, qui devraient donc être ajoutées à la liste des substances prioritaires.</w:t>
      </w:r>
      <w:r w:rsidR="00067EED" w:rsidRPr="00434E9D">
        <w:rPr>
          <w:lang w:val="fr-FR"/>
        </w:rPr>
        <w:t xml:space="preserve"> </w:t>
      </w:r>
      <w:r w:rsidR="00067EED" w:rsidRPr="00434E9D">
        <w:rPr>
          <w:b/>
          <w:lang w:val="fr-FR"/>
        </w:rPr>
        <w:t xml:space="preserve"> [Am. 24]</w:t>
      </w:r>
    </w:p>
    <w:p w14:paraId="500F4070" w14:textId="77777777" w:rsidR="00067EED" w:rsidRPr="00434E9D" w:rsidRDefault="00067EED">
      <w:pPr>
        <w:widowControl/>
        <w:rPr>
          <w:b/>
          <w:i/>
          <w:szCs w:val="24"/>
          <w:lang w:eastAsia="en-US"/>
        </w:rPr>
      </w:pPr>
      <w:r w:rsidRPr="00434E9D">
        <w:rPr>
          <w:b/>
          <w:i/>
        </w:rPr>
        <w:br w:type="page"/>
      </w:r>
    </w:p>
    <w:p w14:paraId="7427FACD" w14:textId="77777777" w:rsidR="008C3DE0" w:rsidRPr="00434E9D" w:rsidRDefault="00067EED" w:rsidP="008C3DE0">
      <w:pPr>
        <w:pStyle w:val="Considrant"/>
        <w:rPr>
          <w:b/>
          <w:lang w:val="fr-FR"/>
        </w:rPr>
      </w:pPr>
      <w:r w:rsidRPr="00434E9D">
        <w:rPr>
          <w:b/>
          <w:i/>
          <w:lang w:val="fr-FR"/>
        </w:rPr>
        <w:lastRenderedPageBreak/>
        <w:t>(8 bis</w:t>
      </w:r>
      <w:r w:rsidR="008C3DE0" w:rsidRPr="00434E9D">
        <w:rPr>
          <w:b/>
          <w:i/>
          <w:lang w:val="fr-FR"/>
        </w:rPr>
        <w:t>)</w:t>
      </w:r>
      <w:r w:rsidR="008C3DE0" w:rsidRPr="00434E9D">
        <w:rPr>
          <w:lang w:val="fr-FR"/>
        </w:rPr>
        <w:tab/>
      </w:r>
      <w:r w:rsidR="008C3DE0" w:rsidRPr="00434E9D">
        <w:rPr>
          <w:b/>
          <w:i/>
          <w:lang w:val="fr-FR"/>
        </w:rPr>
        <w:t>Le glyphosate est l’herbicide auquel l’agriculture a le plus souvent recours dans l’Union. En tant que substance active, il a suscité de sérieuses inquiétudes quant à son incidence sur la santé humaine et sa toxicité pour le milieu aquatique. En décembre 2022, la Commission a décidé d’accorder une prolongation temporaire d’un an de l’autorisation de mise sur le marché du glyphosate, dans l’attente de la réévaluation de cette substance active par l’Autorité européenne de sécurité des aliments prévue pour juillet 2023. Plusieurs études scientifiques récentes</w:t>
      </w:r>
      <w:r w:rsidR="008C3DE0" w:rsidRPr="00434E9D">
        <w:rPr>
          <w:rStyle w:val="FootnoteReference"/>
        </w:rPr>
        <w:footnoteReference w:id="32"/>
      </w:r>
      <w:r w:rsidR="008C3DE0" w:rsidRPr="00434E9D">
        <w:rPr>
          <w:b/>
          <w:i/>
          <w:lang w:val="fr-FR"/>
        </w:rPr>
        <w:t xml:space="preserve"> indiquent toutefois qu’une norme de qualité environnementale (NQE) inférieure à 0,1 </w:t>
      </w:r>
      <w:r w:rsidR="008C3DE0" w:rsidRPr="00434E9D">
        <w:rPr>
          <w:b/>
          <w:i/>
        </w:rPr>
        <w:t>μ</w:t>
      </w:r>
      <w:r w:rsidR="008C3DE0" w:rsidRPr="00434E9D">
        <w:rPr>
          <w:b/>
          <w:i/>
          <w:lang w:val="fr-FR"/>
        </w:rPr>
        <w:t xml:space="preserve">g/L pour toutes les masses d’eau de surface devrait être envisagée sur la base de la toxicité du glyphosate, de l’acide </w:t>
      </w:r>
      <w:proofErr w:type="spellStart"/>
      <w:r w:rsidR="008C3DE0" w:rsidRPr="00434E9D">
        <w:rPr>
          <w:b/>
          <w:i/>
          <w:lang w:val="fr-FR"/>
        </w:rPr>
        <w:t>aminométhyl</w:t>
      </w:r>
      <w:proofErr w:type="spellEnd"/>
      <w:r w:rsidR="008C3DE0" w:rsidRPr="00434E9D">
        <w:rPr>
          <w:b/>
          <w:i/>
          <w:lang w:val="fr-FR"/>
        </w:rPr>
        <w:t xml:space="preserve"> phosphorique (AMPA) et des herbicides à base de glyphosate pour le milieu aquatique. Compte tenu des évaluations actuellement menées par les régulateurs de l’Union compétents et des conclusions scientifiques d’études pertinentes relatives aux effets du glyphosate sur la vie aquatique, et afin de garantir le bon état chimique de la majorité des eaux de l’Union, sur la base du principe de précaution, une norme de qualité environnementale exprimée en valeur moyenne annuelle (NQE-MA) commune et unifiée pour les eaux de surface intérieures et, séparément, pour les autres eaux de surface devrait être adoptée pour le glyphosate. </w:t>
      </w:r>
      <w:r w:rsidRPr="00434E9D">
        <w:rPr>
          <w:b/>
          <w:lang w:val="fr-FR"/>
        </w:rPr>
        <w:t xml:space="preserve"> [Am. 25]</w:t>
      </w:r>
    </w:p>
    <w:p w14:paraId="3CCD7CD0" w14:textId="77777777" w:rsidR="00067EED" w:rsidRPr="00434E9D" w:rsidRDefault="00067EED">
      <w:pPr>
        <w:widowControl/>
        <w:rPr>
          <w:b/>
          <w:i/>
          <w:szCs w:val="24"/>
          <w:lang w:eastAsia="en-US"/>
        </w:rPr>
      </w:pPr>
      <w:r w:rsidRPr="00434E9D">
        <w:rPr>
          <w:b/>
          <w:i/>
        </w:rPr>
        <w:br w:type="page"/>
      </w:r>
    </w:p>
    <w:p w14:paraId="323A1899" w14:textId="77777777" w:rsidR="008C3DE0" w:rsidRPr="00434E9D" w:rsidRDefault="00067EED" w:rsidP="008C3DE0">
      <w:pPr>
        <w:pStyle w:val="Considrant"/>
        <w:rPr>
          <w:b/>
          <w:lang w:val="fr-FR"/>
        </w:rPr>
      </w:pPr>
      <w:r w:rsidRPr="00434E9D">
        <w:rPr>
          <w:b/>
          <w:i/>
          <w:lang w:val="fr-FR"/>
        </w:rPr>
        <w:lastRenderedPageBreak/>
        <w:t>(8 ter</w:t>
      </w:r>
      <w:r w:rsidR="008C3DE0" w:rsidRPr="00434E9D">
        <w:rPr>
          <w:b/>
          <w:i/>
          <w:lang w:val="fr-FR"/>
        </w:rPr>
        <w:t>)</w:t>
      </w:r>
      <w:r w:rsidR="008C3DE0" w:rsidRPr="00434E9D">
        <w:rPr>
          <w:lang w:val="fr-FR"/>
        </w:rPr>
        <w:tab/>
      </w:r>
      <w:r w:rsidR="008C3DE0" w:rsidRPr="00434E9D">
        <w:rPr>
          <w:b/>
          <w:i/>
          <w:lang w:val="fr-FR"/>
        </w:rPr>
        <w:t>L’atrazine est un herbicide utilisé pour les mauvaises herbes annuelles à feuilles larges et les herbes annuelles dans les cultures de céréales. L’utilisation de l’atrazine dans les produits phytopharmaceutiques n’est plus autorisée au sein de l’Union, conformément à la décision 2004/248/CE de la Commission</w:t>
      </w:r>
      <w:r w:rsidR="008C3DE0" w:rsidRPr="00434E9D">
        <w:rPr>
          <w:rStyle w:val="FootnoteReference"/>
        </w:rPr>
        <w:footnoteReference w:id="33"/>
      </w:r>
      <w:r w:rsidR="008C3DE0" w:rsidRPr="00434E9D">
        <w:rPr>
          <w:b/>
          <w:i/>
          <w:lang w:val="fr-FR"/>
        </w:rPr>
        <w:t>. Il a été prouvé que l’atrazine est un perturbateur endocrinien. Cette substance perturbe la reproduction et le développement, et pourrait être cancérogène. L’Agence européenne pour l’environnement (AEE), dans l’évaluation des pesticides par rapport aux seuils d’effet ou de qualité entre 2013 et 2020, a constaté des dépassements d’un ou plusieurs pesticides, essentiellement des dépassements d’atrazine et de ses métabolites, dans 4 % à 11 % des sites de surveillance des eaux souterraines. Considérant sa présence persistante dans les eaux de surface et les eaux souterraines de l’Union, et afin de garantir que les valeurs seuils d’atrazine ne dépassent pas le total de pesticides et métabolites fixé par les NQE, la concentration maximale admissible d’atrazine indiquée à l’annexe I de la directive 2008/105/CE devrait être ajustée, conformément également à la valeur seuil établie pour cette même substance dans la directive (UE) 2020/2184</w:t>
      </w:r>
      <w:r w:rsidR="008C3DE0" w:rsidRPr="00434E9D">
        <w:rPr>
          <w:rStyle w:val="FootnoteReference"/>
        </w:rPr>
        <w:footnoteReference w:id="34"/>
      </w:r>
      <w:r w:rsidR="008C3DE0" w:rsidRPr="00434E9D">
        <w:rPr>
          <w:b/>
          <w:i/>
          <w:lang w:val="fr-FR"/>
        </w:rPr>
        <w:t>.</w:t>
      </w:r>
      <w:r w:rsidRPr="00434E9D">
        <w:rPr>
          <w:b/>
          <w:i/>
          <w:lang w:val="fr-FR"/>
        </w:rPr>
        <w:t xml:space="preserve"> </w:t>
      </w:r>
      <w:r w:rsidRPr="00434E9D">
        <w:rPr>
          <w:b/>
          <w:lang w:val="fr-FR"/>
        </w:rPr>
        <w:t xml:space="preserve"> [Am. 26]</w:t>
      </w:r>
    </w:p>
    <w:p w14:paraId="79CE61AC" w14:textId="77777777" w:rsidR="00067EED" w:rsidRPr="00434E9D" w:rsidRDefault="00067EED">
      <w:pPr>
        <w:widowControl/>
        <w:rPr>
          <w:b/>
          <w:i/>
          <w:szCs w:val="24"/>
          <w:lang w:eastAsia="en-US"/>
        </w:rPr>
      </w:pPr>
      <w:r w:rsidRPr="00434E9D">
        <w:rPr>
          <w:b/>
          <w:i/>
        </w:rPr>
        <w:br w:type="page"/>
      </w:r>
    </w:p>
    <w:p w14:paraId="7D85F73F" w14:textId="77777777" w:rsidR="008C3DE0" w:rsidRPr="00434E9D" w:rsidRDefault="00067EED" w:rsidP="008C3DE0">
      <w:pPr>
        <w:pStyle w:val="Considrant"/>
        <w:rPr>
          <w:b/>
          <w:lang w:val="fr-FR"/>
        </w:rPr>
      </w:pPr>
      <w:r w:rsidRPr="00434E9D">
        <w:rPr>
          <w:b/>
          <w:i/>
          <w:lang w:val="fr-FR"/>
        </w:rPr>
        <w:lastRenderedPageBreak/>
        <w:t>(8 quater</w:t>
      </w:r>
      <w:r w:rsidR="008C3DE0" w:rsidRPr="00434E9D">
        <w:rPr>
          <w:b/>
          <w:i/>
          <w:lang w:val="fr-FR"/>
        </w:rPr>
        <w:t>)</w:t>
      </w:r>
      <w:r w:rsidR="008C3DE0" w:rsidRPr="00434E9D">
        <w:rPr>
          <w:lang w:val="fr-FR"/>
        </w:rPr>
        <w:tab/>
      </w:r>
      <w:r w:rsidR="008C3DE0" w:rsidRPr="00434E9D">
        <w:rPr>
          <w:b/>
          <w:i/>
          <w:lang w:val="fr-FR"/>
        </w:rPr>
        <w:t>D’après le CSRSEE</w:t>
      </w:r>
      <w:r w:rsidR="008C3DE0" w:rsidRPr="00434E9D">
        <w:rPr>
          <w:rStyle w:val="FootnoteReference"/>
        </w:rPr>
        <w:footnoteReference w:id="35"/>
      </w:r>
      <w:r w:rsidR="008C3DE0" w:rsidRPr="00434E9D">
        <w:rPr>
          <w:b/>
          <w:i/>
          <w:lang w:val="fr-FR"/>
        </w:rPr>
        <w:t xml:space="preserve"> et l’EMA</w:t>
      </w:r>
      <w:r w:rsidR="008C3DE0" w:rsidRPr="00434E9D">
        <w:rPr>
          <w:rStyle w:val="FootnoteReference"/>
        </w:rPr>
        <w:footnoteReference w:id="36"/>
      </w:r>
      <w:r w:rsidR="008C3DE0" w:rsidRPr="00434E9D">
        <w:rPr>
          <w:b/>
          <w:i/>
          <w:lang w:val="fr-FR"/>
        </w:rPr>
        <w:t xml:space="preserve">, la norme de qualité générique de 0,1 </w:t>
      </w:r>
      <w:r w:rsidR="008C3DE0" w:rsidRPr="00434E9D">
        <w:rPr>
          <w:b/>
          <w:i/>
        </w:rPr>
        <w:t>μ</w:t>
      </w:r>
      <w:r w:rsidR="008C3DE0" w:rsidRPr="00434E9D">
        <w:rPr>
          <w:b/>
          <w:i/>
          <w:lang w:val="fr-FR"/>
        </w:rPr>
        <w:t xml:space="preserve">g/L et de 0,5 µg/L pour les eaux souterraines, proposée respectivement pour les pesticides individuels et pour la somme de tous les pesticides, comme indiqué dans la directive 2006/118/EC, a été établie dans les années 1980, sur la base de la sensibilité chimique et analytique disponible à cette époque. La valeur par défaut de 0,1 </w:t>
      </w:r>
      <w:r w:rsidR="008C3DE0" w:rsidRPr="00434E9D">
        <w:rPr>
          <w:b/>
          <w:i/>
        </w:rPr>
        <w:t>μ</w:t>
      </w:r>
      <w:r w:rsidR="008C3DE0" w:rsidRPr="00434E9D">
        <w:rPr>
          <w:b/>
          <w:i/>
          <w:lang w:val="fr-FR"/>
        </w:rPr>
        <w:t>g/L pour les pesticides individuels s’est révélée être insuffisante pour protéger la santé humaine et l’écosystème des eaux souterraines, et est parfois considérablement plus élevée que les valeurs seuils de nombreux pesticides et fongicides de la liste des substances prioritaires de l’annexe I de la directive 2008/105/CE. Compte tenu de l’avis du CSRSEE, selon lequel aucune valeur seuil applicable aux eaux souterraines ne devrait être plus élevée que les normes de qualité des eaux de surface, la Commission devrait réexaminer les valeurs seuils des pesticides individuels et la somme de tous les pesticides, y compris leurs métabolites concernés, à l’annexe I de la directive 2006/118/CE en appliquant des méthodes analytiques modernes et en les comparant aux meilleures connaissances toxicologiques disponibles. Dans l’attente de ce réexamen et conformément à l’approche de précaution exprimée par les fournisseurs d’eau potable dans le Mémorandum européen sur les eaux souterraines</w:t>
      </w:r>
      <w:r w:rsidR="008C3DE0" w:rsidRPr="00434E9D">
        <w:rPr>
          <w:rStyle w:val="FootnoteReference"/>
        </w:rPr>
        <w:footnoteReference w:id="37"/>
      </w:r>
      <w:r w:rsidR="008C3DE0" w:rsidRPr="00434E9D">
        <w:rPr>
          <w:b/>
          <w:i/>
          <w:lang w:val="fr-FR"/>
        </w:rPr>
        <w:t>, des valeurs seuils intermédiaires devraient être établies sur la base des meilleures connaissances scientifiques disponibles.</w:t>
      </w:r>
      <w:r w:rsidRPr="00434E9D">
        <w:rPr>
          <w:b/>
          <w:i/>
          <w:lang w:val="fr-FR"/>
        </w:rPr>
        <w:t xml:space="preserve"> </w:t>
      </w:r>
      <w:r w:rsidRPr="00434E9D">
        <w:rPr>
          <w:b/>
          <w:lang w:val="fr-FR"/>
        </w:rPr>
        <w:t xml:space="preserve"> [Am. 27]</w:t>
      </w:r>
    </w:p>
    <w:p w14:paraId="176B1E28" w14:textId="77777777" w:rsidR="00067EED" w:rsidRPr="00434E9D" w:rsidRDefault="00067EED">
      <w:pPr>
        <w:widowControl/>
        <w:rPr>
          <w:b/>
          <w:i/>
          <w:szCs w:val="24"/>
          <w:lang w:eastAsia="en-US"/>
        </w:rPr>
      </w:pPr>
      <w:r w:rsidRPr="00434E9D">
        <w:rPr>
          <w:b/>
          <w:i/>
        </w:rPr>
        <w:br w:type="page"/>
      </w:r>
    </w:p>
    <w:p w14:paraId="03709829" w14:textId="77777777" w:rsidR="008C3DE0" w:rsidRPr="00434E9D" w:rsidRDefault="00067EED" w:rsidP="008C3DE0">
      <w:pPr>
        <w:pStyle w:val="Considrant"/>
        <w:rPr>
          <w:b/>
          <w:lang w:val="fr-FR"/>
        </w:rPr>
      </w:pPr>
      <w:r w:rsidRPr="00434E9D">
        <w:rPr>
          <w:b/>
          <w:i/>
          <w:lang w:val="fr-FR"/>
        </w:rPr>
        <w:lastRenderedPageBreak/>
        <w:t>(8 quinquies</w:t>
      </w:r>
      <w:r w:rsidR="008C3DE0" w:rsidRPr="00434E9D">
        <w:rPr>
          <w:b/>
          <w:i/>
          <w:lang w:val="fr-FR"/>
        </w:rPr>
        <w:t>)</w:t>
      </w:r>
      <w:r w:rsidR="008C3DE0" w:rsidRPr="00434E9D">
        <w:rPr>
          <w:lang w:val="fr-FR"/>
        </w:rPr>
        <w:tab/>
      </w:r>
      <w:r w:rsidR="008C3DE0" w:rsidRPr="00434E9D">
        <w:rPr>
          <w:b/>
          <w:i/>
          <w:lang w:val="fr-FR"/>
        </w:rPr>
        <w:t xml:space="preserve">Le bisphénol-A devrait être traité en tant que substance prioritaire dangereuse et ajouté à la liste de l’annexe I de la directive 2008/105/CE. Des rapports scientifiques démontrent que des bisphénols autres que le bisphénol-A sont aussi très probablement des perturbateurs endocriniens et que des mélanges de ces bisphénols représentent un risque </w:t>
      </w:r>
      <w:proofErr w:type="spellStart"/>
      <w:r w:rsidR="008C3DE0" w:rsidRPr="00434E9D">
        <w:rPr>
          <w:b/>
          <w:i/>
          <w:lang w:val="fr-FR"/>
        </w:rPr>
        <w:t>écotoxicologique</w:t>
      </w:r>
      <w:proofErr w:type="spellEnd"/>
      <w:r w:rsidR="008C3DE0" w:rsidRPr="00434E9D">
        <w:rPr>
          <w:b/>
          <w:i/>
          <w:lang w:val="fr-FR"/>
        </w:rPr>
        <w:t>. Dès lors que ces constatations scientifiques soulèvent des inquiétudes quant à l’utilisation sûre des solutions de remplacement des bisphénols, qui pourraient avoir des effets négatifs sur la santé humaine et l’environnement, la Commission devrait établir un paramètre de «total des bisphénols» et une NQE appropriée pour le total des bisphénols.</w:t>
      </w:r>
      <w:r w:rsidRPr="00434E9D">
        <w:rPr>
          <w:b/>
          <w:i/>
          <w:lang w:val="fr-FR"/>
        </w:rPr>
        <w:t xml:space="preserve"> </w:t>
      </w:r>
      <w:r w:rsidRPr="00434E9D">
        <w:rPr>
          <w:b/>
          <w:lang w:val="fr-FR"/>
        </w:rPr>
        <w:t xml:space="preserve"> [Am. 28]</w:t>
      </w:r>
    </w:p>
    <w:p w14:paraId="118A1625" w14:textId="77777777" w:rsidR="008C3DE0" w:rsidRPr="00434E9D" w:rsidRDefault="008C3DE0" w:rsidP="008C3DE0">
      <w:pPr>
        <w:pStyle w:val="Considrant"/>
        <w:rPr>
          <w:b/>
          <w:lang w:val="fr-FR"/>
        </w:rPr>
      </w:pPr>
      <w:r w:rsidRPr="00434E9D">
        <w:rPr>
          <w:b/>
          <w:i/>
          <w:lang w:val="fr-FR"/>
        </w:rPr>
        <w:t>(8 sexies)</w:t>
      </w:r>
      <w:r w:rsidRPr="00434E9D">
        <w:rPr>
          <w:b/>
          <w:i/>
          <w:lang w:val="fr-FR"/>
        </w:rPr>
        <w:tab/>
        <w:t>Selon l’Agence européenne des médicaments (EMA)</w:t>
      </w:r>
      <w:r w:rsidRPr="00434E9D">
        <w:rPr>
          <w:rStyle w:val="FootnoteReference"/>
        </w:rPr>
        <w:footnoteReference w:id="38"/>
      </w:r>
      <w:r w:rsidRPr="00434E9D">
        <w:rPr>
          <w:b/>
          <w:i/>
          <w:lang w:val="fr-FR"/>
        </w:rPr>
        <w:t>, les écosystèmes des eaux souterraines sont fondamentalement différents et peuvent donc être plus vulnérables aux facteurs de stress que les écosystèmes d’eaux de surface, car ils ne sont pas à même de se remettre des perturbations. Par conséquent, une approche prudente devrait être adoptée lors de l’établissement de valeurs seuils pour les eaux souterraines afin de protéger la santé humaine, les écosystèmes des eaux souterraines et les écosystèmes qui dépendent des eaux souterraines. Conformément aux recommandations de l’EMA, les valeurs seuils applicables aux eaux souterraines devraient normalement être dix fois inférieures aux valeurs seuils correspondantes pour les eaux de surface du fait de cette vulnérabilité. Lorsque le risque réel pour les écosystèmes d’eaux souterraines peut être établi, il pourrait être approprié de fixer des valeurs seuils pour les eaux souterraines à un niveau différent.</w:t>
      </w:r>
      <w:r w:rsidR="00067EED" w:rsidRPr="00434E9D">
        <w:rPr>
          <w:b/>
          <w:i/>
          <w:lang w:val="fr-FR"/>
        </w:rPr>
        <w:t xml:space="preserve"> </w:t>
      </w:r>
      <w:r w:rsidR="00067EED" w:rsidRPr="00434E9D">
        <w:rPr>
          <w:b/>
          <w:lang w:val="fr-FR"/>
        </w:rPr>
        <w:t xml:space="preserve"> [Am. 29]</w:t>
      </w:r>
    </w:p>
    <w:p w14:paraId="79803439" w14:textId="77777777" w:rsidR="00067EED" w:rsidRPr="00434E9D" w:rsidRDefault="00067EED">
      <w:pPr>
        <w:widowControl/>
        <w:rPr>
          <w:szCs w:val="24"/>
          <w:lang w:eastAsia="en-US"/>
        </w:rPr>
      </w:pPr>
      <w:r w:rsidRPr="00434E9D">
        <w:br w:type="page"/>
      </w:r>
    </w:p>
    <w:p w14:paraId="4660640B" w14:textId="77777777" w:rsidR="008C3DE0" w:rsidRPr="00434E9D" w:rsidRDefault="008C3DE0" w:rsidP="008C3DE0">
      <w:pPr>
        <w:pStyle w:val="Considrant"/>
        <w:rPr>
          <w:lang w:val="fr-FR"/>
        </w:rPr>
      </w:pPr>
      <w:r w:rsidRPr="00434E9D">
        <w:rPr>
          <w:lang w:val="fr-FR"/>
        </w:rPr>
        <w:lastRenderedPageBreak/>
        <w:t>(9)</w:t>
      </w:r>
      <w:r w:rsidRPr="00434E9D">
        <w:rPr>
          <w:lang w:val="fr-FR"/>
        </w:rPr>
        <w:tab/>
        <w:t>En vertu de la directive 2000/60/CE, les États membres sont tenus de recenser les masses d’eau utilisées pour le captage d’eaux destinées à la consommation humaine, de les surveiller, et de prendre les mesures nécessaires afin de prévenir la détérioration de leur qualité et de réduire le degré de traitement de purification nécessaire à la production d’eau propre à la consommation humaine. Dans ce contexte, les microplastiques ont été recensés comme présentant un risque potentiel pour la santé humaine, mais davantage de données de surveillance sont nécessaires pour confirmer la nécessité de fixer une norme de qualité environnementale pour les microplastiques dans les eaux de surface et les eaux souterraines. Les microplastiques devraient donc être inclus dans les listes de vigilance des eaux de surface et des eaux souterraines et être surveillés dès que la Commission a établi des méthodes de surveillance appropriées. Dans ce contexte, il y a lieu de prendre en considération les méthodes de surveillance et d’évaluation des risques dus aux microplastiques dans l’eau potable, élaborées au titre de la directive (UE) 2020/2184 du Parlement européen et du Conseil</w:t>
      </w:r>
      <w:r w:rsidRPr="00434E9D">
        <w:rPr>
          <w:rStyle w:val="FootnoteReference"/>
        </w:rPr>
        <w:footnoteReference w:id="39"/>
      </w:r>
      <w:r w:rsidRPr="00434E9D">
        <w:rPr>
          <w:lang w:val="fr-FR"/>
        </w:rPr>
        <w:t>.</w:t>
      </w:r>
    </w:p>
    <w:p w14:paraId="7AEAE537" w14:textId="77777777" w:rsidR="00067EED" w:rsidRPr="00434E9D" w:rsidRDefault="00067EED">
      <w:pPr>
        <w:widowControl/>
        <w:rPr>
          <w:b/>
          <w:i/>
          <w:szCs w:val="24"/>
          <w:lang w:eastAsia="en-US"/>
        </w:rPr>
      </w:pPr>
      <w:r w:rsidRPr="00434E9D">
        <w:rPr>
          <w:b/>
          <w:i/>
        </w:rPr>
        <w:br w:type="page"/>
      </w:r>
    </w:p>
    <w:p w14:paraId="20686C6A" w14:textId="77777777" w:rsidR="008C3DE0" w:rsidRPr="00434E9D" w:rsidRDefault="00067EED" w:rsidP="008C3DE0">
      <w:pPr>
        <w:pStyle w:val="Considrant"/>
        <w:rPr>
          <w:b/>
          <w:lang w:val="fr-FR"/>
        </w:rPr>
      </w:pPr>
      <w:r w:rsidRPr="00434E9D">
        <w:rPr>
          <w:b/>
          <w:i/>
          <w:lang w:val="fr-FR"/>
        </w:rPr>
        <w:lastRenderedPageBreak/>
        <w:t>(9 bis</w:t>
      </w:r>
      <w:r w:rsidR="008C3DE0" w:rsidRPr="00434E9D">
        <w:rPr>
          <w:b/>
          <w:i/>
          <w:lang w:val="fr-FR"/>
        </w:rPr>
        <w:t>)</w:t>
      </w:r>
      <w:r w:rsidR="008C3DE0" w:rsidRPr="00434E9D">
        <w:rPr>
          <w:lang w:val="fr-FR"/>
        </w:rPr>
        <w:tab/>
      </w:r>
      <w:r w:rsidR="008C3DE0" w:rsidRPr="00434E9D">
        <w:rPr>
          <w:b/>
          <w:i/>
          <w:lang w:val="fr-FR"/>
        </w:rPr>
        <w:t>Conformément au droit de l’Union applicable, les États membres sont obligés de localiser les eaux touchées et les eaux à risque, de délimiter les zones vulnérables aux nitrates, d’élaborer des programmes d’action et de mettre en place des mesures pertinentes. À cet égard, il est encore nécessaire de renforcer l’harmonisation des mesures de contrôle et des systèmes de mesure de la qualité de l’eau entre les États membres, afin de permettre l’adoption de normes harmonisées à travers l’Union qui rendent possible les comparaisons entre États membres, évitant ainsi les problèmes de concurrence dans le secteur européen de l’agriculture qui entraînent des perturbations sur le marché intérieur.</w:t>
      </w:r>
      <w:r w:rsidRPr="00434E9D">
        <w:rPr>
          <w:b/>
          <w:i/>
          <w:lang w:val="fr-FR"/>
        </w:rPr>
        <w:t xml:space="preserve"> </w:t>
      </w:r>
      <w:r w:rsidRPr="00434E9D">
        <w:rPr>
          <w:b/>
          <w:lang w:val="fr-FR"/>
        </w:rPr>
        <w:t xml:space="preserve"> [Am. 30]</w:t>
      </w:r>
    </w:p>
    <w:p w14:paraId="6113D4AE" w14:textId="77777777" w:rsidR="008C3DE0" w:rsidRPr="00434E9D" w:rsidRDefault="008C3DE0" w:rsidP="008C3DE0">
      <w:pPr>
        <w:pStyle w:val="Considrant"/>
        <w:rPr>
          <w:b/>
          <w:lang w:val="fr-FR"/>
        </w:rPr>
      </w:pPr>
      <w:r w:rsidRPr="00434E9D">
        <w:rPr>
          <w:lang w:val="fr-FR"/>
        </w:rPr>
        <w:t>(10)</w:t>
      </w:r>
      <w:r w:rsidRPr="00434E9D">
        <w:rPr>
          <w:lang w:val="fr-FR"/>
        </w:rPr>
        <w:tab/>
      </w:r>
      <w:r w:rsidRPr="00434E9D">
        <w:rPr>
          <w:b/>
          <w:i/>
          <w:lang w:val="fr-FR"/>
        </w:rPr>
        <w:t>On estime qu’en 2019, entre 900 000 et 1,7 million de décès dans le monde étaient imputables à des infections liées à la résistance aux antimicrobiens (RAM)</w:t>
      </w:r>
      <w:r w:rsidRPr="00434E9D">
        <w:rPr>
          <w:rStyle w:val="FootnoteReference"/>
        </w:rPr>
        <w:footnoteReference w:id="40"/>
      </w:r>
      <w:r w:rsidRPr="00434E9D">
        <w:rPr>
          <w:b/>
          <w:i/>
          <w:lang w:val="fr-FR"/>
        </w:rPr>
        <w:t xml:space="preserve">. Parallèlement, </w:t>
      </w:r>
      <w:r w:rsidRPr="00434E9D">
        <w:rPr>
          <w:lang w:val="fr-FR"/>
        </w:rPr>
        <w:t>des inquiétudes ont été exprimées concernant le risque de développement d’une résistance aux antimicrobiens en raison de la présence de microorganismes résistants aux antimicrobiens et de gènes de résistance aux antimicrobiens dans l’environnement aquatique, mais peu d’actions de surveillance ont été entreprises. Les gènes de résistance aux antimicrobiens pertinents devraient aussi être inscrits sur les listes de vigilance des eaux de surface et des eaux souterraines et surveillés dès que des méthodes de surveillance appropriées auront été élaborées, et ce conformément au plan d’action européen fondé sur le principe «Une seule santé» pour combattre la résistance aux antimicrobiens adopté par la Commission en juin 2017 et à la stratégie pharmaceutique pour l’Europe, qui traite elle aussi de ce problème.</w:t>
      </w:r>
      <w:r w:rsidR="00067EED" w:rsidRPr="00434E9D">
        <w:rPr>
          <w:lang w:val="fr-FR"/>
        </w:rPr>
        <w:t xml:space="preserve"> </w:t>
      </w:r>
      <w:r w:rsidR="00067EED" w:rsidRPr="00434E9D">
        <w:rPr>
          <w:b/>
          <w:lang w:val="fr-FR"/>
        </w:rPr>
        <w:t xml:space="preserve"> [Am. 31]</w:t>
      </w:r>
    </w:p>
    <w:p w14:paraId="50D2FD90" w14:textId="77777777" w:rsidR="00067EED" w:rsidRPr="00434E9D" w:rsidRDefault="00067EED">
      <w:pPr>
        <w:widowControl/>
        <w:rPr>
          <w:b/>
          <w:i/>
          <w:szCs w:val="24"/>
          <w:lang w:eastAsia="en-US"/>
        </w:rPr>
      </w:pPr>
      <w:r w:rsidRPr="00434E9D">
        <w:rPr>
          <w:b/>
          <w:i/>
        </w:rPr>
        <w:br w:type="page"/>
      </w:r>
    </w:p>
    <w:p w14:paraId="49565BCC" w14:textId="77777777" w:rsidR="008C3DE0" w:rsidRPr="00434E9D" w:rsidRDefault="00067EED" w:rsidP="008C3DE0">
      <w:pPr>
        <w:pStyle w:val="Considrant"/>
        <w:rPr>
          <w:b/>
          <w:lang w:val="fr-FR"/>
        </w:rPr>
      </w:pPr>
      <w:r w:rsidRPr="00434E9D">
        <w:rPr>
          <w:b/>
          <w:i/>
          <w:lang w:val="fr-FR"/>
        </w:rPr>
        <w:lastRenderedPageBreak/>
        <w:t>(10 bis</w:t>
      </w:r>
      <w:r w:rsidR="008C3DE0" w:rsidRPr="00434E9D">
        <w:rPr>
          <w:b/>
          <w:i/>
          <w:lang w:val="fr-FR"/>
        </w:rPr>
        <w:t>)</w:t>
      </w:r>
      <w:r w:rsidR="008C3DE0" w:rsidRPr="00434E9D">
        <w:rPr>
          <w:lang w:val="fr-FR"/>
        </w:rPr>
        <w:tab/>
      </w:r>
      <w:r w:rsidR="008C3DE0" w:rsidRPr="00434E9D">
        <w:rPr>
          <w:b/>
          <w:i/>
          <w:lang w:val="fr-FR"/>
        </w:rPr>
        <w:t>La décision d’exécution (UE) 2020/1729 de la Commission abrogeant la décision d’exécution 2013/652/UE fixe le cadre pour l’obtention de données comparables et fiables sur la résistance aux antimicrobiens dans l’Union européenne, notamment en surveillant les eaux résiduaires des abattoirs, qui sont un vecteur potentiel de bactéries résistantes aux antibiotiques et donc une possible voie de pollution environnementale. Des bactéries résistantes aux antibiotiques ont été trouvées dans les eaux rejetées par les abattoirs.</w:t>
      </w:r>
      <w:r w:rsidRPr="00434E9D">
        <w:rPr>
          <w:b/>
          <w:i/>
          <w:lang w:val="fr-FR"/>
        </w:rPr>
        <w:t xml:space="preserve"> </w:t>
      </w:r>
      <w:r w:rsidRPr="00434E9D">
        <w:rPr>
          <w:b/>
          <w:lang w:val="fr-FR"/>
        </w:rPr>
        <w:t xml:space="preserve"> [Am. 32]</w:t>
      </w:r>
    </w:p>
    <w:p w14:paraId="110C7CD3" w14:textId="77777777" w:rsidR="008C3DE0" w:rsidRPr="00434E9D" w:rsidRDefault="00067EED" w:rsidP="008C3DE0">
      <w:pPr>
        <w:pStyle w:val="Considrant"/>
        <w:rPr>
          <w:b/>
          <w:lang w:val="fr-FR"/>
        </w:rPr>
      </w:pPr>
      <w:r w:rsidRPr="00434E9D">
        <w:rPr>
          <w:b/>
          <w:i/>
          <w:lang w:val="fr-FR"/>
        </w:rPr>
        <w:t>(10 ter</w:t>
      </w:r>
      <w:r w:rsidR="008C3DE0" w:rsidRPr="00434E9D">
        <w:rPr>
          <w:b/>
          <w:i/>
          <w:lang w:val="fr-FR"/>
        </w:rPr>
        <w:t>)</w:t>
      </w:r>
      <w:r w:rsidR="008C3DE0" w:rsidRPr="00434E9D">
        <w:rPr>
          <w:lang w:val="fr-FR"/>
        </w:rPr>
        <w:tab/>
      </w:r>
      <w:r w:rsidR="008C3DE0" w:rsidRPr="00434E9D">
        <w:rPr>
          <w:b/>
          <w:i/>
          <w:lang w:val="fr-FR"/>
        </w:rPr>
        <w:t>Des inquiétudes ont été exprimées quant au risque que présentent les sulfates et les xanthates dans l’environnement aquatique. Les sulfates ne nuisent pas seulement à la qualité de l’eau potable, ils affectent également les cycles du carbone, de l’azote et du phosphore. On considère notamment qu’ils augmentent les charges en nutriments dans les masses d’eau et stimulent donc la croissance des plantes et des algues, mais également qu’ils augmentent l’apport nutritif des organismes aquatiques et entraînent une diminution de l’oxygène dans l’eau. Les sulfates et leurs produits de décomposition, en particulier le sulfure, peuvent, dans certaines conditions, avoir un effet toxique pour les organismes aquatiques. Des résultats de tests normalisés indiquent que certains xanthates et leurs produits de décomposition sont toxiques pour les invertébrés aquatiques et les espèces de poissons et qu’ils peuvent se bioaccumuler. Les sulfates sont déjà répertoriés comme polluant pour les eaux souterraines, mais la surveillance mise en place a été insuffisante. Par conséquent, il conviendrait d’ajouter les sulfates aux listes de vigilance pour les eaux de surface et les eaux souterraines. Les xanthates devraient être ajoutés à la liste de vigilance pour les eaux de surface.</w:t>
      </w:r>
      <w:r w:rsidRPr="00434E9D">
        <w:rPr>
          <w:b/>
          <w:i/>
          <w:lang w:val="fr-FR"/>
        </w:rPr>
        <w:t xml:space="preserve"> </w:t>
      </w:r>
      <w:r w:rsidRPr="00434E9D">
        <w:rPr>
          <w:b/>
          <w:lang w:val="fr-FR"/>
        </w:rPr>
        <w:t xml:space="preserve"> [Am. 33]</w:t>
      </w:r>
    </w:p>
    <w:p w14:paraId="271D6AB8" w14:textId="77777777" w:rsidR="00067EED" w:rsidRPr="00434E9D" w:rsidRDefault="00067EED">
      <w:pPr>
        <w:widowControl/>
        <w:rPr>
          <w:b/>
          <w:i/>
          <w:szCs w:val="24"/>
          <w:lang w:eastAsia="en-US"/>
        </w:rPr>
      </w:pPr>
      <w:r w:rsidRPr="00434E9D">
        <w:rPr>
          <w:b/>
          <w:i/>
        </w:rPr>
        <w:br w:type="page"/>
      </w:r>
    </w:p>
    <w:p w14:paraId="2E93D3EF" w14:textId="77777777" w:rsidR="008C3DE0" w:rsidRPr="00434E9D" w:rsidRDefault="008C3DE0" w:rsidP="008C3DE0">
      <w:pPr>
        <w:pStyle w:val="Considrant"/>
        <w:rPr>
          <w:b/>
          <w:lang w:val="fr-FR"/>
        </w:rPr>
      </w:pPr>
      <w:r w:rsidRPr="00434E9D">
        <w:rPr>
          <w:b/>
          <w:i/>
          <w:lang w:val="fr-FR"/>
        </w:rPr>
        <w:lastRenderedPageBreak/>
        <w:t>(10</w:t>
      </w:r>
      <w:r w:rsidR="00067EED" w:rsidRPr="00434E9D">
        <w:rPr>
          <w:b/>
          <w:i/>
          <w:lang w:val="fr-FR"/>
        </w:rPr>
        <w:t xml:space="preserve"> quater</w:t>
      </w:r>
      <w:r w:rsidRPr="00434E9D">
        <w:rPr>
          <w:b/>
          <w:i/>
          <w:lang w:val="fr-FR"/>
        </w:rPr>
        <w:t>)</w:t>
      </w:r>
      <w:r w:rsidRPr="00434E9D">
        <w:rPr>
          <w:lang w:val="fr-FR"/>
        </w:rPr>
        <w:tab/>
      </w:r>
      <w:r w:rsidRPr="00434E9D">
        <w:rPr>
          <w:b/>
          <w:i/>
          <w:lang w:val="fr-FR"/>
        </w:rPr>
        <w:t>Les substances telles que les microplastiques représentent un risque manifeste pour la santé publique et l’environnement, mais aussi pour des activités de base comme le développement de l’agriculture. La présence de telles substances ainsi que d’autres particules peut avoir des répercussions non seulement sur l’eau reçue par le bétail et les cultures, mais aussi sur la fertilité des sols, compromettant ainsi la santé et la bonne croissance des cultures actuelles et futures</w:t>
      </w:r>
      <w:r w:rsidRPr="00434E9D">
        <w:rPr>
          <w:rStyle w:val="FootnoteReference"/>
        </w:rPr>
        <w:footnoteReference w:id="41"/>
      </w:r>
      <w:r w:rsidRPr="00434E9D">
        <w:rPr>
          <w:b/>
          <w:i/>
          <w:lang w:val="fr-FR"/>
        </w:rPr>
        <w:t>.</w:t>
      </w:r>
      <w:r w:rsidR="00067EED" w:rsidRPr="00434E9D">
        <w:rPr>
          <w:b/>
          <w:i/>
          <w:lang w:val="fr-FR"/>
        </w:rPr>
        <w:t xml:space="preserve"> </w:t>
      </w:r>
      <w:r w:rsidR="00067EED" w:rsidRPr="00434E9D">
        <w:rPr>
          <w:b/>
          <w:lang w:val="fr-FR"/>
        </w:rPr>
        <w:t xml:space="preserve"> [Am. 34]</w:t>
      </w:r>
    </w:p>
    <w:p w14:paraId="78364F6A" w14:textId="77777777" w:rsidR="00067EED" w:rsidRPr="00434E9D" w:rsidRDefault="00067EED">
      <w:pPr>
        <w:widowControl/>
        <w:rPr>
          <w:szCs w:val="24"/>
          <w:lang w:eastAsia="en-US"/>
        </w:rPr>
      </w:pPr>
      <w:r w:rsidRPr="00434E9D">
        <w:br w:type="page"/>
      </w:r>
    </w:p>
    <w:p w14:paraId="56917C4F" w14:textId="77777777" w:rsidR="008C3DE0" w:rsidRPr="00434E9D" w:rsidRDefault="008C3DE0" w:rsidP="008C3DE0">
      <w:pPr>
        <w:pStyle w:val="Considrant"/>
        <w:rPr>
          <w:b/>
          <w:lang w:val="fr-FR"/>
        </w:rPr>
      </w:pPr>
      <w:r w:rsidRPr="00434E9D">
        <w:rPr>
          <w:lang w:val="fr-FR"/>
        </w:rPr>
        <w:lastRenderedPageBreak/>
        <w:t>(11)</w:t>
      </w:r>
      <w:r w:rsidRPr="00434E9D">
        <w:rPr>
          <w:lang w:val="fr-FR"/>
        </w:rPr>
        <w:tab/>
      </w:r>
      <w:r w:rsidRPr="00434E9D">
        <w:rPr>
          <w:b/>
          <w:i/>
          <w:lang w:val="fr-FR"/>
        </w:rPr>
        <w:t xml:space="preserve"> Les méthodes actuelles et conventionnelles pour la surveillance de l’état chimique des masses d’eau ne permettent généralement pas de déterminer l’incidence de mélanges complexes de produits chimiques sur la qualité de l’eau. </w:t>
      </w:r>
      <w:r w:rsidRPr="00434E9D">
        <w:rPr>
          <w:lang w:val="fr-FR"/>
        </w:rPr>
        <w:t xml:space="preserve">Au vu de la conscience croissante de l’importance des mélanges et, par conséquent, de la surveillance fondée sur les effets pour déterminer l’état chimique, et compte tenu du fait que des méthodes de surveillance fondée sur les effets suffisamment fiables existent déjà pour les substances œstrogéniques, les États membres devraient appliquer ces méthodes pour évaluer les effets cumulés des substances œstrogéniques dans les eaux de surface sur une période d’au moins deux ans. Cela permettra de comparer les résultats fondés sur les effets avec les résultats obtenus par des méthodes conventionnelles pour la surveillance des trois substances œstrogéniques répertoriées à l’annexe I de la directive 2008/105/CE. Cette comparaison </w:t>
      </w:r>
      <w:r w:rsidRPr="00434E9D">
        <w:rPr>
          <w:strike/>
          <w:lang w:val="fr-FR"/>
        </w:rPr>
        <w:t xml:space="preserve">sera utilisée pour </w:t>
      </w:r>
      <w:proofErr w:type="spellStart"/>
      <w:r w:rsidRPr="00434E9D">
        <w:rPr>
          <w:strike/>
          <w:lang w:val="fr-FR"/>
        </w:rPr>
        <w:t>évaluer</w:t>
      </w:r>
      <w:r w:rsidRPr="00434E9D">
        <w:rPr>
          <w:b/>
          <w:i/>
          <w:lang w:val="fr-FR"/>
        </w:rPr>
        <w:t>devrait</w:t>
      </w:r>
      <w:proofErr w:type="spellEnd"/>
      <w:r w:rsidRPr="00434E9D">
        <w:rPr>
          <w:b/>
          <w:i/>
          <w:lang w:val="fr-FR"/>
        </w:rPr>
        <w:t xml:space="preserve"> figurer dans un rapport d’évaluation publié par la Commission, dans lequel cette dernière évalue</w:t>
      </w:r>
      <w:r w:rsidRPr="00434E9D">
        <w:rPr>
          <w:lang w:val="fr-FR"/>
        </w:rPr>
        <w:t xml:space="preserve"> si les méthodes de surveillance fondée sur les effets</w:t>
      </w:r>
      <w:r w:rsidRPr="00434E9D">
        <w:rPr>
          <w:b/>
          <w:i/>
          <w:lang w:val="fr-FR"/>
        </w:rPr>
        <w:t xml:space="preserve"> fournissent des données solides et précises et</w:t>
      </w:r>
      <w:r w:rsidRPr="00434E9D">
        <w:rPr>
          <w:lang w:val="fr-FR"/>
        </w:rPr>
        <w:t xml:space="preserve"> peuvent être utilisées comme méthodes de détection fiables. Utiliser de telles méthodes de détection aurait l’avantage de permettre de couvrir les effets de toutes les substances œstrogéniques ayant des effets similaires, et pas seulement celles répertoriées à l’annexe I de la directive 2008/105/CE. La </w:t>
      </w:r>
      <w:r w:rsidRPr="00434E9D">
        <w:rPr>
          <w:b/>
          <w:i/>
          <w:lang w:val="fr-FR"/>
        </w:rPr>
        <w:t xml:space="preserve">Commission devrait être habilitée à adopter des actes délégués venant compléter la directive 2008/105/CE afin de définir les modalités de l’utilisation par les États membres des méthodes de surveillance fondées sur les effets dans le but d’évaluer également la présence d’autres substances dans les masses d’eau, en prévision d’éventuelles futures valeurs de déclenchement fondées sur les effets. La </w:t>
      </w:r>
      <w:r w:rsidRPr="00434E9D">
        <w:rPr>
          <w:lang w:val="fr-FR"/>
        </w:rPr>
        <w:t>définition de la NQE dans la directive 2000/60/CE devrait être modifiée afin de garantir qu’elle pourra, à l’avenir, également couvrir les valeurs de déclenchement susceptibles d’être fixées pour évaluer les résultats de la surveillance fondée sur les effets.</w:t>
      </w:r>
      <w:r w:rsidR="00067EED" w:rsidRPr="00434E9D">
        <w:rPr>
          <w:lang w:val="fr-FR"/>
        </w:rPr>
        <w:t xml:space="preserve"> </w:t>
      </w:r>
      <w:r w:rsidR="00067EED" w:rsidRPr="00434E9D">
        <w:rPr>
          <w:b/>
          <w:lang w:val="fr-FR"/>
        </w:rPr>
        <w:t xml:space="preserve"> [Am. 35]</w:t>
      </w:r>
    </w:p>
    <w:p w14:paraId="265AC4A2" w14:textId="77777777" w:rsidR="00067EED" w:rsidRPr="00434E9D" w:rsidRDefault="00067EED">
      <w:pPr>
        <w:widowControl/>
        <w:rPr>
          <w:b/>
          <w:i/>
          <w:szCs w:val="24"/>
          <w:lang w:eastAsia="en-US"/>
        </w:rPr>
      </w:pPr>
      <w:r w:rsidRPr="00434E9D">
        <w:rPr>
          <w:b/>
          <w:i/>
        </w:rPr>
        <w:br w:type="page"/>
      </w:r>
    </w:p>
    <w:p w14:paraId="03363DD7" w14:textId="77777777" w:rsidR="008C3DE0" w:rsidRPr="00434E9D" w:rsidRDefault="00067EED" w:rsidP="008C3DE0">
      <w:pPr>
        <w:pStyle w:val="Considrant"/>
        <w:rPr>
          <w:b/>
          <w:lang w:val="fr-FR"/>
        </w:rPr>
      </w:pPr>
      <w:r w:rsidRPr="00434E9D">
        <w:rPr>
          <w:b/>
          <w:i/>
          <w:lang w:val="fr-FR"/>
        </w:rPr>
        <w:lastRenderedPageBreak/>
        <w:t>(11 bis</w:t>
      </w:r>
      <w:r w:rsidR="008C3DE0" w:rsidRPr="00434E9D">
        <w:rPr>
          <w:b/>
          <w:i/>
          <w:lang w:val="fr-FR"/>
        </w:rPr>
        <w:t>)</w:t>
      </w:r>
      <w:r w:rsidR="008C3DE0" w:rsidRPr="00434E9D">
        <w:rPr>
          <w:lang w:val="fr-FR"/>
        </w:rPr>
        <w:tab/>
      </w:r>
      <w:r w:rsidR="008C3DE0" w:rsidRPr="00434E9D">
        <w:rPr>
          <w:b/>
          <w:i/>
          <w:lang w:val="fr-FR"/>
        </w:rPr>
        <w:t>Il conviendrait d’établir des valeurs seuils plus strictes lorsque les normes de qualité des eaux souterraines sont susceptibles d’empêcher la réalisation des objectifs environnementaux de la directive 2000/60/CE pour les masses d’eau associées, comme exigé dans la directive 2006/118/CE. L’application de cette exigence de la directive 2006/118/CE devrait par ailleurs être étendue pour mieux protéger les sites vulnérables de la pollution.</w:t>
      </w:r>
      <w:r w:rsidRPr="00434E9D">
        <w:rPr>
          <w:b/>
          <w:i/>
          <w:lang w:val="fr-FR"/>
        </w:rPr>
        <w:t xml:space="preserve"> </w:t>
      </w:r>
      <w:r w:rsidRPr="00434E9D">
        <w:rPr>
          <w:b/>
          <w:lang w:val="fr-FR"/>
        </w:rPr>
        <w:t xml:space="preserve"> [Am. 36]</w:t>
      </w:r>
    </w:p>
    <w:p w14:paraId="52EF236B" w14:textId="77777777" w:rsidR="00067EED" w:rsidRPr="00434E9D" w:rsidRDefault="00067EED">
      <w:pPr>
        <w:widowControl/>
        <w:rPr>
          <w:szCs w:val="24"/>
          <w:lang w:eastAsia="en-US"/>
        </w:rPr>
      </w:pPr>
      <w:r w:rsidRPr="00434E9D">
        <w:br w:type="page"/>
      </w:r>
    </w:p>
    <w:p w14:paraId="3B2E9032" w14:textId="77777777" w:rsidR="008C3DE0" w:rsidRPr="00434E9D" w:rsidRDefault="008C3DE0" w:rsidP="008C3DE0">
      <w:pPr>
        <w:pStyle w:val="Considrant"/>
        <w:rPr>
          <w:b/>
          <w:lang w:val="fr-FR"/>
        </w:rPr>
      </w:pPr>
      <w:r w:rsidRPr="00434E9D">
        <w:rPr>
          <w:lang w:val="fr-FR"/>
        </w:rPr>
        <w:lastRenderedPageBreak/>
        <w:t>(12)</w:t>
      </w:r>
      <w:r w:rsidRPr="00434E9D">
        <w:rPr>
          <w:lang w:val="fr-FR"/>
        </w:rPr>
        <w:tab/>
        <w:t>L’évaluation de la législation de l’Union sur l’eau</w:t>
      </w:r>
      <w:r w:rsidRPr="00434E9D">
        <w:rPr>
          <w:rStyle w:val="FootnoteReference"/>
        </w:rPr>
        <w:footnoteReference w:id="42"/>
      </w:r>
      <w:r w:rsidRPr="00434E9D">
        <w:rPr>
          <w:lang w:val="fr-FR"/>
        </w:rPr>
        <w:t xml:space="preserve"> (ci-après, l’«évaluation») a conclu que le processus visant à recenser et à répertorier les polluants affectant les eaux de surface et les eaux souterraines et à fixer ou réviser des normes de qualité pour ceux-ci à la lumière des nouvelles connaissances scientifiques pourrait être accéléré. </w:t>
      </w:r>
      <w:r w:rsidRPr="00434E9D">
        <w:rPr>
          <w:strike/>
          <w:lang w:val="fr-FR"/>
        </w:rPr>
        <w:t xml:space="preserve">Si ces tâches étaient effectuées par la </w:t>
      </w:r>
      <w:proofErr w:type="spellStart"/>
      <w:r w:rsidRPr="00434E9D">
        <w:rPr>
          <w:strike/>
          <w:lang w:val="fr-FR"/>
        </w:rPr>
        <w:t>Commission</w:t>
      </w:r>
      <w:r w:rsidRPr="00434E9D">
        <w:rPr>
          <w:b/>
          <w:i/>
          <w:lang w:val="fr-FR"/>
        </w:rPr>
        <w:t>Par</w:t>
      </w:r>
      <w:proofErr w:type="spellEnd"/>
      <w:r w:rsidRPr="00434E9D">
        <w:rPr>
          <w:b/>
          <w:i/>
          <w:lang w:val="fr-FR"/>
        </w:rPr>
        <w:t xml:space="preserve"> conséquent</w:t>
      </w:r>
      <w:r w:rsidRPr="00434E9D">
        <w:rPr>
          <w:lang w:val="fr-FR"/>
        </w:rPr>
        <w:t>,</w:t>
      </w:r>
      <w:r w:rsidRPr="00434E9D">
        <w:rPr>
          <w:strike/>
          <w:lang w:val="fr-FR"/>
        </w:rPr>
        <w:t xml:space="preserve"> plutôt que</w:t>
      </w:r>
      <w:r w:rsidRPr="00434E9D">
        <w:rPr>
          <w:lang w:val="fr-FR"/>
        </w:rPr>
        <w:t xml:space="preserve"> dans le cadre de </w:t>
      </w:r>
      <w:r w:rsidRPr="00434E9D">
        <w:rPr>
          <w:strike/>
          <w:lang w:val="fr-FR"/>
        </w:rPr>
        <w:t xml:space="preserve">la procédure législative ordinaire comme le prévoient actuellement les articles 16 et 17 </w:t>
      </w:r>
      <w:proofErr w:type="spellStart"/>
      <w:r w:rsidRPr="00434E9D">
        <w:rPr>
          <w:strike/>
          <w:lang w:val="fr-FR"/>
        </w:rPr>
        <w:t>de</w:t>
      </w:r>
      <w:r w:rsidRPr="00434E9D">
        <w:rPr>
          <w:b/>
          <w:i/>
          <w:lang w:val="fr-FR"/>
        </w:rPr>
        <w:t>tout</w:t>
      </w:r>
      <w:proofErr w:type="spellEnd"/>
      <w:r w:rsidRPr="00434E9D">
        <w:rPr>
          <w:b/>
          <w:i/>
          <w:lang w:val="fr-FR"/>
        </w:rPr>
        <w:t xml:space="preserve"> futur réexamen de l’annexe I à</w:t>
      </w:r>
      <w:r w:rsidRPr="00434E9D">
        <w:rPr>
          <w:lang w:val="fr-FR"/>
        </w:rPr>
        <w:t xml:space="preserve"> la directive </w:t>
      </w:r>
      <w:r w:rsidRPr="00434E9D">
        <w:rPr>
          <w:strike/>
          <w:lang w:val="fr-FR"/>
        </w:rPr>
        <w:t>2000/60/CE et l’article 10</w:t>
      </w:r>
      <w:r w:rsidRPr="00434E9D">
        <w:rPr>
          <w:b/>
          <w:i/>
          <w:lang w:val="fr-FR"/>
        </w:rPr>
        <w:t>20</w:t>
      </w:r>
      <w:r w:rsidR="00710DD1">
        <w:rPr>
          <w:b/>
          <w:i/>
          <w:lang w:val="fr-FR"/>
        </w:rPr>
        <w:t>0</w:t>
      </w:r>
      <w:r w:rsidRPr="00434E9D">
        <w:rPr>
          <w:b/>
          <w:i/>
          <w:lang w:val="fr-FR"/>
        </w:rPr>
        <w:t>8/105/CE en ce qui concerne la liste des substances prioritaires et les NQE correspondantes figurant à la partie A de ladite annexe et à l’annexe I</w:t>
      </w:r>
      <w:r w:rsidRPr="00434E9D">
        <w:rPr>
          <w:lang w:val="fr-FR"/>
        </w:rPr>
        <w:t xml:space="preserve"> de la directive 2006/118/CE, le fonctionnement des mécanismes de liste de vigilance des eaux de surface et des eaux souterraines, en particulier le moment et la séquence de l’inscription sur la liste, de la surveillance et de l’évaluation des résultats, </w:t>
      </w:r>
      <w:proofErr w:type="spellStart"/>
      <w:r w:rsidRPr="00434E9D">
        <w:rPr>
          <w:strike/>
          <w:lang w:val="fr-FR"/>
        </w:rPr>
        <w:t>pourrait</w:t>
      </w:r>
      <w:r w:rsidRPr="00434E9D">
        <w:rPr>
          <w:b/>
          <w:i/>
          <w:lang w:val="fr-FR"/>
        </w:rPr>
        <w:t>devrait</w:t>
      </w:r>
      <w:proofErr w:type="spellEnd"/>
      <w:r w:rsidRPr="00434E9D">
        <w:rPr>
          <w:lang w:val="fr-FR"/>
        </w:rPr>
        <w:t xml:space="preserve"> être amélioré, les liens entre le mécanisme de la liste de vigilance et les réexamens des listes de polluants </w:t>
      </w:r>
      <w:proofErr w:type="spellStart"/>
      <w:r w:rsidRPr="00434E9D">
        <w:rPr>
          <w:strike/>
          <w:lang w:val="fr-FR"/>
        </w:rPr>
        <w:t>pourraient</w:t>
      </w:r>
      <w:r w:rsidRPr="00434E9D">
        <w:rPr>
          <w:b/>
          <w:i/>
          <w:lang w:val="fr-FR"/>
        </w:rPr>
        <w:t>devraient</w:t>
      </w:r>
      <w:proofErr w:type="spellEnd"/>
      <w:r w:rsidRPr="00434E9D">
        <w:rPr>
          <w:lang w:val="fr-FR"/>
        </w:rPr>
        <w:t xml:space="preserve"> être renforcés, et </w:t>
      </w:r>
      <w:r w:rsidRPr="00434E9D">
        <w:rPr>
          <w:strike/>
          <w:lang w:val="fr-FR"/>
        </w:rPr>
        <w:t xml:space="preserve">les modifications apportées </w:t>
      </w:r>
      <w:proofErr w:type="spellStart"/>
      <w:r w:rsidRPr="00434E9D">
        <w:rPr>
          <w:strike/>
          <w:lang w:val="fr-FR"/>
        </w:rPr>
        <w:t>aux</w:t>
      </w:r>
      <w:r w:rsidRPr="00434E9D">
        <w:rPr>
          <w:b/>
          <w:i/>
          <w:lang w:val="fr-FR"/>
        </w:rPr>
        <w:t>la</w:t>
      </w:r>
      <w:proofErr w:type="spellEnd"/>
      <w:r w:rsidRPr="00434E9D">
        <w:rPr>
          <w:b/>
          <w:i/>
          <w:lang w:val="fr-FR"/>
        </w:rPr>
        <w:t xml:space="preserve"> période de réexamen des</w:t>
      </w:r>
      <w:r w:rsidRPr="00434E9D">
        <w:rPr>
          <w:lang w:val="fr-FR"/>
        </w:rPr>
        <w:t xml:space="preserve"> listes de polluants </w:t>
      </w:r>
      <w:proofErr w:type="spellStart"/>
      <w:r w:rsidRPr="00434E9D">
        <w:rPr>
          <w:strike/>
          <w:lang w:val="fr-FR"/>
        </w:rPr>
        <w:t>pourraient</w:t>
      </w:r>
      <w:r w:rsidRPr="00434E9D">
        <w:rPr>
          <w:b/>
          <w:i/>
          <w:lang w:val="fr-FR"/>
        </w:rPr>
        <w:t>devrait</w:t>
      </w:r>
      <w:proofErr w:type="spellEnd"/>
      <w:r w:rsidRPr="00434E9D">
        <w:rPr>
          <w:b/>
          <w:i/>
          <w:lang w:val="fr-FR"/>
        </w:rPr>
        <w:t xml:space="preserve"> être ajustée afin de</w:t>
      </w:r>
      <w:r w:rsidRPr="00434E9D">
        <w:rPr>
          <w:lang w:val="fr-FR"/>
        </w:rPr>
        <w:t xml:space="preserve"> prendre le progrès scientifique en considération plus rapidement</w:t>
      </w:r>
      <w:r w:rsidRPr="00434E9D">
        <w:rPr>
          <w:strike/>
          <w:lang w:val="fr-FR"/>
        </w:rPr>
        <w:t>. Par conséquent, et au vu de la nécessité de modifier rapidement les listes de polluants et leurs NQE à la lumière des nouvelles connaissances scientifiques et techniques, le pouvoir d’adopter des actes conformément à l’article 290 du TFUE devrait être délégué à la Commission afin de modifier l’annexe I de la directive 2008/105/CE en ce qui concerne la liste de substances prioritaires et les NQE correspondantes figurant dans la partie A de ladite annexe, et de modifier l’annexe I de la directive 2006/118/CE en ce qui concerne la liste des polluants des eaux souterraines et les normes de qualité figurant dans ladite annexe</w:t>
      </w:r>
      <w:r w:rsidRPr="00434E9D">
        <w:rPr>
          <w:lang w:val="fr-FR"/>
        </w:rPr>
        <w:t>. Dans ce contexte, la Commission devrait prendre en considération les résultats de la surveillance des substances figurant sur les listes de vigilance des eaux de surface et des eaux souterraines. En conséquence, les articles 16 et 17 de la directive 2000/60/CE et l’annexe X de ladite directive, ainsi que l’article 10 de la directive 2006/118/CE, devraient être supprimés</w:t>
      </w:r>
      <w:r w:rsidRPr="00434E9D">
        <w:rPr>
          <w:b/>
          <w:i/>
          <w:lang w:val="fr-FR"/>
        </w:rPr>
        <w:t xml:space="preserve">, tout en conservant l’obligation de prendre des mesures visant à arrêter ou à supprimer progressivement les rejets, les </w:t>
      </w:r>
      <w:r w:rsidRPr="00434E9D">
        <w:rPr>
          <w:b/>
          <w:i/>
          <w:lang w:val="fr-FR"/>
        </w:rPr>
        <w:lastRenderedPageBreak/>
        <w:t>émissions et les pertes de substances dangereuses prioritaires</w:t>
      </w:r>
      <w:r w:rsidRPr="00434E9D">
        <w:rPr>
          <w:lang w:val="fr-FR"/>
        </w:rPr>
        <w:t>.</w:t>
      </w:r>
      <w:r w:rsidR="00067EED" w:rsidRPr="00434E9D">
        <w:rPr>
          <w:lang w:val="fr-FR"/>
        </w:rPr>
        <w:t xml:space="preserve"> </w:t>
      </w:r>
      <w:r w:rsidR="00067EED" w:rsidRPr="00434E9D">
        <w:rPr>
          <w:b/>
          <w:lang w:val="fr-FR"/>
        </w:rPr>
        <w:t xml:space="preserve"> [Am. 37]</w:t>
      </w:r>
    </w:p>
    <w:p w14:paraId="045EB438" w14:textId="77777777" w:rsidR="00067EED" w:rsidRPr="00434E9D" w:rsidRDefault="00067EED">
      <w:pPr>
        <w:widowControl/>
        <w:rPr>
          <w:b/>
          <w:i/>
          <w:szCs w:val="24"/>
          <w:lang w:eastAsia="en-US"/>
        </w:rPr>
      </w:pPr>
      <w:r w:rsidRPr="00434E9D">
        <w:rPr>
          <w:b/>
          <w:i/>
        </w:rPr>
        <w:br w:type="page"/>
      </w:r>
    </w:p>
    <w:p w14:paraId="40348AF5" w14:textId="77777777" w:rsidR="008C3DE0" w:rsidRPr="00434E9D" w:rsidRDefault="008C3DE0" w:rsidP="008C3DE0">
      <w:pPr>
        <w:pStyle w:val="Considrant"/>
        <w:rPr>
          <w:b/>
          <w:lang w:val="fr-FR"/>
        </w:rPr>
      </w:pPr>
      <w:r w:rsidRPr="00434E9D">
        <w:rPr>
          <w:b/>
          <w:i/>
          <w:lang w:val="fr-FR"/>
        </w:rPr>
        <w:lastRenderedPageBreak/>
        <w:t>(12 bis)</w:t>
      </w:r>
      <w:r w:rsidRPr="00434E9D">
        <w:rPr>
          <w:b/>
          <w:i/>
          <w:lang w:val="fr-FR"/>
        </w:rPr>
        <w:tab/>
        <w:t>Dans l’ensemble, les conclusions du bilan de qualité indiquent que les directives sont largement adaptées à leur objectif, avec une marge d’amélioration, notamment l’accélération de la mise en œuvre proprement dite de leurs objectifs, qui pourrait être obtenue grâce à davantage de financements de l’Union. L’évaluation indique que, jusqu’à présent, les directives ont conduit dans l’ensemble à une amélioration de la protection des masses d’eau et de la gestion des risques d’inondation.</w:t>
      </w:r>
      <w:r w:rsidR="00067EED" w:rsidRPr="00434E9D">
        <w:rPr>
          <w:b/>
          <w:i/>
          <w:lang w:val="fr-FR"/>
        </w:rPr>
        <w:t xml:space="preserve"> </w:t>
      </w:r>
      <w:r w:rsidR="00067EED" w:rsidRPr="00434E9D">
        <w:rPr>
          <w:b/>
          <w:lang w:val="fr-FR"/>
        </w:rPr>
        <w:t xml:space="preserve"> [Am. 38]</w:t>
      </w:r>
    </w:p>
    <w:p w14:paraId="3AC39ED6" w14:textId="77777777" w:rsidR="00067EED" w:rsidRPr="00434E9D" w:rsidRDefault="00067EED">
      <w:pPr>
        <w:widowControl/>
        <w:rPr>
          <w:szCs w:val="24"/>
          <w:lang w:eastAsia="en-US"/>
        </w:rPr>
      </w:pPr>
      <w:r w:rsidRPr="00434E9D">
        <w:br w:type="page"/>
      </w:r>
    </w:p>
    <w:p w14:paraId="7DB15CAB" w14:textId="77777777" w:rsidR="008C3DE0" w:rsidRPr="00434E9D" w:rsidRDefault="008C3DE0" w:rsidP="008C3DE0">
      <w:pPr>
        <w:pStyle w:val="Considrant"/>
        <w:rPr>
          <w:lang w:val="fr-FR"/>
        </w:rPr>
      </w:pPr>
      <w:r w:rsidRPr="00434E9D">
        <w:rPr>
          <w:lang w:val="fr-FR"/>
        </w:rPr>
        <w:lastRenderedPageBreak/>
        <w:t>(13)</w:t>
      </w:r>
      <w:r w:rsidRPr="00434E9D">
        <w:rPr>
          <w:lang w:val="fr-FR"/>
        </w:rPr>
        <w:tab/>
        <w:t>L’évaluation a également conclu qu’il existait une variation trop importante entre les États membres concernant les normes de qualité et les valeurs seuils fixées au niveau national pour les polluants spécifiques à un bassin hydrographique et les polluants des eaux souterraines, respectivement. Jusqu’ici, les polluants spécifiques à un bassin hydrographique non recensés parmi les substances prioritaires au titre de la directive 2000/60/CE étaient soumis à des NQE nationales et étaient pris en compte comme des éléments de qualité physico-chimique à l’appui de l’évaluation de l’état écologique des eaux de surface. Dans les eaux souterraines, les États membres ont également eu la possibilité de fixer leurs propres valeurs seuils, même pour les substances synthétiques produites par l’homme. Cette flexibilité a donné des résultats sous-optimaux sur le plan de la comparabilité de l’état des masses d’eau entre les États membres et en matière de protection de l’environnement. Il est donc nécessaire de prévoir une procédure qui permette de parvenir à un accord au niveau de l’Union concernant les NQE et les valeurs seuils à appliquer pour ces substances si elles sont jugées préoccupantes à l’échelle nationale et d’établir un référentiel des NQE et valeurs seuils applicables.</w:t>
      </w:r>
    </w:p>
    <w:p w14:paraId="183CFFAA" w14:textId="77777777" w:rsidR="00067EED" w:rsidRPr="00434E9D" w:rsidRDefault="00067EED">
      <w:pPr>
        <w:widowControl/>
        <w:rPr>
          <w:b/>
          <w:i/>
          <w:szCs w:val="24"/>
          <w:lang w:eastAsia="en-US"/>
        </w:rPr>
      </w:pPr>
      <w:r w:rsidRPr="00434E9D">
        <w:rPr>
          <w:b/>
          <w:i/>
        </w:rPr>
        <w:br w:type="page"/>
      </w:r>
    </w:p>
    <w:p w14:paraId="7728D3D4" w14:textId="77777777" w:rsidR="008C3DE0" w:rsidRPr="00434E9D" w:rsidRDefault="00067EED" w:rsidP="008C3DE0">
      <w:pPr>
        <w:pStyle w:val="Considrant"/>
        <w:rPr>
          <w:b/>
          <w:lang w:val="fr-FR"/>
        </w:rPr>
      </w:pPr>
      <w:r w:rsidRPr="00434E9D">
        <w:rPr>
          <w:b/>
          <w:i/>
          <w:lang w:val="fr-FR"/>
        </w:rPr>
        <w:lastRenderedPageBreak/>
        <w:t>(13 bis</w:t>
      </w:r>
      <w:r w:rsidR="008C3DE0" w:rsidRPr="00434E9D">
        <w:rPr>
          <w:b/>
          <w:i/>
          <w:lang w:val="fr-FR"/>
        </w:rPr>
        <w:t>)</w:t>
      </w:r>
      <w:r w:rsidR="008C3DE0" w:rsidRPr="00434E9D">
        <w:rPr>
          <w:lang w:val="fr-FR"/>
        </w:rPr>
        <w:tab/>
      </w:r>
      <w:r w:rsidR="008C3DE0" w:rsidRPr="00434E9D">
        <w:rPr>
          <w:b/>
          <w:i/>
          <w:lang w:val="fr-FR"/>
        </w:rPr>
        <w:t>Toute décision relative à la sélection de substances, à leur examen et à la fixation d’une norme de qualité environnementale (NQE) devrait s’appuyer sur une évaluation des risques et suivre une démarche proportionnée, transparente et scientifique et tenir compte des recommandations du Parlement européen, des États membres et des parties prenantes pertinentes.</w:t>
      </w:r>
      <w:r w:rsidRPr="00434E9D">
        <w:rPr>
          <w:b/>
          <w:i/>
          <w:lang w:val="fr-FR"/>
        </w:rPr>
        <w:t xml:space="preserve"> </w:t>
      </w:r>
      <w:r w:rsidRPr="00434E9D">
        <w:rPr>
          <w:b/>
          <w:lang w:val="fr-FR"/>
        </w:rPr>
        <w:t xml:space="preserve"> [Am. 39]</w:t>
      </w:r>
    </w:p>
    <w:p w14:paraId="74535942" w14:textId="77777777" w:rsidR="008C3DE0" w:rsidRPr="00434E9D" w:rsidRDefault="00067EED" w:rsidP="008C3DE0">
      <w:pPr>
        <w:pStyle w:val="Considrant"/>
        <w:rPr>
          <w:b/>
          <w:lang w:val="fr-FR"/>
        </w:rPr>
      </w:pPr>
      <w:r w:rsidRPr="00434E9D">
        <w:rPr>
          <w:b/>
          <w:i/>
          <w:lang w:val="fr-FR"/>
        </w:rPr>
        <w:t>(13 ter</w:t>
      </w:r>
      <w:r w:rsidR="008C3DE0" w:rsidRPr="00434E9D">
        <w:rPr>
          <w:b/>
          <w:i/>
          <w:lang w:val="fr-FR"/>
        </w:rPr>
        <w:t>)</w:t>
      </w:r>
      <w:r w:rsidR="008C3DE0" w:rsidRPr="00434E9D">
        <w:rPr>
          <w:lang w:val="fr-FR"/>
        </w:rPr>
        <w:tab/>
      </w:r>
      <w:r w:rsidR="008C3DE0" w:rsidRPr="00434E9D">
        <w:rPr>
          <w:b/>
          <w:i/>
          <w:lang w:val="fr-FR"/>
        </w:rPr>
        <w:t>Bien que la directive 2000/60/CE ait défini les règles nécessaires permettant d’accroître la quantité d’eau et à améliorer sa qualité, le bilan de qualité a montré que la lenteur des progrès en ce qui concerne la réalisation des objectifs de cette directive peut être attribuée, entre autres, à un manque de ressources financières et à une complexité écologique et réglementaire, notamment les décalages temporels entre les mesures et la réaction des eaux souterraines ou pour ce qui est des calendriers de déclaration. Les mesures qui améliorent l’état des masses d’eau par la restauration des rivières et des services écosystémiques apportent des avantages financiers qui surpassent les coûts qu’elles représentent et pourraient réduire les dépenses non nécessaires des États membres. En outre, l’évaluation met en avant une absence de mise en œuvre, un champ d’application insuffisant et des mesures de restauration insuffisantes ou inadéquates pour garantir une connectivité hydrologique et écologique</w:t>
      </w:r>
      <w:r w:rsidR="008C3DE0" w:rsidRPr="00434E9D">
        <w:rPr>
          <w:rStyle w:val="FootnoteReference"/>
        </w:rPr>
        <w:footnoteReference w:id="43"/>
      </w:r>
      <w:r w:rsidR="008C3DE0" w:rsidRPr="00434E9D">
        <w:rPr>
          <w:b/>
          <w:i/>
          <w:lang w:val="fr-FR"/>
        </w:rPr>
        <w:t>.</w:t>
      </w:r>
      <w:r w:rsidRPr="00434E9D">
        <w:rPr>
          <w:b/>
          <w:i/>
          <w:lang w:val="fr-FR"/>
        </w:rPr>
        <w:t xml:space="preserve"> </w:t>
      </w:r>
      <w:r w:rsidRPr="00434E9D">
        <w:rPr>
          <w:b/>
          <w:lang w:val="fr-FR"/>
        </w:rPr>
        <w:t xml:space="preserve"> [Am. 40]</w:t>
      </w:r>
    </w:p>
    <w:p w14:paraId="3C9432E3" w14:textId="77777777" w:rsidR="00067EED" w:rsidRPr="00434E9D" w:rsidRDefault="00067EED">
      <w:pPr>
        <w:widowControl/>
        <w:rPr>
          <w:szCs w:val="24"/>
          <w:lang w:eastAsia="en-US"/>
        </w:rPr>
      </w:pPr>
      <w:r w:rsidRPr="00434E9D">
        <w:br w:type="page"/>
      </w:r>
    </w:p>
    <w:p w14:paraId="1C70F653" w14:textId="77777777" w:rsidR="008C3DE0" w:rsidRPr="00434E9D" w:rsidRDefault="008C3DE0" w:rsidP="008C3DE0">
      <w:pPr>
        <w:pStyle w:val="Considrant"/>
        <w:rPr>
          <w:lang w:val="fr-FR"/>
        </w:rPr>
      </w:pPr>
      <w:r w:rsidRPr="00434E9D">
        <w:rPr>
          <w:lang w:val="fr-FR"/>
        </w:rPr>
        <w:lastRenderedPageBreak/>
        <w:t>(14)</w:t>
      </w:r>
      <w:r w:rsidRPr="00434E9D">
        <w:rPr>
          <w:lang w:val="fr-FR"/>
        </w:rPr>
        <w:tab/>
        <w:t>Par ailleurs, l’intégration des polluants spécifiques à un bassin hydrographique dans la définition de l’état chimique des eaux de surface garantit une approche plus coordonnée, cohérente et transparente en matière de surveillance et d’évaluation de l’état chimique des masses d’eau de surface et de l’information au public en la matière. Elle facilite aussi une approche plus ciblée pour définir et mettre en œuvre des mesures en vue de résoudre tous les problèmes «chimiques» de façon plus globale, efficace et efficiente. Les définitions d’«état écologique» et d’«état chimique» devraient donc être modifiées et la portée de l’«état chimique» devrait être élargie pour également couvrir les polluants spécifiques à un bassin hydrographique, qui faisaient jusqu’ici partie de la définition de l’«état écologique» de l’annexe V de la directive 2000/60/CE. En conséquence, le concept de NQE pour les polluants spécifiques à un bassin hydrographique et les procédures qui s’y rapportent devraient être inclus à la directive 2008/105/CE.</w:t>
      </w:r>
    </w:p>
    <w:p w14:paraId="34A6890C" w14:textId="77777777" w:rsidR="008C3DE0" w:rsidRPr="00434E9D" w:rsidRDefault="008C3DE0" w:rsidP="008C3DE0">
      <w:pPr>
        <w:pStyle w:val="Considrant"/>
        <w:rPr>
          <w:b/>
          <w:lang w:val="fr-FR"/>
        </w:rPr>
      </w:pPr>
      <w:r w:rsidRPr="00434E9D">
        <w:rPr>
          <w:lang w:val="fr-FR"/>
        </w:rPr>
        <w:t>(15)</w:t>
      </w:r>
      <w:r w:rsidRPr="00434E9D">
        <w:rPr>
          <w:lang w:val="fr-FR"/>
        </w:rPr>
        <w:tab/>
        <w:t xml:space="preserve">Afin de garantir une approche harmonisée et des conditions égales pour tous dans l’Union, le pouvoir d’adopter des actes conformément à l’article 290 du TFUE devrait être délégué à la Commission afin de modifier l’annexe II, partie B, de la directive 2006/118/CE en adaptant la liste des polluants pour lesquels les États membres doivent </w:t>
      </w:r>
      <w:r w:rsidRPr="00434E9D">
        <w:rPr>
          <w:strike/>
          <w:lang w:val="fr-FR"/>
        </w:rPr>
        <w:t>envisager d’</w:t>
      </w:r>
      <w:r w:rsidRPr="00434E9D">
        <w:rPr>
          <w:b/>
          <w:i/>
          <w:lang w:val="fr-FR"/>
        </w:rPr>
        <w:t>établir</w:t>
      </w:r>
      <w:r w:rsidRPr="00434E9D">
        <w:rPr>
          <w:lang w:val="fr-FR"/>
        </w:rPr>
        <w:t xml:space="preserve"> des valeurs seuils nationales.</w:t>
      </w:r>
      <w:r w:rsidR="00067EED" w:rsidRPr="00434E9D">
        <w:rPr>
          <w:lang w:val="fr-FR"/>
        </w:rPr>
        <w:t xml:space="preserve"> </w:t>
      </w:r>
      <w:r w:rsidR="00067EED" w:rsidRPr="00434E9D">
        <w:rPr>
          <w:b/>
          <w:lang w:val="fr-FR"/>
        </w:rPr>
        <w:t xml:space="preserve"> [Am. 41]</w:t>
      </w:r>
    </w:p>
    <w:p w14:paraId="73E4625B" w14:textId="77777777" w:rsidR="00067EED" w:rsidRPr="00434E9D" w:rsidRDefault="00067EED">
      <w:pPr>
        <w:widowControl/>
        <w:rPr>
          <w:szCs w:val="24"/>
          <w:lang w:eastAsia="en-US"/>
        </w:rPr>
      </w:pPr>
      <w:r w:rsidRPr="00434E9D">
        <w:br w:type="page"/>
      </w:r>
    </w:p>
    <w:p w14:paraId="1B9E2476" w14:textId="77777777" w:rsidR="008C3DE0" w:rsidRPr="00434E9D" w:rsidRDefault="008C3DE0" w:rsidP="008C3DE0">
      <w:pPr>
        <w:pStyle w:val="Considrant"/>
        <w:rPr>
          <w:lang w:val="fr-FR"/>
        </w:rPr>
      </w:pPr>
      <w:r w:rsidRPr="00434E9D">
        <w:rPr>
          <w:lang w:val="fr-FR"/>
        </w:rPr>
        <w:lastRenderedPageBreak/>
        <w:t>(16)</w:t>
      </w:r>
      <w:r w:rsidRPr="00434E9D">
        <w:rPr>
          <w:lang w:val="fr-FR"/>
        </w:rPr>
        <w:tab/>
        <w:t>Au vu de la nécessité de s’adapter rapidement aux connaissances scientifiques et techniques et de garantir une approche harmonisée et des conditions égales pour tous dans l’Union en ce qui concerne les polluants spécifiques à un bassin hydrographique, le pouvoir d’adopter des actes conformément à l’article 290 TFUE devrait être délégué à la Commission afin d’adapter l’annexe II de la directive 2008/105/CE en ce qui concerne la liste des catégories de polluants figurant dans la partie A de ladite annexe et d’adapter l’annexe II, partie C, en ce qui concerne les NQE harmonisées pour les polluants spécifiques à un bassin hydrographique ou groupes de ces polluants. Ces NQE harmonisées devraient être appliquées par les États membres au moment d’évaluer l’état de leurs masses d’eau de surface lorsqu’un risque a été décelé en provenance de ces polluants.</w:t>
      </w:r>
    </w:p>
    <w:p w14:paraId="1CE98FD2" w14:textId="77777777" w:rsidR="008C3DE0" w:rsidRPr="00434E9D" w:rsidRDefault="008C3DE0" w:rsidP="008C3DE0">
      <w:pPr>
        <w:pStyle w:val="Considrant"/>
        <w:rPr>
          <w:lang w:val="fr-FR"/>
        </w:rPr>
      </w:pPr>
      <w:r w:rsidRPr="00434E9D">
        <w:rPr>
          <w:lang w:val="fr-FR"/>
        </w:rPr>
        <w:t>(17)</w:t>
      </w:r>
      <w:r w:rsidRPr="00434E9D">
        <w:rPr>
          <w:lang w:val="fr-FR"/>
        </w:rPr>
        <w:tab/>
        <w:t>Le réexamen de la liste des substances prioritaires figurant à l’annexe I, partie A, de la directive 2008/105/CE a permis de conclure que plusieurs substances prioritaires n’étaient plus préoccupantes à l’échelle de l’Union et ne devraient donc plus figurer à l’annexe I, partie A, de ladite directive. Ces substances devraient donc être considérées comme des polluants spécifiques à un bassin hydrographique et figurer à l’annexe II, partie C, de la directive 2008/105/CE accompagnées de leurs NQE. Étant donné que ces polluants ne sont plus considérés comme préoccupants à l’échelle de l’Union, les NQE ne doivent être appliquées que lorsque ces polluants pourraient encore être préoccupants à l’échelle nationale, régionale ou locale.</w:t>
      </w:r>
    </w:p>
    <w:p w14:paraId="473F33AB" w14:textId="77777777" w:rsidR="00067EED" w:rsidRPr="00434E9D" w:rsidRDefault="00067EED">
      <w:pPr>
        <w:widowControl/>
        <w:rPr>
          <w:szCs w:val="24"/>
          <w:lang w:eastAsia="en-US"/>
        </w:rPr>
      </w:pPr>
      <w:r w:rsidRPr="00434E9D">
        <w:br w:type="page"/>
      </w:r>
    </w:p>
    <w:p w14:paraId="5EAE12CB" w14:textId="77777777" w:rsidR="008C3DE0" w:rsidRPr="00434E9D" w:rsidRDefault="008C3DE0" w:rsidP="008C3DE0">
      <w:pPr>
        <w:pStyle w:val="Considrant"/>
        <w:rPr>
          <w:lang w:val="fr-FR"/>
        </w:rPr>
      </w:pPr>
      <w:r w:rsidRPr="00434E9D">
        <w:rPr>
          <w:lang w:val="fr-FR"/>
        </w:rPr>
        <w:lastRenderedPageBreak/>
        <w:t>(18)</w:t>
      </w:r>
      <w:r w:rsidRPr="00434E9D">
        <w:rPr>
          <w:lang w:val="fr-FR"/>
        </w:rPr>
        <w:tab/>
        <w:t>Afin de garantir des conditions égales pour tous et de permettre de comparer l’état des masses d’eau entre les États membres, il y a lieu d’harmoniser les valeurs seuils nationales pour certains polluants des eaux souterraines. Il y a donc lieu d’introduire un référentiel des valeurs seuils harmonisées pour les polluants des eaux souterraines préoccupants à l’échelle nationale, régionale ou locale en tant que nouvelle partie D de l’annexe II de la directive 2006/118/CE. Les seuils harmonisés figurant dans ce référentiel doivent uniquement être appliqués dans les États membres dans lesquels les polluants soumis à ces seuils affectent l’état des eaux souterraines. Pour la somme des deux polluants synthétiques que sont le trichloroéthylène et le tétrachloroéthylène, il est nécessaire d’harmoniser les valeurs seuils nationales étant donné que tous les États membres dans lesquels les polluants sont pertinents n’appliquent pas une valeur seuil pour la somme de ces polluants et que les valeurs seuils nationales fixées ne sont pas toutes identiques. La valeur seuil harmonisée devrait concorder avec la valeur paramétrique fixée pour la somme de ces polluants dans l’eau potable au titre de la directive (UE) 2020/2184.</w:t>
      </w:r>
    </w:p>
    <w:p w14:paraId="5713D042" w14:textId="77777777" w:rsidR="008C3DE0" w:rsidRPr="00434E9D" w:rsidRDefault="008C3DE0" w:rsidP="008C3DE0">
      <w:pPr>
        <w:pStyle w:val="Considrant"/>
        <w:rPr>
          <w:lang w:val="fr-FR"/>
        </w:rPr>
      </w:pPr>
      <w:r w:rsidRPr="00434E9D">
        <w:rPr>
          <w:lang w:val="fr-FR"/>
        </w:rPr>
        <w:t>(19)</w:t>
      </w:r>
      <w:r w:rsidRPr="00434E9D">
        <w:rPr>
          <w:lang w:val="fr-FR"/>
        </w:rPr>
        <w:tab/>
        <w:t>Afin de garantir une approche harmonisée et des conditions équivalentes pour tous dans l’Union, le pouvoir d’adopter des actes conformément à l’article 290 du TFUE devrait être délégué à la Commission pour modifier l’annexe II, partie D, de la directive 2006/118/CE afin d’adapter le référentiel de valeurs seuils harmonisées en ce qui concerne les polluants figurant sur la liste et les valeurs seuils harmonisées au progrès technique et scientifique.</w:t>
      </w:r>
    </w:p>
    <w:p w14:paraId="2E295E00" w14:textId="77777777" w:rsidR="00067EED" w:rsidRPr="00434E9D" w:rsidRDefault="00067EED">
      <w:pPr>
        <w:widowControl/>
        <w:rPr>
          <w:szCs w:val="24"/>
          <w:lang w:eastAsia="en-US"/>
        </w:rPr>
      </w:pPr>
      <w:r w:rsidRPr="00434E9D">
        <w:br w:type="page"/>
      </w:r>
    </w:p>
    <w:p w14:paraId="040800AB" w14:textId="77777777" w:rsidR="008C3DE0" w:rsidRPr="00434E9D" w:rsidRDefault="008C3DE0" w:rsidP="008C3DE0">
      <w:pPr>
        <w:pStyle w:val="Considrant"/>
        <w:rPr>
          <w:lang w:val="fr-FR"/>
        </w:rPr>
      </w:pPr>
      <w:r w:rsidRPr="00434E9D">
        <w:rPr>
          <w:lang w:val="fr-FR"/>
        </w:rPr>
        <w:lastRenderedPageBreak/>
        <w:t>(20)</w:t>
      </w:r>
      <w:r w:rsidRPr="00434E9D">
        <w:rPr>
          <w:lang w:val="fr-FR"/>
        </w:rPr>
        <w:tab/>
        <w:t>Toutes les dispositions de la directive 2006/118/CE relatives à l’évaluation de l’état chimique des eaux souterraines devraient être adaptées à l’introduction de la troisième catégorie de valeurs seuils harmonisées à l’annexe II, partie D, de ladite directive, en plus des normes de qualité figurant à l’annexe I de ladite directive et des valeurs seuils nationales fixées conformément à la méthode décrite à l’annexe II, partie A, de ladite directive.</w:t>
      </w:r>
    </w:p>
    <w:p w14:paraId="420E4B5B" w14:textId="77777777" w:rsidR="008C3DE0" w:rsidRPr="00434E9D" w:rsidRDefault="00067EED" w:rsidP="008C3DE0">
      <w:pPr>
        <w:pStyle w:val="Considrant"/>
        <w:rPr>
          <w:b/>
          <w:lang w:val="fr-FR"/>
        </w:rPr>
      </w:pPr>
      <w:r w:rsidRPr="00434E9D">
        <w:rPr>
          <w:b/>
          <w:i/>
          <w:lang w:val="fr-FR"/>
        </w:rPr>
        <w:t>(20 bis</w:t>
      </w:r>
      <w:r w:rsidR="008C3DE0" w:rsidRPr="00434E9D">
        <w:rPr>
          <w:b/>
          <w:i/>
          <w:lang w:val="fr-FR"/>
        </w:rPr>
        <w:t>)</w:t>
      </w:r>
      <w:r w:rsidR="008C3DE0" w:rsidRPr="00434E9D">
        <w:rPr>
          <w:lang w:val="fr-FR"/>
        </w:rPr>
        <w:tab/>
      </w:r>
      <w:r w:rsidR="008C3DE0" w:rsidRPr="00434E9D">
        <w:rPr>
          <w:b/>
          <w:i/>
          <w:lang w:val="fr-FR"/>
        </w:rPr>
        <w:t>Afin de prévoir des normes adéquates en matière de protection des zones à haute valeur écologique, vulnérables ou polluées, telles que les grottes et les zones karstiques, qui abritent des écosystèmes parmi les plus vulnérables à la contamination et représentent d’importantes sources en eau potable, ainsi que des anciens sites industriels et autres zones dont la contamination historique est connue, la Commission devrait publier une évaluation de l’état chimique de ces zones et, le cas échéant, présenter une proposition législative visant à réviser la directive 2006/118/CE en conséquence.</w:t>
      </w:r>
      <w:r w:rsidRPr="00434E9D">
        <w:rPr>
          <w:b/>
          <w:i/>
          <w:lang w:val="fr-FR"/>
        </w:rPr>
        <w:t xml:space="preserve"> </w:t>
      </w:r>
      <w:r w:rsidRPr="00434E9D">
        <w:rPr>
          <w:b/>
          <w:lang w:val="fr-FR"/>
        </w:rPr>
        <w:t xml:space="preserve"> [Am. 42]</w:t>
      </w:r>
    </w:p>
    <w:p w14:paraId="396DB47B" w14:textId="77777777" w:rsidR="00067EED" w:rsidRPr="00434E9D" w:rsidRDefault="00067EED">
      <w:pPr>
        <w:widowControl/>
        <w:rPr>
          <w:szCs w:val="24"/>
          <w:lang w:eastAsia="en-US"/>
        </w:rPr>
      </w:pPr>
      <w:r w:rsidRPr="00434E9D">
        <w:br w:type="page"/>
      </w:r>
    </w:p>
    <w:p w14:paraId="40B1A508" w14:textId="77777777" w:rsidR="008C3DE0" w:rsidRPr="00434E9D" w:rsidRDefault="008C3DE0" w:rsidP="008C3DE0">
      <w:pPr>
        <w:pStyle w:val="Considrant"/>
        <w:rPr>
          <w:b/>
          <w:lang w:val="fr-FR"/>
        </w:rPr>
      </w:pPr>
      <w:r w:rsidRPr="00434E9D">
        <w:rPr>
          <w:lang w:val="fr-FR"/>
        </w:rPr>
        <w:lastRenderedPageBreak/>
        <w:t>(21)</w:t>
      </w:r>
      <w:r w:rsidRPr="00434E9D">
        <w:rPr>
          <w:lang w:val="fr-FR"/>
        </w:rPr>
        <w:tab/>
        <w:t>Afin de garantir une prise de décision efficace et cohérente et de développer des synergies avec les travaux entrepris dans le cadre d’autres actes législatifs de l’Union sur les produits chimiques, l’Agence européenne des produits chimiques (ci-après, l’«ECHA») devrait se voir confier un rôle permanent et clairement défini dans la détermination des substances à inscrire en priorité sur les listes de vigilance et sur les listes de substances dans les annexes I et II de la directive 2008/105/CE et les annexes I et II de la directive 2006/118/CE, et dans l’établissement de normes de qualité appropriées fondées sur des données scientifiques. Le comité d’évaluation des risques et le comité d’analyse socioéconomique de l’ECHA devraient faciliter l’exécution de certaines tâches confiées à l’ECHA en rendant des avis. L’ECHA devrait également garantir une meilleure coordination entre différents actes législatifs environnementaux grâce à une plus grande transparence à l’égard des polluants présents sur une liste de vigilance ou de l’établissement de NQE ou de seuils à l’échelle de l’Union ou des États membres en rendant publics les rapports scientifiques pertinents.</w:t>
      </w:r>
      <w:r w:rsidRPr="00434E9D">
        <w:rPr>
          <w:b/>
          <w:i/>
          <w:lang w:val="fr-FR"/>
        </w:rPr>
        <w:t xml:space="preserve"> En ce qui concerne l’évaluation des valeurs seuil des substances pharmaceutiques, l’ECHA devrait coopérer avec l’Agence européenne des médicaments (EMA).</w:t>
      </w:r>
      <w:r w:rsidR="00067EED" w:rsidRPr="00434E9D">
        <w:rPr>
          <w:b/>
          <w:i/>
          <w:lang w:val="fr-FR"/>
        </w:rPr>
        <w:t xml:space="preserve"> </w:t>
      </w:r>
      <w:r w:rsidR="00067EED" w:rsidRPr="00434E9D">
        <w:rPr>
          <w:b/>
          <w:lang w:val="fr-FR"/>
        </w:rPr>
        <w:t xml:space="preserve"> [Am. 43]</w:t>
      </w:r>
    </w:p>
    <w:p w14:paraId="7A14EF48" w14:textId="77777777" w:rsidR="00067EED" w:rsidRPr="00434E9D" w:rsidRDefault="00067EED">
      <w:pPr>
        <w:widowControl/>
        <w:rPr>
          <w:szCs w:val="24"/>
          <w:lang w:eastAsia="en-US"/>
        </w:rPr>
      </w:pPr>
      <w:r w:rsidRPr="00434E9D">
        <w:br w:type="page"/>
      </w:r>
    </w:p>
    <w:p w14:paraId="102C9306" w14:textId="77777777" w:rsidR="008C3DE0" w:rsidRPr="00434E9D" w:rsidRDefault="008C3DE0" w:rsidP="008C3DE0">
      <w:pPr>
        <w:pStyle w:val="Considrant"/>
        <w:rPr>
          <w:lang w:val="fr-FR"/>
        </w:rPr>
      </w:pPr>
      <w:r w:rsidRPr="00434E9D">
        <w:rPr>
          <w:lang w:val="fr-FR"/>
        </w:rPr>
        <w:lastRenderedPageBreak/>
        <w:t>(22)</w:t>
      </w:r>
      <w:r w:rsidRPr="00434E9D">
        <w:rPr>
          <w:lang w:val="fr-FR"/>
        </w:rPr>
        <w:tab/>
        <w:t>L’évaluation a conclu qu’une transmission électronique de données plus fréquente et rationalisée était nécessaire pour favoriser une meilleure mise en œuvre et un meilleur contrôle de l’exécution de la législation de l’Union sur l’eau. Eu égard à son rôle consistant également à surveiller plus régulièrement l’état de la pollution, tel que décrit dans le plan d’action «zéro pollution», l’Agence européenne pour l’environnement (AEE) devrait faciliter cette transmission de données plus fréquente et rationalisée par les États membres. Il est important que les informations environnementales sur l’état des eaux de surface et des eaux souterraines de l’Union soient mises à la disposition du public et de la Commission en temps utile. Les États membres devraient donc être tenus de mettre à la disposition de la Commission et de l’AEE les données de surveillance recueillies dans le cadre de la directive 2000/60/CE, en recourant aux mécanismes de déclaration et de transmission de données automatiques en utilisant l’interface de programme d’application ou des mécanismes équivalents. La charge administrative devrait être limitée dans la mesure où les États membres sont déjà tenus de rendre publics des thèmes de données géographiques au titre de la directive 2007/2/CE du Parlement européen et du Conseil</w:t>
      </w:r>
      <w:r w:rsidRPr="00434E9D">
        <w:rPr>
          <w:rStyle w:val="FootnoteReference"/>
        </w:rPr>
        <w:footnoteReference w:id="44"/>
      </w:r>
      <w:r w:rsidRPr="00434E9D">
        <w:rPr>
          <w:lang w:val="fr-FR"/>
        </w:rPr>
        <w:t xml:space="preserve"> ainsi qu’au titre de la directive (UE) 2019/1024 du Parlement européen et du Conseil</w:t>
      </w:r>
      <w:r w:rsidRPr="00434E9D">
        <w:rPr>
          <w:rStyle w:val="FootnoteReference"/>
        </w:rPr>
        <w:footnoteReference w:id="45"/>
      </w:r>
      <w:r w:rsidRPr="00434E9D">
        <w:rPr>
          <w:lang w:val="fr-FR"/>
        </w:rPr>
        <w:t>. Ces thèmes de données géographiques incluent la situation et le fonctionnement des installations de suivi environnemental, la mesure des émissions qui s’y rapportent, et l’état du milieu environnemental.</w:t>
      </w:r>
    </w:p>
    <w:p w14:paraId="1910F605" w14:textId="77777777" w:rsidR="00067EED" w:rsidRPr="00434E9D" w:rsidRDefault="00067EED">
      <w:pPr>
        <w:widowControl/>
        <w:rPr>
          <w:strike/>
          <w:szCs w:val="24"/>
          <w:lang w:eastAsia="en-US"/>
        </w:rPr>
      </w:pPr>
      <w:r w:rsidRPr="00434E9D">
        <w:rPr>
          <w:strike/>
        </w:rPr>
        <w:br w:type="page"/>
      </w:r>
    </w:p>
    <w:p w14:paraId="3ABAD111" w14:textId="77777777" w:rsidR="008C3DE0" w:rsidRPr="00434E9D" w:rsidRDefault="008C3DE0" w:rsidP="008C3DE0">
      <w:pPr>
        <w:pStyle w:val="Considrant"/>
        <w:rPr>
          <w:b/>
          <w:lang w:val="fr-FR"/>
        </w:rPr>
      </w:pPr>
      <w:r w:rsidRPr="00434E9D">
        <w:rPr>
          <w:strike/>
          <w:lang w:val="fr-FR"/>
        </w:rPr>
        <w:lastRenderedPageBreak/>
        <w:t>(23)</w:t>
      </w:r>
      <w:r w:rsidRPr="00434E9D">
        <w:rPr>
          <w:lang w:val="fr-FR"/>
        </w:rPr>
        <w:tab/>
      </w:r>
      <w:r w:rsidRPr="00434E9D">
        <w:rPr>
          <w:strike/>
          <w:lang w:val="fr-FR"/>
        </w:rPr>
        <w:t>Une meilleure intégration des flux de données communiqués à l’AEE au titre de la législation de l’Union sur l’eau et, en particulier, des inventaires des émissions requis dans la directive 2008/105/CE, avec les flux de données communiqués sur le portail des émissions industrielles au titre de la directive 2010/75/UE et du règlement (CE) nº 166/2006 du Parlement européen et du Conseil</w:t>
      </w:r>
      <w:r w:rsidRPr="00434E9D">
        <w:rPr>
          <w:rStyle w:val="FootnoteReference"/>
        </w:rPr>
        <w:footnoteReference w:id="46"/>
      </w:r>
      <w:r w:rsidRPr="00434E9D">
        <w:rPr>
          <w:strike/>
          <w:lang w:val="fr-FR"/>
        </w:rPr>
        <w:t>, permettra de simplifier et d’améliorer l’efficience de la communication des inventaires conformément à l’article 5 de la directive 2008/105/CE. Dans le même temps, cela permettra de réduire la charge administrative et la surcharge de travail lors de la préparation des plans de gestion de district hydrographique. En combinaison avec l’abolition de l’obligation de présenter des rapports intermédiaires sur l’état d’avancement des programmes de mesures, qui s’est avérée inefficace, cette communication de données simplifiée permettra aux États membres d’investir davantage d’efforts dans la déclaration des émissions qui ne sont pas couvertes par la législation sur les émissions industrielles, mais bien par la déclaration des émissions au titre de l’article 5 de la directive 2008/105/CE.</w:t>
      </w:r>
      <w:r w:rsidR="00067EED" w:rsidRPr="00434E9D">
        <w:rPr>
          <w:strike/>
          <w:lang w:val="fr-FR"/>
        </w:rPr>
        <w:t xml:space="preserve"> </w:t>
      </w:r>
      <w:r w:rsidR="00067EED" w:rsidRPr="00434E9D">
        <w:rPr>
          <w:b/>
          <w:strike/>
          <w:lang w:val="fr-FR"/>
        </w:rPr>
        <w:t xml:space="preserve"> </w:t>
      </w:r>
      <w:r w:rsidR="00067EED" w:rsidRPr="00434E9D">
        <w:rPr>
          <w:b/>
          <w:lang w:val="fr-FR"/>
        </w:rPr>
        <w:t>[Am. 44]</w:t>
      </w:r>
    </w:p>
    <w:p w14:paraId="2BF35C4F" w14:textId="77777777" w:rsidR="00067EED" w:rsidRPr="00434E9D" w:rsidRDefault="00067EED">
      <w:pPr>
        <w:widowControl/>
        <w:rPr>
          <w:szCs w:val="24"/>
          <w:lang w:eastAsia="en-US"/>
        </w:rPr>
      </w:pPr>
      <w:r w:rsidRPr="00434E9D">
        <w:br w:type="page"/>
      </w:r>
    </w:p>
    <w:p w14:paraId="32290217" w14:textId="77777777" w:rsidR="008C3DE0" w:rsidRPr="00434E9D" w:rsidRDefault="008C3DE0" w:rsidP="008C3DE0">
      <w:pPr>
        <w:pStyle w:val="Considrant"/>
        <w:rPr>
          <w:lang w:val="fr-FR"/>
        </w:rPr>
      </w:pPr>
      <w:r w:rsidRPr="00434E9D">
        <w:rPr>
          <w:lang w:val="fr-FR"/>
        </w:rPr>
        <w:lastRenderedPageBreak/>
        <w:t>(24)</w:t>
      </w:r>
      <w:r w:rsidRPr="00434E9D">
        <w:rPr>
          <w:lang w:val="fr-FR"/>
        </w:rPr>
        <w:tab/>
        <w:t>Le traité de Lisbonne a établi une distinction entre le pouvoir délégué à la Commission d’adopter des actes non législatifs de portée générale qui complètent ou modifient certains éléments non essentiels d’un acte législatif (actes délégués), d’une part, et le pouvoir conféré à la Commission d’adopter des actes qui garantissent des conditions uniformes d’exécution d’actes juridiquement contraignants de l’Union (actes d’exécution), d’autre part. Les directives 2000/60/CE et 2006/118/CE devraient être alignées sur le cadre juridique introduit par le traité de Lisbonne.</w:t>
      </w:r>
    </w:p>
    <w:p w14:paraId="6A41F974" w14:textId="77777777" w:rsidR="008C3DE0" w:rsidRPr="00434E9D" w:rsidRDefault="008C3DE0" w:rsidP="008C3DE0">
      <w:pPr>
        <w:pStyle w:val="Considrant"/>
        <w:rPr>
          <w:lang w:val="fr-FR"/>
        </w:rPr>
      </w:pPr>
      <w:r w:rsidRPr="00434E9D">
        <w:rPr>
          <w:lang w:val="fr-FR"/>
        </w:rPr>
        <w:t>(25)</w:t>
      </w:r>
      <w:r w:rsidRPr="00434E9D">
        <w:rPr>
          <w:lang w:val="fr-FR"/>
        </w:rPr>
        <w:tab/>
        <w:t>Les habilitations visées à l’article 20, paragraphe 1, premier alinéa, de la directive 2000/60/CE et à l’annexe V, point 1.4.1 ix), de ladite directive, qui prévoient le recours à la procédure réglementaire avec contrôle, satisfont aux critères prévus à l’article 290, paragraphe 1, du TFUE, étant donné qu’elles concernent des adaptations des annexes de ladite directive et l’adoption de règles complétant celle-ci. Elles devraient donc être converties en habilitations permettant à la Commission d’adopter des actes délégués.</w:t>
      </w:r>
    </w:p>
    <w:p w14:paraId="000BD3D3" w14:textId="77777777" w:rsidR="00067EED" w:rsidRPr="00434E9D" w:rsidRDefault="00067EED">
      <w:pPr>
        <w:widowControl/>
        <w:rPr>
          <w:szCs w:val="24"/>
          <w:lang w:eastAsia="en-US"/>
        </w:rPr>
      </w:pPr>
      <w:r w:rsidRPr="00434E9D">
        <w:br w:type="page"/>
      </w:r>
    </w:p>
    <w:p w14:paraId="60CA02B8" w14:textId="77777777" w:rsidR="008C3DE0" w:rsidRPr="00434E9D" w:rsidRDefault="008C3DE0" w:rsidP="008C3DE0">
      <w:pPr>
        <w:pStyle w:val="Considrant"/>
        <w:rPr>
          <w:lang w:val="fr-FR"/>
        </w:rPr>
      </w:pPr>
      <w:r w:rsidRPr="00434E9D">
        <w:rPr>
          <w:lang w:val="fr-FR"/>
        </w:rPr>
        <w:lastRenderedPageBreak/>
        <w:t>(26)</w:t>
      </w:r>
      <w:r w:rsidRPr="00434E9D">
        <w:rPr>
          <w:lang w:val="fr-FR"/>
        </w:rPr>
        <w:tab/>
        <w:t>L’habilitation visée à l’article 8 de la directive 2006/118/CE, qui prévoit le recours à la procédure réglementaire avec contrôle, satisfait aux critères prévus à l’article 290, paragraphe 1, du TFUE, étant donné qu’elle concerne des adaptations des annexes de ladite directive. Elle devrait donc être convertie en habilitation permettant à la Commission d’adopter des actes délégués.</w:t>
      </w:r>
    </w:p>
    <w:p w14:paraId="40D7281C" w14:textId="77777777" w:rsidR="008C3DE0" w:rsidRPr="00434E9D" w:rsidRDefault="008C3DE0" w:rsidP="008C3DE0">
      <w:pPr>
        <w:pStyle w:val="Considrant"/>
        <w:rPr>
          <w:lang w:val="fr-FR"/>
        </w:rPr>
      </w:pPr>
      <w:r w:rsidRPr="00434E9D">
        <w:rPr>
          <w:lang w:val="fr-FR"/>
        </w:rPr>
        <w:t>(27)</w:t>
      </w:r>
      <w:r w:rsidRPr="00434E9D">
        <w:rPr>
          <w:lang w:val="fr-FR"/>
        </w:rPr>
        <w:tab/>
        <w:t>Il importe particulièrement que la Commission procède aux consultations appropriées durant la préparation des actes délégués, y compris au niveau des experts, et que ces consultations soient menées conformément aux principes définis dans l’accord interinstitutionnel du 13 avril 2016 «Mieux légiférer». En particulier, pour garantir leur égale participation à la préparation des actes délégués, le Parlement européen et le Conseil reçoivent tous les documents au même moment que les experts des États membres, et leurs experts ont systématiquement accès aux réunions des groupes d’experts de la Commission traitant de la préparation des actes délégués.</w:t>
      </w:r>
    </w:p>
    <w:p w14:paraId="192A846E" w14:textId="77777777" w:rsidR="00067EED" w:rsidRPr="00434E9D" w:rsidRDefault="00067EED">
      <w:pPr>
        <w:widowControl/>
        <w:rPr>
          <w:szCs w:val="24"/>
          <w:lang w:eastAsia="en-US"/>
        </w:rPr>
      </w:pPr>
      <w:r w:rsidRPr="00434E9D">
        <w:br w:type="page"/>
      </w:r>
    </w:p>
    <w:p w14:paraId="0F2723AA" w14:textId="77777777" w:rsidR="008C3DE0" w:rsidRPr="00434E9D" w:rsidRDefault="008C3DE0" w:rsidP="008C3DE0">
      <w:pPr>
        <w:pStyle w:val="Considrant"/>
        <w:rPr>
          <w:lang w:val="fr-FR"/>
        </w:rPr>
      </w:pPr>
      <w:r w:rsidRPr="00434E9D">
        <w:rPr>
          <w:lang w:val="fr-FR"/>
        </w:rPr>
        <w:lastRenderedPageBreak/>
        <w:t>(28)</w:t>
      </w:r>
      <w:r w:rsidRPr="00434E9D">
        <w:rPr>
          <w:lang w:val="fr-FR"/>
        </w:rPr>
        <w:tab/>
        <w:t>L’habilitation visée à l’article 8, paragraphe 3, de la directive 2000/60/CE, qui prévoit le recours à la procédure réglementaire avec contrôle, satisfait aux critères prévus à l’article 290, paragraphe 2, du TFUE, étant donné qu’elle concerne l’adoption de spécifications techniques et de méthodes normalisées d’analyse et de surveillance de l’état de l’eau, et vise donc à garantir des conditions uniformes d’exécution harmonisée de ladite directive. Elle devrait donc être convertie en habilitation permettant à la Commission d’adopter des actes d’exécution.  Afin de garantir la comparabilité des données, l’habilitation devrait également être étendue à l’établissement de formats pour la communication des données de surveillance et d’état conformément à l’article 8, paragraphe 4. Les compétences conférées à la Commission devraient être exercées en conformité avec le règlement (UE) nº 182/2011 du Parlement européen et du Conseil</w:t>
      </w:r>
      <w:r w:rsidRPr="00434E9D">
        <w:rPr>
          <w:rStyle w:val="FootnoteReference"/>
        </w:rPr>
        <w:footnoteReference w:id="47"/>
      </w:r>
      <w:r w:rsidRPr="00434E9D">
        <w:rPr>
          <w:lang w:val="fr-FR"/>
        </w:rPr>
        <w:t>.</w:t>
      </w:r>
    </w:p>
    <w:p w14:paraId="6B8FF0F8" w14:textId="77777777" w:rsidR="008C3DE0" w:rsidRPr="00434E9D" w:rsidRDefault="008C3DE0" w:rsidP="008C3DE0">
      <w:pPr>
        <w:pStyle w:val="Considrant"/>
        <w:rPr>
          <w:lang w:val="fr-FR"/>
        </w:rPr>
      </w:pPr>
      <w:r w:rsidRPr="00434E9D">
        <w:rPr>
          <w:lang w:val="fr-FR"/>
        </w:rPr>
        <w:t>(29)</w:t>
      </w:r>
      <w:r w:rsidRPr="00434E9D">
        <w:rPr>
          <w:lang w:val="fr-FR"/>
        </w:rPr>
        <w:tab/>
        <w:t>Afin de garantir l’application de conditions uniformes de mise en œuvre de la directive 2000/60/CE, il convient que des compétences d’exécution soient conférées à la Commission afin d’adopter des formats techniques pour la communication des données de surveillance et d’état de l’eau conformément à l’article 8, paragraphe 3, de la directive 2000/60/CE. Ces compétences devraient être exercées en conformité avec le règlement (UE) nº 182/2011.</w:t>
      </w:r>
    </w:p>
    <w:p w14:paraId="0C1C4D7D" w14:textId="77777777" w:rsidR="00067EED" w:rsidRPr="00434E9D" w:rsidRDefault="00067EED">
      <w:pPr>
        <w:widowControl/>
        <w:rPr>
          <w:szCs w:val="24"/>
          <w:lang w:eastAsia="en-US"/>
        </w:rPr>
      </w:pPr>
      <w:r w:rsidRPr="00434E9D">
        <w:br w:type="page"/>
      </w:r>
    </w:p>
    <w:p w14:paraId="34D55D66" w14:textId="77777777" w:rsidR="008C3DE0" w:rsidRPr="00434E9D" w:rsidRDefault="008C3DE0" w:rsidP="008C3DE0">
      <w:pPr>
        <w:pStyle w:val="Considrant"/>
        <w:rPr>
          <w:lang w:val="fr-FR"/>
        </w:rPr>
      </w:pPr>
      <w:r w:rsidRPr="00434E9D">
        <w:rPr>
          <w:lang w:val="fr-FR"/>
        </w:rPr>
        <w:lastRenderedPageBreak/>
        <w:t>(30)</w:t>
      </w:r>
      <w:r w:rsidRPr="00434E9D">
        <w:rPr>
          <w:lang w:val="fr-FR"/>
        </w:rPr>
        <w:tab/>
        <w:t>Afin de garantir des conditions uniformes d’exécution de la directive 2008/105/CE, des pouvoirs d’exécution devraient être conférés à la Commission afin d’adopter des formats normalisés pour la communication des émissions à la source ponctuelles non couvertes par le règlement (UE) …/… du Parlement européen et du Conseil</w:t>
      </w:r>
      <w:r w:rsidRPr="00434E9D">
        <w:rPr>
          <w:rStyle w:val="FootnoteReference"/>
        </w:rPr>
        <w:footnoteReference w:id="48"/>
      </w:r>
      <w:r w:rsidRPr="00434E9D">
        <w:rPr>
          <w:lang w:val="fr-FR"/>
        </w:rPr>
        <w:t>, à l’AEE. Ces compétences devraient être exercées en conformité avec le règlement (UE) nº 182/2011.</w:t>
      </w:r>
    </w:p>
    <w:p w14:paraId="786CD33D" w14:textId="77777777" w:rsidR="008C3DE0" w:rsidRPr="00434E9D" w:rsidRDefault="008C3DE0" w:rsidP="008C3DE0">
      <w:pPr>
        <w:pStyle w:val="Considrant"/>
        <w:rPr>
          <w:b/>
          <w:lang w:val="fr-FR"/>
        </w:rPr>
      </w:pPr>
      <w:r w:rsidRPr="00434E9D">
        <w:rPr>
          <w:lang w:val="fr-FR"/>
        </w:rPr>
        <w:t>(31)</w:t>
      </w:r>
      <w:r w:rsidRPr="00434E9D">
        <w:rPr>
          <w:lang w:val="fr-FR"/>
        </w:rPr>
        <w:tab/>
        <w:t>Il est nécessaire de prendre en considération le progrès scientifique et technique</w:t>
      </w:r>
      <w:r w:rsidRPr="00434E9D">
        <w:rPr>
          <w:b/>
          <w:i/>
          <w:lang w:val="fr-FR"/>
        </w:rPr>
        <w:t xml:space="preserve"> et de tenir compte des meilleures techniques disponibles</w:t>
      </w:r>
      <w:r w:rsidRPr="00434E9D">
        <w:rPr>
          <w:lang w:val="fr-FR"/>
        </w:rPr>
        <w:t xml:space="preserve"> dans le domaine de la surveillance de l’état des masses d’eau conformément aux exigences en matière de surveillance figurant à l’annexe V de la directive 2000/60/CE. Les États membres devraient donc être autorisés à utiliser les données et les services offerts par les technologies de télédétection, l’observation de la terre (services </w:t>
      </w:r>
      <w:proofErr w:type="spellStart"/>
      <w:r w:rsidRPr="00434E9D">
        <w:rPr>
          <w:lang w:val="fr-FR"/>
        </w:rPr>
        <w:t>Copernicus</w:t>
      </w:r>
      <w:proofErr w:type="spellEnd"/>
      <w:r w:rsidRPr="00434E9D">
        <w:rPr>
          <w:lang w:val="fr-FR"/>
        </w:rPr>
        <w:t>), les capteurs et dispositifs in situ, ou les données issues des sciences citoyennes, exploitant les possibilités offertes par l’intelligence artificielle et l’analyse et le traitement avancés des données.</w:t>
      </w:r>
      <w:r w:rsidR="00067EED" w:rsidRPr="00434E9D">
        <w:rPr>
          <w:lang w:val="fr-FR"/>
        </w:rPr>
        <w:t xml:space="preserve"> </w:t>
      </w:r>
      <w:r w:rsidR="00067EED" w:rsidRPr="00434E9D">
        <w:rPr>
          <w:b/>
          <w:lang w:val="fr-FR"/>
        </w:rPr>
        <w:t xml:space="preserve"> [Am. 45]</w:t>
      </w:r>
    </w:p>
    <w:p w14:paraId="01F0CC6A" w14:textId="77777777" w:rsidR="00067EED" w:rsidRPr="00434E9D" w:rsidRDefault="00067EED">
      <w:pPr>
        <w:widowControl/>
        <w:rPr>
          <w:b/>
          <w:i/>
          <w:szCs w:val="24"/>
          <w:lang w:eastAsia="en-US"/>
        </w:rPr>
      </w:pPr>
      <w:r w:rsidRPr="00434E9D">
        <w:rPr>
          <w:b/>
          <w:i/>
        </w:rPr>
        <w:br w:type="page"/>
      </w:r>
    </w:p>
    <w:p w14:paraId="0DDEBEBA" w14:textId="77777777" w:rsidR="008C3DE0" w:rsidRPr="00434E9D" w:rsidRDefault="00067EED" w:rsidP="008C3DE0">
      <w:pPr>
        <w:pStyle w:val="Considrant"/>
        <w:rPr>
          <w:b/>
          <w:lang w:val="fr-FR"/>
        </w:rPr>
      </w:pPr>
      <w:r w:rsidRPr="00434E9D">
        <w:rPr>
          <w:b/>
          <w:i/>
          <w:lang w:val="fr-FR"/>
        </w:rPr>
        <w:lastRenderedPageBreak/>
        <w:t>(31 bis</w:t>
      </w:r>
      <w:r w:rsidR="008C3DE0" w:rsidRPr="00434E9D">
        <w:rPr>
          <w:b/>
          <w:i/>
          <w:lang w:val="fr-FR"/>
        </w:rPr>
        <w:t>)</w:t>
      </w:r>
      <w:r w:rsidR="008C3DE0" w:rsidRPr="00434E9D">
        <w:rPr>
          <w:lang w:val="fr-FR"/>
        </w:rPr>
        <w:tab/>
      </w:r>
      <w:r w:rsidR="008C3DE0" w:rsidRPr="00434E9D">
        <w:rPr>
          <w:b/>
          <w:i/>
          <w:lang w:val="fr-FR"/>
        </w:rPr>
        <w:t>Les activités industrielles liées à la transition énergétique pourraient entraîner une augmentation des effets néfastes sur la qualité de l’eau. L’atténuation de ces effets futurs, tels que les modifications des réseaux d’écoulement naturel et les changements de température, ainsi que la pollution de l’eau, requiert d’évaluer l’ensemble des facteurs potentiels ainsi que des mesures à prendre pour atteindre et maintenir une bonne qualité de l’eau. Par conséquent, les États membres devraient évaluer régulièrement les effets des activités industrielles liées à la transition énergétique sur la qualité de l’eau et informer la Commission des nouvelles menaces identifiées afin de mettre à jour la liste de vigilance en conséquence. L’évaluation devrait être aisément accessible au public et la mise à jour devrait pouvoir être effectuée en dehors des cycles de mise à jour générale, afin de garantir une amélioration continue de l’évaluation de la qualité de l’eau.</w:t>
      </w:r>
      <w:r w:rsidRPr="00434E9D">
        <w:rPr>
          <w:b/>
          <w:i/>
          <w:lang w:val="fr-FR"/>
        </w:rPr>
        <w:t xml:space="preserve"> </w:t>
      </w:r>
      <w:r w:rsidRPr="00434E9D">
        <w:rPr>
          <w:b/>
          <w:lang w:val="fr-FR"/>
        </w:rPr>
        <w:t xml:space="preserve"> [Am. 46]</w:t>
      </w:r>
    </w:p>
    <w:p w14:paraId="35478C3D" w14:textId="77777777" w:rsidR="00067EED" w:rsidRPr="00434E9D" w:rsidRDefault="00067EED">
      <w:pPr>
        <w:widowControl/>
        <w:rPr>
          <w:b/>
          <w:i/>
          <w:szCs w:val="24"/>
          <w:lang w:eastAsia="en-US"/>
        </w:rPr>
      </w:pPr>
      <w:r w:rsidRPr="00434E9D">
        <w:rPr>
          <w:b/>
          <w:i/>
        </w:rPr>
        <w:br w:type="page"/>
      </w:r>
    </w:p>
    <w:p w14:paraId="14DBC027" w14:textId="77777777" w:rsidR="008C3DE0" w:rsidRPr="00434E9D" w:rsidRDefault="00067EED" w:rsidP="008C3DE0">
      <w:pPr>
        <w:pStyle w:val="Considrant"/>
        <w:rPr>
          <w:b/>
          <w:lang w:val="fr-FR"/>
        </w:rPr>
      </w:pPr>
      <w:r w:rsidRPr="00434E9D">
        <w:rPr>
          <w:b/>
          <w:i/>
          <w:lang w:val="fr-FR"/>
        </w:rPr>
        <w:lastRenderedPageBreak/>
        <w:t>(31 ter</w:t>
      </w:r>
      <w:r w:rsidR="008C3DE0" w:rsidRPr="00434E9D">
        <w:rPr>
          <w:b/>
          <w:i/>
          <w:lang w:val="fr-FR"/>
        </w:rPr>
        <w:t>)</w:t>
      </w:r>
      <w:r w:rsidR="008C3DE0" w:rsidRPr="00434E9D">
        <w:rPr>
          <w:lang w:val="fr-FR"/>
        </w:rPr>
        <w:tab/>
      </w:r>
      <w:r w:rsidR="008C3DE0" w:rsidRPr="00434E9D">
        <w:rPr>
          <w:b/>
          <w:i/>
          <w:lang w:val="fr-FR"/>
        </w:rPr>
        <w:t>La Commission s’est engagée, dans sa communication du 11 décembre 2019 sur le pacte vert pour l’Europe et dans sa communication du 14 octobre 202</w:t>
      </w:r>
      <w:r w:rsidR="00710DD1">
        <w:rPr>
          <w:b/>
          <w:i/>
          <w:lang w:val="fr-FR"/>
        </w:rPr>
        <w:t>0</w:t>
      </w:r>
      <w:r w:rsidR="008C3DE0" w:rsidRPr="00434E9D">
        <w:rPr>
          <w:b/>
          <w:i/>
          <w:lang w:val="fr-FR"/>
        </w:rPr>
        <w:t xml:space="preserve"> visant à améliorer l’accès à la justice en matière d’environnement, à prendre des mesures pour améliorer l’accès à la justice, devant les juridictions nationales de tous les États membres, des citoyens et des organisations non gouvernementales environnementales qui nourrissent des craintes spécifiques quant à la compatibilité des actes administratifs qui ont des effets sur l’environnement avec le droit de l’environnement. Dans sa communication du 14 octobre 202</w:t>
      </w:r>
      <w:r w:rsidR="00710DD1">
        <w:rPr>
          <w:b/>
          <w:i/>
          <w:lang w:val="fr-FR"/>
        </w:rPr>
        <w:t>0</w:t>
      </w:r>
      <w:r w:rsidR="008C3DE0" w:rsidRPr="00434E9D">
        <w:rPr>
          <w:b/>
          <w:i/>
          <w:lang w:val="fr-FR"/>
        </w:rPr>
        <w:t>, la Commission affirme que «[l]’accès à la justice en matière d’environnement, par l’intermédiaire tant de la Cour de justice de l’Union européenne (CJUE) que des juridictions nationales en leur qualité de juridictions de l’Union, est une mesure importante aux fins de la transition liée au pacte vert pour l’Europe, et [...] est aussi un moyen de renforcer le rôle que peut jouer la société civile en tant que gardienne de l’espace démocratique.». Ces engagements devraient également être mis en œuvre dans le cadre de la directive 2000/60/CE.</w:t>
      </w:r>
      <w:r w:rsidRPr="00434E9D">
        <w:rPr>
          <w:b/>
          <w:i/>
          <w:lang w:val="fr-FR"/>
        </w:rPr>
        <w:t xml:space="preserve"> </w:t>
      </w:r>
      <w:r w:rsidRPr="00434E9D">
        <w:rPr>
          <w:b/>
          <w:lang w:val="fr-FR"/>
        </w:rPr>
        <w:t xml:space="preserve"> [Am. 47]</w:t>
      </w:r>
    </w:p>
    <w:p w14:paraId="4D67504A" w14:textId="77777777" w:rsidR="00067EED" w:rsidRPr="00434E9D" w:rsidRDefault="00067EED">
      <w:pPr>
        <w:widowControl/>
        <w:rPr>
          <w:b/>
          <w:i/>
          <w:szCs w:val="24"/>
          <w:lang w:eastAsia="en-US"/>
        </w:rPr>
      </w:pPr>
      <w:r w:rsidRPr="00434E9D">
        <w:rPr>
          <w:b/>
          <w:i/>
        </w:rPr>
        <w:br w:type="page"/>
      </w:r>
    </w:p>
    <w:p w14:paraId="0F800299" w14:textId="77777777" w:rsidR="008C3DE0" w:rsidRPr="00434E9D" w:rsidRDefault="00067EED" w:rsidP="008C3DE0">
      <w:pPr>
        <w:pStyle w:val="Considrant"/>
        <w:rPr>
          <w:b/>
          <w:lang w:val="fr-FR"/>
        </w:rPr>
      </w:pPr>
      <w:r w:rsidRPr="00434E9D">
        <w:rPr>
          <w:b/>
          <w:i/>
          <w:lang w:val="fr-FR"/>
        </w:rPr>
        <w:lastRenderedPageBreak/>
        <w:t>(31 quater</w:t>
      </w:r>
      <w:r w:rsidR="008C3DE0" w:rsidRPr="00434E9D">
        <w:rPr>
          <w:b/>
          <w:i/>
          <w:lang w:val="fr-FR"/>
        </w:rPr>
        <w:t>)</w:t>
      </w:r>
      <w:r w:rsidR="008C3DE0" w:rsidRPr="00434E9D">
        <w:rPr>
          <w:lang w:val="fr-FR"/>
        </w:rPr>
        <w:tab/>
      </w:r>
      <w:r w:rsidR="008C3DE0" w:rsidRPr="00434E9D">
        <w:rPr>
          <w:b/>
          <w:i/>
          <w:lang w:val="fr-FR"/>
        </w:rPr>
        <w:t>Comme le confirme la jurisprudence de la CJUE</w:t>
      </w:r>
      <w:r w:rsidR="008C3DE0" w:rsidRPr="00434E9D">
        <w:rPr>
          <w:rStyle w:val="FootnoteReference"/>
        </w:rPr>
        <w:footnoteReference w:id="49"/>
      </w:r>
      <w:r w:rsidR="008C3DE0" w:rsidRPr="00434E9D">
        <w:rPr>
          <w:b/>
          <w:i/>
          <w:lang w:val="fr-FR"/>
        </w:rPr>
        <w:t>, les organisations non gouvernementales de défense de l’environnement et les personnes directement concernées devraient se voir conférer la qualité pour agir contre une décision d’une autorité publique contraire aux objectifs environnementaux visés à l’article 4 de la directive 2000/60/CE. Afin de favoriser l’accès à la justice dans les domaines concernés devant les juridictions nationales de l’ensemble de l’Union et afin que les organisations non gouvernementales de défense de l’environnement et les personnes directement concernées puissent contester des décisions contraires à la directive 2000/60/CE en se fondant sur les lois nationales, des dispositions visant à garantir l’accès à la justice devraient être établies dans la directive 2000/60/CE.</w:t>
      </w:r>
      <w:r w:rsidRPr="00434E9D">
        <w:rPr>
          <w:b/>
          <w:i/>
          <w:lang w:val="fr-FR"/>
        </w:rPr>
        <w:t xml:space="preserve"> </w:t>
      </w:r>
      <w:r w:rsidRPr="00434E9D">
        <w:rPr>
          <w:b/>
          <w:lang w:val="fr-FR"/>
        </w:rPr>
        <w:t xml:space="preserve"> [Am. 48]</w:t>
      </w:r>
    </w:p>
    <w:p w14:paraId="3CF067A5" w14:textId="77777777" w:rsidR="00067EED" w:rsidRPr="00434E9D" w:rsidRDefault="00067EED">
      <w:pPr>
        <w:widowControl/>
        <w:rPr>
          <w:szCs w:val="24"/>
          <w:lang w:eastAsia="en-US"/>
        </w:rPr>
      </w:pPr>
      <w:r w:rsidRPr="00434E9D">
        <w:br w:type="page"/>
      </w:r>
    </w:p>
    <w:p w14:paraId="6DC50A64" w14:textId="77777777" w:rsidR="008C3DE0" w:rsidRPr="00434E9D" w:rsidRDefault="008C3DE0" w:rsidP="008C3DE0">
      <w:pPr>
        <w:pStyle w:val="Considrant"/>
        <w:rPr>
          <w:b/>
          <w:lang w:val="fr-FR"/>
        </w:rPr>
      </w:pPr>
      <w:r w:rsidRPr="00434E9D">
        <w:rPr>
          <w:lang w:val="fr-FR"/>
        </w:rPr>
        <w:lastRenderedPageBreak/>
        <w:t>(32)</w:t>
      </w:r>
      <w:r w:rsidRPr="00434E9D">
        <w:rPr>
          <w:lang w:val="fr-FR"/>
        </w:rPr>
        <w:tab/>
        <w:t>Au vu de l’augmentation des événements climatiques imprévisibles, en particulier les inondations extrêmes et les sécheresses prolongées, et des incidents de pollution significatifs entraînant ou exacerbant la pollution</w:t>
      </w:r>
      <w:r w:rsidRPr="00434E9D">
        <w:rPr>
          <w:strike/>
          <w:lang w:val="fr-FR"/>
        </w:rPr>
        <w:t xml:space="preserve"> accidentelle</w:t>
      </w:r>
      <w:r w:rsidRPr="00434E9D">
        <w:rPr>
          <w:lang w:val="fr-FR"/>
        </w:rPr>
        <w:t xml:space="preserve"> transfrontalière, les États membres devraient être tenus de veiller à ce que des informations immédiates concernant ces incidents soient fournies aux autres États membres potentiellement concernés et de coopérer efficacement avec les États membres potentiellement touchés afin d’atténuer les effets de l’événement ou de l’incident. Il est également nécessaire de renforcer la coopération entre les États membres et de rationaliser les procédures de coopération transfrontière en cas de problèmes transfrontaliers plus structurels, autrement dit non accidentels et à plus long terme, ne pouvant être résolus au niveau des États membres, conformément à l’article 12 de la directive 2000/60/CE. Si une assistance européenne est nécessaire, les autorités nationales compétentes peuvent envoyer des demandes d’assistance au Centre de coordination de la réaction d’urgence de la Commission, qui coordonnera les offres d’assistance possibles et leur déploiement via le mécanisme de protection civile de l’Union, conformément à l’article 15 de la décision nº 1313/2013/UE du Parlement européen et du Conseil</w:t>
      </w:r>
      <w:r w:rsidRPr="00434E9D">
        <w:rPr>
          <w:rStyle w:val="FootnoteReference"/>
        </w:rPr>
        <w:footnoteReference w:id="50"/>
      </w:r>
      <w:r w:rsidRPr="00434E9D">
        <w:rPr>
          <w:lang w:val="fr-FR"/>
        </w:rPr>
        <w:t>.</w:t>
      </w:r>
      <w:r w:rsidRPr="00434E9D">
        <w:rPr>
          <w:b/>
          <w:i/>
          <w:lang w:val="fr-FR"/>
        </w:rPr>
        <w:t xml:space="preserve"> Étant donné que les districts hydrographiques peuvent également s’étendre au-delà du territoire de l’Union, le fait de veiller à la mise en œuvre effective des dispositions pertinentes en matière de protection de l’eau au titre de la directive 2000/60/CE et d’assurer une coordination appropriée avec les pays tiers concernés contribuerait également à la réalisation des objectifs définis dans ladite directive pour ces districts hydrographiques en cause, tels que visés à l’article 3, paragraphe 5, de la même directive. En outre, les conflits armés qui se déroulent à proximité géographique de l’Union devraient également être considérés comme des événements exceptionnels en raison de leurs incidences transfrontières négatives considérables sur l’environnement, notamment la pollution de l’air, du sol et de l’eau. Étant donné que les bassins hydrographiques touchés par ces conflits pourraient s’étendre à l’intérieur des frontières de l’Union, la Commission et les États membres devraient multiplier leurs efforts visant à établir une coordination appropriée avec les pays tiers concernés, comme le prévoit l’article 3, paragraphe 5, de la directive 2000/60/CE.</w:t>
      </w:r>
      <w:r w:rsidR="00067EED" w:rsidRPr="00434E9D">
        <w:rPr>
          <w:b/>
          <w:i/>
          <w:lang w:val="fr-FR"/>
        </w:rPr>
        <w:t xml:space="preserve"> </w:t>
      </w:r>
      <w:r w:rsidR="00067EED" w:rsidRPr="00434E9D">
        <w:rPr>
          <w:b/>
          <w:lang w:val="fr-FR"/>
        </w:rPr>
        <w:t xml:space="preserve"> [Am. 49]</w:t>
      </w:r>
    </w:p>
    <w:p w14:paraId="3B2C9C49" w14:textId="77777777" w:rsidR="008C3DE0" w:rsidRPr="00434E9D" w:rsidRDefault="00067EED" w:rsidP="008C3DE0">
      <w:pPr>
        <w:pStyle w:val="Considrant"/>
        <w:rPr>
          <w:b/>
          <w:lang w:val="fr-FR"/>
        </w:rPr>
      </w:pPr>
      <w:r w:rsidRPr="00434E9D">
        <w:rPr>
          <w:b/>
          <w:i/>
          <w:lang w:val="fr-FR"/>
        </w:rPr>
        <w:lastRenderedPageBreak/>
        <w:t>(32 bis</w:t>
      </w:r>
      <w:r w:rsidR="008C3DE0" w:rsidRPr="00434E9D">
        <w:rPr>
          <w:b/>
          <w:i/>
          <w:lang w:val="fr-FR"/>
        </w:rPr>
        <w:t>)</w:t>
      </w:r>
      <w:r w:rsidR="008C3DE0" w:rsidRPr="00434E9D">
        <w:rPr>
          <w:lang w:val="fr-FR"/>
        </w:rPr>
        <w:tab/>
      </w:r>
      <w:r w:rsidR="008C3DE0" w:rsidRPr="00434E9D">
        <w:rPr>
          <w:b/>
          <w:i/>
          <w:lang w:val="fr-FR"/>
        </w:rPr>
        <w:t>La Cour des comptes européenne fait remarquer dans son rapport du 19 mai 2021 intitulé «Principe du pollueur-payeur: une application incohérente dans les différentes politiques et actions environnementales de l’UE» que les États membres dépensent déjà annuellement environ 100 milliards d’euros pour l’approvisionnement en eau et son assainissement et que ce montant devrait augmenter de plus de 25 % pour atteindre les objectifs de la législation de l’Union relative au traitement des eaux usées et à l’eau potable, ce chiffre ne comprenant pas les investissements nécessaires au renouvellement des infrastructures existantes ou à la réalisation des objectifs de la directive-cadre sur l’eau et de la directive «Inondations». En outre, dans l’Union, les usagers paient en moyenne environ 70 % du coût de la fourniture des services liés à l’utilisation de l’eau, par l’intermédiaire des tarifs de l’eau, tandis que le trésor public finance les 30 % restants, bien que cela varie considérablement entre les régions et les États membres. Même s’ils ne consomment que 10 % de l’eau, les ménages de l’Union paient généralement la majeure partie du coût des services d’approvisionnement en eau et d’assainissement, tandis que les secteurs économiques qui exercent la pression la plus forte sur les ressources en eau douce renouvelables sont ceux dont la contribution à ces coûts est la plus faible.</w:t>
      </w:r>
      <w:r w:rsidRPr="00434E9D">
        <w:rPr>
          <w:b/>
          <w:i/>
          <w:lang w:val="fr-FR"/>
        </w:rPr>
        <w:t xml:space="preserve"> </w:t>
      </w:r>
      <w:r w:rsidRPr="00434E9D">
        <w:rPr>
          <w:b/>
          <w:lang w:val="fr-FR"/>
        </w:rPr>
        <w:t xml:space="preserve"> [Am. 50]</w:t>
      </w:r>
    </w:p>
    <w:p w14:paraId="39745D09" w14:textId="77777777" w:rsidR="00067EED" w:rsidRPr="00434E9D" w:rsidRDefault="00067EED">
      <w:pPr>
        <w:widowControl/>
        <w:rPr>
          <w:b/>
          <w:i/>
          <w:szCs w:val="24"/>
          <w:lang w:eastAsia="en-US"/>
        </w:rPr>
      </w:pPr>
      <w:r w:rsidRPr="00434E9D">
        <w:rPr>
          <w:b/>
          <w:i/>
        </w:rPr>
        <w:br w:type="page"/>
      </w:r>
    </w:p>
    <w:p w14:paraId="4021E4CE" w14:textId="77777777" w:rsidR="008C3DE0" w:rsidRPr="00434E9D" w:rsidRDefault="008C3DE0" w:rsidP="008C3DE0">
      <w:pPr>
        <w:pStyle w:val="Considrant"/>
        <w:rPr>
          <w:b/>
          <w:lang w:val="fr-FR"/>
        </w:rPr>
      </w:pPr>
      <w:r w:rsidRPr="00434E9D">
        <w:rPr>
          <w:b/>
          <w:i/>
          <w:lang w:val="fr-FR"/>
        </w:rPr>
        <w:lastRenderedPageBreak/>
        <w:t>(</w:t>
      </w:r>
      <w:r w:rsidR="00067EED" w:rsidRPr="00434E9D">
        <w:rPr>
          <w:b/>
          <w:i/>
          <w:lang w:val="fr-FR"/>
        </w:rPr>
        <w:t>32 ter</w:t>
      </w:r>
      <w:r w:rsidRPr="00434E9D">
        <w:rPr>
          <w:b/>
          <w:i/>
          <w:lang w:val="fr-FR"/>
        </w:rPr>
        <w:t>)</w:t>
      </w:r>
      <w:r w:rsidRPr="00434E9D">
        <w:rPr>
          <w:lang w:val="fr-FR"/>
        </w:rPr>
        <w:tab/>
      </w:r>
      <w:r w:rsidRPr="00434E9D">
        <w:rPr>
          <w:b/>
          <w:i/>
          <w:lang w:val="fr-FR"/>
        </w:rPr>
        <w:t>Les programmes de surveillance permettant de déterminer l’état des eaux de surface et souterraines sont uniquement financés par les budgets des États membres. Étant donné que le nombre de substances chimiques détectées dans l’environnement aquatique évolue constamment, qu’un nombre croissant de polluants émergents apparaissent depuis peu dans ledit environnement, qu’une amélioration continue des méthodes d’analyse des substances chimiques est requise pour détecter ces polluants émergents et nouveaux et pour évaluer correctement l’incidence écologique de ceux-ci, et que de nouvelles méthodes de surveillance doivent également être mises au point pour mieux évaluer les effets des mélanges chimiques, une nouvelle augmentation des coûts de surveillance visés est attendue. Afin de couvrir ces coûts, et conformément au principe du pollueur-payeur consacré à l’article 191, paragraphe 2, du traité sur le fonctionnement de l’Union européenne (TFUE), il est primordial que les producteurs qui mettent sur le marché de l’Union des produits contenant des substances qui ont des effets négatifs avérés ou potentiels sur la santé humaine et l’environnement aquatique assument la responsabilité financière des mesures requises pour contrôler les substances générées dans le cadre de leurs activités commerciales et détectées dans les eaux de surface et les eaux souterraines. Un régime de responsabilité élargie des producteurs est probablement le moyen le plus approprié d’y parvenir, car il limiterait la charge financière pesant sur le contribuable, tout en incitant à l’élaboration de produits plus écologiques. La Commission devrait, dès lors, préparer une analyse d’impact tenant compte de l’insertion dans la directive 2006/118/CE et la directive 2008/105/EC d’un mécanisme de responsabilité élargie des producteurs, applicable aux substances prioritaires définies dans lesdites directives, ainsi qu’aux polluants émergents et nouveaux, tels que définis dans les listes de vigilance des mêmes directives. L’analyse d’impact devrait être accompagnée, le cas échéant, d’une proposition législative destinée à réviser les directives 2006/118/CE et 2008/105/EC.</w:t>
      </w:r>
      <w:r w:rsidR="00067EED" w:rsidRPr="00434E9D">
        <w:rPr>
          <w:b/>
          <w:i/>
          <w:lang w:val="fr-FR"/>
        </w:rPr>
        <w:t xml:space="preserve"> </w:t>
      </w:r>
      <w:r w:rsidR="00067EED" w:rsidRPr="00434E9D">
        <w:rPr>
          <w:b/>
          <w:lang w:val="fr-FR"/>
        </w:rPr>
        <w:t xml:space="preserve"> [Am. 51]</w:t>
      </w:r>
    </w:p>
    <w:p w14:paraId="6F539810" w14:textId="77777777" w:rsidR="00067EED" w:rsidRPr="00434E9D" w:rsidRDefault="00067EED">
      <w:pPr>
        <w:widowControl/>
        <w:rPr>
          <w:b/>
          <w:i/>
          <w:szCs w:val="24"/>
          <w:lang w:eastAsia="en-US"/>
        </w:rPr>
      </w:pPr>
      <w:r w:rsidRPr="00434E9D">
        <w:rPr>
          <w:b/>
          <w:i/>
        </w:rPr>
        <w:br w:type="page"/>
      </w:r>
    </w:p>
    <w:p w14:paraId="74FD86DC" w14:textId="77777777" w:rsidR="008C3DE0" w:rsidRPr="00434E9D" w:rsidRDefault="00067EED" w:rsidP="008C3DE0">
      <w:pPr>
        <w:pStyle w:val="Considrant"/>
        <w:rPr>
          <w:b/>
          <w:lang w:val="fr-FR"/>
        </w:rPr>
      </w:pPr>
      <w:r w:rsidRPr="00434E9D">
        <w:rPr>
          <w:b/>
          <w:i/>
          <w:lang w:val="fr-FR"/>
        </w:rPr>
        <w:lastRenderedPageBreak/>
        <w:t>(32 quater</w:t>
      </w:r>
      <w:r w:rsidR="008C3DE0" w:rsidRPr="00434E9D">
        <w:rPr>
          <w:b/>
          <w:i/>
          <w:lang w:val="fr-FR"/>
        </w:rPr>
        <w:t>)</w:t>
      </w:r>
      <w:r w:rsidR="008C3DE0" w:rsidRPr="00434E9D">
        <w:rPr>
          <w:lang w:val="fr-FR"/>
        </w:rPr>
        <w:tab/>
      </w:r>
      <w:r w:rsidR="008C3DE0" w:rsidRPr="00434E9D">
        <w:rPr>
          <w:b/>
          <w:i/>
          <w:lang w:val="fr-FR"/>
        </w:rPr>
        <w:t>La surveillance d’un nombre accru de substances ou de groupes de substances implique une augmentation des coûts, mais aussi la nécessité de renforcer la capacité administrative des États membres, en particulier ceux dont les ressources sont plus limitées. Eu égard à ce qui précède, la Commission devrait mettre en place un dispositif commun de surveillance européen pour gérer les exigences en matière de surveillance lorsque les États membres le demandent, allégeant ainsi leurs charges financières et administratives. La Commission devrait définir les modes d’exploitation du dispositif de surveillance. Le recours à un tel dispositif devrait être volontaire et sans préjudice des modalités déjà mises en place par les États membres.</w:t>
      </w:r>
      <w:r w:rsidRPr="00434E9D">
        <w:rPr>
          <w:b/>
          <w:i/>
          <w:lang w:val="fr-FR"/>
        </w:rPr>
        <w:t xml:space="preserve"> </w:t>
      </w:r>
      <w:r w:rsidRPr="00434E9D">
        <w:rPr>
          <w:b/>
          <w:lang w:val="fr-FR"/>
        </w:rPr>
        <w:t xml:space="preserve"> [Am. 52]</w:t>
      </w:r>
    </w:p>
    <w:p w14:paraId="3D2B993D" w14:textId="77777777" w:rsidR="00E96033" w:rsidRPr="00434E9D" w:rsidRDefault="00E96033">
      <w:pPr>
        <w:widowControl/>
        <w:rPr>
          <w:b/>
          <w:i/>
          <w:szCs w:val="24"/>
          <w:lang w:eastAsia="en-US"/>
        </w:rPr>
      </w:pPr>
      <w:r w:rsidRPr="00434E9D">
        <w:rPr>
          <w:b/>
          <w:i/>
        </w:rPr>
        <w:br w:type="page"/>
      </w:r>
    </w:p>
    <w:p w14:paraId="4CA2819E" w14:textId="77777777" w:rsidR="008C3DE0" w:rsidRPr="00434E9D" w:rsidRDefault="00E96033" w:rsidP="008C3DE0">
      <w:pPr>
        <w:pStyle w:val="Considrant"/>
        <w:rPr>
          <w:b/>
          <w:lang w:val="fr-FR"/>
        </w:rPr>
      </w:pPr>
      <w:r w:rsidRPr="00434E9D">
        <w:rPr>
          <w:b/>
          <w:i/>
          <w:lang w:val="fr-FR"/>
        </w:rPr>
        <w:lastRenderedPageBreak/>
        <w:t>(32 quinquies</w:t>
      </w:r>
      <w:r w:rsidR="008C3DE0" w:rsidRPr="00434E9D">
        <w:rPr>
          <w:b/>
          <w:i/>
          <w:lang w:val="fr-FR"/>
        </w:rPr>
        <w:t>)</w:t>
      </w:r>
      <w:r w:rsidR="008C3DE0" w:rsidRPr="00434E9D">
        <w:rPr>
          <w:lang w:val="fr-FR"/>
        </w:rPr>
        <w:tab/>
      </w:r>
      <w:r w:rsidR="008C3DE0" w:rsidRPr="00434E9D">
        <w:rPr>
          <w:b/>
          <w:i/>
          <w:lang w:val="fr-FR"/>
        </w:rPr>
        <w:t>Les données disponibles montrent qu’il existe un besoin en investissement dans le secteur de l’eau et que le financement de l’Union est vital pour que certains États membres se conforment aux obligations légales établies dans la directive 2000/60/CE, la directive 2008/105/CE et la directive 2006/118/CE. Tous les États membres doivent augmenter leurs dépenses d’au moins 20 % pour atteindre les normes de l’Union relatives à l’eau, et le manque de financement total s’élève à 289 milliards d’euros jusqu’en 2030</w:t>
      </w:r>
      <w:r w:rsidR="008C3DE0" w:rsidRPr="00434E9D">
        <w:rPr>
          <w:rStyle w:val="FootnoteReference"/>
        </w:rPr>
        <w:footnoteReference w:id="51"/>
      </w:r>
      <w:r w:rsidR="008C3DE0" w:rsidRPr="00434E9D">
        <w:rPr>
          <w:b/>
          <w:i/>
          <w:lang w:val="fr-FR"/>
        </w:rPr>
        <w:t>. Il est donc nécessaire de veiller à ce que des ressources financières et humaines suffisantes soient fournies pour assurer la surveillance et l’inspection des masses d’eau dans tous les États membres, notamment par l’intermédiaire des fonds structurels et des programmes pertinents de l’Union, ainsi que par des contributions du secteur privé, y compris dans le cadre du mécanisme de responsabilité élargie des producteurs, une fois qu’il aura été mis en place.</w:t>
      </w:r>
      <w:r w:rsidRPr="00434E9D">
        <w:rPr>
          <w:b/>
          <w:i/>
          <w:lang w:val="fr-FR"/>
        </w:rPr>
        <w:t xml:space="preserve"> </w:t>
      </w:r>
      <w:r w:rsidRPr="00434E9D">
        <w:rPr>
          <w:b/>
          <w:lang w:val="fr-FR"/>
        </w:rPr>
        <w:t xml:space="preserve"> [Am. 53]</w:t>
      </w:r>
    </w:p>
    <w:p w14:paraId="115356AE" w14:textId="77777777" w:rsidR="008C3DE0" w:rsidRPr="00434E9D" w:rsidRDefault="008C3DE0" w:rsidP="008C3DE0">
      <w:pPr>
        <w:pStyle w:val="Considrant"/>
        <w:rPr>
          <w:lang w:val="fr-FR"/>
        </w:rPr>
      </w:pPr>
      <w:r w:rsidRPr="00434E9D">
        <w:rPr>
          <w:lang w:val="fr-FR"/>
        </w:rPr>
        <w:t>(33)</w:t>
      </w:r>
      <w:r w:rsidRPr="00434E9D">
        <w:rPr>
          <w:lang w:val="fr-FR"/>
        </w:rPr>
        <w:tab/>
        <w:t>Il y a donc lieu de modifier les directives 2000/60/CE, 2006/118/CE et 2008/105/</w:t>
      </w:r>
      <w:r w:rsidR="00710DD1">
        <w:rPr>
          <w:lang w:val="fr-FR"/>
        </w:rPr>
        <w:t>C</w:t>
      </w:r>
      <w:r w:rsidRPr="00434E9D">
        <w:rPr>
          <w:lang w:val="fr-FR"/>
        </w:rPr>
        <w:t>E en conséquence.</w:t>
      </w:r>
    </w:p>
    <w:p w14:paraId="4531013D" w14:textId="77777777" w:rsidR="00E96033" w:rsidRPr="00434E9D" w:rsidRDefault="00E96033">
      <w:pPr>
        <w:widowControl/>
        <w:rPr>
          <w:szCs w:val="24"/>
          <w:lang w:eastAsia="en-US"/>
        </w:rPr>
      </w:pPr>
      <w:r w:rsidRPr="00434E9D">
        <w:br w:type="page"/>
      </w:r>
    </w:p>
    <w:p w14:paraId="04096B90" w14:textId="77777777" w:rsidR="008C3DE0" w:rsidRPr="00434E9D" w:rsidRDefault="008C3DE0" w:rsidP="008C3DE0">
      <w:pPr>
        <w:pStyle w:val="Considrant"/>
        <w:rPr>
          <w:lang w:val="fr-FR"/>
        </w:rPr>
      </w:pPr>
      <w:r w:rsidRPr="00434E9D">
        <w:rPr>
          <w:lang w:val="fr-FR"/>
        </w:rPr>
        <w:lastRenderedPageBreak/>
        <w:t>(34)</w:t>
      </w:r>
      <w:r w:rsidRPr="00434E9D">
        <w:rPr>
          <w:lang w:val="fr-FR"/>
        </w:rPr>
        <w:tab/>
        <w:t>Étant donné que les objectifs de la présente directive, à savoir assurer un niveau élevé de protection de l’environnement et améliorer la qualité environnementale des eaux douces européennes, ne peuvent pas être réalisés de manière suffisante par les États membres agissant seuls, mais bien, en raison du caractère transfrontière de la pollution des eaux, l’être mieux au niveau de l’Union, celle-ci peut prendre des mesures, conformément au principe de subsidiarité consacré à l’article 5 du traité sur l’Union européenne. Conformément au principe de proportionnalité tel qu’énoncé audit article, la présente directive n’excède pas ce qui est nécessaire pour atteindre ces objectifs</w:t>
      </w:r>
      <w:r w:rsidR="008327D4" w:rsidRPr="00434E9D">
        <w:rPr>
          <w:lang w:val="fr-FR"/>
        </w:rPr>
        <w:t>.</w:t>
      </w:r>
    </w:p>
    <w:p w14:paraId="78702416" w14:textId="77777777" w:rsidR="008C3DE0" w:rsidRPr="00434E9D" w:rsidRDefault="00E96033" w:rsidP="008C3DE0">
      <w:pPr>
        <w:pStyle w:val="Considrant"/>
        <w:rPr>
          <w:b/>
          <w:lang w:val="fr-FR"/>
        </w:rPr>
      </w:pPr>
      <w:r w:rsidRPr="00434E9D">
        <w:rPr>
          <w:b/>
          <w:i/>
          <w:lang w:val="fr-FR"/>
        </w:rPr>
        <w:t>(34 bis</w:t>
      </w:r>
      <w:r w:rsidR="008C3DE0" w:rsidRPr="00434E9D">
        <w:rPr>
          <w:b/>
          <w:i/>
          <w:lang w:val="fr-FR"/>
        </w:rPr>
        <w:t>)</w:t>
      </w:r>
      <w:r w:rsidR="008C3DE0" w:rsidRPr="00434E9D">
        <w:rPr>
          <w:lang w:val="fr-FR"/>
        </w:rPr>
        <w:tab/>
      </w:r>
      <w:r w:rsidR="008C3DE0" w:rsidRPr="00434E9D">
        <w:rPr>
          <w:b/>
          <w:i/>
          <w:lang w:val="fr-FR"/>
        </w:rPr>
        <w:t xml:space="preserve">Les États membres devraient favoriser les synergies entre les exigences des directives pertinentes relatives à la collecte de données et au déploiement d’outils numériques tels que les technologies de télédétection ou l’observation de la Terre (services </w:t>
      </w:r>
      <w:proofErr w:type="spellStart"/>
      <w:r w:rsidR="008C3DE0" w:rsidRPr="00434E9D">
        <w:rPr>
          <w:b/>
          <w:i/>
          <w:lang w:val="fr-FR"/>
        </w:rPr>
        <w:t>Copernicus</w:t>
      </w:r>
      <w:proofErr w:type="spellEnd"/>
      <w:r w:rsidR="008C3DE0" w:rsidRPr="00434E9D">
        <w:rPr>
          <w:b/>
          <w:i/>
          <w:lang w:val="fr-FR"/>
        </w:rPr>
        <w:t>).</w:t>
      </w:r>
      <w:r w:rsidRPr="00434E9D">
        <w:rPr>
          <w:b/>
          <w:i/>
          <w:lang w:val="fr-FR"/>
        </w:rPr>
        <w:t xml:space="preserve"> </w:t>
      </w:r>
      <w:r w:rsidRPr="00434E9D">
        <w:rPr>
          <w:b/>
          <w:lang w:val="fr-FR"/>
        </w:rPr>
        <w:t xml:space="preserve"> [Am. 54]</w:t>
      </w:r>
    </w:p>
    <w:p w14:paraId="012569B7" w14:textId="77777777" w:rsidR="00E96033" w:rsidRPr="00434E9D" w:rsidRDefault="00E96033">
      <w:pPr>
        <w:widowControl/>
        <w:rPr>
          <w:b/>
          <w:i/>
          <w:szCs w:val="24"/>
          <w:lang w:eastAsia="en-US"/>
        </w:rPr>
      </w:pPr>
      <w:r w:rsidRPr="00434E9D">
        <w:rPr>
          <w:b/>
          <w:i/>
        </w:rPr>
        <w:br w:type="page"/>
      </w:r>
    </w:p>
    <w:p w14:paraId="13553F90" w14:textId="77777777" w:rsidR="008C3DE0" w:rsidRPr="00434E9D" w:rsidRDefault="00E96033" w:rsidP="008C3DE0">
      <w:pPr>
        <w:pStyle w:val="Considrant"/>
        <w:rPr>
          <w:b/>
          <w:lang w:val="fr-FR"/>
        </w:rPr>
      </w:pPr>
      <w:r w:rsidRPr="00434E9D">
        <w:rPr>
          <w:b/>
          <w:i/>
          <w:lang w:val="fr-FR"/>
        </w:rPr>
        <w:lastRenderedPageBreak/>
        <w:t>(34 ter</w:t>
      </w:r>
      <w:r w:rsidR="008C3DE0" w:rsidRPr="00434E9D">
        <w:rPr>
          <w:b/>
          <w:i/>
          <w:lang w:val="fr-FR"/>
        </w:rPr>
        <w:t>)</w:t>
      </w:r>
      <w:r w:rsidR="008C3DE0" w:rsidRPr="00434E9D">
        <w:rPr>
          <w:lang w:val="fr-FR"/>
        </w:rPr>
        <w:tab/>
      </w:r>
      <w:r w:rsidR="008C3DE0" w:rsidRPr="00434E9D">
        <w:rPr>
          <w:b/>
          <w:i/>
          <w:lang w:val="fr-FR"/>
        </w:rPr>
        <w:t>Les autorités compétentes devraient soutenir la formation, les programmes de développement des compétences et les investissements dans le capital humain afin de favoriser la mise en œuvre effective des meilleures technologies et solutions innovantes dans le cadre des directives. Les informations devraient être accessibles dans les différentes langues nationales afin de renforcer l’accessibilité des données pertinentes dans toute l’Europe pour les acteurs locaux et les citoyens concernés</w:t>
      </w:r>
      <w:r w:rsidR="008327D4" w:rsidRPr="00434E9D">
        <w:rPr>
          <w:b/>
          <w:i/>
          <w:lang w:val="fr-FR"/>
        </w:rPr>
        <w:t>,</w:t>
      </w:r>
      <w:r w:rsidRPr="00434E9D">
        <w:rPr>
          <w:b/>
          <w:i/>
          <w:lang w:val="fr-FR"/>
        </w:rPr>
        <w:t xml:space="preserve"> </w:t>
      </w:r>
      <w:r w:rsidRPr="00434E9D">
        <w:rPr>
          <w:b/>
          <w:lang w:val="fr-FR"/>
        </w:rPr>
        <w:t xml:space="preserve"> [Am. 55]</w:t>
      </w:r>
    </w:p>
    <w:p w14:paraId="487445FD" w14:textId="77777777" w:rsidR="008C3DE0" w:rsidRPr="00434E9D" w:rsidRDefault="008C3DE0" w:rsidP="008C3DE0">
      <w:pPr>
        <w:pStyle w:val="Formuledadoption"/>
        <w:rPr>
          <w:lang w:val="fr-FR"/>
        </w:rPr>
      </w:pPr>
      <w:r w:rsidRPr="00434E9D">
        <w:rPr>
          <w:lang w:val="fr-FR"/>
        </w:rPr>
        <w:t>ONT ADOPTÉ LA PRÉSENTE DIRECTIVE:</w:t>
      </w:r>
    </w:p>
    <w:p w14:paraId="2FADD59D" w14:textId="77777777" w:rsidR="00E96033" w:rsidRPr="00434E9D" w:rsidRDefault="00E96033">
      <w:pPr>
        <w:widowControl/>
      </w:pPr>
      <w:r w:rsidRPr="00434E9D">
        <w:br w:type="page"/>
      </w:r>
    </w:p>
    <w:p w14:paraId="3AE8A9F9" w14:textId="77777777" w:rsidR="008C3DE0" w:rsidRPr="00434E9D" w:rsidRDefault="008C3DE0" w:rsidP="00E96033">
      <w:pPr>
        <w:spacing w:line="360" w:lineRule="auto"/>
        <w:jc w:val="center"/>
      </w:pPr>
      <w:r w:rsidRPr="00434E9D">
        <w:lastRenderedPageBreak/>
        <w:t>Article premier</w:t>
      </w:r>
      <w:r w:rsidRPr="00434E9D">
        <w:br/>
        <w:t>Modifications de la directive 2000/60/CE</w:t>
      </w:r>
    </w:p>
    <w:p w14:paraId="0ACD894E" w14:textId="77777777" w:rsidR="008C3DE0" w:rsidRPr="00434E9D" w:rsidRDefault="008C3DE0" w:rsidP="00E96033">
      <w:pPr>
        <w:spacing w:line="360" w:lineRule="auto"/>
      </w:pPr>
      <w:r w:rsidRPr="00434E9D">
        <w:t>La directive 2000/60/CE est modifiée comme suit:</w:t>
      </w:r>
    </w:p>
    <w:p w14:paraId="0A1932A2" w14:textId="77777777" w:rsidR="008C3DE0" w:rsidRPr="00434E9D" w:rsidRDefault="009B1B4D" w:rsidP="00E96033">
      <w:pPr>
        <w:spacing w:line="360" w:lineRule="auto"/>
        <w:ind w:left="850" w:hanging="850"/>
        <w:rPr>
          <w:b/>
        </w:rPr>
      </w:pPr>
      <w:r w:rsidRPr="00434E9D">
        <w:t>1)</w:t>
      </w:r>
      <w:r w:rsidRPr="00434E9D">
        <w:tab/>
        <w:t>À</w:t>
      </w:r>
      <w:r w:rsidR="008C3DE0" w:rsidRPr="00434E9D">
        <w:t xml:space="preserve"> l’article 1</w:t>
      </w:r>
      <w:r w:rsidR="008C3DE0" w:rsidRPr="00434E9D">
        <w:rPr>
          <w:vertAlign w:val="superscript"/>
        </w:rPr>
        <w:t>er</w:t>
      </w:r>
      <w:r w:rsidR="008C3DE0" w:rsidRPr="00434E9D">
        <w:rPr>
          <w:b/>
          <w:i/>
        </w:rPr>
        <w:t>, point e)</w:t>
      </w:r>
      <w:r w:rsidR="008C3DE0" w:rsidRPr="00434E9D">
        <w:t>, le quatrième tiret est remplacé par le texte suivant:</w:t>
      </w:r>
      <w:r w:rsidR="00E96033" w:rsidRPr="00434E9D">
        <w:rPr>
          <w:b/>
        </w:rPr>
        <w:t xml:space="preserve"> [Am. 56]</w:t>
      </w:r>
    </w:p>
    <w:p w14:paraId="03B8144C" w14:textId="77777777" w:rsidR="008C3DE0" w:rsidRPr="00434E9D" w:rsidRDefault="008C3DE0" w:rsidP="00E96033">
      <w:pPr>
        <w:spacing w:line="360" w:lineRule="auto"/>
        <w:ind w:left="850"/>
      </w:pPr>
      <w:r w:rsidRPr="00434E9D">
        <w:t>«– à réaliser les objectifs des accords internationaux pertinents, y compris ceux qui visent à prévenir et à éliminer la pollution de l’environnement marin grâce à une action de l’Union visant à arrêter ou à supprimer progressivement les rejets, émissions et pertes de substances dangereuses prioritaires, dans le but ultime d’obtenir, dans l’environnement marin, des concentrations qui soient proches des niveaux de fond pour les substances présentes naturellement et proches de zéro pour les substances synthétiques</w:t>
      </w:r>
      <w:r w:rsidR="009B1B4D" w:rsidRPr="00434E9D">
        <w:t xml:space="preserve"> produites par l’homme</w:t>
      </w:r>
      <w:r w:rsidRPr="00434E9D">
        <w:t>;»</w:t>
      </w:r>
      <w:r w:rsidR="00E96033" w:rsidRPr="00434E9D">
        <w:t>.</w:t>
      </w:r>
    </w:p>
    <w:p w14:paraId="47EF57DD" w14:textId="77777777" w:rsidR="00E96033" w:rsidRPr="00434E9D" w:rsidRDefault="00E96033">
      <w:pPr>
        <w:widowControl/>
      </w:pPr>
      <w:r w:rsidRPr="00434E9D">
        <w:br w:type="page"/>
      </w:r>
    </w:p>
    <w:p w14:paraId="440A923A" w14:textId="77777777" w:rsidR="008C3DE0" w:rsidRPr="00434E9D" w:rsidRDefault="009B1B4D" w:rsidP="00E96033">
      <w:pPr>
        <w:spacing w:line="360" w:lineRule="auto"/>
        <w:ind w:left="850" w:hanging="850"/>
      </w:pPr>
      <w:r w:rsidRPr="00434E9D">
        <w:lastRenderedPageBreak/>
        <w:t>2)</w:t>
      </w:r>
      <w:r w:rsidRPr="00434E9D">
        <w:tab/>
        <w:t>L</w:t>
      </w:r>
      <w:r w:rsidR="008C3DE0" w:rsidRPr="00434E9D">
        <w:t>’article 2 est modifié comme suit:</w:t>
      </w:r>
    </w:p>
    <w:p w14:paraId="649885D9" w14:textId="77777777" w:rsidR="008C3DE0" w:rsidRPr="00434E9D" w:rsidRDefault="008C3DE0" w:rsidP="00E96033">
      <w:pPr>
        <w:spacing w:line="360" w:lineRule="auto"/>
        <w:ind w:left="1416" w:hanging="566"/>
      </w:pPr>
      <w:r w:rsidRPr="00434E9D">
        <w:t>a)</w:t>
      </w:r>
      <w:r w:rsidRPr="00434E9D">
        <w:tab/>
        <w:t>le point 24) est remplacé par le texte suivant:</w:t>
      </w:r>
    </w:p>
    <w:p w14:paraId="4A53BA50" w14:textId="77777777" w:rsidR="008C3DE0" w:rsidRPr="00434E9D" w:rsidRDefault="008C3DE0" w:rsidP="00E96033">
      <w:pPr>
        <w:spacing w:line="360" w:lineRule="auto"/>
        <w:ind w:left="1982" w:hanging="566"/>
      </w:pPr>
      <w:r w:rsidRPr="00434E9D">
        <w:t>«24)</w:t>
      </w:r>
      <w:r w:rsidRPr="00434E9D">
        <w:tab/>
        <w:t>“bon état chimique d’une eau de surface”: l’état chimique requis pour atteindre les objectifs environnementaux fixés à l’article 4, paragraphe 1, point a), de la présente directive pour les eaux de surface, c’est-à-dire l’état chimique atteint par une masse d’eau de surface dans laquelle les concentrations de polluants ne dépassent pas les normes de qualité environnementale applicables aux substances prioritaires répertoriées à l’annexe I, partie A, de la directive 2008/105/CE du Parlement européen et du Conseil* et les normes de qualité environnementale applicables aux polluants spécifiques à un bassin hydrographique fixées conformément à l’article 8, paragraphe 2, point c), et à l’article 8 quinquies, pa</w:t>
      </w:r>
      <w:r w:rsidR="00E96033" w:rsidRPr="00434E9D">
        <w:t>ragraphe 1, de ladite directive</w:t>
      </w:r>
      <w:r w:rsidRPr="00434E9D">
        <w:t>;»</w:t>
      </w:r>
    </w:p>
    <w:p w14:paraId="091F58CC" w14:textId="77777777" w:rsidR="008C3DE0" w:rsidRPr="00434E9D" w:rsidRDefault="008C3DE0" w:rsidP="00E96033">
      <w:pPr>
        <w:spacing w:line="360" w:lineRule="auto"/>
        <w:ind w:left="1416" w:hanging="566"/>
      </w:pPr>
      <w:r w:rsidRPr="00434E9D">
        <w:t>b)</w:t>
      </w:r>
      <w:r w:rsidRPr="00434E9D">
        <w:tab/>
        <w:t>le point 30) est remplacé par le texte suivant:</w:t>
      </w:r>
    </w:p>
    <w:p w14:paraId="129E3366" w14:textId="77777777" w:rsidR="008C3DE0" w:rsidRPr="00434E9D" w:rsidRDefault="008C3DE0" w:rsidP="00E96033">
      <w:pPr>
        <w:spacing w:line="360" w:lineRule="auto"/>
        <w:ind w:left="1982" w:hanging="566"/>
      </w:pPr>
      <w:r w:rsidRPr="00434E9D">
        <w:t>«30)</w:t>
      </w:r>
      <w:r w:rsidRPr="00434E9D">
        <w:tab/>
        <w:t>“substances prioritaires”: les substances répertoriées à l’annexe I, partie A, de la directive 2008/105/CE, c’est-à-dire les substances qui présentent un risque significatif pour ou via l’environnement aquatique dans une la</w:t>
      </w:r>
      <w:r w:rsidR="009B1B4D" w:rsidRPr="00434E9D">
        <w:t>rge proportion d’États membres;</w:t>
      </w:r>
      <w:r w:rsidRPr="00434E9D">
        <w:t>»</w:t>
      </w:r>
    </w:p>
    <w:p w14:paraId="5A2686C0" w14:textId="77777777" w:rsidR="009B1B4D" w:rsidRPr="00434E9D" w:rsidRDefault="009B1B4D">
      <w:pPr>
        <w:widowControl/>
      </w:pPr>
      <w:r w:rsidRPr="00434E9D">
        <w:br w:type="page"/>
      </w:r>
    </w:p>
    <w:p w14:paraId="130C6485" w14:textId="77777777" w:rsidR="008C3DE0" w:rsidRPr="00434E9D" w:rsidRDefault="008C3DE0" w:rsidP="00E96033">
      <w:pPr>
        <w:spacing w:line="360" w:lineRule="auto"/>
        <w:ind w:left="1416" w:hanging="566"/>
      </w:pPr>
      <w:r w:rsidRPr="00434E9D">
        <w:lastRenderedPageBreak/>
        <w:t>c)</w:t>
      </w:r>
      <w:r w:rsidRPr="00434E9D">
        <w:tab/>
        <w:t>les points 30 bis) et 30 ter) suivants sont insérés:</w:t>
      </w:r>
    </w:p>
    <w:p w14:paraId="5D7903F4" w14:textId="77777777" w:rsidR="008C3DE0" w:rsidRPr="00434E9D" w:rsidRDefault="008C3DE0" w:rsidP="00E96033">
      <w:pPr>
        <w:spacing w:line="360" w:lineRule="auto"/>
        <w:ind w:left="1982" w:hanging="566"/>
        <w:rPr>
          <w:b/>
        </w:rPr>
      </w:pPr>
      <w:r w:rsidRPr="00434E9D">
        <w:t xml:space="preserve">«30 bis) </w:t>
      </w:r>
      <w:r w:rsidRPr="00434E9D">
        <w:tab/>
        <w:t xml:space="preserve">“substances dangereuses prioritaires”: les substances prioritaires qui sont signalées comme “dangereuses” car elles sont reconnues dans les rapports scientifiques, dans la législation de l’Union pertinente, ou dans les accords internationaux pertinents comme </w:t>
      </w:r>
      <w:r w:rsidRPr="00434E9D">
        <w:rPr>
          <w:strike/>
        </w:rPr>
        <w:t xml:space="preserve">étant </w:t>
      </w:r>
      <w:r w:rsidRPr="00434E9D">
        <w:t xml:space="preserve">toxiques, persistantes et bioaccumulables </w:t>
      </w:r>
      <w:r w:rsidRPr="00434E9D">
        <w:rPr>
          <w:b/>
          <w:i/>
        </w:rPr>
        <w:t>(PTB), comme très persistantes et très bioaccumulables (</w:t>
      </w:r>
      <w:proofErr w:type="spellStart"/>
      <w:r w:rsidRPr="00434E9D">
        <w:rPr>
          <w:b/>
          <w:i/>
        </w:rPr>
        <w:t>vPvB</w:t>
      </w:r>
      <w:proofErr w:type="spellEnd"/>
      <w:r w:rsidRPr="00434E9D">
        <w:rPr>
          <w:b/>
          <w:i/>
        </w:rPr>
        <w:t>), comme persistantes, mobiles et toxiques (PMT), comme très persistantes et très mobiles (</w:t>
      </w:r>
      <w:proofErr w:type="spellStart"/>
      <w:r w:rsidRPr="00434E9D">
        <w:rPr>
          <w:b/>
          <w:i/>
        </w:rPr>
        <w:t>vPvM</w:t>
      </w:r>
      <w:proofErr w:type="spellEnd"/>
      <w:r w:rsidRPr="00434E9D">
        <w:rPr>
          <w:b/>
          <w:i/>
        </w:rPr>
        <w:t xml:space="preserve">), ou </w:t>
      </w:r>
      <w:proofErr w:type="spellStart"/>
      <w:r w:rsidRPr="00434E9D">
        <w:rPr>
          <w:b/>
          <w:i/>
        </w:rPr>
        <w:t>comme</w:t>
      </w:r>
      <w:r w:rsidRPr="00434E9D">
        <w:rPr>
          <w:strike/>
        </w:rPr>
        <w:t>ou</w:t>
      </w:r>
      <w:proofErr w:type="spellEnd"/>
      <w:r w:rsidRPr="00434E9D">
        <w:t xml:space="preserve"> donnant lieu à un niveau équivalent de préoccupation, lorsque celle-ci</w:t>
      </w:r>
      <w:r w:rsidR="002C3C8B" w:rsidRPr="00434E9D">
        <w:t xml:space="preserve"> </w:t>
      </w:r>
      <w:r w:rsidRPr="00434E9D">
        <w:t>est pertinente pour l’environnement aquatique</w:t>
      </w:r>
      <w:r w:rsidRPr="00434E9D">
        <w:rPr>
          <w:b/>
          <w:i/>
        </w:rPr>
        <w:t>, et concernant laquelle des mesures doivent être prises conformément à l’article 4, alinéa 1, point a, sous-point iv)</w:t>
      </w:r>
      <w:r w:rsidRPr="00434E9D">
        <w:t>;</w:t>
      </w:r>
      <w:r w:rsidR="009B1B4D" w:rsidRPr="00434E9D">
        <w:t xml:space="preserve"> </w:t>
      </w:r>
      <w:r w:rsidR="009B1B4D" w:rsidRPr="00434E9D">
        <w:rPr>
          <w:b/>
        </w:rPr>
        <w:t xml:space="preserve"> [Am. 57]</w:t>
      </w:r>
    </w:p>
    <w:p w14:paraId="069985FB" w14:textId="77777777" w:rsidR="008C3DE0" w:rsidRPr="00434E9D" w:rsidRDefault="008C3DE0" w:rsidP="00E96033">
      <w:pPr>
        <w:spacing w:line="360" w:lineRule="auto"/>
        <w:ind w:left="1982" w:hanging="566"/>
      </w:pPr>
      <w:r w:rsidRPr="00434E9D">
        <w:t>30 ter)</w:t>
      </w:r>
      <w:r w:rsidRPr="00434E9D">
        <w:tab/>
        <w:t>“polluants spécifiques à un bassin hydrographique”: les polluants qui ne sont pas ou plus considérés comme des substances prioritaires, mais que les États membres ont considéré, sur la base de l’évaluation des pressions et des incidences sur les masses d’eau de surface effectuée conformément à l’annexe II de la présente directive, comme présentant un risque significatif pour ou via l’environnemen</w:t>
      </w:r>
      <w:r w:rsidR="009B1B4D" w:rsidRPr="00434E9D">
        <w:t>t aquatique sur leur territoire</w:t>
      </w:r>
      <w:r w:rsidRPr="00434E9D">
        <w:t>;»</w:t>
      </w:r>
    </w:p>
    <w:p w14:paraId="4AB59598" w14:textId="77777777" w:rsidR="009B1B4D" w:rsidRPr="00434E9D" w:rsidRDefault="009B1B4D">
      <w:pPr>
        <w:widowControl/>
      </w:pPr>
      <w:r w:rsidRPr="00434E9D">
        <w:br w:type="page"/>
      </w:r>
    </w:p>
    <w:p w14:paraId="3338D6E4" w14:textId="77777777" w:rsidR="008C3DE0" w:rsidRPr="00434E9D" w:rsidRDefault="008C3DE0" w:rsidP="00E96033">
      <w:pPr>
        <w:spacing w:line="360" w:lineRule="auto"/>
        <w:ind w:left="1416" w:hanging="566"/>
      </w:pPr>
      <w:r w:rsidRPr="00434E9D">
        <w:lastRenderedPageBreak/>
        <w:t>d)</w:t>
      </w:r>
      <w:r w:rsidRPr="00434E9D">
        <w:tab/>
        <w:t>le point 35) est remplacé par le texte suivant:</w:t>
      </w:r>
    </w:p>
    <w:p w14:paraId="2698A72C" w14:textId="77777777" w:rsidR="009B1B4D" w:rsidRPr="00434E9D" w:rsidRDefault="008C3DE0" w:rsidP="009B1B4D">
      <w:pPr>
        <w:spacing w:line="360" w:lineRule="auto"/>
        <w:ind w:left="1982" w:hanging="566"/>
        <w:rPr>
          <w:b/>
          <w:strike/>
        </w:rPr>
      </w:pPr>
      <w:r w:rsidRPr="00434E9D">
        <w:t>«35)</w:t>
      </w:r>
      <w:r w:rsidRPr="00434E9D">
        <w:tab/>
        <w:t>“</w:t>
      </w:r>
      <w:proofErr w:type="spellStart"/>
      <w:r w:rsidRPr="00434E9D">
        <w:rPr>
          <w:strike/>
        </w:rPr>
        <w:t>normes</w:t>
      </w:r>
      <w:r w:rsidRPr="00434E9D">
        <w:rPr>
          <w:b/>
          <w:i/>
        </w:rPr>
        <w:t>norme</w:t>
      </w:r>
      <w:proofErr w:type="spellEnd"/>
      <w:r w:rsidRPr="00434E9D">
        <w:t xml:space="preserve"> de qualité environnementale”: la concentration d’un polluant ou d’un groupe de polluants </w:t>
      </w:r>
      <w:r w:rsidRPr="00434E9D">
        <w:rPr>
          <w:b/>
          <w:i/>
        </w:rPr>
        <w:t xml:space="preserve">particuliers </w:t>
      </w:r>
      <w:r w:rsidRPr="00434E9D">
        <w:t>dans l’eau, les sédiments ou le biote</w:t>
      </w:r>
      <w:r w:rsidRPr="00434E9D">
        <w:rPr>
          <w:b/>
          <w:i/>
        </w:rPr>
        <w:t>, à ne pas dépasser</w:t>
      </w:r>
      <w:r w:rsidRPr="00434E9D">
        <w:rPr>
          <w:strike/>
        </w:rPr>
        <w:t xml:space="preserve"> qui ne doit pas être dépassée</w:t>
      </w:r>
      <w:r w:rsidRPr="00434E9D">
        <w:t>, afin de protéger la santé humaine et l’environnement, ou la valeur de déclenchement de l’effet négatif sur la santé humaine ou l’environnement d’un tel polluant ou groupe de polluants</w:t>
      </w:r>
      <w:r w:rsidRPr="00434E9D">
        <w:rPr>
          <w:b/>
          <w:i/>
        </w:rPr>
        <w:t>,</w:t>
      </w:r>
      <w:r w:rsidRPr="00434E9D">
        <w:t xml:space="preserve"> mesurée à l’aide d’une méthode </w:t>
      </w:r>
      <w:r w:rsidRPr="00434E9D">
        <w:rPr>
          <w:b/>
          <w:i/>
        </w:rPr>
        <w:t xml:space="preserve">appropriée scientifiquement établie et </w:t>
      </w:r>
      <w:r w:rsidRPr="00434E9D">
        <w:t>fondée sur les effets</w:t>
      </w:r>
      <w:r w:rsidRPr="00434E9D">
        <w:rPr>
          <w:strike/>
        </w:rPr>
        <w:t xml:space="preserve"> appropriée</w:t>
      </w:r>
      <w:r w:rsidRPr="00434E9D">
        <w:t>;»;</w:t>
      </w:r>
      <w:r w:rsidR="008E1A7B" w:rsidRPr="00434E9D">
        <w:rPr>
          <w:b/>
        </w:rPr>
        <w:t xml:space="preserve"> [Am. 58]</w:t>
      </w:r>
    </w:p>
    <w:p w14:paraId="4951FB41" w14:textId="77777777" w:rsidR="009B1B4D" w:rsidRPr="00434E9D" w:rsidRDefault="009B1B4D" w:rsidP="009B1B4D">
      <w:pPr>
        <w:spacing w:line="360" w:lineRule="auto"/>
        <w:ind w:left="1982" w:hanging="566"/>
        <w:rPr>
          <w:strike/>
        </w:rPr>
      </w:pPr>
    </w:p>
    <w:p w14:paraId="6920D643" w14:textId="77777777" w:rsidR="008C3DE0" w:rsidRPr="00434E9D" w:rsidRDefault="008C3DE0" w:rsidP="00E96033">
      <w:pPr>
        <w:spacing w:line="360" w:lineRule="auto"/>
        <w:ind w:left="1982"/>
      </w:pPr>
      <w:r w:rsidRPr="00434E9D">
        <w:t>* Directive 2008/105/CE du Parlement européen et du Conseil du 16 décembre 2008 relative à la prévention et au contrôle de la pollution des eaux de surface, modifiant et abrogeant les directives du Conseil 82/176/CEE, 83/513/CEE, 84/156/CEE, 84/491/CEE, 86/280/CEE et modifiant la directive 2000/60/CE du Parlement européen et du Conseil (JO L 348 du 24.12.2008, p. 84).;»</w:t>
      </w:r>
    </w:p>
    <w:p w14:paraId="2BC8A687" w14:textId="77777777" w:rsidR="008C3DE0" w:rsidRPr="00434E9D" w:rsidRDefault="008E1A7B" w:rsidP="00E96033">
      <w:pPr>
        <w:spacing w:line="360" w:lineRule="auto"/>
        <w:ind w:left="1416" w:hanging="566"/>
      </w:pPr>
      <w:r w:rsidRPr="00434E9D">
        <w:rPr>
          <w:b/>
          <w:i/>
        </w:rPr>
        <w:t>d bis)</w:t>
      </w:r>
      <w:r w:rsidRPr="00434E9D">
        <w:rPr>
          <w:b/>
          <w:i/>
        </w:rPr>
        <w:tab/>
      </w:r>
      <w:r w:rsidR="008C3DE0" w:rsidRPr="00434E9D">
        <w:rPr>
          <w:b/>
          <w:i/>
        </w:rPr>
        <w:tab/>
        <w:t>le point 37) est remplacé par le texte suivant:</w:t>
      </w:r>
    </w:p>
    <w:p w14:paraId="4BA948E2" w14:textId="77777777" w:rsidR="008C3DE0" w:rsidRPr="00434E9D" w:rsidRDefault="008C3DE0" w:rsidP="00E96033">
      <w:pPr>
        <w:spacing w:line="360" w:lineRule="auto"/>
        <w:ind w:left="1982" w:hanging="566"/>
        <w:rPr>
          <w:b/>
        </w:rPr>
      </w:pPr>
      <w:r w:rsidRPr="00434E9D">
        <w:rPr>
          <w:b/>
          <w:i/>
        </w:rPr>
        <w:t xml:space="preserve">«37. </w:t>
      </w:r>
      <w:r w:rsidRPr="00434E9D">
        <w:rPr>
          <w:b/>
          <w:i/>
        </w:rPr>
        <w:tab/>
        <w:t>“eau destinée à la consommation humaine”: a le même sens que dans la directive (UE) 2020/2184;</w:t>
      </w:r>
      <w:r w:rsidRPr="00434E9D">
        <w:t>»</w:t>
      </w:r>
      <w:r w:rsidR="008E1A7B" w:rsidRPr="00434E9D">
        <w:t xml:space="preserve"> </w:t>
      </w:r>
      <w:r w:rsidR="008E1A7B" w:rsidRPr="00434E9D">
        <w:rPr>
          <w:b/>
        </w:rPr>
        <w:t xml:space="preserve"> [Am. 59]</w:t>
      </w:r>
    </w:p>
    <w:p w14:paraId="385DD6A6" w14:textId="77777777" w:rsidR="008E1A7B" w:rsidRPr="00434E9D" w:rsidRDefault="008E1A7B">
      <w:pPr>
        <w:widowControl/>
        <w:rPr>
          <w:b/>
          <w:i/>
        </w:rPr>
      </w:pPr>
      <w:r w:rsidRPr="00434E9D">
        <w:rPr>
          <w:b/>
          <w:i/>
        </w:rPr>
        <w:br w:type="page"/>
      </w:r>
    </w:p>
    <w:p w14:paraId="03008243" w14:textId="77777777" w:rsidR="008C3DE0" w:rsidRPr="00434E9D" w:rsidRDefault="008C3DE0" w:rsidP="00E96033">
      <w:pPr>
        <w:spacing w:line="360" w:lineRule="auto"/>
        <w:ind w:left="1416" w:hanging="566"/>
      </w:pPr>
      <w:r w:rsidRPr="00434E9D">
        <w:rPr>
          <w:b/>
          <w:i/>
        </w:rPr>
        <w:lastRenderedPageBreak/>
        <w:t>d ter)</w:t>
      </w:r>
      <w:r w:rsidRPr="00434E9D">
        <w:rPr>
          <w:b/>
          <w:i/>
        </w:rPr>
        <w:tab/>
      </w:r>
      <w:r w:rsidR="008E1A7B" w:rsidRPr="00434E9D">
        <w:rPr>
          <w:b/>
          <w:i/>
        </w:rPr>
        <w:t>Au</w:t>
      </w:r>
      <w:r w:rsidRPr="00434E9D">
        <w:rPr>
          <w:b/>
          <w:i/>
        </w:rPr>
        <w:t xml:space="preserve"> point 40, le premier alinéa est remplacé par le texte suivant:</w:t>
      </w:r>
    </w:p>
    <w:p w14:paraId="459203A7" w14:textId="77777777" w:rsidR="008C3DE0" w:rsidRPr="00434E9D" w:rsidRDefault="008C3DE0" w:rsidP="00E96033">
      <w:pPr>
        <w:spacing w:line="360" w:lineRule="auto"/>
        <w:ind w:left="1982" w:hanging="566"/>
        <w:rPr>
          <w:b/>
        </w:rPr>
      </w:pPr>
      <w:r w:rsidRPr="00434E9D">
        <w:rPr>
          <w:b/>
          <w:i/>
        </w:rPr>
        <w:t xml:space="preserve">«40. </w:t>
      </w:r>
      <w:r w:rsidRPr="00434E9D">
        <w:rPr>
          <w:b/>
          <w:i/>
        </w:rPr>
        <w:tab/>
        <w:t>«valeurs limites d’émission»: la masse, exprimée en fonction de certains paramètres spécifiques, la concentration et/ou le niveau d’une émission à ne pas dépasser au cours d’une ou de plusieurs périodes données. Les valeurs limites d’émission peuvent être fixées également pour certains groupes, familles ou catégories de substances, notamment celles déterminées à l’annexe I de la directive 2008/105/CE.</w:t>
      </w:r>
      <w:r w:rsidRPr="00434E9D">
        <w:t>»</w:t>
      </w:r>
      <w:r w:rsidR="008E1A7B" w:rsidRPr="00434E9D">
        <w:t xml:space="preserve"> </w:t>
      </w:r>
      <w:r w:rsidR="008E1A7B" w:rsidRPr="00434E9D">
        <w:rPr>
          <w:b/>
        </w:rPr>
        <w:t xml:space="preserve"> [Am. 60]</w:t>
      </w:r>
    </w:p>
    <w:p w14:paraId="0DA30A2B" w14:textId="77777777" w:rsidR="008C3DE0" w:rsidRPr="00434E9D" w:rsidRDefault="008E1A7B" w:rsidP="00E96033">
      <w:pPr>
        <w:spacing w:line="360" w:lineRule="auto"/>
        <w:ind w:left="850" w:hanging="850"/>
      </w:pPr>
      <w:r w:rsidRPr="00434E9D">
        <w:t>3)</w:t>
      </w:r>
      <w:r w:rsidRPr="00434E9D">
        <w:tab/>
        <w:t>À</w:t>
      </w:r>
      <w:r w:rsidR="008C3DE0" w:rsidRPr="00434E9D">
        <w:t xml:space="preserve"> l’article 3, le paragraphe 4 bis suivant est inséré:</w:t>
      </w:r>
    </w:p>
    <w:p w14:paraId="42C9DEB3" w14:textId="77777777" w:rsidR="008E1A7B" w:rsidRPr="00434E9D" w:rsidRDefault="008C3DE0" w:rsidP="00E96033">
      <w:pPr>
        <w:spacing w:line="360" w:lineRule="auto"/>
        <w:ind w:left="1416" w:hanging="566"/>
      </w:pPr>
      <w:r w:rsidRPr="00434E9D">
        <w:t>«4 bis</w:t>
      </w:r>
      <w:r w:rsidR="008E1A7B" w:rsidRPr="00434E9D">
        <w:t xml:space="preserve">. </w:t>
      </w:r>
      <w:r w:rsidRPr="00434E9D">
        <w:t>En cas de circonstances exceptionnelles d’origine naturelle ou de force majeure, en particulier d’inondations extrêmes, de sécheresses prolongées, ou d’incidents de pollution significatifs, susceptibles d’affecter des masses d’eau situées en aval dans d’autres États membres, les États membres veillent à ce que les autorités compétentes responsables des masses d’eau situées en aval dans ces États membres, ainsi que la Commission, soient immédiatement informées et à ce que la coopération nécessaire soit mise en place afin d’enquêter sur les causes et de faire face aux conséquences des circonstances exceptionnelles ou des incidents.;</w:t>
      </w:r>
    </w:p>
    <w:p w14:paraId="55715304" w14:textId="77777777" w:rsidR="008E1A7B" w:rsidRPr="00434E9D" w:rsidRDefault="008E1A7B">
      <w:pPr>
        <w:widowControl/>
      </w:pPr>
      <w:r w:rsidRPr="00434E9D">
        <w:br w:type="page"/>
      </w:r>
    </w:p>
    <w:p w14:paraId="778AA00F" w14:textId="77777777" w:rsidR="008C3DE0" w:rsidRPr="00434E9D" w:rsidRDefault="008C3DE0" w:rsidP="00E96033">
      <w:pPr>
        <w:spacing w:line="360" w:lineRule="auto"/>
        <w:ind w:left="1416" w:hanging="566"/>
      </w:pPr>
    </w:p>
    <w:p w14:paraId="1C2B56F6" w14:textId="77777777" w:rsidR="008C3DE0" w:rsidRPr="00434E9D" w:rsidRDefault="008C3DE0" w:rsidP="00E96033">
      <w:pPr>
        <w:spacing w:line="360" w:lineRule="auto"/>
        <w:ind w:left="1416"/>
        <w:rPr>
          <w:b/>
          <w:i/>
        </w:rPr>
      </w:pPr>
      <w:r w:rsidRPr="00434E9D">
        <w:rPr>
          <w:b/>
          <w:i/>
        </w:rPr>
        <w:t>Les États membres informent les autres États membres susceptibles d’être touchés par l’incident de pollution concerné.</w:t>
      </w:r>
    </w:p>
    <w:p w14:paraId="45B3EA6B" w14:textId="77777777" w:rsidR="008E1A7B" w:rsidRPr="00434E9D" w:rsidRDefault="008E1A7B" w:rsidP="00E96033">
      <w:pPr>
        <w:spacing w:line="360" w:lineRule="auto"/>
        <w:ind w:left="1416"/>
      </w:pPr>
    </w:p>
    <w:p w14:paraId="2234D68D" w14:textId="77777777" w:rsidR="008C3DE0" w:rsidRPr="00434E9D" w:rsidRDefault="008C3DE0" w:rsidP="00E96033">
      <w:pPr>
        <w:spacing w:line="360" w:lineRule="auto"/>
        <w:ind w:left="1416"/>
        <w:rPr>
          <w:b/>
        </w:rPr>
      </w:pPr>
      <w:r w:rsidRPr="00434E9D">
        <w:rPr>
          <w:b/>
          <w:i/>
        </w:rPr>
        <w:t>Afin d’améliorer encore la coopération et l’échange d’informations dans les districts hydrographiques internationaux, des modalités de communication d’urgence et de réponse sont mises en place pour l’ensemble des districts hydrographiques internationaux.</w:t>
      </w:r>
      <w:r w:rsidRPr="00434E9D">
        <w:t>»</w:t>
      </w:r>
      <w:r w:rsidR="008E1A7B" w:rsidRPr="00434E9D">
        <w:t xml:space="preserve"> </w:t>
      </w:r>
      <w:r w:rsidR="008E1A7B" w:rsidRPr="00434E9D">
        <w:rPr>
          <w:b/>
        </w:rPr>
        <w:t>[Am. 61]</w:t>
      </w:r>
    </w:p>
    <w:p w14:paraId="6017A43B" w14:textId="77777777" w:rsidR="008C3DE0" w:rsidRPr="00434E9D" w:rsidRDefault="008E1A7B" w:rsidP="00E96033">
      <w:pPr>
        <w:spacing w:line="360" w:lineRule="auto"/>
        <w:ind w:left="850" w:hanging="850"/>
      </w:pPr>
      <w:r w:rsidRPr="00434E9D">
        <w:t>4)</w:t>
      </w:r>
      <w:r w:rsidRPr="00434E9D">
        <w:tab/>
        <w:t>L</w:t>
      </w:r>
      <w:r w:rsidR="008C3DE0" w:rsidRPr="00434E9D">
        <w:t>’article 4, paragraphe 1, est modifié comme suit:</w:t>
      </w:r>
    </w:p>
    <w:p w14:paraId="06045071" w14:textId="77777777" w:rsidR="008C3DE0" w:rsidRPr="00434E9D" w:rsidRDefault="008C3DE0" w:rsidP="00E96033">
      <w:pPr>
        <w:spacing w:line="360" w:lineRule="auto"/>
        <w:ind w:left="1416" w:hanging="566"/>
      </w:pPr>
      <w:r w:rsidRPr="00434E9D">
        <w:t>a)</w:t>
      </w:r>
      <w:r w:rsidRPr="00434E9D">
        <w:tab/>
        <w:t>au point a), le point iv) est remplacé par le texte suivant:</w:t>
      </w:r>
    </w:p>
    <w:p w14:paraId="6E8EACD4" w14:textId="77777777" w:rsidR="008E1A7B" w:rsidRPr="00434E9D" w:rsidRDefault="008C3DE0" w:rsidP="00E96033">
      <w:pPr>
        <w:spacing w:line="360" w:lineRule="auto"/>
        <w:ind w:left="1982" w:hanging="566"/>
        <w:rPr>
          <w:b/>
        </w:rPr>
      </w:pPr>
      <w:r w:rsidRPr="00434E9D">
        <w:t>«iv)</w:t>
      </w:r>
      <w:r w:rsidRPr="00434E9D">
        <w:tab/>
        <w:t>les États membres mettent en œuvre les mesures nécessaires afin de réduire progressivement la pollution</w:t>
      </w:r>
      <w:r w:rsidRPr="00434E9D">
        <w:rPr>
          <w:strike/>
        </w:rPr>
        <w:t xml:space="preserve"> due aux</w:t>
      </w:r>
      <w:r w:rsidRPr="00434E9D">
        <w:rPr>
          <w:b/>
          <w:i/>
        </w:rPr>
        <w:t>, les rejets, les émissions et les pertes de</w:t>
      </w:r>
      <w:r w:rsidRPr="00434E9D">
        <w:t xml:space="preserve"> substances prioritaires et </w:t>
      </w:r>
      <w:proofErr w:type="spellStart"/>
      <w:r w:rsidRPr="00434E9D">
        <w:rPr>
          <w:strike/>
        </w:rPr>
        <w:t>aux</w:t>
      </w:r>
      <w:r w:rsidRPr="00434E9D">
        <w:rPr>
          <w:b/>
          <w:i/>
        </w:rPr>
        <w:t>de</w:t>
      </w:r>
      <w:proofErr w:type="spellEnd"/>
      <w:r w:rsidRPr="00434E9D">
        <w:t xml:space="preserve"> polluants spécifiques à un bassin hydrographique</w:t>
      </w:r>
      <w:r w:rsidRPr="00434E9D">
        <w:rPr>
          <w:b/>
          <w:i/>
        </w:rPr>
        <w:t>,</w:t>
      </w:r>
      <w:r w:rsidRPr="00434E9D">
        <w:t xml:space="preserve"> et d’arrêter ou de supprimer progressivement les émissions, les rejets et les pertes de substances dangereuses prioritaires</w:t>
      </w:r>
      <w:r w:rsidRPr="00434E9D">
        <w:rPr>
          <w:strike/>
        </w:rPr>
        <w:t>;</w:t>
      </w:r>
      <w:r w:rsidRPr="00434E9D">
        <w:rPr>
          <w:b/>
          <w:i/>
        </w:rPr>
        <w:t xml:space="preserve"> dans un délai approprié et, en tout état de cause, au plus tard 20 ans après qu’une substance prioritaire donnée a été classée comme dangereuse à l’annexe I, partie A, de la directive 2008/105/CE. Ce délai s’applique sans préjudice de l’application de délais plus stricts prévus par tout autre acte législatif applicable de l’Union</w:t>
      </w:r>
      <w:r w:rsidRPr="00434E9D">
        <w:t>;»</w:t>
      </w:r>
      <w:r w:rsidR="008E1A7B" w:rsidRPr="00434E9D">
        <w:t xml:space="preserve"> </w:t>
      </w:r>
      <w:r w:rsidR="008E1A7B" w:rsidRPr="00434E9D">
        <w:rPr>
          <w:b/>
        </w:rPr>
        <w:t xml:space="preserve"> [Am. 62]</w:t>
      </w:r>
    </w:p>
    <w:p w14:paraId="7289408A" w14:textId="77777777" w:rsidR="008E1A7B" w:rsidRPr="00434E9D" w:rsidRDefault="008E1A7B">
      <w:pPr>
        <w:widowControl/>
        <w:rPr>
          <w:b/>
        </w:rPr>
      </w:pPr>
      <w:r w:rsidRPr="00434E9D">
        <w:rPr>
          <w:b/>
        </w:rPr>
        <w:br w:type="page"/>
      </w:r>
    </w:p>
    <w:p w14:paraId="167DF455" w14:textId="77777777" w:rsidR="008C3DE0" w:rsidRPr="00434E9D" w:rsidRDefault="008C3DE0" w:rsidP="008E1A7B">
      <w:pPr>
        <w:spacing w:line="360" w:lineRule="auto"/>
        <w:ind w:firstLine="720"/>
      </w:pPr>
      <w:r w:rsidRPr="00434E9D">
        <w:lastRenderedPageBreak/>
        <w:t>b)</w:t>
      </w:r>
      <w:r w:rsidRPr="00434E9D">
        <w:tab/>
        <w:t>au point b) iii), le deuxième alinéa est remplacé par le texte suivant:</w:t>
      </w:r>
    </w:p>
    <w:p w14:paraId="791320A4" w14:textId="77777777" w:rsidR="008C3DE0" w:rsidRPr="00434E9D" w:rsidRDefault="008C3DE0" w:rsidP="00E96033">
      <w:pPr>
        <w:spacing w:line="360" w:lineRule="auto"/>
        <w:ind w:left="1416"/>
      </w:pPr>
      <w:r w:rsidRPr="00434E9D">
        <w:t>«Les mesures destinées à inverser la tendance sont mises en œuvre conformément à l’article 5 de la directive 2006/118/CE et à l’annexe IV de ladite directive, sous réserve de l’application des paragraphes 6 et 7 du présent article et sans</w:t>
      </w:r>
      <w:r w:rsidR="008E1A7B" w:rsidRPr="00434E9D">
        <w:t xml:space="preserve"> préjudice de son paragraphe 8;</w:t>
      </w:r>
      <w:r w:rsidRPr="00434E9D">
        <w:t>»</w:t>
      </w:r>
    </w:p>
    <w:p w14:paraId="6DD82385" w14:textId="77777777" w:rsidR="008C3DE0" w:rsidRPr="00434E9D" w:rsidRDefault="008E1A7B" w:rsidP="00E96033">
      <w:pPr>
        <w:spacing w:line="360" w:lineRule="auto"/>
        <w:ind w:left="1416" w:hanging="566"/>
      </w:pPr>
      <w:r w:rsidRPr="00434E9D">
        <w:rPr>
          <w:b/>
          <w:i/>
        </w:rPr>
        <w:t>b bis</w:t>
      </w:r>
      <w:r w:rsidR="008C3DE0" w:rsidRPr="00434E9D">
        <w:rPr>
          <w:b/>
          <w:i/>
        </w:rPr>
        <w:t>)</w:t>
      </w:r>
      <w:r w:rsidR="008C3DE0" w:rsidRPr="00434E9D">
        <w:tab/>
      </w:r>
      <w:r w:rsidR="008C3DE0" w:rsidRPr="00434E9D">
        <w:rPr>
          <w:b/>
          <w:i/>
        </w:rPr>
        <w:t>au point c), l’alinéa 1 bis ci-après est ajouté:</w:t>
      </w:r>
    </w:p>
    <w:p w14:paraId="17D78D8B" w14:textId="77777777" w:rsidR="008C3DE0" w:rsidRPr="00434E9D" w:rsidRDefault="008C3DE0" w:rsidP="00E96033">
      <w:pPr>
        <w:spacing w:line="360" w:lineRule="auto"/>
        <w:ind w:left="1416"/>
        <w:rPr>
          <w:b/>
        </w:rPr>
      </w:pPr>
      <w:r w:rsidRPr="00434E9D">
        <w:t>«</w:t>
      </w:r>
      <w:r w:rsidRPr="00434E9D">
        <w:rPr>
          <w:b/>
          <w:i/>
        </w:rPr>
        <w:t>Les États membres fixent des normes plus strictes ou des valeurs seuils si cela est nécessaire pour la protection adéquate des zones énumérées à l’annexe IV de la présente directive, y compris des zones spéciales de conservation prévues par la directive 92/43/CEE du Conseil. Les programmes et mesures requis en ce qui concerne de telles valeurs seuils s’appliquent également aux activités relevant de la directive 91/676/CEE.»</w:t>
      </w:r>
      <w:r w:rsidR="008E1A7B" w:rsidRPr="00434E9D">
        <w:t xml:space="preserve"> </w:t>
      </w:r>
      <w:r w:rsidR="008E1A7B" w:rsidRPr="00434E9D">
        <w:rPr>
          <w:b/>
        </w:rPr>
        <w:t xml:space="preserve"> [Am. 63]</w:t>
      </w:r>
    </w:p>
    <w:p w14:paraId="435DDA73" w14:textId="77777777" w:rsidR="008E1A7B" w:rsidRPr="00434E9D" w:rsidRDefault="008E1A7B">
      <w:pPr>
        <w:widowControl/>
      </w:pPr>
      <w:r w:rsidRPr="00434E9D">
        <w:br w:type="page"/>
      </w:r>
    </w:p>
    <w:p w14:paraId="0292362A" w14:textId="77777777" w:rsidR="008C3DE0" w:rsidRPr="00434E9D" w:rsidRDefault="008E1A7B" w:rsidP="00E96033">
      <w:pPr>
        <w:spacing w:line="360" w:lineRule="auto"/>
        <w:ind w:left="850" w:hanging="850"/>
      </w:pPr>
      <w:r w:rsidRPr="00434E9D">
        <w:lastRenderedPageBreak/>
        <w:t>5)</w:t>
      </w:r>
      <w:r w:rsidRPr="00434E9D">
        <w:tab/>
        <w:t>À</w:t>
      </w:r>
      <w:r w:rsidR="008C3DE0" w:rsidRPr="00434E9D">
        <w:t xml:space="preserve"> l’article 7, le paragraphe 2 est remplacé par le texte suivant:</w:t>
      </w:r>
    </w:p>
    <w:p w14:paraId="3E348834" w14:textId="77777777" w:rsidR="008C3DE0" w:rsidRPr="00434E9D" w:rsidRDefault="008C3DE0" w:rsidP="00E96033">
      <w:pPr>
        <w:spacing w:line="360" w:lineRule="auto"/>
        <w:ind w:left="1416" w:hanging="566"/>
      </w:pPr>
      <w:r w:rsidRPr="00434E9D">
        <w:t>«2.</w:t>
      </w:r>
      <w:r w:rsidRPr="00434E9D">
        <w:tab/>
        <w:t>Pour chaque masse d’eau recensée en application du paragraphe 1, les États membres veillent non seulement à ce qu’elle réponde aux objectifs de l’article 4 conformément aux exigences de la présente directive pour les masses d’eau de surface, y compris les normes de qualité établies au niveau de l’Union, mais aussi à ce que, dans le régime prévu pour le traitement des eaux, et conformément à la législation de l’Union, l’eau obtenue satisfasse aux exigences de la directive (UE) 2020/2184 du Parlement européen et du Conseil*.</w:t>
      </w:r>
    </w:p>
    <w:p w14:paraId="005A0D69" w14:textId="77777777" w:rsidR="008C3DE0" w:rsidRPr="00434E9D" w:rsidRDefault="008C3DE0" w:rsidP="00E96033">
      <w:pPr>
        <w:spacing w:line="360" w:lineRule="auto"/>
        <w:ind w:left="1416"/>
      </w:pPr>
      <w:r w:rsidRPr="00434E9D">
        <w:t>* Directive (UE) 2020/2184 du Parlement européen et du Conseil du 16 décembre 2020 relative à la qualité des eaux destinées à la consommation humaine (</w:t>
      </w:r>
      <w:r w:rsidR="008E1A7B" w:rsidRPr="00434E9D">
        <w:t>JO L 435 du 23.12.2020, p. 1).;</w:t>
      </w:r>
    </w:p>
    <w:p w14:paraId="19C12972" w14:textId="77777777" w:rsidR="008E1A7B" w:rsidRPr="00434E9D" w:rsidRDefault="008E1A7B">
      <w:pPr>
        <w:widowControl/>
      </w:pPr>
      <w:r w:rsidRPr="00434E9D">
        <w:br w:type="page"/>
      </w:r>
    </w:p>
    <w:p w14:paraId="225FCC04" w14:textId="77777777" w:rsidR="008C3DE0" w:rsidRPr="00434E9D" w:rsidRDefault="008E1A7B" w:rsidP="00E96033">
      <w:pPr>
        <w:spacing w:line="360" w:lineRule="auto"/>
        <w:ind w:left="850" w:hanging="850"/>
      </w:pPr>
      <w:r w:rsidRPr="00434E9D">
        <w:lastRenderedPageBreak/>
        <w:t>6)</w:t>
      </w:r>
      <w:r w:rsidRPr="00434E9D">
        <w:tab/>
        <w:t>L</w:t>
      </w:r>
      <w:r w:rsidR="008C3DE0" w:rsidRPr="00434E9D">
        <w:t>’article 8 est modifié comme suit:</w:t>
      </w:r>
    </w:p>
    <w:p w14:paraId="50226FE1" w14:textId="77777777" w:rsidR="008C3DE0" w:rsidRPr="00434E9D" w:rsidRDefault="008C3DE0" w:rsidP="00E96033">
      <w:pPr>
        <w:spacing w:line="360" w:lineRule="auto"/>
        <w:ind w:left="1416" w:hanging="566"/>
      </w:pPr>
      <w:r w:rsidRPr="00434E9D">
        <w:t>a)</w:t>
      </w:r>
      <w:r w:rsidRPr="00434E9D">
        <w:tab/>
        <w:t>le paragraphe 3 est remplacé par le texte suivant:</w:t>
      </w:r>
    </w:p>
    <w:p w14:paraId="542AE028" w14:textId="77777777" w:rsidR="008C3DE0" w:rsidRPr="00434E9D" w:rsidRDefault="008C3DE0" w:rsidP="00E96033">
      <w:pPr>
        <w:spacing w:line="360" w:lineRule="auto"/>
        <w:ind w:left="1982" w:hanging="566"/>
        <w:rPr>
          <w:b/>
        </w:rPr>
      </w:pPr>
      <w:r w:rsidRPr="00434E9D">
        <w:t>«3.</w:t>
      </w:r>
      <w:r w:rsidRPr="00434E9D">
        <w:tab/>
        <w:t xml:space="preserve">La Commission est habilitée à adopter des actes </w:t>
      </w:r>
      <w:r w:rsidRPr="00434E9D">
        <w:rPr>
          <w:strike/>
        </w:rPr>
        <w:t>d’exécution afin d’</w:t>
      </w:r>
      <w:proofErr w:type="spellStart"/>
      <w:r w:rsidRPr="00434E9D">
        <w:rPr>
          <w:strike/>
        </w:rPr>
        <w:t>établir</w:t>
      </w:r>
      <w:r w:rsidRPr="00434E9D">
        <w:rPr>
          <w:b/>
          <w:i/>
        </w:rPr>
        <w:t>délégués</w:t>
      </w:r>
      <w:proofErr w:type="spellEnd"/>
      <w:r w:rsidRPr="00434E9D">
        <w:rPr>
          <w:b/>
          <w:i/>
        </w:rPr>
        <w:t xml:space="preserve"> conformément à l’article 20 bis afin de compléter la présente directive en établissant</w:t>
      </w:r>
      <w:r w:rsidRPr="00434E9D">
        <w:t xml:space="preserve"> des spécifications techniques et des méthodes normalisées d’analyse et de surveillance de l’état des eaux conformément à l’annexe V</w:t>
      </w:r>
      <w:r w:rsidRPr="00434E9D">
        <w:rPr>
          <w:b/>
          <w:i/>
        </w:rPr>
        <w:t>. La Commission est habilitée à adopter des actes d’exécution afin d’établir</w:t>
      </w:r>
      <w:r w:rsidRPr="00434E9D">
        <w:rPr>
          <w:strike/>
        </w:rPr>
        <w:t xml:space="preserve"> et</w:t>
      </w:r>
      <w:r w:rsidRPr="00434E9D">
        <w:t xml:space="preserve"> des formats pour la communication des données de surveillance et d’état conformément au paragraphe 4. Ces actes d’exécution sont adoptés </w:t>
      </w:r>
      <w:r w:rsidRPr="00434E9D">
        <w:rPr>
          <w:strike/>
        </w:rPr>
        <w:t xml:space="preserve">conformément </w:t>
      </w:r>
      <w:proofErr w:type="spellStart"/>
      <w:r w:rsidRPr="00434E9D">
        <w:rPr>
          <w:strike/>
        </w:rPr>
        <w:t>à</w:t>
      </w:r>
      <w:r w:rsidRPr="00434E9D">
        <w:rPr>
          <w:b/>
          <w:i/>
        </w:rPr>
        <w:t>en</w:t>
      </w:r>
      <w:proofErr w:type="spellEnd"/>
      <w:r w:rsidRPr="00434E9D">
        <w:rPr>
          <w:b/>
          <w:i/>
        </w:rPr>
        <w:t xml:space="preserve"> conformité avec</w:t>
      </w:r>
      <w:r w:rsidRPr="00434E9D">
        <w:t xml:space="preserve"> la procédure d’examen visée à l’article 21, paragraphe 2.;»</w:t>
      </w:r>
      <w:r w:rsidR="008E1A7B" w:rsidRPr="00434E9D">
        <w:t xml:space="preserve"> </w:t>
      </w:r>
      <w:r w:rsidR="008E1A7B" w:rsidRPr="00434E9D">
        <w:rPr>
          <w:b/>
        </w:rPr>
        <w:t xml:space="preserve"> [Am. 64]</w:t>
      </w:r>
    </w:p>
    <w:p w14:paraId="0BE63B12" w14:textId="77777777" w:rsidR="008E1A7B" w:rsidRPr="00434E9D" w:rsidRDefault="008E1A7B">
      <w:pPr>
        <w:widowControl/>
        <w:rPr>
          <w:b/>
          <w:i/>
        </w:rPr>
      </w:pPr>
      <w:r w:rsidRPr="00434E9D">
        <w:rPr>
          <w:b/>
          <w:i/>
        </w:rPr>
        <w:br w:type="page"/>
      </w:r>
    </w:p>
    <w:p w14:paraId="1A74E188" w14:textId="77777777" w:rsidR="008C3DE0" w:rsidRPr="00434E9D" w:rsidRDefault="008E1A7B" w:rsidP="00E96033">
      <w:pPr>
        <w:spacing w:line="360" w:lineRule="auto"/>
        <w:ind w:left="1416" w:hanging="566"/>
      </w:pPr>
      <w:r w:rsidRPr="00434E9D">
        <w:rPr>
          <w:b/>
          <w:i/>
        </w:rPr>
        <w:lastRenderedPageBreak/>
        <w:t>a bis</w:t>
      </w:r>
      <w:r w:rsidR="008C3DE0" w:rsidRPr="00434E9D">
        <w:rPr>
          <w:b/>
          <w:i/>
        </w:rPr>
        <w:t>)</w:t>
      </w:r>
      <w:r w:rsidR="008C3DE0" w:rsidRPr="00434E9D">
        <w:tab/>
      </w:r>
      <w:r w:rsidRPr="00434E9D">
        <w:t xml:space="preserve"> </w:t>
      </w:r>
      <w:r w:rsidR="008C3DE0" w:rsidRPr="00434E9D">
        <w:rPr>
          <w:b/>
          <w:i/>
        </w:rPr>
        <w:t>Le paragraphe suivant est ajouté:</w:t>
      </w:r>
    </w:p>
    <w:p w14:paraId="10FCD688" w14:textId="77777777" w:rsidR="008C3DE0" w:rsidRPr="00434E9D" w:rsidRDefault="008C3DE0" w:rsidP="00E96033">
      <w:pPr>
        <w:spacing w:line="360" w:lineRule="auto"/>
        <w:ind w:left="1982" w:hanging="566"/>
      </w:pPr>
      <w:r w:rsidRPr="00434E9D">
        <w:rPr>
          <w:b/>
          <w:i/>
        </w:rPr>
        <w:t xml:space="preserve">«3 bis. </w:t>
      </w:r>
      <w:r w:rsidRPr="00434E9D">
        <w:rPr>
          <w:b/>
          <w:i/>
        </w:rPr>
        <w:tab/>
        <w:t>Au plus tard [deux ans après l’entrée en vigueur de la présente directive], la Commission publie une évaluation complète des possibilités d’appliquer des systèmes de mesure de la qualité de l’eau en vue de la surveillance continue, précise et en temps réel (en ligne) de la pollution, comprenant les aspects de faisabilité économique et technique de ces systèmes pour les États membres, ainsi que l’utilisation de normes harmonisées.</w:t>
      </w:r>
    </w:p>
    <w:p w14:paraId="4EBED4C1" w14:textId="77777777" w:rsidR="008C3DE0" w:rsidRPr="00434E9D" w:rsidRDefault="008C3DE0" w:rsidP="00E96033">
      <w:pPr>
        <w:spacing w:line="360" w:lineRule="auto"/>
        <w:ind w:left="1982"/>
        <w:rPr>
          <w:b/>
        </w:rPr>
      </w:pPr>
      <w:r w:rsidRPr="00434E9D">
        <w:rPr>
          <w:b/>
          <w:i/>
        </w:rPr>
        <w:t>La Commission adopte, le cas échéant, un acte d’exécution, conformément à la procédure d’examen visée à l’article 21, paragraphe 2, afin de fixer des normes harmonisées pour la surveillance en ligne de l’eau.»</w:t>
      </w:r>
      <w:r w:rsidR="008E1A7B" w:rsidRPr="00434E9D">
        <w:t xml:space="preserve"> </w:t>
      </w:r>
      <w:r w:rsidR="008E1A7B" w:rsidRPr="00434E9D">
        <w:rPr>
          <w:b/>
        </w:rPr>
        <w:t xml:space="preserve"> [Am. 65]</w:t>
      </w:r>
    </w:p>
    <w:p w14:paraId="09F4D68B" w14:textId="77777777" w:rsidR="008E1A7B" w:rsidRPr="00434E9D" w:rsidRDefault="008E1A7B">
      <w:pPr>
        <w:widowControl/>
      </w:pPr>
      <w:r w:rsidRPr="00434E9D">
        <w:br w:type="page"/>
      </w:r>
    </w:p>
    <w:p w14:paraId="10D75197" w14:textId="77777777" w:rsidR="008C3DE0" w:rsidRPr="00434E9D" w:rsidRDefault="008C3DE0" w:rsidP="00E96033">
      <w:pPr>
        <w:spacing w:line="360" w:lineRule="auto"/>
        <w:ind w:left="1416" w:hanging="566"/>
      </w:pPr>
      <w:r w:rsidRPr="00434E9D">
        <w:lastRenderedPageBreak/>
        <w:t>b)</w:t>
      </w:r>
      <w:r w:rsidRPr="00434E9D">
        <w:tab/>
        <w:t>les paragraphes 4 et 5 suivants sont ajoutés:</w:t>
      </w:r>
    </w:p>
    <w:p w14:paraId="2F61BF16" w14:textId="77777777" w:rsidR="008C3DE0" w:rsidRPr="00434E9D" w:rsidRDefault="008C3DE0" w:rsidP="00E96033">
      <w:pPr>
        <w:spacing w:line="360" w:lineRule="auto"/>
        <w:ind w:left="1982" w:hanging="566"/>
        <w:rPr>
          <w:b/>
        </w:rPr>
      </w:pPr>
      <w:r w:rsidRPr="00434E9D">
        <w:t>«4.</w:t>
      </w:r>
      <w:r w:rsidRPr="00434E9D">
        <w:tab/>
        <w:t xml:space="preserve">Les États membres veillent à ce que les données de surveillance individuelles disponibles recueillies conformément à l’annexe V, </w:t>
      </w:r>
      <w:proofErr w:type="spellStart"/>
      <w:r w:rsidRPr="00434E9D">
        <w:rPr>
          <w:strike/>
        </w:rPr>
        <w:t>point</w:t>
      </w:r>
      <w:r w:rsidRPr="00434E9D">
        <w:rPr>
          <w:b/>
          <w:i/>
        </w:rPr>
        <w:t>points</w:t>
      </w:r>
      <w:proofErr w:type="spellEnd"/>
      <w:r w:rsidRPr="00434E9D">
        <w:t xml:space="preserve"> 1.3.4</w:t>
      </w:r>
      <w:r w:rsidRPr="00434E9D">
        <w:rPr>
          <w:b/>
          <w:i/>
        </w:rPr>
        <w:t xml:space="preserve"> et 2.4.3</w:t>
      </w:r>
      <w:r w:rsidRPr="00434E9D">
        <w:t xml:space="preserve">, et l’état qui en résulte conformément à l’annexe V soient mis à la disposition </w:t>
      </w:r>
      <w:r w:rsidRPr="00434E9D">
        <w:rPr>
          <w:strike/>
        </w:rPr>
        <w:t xml:space="preserve">du public et </w:t>
      </w:r>
      <w:r w:rsidRPr="00434E9D">
        <w:t>de l’Agence européenne pour l’environnement (AEE)</w:t>
      </w:r>
      <w:r w:rsidRPr="00434E9D">
        <w:rPr>
          <w:b/>
          <w:i/>
        </w:rPr>
        <w:t xml:space="preserve"> et, dans les meilleurs délais et de manière facilement accessible, du public</w:t>
      </w:r>
      <w:r w:rsidRPr="00434E9D">
        <w:t xml:space="preserve"> une fois par an au moins, par voie électronique dans un format lisible par machine, conformément à la directive 2003/4/CE du Parlement européen et du Conseil*, à la directive 2007/2/CE du Parlement européen et du Conseil**, et à la directive (UE) 2019/1024 du Parlement européen et du Conseil***. À cet effet, les États membres utilisent les formats établis conformément au paragraphe 3 du présent article.</w:t>
      </w:r>
      <w:r w:rsidR="008E1A7B" w:rsidRPr="00434E9D">
        <w:t xml:space="preserve"> </w:t>
      </w:r>
      <w:r w:rsidR="008E1A7B" w:rsidRPr="00434E9D">
        <w:rPr>
          <w:b/>
        </w:rPr>
        <w:t xml:space="preserve"> [Am. 66]</w:t>
      </w:r>
    </w:p>
    <w:p w14:paraId="53EC6F6E" w14:textId="77777777" w:rsidR="008E1A7B" w:rsidRPr="00434E9D" w:rsidRDefault="008E1A7B">
      <w:pPr>
        <w:widowControl/>
      </w:pPr>
      <w:r w:rsidRPr="00434E9D">
        <w:br w:type="page"/>
      </w:r>
    </w:p>
    <w:p w14:paraId="307BB0E5" w14:textId="77777777" w:rsidR="008C3DE0" w:rsidRPr="00434E9D" w:rsidRDefault="008C3DE0" w:rsidP="00E96033">
      <w:pPr>
        <w:spacing w:line="360" w:lineRule="auto"/>
        <w:ind w:left="1982" w:hanging="566"/>
      </w:pPr>
      <w:r w:rsidRPr="00434E9D">
        <w:lastRenderedPageBreak/>
        <w:t>5.</w:t>
      </w:r>
      <w:r w:rsidRPr="00434E9D">
        <w:tab/>
        <w:t>L’AEE veille à ce que les informations mises à disposition conformément au paragraphe 4 soient régulièrement traitées et analysées aux fins de mettre ces dernières à disposition, via les portails de l’Union pertinents, en vue de leur réutilisation par la Commission et les agences de l’Union pertinentes et aux fins de fournir à la Commission, aux États membres et au public des informations à jour, objectives, fiables et comparables, en particulier sur l’état des eaux, conformément au règlement (CE) nº 401/2009 du Parlement européen et du Conseil****.</w:t>
      </w:r>
    </w:p>
    <w:p w14:paraId="143E042E" w14:textId="77777777" w:rsidR="008C3DE0" w:rsidRPr="00434E9D" w:rsidRDefault="008C3DE0" w:rsidP="00E96033">
      <w:pPr>
        <w:spacing w:line="360" w:lineRule="auto"/>
        <w:ind w:left="1416"/>
      </w:pPr>
      <w:r w:rsidRPr="00434E9D">
        <w:t>* Directive 2003/4/CE du Parlement européen et du Conseil du 28 janvier 2003 concernant l’accès du public à l’information en matière d’environnement et abrogeant la directive 90/313/CEE du Conseil (JO L 41 du 14.2.2003, p. 26).</w:t>
      </w:r>
    </w:p>
    <w:p w14:paraId="2A331B06" w14:textId="77777777" w:rsidR="008C3DE0" w:rsidRPr="00434E9D" w:rsidRDefault="008C3DE0" w:rsidP="00E96033">
      <w:pPr>
        <w:spacing w:line="360" w:lineRule="auto"/>
        <w:ind w:left="1416"/>
      </w:pPr>
      <w:r w:rsidRPr="00434E9D">
        <w:t>** Directive 2007/2/CE du Parlement européen et du Conseil du 14 mars 2007 établissant une infrastructure d’information géographique dans la Communauté européenne (INSPIRE) (JO L 108 du 25.4.2007, p. 1).</w:t>
      </w:r>
    </w:p>
    <w:p w14:paraId="05A08582" w14:textId="77777777" w:rsidR="008C3DE0" w:rsidRPr="00434E9D" w:rsidRDefault="008C3DE0" w:rsidP="00E96033">
      <w:pPr>
        <w:spacing w:line="360" w:lineRule="auto"/>
        <w:ind w:left="1416"/>
      </w:pPr>
      <w:r w:rsidRPr="00434E9D">
        <w:t>*** Directive (UE) 2019/1024 du Parlement européen et du Conseil du 20 juin 2019 concernant les données ouvertes et la réutilisation des informations du secteur public (JO L 172 du 26.6.2019, p. 56).</w:t>
      </w:r>
    </w:p>
    <w:p w14:paraId="7A2E74E9" w14:textId="77777777" w:rsidR="008C3DE0" w:rsidRPr="00434E9D" w:rsidRDefault="008C3DE0" w:rsidP="00E96033">
      <w:pPr>
        <w:spacing w:line="360" w:lineRule="auto"/>
        <w:ind w:left="1416"/>
      </w:pPr>
      <w:r w:rsidRPr="00434E9D">
        <w:t>**** Règlement (CE) nº 401/2009 du Parlement européen et du Conseil du 23 avril 2009 relatif à l’Agence européenne pour l’environnement et au réseau européen d’information et d’observation pour l’environnement (JO L 126 du 21.5.2009, p. 13).;»</w:t>
      </w:r>
    </w:p>
    <w:p w14:paraId="634800AF" w14:textId="77777777" w:rsidR="008E1A7B" w:rsidRPr="00434E9D" w:rsidRDefault="008E1A7B">
      <w:pPr>
        <w:widowControl/>
      </w:pPr>
      <w:r w:rsidRPr="00434E9D">
        <w:br w:type="page"/>
      </w:r>
    </w:p>
    <w:p w14:paraId="5C4F2518" w14:textId="77777777" w:rsidR="008C3DE0" w:rsidRPr="00434E9D" w:rsidRDefault="008E1A7B" w:rsidP="00E96033">
      <w:pPr>
        <w:spacing w:line="360" w:lineRule="auto"/>
        <w:ind w:left="850" w:hanging="850"/>
      </w:pPr>
      <w:r w:rsidRPr="00434E9D">
        <w:lastRenderedPageBreak/>
        <w:t>7)</w:t>
      </w:r>
      <w:r w:rsidRPr="00434E9D">
        <w:tab/>
        <w:t>L</w:t>
      </w:r>
      <w:r w:rsidR="008C3DE0" w:rsidRPr="00434E9D">
        <w:t>’article 10 est modifié comme suit:</w:t>
      </w:r>
    </w:p>
    <w:p w14:paraId="634EFCA8" w14:textId="77777777" w:rsidR="008C3DE0" w:rsidRPr="00434E9D" w:rsidRDefault="008C3DE0" w:rsidP="00E96033">
      <w:pPr>
        <w:spacing w:line="360" w:lineRule="auto"/>
        <w:ind w:left="1416" w:hanging="566"/>
      </w:pPr>
      <w:r w:rsidRPr="00434E9D">
        <w:t>a)</w:t>
      </w:r>
      <w:r w:rsidRPr="00434E9D">
        <w:tab/>
        <w:t>le paragraphe 2 est remplacé par le texte suivant:</w:t>
      </w:r>
    </w:p>
    <w:p w14:paraId="683FAB4B" w14:textId="77777777" w:rsidR="008C3DE0" w:rsidRPr="00434E9D" w:rsidRDefault="008C3DE0" w:rsidP="00E96033">
      <w:pPr>
        <w:spacing w:line="360" w:lineRule="auto"/>
        <w:ind w:left="1982" w:hanging="566"/>
      </w:pPr>
      <w:r w:rsidRPr="00434E9D">
        <w:t>«2.</w:t>
      </w:r>
      <w:r w:rsidRPr="00434E9D">
        <w:tab/>
        <w:t>Aux fins de satisfaire aux objectifs, aux normes de qualité et aux seuils établis en application de la présente directive, les États membres veillent à l'établissement et à la  mise en œuvre:</w:t>
      </w:r>
    </w:p>
    <w:p w14:paraId="6D9B5C85" w14:textId="77777777" w:rsidR="008C3DE0" w:rsidRPr="00434E9D" w:rsidRDefault="008C3DE0" w:rsidP="00E96033">
      <w:pPr>
        <w:spacing w:line="360" w:lineRule="auto"/>
        <w:ind w:left="2548" w:hanging="566"/>
      </w:pPr>
      <w:r w:rsidRPr="00434E9D">
        <w:t>a)</w:t>
      </w:r>
      <w:r w:rsidRPr="00434E9D">
        <w:tab/>
        <w:t>des contrôles d’émission fondés sur les meilleures techniques disponibles;</w:t>
      </w:r>
    </w:p>
    <w:p w14:paraId="7C395951" w14:textId="77777777" w:rsidR="008C3DE0" w:rsidRPr="00434E9D" w:rsidRDefault="008C3DE0" w:rsidP="00E96033">
      <w:pPr>
        <w:spacing w:line="360" w:lineRule="auto"/>
        <w:ind w:left="2548" w:hanging="566"/>
      </w:pPr>
      <w:r w:rsidRPr="00434E9D">
        <w:t>b)</w:t>
      </w:r>
      <w:r w:rsidRPr="00434E9D">
        <w:tab/>
        <w:t>des valeurs limites d’émission pertinentes;</w:t>
      </w:r>
    </w:p>
    <w:p w14:paraId="3F247422" w14:textId="77777777" w:rsidR="008E1A7B" w:rsidRPr="00434E9D" w:rsidRDefault="008E1A7B">
      <w:pPr>
        <w:widowControl/>
      </w:pPr>
      <w:r w:rsidRPr="00434E9D">
        <w:br w:type="page"/>
      </w:r>
    </w:p>
    <w:p w14:paraId="748811FE" w14:textId="77777777" w:rsidR="008C3DE0" w:rsidRPr="00434E9D" w:rsidRDefault="008C3DE0" w:rsidP="00E96033">
      <w:pPr>
        <w:spacing w:line="360" w:lineRule="auto"/>
        <w:ind w:left="2548" w:hanging="566"/>
      </w:pPr>
      <w:r w:rsidRPr="00434E9D">
        <w:lastRenderedPageBreak/>
        <w:t>c)</w:t>
      </w:r>
      <w:r w:rsidRPr="00434E9D">
        <w:tab/>
        <w:t>en cas d’incidences diffuses, des contrôles, y compris, le cas échéant, de meilleures pratiques environnementales, tels qu’indiqués dans:</w:t>
      </w:r>
    </w:p>
    <w:p w14:paraId="23272EB8" w14:textId="77777777" w:rsidR="008C3DE0" w:rsidRPr="00434E9D" w:rsidRDefault="008C3DE0" w:rsidP="00E96033">
      <w:pPr>
        <w:spacing w:line="360" w:lineRule="auto"/>
        <w:ind w:left="3114" w:hanging="566"/>
      </w:pPr>
      <w:r w:rsidRPr="00434E9D">
        <w:t>-</w:t>
      </w:r>
      <w:r w:rsidRPr="00434E9D">
        <w:tab/>
        <w:t>la directive 2009/128/CE du Parlement européen et du Conseil*;</w:t>
      </w:r>
    </w:p>
    <w:p w14:paraId="3137FC9F" w14:textId="77777777" w:rsidR="008C3DE0" w:rsidRPr="00434E9D" w:rsidRDefault="008C3DE0" w:rsidP="00E96033">
      <w:pPr>
        <w:spacing w:line="360" w:lineRule="auto"/>
        <w:ind w:left="3114" w:hanging="566"/>
      </w:pPr>
      <w:r w:rsidRPr="00434E9D">
        <w:t>-</w:t>
      </w:r>
      <w:r w:rsidRPr="00434E9D">
        <w:tab/>
        <w:t>la directive 2010/75/UE du Parlement européen et du Conseil**;</w:t>
      </w:r>
    </w:p>
    <w:p w14:paraId="4BE326F1" w14:textId="77777777" w:rsidR="008C3DE0" w:rsidRPr="00434E9D" w:rsidRDefault="008C3DE0" w:rsidP="00E96033">
      <w:pPr>
        <w:spacing w:line="360" w:lineRule="auto"/>
        <w:ind w:left="3114" w:hanging="566"/>
      </w:pPr>
      <w:r w:rsidRPr="00434E9D">
        <w:t>-</w:t>
      </w:r>
      <w:r w:rsidRPr="00434E9D">
        <w:tab/>
        <w:t>la directive 91/271/CEE du Conseil***;</w:t>
      </w:r>
    </w:p>
    <w:p w14:paraId="6459DAD1" w14:textId="77777777" w:rsidR="008C3DE0" w:rsidRPr="00434E9D" w:rsidRDefault="008C3DE0" w:rsidP="00E96033">
      <w:pPr>
        <w:spacing w:line="360" w:lineRule="auto"/>
        <w:ind w:left="3114" w:hanging="566"/>
      </w:pPr>
      <w:r w:rsidRPr="00434E9D">
        <w:t>-</w:t>
      </w:r>
      <w:r w:rsidRPr="00434E9D">
        <w:tab/>
        <w:t>la directive 91/676/CEE du Conseil****;</w:t>
      </w:r>
    </w:p>
    <w:p w14:paraId="662C7A03" w14:textId="77777777" w:rsidR="008C3DE0" w:rsidRPr="00434E9D" w:rsidRDefault="008C3DE0" w:rsidP="00E96033">
      <w:pPr>
        <w:spacing w:line="360" w:lineRule="auto"/>
        <w:ind w:left="3114" w:hanging="566"/>
      </w:pPr>
      <w:r w:rsidRPr="00434E9D">
        <w:t>-</w:t>
      </w:r>
      <w:r w:rsidRPr="00434E9D">
        <w:tab/>
        <w:t>toute autre disposition législative de l’Union pertinente en matière de pollution de sources ponctuelles ou diffuses.</w:t>
      </w:r>
    </w:p>
    <w:p w14:paraId="5351A91E" w14:textId="77777777" w:rsidR="008C3DE0" w:rsidRPr="00434E9D" w:rsidRDefault="008C3DE0" w:rsidP="00E96033">
      <w:pPr>
        <w:spacing w:line="360" w:lineRule="auto"/>
        <w:ind w:left="2548"/>
      </w:pPr>
      <w:r w:rsidRPr="00434E9D">
        <w:t>* Directive 2009/128/CE du Parlement européen et du Conseil du 21 octobre 2009 instaurant un cadre d’action communautaire pour parvenir à une utilisation des pesticides compatible avec le développement durable (JO L 309 du 24.11.2009, p. 71).</w:t>
      </w:r>
    </w:p>
    <w:p w14:paraId="7ED1D08A" w14:textId="77777777" w:rsidR="008C3DE0" w:rsidRPr="00434E9D" w:rsidRDefault="008C3DE0" w:rsidP="00E96033">
      <w:pPr>
        <w:spacing w:line="360" w:lineRule="auto"/>
        <w:ind w:left="2548"/>
      </w:pPr>
      <w:r w:rsidRPr="00434E9D">
        <w:t>** Directive 2010/75/UE du Parlement européen et du Conseil du 24 novembre 2010 relative aux émissions industrielles (JO L 334 du 17.12.2010, p. 17).</w:t>
      </w:r>
    </w:p>
    <w:p w14:paraId="523A4CDF" w14:textId="77777777" w:rsidR="008C3DE0" w:rsidRPr="00434E9D" w:rsidRDefault="008C3DE0" w:rsidP="00E96033">
      <w:pPr>
        <w:spacing w:line="360" w:lineRule="auto"/>
        <w:ind w:left="2548"/>
      </w:pPr>
      <w:r w:rsidRPr="00434E9D">
        <w:t>*** Directive 91/271/CEE du Conseil du 21 mai 1991 relative au traitement des eaux urbaines résiduaires (JO L 135 du 30.5.1991, p. 40).</w:t>
      </w:r>
    </w:p>
    <w:p w14:paraId="21A3E1E7" w14:textId="77777777" w:rsidR="008C3DE0" w:rsidRPr="00434E9D" w:rsidRDefault="008C3DE0" w:rsidP="00E96033">
      <w:pPr>
        <w:spacing w:line="360" w:lineRule="auto"/>
        <w:ind w:left="2548"/>
      </w:pPr>
      <w:r w:rsidRPr="00434E9D">
        <w:t>**** Directive 91/676/CEE du Conseil du 12 décembre 1991 concernant la protection des eaux contre la pollution par les nitrates à partir de sources agricoles (JO L 375 du 31.12.1991, p. 1).;»</w:t>
      </w:r>
    </w:p>
    <w:p w14:paraId="271E1B0F" w14:textId="77777777" w:rsidR="008E1A7B" w:rsidRPr="00434E9D" w:rsidRDefault="008E1A7B">
      <w:pPr>
        <w:widowControl/>
      </w:pPr>
      <w:r w:rsidRPr="00434E9D">
        <w:br w:type="page"/>
      </w:r>
    </w:p>
    <w:p w14:paraId="4900D482" w14:textId="77777777" w:rsidR="008C3DE0" w:rsidRPr="00434E9D" w:rsidRDefault="008C3DE0" w:rsidP="00E96033">
      <w:pPr>
        <w:spacing w:line="360" w:lineRule="auto"/>
        <w:ind w:left="1416" w:hanging="566"/>
      </w:pPr>
      <w:r w:rsidRPr="00434E9D">
        <w:lastRenderedPageBreak/>
        <w:t>b)</w:t>
      </w:r>
      <w:r w:rsidRPr="00434E9D">
        <w:tab/>
        <w:t>le paragraphe 3 est remplacé par le texte suivant:</w:t>
      </w:r>
    </w:p>
    <w:p w14:paraId="3FE552B2" w14:textId="77777777" w:rsidR="008C3DE0" w:rsidRPr="00434E9D" w:rsidRDefault="008C3DE0" w:rsidP="00E96033">
      <w:pPr>
        <w:spacing w:line="360" w:lineRule="auto"/>
        <w:ind w:left="1982" w:hanging="566"/>
      </w:pPr>
      <w:r w:rsidRPr="00434E9D">
        <w:t>«3.</w:t>
      </w:r>
      <w:r w:rsidRPr="00434E9D">
        <w:tab/>
        <w:t>Si un objectif, une norme de qualité ou un seuil, établi(e) en application de la présente directive, des directives 2006/118/CE ou 2008/105/CE ou de toute autre disposition législative de l’Union, exige des conditions plus strictes que celles qui résulteraient de l’application du paragraphe 2, des contrôles d’émissions plus stricts sont fixés en conséquence.;»</w:t>
      </w:r>
    </w:p>
    <w:p w14:paraId="5BA25DD7" w14:textId="77777777" w:rsidR="008E1A7B" w:rsidRPr="00434E9D" w:rsidRDefault="008E1A7B">
      <w:pPr>
        <w:widowControl/>
        <w:rPr>
          <w:b/>
          <w:i/>
        </w:rPr>
      </w:pPr>
      <w:r w:rsidRPr="00434E9D">
        <w:rPr>
          <w:b/>
          <w:i/>
        </w:rPr>
        <w:br w:type="page"/>
      </w:r>
    </w:p>
    <w:p w14:paraId="7EF6DF83" w14:textId="77777777" w:rsidR="008C3DE0" w:rsidRPr="00434E9D" w:rsidRDefault="008E1A7B" w:rsidP="00E96033">
      <w:pPr>
        <w:spacing w:line="360" w:lineRule="auto"/>
        <w:ind w:left="850" w:hanging="850"/>
      </w:pPr>
      <w:r w:rsidRPr="00434E9D">
        <w:rPr>
          <w:b/>
          <w:i/>
        </w:rPr>
        <w:lastRenderedPageBreak/>
        <w:t>7 bis</w:t>
      </w:r>
      <w:r w:rsidR="008C3DE0" w:rsidRPr="00434E9D">
        <w:rPr>
          <w:b/>
          <w:i/>
        </w:rPr>
        <w:t>)</w:t>
      </w:r>
      <w:r w:rsidR="008C3DE0" w:rsidRPr="00434E9D">
        <w:tab/>
      </w:r>
      <w:r w:rsidR="008C3DE0" w:rsidRPr="00434E9D">
        <w:rPr>
          <w:b/>
          <w:i/>
        </w:rPr>
        <w:t>L’article 11, paragraphe 1 est remplacé par le texte suivant:</w:t>
      </w:r>
    </w:p>
    <w:p w14:paraId="5FE99FB2" w14:textId="77777777" w:rsidR="008C3DE0" w:rsidRPr="00434E9D" w:rsidRDefault="008C3DE0" w:rsidP="00E96033">
      <w:pPr>
        <w:spacing w:line="360" w:lineRule="auto"/>
        <w:ind w:left="1416" w:hanging="566"/>
        <w:rPr>
          <w:b/>
        </w:rPr>
      </w:pPr>
      <w:r w:rsidRPr="00434E9D">
        <w:t>«</w:t>
      </w:r>
      <w:r w:rsidRPr="00434E9D">
        <w:rPr>
          <w:b/>
          <w:i/>
        </w:rPr>
        <w:t>1.</w:t>
      </w:r>
      <w:r w:rsidRPr="00434E9D">
        <w:tab/>
      </w:r>
      <w:r w:rsidRPr="00434E9D">
        <w:rPr>
          <w:b/>
          <w:i/>
        </w:rPr>
        <w:t>Chaque État membre veille à ce que soit élaboré, pour chaque district hydrographique ou pour la partie du district hydrographique international située sur son territoire, un programme de mesures qui tienne compte des résultats des analyses prévues à l’article 5, afin de réaliser les objectifs fixés à l’article 4. Ces programmes de mesures privilégient les mesures de réduction de la pollution à la source conformément à la législation sectorielle pertinente de l’Union sur la pollution. Des mesures en fin de cycle sont appliquées en complément des mesures de réduction de la pollution à la source lorsque ces dernières risquent de ne pas permettre d’obtenir un bon état écologique des masses d’eau. Les programmes de mesures peuvent renvoyer aux mesures découlant de la législation adoptée au niveau national et couvrant tout le territoire d’un État membre. Le cas échéant, un État membre peut adopter des mesures applicables à tous les districts hydrographiques et/ou aux portions de districts hydrographiques internationaux situés sur son territoire. La Commission définit des orientations en matière de bonnes pratiques pour les mesures de réduction de la pollution à la source et la complémentarité des mesures en fin de cycle.»</w:t>
      </w:r>
      <w:r w:rsidR="008E1A7B" w:rsidRPr="00434E9D">
        <w:rPr>
          <w:b/>
        </w:rPr>
        <w:t xml:space="preserve"> [Am. 67]</w:t>
      </w:r>
    </w:p>
    <w:p w14:paraId="20A05A4A" w14:textId="77777777" w:rsidR="008E1A7B" w:rsidRPr="00434E9D" w:rsidRDefault="008E1A7B">
      <w:pPr>
        <w:widowControl/>
        <w:rPr>
          <w:b/>
          <w:i/>
        </w:rPr>
      </w:pPr>
      <w:r w:rsidRPr="00434E9D">
        <w:rPr>
          <w:b/>
          <w:i/>
        </w:rPr>
        <w:br w:type="page"/>
      </w:r>
    </w:p>
    <w:p w14:paraId="42B48E91" w14:textId="77777777" w:rsidR="008C3DE0" w:rsidRPr="00434E9D" w:rsidRDefault="008E1A7B" w:rsidP="00E96033">
      <w:pPr>
        <w:spacing w:line="360" w:lineRule="auto"/>
        <w:ind w:left="850" w:hanging="850"/>
      </w:pPr>
      <w:r w:rsidRPr="00434E9D">
        <w:rPr>
          <w:b/>
          <w:i/>
        </w:rPr>
        <w:lastRenderedPageBreak/>
        <w:t>7 ter</w:t>
      </w:r>
      <w:r w:rsidR="008C3DE0" w:rsidRPr="00434E9D">
        <w:rPr>
          <w:b/>
          <w:i/>
        </w:rPr>
        <w:t>)</w:t>
      </w:r>
      <w:r w:rsidR="008C3DE0" w:rsidRPr="00434E9D">
        <w:tab/>
      </w:r>
      <w:r w:rsidR="008C3DE0" w:rsidRPr="00434E9D">
        <w:rPr>
          <w:b/>
          <w:i/>
        </w:rPr>
        <w:t>À l’article 11, paragraphe 3, le point c) est remplacé par le texte suivant:</w:t>
      </w:r>
    </w:p>
    <w:p w14:paraId="23CE27AB" w14:textId="77777777" w:rsidR="008C3DE0" w:rsidRPr="00434E9D" w:rsidRDefault="008C3DE0" w:rsidP="00E96033">
      <w:pPr>
        <w:spacing w:line="360" w:lineRule="auto"/>
        <w:ind w:left="1416" w:hanging="566"/>
        <w:rPr>
          <w:b/>
        </w:rPr>
      </w:pPr>
      <w:r w:rsidRPr="00434E9D">
        <w:rPr>
          <w:b/>
          <w:i/>
        </w:rPr>
        <w:t>«c)</w:t>
      </w:r>
      <w:r w:rsidR="008E1A7B" w:rsidRPr="00434E9D">
        <w:rPr>
          <w:b/>
          <w:i/>
        </w:rPr>
        <w:tab/>
      </w:r>
      <w:r w:rsidRPr="00434E9D">
        <w:rPr>
          <w:b/>
          <w:i/>
        </w:rPr>
        <w:t xml:space="preserve"> des mesures promouvant une utilisation efficace et durable de l’eau, notamment en agriculture, de manière à éviter de compromettre la réalisation des objectifs mentionnés à l’article 4;»</w:t>
      </w:r>
      <w:r w:rsidR="008E1A7B" w:rsidRPr="00434E9D">
        <w:t xml:space="preserve"> </w:t>
      </w:r>
      <w:r w:rsidR="008E1A7B" w:rsidRPr="00434E9D">
        <w:rPr>
          <w:b/>
        </w:rPr>
        <w:t xml:space="preserve"> [Am. 68]</w:t>
      </w:r>
    </w:p>
    <w:p w14:paraId="36D4A08A" w14:textId="77777777" w:rsidR="008C3DE0" w:rsidRPr="00434E9D" w:rsidRDefault="008E1A7B" w:rsidP="00E96033">
      <w:pPr>
        <w:spacing w:line="360" w:lineRule="auto"/>
        <w:ind w:left="850" w:hanging="850"/>
      </w:pPr>
      <w:r w:rsidRPr="00434E9D">
        <w:t>8)</w:t>
      </w:r>
      <w:r w:rsidRPr="00434E9D">
        <w:tab/>
        <w:t>À</w:t>
      </w:r>
      <w:r w:rsidR="008C3DE0" w:rsidRPr="00434E9D">
        <w:t xml:space="preserve"> l’article 11, paragraphe 3, le point k) est remplacé par le texte suivant:</w:t>
      </w:r>
    </w:p>
    <w:p w14:paraId="161FAAAC" w14:textId="77777777" w:rsidR="008C3DE0" w:rsidRPr="00434E9D" w:rsidRDefault="008C3DE0" w:rsidP="00E96033">
      <w:pPr>
        <w:spacing w:line="360" w:lineRule="auto"/>
        <w:ind w:left="1416" w:hanging="566"/>
      </w:pPr>
      <w:r w:rsidRPr="00434E9D">
        <w:t>«k)</w:t>
      </w:r>
      <w:r w:rsidRPr="00434E9D">
        <w:tab/>
        <w:t>les mesures destinées à éliminer la pollution des eaux de surface par les substances dangereuses prioritaires et à réduire progressivement la pollution par d’autres substances qui empêcherait les États membres de réaliser les objectifs environnementaux fixés à l’article 4 po</w:t>
      </w:r>
      <w:r w:rsidR="008E1A7B" w:rsidRPr="00434E9D">
        <w:t>ur les masses d’eau de surface;</w:t>
      </w:r>
      <w:r w:rsidRPr="00434E9D">
        <w:t>»</w:t>
      </w:r>
    </w:p>
    <w:p w14:paraId="57E34879" w14:textId="77777777" w:rsidR="008C3DE0" w:rsidRPr="00434E9D" w:rsidRDefault="008E1A7B" w:rsidP="00E96033">
      <w:pPr>
        <w:spacing w:line="360" w:lineRule="auto"/>
        <w:ind w:left="850" w:hanging="850"/>
      </w:pPr>
      <w:r w:rsidRPr="00434E9D">
        <w:rPr>
          <w:b/>
          <w:i/>
        </w:rPr>
        <w:t>8 bis</w:t>
      </w:r>
      <w:r w:rsidR="008C3DE0" w:rsidRPr="00434E9D">
        <w:rPr>
          <w:b/>
          <w:i/>
        </w:rPr>
        <w:t>)</w:t>
      </w:r>
      <w:r w:rsidR="008C3DE0" w:rsidRPr="00434E9D">
        <w:tab/>
      </w:r>
      <w:r w:rsidR="008C3DE0" w:rsidRPr="00434E9D">
        <w:rPr>
          <w:b/>
          <w:i/>
        </w:rPr>
        <w:t>À l’article 11 paragraphe 5, le deuxième tiret est remplacé par le texte suivant:</w:t>
      </w:r>
    </w:p>
    <w:p w14:paraId="45602871" w14:textId="77777777" w:rsidR="008C3DE0" w:rsidRPr="00434E9D" w:rsidRDefault="008C3DE0" w:rsidP="00E96033">
      <w:pPr>
        <w:spacing w:line="360" w:lineRule="auto"/>
        <w:ind w:left="1416" w:hanging="566"/>
        <w:rPr>
          <w:b/>
        </w:rPr>
      </w:pPr>
      <w:r w:rsidRPr="00434E9D">
        <w:t>«</w:t>
      </w:r>
      <w:r w:rsidRPr="00434E9D">
        <w:rPr>
          <w:b/>
          <w:i/>
        </w:rPr>
        <w:t>-</w:t>
      </w:r>
      <w:r w:rsidRPr="00434E9D">
        <w:tab/>
      </w:r>
      <w:r w:rsidRPr="00434E9D">
        <w:rPr>
          <w:b/>
          <w:i/>
        </w:rPr>
        <w:t>les permis et autorisations pertinents soient examinés et, le cas échéant, revus et, dans les cas dûment justifiés, suspendus,</w:t>
      </w:r>
      <w:r w:rsidRPr="00434E9D">
        <w:t>»</w:t>
      </w:r>
      <w:r w:rsidR="008E1A7B" w:rsidRPr="00434E9D">
        <w:t xml:space="preserve"> </w:t>
      </w:r>
      <w:r w:rsidR="008E1A7B" w:rsidRPr="00434E9D">
        <w:rPr>
          <w:b/>
        </w:rPr>
        <w:t xml:space="preserve"> [Am. 69]</w:t>
      </w:r>
    </w:p>
    <w:p w14:paraId="14FC52C4" w14:textId="77777777" w:rsidR="008E1A7B" w:rsidRPr="00434E9D" w:rsidRDefault="008E1A7B">
      <w:pPr>
        <w:widowControl/>
      </w:pPr>
      <w:r w:rsidRPr="00434E9D">
        <w:br w:type="page"/>
      </w:r>
    </w:p>
    <w:p w14:paraId="2EFFE945" w14:textId="77777777" w:rsidR="008C3DE0" w:rsidRPr="00434E9D" w:rsidRDefault="008C3DE0" w:rsidP="00E96033">
      <w:pPr>
        <w:spacing w:line="360" w:lineRule="auto"/>
        <w:ind w:left="850" w:hanging="850"/>
      </w:pPr>
      <w:r w:rsidRPr="00434E9D">
        <w:lastRenderedPageBreak/>
        <w:t>9)</w:t>
      </w:r>
      <w:r w:rsidRPr="00434E9D">
        <w:tab/>
        <w:t>l’article 12 est remplacé par le texte suivant:</w:t>
      </w:r>
    </w:p>
    <w:p w14:paraId="2AA4BB28" w14:textId="77777777" w:rsidR="008C3DE0" w:rsidRPr="00434E9D" w:rsidRDefault="008C3DE0" w:rsidP="00E96033">
      <w:pPr>
        <w:spacing w:line="360" w:lineRule="auto"/>
        <w:ind w:left="850"/>
      </w:pPr>
      <w:r w:rsidRPr="00434E9D">
        <w:t>«Article 12</w:t>
      </w:r>
    </w:p>
    <w:p w14:paraId="0CACC520" w14:textId="77777777" w:rsidR="008C3DE0" w:rsidRPr="00434E9D" w:rsidRDefault="008C3DE0" w:rsidP="00E96033">
      <w:pPr>
        <w:spacing w:line="360" w:lineRule="auto"/>
        <w:ind w:left="850"/>
      </w:pPr>
      <w:r w:rsidRPr="00434E9D">
        <w:t xml:space="preserve"> Problèmes qui ne peuvent être traités au niveau d’un État membre</w:t>
      </w:r>
    </w:p>
    <w:p w14:paraId="5B131D10" w14:textId="77777777" w:rsidR="008C3DE0" w:rsidRPr="00434E9D" w:rsidRDefault="008C3DE0" w:rsidP="00E96033">
      <w:pPr>
        <w:spacing w:line="360" w:lineRule="auto"/>
        <w:ind w:left="1416" w:hanging="566"/>
      </w:pPr>
      <w:r w:rsidRPr="00434E9D">
        <w:t>1.</w:t>
      </w:r>
      <w:r w:rsidRPr="00434E9D">
        <w:tab/>
        <w:t>Dans le cas où un État membre constate un problème qui influe sur la gestion des eaux relevant de sa compétence mais qu’il ne peut résoudre lui-même, il fait part de ce problème à la Commission et à tout autre État membre concerné et formule des recommandations concernant la résolution du problème.</w:t>
      </w:r>
    </w:p>
    <w:p w14:paraId="074ED0BF" w14:textId="77777777" w:rsidR="008C3DE0" w:rsidRPr="00434E9D" w:rsidRDefault="008C3DE0" w:rsidP="00E96033">
      <w:pPr>
        <w:spacing w:line="360" w:lineRule="auto"/>
        <w:ind w:left="1416"/>
      </w:pPr>
      <w:r w:rsidRPr="00434E9D">
        <w:rPr>
          <w:b/>
          <w:i/>
        </w:rPr>
        <w:t>La Commission répond à toute notification d’un État membre dans un délai de six mois. Lorsque le problème concerne une incapacité de parvenir à un bon état chimique, la Commission agit en conformité avec l’article 7 bis de la directive 2008/105/CE.</w:t>
      </w:r>
      <w:r w:rsidR="00245099" w:rsidRPr="00434E9D">
        <w:rPr>
          <w:b/>
          <w:i/>
        </w:rPr>
        <w:t xml:space="preserve"> </w:t>
      </w:r>
      <w:r w:rsidR="00245099" w:rsidRPr="00434E9D">
        <w:rPr>
          <w:b/>
        </w:rPr>
        <w:t>[Am. 70]</w:t>
      </w:r>
    </w:p>
    <w:p w14:paraId="75AAF25F" w14:textId="77777777" w:rsidR="008C3DE0" w:rsidRPr="00434E9D" w:rsidRDefault="008C3DE0" w:rsidP="00E96033">
      <w:pPr>
        <w:spacing w:line="360" w:lineRule="auto"/>
        <w:ind w:left="1416" w:hanging="566"/>
      </w:pPr>
      <w:r w:rsidRPr="00434E9D">
        <w:t>2.</w:t>
      </w:r>
      <w:r w:rsidRPr="00434E9D">
        <w:tab/>
        <w:t>Les États membres concernés coopèrent afin de déterminer les sources des problèmes visés au paragraphe 1 et les mesures requises pour résoudre ces problèmes.</w:t>
      </w:r>
    </w:p>
    <w:p w14:paraId="3A210F30" w14:textId="77777777" w:rsidR="008E1A7B" w:rsidRPr="00434E9D" w:rsidRDefault="008E1A7B">
      <w:pPr>
        <w:widowControl/>
      </w:pPr>
      <w:r w:rsidRPr="00434E9D">
        <w:br w:type="page"/>
      </w:r>
    </w:p>
    <w:p w14:paraId="215074D6" w14:textId="77777777" w:rsidR="008C3DE0" w:rsidRPr="00434E9D" w:rsidRDefault="008C3DE0" w:rsidP="00E96033">
      <w:pPr>
        <w:spacing w:line="360" w:lineRule="auto"/>
        <w:ind w:left="1416"/>
      </w:pPr>
      <w:r w:rsidRPr="00434E9D">
        <w:lastRenderedPageBreak/>
        <w:t xml:space="preserve">Les États membres se répondent en temps </w:t>
      </w:r>
      <w:proofErr w:type="spellStart"/>
      <w:r w:rsidRPr="00434E9D">
        <w:t>utileet</w:t>
      </w:r>
      <w:proofErr w:type="spellEnd"/>
      <w:r w:rsidRPr="00434E9D">
        <w:t xml:space="preserve"> au plus tard </w:t>
      </w:r>
      <w:proofErr w:type="spellStart"/>
      <w:r w:rsidRPr="00434E9D">
        <w:rPr>
          <w:strike/>
        </w:rPr>
        <w:t>trois</w:t>
      </w:r>
      <w:r w:rsidRPr="00434E9D">
        <w:rPr>
          <w:b/>
          <w:i/>
        </w:rPr>
        <w:t>deux</w:t>
      </w:r>
      <w:proofErr w:type="spellEnd"/>
      <w:r w:rsidRPr="00434E9D">
        <w:t xml:space="preserve"> mois après notification du problème par un autre État membre conformément au paragraphe 1.</w:t>
      </w:r>
      <w:r w:rsidR="00245099" w:rsidRPr="00434E9D">
        <w:rPr>
          <w:b/>
        </w:rPr>
        <w:t xml:space="preserve"> [Am. 71]</w:t>
      </w:r>
    </w:p>
    <w:p w14:paraId="269F0BC3" w14:textId="77777777" w:rsidR="008C3DE0" w:rsidRPr="00434E9D" w:rsidRDefault="008C3DE0" w:rsidP="00E96033">
      <w:pPr>
        <w:spacing w:line="360" w:lineRule="auto"/>
        <w:ind w:left="1416" w:hanging="566"/>
      </w:pPr>
      <w:r w:rsidRPr="00434E9D">
        <w:t>3.</w:t>
      </w:r>
      <w:r w:rsidRPr="00434E9D">
        <w:tab/>
        <w:t>La Commission est informée des efforts de collaboration visés au paragraphe 2 et est invitée à y contribuer. Le cas échéant, la Commission examine, en tenant compte des rapports établis en application de l’article 13, si d’autres actions doivent être menées au niveau de l’Union pour réduire les incidences transfrontières sur les masses d’eau.;»</w:t>
      </w:r>
    </w:p>
    <w:p w14:paraId="3E92FF66" w14:textId="77777777" w:rsidR="008C3DE0" w:rsidRPr="00434E9D" w:rsidRDefault="008E1A7B" w:rsidP="00E96033">
      <w:pPr>
        <w:spacing w:line="360" w:lineRule="auto"/>
        <w:ind w:left="850" w:hanging="850"/>
      </w:pPr>
      <w:r w:rsidRPr="00434E9D">
        <w:rPr>
          <w:b/>
          <w:i/>
        </w:rPr>
        <w:t>9 bis</w:t>
      </w:r>
      <w:r w:rsidR="008C3DE0" w:rsidRPr="00434E9D">
        <w:rPr>
          <w:b/>
          <w:i/>
        </w:rPr>
        <w:t>)</w:t>
      </w:r>
      <w:r w:rsidR="008C3DE0" w:rsidRPr="00434E9D">
        <w:tab/>
      </w:r>
      <w:r w:rsidR="008C3DE0" w:rsidRPr="00434E9D">
        <w:rPr>
          <w:b/>
          <w:i/>
        </w:rPr>
        <w:t>À l’article 13, le paragraphe suivant est inséré:</w:t>
      </w:r>
    </w:p>
    <w:p w14:paraId="285CB171" w14:textId="77777777" w:rsidR="008C3DE0" w:rsidRPr="00434E9D" w:rsidRDefault="008C3DE0" w:rsidP="00E96033">
      <w:pPr>
        <w:spacing w:line="360" w:lineRule="auto"/>
        <w:ind w:left="1416" w:hanging="566"/>
        <w:rPr>
          <w:b/>
        </w:rPr>
      </w:pPr>
      <w:r w:rsidRPr="00434E9D">
        <w:t>«</w:t>
      </w:r>
      <w:r w:rsidR="008E1A7B" w:rsidRPr="00434E9D">
        <w:rPr>
          <w:b/>
          <w:i/>
        </w:rPr>
        <w:t xml:space="preserve">4 bis. </w:t>
      </w:r>
      <w:r w:rsidRPr="00434E9D">
        <w:rPr>
          <w:b/>
          <w:i/>
        </w:rPr>
        <w:t>La Commission rejette les plans de gestion de district hydrographique présentés par les États membres lorsque ces plans ne contiennent pas les éléments énumérés à l’annexe VII.</w:t>
      </w:r>
      <w:r w:rsidRPr="00434E9D">
        <w:t>»</w:t>
      </w:r>
      <w:r w:rsidR="008E1A7B" w:rsidRPr="00434E9D">
        <w:t xml:space="preserve"> </w:t>
      </w:r>
      <w:r w:rsidR="008E1A7B" w:rsidRPr="00434E9D">
        <w:rPr>
          <w:b/>
        </w:rPr>
        <w:t xml:space="preserve"> [Am. 72]</w:t>
      </w:r>
    </w:p>
    <w:p w14:paraId="070FF72C" w14:textId="77777777" w:rsidR="008E1A7B" w:rsidRPr="00434E9D" w:rsidRDefault="008E1A7B">
      <w:pPr>
        <w:widowControl/>
        <w:rPr>
          <w:b/>
          <w:i/>
        </w:rPr>
      </w:pPr>
      <w:r w:rsidRPr="00434E9D">
        <w:rPr>
          <w:b/>
          <w:i/>
        </w:rPr>
        <w:br w:type="page"/>
      </w:r>
    </w:p>
    <w:p w14:paraId="0A8A1287" w14:textId="77777777" w:rsidR="008C3DE0" w:rsidRPr="00434E9D" w:rsidRDefault="008E1A7B" w:rsidP="00E96033">
      <w:pPr>
        <w:spacing w:line="360" w:lineRule="auto"/>
        <w:ind w:left="850" w:hanging="850"/>
      </w:pPr>
      <w:r w:rsidRPr="00434E9D">
        <w:rPr>
          <w:b/>
          <w:i/>
        </w:rPr>
        <w:lastRenderedPageBreak/>
        <w:t>9 ter</w:t>
      </w:r>
      <w:r w:rsidR="008C3DE0" w:rsidRPr="00434E9D">
        <w:rPr>
          <w:b/>
          <w:i/>
        </w:rPr>
        <w:t>)</w:t>
      </w:r>
      <w:r w:rsidR="008C3DE0" w:rsidRPr="00434E9D">
        <w:tab/>
      </w:r>
      <w:r w:rsidR="008C3DE0" w:rsidRPr="00434E9D">
        <w:rPr>
          <w:b/>
          <w:i/>
        </w:rPr>
        <w:t>l’article suivant est inséré:</w:t>
      </w:r>
    </w:p>
    <w:p w14:paraId="6DF579B7" w14:textId="77777777" w:rsidR="008C3DE0" w:rsidRPr="00434E9D" w:rsidRDefault="008C3DE0" w:rsidP="00E96033">
      <w:pPr>
        <w:spacing w:line="360" w:lineRule="auto"/>
        <w:ind w:left="850"/>
      </w:pPr>
      <w:r w:rsidRPr="00434E9D">
        <w:t>«</w:t>
      </w:r>
      <w:r w:rsidRPr="00434E9D">
        <w:rPr>
          <w:b/>
          <w:i/>
        </w:rPr>
        <w:t>Article</w:t>
      </w:r>
      <w:r w:rsidR="008E1A7B" w:rsidRPr="00434E9D">
        <w:rPr>
          <w:b/>
          <w:i/>
        </w:rPr>
        <w:t xml:space="preserve"> 14 bis</w:t>
      </w:r>
      <w:r w:rsidRPr="00434E9D">
        <w:br/>
      </w:r>
      <w:r w:rsidRPr="00434E9D">
        <w:rPr>
          <w:b/>
          <w:i/>
        </w:rPr>
        <w:t>Accès à la justice</w:t>
      </w:r>
    </w:p>
    <w:p w14:paraId="7D4B55EA" w14:textId="77777777" w:rsidR="008C3DE0" w:rsidRPr="00434E9D" w:rsidRDefault="008C3DE0" w:rsidP="00E96033">
      <w:pPr>
        <w:spacing w:line="360" w:lineRule="auto"/>
        <w:ind w:left="1416" w:hanging="566"/>
      </w:pPr>
      <w:r w:rsidRPr="00434E9D">
        <w:rPr>
          <w:b/>
          <w:i/>
        </w:rPr>
        <w:t>1.</w:t>
      </w:r>
      <w:r w:rsidRPr="00434E9D">
        <w:tab/>
      </w:r>
      <w:r w:rsidRPr="00434E9D">
        <w:rPr>
          <w:b/>
          <w:i/>
        </w:rPr>
        <w:t>Les États membres veillent à ce que les membres du public, conformément au droit national, qui ont un intérêt suffisant pour agir ou qui font valoir une atteinte à un droit, aient accès à une procédure de recours devant une instance juridictionnelle ou un autre organe indépendant et impartial établi par la loi pour contester la légalité, quant au fond ou à la procédure, de l’ensemble des décisions, actes ou omissions relevant de la présente directive et concernant notamment:</w:t>
      </w:r>
    </w:p>
    <w:p w14:paraId="4E2BFCB3" w14:textId="77777777" w:rsidR="008C3DE0" w:rsidRPr="00434E9D" w:rsidRDefault="008C3DE0" w:rsidP="00E96033">
      <w:pPr>
        <w:spacing w:line="360" w:lineRule="auto"/>
        <w:ind w:left="1982" w:hanging="566"/>
      </w:pPr>
      <w:r w:rsidRPr="00434E9D">
        <w:rPr>
          <w:b/>
          <w:i/>
        </w:rPr>
        <w:t>a)</w:t>
      </w:r>
      <w:r w:rsidRPr="00434E9D">
        <w:tab/>
      </w:r>
      <w:r w:rsidRPr="00434E9D">
        <w:rPr>
          <w:b/>
          <w:i/>
        </w:rPr>
        <w:t>des plans et des projets pouvant être contraires aux exigences de l’article 4, y compris celles visant à prévenir la détérioration de l’état des masses d’eau et à parvenir à un bon état des eaux, ou visant à obtenir un bon potentiel écologique et/ou un bon état chimique des eaux, dans la mesure où ces exigences ne sont pas déjà prévues à l’article 11 de la directive 2011/92/UE;</w:t>
      </w:r>
    </w:p>
    <w:p w14:paraId="088A4143" w14:textId="77777777" w:rsidR="008E1A7B" w:rsidRPr="00434E9D" w:rsidRDefault="008E1A7B">
      <w:pPr>
        <w:widowControl/>
        <w:rPr>
          <w:b/>
          <w:i/>
        </w:rPr>
      </w:pPr>
      <w:r w:rsidRPr="00434E9D">
        <w:rPr>
          <w:b/>
          <w:i/>
        </w:rPr>
        <w:br w:type="page"/>
      </w:r>
    </w:p>
    <w:p w14:paraId="3AF65FD6" w14:textId="77777777" w:rsidR="008C3DE0" w:rsidRPr="00434E9D" w:rsidRDefault="008C3DE0" w:rsidP="00E96033">
      <w:pPr>
        <w:spacing w:line="360" w:lineRule="auto"/>
        <w:ind w:left="1982" w:hanging="566"/>
      </w:pPr>
      <w:r w:rsidRPr="00434E9D">
        <w:rPr>
          <w:b/>
          <w:i/>
        </w:rPr>
        <w:lastRenderedPageBreak/>
        <w:t>b)</w:t>
      </w:r>
      <w:r w:rsidRPr="00434E9D">
        <w:tab/>
      </w:r>
      <w:r w:rsidRPr="00434E9D">
        <w:rPr>
          <w:b/>
          <w:i/>
        </w:rPr>
        <w:t>les programmes de mesures visés à l’article 11, les plans de gestion de district hydrographique des États membres visés à l’article 13, paragraphe 1, et les programmes ou plans de gestion complémentaires des États membres visés à l’article 13, paragraphe 5.</w:t>
      </w:r>
    </w:p>
    <w:p w14:paraId="18C76CEF" w14:textId="77777777" w:rsidR="008C3DE0" w:rsidRPr="00434E9D" w:rsidRDefault="008C3DE0" w:rsidP="00E96033">
      <w:pPr>
        <w:spacing w:line="360" w:lineRule="auto"/>
        <w:ind w:left="1416" w:hanging="566"/>
      </w:pPr>
      <w:r w:rsidRPr="00434E9D">
        <w:rPr>
          <w:b/>
          <w:i/>
        </w:rPr>
        <w:t>2.</w:t>
      </w:r>
      <w:r w:rsidRPr="00434E9D">
        <w:tab/>
      </w:r>
      <w:r w:rsidRPr="00434E9D">
        <w:rPr>
          <w:b/>
          <w:i/>
        </w:rPr>
        <w:t>Les États membres déterminent ce qui constitue un intérêt suffisant pour agir et une atteinte à un droit, en conformité avec l’objectif visant à donner au public un large accès à la justice. Aux fins du paragraphe 1, toute organisation non gouvernementale œuvrant en faveur de la protection de l’environnement et satisfaisant aux exigences du droit national pertinentes est réputée bénéficier de droits susceptibles de faire l’objet d’une atteinte et ses intérêts sont considérés comme suffisants.</w:t>
      </w:r>
    </w:p>
    <w:p w14:paraId="35AADEA6" w14:textId="77777777" w:rsidR="008C3DE0" w:rsidRPr="00434E9D" w:rsidRDefault="008C3DE0" w:rsidP="00E96033">
      <w:pPr>
        <w:spacing w:line="360" w:lineRule="auto"/>
        <w:ind w:left="1416" w:hanging="566"/>
      </w:pPr>
      <w:r w:rsidRPr="00434E9D">
        <w:rPr>
          <w:b/>
          <w:i/>
        </w:rPr>
        <w:t>3.</w:t>
      </w:r>
      <w:r w:rsidRPr="00434E9D">
        <w:tab/>
      </w:r>
      <w:r w:rsidRPr="00434E9D">
        <w:rPr>
          <w:b/>
          <w:i/>
        </w:rPr>
        <w:t>Les procédures de recours visées au paragraphe 1 sont régulières, équitables et rapides et d’un coût non prohibitif. Elles prévoient également des mécanismes de recours adéquats et effectifs, y compris, le cas échéant, des mesures de redressement par voie d’injonction.</w:t>
      </w:r>
    </w:p>
    <w:p w14:paraId="772C4744" w14:textId="77777777" w:rsidR="008E1A7B" w:rsidRPr="00434E9D" w:rsidRDefault="008E1A7B">
      <w:pPr>
        <w:widowControl/>
        <w:rPr>
          <w:b/>
          <w:i/>
        </w:rPr>
      </w:pPr>
      <w:r w:rsidRPr="00434E9D">
        <w:rPr>
          <w:b/>
          <w:i/>
        </w:rPr>
        <w:br w:type="page"/>
      </w:r>
    </w:p>
    <w:p w14:paraId="78B6E80C" w14:textId="77777777" w:rsidR="008C3DE0" w:rsidRPr="00434E9D" w:rsidRDefault="008C3DE0" w:rsidP="00E96033">
      <w:pPr>
        <w:spacing w:line="360" w:lineRule="auto"/>
        <w:ind w:left="1416" w:hanging="566"/>
        <w:rPr>
          <w:b/>
        </w:rPr>
      </w:pPr>
      <w:r w:rsidRPr="00434E9D">
        <w:rPr>
          <w:b/>
          <w:i/>
        </w:rPr>
        <w:lastRenderedPageBreak/>
        <w:t>4.</w:t>
      </w:r>
      <w:r w:rsidRPr="00434E9D">
        <w:tab/>
      </w:r>
      <w:r w:rsidRPr="00434E9D">
        <w:rPr>
          <w:b/>
          <w:i/>
        </w:rPr>
        <w:t>Les États membres veillent à ce que des informations pratiques soient mises à la disposition du public sur l’accès aux procédures de recours administratif et juridictionnel visées au présent article.</w:t>
      </w:r>
      <w:r w:rsidRPr="00434E9D">
        <w:t>»</w:t>
      </w:r>
      <w:r w:rsidR="008E1A7B" w:rsidRPr="00434E9D">
        <w:t xml:space="preserve"> </w:t>
      </w:r>
      <w:r w:rsidR="008E1A7B" w:rsidRPr="00434E9D">
        <w:rPr>
          <w:b/>
        </w:rPr>
        <w:t xml:space="preserve"> [Am. 73]</w:t>
      </w:r>
    </w:p>
    <w:p w14:paraId="1BF10760" w14:textId="77777777" w:rsidR="008C3DE0" w:rsidRPr="00434E9D" w:rsidRDefault="008C3DE0" w:rsidP="00E96033">
      <w:pPr>
        <w:spacing w:line="360" w:lineRule="auto"/>
        <w:ind w:left="850" w:hanging="850"/>
        <w:rPr>
          <w:b/>
        </w:rPr>
      </w:pPr>
      <w:r w:rsidRPr="00434E9D">
        <w:rPr>
          <w:strike/>
        </w:rPr>
        <w:t>10)</w:t>
      </w:r>
      <w:r w:rsidRPr="00434E9D">
        <w:tab/>
      </w:r>
      <w:r w:rsidRPr="00434E9D">
        <w:rPr>
          <w:strike/>
        </w:rPr>
        <w:t>à l’article 15, le paragraphe 3 est supprimé;</w:t>
      </w:r>
      <w:r w:rsidR="008E1A7B" w:rsidRPr="00434E9D">
        <w:rPr>
          <w:strike/>
        </w:rPr>
        <w:t xml:space="preserve"> </w:t>
      </w:r>
      <w:r w:rsidR="008E1A7B" w:rsidRPr="00434E9D">
        <w:rPr>
          <w:b/>
          <w:strike/>
        </w:rPr>
        <w:t xml:space="preserve"> </w:t>
      </w:r>
      <w:r w:rsidR="008E1A7B" w:rsidRPr="00434E9D">
        <w:rPr>
          <w:b/>
        </w:rPr>
        <w:t>[Am. 74]</w:t>
      </w:r>
    </w:p>
    <w:p w14:paraId="08B4C0D3" w14:textId="77777777" w:rsidR="008C3DE0" w:rsidRPr="00434E9D" w:rsidRDefault="008E1A7B" w:rsidP="00E96033">
      <w:pPr>
        <w:spacing w:line="360" w:lineRule="auto"/>
        <w:ind w:left="850" w:hanging="850"/>
      </w:pPr>
      <w:r w:rsidRPr="00434E9D">
        <w:rPr>
          <w:b/>
          <w:i/>
        </w:rPr>
        <w:t>10 bis</w:t>
      </w:r>
      <w:r w:rsidR="008C3DE0" w:rsidRPr="00434E9D">
        <w:rPr>
          <w:b/>
          <w:i/>
        </w:rPr>
        <w:t>)</w:t>
      </w:r>
      <w:r w:rsidR="008C3DE0" w:rsidRPr="00434E9D">
        <w:tab/>
      </w:r>
      <w:r w:rsidR="008C3DE0" w:rsidRPr="00434E9D">
        <w:rPr>
          <w:b/>
          <w:i/>
        </w:rPr>
        <w:t>À l’article 15, paragraphe 3, l’alinéa suivant est ajouté:</w:t>
      </w:r>
    </w:p>
    <w:p w14:paraId="1956150E" w14:textId="77777777" w:rsidR="008C3DE0" w:rsidRPr="00434E9D" w:rsidRDefault="008C3DE0" w:rsidP="00E96033">
      <w:pPr>
        <w:spacing w:line="360" w:lineRule="auto"/>
        <w:ind w:left="850"/>
        <w:rPr>
          <w:b/>
        </w:rPr>
      </w:pPr>
      <w:r w:rsidRPr="00434E9D">
        <w:t>«</w:t>
      </w:r>
      <w:r w:rsidRPr="00434E9D">
        <w:rPr>
          <w:b/>
          <w:i/>
        </w:rPr>
        <w:t>La Commission adopte des lignes directrices et des modèles concernant le contenu, la structure et le format des rapports intermédiaires visés au premier alinéa, au plus tard [six mois après l’entrée en vigueur de la présente directive].</w:t>
      </w:r>
      <w:r w:rsidRPr="00434E9D">
        <w:t>»</w:t>
      </w:r>
      <w:r w:rsidR="008E1A7B" w:rsidRPr="00434E9D">
        <w:t xml:space="preserve"> </w:t>
      </w:r>
      <w:r w:rsidR="008E1A7B" w:rsidRPr="00434E9D">
        <w:rPr>
          <w:b/>
        </w:rPr>
        <w:t xml:space="preserve"> [Am. 75]</w:t>
      </w:r>
    </w:p>
    <w:p w14:paraId="1672689F" w14:textId="77777777" w:rsidR="008C3DE0" w:rsidRPr="00434E9D" w:rsidRDefault="008E1A7B" w:rsidP="00E96033">
      <w:pPr>
        <w:spacing w:line="360" w:lineRule="auto"/>
        <w:ind w:left="850" w:hanging="850"/>
      </w:pPr>
      <w:r w:rsidRPr="00434E9D">
        <w:t>11)</w:t>
      </w:r>
      <w:r w:rsidRPr="00434E9D">
        <w:tab/>
        <w:t>L</w:t>
      </w:r>
      <w:r w:rsidR="008C3DE0" w:rsidRPr="00434E9D">
        <w:t>es articles 16 et 17 sont supprimés;</w:t>
      </w:r>
    </w:p>
    <w:p w14:paraId="3E244785" w14:textId="77777777" w:rsidR="008C3DE0" w:rsidRPr="00434E9D" w:rsidRDefault="008E1A7B" w:rsidP="00E96033">
      <w:pPr>
        <w:spacing w:line="360" w:lineRule="auto"/>
        <w:ind w:left="850" w:hanging="850"/>
      </w:pPr>
      <w:r w:rsidRPr="00434E9D">
        <w:t>12)</w:t>
      </w:r>
      <w:r w:rsidRPr="00434E9D">
        <w:tab/>
        <w:t>L</w:t>
      </w:r>
      <w:r w:rsidR="008C3DE0" w:rsidRPr="00434E9D">
        <w:t>’article 18 est modifié comme suit:</w:t>
      </w:r>
    </w:p>
    <w:p w14:paraId="10D89628" w14:textId="77777777" w:rsidR="008C3DE0" w:rsidRPr="00434E9D" w:rsidRDefault="008C3DE0" w:rsidP="00E96033">
      <w:pPr>
        <w:spacing w:line="360" w:lineRule="auto"/>
        <w:ind w:left="1416" w:hanging="566"/>
      </w:pPr>
      <w:r w:rsidRPr="00434E9D">
        <w:t>a)</w:t>
      </w:r>
      <w:r w:rsidRPr="00434E9D">
        <w:tab/>
        <w:t>au paragraphe 2, le point e) est remplacé par le texte suivant:</w:t>
      </w:r>
    </w:p>
    <w:p w14:paraId="60053207" w14:textId="77777777" w:rsidR="008C3DE0" w:rsidRPr="00434E9D" w:rsidRDefault="008C3DE0" w:rsidP="00E96033">
      <w:pPr>
        <w:spacing w:line="360" w:lineRule="auto"/>
        <w:ind w:left="1982" w:hanging="566"/>
      </w:pPr>
      <w:r w:rsidRPr="00434E9D">
        <w:t>«e)</w:t>
      </w:r>
      <w:r w:rsidRPr="00434E9D">
        <w:tab/>
        <w:t>une présentation succincte des propositions, des mesures de contrôle et des stratégies visant à lutter contre la pollution chimique ou à éliminer ou supprimer progressivem</w:t>
      </w:r>
      <w:r w:rsidR="008E1A7B" w:rsidRPr="00434E9D">
        <w:t>ent les substances dangereuses;</w:t>
      </w:r>
      <w:r w:rsidRPr="00434E9D">
        <w:t>»</w:t>
      </w:r>
    </w:p>
    <w:p w14:paraId="425D2AE8" w14:textId="77777777" w:rsidR="008C3DE0" w:rsidRPr="00434E9D" w:rsidRDefault="008C3DE0" w:rsidP="00E96033">
      <w:pPr>
        <w:spacing w:line="360" w:lineRule="auto"/>
        <w:ind w:left="1416" w:hanging="566"/>
        <w:rPr>
          <w:b/>
        </w:rPr>
      </w:pPr>
      <w:r w:rsidRPr="00434E9D">
        <w:rPr>
          <w:strike/>
        </w:rPr>
        <w:t>(b)</w:t>
      </w:r>
      <w:r w:rsidRPr="00434E9D">
        <w:tab/>
      </w:r>
      <w:r w:rsidRPr="00434E9D">
        <w:rPr>
          <w:strike/>
        </w:rPr>
        <w:t>le paragraphe 4 est supprimé;</w:t>
      </w:r>
      <w:r w:rsidR="008E1A7B" w:rsidRPr="00434E9D">
        <w:rPr>
          <w:strike/>
        </w:rPr>
        <w:t xml:space="preserve"> </w:t>
      </w:r>
      <w:r w:rsidR="008E1A7B" w:rsidRPr="00434E9D">
        <w:rPr>
          <w:b/>
          <w:strike/>
        </w:rPr>
        <w:t xml:space="preserve"> </w:t>
      </w:r>
      <w:r w:rsidR="008E1A7B" w:rsidRPr="00434E9D">
        <w:rPr>
          <w:b/>
        </w:rPr>
        <w:t>[Am. 76]</w:t>
      </w:r>
    </w:p>
    <w:p w14:paraId="0B43E37F" w14:textId="77777777" w:rsidR="008E1A7B" w:rsidRPr="00434E9D" w:rsidRDefault="008E1A7B">
      <w:pPr>
        <w:widowControl/>
      </w:pPr>
      <w:r w:rsidRPr="00434E9D">
        <w:br w:type="page"/>
      </w:r>
    </w:p>
    <w:p w14:paraId="467B311D" w14:textId="77777777" w:rsidR="008C3DE0" w:rsidRPr="00434E9D" w:rsidRDefault="008E1A7B" w:rsidP="00E96033">
      <w:pPr>
        <w:spacing w:line="360" w:lineRule="auto"/>
        <w:ind w:left="850" w:hanging="850"/>
      </w:pPr>
      <w:r w:rsidRPr="00434E9D">
        <w:lastRenderedPageBreak/>
        <w:t>13)</w:t>
      </w:r>
      <w:r w:rsidRPr="00434E9D">
        <w:tab/>
        <w:t>L</w:t>
      </w:r>
      <w:r w:rsidR="008C3DE0" w:rsidRPr="00434E9D">
        <w:t>’article 20 est remplacé par le texte suivant:</w:t>
      </w:r>
    </w:p>
    <w:p w14:paraId="7F18054A" w14:textId="77777777" w:rsidR="008C3DE0" w:rsidRPr="00434E9D" w:rsidRDefault="008C3DE0" w:rsidP="00E96033">
      <w:pPr>
        <w:spacing w:line="360" w:lineRule="auto"/>
        <w:ind w:left="850"/>
      </w:pPr>
      <w:r w:rsidRPr="00434E9D">
        <w:t>«Article 20</w:t>
      </w:r>
    </w:p>
    <w:p w14:paraId="578FED54" w14:textId="77777777" w:rsidR="008C3DE0" w:rsidRPr="00434E9D" w:rsidRDefault="008C3DE0" w:rsidP="00E96033">
      <w:pPr>
        <w:spacing w:line="360" w:lineRule="auto"/>
        <w:ind w:left="850"/>
      </w:pPr>
      <w:r w:rsidRPr="00434E9D">
        <w:t>Adaptations techniques et mise en œuvre de la présente directive</w:t>
      </w:r>
    </w:p>
    <w:p w14:paraId="47909CB0" w14:textId="77777777" w:rsidR="008C3DE0" w:rsidRPr="00434E9D" w:rsidRDefault="008C3DE0" w:rsidP="00E96033">
      <w:pPr>
        <w:spacing w:line="360" w:lineRule="auto"/>
        <w:ind w:left="1416" w:hanging="566"/>
      </w:pPr>
      <w:r w:rsidRPr="00434E9D">
        <w:t>1.</w:t>
      </w:r>
      <w:r w:rsidRPr="00434E9D">
        <w:tab/>
        <w:t>La Commission est habilitée à adopter des actes délégués conformément à l’article 20 bis aux fins de modifier les annexes I et III et l’annexe V, point 1.3.6, afin d’adapter les obligations d’informations relatives aux autorités compétentes, le contenu de l’analyse économique et les normes de surveillance sélectionnées, respectivement, au progrès scientifique et technique.</w:t>
      </w:r>
    </w:p>
    <w:p w14:paraId="11D7D85E" w14:textId="77777777" w:rsidR="008C3DE0" w:rsidRPr="00434E9D" w:rsidRDefault="008C3DE0" w:rsidP="00E96033">
      <w:pPr>
        <w:spacing w:line="360" w:lineRule="auto"/>
        <w:ind w:left="1416" w:hanging="566"/>
      </w:pPr>
      <w:r w:rsidRPr="00434E9D">
        <w:t>2.</w:t>
      </w:r>
      <w:r w:rsidRPr="00434E9D">
        <w:tab/>
        <w:t>La Commission est habilitée à adopter des actes délégués conformément à l’article 20 bis aux fins de compléter la présente directive en déterminant les valeurs établies pour les classifications du système de contrôle des États membres conformément à la procédure d’</w:t>
      </w:r>
      <w:proofErr w:type="spellStart"/>
      <w:r w:rsidRPr="00434E9D">
        <w:t>interétalonnage</w:t>
      </w:r>
      <w:proofErr w:type="spellEnd"/>
      <w:r w:rsidRPr="00434E9D">
        <w:t xml:space="preserve"> prévue à l’annexe V, point 1.4.1.</w:t>
      </w:r>
    </w:p>
    <w:p w14:paraId="20944C1E" w14:textId="77777777" w:rsidR="008C3DE0" w:rsidRPr="00434E9D" w:rsidRDefault="008C3DE0" w:rsidP="00E96033">
      <w:pPr>
        <w:spacing w:line="360" w:lineRule="auto"/>
        <w:ind w:left="1416" w:hanging="566"/>
      </w:pPr>
      <w:r w:rsidRPr="00434E9D">
        <w:t>3.</w:t>
      </w:r>
      <w:r w:rsidRPr="00434E9D">
        <w:tab/>
        <w:t>La Commission est habilitée à adopter des actes d’exécution aux fins d’établir les formats techniques pour la transmission des données visées à l’article 8, paragraphe 4. Ces actes d’exécution sont adoptés en conformité avec la procédure d’examen visée à l’article 21, paragraphe 2. Pour établir ces formats, la Commission est assi</w:t>
      </w:r>
      <w:r w:rsidR="008E1A7B" w:rsidRPr="00434E9D">
        <w:t>stée, le cas échéant, par l’AEE</w:t>
      </w:r>
      <w:r w:rsidRPr="00434E9D">
        <w:t>;»</w:t>
      </w:r>
    </w:p>
    <w:p w14:paraId="7438D6B0" w14:textId="77777777" w:rsidR="008E1A7B" w:rsidRPr="00434E9D" w:rsidRDefault="008E1A7B">
      <w:pPr>
        <w:widowControl/>
      </w:pPr>
      <w:r w:rsidRPr="00434E9D">
        <w:br w:type="page"/>
      </w:r>
    </w:p>
    <w:p w14:paraId="43911C31" w14:textId="77777777" w:rsidR="008C3DE0" w:rsidRPr="00434E9D" w:rsidRDefault="008E1A7B" w:rsidP="00E96033">
      <w:pPr>
        <w:spacing w:line="360" w:lineRule="auto"/>
        <w:ind w:left="850" w:hanging="850"/>
      </w:pPr>
      <w:r w:rsidRPr="00434E9D">
        <w:lastRenderedPageBreak/>
        <w:t>14)</w:t>
      </w:r>
      <w:r w:rsidRPr="00434E9D">
        <w:tab/>
        <w:t>L</w:t>
      </w:r>
      <w:r w:rsidR="008C3DE0" w:rsidRPr="00434E9D">
        <w:t>’article 20 bis suivant est inséré:</w:t>
      </w:r>
    </w:p>
    <w:p w14:paraId="30F36030" w14:textId="77777777" w:rsidR="008C3DE0" w:rsidRPr="00434E9D" w:rsidRDefault="008C3DE0" w:rsidP="00E96033">
      <w:pPr>
        <w:spacing w:line="360" w:lineRule="auto"/>
        <w:ind w:left="850"/>
      </w:pPr>
      <w:r w:rsidRPr="00434E9D">
        <w:t>«Article 20 bis</w:t>
      </w:r>
    </w:p>
    <w:p w14:paraId="03BDE9DB" w14:textId="77777777" w:rsidR="008C3DE0" w:rsidRPr="00434E9D" w:rsidRDefault="008C3DE0" w:rsidP="00E96033">
      <w:pPr>
        <w:spacing w:line="360" w:lineRule="auto"/>
        <w:ind w:left="850"/>
      </w:pPr>
      <w:r w:rsidRPr="00434E9D">
        <w:t>Exercice de la délégation</w:t>
      </w:r>
    </w:p>
    <w:p w14:paraId="27C136EC" w14:textId="77777777" w:rsidR="008C3DE0" w:rsidRPr="00434E9D" w:rsidRDefault="008C3DE0" w:rsidP="00E96033">
      <w:pPr>
        <w:spacing w:line="360" w:lineRule="auto"/>
        <w:ind w:left="1416" w:hanging="566"/>
      </w:pPr>
      <w:r w:rsidRPr="00434E9D">
        <w:t>1.</w:t>
      </w:r>
      <w:r w:rsidRPr="00434E9D">
        <w:tab/>
        <w:t>Le pouvoir d’adopter des actes délégués est conféré à la Commission sous réserve des conditions fixées au présent article.</w:t>
      </w:r>
    </w:p>
    <w:p w14:paraId="3A64D6B3" w14:textId="77777777" w:rsidR="008C3DE0" w:rsidRPr="00434E9D" w:rsidRDefault="008C3DE0" w:rsidP="00E96033">
      <w:pPr>
        <w:spacing w:line="360" w:lineRule="auto"/>
        <w:ind w:left="1416" w:hanging="566"/>
      </w:pPr>
      <w:r w:rsidRPr="00434E9D">
        <w:t>2.</w:t>
      </w:r>
      <w:r w:rsidRPr="00434E9D">
        <w:tab/>
        <w:t>Le pouvoir d’adopter des actes délégués visé à l’article 20, paragraphe 1, est conféré à la Commission pour une durée indéterminée à compter du [OP: veuillez insérer la date correspondant à la date d’entrée en vigueur de la présente directive].</w:t>
      </w:r>
    </w:p>
    <w:p w14:paraId="498D5822" w14:textId="77777777" w:rsidR="008C3DE0" w:rsidRPr="00434E9D" w:rsidRDefault="008C3DE0" w:rsidP="00E96033">
      <w:pPr>
        <w:spacing w:line="360" w:lineRule="auto"/>
        <w:ind w:left="1416" w:hanging="566"/>
      </w:pPr>
      <w:r w:rsidRPr="00434E9D">
        <w:t>3.</w:t>
      </w:r>
      <w:r w:rsidRPr="00434E9D">
        <w:tab/>
        <w:t xml:space="preserve">La délégation de pouvoir visée à l’article 20, paragraphe 1, peut être révoquée à tout moment par le Parlement européen et le Conseil. La décision de révocation met fin à la délégation de pouvoir qui y est précisée. La révocation prend effet le jour suivant celui de la publication de ladite décision au </w:t>
      </w:r>
      <w:r w:rsidRPr="00434E9D">
        <w:rPr>
          <w:i/>
        </w:rPr>
        <w:t>Journal officiel de l’Union européenne</w:t>
      </w:r>
      <w:r w:rsidRPr="00434E9D">
        <w:t xml:space="preserve"> ou à une date ultérieure qui est précisée dans ladite décision. Elle n’affecte pas la validité des actes délégués déjà en vigueur.</w:t>
      </w:r>
    </w:p>
    <w:p w14:paraId="4E7AF8A7" w14:textId="77777777" w:rsidR="008E1A7B" w:rsidRPr="00434E9D" w:rsidRDefault="008E1A7B">
      <w:pPr>
        <w:widowControl/>
      </w:pPr>
      <w:r w:rsidRPr="00434E9D">
        <w:br w:type="page"/>
      </w:r>
    </w:p>
    <w:p w14:paraId="5EA1F283" w14:textId="77777777" w:rsidR="008C3DE0" w:rsidRPr="00434E9D" w:rsidRDefault="008C3DE0" w:rsidP="00E96033">
      <w:pPr>
        <w:spacing w:line="360" w:lineRule="auto"/>
        <w:ind w:left="1416" w:hanging="566"/>
      </w:pPr>
      <w:r w:rsidRPr="00434E9D">
        <w:lastRenderedPageBreak/>
        <w:t>4.</w:t>
      </w:r>
      <w:r w:rsidRPr="00434E9D">
        <w:tab/>
        <w:t>Avant l’adoption d’un acte délégué, la Commission consulte les experts désignés par chaque État membre, conformément aux principes définis dans l’accord interinstitutionnel «Mieux légiférer» du 13 avril 2016.</w:t>
      </w:r>
    </w:p>
    <w:p w14:paraId="05E16F40" w14:textId="77777777" w:rsidR="008C3DE0" w:rsidRPr="00434E9D" w:rsidRDefault="008C3DE0" w:rsidP="00E96033">
      <w:pPr>
        <w:spacing w:line="360" w:lineRule="auto"/>
        <w:ind w:left="1416" w:hanging="566"/>
      </w:pPr>
      <w:r w:rsidRPr="00434E9D">
        <w:t>5.</w:t>
      </w:r>
      <w:r w:rsidRPr="00434E9D">
        <w:tab/>
        <w:t>Aussitôt qu’elle adopte un acte délégué, la Commission le notifie simultanément au Parlement européen et au Conseil.</w:t>
      </w:r>
    </w:p>
    <w:p w14:paraId="34758DB1" w14:textId="77777777" w:rsidR="008C3DE0" w:rsidRPr="00434E9D" w:rsidRDefault="008C3DE0" w:rsidP="00E96033">
      <w:pPr>
        <w:spacing w:line="360" w:lineRule="auto"/>
        <w:ind w:left="1416" w:hanging="566"/>
      </w:pPr>
      <w:r w:rsidRPr="00434E9D">
        <w:t>6.</w:t>
      </w:r>
      <w:r w:rsidRPr="00434E9D">
        <w:tab/>
        <w:t>Un acte délégué adopté en vertu de l’article 20, paragraphe 1, n’entre en vigueur que si le Parlement européen ou le Conseil n’a pas exprimé d’objections dans un délai de deux mois à compter de la notification de cet acte au Parlement européen et au Conseil ou si, avant l’expiration de ce délai, le Parlement européen et le Conseil ont tous deux informé la Commission de leur intention de ne pas exprimer d’objections. Ce délai est prolongé de deux mois à l’initiative du Parlem</w:t>
      </w:r>
      <w:r w:rsidR="008E1A7B" w:rsidRPr="00434E9D">
        <w:t>ent européen ou du Conseil.</w:t>
      </w:r>
      <w:r w:rsidRPr="00434E9D">
        <w:t>;»</w:t>
      </w:r>
    </w:p>
    <w:p w14:paraId="1CC995EC" w14:textId="77777777" w:rsidR="008E1A7B" w:rsidRPr="00434E9D" w:rsidRDefault="008E1A7B">
      <w:pPr>
        <w:widowControl/>
      </w:pPr>
      <w:r w:rsidRPr="00434E9D">
        <w:br w:type="page"/>
      </w:r>
    </w:p>
    <w:p w14:paraId="7C89314F" w14:textId="77777777" w:rsidR="008C3DE0" w:rsidRPr="00434E9D" w:rsidRDefault="008E1A7B" w:rsidP="00E96033">
      <w:pPr>
        <w:spacing w:line="360" w:lineRule="auto"/>
        <w:ind w:left="850" w:hanging="850"/>
      </w:pPr>
      <w:r w:rsidRPr="00434E9D">
        <w:lastRenderedPageBreak/>
        <w:t>15)</w:t>
      </w:r>
      <w:r w:rsidRPr="00434E9D">
        <w:tab/>
        <w:t>L</w:t>
      </w:r>
      <w:r w:rsidR="008C3DE0" w:rsidRPr="00434E9D">
        <w:t>’article 21 est remplacé par le texte suivant:</w:t>
      </w:r>
    </w:p>
    <w:p w14:paraId="363594D8" w14:textId="77777777" w:rsidR="008C3DE0" w:rsidRPr="00434E9D" w:rsidRDefault="008C3DE0" w:rsidP="00E96033">
      <w:pPr>
        <w:spacing w:line="360" w:lineRule="auto"/>
        <w:ind w:left="850"/>
      </w:pPr>
      <w:r w:rsidRPr="00434E9D">
        <w:t>«Article 21</w:t>
      </w:r>
    </w:p>
    <w:p w14:paraId="409BE0BC" w14:textId="77777777" w:rsidR="008C3DE0" w:rsidRPr="00434E9D" w:rsidRDefault="008C3DE0" w:rsidP="00E96033">
      <w:pPr>
        <w:spacing w:line="360" w:lineRule="auto"/>
        <w:ind w:left="850"/>
      </w:pPr>
      <w:r w:rsidRPr="00434E9D">
        <w:t>Comité</w:t>
      </w:r>
    </w:p>
    <w:p w14:paraId="370963F7" w14:textId="77777777" w:rsidR="008C3DE0" w:rsidRPr="00434E9D" w:rsidRDefault="008C3DE0" w:rsidP="00E96033">
      <w:pPr>
        <w:spacing w:line="360" w:lineRule="auto"/>
        <w:ind w:left="1416" w:hanging="566"/>
      </w:pPr>
      <w:r w:rsidRPr="00434E9D">
        <w:t>1.</w:t>
      </w:r>
      <w:r w:rsidRPr="00434E9D">
        <w:tab/>
        <w:t>La Commission est assistée par un comité. Ledit comité est un comité au sens du règlement (UE) nº 182/2011 du Parlement européen et du Conseil*.</w:t>
      </w:r>
    </w:p>
    <w:p w14:paraId="7E4CC222" w14:textId="77777777" w:rsidR="008C3DE0" w:rsidRPr="00434E9D" w:rsidRDefault="008C3DE0" w:rsidP="00E96033">
      <w:pPr>
        <w:spacing w:line="360" w:lineRule="auto"/>
        <w:ind w:left="1416" w:hanging="566"/>
      </w:pPr>
      <w:r w:rsidRPr="00434E9D">
        <w:t>2.</w:t>
      </w:r>
      <w:r w:rsidRPr="00434E9D">
        <w:tab/>
        <w:t>Dans le cas où il est fait référence au présent paragraphe, l’article 5 du règlement (UE) nº 182/2011 s’applique.</w:t>
      </w:r>
    </w:p>
    <w:p w14:paraId="61C09686" w14:textId="77777777" w:rsidR="008C3DE0" w:rsidRPr="00434E9D" w:rsidRDefault="008C3DE0" w:rsidP="00E96033">
      <w:pPr>
        <w:spacing w:line="360" w:lineRule="auto"/>
        <w:ind w:left="1416"/>
      </w:pPr>
      <w:r w:rsidRPr="00434E9D">
        <w:t>Dans le cas où le comité n’émet aucun avis, la Commission n’adopte pas le projet d’acte d’exécution, et l’article 5, paragraphe 4, troisième alinéa, du règlement (UE) nº 182/2011 s’applique.</w:t>
      </w:r>
    </w:p>
    <w:p w14:paraId="345B7C68" w14:textId="77777777" w:rsidR="008C3DE0" w:rsidRPr="00434E9D" w:rsidRDefault="008C3DE0" w:rsidP="00E96033">
      <w:pPr>
        <w:spacing w:line="360" w:lineRule="auto"/>
        <w:ind w:left="1416"/>
      </w:pPr>
      <w:r w:rsidRPr="00434E9D">
        <w:t>* Règlement (UE) nº 182/2011 du Parlement européen et du Conseil du 16 février 2011 établissant les règles et principes généraux relatifs aux modalités de contrôle par les États membres de l’exercice des compétences d’exécution par la Commission (JO L 55 du 28.2.2011, p. 13).;»</w:t>
      </w:r>
    </w:p>
    <w:p w14:paraId="34C06092" w14:textId="77777777" w:rsidR="00CA1700" w:rsidRPr="00434E9D" w:rsidRDefault="00CA1700">
      <w:pPr>
        <w:widowControl/>
      </w:pPr>
      <w:r w:rsidRPr="00434E9D">
        <w:br w:type="page"/>
      </w:r>
    </w:p>
    <w:p w14:paraId="5345A31F" w14:textId="77777777" w:rsidR="008C3DE0" w:rsidRPr="00434E9D" w:rsidRDefault="00CA1700" w:rsidP="00E96033">
      <w:pPr>
        <w:spacing w:line="360" w:lineRule="auto"/>
        <w:ind w:left="850" w:hanging="850"/>
      </w:pPr>
      <w:r w:rsidRPr="00434E9D">
        <w:lastRenderedPageBreak/>
        <w:t>16)</w:t>
      </w:r>
      <w:r w:rsidRPr="00434E9D">
        <w:tab/>
        <w:t>À</w:t>
      </w:r>
      <w:r w:rsidR="008C3DE0" w:rsidRPr="00434E9D">
        <w:t xml:space="preserve"> l’article 22, le paragraphe 4 est remplacé par le texte suivant:</w:t>
      </w:r>
    </w:p>
    <w:p w14:paraId="318FAD2F" w14:textId="77777777" w:rsidR="008C3DE0" w:rsidRPr="00434E9D" w:rsidRDefault="008C3DE0" w:rsidP="00E96033">
      <w:pPr>
        <w:spacing w:line="360" w:lineRule="auto"/>
        <w:ind w:left="1416" w:hanging="566"/>
      </w:pPr>
      <w:r w:rsidRPr="00434E9D">
        <w:t>«4.</w:t>
      </w:r>
      <w:r w:rsidRPr="00434E9D">
        <w:tab/>
        <w:t>Les objectifs environnementaux visés à l’article 4, les normes de qualité environnementale figurant à l’annexe I, partie A, de la directive 2008/105/CE, et les seuils applicables aux polluants spécifiques à un bassin hydrographique établis en application des articles 8 et 8 quinquies de ladite directive sont considérés comme des normes de qualité environnementale aux fins de la directive 2010/75/UE.;»</w:t>
      </w:r>
    </w:p>
    <w:p w14:paraId="6FF3C481" w14:textId="77777777" w:rsidR="008C3DE0" w:rsidRPr="00434E9D" w:rsidRDefault="00CA1700" w:rsidP="00E96033">
      <w:pPr>
        <w:spacing w:line="360" w:lineRule="auto"/>
        <w:ind w:left="850" w:hanging="850"/>
      </w:pPr>
      <w:r w:rsidRPr="00434E9D">
        <w:t>17)</w:t>
      </w:r>
      <w:r w:rsidRPr="00434E9D">
        <w:tab/>
        <w:t>L</w:t>
      </w:r>
      <w:r w:rsidR="008C3DE0" w:rsidRPr="00434E9D">
        <w:t>’annexe V est modifiée conformément à l’annexe I de la présente directive;</w:t>
      </w:r>
    </w:p>
    <w:p w14:paraId="75C6804C" w14:textId="77777777" w:rsidR="008C3DE0" w:rsidRPr="00434E9D" w:rsidRDefault="00CA1700" w:rsidP="00E96033">
      <w:pPr>
        <w:spacing w:line="360" w:lineRule="auto"/>
        <w:ind w:left="850" w:hanging="850"/>
      </w:pPr>
      <w:r w:rsidRPr="00434E9D">
        <w:t>18)</w:t>
      </w:r>
      <w:r w:rsidRPr="00434E9D">
        <w:tab/>
        <w:t>À</w:t>
      </w:r>
      <w:r w:rsidR="008C3DE0" w:rsidRPr="00434E9D">
        <w:t xml:space="preserve"> l’annexe VII, partie A, le point 7.7 est remplacé par le texte suivant:</w:t>
      </w:r>
    </w:p>
    <w:p w14:paraId="5B34D221" w14:textId="77777777" w:rsidR="008C3DE0" w:rsidRPr="00434E9D" w:rsidRDefault="008C3DE0" w:rsidP="00E96033">
      <w:pPr>
        <w:spacing w:line="360" w:lineRule="auto"/>
        <w:ind w:left="1416" w:hanging="566"/>
      </w:pPr>
      <w:r w:rsidRPr="00434E9D">
        <w:t>«7.7.</w:t>
      </w:r>
      <w:r w:rsidRPr="00434E9D">
        <w:tab/>
        <w:t>un résumé des mesures prises pour réduire les émissions de substances prioritaires et pour supprimer progressivement les émissions de substances dangereuses prioritaires;;»</w:t>
      </w:r>
    </w:p>
    <w:p w14:paraId="146E12D5" w14:textId="77777777" w:rsidR="008C3DE0" w:rsidRPr="00434E9D" w:rsidRDefault="00CA1700" w:rsidP="00E96033">
      <w:pPr>
        <w:spacing w:line="360" w:lineRule="auto"/>
        <w:ind w:left="850" w:hanging="850"/>
      </w:pPr>
      <w:r w:rsidRPr="00434E9D">
        <w:rPr>
          <w:b/>
          <w:i/>
        </w:rPr>
        <w:t>18 bis</w:t>
      </w:r>
      <w:r w:rsidR="008C3DE0" w:rsidRPr="00434E9D">
        <w:rPr>
          <w:b/>
          <w:i/>
        </w:rPr>
        <w:t>)</w:t>
      </w:r>
      <w:r w:rsidR="008C3DE0" w:rsidRPr="00434E9D">
        <w:tab/>
      </w:r>
      <w:r w:rsidR="008C3DE0" w:rsidRPr="00434E9D">
        <w:rPr>
          <w:b/>
          <w:i/>
        </w:rPr>
        <w:t>À l’annexe VII, partie A, le point suivant est ajouté:</w:t>
      </w:r>
    </w:p>
    <w:p w14:paraId="5DD53CDC" w14:textId="77777777" w:rsidR="008C3DE0" w:rsidRPr="00434E9D" w:rsidRDefault="008C3DE0" w:rsidP="00E96033">
      <w:pPr>
        <w:spacing w:line="360" w:lineRule="auto"/>
        <w:ind w:left="1416" w:hanging="566"/>
        <w:rPr>
          <w:b/>
        </w:rPr>
      </w:pPr>
      <w:r w:rsidRPr="00434E9D">
        <w:t>«</w:t>
      </w:r>
      <w:r w:rsidR="00CA1700" w:rsidRPr="00434E9D">
        <w:rPr>
          <w:b/>
          <w:i/>
        </w:rPr>
        <w:t>7</w:t>
      </w:r>
      <w:r w:rsidRPr="00434E9D">
        <w:rPr>
          <w:b/>
          <w:i/>
        </w:rPr>
        <w:t>.7 bis.</w:t>
      </w:r>
      <w:r w:rsidRPr="00434E9D">
        <w:rPr>
          <w:b/>
          <w:i/>
        </w:rPr>
        <w:tab/>
        <w:t xml:space="preserve"> un résumé des mesures prises pour numériser les aspects liés à la surveillance du secteur de l’eau; </w:t>
      </w:r>
      <w:r w:rsidRPr="00434E9D">
        <w:t>»</w:t>
      </w:r>
      <w:r w:rsidR="00CA1700" w:rsidRPr="00434E9D">
        <w:t xml:space="preserve"> </w:t>
      </w:r>
      <w:r w:rsidR="00CA1700" w:rsidRPr="00434E9D">
        <w:rPr>
          <w:b/>
        </w:rPr>
        <w:t xml:space="preserve"> [Am. 77]</w:t>
      </w:r>
    </w:p>
    <w:p w14:paraId="588CA8B3" w14:textId="77777777" w:rsidR="008C3DE0" w:rsidRPr="00434E9D" w:rsidRDefault="00CA1700" w:rsidP="00E96033">
      <w:pPr>
        <w:spacing w:line="360" w:lineRule="auto"/>
        <w:ind w:left="850" w:hanging="850"/>
      </w:pPr>
      <w:r w:rsidRPr="00434E9D">
        <w:t>19)</w:t>
      </w:r>
      <w:r w:rsidRPr="00434E9D">
        <w:tab/>
        <w:t>L</w:t>
      </w:r>
      <w:r w:rsidR="008C3DE0" w:rsidRPr="00434E9D">
        <w:t>’annexe VIII est modifiée conformément à l’annexe II de la présente directive;</w:t>
      </w:r>
    </w:p>
    <w:p w14:paraId="2730C0A2" w14:textId="77777777" w:rsidR="008C3DE0" w:rsidRPr="00434E9D" w:rsidRDefault="008C3DE0" w:rsidP="00E96033">
      <w:pPr>
        <w:spacing w:line="360" w:lineRule="auto"/>
        <w:ind w:left="850" w:hanging="850"/>
        <w:rPr>
          <w:b/>
        </w:rPr>
      </w:pPr>
      <w:r w:rsidRPr="00434E9D">
        <w:t>20)</w:t>
      </w:r>
      <w:r w:rsidRPr="00434E9D">
        <w:tab/>
      </w:r>
      <w:r w:rsidRPr="00434E9D">
        <w:rPr>
          <w:strike/>
        </w:rPr>
        <w:t xml:space="preserve">l’annexe X est </w:t>
      </w:r>
      <w:proofErr w:type="spellStart"/>
      <w:r w:rsidRPr="00434E9D">
        <w:rPr>
          <w:strike/>
        </w:rPr>
        <w:t>supprimée</w:t>
      </w:r>
      <w:r w:rsidRPr="00434E9D">
        <w:rPr>
          <w:b/>
          <w:i/>
        </w:rPr>
        <w:t>les</w:t>
      </w:r>
      <w:proofErr w:type="spellEnd"/>
      <w:r w:rsidRPr="00434E9D">
        <w:rPr>
          <w:b/>
          <w:i/>
        </w:rPr>
        <w:t xml:space="preserve"> annexes IX et X sont supprimées</w:t>
      </w:r>
      <w:r w:rsidRPr="00434E9D">
        <w:t>.</w:t>
      </w:r>
      <w:r w:rsidR="00CA1700" w:rsidRPr="00434E9D">
        <w:t xml:space="preserve"> </w:t>
      </w:r>
      <w:r w:rsidR="00CA1700" w:rsidRPr="00434E9D">
        <w:rPr>
          <w:b/>
        </w:rPr>
        <w:t xml:space="preserve"> [Am. 78]</w:t>
      </w:r>
    </w:p>
    <w:p w14:paraId="145AC605" w14:textId="77777777" w:rsidR="00CA1700" w:rsidRPr="00434E9D" w:rsidRDefault="00CA1700">
      <w:pPr>
        <w:widowControl/>
      </w:pPr>
      <w:r w:rsidRPr="00434E9D">
        <w:br w:type="page"/>
      </w:r>
    </w:p>
    <w:p w14:paraId="796B6602" w14:textId="77777777" w:rsidR="008C3DE0" w:rsidRPr="00434E9D" w:rsidRDefault="008C3DE0" w:rsidP="00E96033">
      <w:pPr>
        <w:spacing w:line="360" w:lineRule="auto"/>
        <w:jc w:val="center"/>
      </w:pPr>
      <w:r w:rsidRPr="00434E9D">
        <w:lastRenderedPageBreak/>
        <w:t>Article 2</w:t>
      </w:r>
      <w:r w:rsidRPr="00434E9D">
        <w:br/>
        <w:t>Modifications de la directive 2006/118/CE</w:t>
      </w:r>
    </w:p>
    <w:p w14:paraId="283563C6" w14:textId="77777777" w:rsidR="008C3DE0" w:rsidRPr="00434E9D" w:rsidRDefault="008C3DE0" w:rsidP="00E96033">
      <w:pPr>
        <w:spacing w:line="360" w:lineRule="auto"/>
      </w:pPr>
      <w:r w:rsidRPr="00434E9D">
        <w:t>La directive 2006/118/CE est modifiée comme suit:</w:t>
      </w:r>
    </w:p>
    <w:p w14:paraId="23415EF3" w14:textId="77777777" w:rsidR="008C3DE0" w:rsidRPr="00434E9D" w:rsidRDefault="00CA1700" w:rsidP="00E96033">
      <w:pPr>
        <w:spacing w:line="360" w:lineRule="auto"/>
        <w:ind w:left="850" w:hanging="850"/>
      </w:pPr>
      <w:r w:rsidRPr="00434E9D">
        <w:t>1)</w:t>
      </w:r>
      <w:r w:rsidRPr="00434E9D">
        <w:tab/>
        <w:t>L</w:t>
      </w:r>
      <w:r w:rsidR="008C3DE0" w:rsidRPr="00434E9D">
        <w:t>e titre est remplacé par le texte suivant:</w:t>
      </w:r>
    </w:p>
    <w:p w14:paraId="1DE456B6" w14:textId="77777777" w:rsidR="008C3DE0" w:rsidRPr="00434E9D" w:rsidRDefault="008C3DE0" w:rsidP="00E96033">
      <w:pPr>
        <w:spacing w:line="360" w:lineRule="auto"/>
        <w:ind w:left="850"/>
      </w:pPr>
      <w:r w:rsidRPr="00434E9D">
        <w:t>«Directive 2006/118/CE du Parlement européen et du Conseil du 12 décembre 2006 relative à la prévention et au contrôle de la pollution des eaux souterraines;»</w:t>
      </w:r>
    </w:p>
    <w:p w14:paraId="5BDF5410" w14:textId="77777777" w:rsidR="008C3DE0" w:rsidRPr="00434E9D" w:rsidRDefault="00CA1700" w:rsidP="00E96033">
      <w:pPr>
        <w:spacing w:line="360" w:lineRule="auto"/>
        <w:ind w:left="850" w:hanging="850"/>
      </w:pPr>
      <w:r w:rsidRPr="00434E9D">
        <w:t>2)</w:t>
      </w:r>
      <w:r w:rsidRPr="00434E9D">
        <w:tab/>
        <w:t>À</w:t>
      </w:r>
      <w:r w:rsidR="008C3DE0" w:rsidRPr="00434E9D">
        <w:t xml:space="preserve"> l’article 1</w:t>
      </w:r>
      <w:r w:rsidR="008C3DE0" w:rsidRPr="00434E9D">
        <w:rPr>
          <w:vertAlign w:val="superscript"/>
        </w:rPr>
        <w:t>er</w:t>
      </w:r>
      <w:r w:rsidR="008C3DE0" w:rsidRPr="00434E9D">
        <w:t>, le paragraphe 1 est remplacé par le texte suivant:</w:t>
      </w:r>
    </w:p>
    <w:p w14:paraId="21A8E2C0" w14:textId="77777777" w:rsidR="008C3DE0" w:rsidRPr="00434E9D" w:rsidRDefault="008C3DE0" w:rsidP="00E96033">
      <w:pPr>
        <w:spacing w:line="360" w:lineRule="auto"/>
        <w:ind w:left="1416" w:hanging="566"/>
        <w:rPr>
          <w:b/>
        </w:rPr>
      </w:pPr>
      <w:r w:rsidRPr="00434E9D">
        <w:t>«1.</w:t>
      </w:r>
      <w:r w:rsidRPr="00434E9D">
        <w:tab/>
        <w:t xml:space="preserve">La présente directive établit des mesures spécifiques visant à prévenir et à contrôler la pollution des eaux souterraines dans le but d’atteindre les objectifs environnementaux fixés à l’article 4, paragraphe 1, point b), de la directive 2000/60/CE. </w:t>
      </w:r>
      <w:r w:rsidRPr="00434E9D">
        <w:rPr>
          <w:b/>
          <w:i/>
        </w:rPr>
        <w:t xml:space="preserve">La hiérarchie des mesures à prendre donne la priorité aux restrictions et autres mesures de contrôle à la source, sans préjudice de l’importance des mesures en fin de cycle, le cas échéant. </w:t>
      </w:r>
      <w:r w:rsidRPr="00434E9D">
        <w:t>Ces mesures comprennent les mesures suivantes:</w:t>
      </w:r>
      <w:r w:rsidR="00CA1700" w:rsidRPr="00434E9D">
        <w:t xml:space="preserve"> </w:t>
      </w:r>
      <w:r w:rsidR="00CA1700" w:rsidRPr="00434E9D">
        <w:rPr>
          <w:b/>
        </w:rPr>
        <w:t xml:space="preserve"> [Am. 79]</w:t>
      </w:r>
    </w:p>
    <w:p w14:paraId="670F99AB" w14:textId="77777777" w:rsidR="008C3DE0" w:rsidRPr="00434E9D" w:rsidRDefault="008C3DE0" w:rsidP="00E96033">
      <w:pPr>
        <w:spacing w:line="360" w:lineRule="auto"/>
        <w:ind w:left="1982" w:hanging="566"/>
      </w:pPr>
      <w:r w:rsidRPr="00434E9D">
        <w:t>a)</w:t>
      </w:r>
      <w:r w:rsidRPr="00434E9D">
        <w:tab/>
        <w:t>des critères pour l’évaluation du bon état chimique des eaux souterraines;</w:t>
      </w:r>
    </w:p>
    <w:p w14:paraId="5C871E9E" w14:textId="77777777" w:rsidR="00CA1700" w:rsidRPr="00434E9D" w:rsidRDefault="00CA1700">
      <w:pPr>
        <w:widowControl/>
      </w:pPr>
      <w:r w:rsidRPr="00434E9D">
        <w:br w:type="page"/>
      </w:r>
    </w:p>
    <w:p w14:paraId="46AE8A03" w14:textId="77777777" w:rsidR="008C3DE0" w:rsidRPr="00434E9D" w:rsidRDefault="008C3DE0" w:rsidP="00E96033">
      <w:pPr>
        <w:spacing w:line="360" w:lineRule="auto"/>
        <w:ind w:left="1982" w:hanging="566"/>
      </w:pPr>
      <w:r w:rsidRPr="00434E9D">
        <w:lastRenderedPageBreak/>
        <w:t>b)</w:t>
      </w:r>
      <w:r w:rsidRPr="00434E9D">
        <w:tab/>
        <w:t>des critères pour l’identification et l’inversion des tendances à la hausse significatives et durables, ainsi que pour la définition des points de départ des inversions de tendance.;</w:t>
      </w:r>
    </w:p>
    <w:p w14:paraId="30F15D2C" w14:textId="77777777" w:rsidR="008C3DE0" w:rsidRPr="00434E9D" w:rsidRDefault="00CA1700" w:rsidP="00E96033">
      <w:pPr>
        <w:spacing w:line="360" w:lineRule="auto"/>
        <w:ind w:left="1982" w:hanging="566"/>
        <w:rPr>
          <w:b/>
        </w:rPr>
      </w:pPr>
      <w:r w:rsidRPr="00434E9D">
        <w:rPr>
          <w:b/>
          <w:i/>
        </w:rPr>
        <w:t>b bis</w:t>
      </w:r>
      <w:r w:rsidR="008C3DE0" w:rsidRPr="00434E9D">
        <w:rPr>
          <w:b/>
          <w:i/>
        </w:rPr>
        <w:t>)</w:t>
      </w:r>
      <w:r w:rsidR="008C3DE0" w:rsidRPr="00434E9D">
        <w:tab/>
      </w:r>
      <w:r w:rsidR="008C3DE0" w:rsidRPr="00434E9D">
        <w:rPr>
          <w:b/>
          <w:i/>
        </w:rPr>
        <w:t>des critères pour l’évaluation du bon état écologique des eaux souterraines.</w:t>
      </w:r>
      <w:r w:rsidR="008C3DE0" w:rsidRPr="00434E9D">
        <w:t>»</w:t>
      </w:r>
      <w:r w:rsidRPr="00434E9D">
        <w:t xml:space="preserve"> </w:t>
      </w:r>
      <w:r w:rsidRPr="00434E9D">
        <w:rPr>
          <w:b/>
        </w:rPr>
        <w:t xml:space="preserve"> [Am. 80]</w:t>
      </w:r>
    </w:p>
    <w:p w14:paraId="369030C9" w14:textId="77777777" w:rsidR="008C3DE0" w:rsidRPr="00434E9D" w:rsidRDefault="00CA1700" w:rsidP="00E96033">
      <w:pPr>
        <w:spacing w:line="360" w:lineRule="auto"/>
        <w:ind w:left="850" w:hanging="850"/>
      </w:pPr>
      <w:r w:rsidRPr="00434E9D">
        <w:t>3)</w:t>
      </w:r>
      <w:r w:rsidRPr="00434E9D">
        <w:tab/>
        <w:t>À</w:t>
      </w:r>
      <w:r w:rsidR="008C3DE0" w:rsidRPr="00434E9D">
        <w:t xml:space="preserve"> l’article 2, le point 2) est remplacé par le texte suivant:</w:t>
      </w:r>
    </w:p>
    <w:p w14:paraId="54AC53A7" w14:textId="77777777" w:rsidR="008C3DE0" w:rsidRPr="00434E9D" w:rsidRDefault="008C3DE0" w:rsidP="00E96033">
      <w:pPr>
        <w:spacing w:line="360" w:lineRule="auto"/>
        <w:ind w:left="1416" w:hanging="566"/>
      </w:pPr>
      <w:r w:rsidRPr="00434E9D">
        <w:t>«2)</w:t>
      </w:r>
      <w:r w:rsidRPr="00434E9D">
        <w:tab/>
        <w:t>“valeur seuil”, une norme de qualité d’une eau souterraine fixée par les États membres conformément à l’article 3, paragraphe 1, point b), ou au niveau de l’Union conformément à l’article 8, paragraphe 3;;»</w:t>
      </w:r>
    </w:p>
    <w:p w14:paraId="72121631" w14:textId="77777777" w:rsidR="008C3DE0" w:rsidRPr="00434E9D" w:rsidRDefault="00CA1700" w:rsidP="00E96033">
      <w:pPr>
        <w:spacing w:line="360" w:lineRule="auto"/>
        <w:ind w:left="850" w:hanging="850"/>
      </w:pPr>
      <w:r w:rsidRPr="00434E9D">
        <w:t>4)</w:t>
      </w:r>
      <w:r w:rsidRPr="00434E9D">
        <w:tab/>
        <w:t>L</w:t>
      </w:r>
      <w:r w:rsidR="008C3DE0" w:rsidRPr="00434E9D">
        <w:t>’article 3 est modifié comme suit:</w:t>
      </w:r>
    </w:p>
    <w:p w14:paraId="3AEA3E8D" w14:textId="77777777" w:rsidR="008C3DE0" w:rsidRPr="00434E9D" w:rsidRDefault="008C3DE0" w:rsidP="00E96033">
      <w:pPr>
        <w:spacing w:line="360" w:lineRule="auto"/>
        <w:ind w:left="1416" w:hanging="566"/>
      </w:pPr>
      <w:r w:rsidRPr="00434E9D">
        <w:t>a)</w:t>
      </w:r>
      <w:r w:rsidRPr="00434E9D">
        <w:tab/>
        <w:t>au paragraphe 1, premier alinéa, le point c) suivant est ajouté:</w:t>
      </w:r>
    </w:p>
    <w:p w14:paraId="476E7EAA" w14:textId="77777777" w:rsidR="008C3DE0" w:rsidRPr="00434E9D" w:rsidRDefault="008C3DE0" w:rsidP="00E96033">
      <w:pPr>
        <w:spacing w:line="360" w:lineRule="auto"/>
        <w:ind w:left="1982" w:hanging="566"/>
      </w:pPr>
      <w:r w:rsidRPr="00434E9D">
        <w:t>«c)</w:t>
      </w:r>
      <w:r w:rsidRPr="00434E9D">
        <w:tab/>
        <w:t>valeurs seuils fixées au niveau de l’Union conformément à l’article 8, paragraphe 3, et répertoriées à l’annexe II, partie D, de la présente directive.;»</w:t>
      </w:r>
    </w:p>
    <w:p w14:paraId="74FE189F" w14:textId="77777777" w:rsidR="00CA1700" w:rsidRPr="00434E9D" w:rsidRDefault="00CA1700">
      <w:pPr>
        <w:widowControl/>
        <w:rPr>
          <w:b/>
          <w:i/>
        </w:rPr>
      </w:pPr>
      <w:r w:rsidRPr="00434E9D">
        <w:rPr>
          <w:b/>
          <w:i/>
        </w:rPr>
        <w:br w:type="page"/>
      </w:r>
    </w:p>
    <w:p w14:paraId="530375EF" w14:textId="77777777" w:rsidR="008C3DE0" w:rsidRPr="00434E9D" w:rsidRDefault="00CA1700" w:rsidP="00E96033">
      <w:pPr>
        <w:spacing w:line="360" w:lineRule="auto"/>
        <w:ind w:left="1416" w:hanging="566"/>
      </w:pPr>
      <w:r w:rsidRPr="00434E9D">
        <w:rPr>
          <w:b/>
          <w:i/>
        </w:rPr>
        <w:lastRenderedPageBreak/>
        <w:t>a bis</w:t>
      </w:r>
      <w:r w:rsidR="008C3DE0" w:rsidRPr="00434E9D">
        <w:rPr>
          <w:b/>
          <w:i/>
        </w:rPr>
        <w:t>)</w:t>
      </w:r>
      <w:r w:rsidR="008C3DE0" w:rsidRPr="00434E9D">
        <w:tab/>
      </w:r>
      <w:r w:rsidR="008C3DE0" w:rsidRPr="00434E9D">
        <w:rPr>
          <w:b/>
          <w:i/>
        </w:rPr>
        <w:t>au paragraphe 1, l’alinéa suivant est inséré:</w:t>
      </w:r>
    </w:p>
    <w:p w14:paraId="46D03A80" w14:textId="77777777" w:rsidR="008C3DE0" w:rsidRPr="00434E9D" w:rsidRDefault="008C3DE0" w:rsidP="00E96033">
      <w:pPr>
        <w:spacing w:line="360" w:lineRule="auto"/>
        <w:ind w:left="1416"/>
        <w:rPr>
          <w:b/>
        </w:rPr>
      </w:pPr>
      <w:r w:rsidRPr="00434E9D">
        <w:t>«</w:t>
      </w:r>
      <w:r w:rsidRPr="00434E9D">
        <w:rPr>
          <w:b/>
          <w:i/>
        </w:rPr>
        <w:t>Les valeurs seuils pour les eaux souterraines sont dix fois inférieures aux NQE correspondantes pour les eaux de surface, sauf dans les cas où le risque réel pour les écosystèmes des eaux souterraines peut être établi, auquel cas il conviendrait de fixer des valeurs seuils pour les eaux souterraines à un niveau différent.</w:t>
      </w:r>
      <w:r w:rsidRPr="00434E9D">
        <w:t>»</w:t>
      </w:r>
      <w:r w:rsidR="00CA1700" w:rsidRPr="00434E9D">
        <w:t xml:space="preserve"> </w:t>
      </w:r>
      <w:r w:rsidR="00CA1700" w:rsidRPr="00434E9D">
        <w:rPr>
          <w:b/>
        </w:rPr>
        <w:t xml:space="preserve"> [Am. 81]</w:t>
      </w:r>
    </w:p>
    <w:p w14:paraId="3D6110D3" w14:textId="77777777" w:rsidR="008C3DE0" w:rsidRPr="00434E9D" w:rsidRDefault="008C3DE0" w:rsidP="00E96033">
      <w:pPr>
        <w:spacing w:line="360" w:lineRule="auto"/>
        <w:ind w:left="1416" w:hanging="566"/>
      </w:pPr>
      <w:r w:rsidRPr="00434E9D">
        <w:t>b)</w:t>
      </w:r>
      <w:r w:rsidRPr="00434E9D">
        <w:tab/>
        <w:t>le paragraphe 2 est remplacé par le texte suivant:</w:t>
      </w:r>
    </w:p>
    <w:p w14:paraId="4FCF3DB3" w14:textId="77777777" w:rsidR="008C3DE0" w:rsidRPr="00434E9D" w:rsidRDefault="008C3DE0" w:rsidP="00E96033">
      <w:pPr>
        <w:spacing w:line="360" w:lineRule="auto"/>
        <w:ind w:left="1982" w:hanging="566"/>
      </w:pPr>
      <w:r w:rsidRPr="00434E9D">
        <w:t>«2.</w:t>
      </w:r>
      <w:r w:rsidRPr="00434E9D">
        <w:tab/>
        <w:t>Les valeurs seuils visées au paragraphe 1, point b), peuvent être établies au niveau national, au niveau du district hydrographique ou de la partie du district hydrographique international située sur le territoire d’un État membre, ou au niveau d’une masse ou d’un groupe de masses d’eau souterraine.;»</w:t>
      </w:r>
    </w:p>
    <w:p w14:paraId="5C7EEE11" w14:textId="77777777" w:rsidR="00CA1700" w:rsidRPr="00434E9D" w:rsidRDefault="00CA1700">
      <w:pPr>
        <w:widowControl/>
      </w:pPr>
      <w:r w:rsidRPr="00434E9D">
        <w:br w:type="page"/>
      </w:r>
    </w:p>
    <w:p w14:paraId="0C7FED8D" w14:textId="77777777" w:rsidR="008C3DE0" w:rsidRPr="00434E9D" w:rsidRDefault="008C3DE0" w:rsidP="00E96033">
      <w:pPr>
        <w:spacing w:line="360" w:lineRule="auto"/>
        <w:ind w:left="1416" w:hanging="566"/>
      </w:pPr>
      <w:r w:rsidRPr="00434E9D">
        <w:lastRenderedPageBreak/>
        <w:t>c)</w:t>
      </w:r>
      <w:r w:rsidRPr="00434E9D">
        <w:tab/>
        <w:t>le paragraphe 5 est remplacé par le texte suivant:</w:t>
      </w:r>
    </w:p>
    <w:p w14:paraId="22C8F8DD" w14:textId="77777777" w:rsidR="008C3DE0" w:rsidRPr="00434E9D" w:rsidRDefault="008C3DE0" w:rsidP="00E96033">
      <w:pPr>
        <w:spacing w:line="360" w:lineRule="auto"/>
        <w:ind w:left="1982" w:hanging="566"/>
      </w:pPr>
      <w:r w:rsidRPr="00434E9D">
        <w:t>«5.</w:t>
      </w:r>
      <w:r w:rsidRPr="00434E9D">
        <w:tab/>
        <w:t>Toutes les valeurs seuils visées au paragraphe 1 sont publiées dans les plans de gestion de district hydrographique à produire au titre de l’article 13 de la directive 2000/60/CE, accompagnées d’un résumé des informations prévues à l’annexe II, partie C, de la présente directive.</w:t>
      </w:r>
    </w:p>
    <w:p w14:paraId="13000A6F" w14:textId="77777777" w:rsidR="00CA1700" w:rsidRPr="00434E9D" w:rsidRDefault="00CA1700" w:rsidP="00E96033">
      <w:pPr>
        <w:spacing w:line="360" w:lineRule="auto"/>
        <w:ind w:left="1982"/>
      </w:pPr>
    </w:p>
    <w:p w14:paraId="039CF721" w14:textId="77777777" w:rsidR="008C3DE0" w:rsidRPr="00434E9D" w:rsidRDefault="008C3DE0" w:rsidP="00E96033">
      <w:pPr>
        <w:spacing w:line="360" w:lineRule="auto"/>
        <w:ind w:left="1982"/>
      </w:pPr>
      <w:r w:rsidRPr="00434E9D">
        <w:t>Au plus tard le [OP: veuillez insérer la date correspondant au premier jour du mois suivant un délai de dix-huit mois à compter de la date d’entrée en vigueur de la présente directive], les États membres informent l’Agence européenne des produits chimiques (ECHA) des valeurs seuils nationales visées au paragraphe 1, point b). L’ECHA rend ces informations publiques.</w:t>
      </w:r>
      <w:r w:rsidR="00CA1700" w:rsidRPr="00434E9D">
        <w:t> »</w:t>
      </w:r>
      <w:r w:rsidRPr="00434E9D">
        <w:t>;</w:t>
      </w:r>
    </w:p>
    <w:p w14:paraId="37C1664F" w14:textId="77777777" w:rsidR="00CA1700" w:rsidRPr="00434E9D" w:rsidRDefault="00CA1700" w:rsidP="00CA1700">
      <w:pPr>
        <w:spacing w:line="360" w:lineRule="auto"/>
        <w:ind w:left="1416" w:hanging="566"/>
        <w:rPr>
          <w:b/>
          <w:i/>
        </w:rPr>
      </w:pPr>
      <w:r w:rsidRPr="00434E9D">
        <w:rPr>
          <w:b/>
          <w:i/>
        </w:rPr>
        <w:t>c bis)</w:t>
      </w:r>
      <w:r w:rsidRPr="00434E9D">
        <w:rPr>
          <w:b/>
          <w:i/>
        </w:rPr>
        <w:tab/>
        <w:t>Au paragraphe 5</w:t>
      </w:r>
      <w:r w:rsidR="00245099" w:rsidRPr="00434E9D">
        <w:rPr>
          <w:b/>
          <w:i/>
        </w:rPr>
        <w:t>, l’alinéa suivant est inséré</w:t>
      </w:r>
      <w:r w:rsidRPr="00434E9D">
        <w:rPr>
          <w:b/>
          <w:i/>
        </w:rPr>
        <w:t>:</w:t>
      </w:r>
    </w:p>
    <w:p w14:paraId="117EBCD1" w14:textId="77777777" w:rsidR="008C3DE0" w:rsidRPr="00434E9D" w:rsidRDefault="00CA1700" w:rsidP="00E96033">
      <w:pPr>
        <w:spacing w:line="360" w:lineRule="auto"/>
        <w:ind w:left="1982"/>
        <w:rPr>
          <w:b/>
        </w:rPr>
      </w:pPr>
      <w:r w:rsidRPr="00434E9D">
        <w:rPr>
          <w:b/>
          <w:i/>
        </w:rPr>
        <w:t>« </w:t>
      </w:r>
      <w:r w:rsidR="008C3DE0" w:rsidRPr="00434E9D">
        <w:rPr>
          <w:b/>
          <w:i/>
        </w:rPr>
        <w:t>Les États membres veillent à ce que les habitants du district hydrographique concerné ou de la partie du district hydrographique international située sur le territoire d’un État membre soient informés de manière adéquate et en temps utile.</w:t>
      </w:r>
      <w:r w:rsidR="008C3DE0" w:rsidRPr="00434E9D">
        <w:t>»</w:t>
      </w:r>
      <w:r w:rsidRPr="00434E9D">
        <w:t xml:space="preserve"> </w:t>
      </w:r>
      <w:r w:rsidRPr="00434E9D">
        <w:rPr>
          <w:b/>
        </w:rPr>
        <w:t xml:space="preserve"> [Am. 82]</w:t>
      </w:r>
    </w:p>
    <w:p w14:paraId="461E68C7" w14:textId="77777777" w:rsidR="00CA1700" w:rsidRPr="00434E9D" w:rsidRDefault="00CA1700">
      <w:pPr>
        <w:widowControl/>
      </w:pPr>
      <w:r w:rsidRPr="00434E9D">
        <w:br w:type="page"/>
      </w:r>
    </w:p>
    <w:p w14:paraId="17A685BE" w14:textId="77777777" w:rsidR="008C3DE0" w:rsidRPr="00434E9D" w:rsidRDefault="00CA1700" w:rsidP="00E96033">
      <w:pPr>
        <w:spacing w:line="360" w:lineRule="auto"/>
        <w:ind w:left="1416" w:hanging="566"/>
      </w:pPr>
      <w:r w:rsidRPr="00434E9D">
        <w:lastRenderedPageBreak/>
        <w:t>d</w:t>
      </w:r>
      <w:r w:rsidR="008C3DE0" w:rsidRPr="00434E9D">
        <w:t>)</w:t>
      </w:r>
      <w:r w:rsidR="008C3DE0" w:rsidRPr="00434E9D">
        <w:tab/>
        <w:t>au paragraphe 6, le premier alinéa est remplacé par le texte suivant:</w:t>
      </w:r>
    </w:p>
    <w:p w14:paraId="6A658FA1" w14:textId="77777777" w:rsidR="008C3DE0" w:rsidRPr="00434E9D" w:rsidRDefault="008C3DE0" w:rsidP="00E96033">
      <w:pPr>
        <w:spacing w:line="360" w:lineRule="auto"/>
        <w:ind w:left="1416"/>
        <w:rPr>
          <w:b/>
        </w:rPr>
      </w:pPr>
      <w:r w:rsidRPr="00434E9D">
        <w:t>«Par la suite, les États membres modifient la liste des valeurs seuils appliquées sur leurs territoires lorsque de nouvelles informations sur les polluants, groupes de polluants ou indicateurs de pollution</w:t>
      </w:r>
      <w:r w:rsidRPr="00434E9D">
        <w:rPr>
          <w:b/>
          <w:i/>
        </w:rPr>
        <w:t>, eu égard également au principe de précaution,</w:t>
      </w:r>
      <w:r w:rsidRPr="00434E9D">
        <w:t xml:space="preserve"> indiquent qu’une valeur seuil doit être fixée pour une nouvelle substance, qu’une valeur seuil déjà établie doit être modifiée, ou qu’une valeur seuil précédemment supprimée de la liste doit être rétablie. Si des valeurs seuils pertinentes sont fixées ou modifiées au niveau de l’Union, les États membres adaptent la liste des valeurs seuils appliquées sur leurs territoires à ces valeurs.</w:t>
      </w:r>
      <w:r w:rsidRPr="00434E9D">
        <w:rPr>
          <w:strike/>
        </w:rPr>
        <w:t>;</w:t>
      </w:r>
      <w:r w:rsidRPr="00434E9D">
        <w:t>»</w:t>
      </w:r>
      <w:r w:rsidR="00CA1700" w:rsidRPr="00434E9D">
        <w:t xml:space="preserve"> </w:t>
      </w:r>
      <w:r w:rsidR="00CA1700" w:rsidRPr="00434E9D">
        <w:rPr>
          <w:b/>
        </w:rPr>
        <w:t xml:space="preserve"> [Am. 83]</w:t>
      </w:r>
    </w:p>
    <w:p w14:paraId="554409E0" w14:textId="77777777" w:rsidR="008C3DE0" w:rsidRPr="00434E9D" w:rsidRDefault="00CA1700" w:rsidP="00CA1700">
      <w:pPr>
        <w:spacing w:line="360" w:lineRule="auto"/>
        <w:ind w:left="993" w:hanging="130"/>
      </w:pPr>
      <w:r w:rsidRPr="00434E9D">
        <w:rPr>
          <w:b/>
          <w:i/>
        </w:rPr>
        <w:t>e</w:t>
      </w:r>
      <w:r w:rsidR="008C3DE0" w:rsidRPr="00434E9D">
        <w:rPr>
          <w:b/>
          <w:i/>
        </w:rPr>
        <w:t>)</w:t>
      </w:r>
      <w:r w:rsidR="008C3DE0" w:rsidRPr="00434E9D">
        <w:tab/>
      </w:r>
      <w:r w:rsidR="008C3DE0" w:rsidRPr="00434E9D">
        <w:rPr>
          <w:b/>
          <w:i/>
        </w:rPr>
        <w:t>le paragraphe 7 est remplacé par le texte suivant:</w:t>
      </w:r>
    </w:p>
    <w:p w14:paraId="2E3BAFEA" w14:textId="77777777" w:rsidR="008C3DE0" w:rsidRPr="00434E9D" w:rsidRDefault="008C3DE0" w:rsidP="00CA1700">
      <w:pPr>
        <w:spacing w:line="360" w:lineRule="auto"/>
        <w:ind w:left="1701" w:hanging="283"/>
        <w:rPr>
          <w:b/>
        </w:rPr>
      </w:pPr>
      <w:r w:rsidRPr="00434E9D">
        <w:t>«</w:t>
      </w:r>
      <w:r w:rsidR="00CA1700" w:rsidRPr="00434E9D">
        <w:rPr>
          <w:b/>
          <w:i/>
        </w:rPr>
        <w:t>7</w:t>
      </w:r>
      <w:r w:rsidRPr="00434E9D">
        <w:rPr>
          <w:b/>
          <w:i/>
        </w:rPr>
        <w:t>.</w:t>
      </w:r>
      <w:r w:rsidR="00CA1700" w:rsidRPr="00434E9D">
        <w:t xml:space="preserve"> </w:t>
      </w:r>
      <w:r w:rsidRPr="00434E9D">
        <w:rPr>
          <w:b/>
          <w:i/>
        </w:rPr>
        <w:t>La Commission publie un rapport sur les valeurs seuils nationales visées au paragraphe 1, point b), un an après que les États membres ont fourni ces informations à l’ECHA conformément au paragraphe 5.</w:t>
      </w:r>
      <w:r w:rsidRPr="00434E9D">
        <w:t>»</w:t>
      </w:r>
      <w:r w:rsidR="00CA1700" w:rsidRPr="00434E9D">
        <w:t xml:space="preserve"> </w:t>
      </w:r>
      <w:r w:rsidR="00CA1700" w:rsidRPr="00434E9D">
        <w:rPr>
          <w:b/>
        </w:rPr>
        <w:t>[Am. 84]</w:t>
      </w:r>
    </w:p>
    <w:p w14:paraId="42D8802B" w14:textId="77777777" w:rsidR="00CA1700" w:rsidRPr="00434E9D" w:rsidRDefault="00CA1700">
      <w:pPr>
        <w:widowControl/>
      </w:pPr>
      <w:r w:rsidRPr="00434E9D">
        <w:br w:type="page"/>
      </w:r>
    </w:p>
    <w:p w14:paraId="06B9DB80" w14:textId="77777777" w:rsidR="008C3DE0" w:rsidRPr="00434E9D" w:rsidRDefault="00BE1586" w:rsidP="00E96033">
      <w:pPr>
        <w:spacing w:line="360" w:lineRule="auto"/>
        <w:ind w:left="850" w:hanging="850"/>
      </w:pPr>
      <w:r w:rsidRPr="00434E9D">
        <w:lastRenderedPageBreak/>
        <w:t>5)</w:t>
      </w:r>
      <w:r w:rsidRPr="00434E9D">
        <w:tab/>
        <w:t>À</w:t>
      </w:r>
      <w:r w:rsidR="008C3DE0" w:rsidRPr="00434E9D">
        <w:t xml:space="preserve"> l’article 4, paragraphe 2, le point b) est remplacé par le texte suivant:</w:t>
      </w:r>
    </w:p>
    <w:p w14:paraId="232663DE" w14:textId="77777777" w:rsidR="008C3DE0" w:rsidRPr="00434E9D" w:rsidRDefault="008C3DE0" w:rsidP="00E96033">
      <w:pPr>
        <w:spacing w:line="360" w:lineRule="auto"/>
        <w:ind w:left="1416" w:hanging="566"/>
      </w:pPr>
      <w:r w:rsidRPr="00434E9D">
        <w:t>«b)</w:t>
      </w:r>
      <w:r w:rsidRPr="00434E9D">
        <w:tab/>
        <w:t>les valeurs correspondant aux normes de qualité des eaux souterraines qui figurent dans la liste de l’annexe I et les valeurs seuils visées à l’article 3, paragraphe 1, points b) et c), ne sont dépassées en aucun point de surveillance de cette masse ou de ce groupe de masses d’eau souterraine; ou que;»</w:t>
      </w:r>
    </w:p>
    <w:p w14:paraId="12D1EF21" w14:textId="77777777" w:rsidR="008C3DE0" w:rsidRPr="00434E9D" w:rsidRDefault="00BE1586" w:rsidP="00E96033">
      <w:pPr>
        <w:spacing w:line="360" w:lineRule="auto"/>
        <w:ind w:left="850" w:hanging="850"/>
      </w:pPr>
      <w:r w:rsidRPr="00434E9D">
        <w:t>6)</w:t>
      </w:r>
      <w:r w:rsidRPr="00434E9D">
        <w:tab/>
        <w:t>L</w:t>
      </w:r>
      <w:r w:rsidR="008C3DE0" w:rsidRPr="00434E9D">
        <w:t>’article 6 bis suivant est inséré:</w:t>
      </w:r>
    </w:p>
    <w:p w14:paraId="1ACF704D" w14:textId="77777777" w:rsidR="008C3DE0" w:rsidRPr="00434E9D" w:rsidRDefault="008C3DE0" w:rsidP="00E96033">
      <w:pPr>
        <w:spacing w:line="360" w:lineRule="auto"/>
        <w:ind w:left="850"/>
      </w:pPr>
      <w:r w:rsidRPr="00434E9D">
        <w:t>«Article 6 bis</w:t>
      </w:r>
    </w:p>
    <w:p w14:paraId="2313ED00" w14:textId="77777777" w:rsidR="008C3DE0" w:rsidRPr="00434E9D" w:rsidRDefault="008C3DE0" w:rsidP="00E96033">
      <w:pPr>
        <w:spacing w:line="360" w:lineRule="auto"/>
        <w:ind w:left="850"/>
      </w:pPr>
      <w:r w:rsidRPr="00434E9D">
        <w:t>Liste de vigilance</w:t>
      </w:r>
    </w:p>
    <w:p w14:paraId="4E77E739" w14:textId="77777777" w:rsidR="008C3DE0" w:rsidRPr="00434E9D" w:rsidRDefault="008C3DE0" w:rsidP="00E96033">
      <w:pPr>
        <w:spacing w:line="360" w:lineRule="auto"/>
        <w:ind w:left="1416" w:hanging="566"/>
      </w:pPr>
      <w:r w:rsidRPr="00434E9D">
        <w:t>1.</w:t>
      </w:r>
      <w:r w:rsidRPr="00434E9D">
        <w:tab/>
        <w:t>La Commission est habilitée à adopter des actes d’exécution aux fins d’établir, en ce qui concerne les rapports scientifiques préparés par l’ECHA, une liste de vigilance de substances pour lesquelles les États membres doivent réunir des données de surveillance à l’échelle de l’Union, et d’établir les formats que les États membres doivent utiliser pour communiquer les résultats de ladite surveillance et les informations y afférentes à la Commission. Ces actes d’exécution sont adoptés en conformité avec la procédure d’examen visée à l’article 9, paragraphe 2.</w:t>
      </w:r>
    </w:p>
    <w:p w14:paraId="68EE67D2" w14:textId="77777777" w:rsidR="00BE1586" w:rsidRPr="00434E9D" w:rsidRDefault="00BE1586">
      <w:pPr>
        <w:widowControl/>
      </w:pPr>
      <w:r w:rsidRPr="00434E9D">
        <w:br w:type="page"/>
      </w:r>
    </w:p>
    <w:p w14:paraId="1D11D5A2" w14:textId="77777777" w:rsidR="008C3DE0" w:rsidRPr="00434E9D" w:rsidRDefault="008C3DE0" w:rsidP="00E96033">
      <w:pPr>
        <w:spacing w:line="360" w:lineRule="auto"/>
        <w:ind w:left="1416"/>
      </w:pPr>
      <w:r w:rsidRPr="00434E9D">
        <w:lastRenderedPageBreak/>
        <w:t xml:space="preserve">La liste de vigilance contient au </w:t>
      </w:r>
      <w:r w:rsidRPr="00434E9D">
        <w:rPr>
          <w:strike/>
        </w:rPr>
        <w:t xml:space="preserve">maximum </w:t>
      </w:r>
      <w:proofErr w:type="spellStart"/>
      <w:r w:rsidRPr="00434E9D">
        <w:rPr>
          <w:strike/>
        </w:rPr>
        <w:t>cinq</w:t>
      </w:r>
      <w:r w:rsidRPr="00434E9D">
        <w:rPr>
          <w:b/>
          <w:i/>
        </w:rPr>
        <w:t>minimum</w:t>
      </w:r>
      <w:proofErr w:type="spellEnd"/>
      <w:r w:rsidRPr="00434E9D">
        <w:rPr>
          <w:b/>
          <w:i/>
        </w:rPr>
        <w:t xml:space="preserve"> cinq nouvelles</w:t>
      </w:r>
      <w:r w:rsidRPr="00434E9D">
        <w:t xml:space="preserve"> substances</w:t>
      </w:r>
      <w:r w:rsidRPr="00434E9D">
        <w:rPr>
          <w:b/>
          <w:i/>
        </w:rPr>
        <w:t xml:space="preserve"> préoccupantes</w:t>
      </w:r>
      <w:r w:rsidRPr="00434E9D">
        <w:t xml:space="preserve"> ou groupes de </w:t>
      </w:r>
      <w:r w:rsidRPr="00434E9D">
        <w:rPr>
          <w:strike/>
        </w:rPr>
        <w:t xml:space="preserve">substances et elle précise, pour chaque substance, la matrice de surveillance applicable et les éventuelles méthodes d’analyse. Ces matrices de surveillance et méthodes n’entraînent pas de coûts excessifs pour les autorités compétentes. </w:t>
      </w:r>
      <w:proofErr w:type="spellStart"/>
      <w:r w:rsidRPr="00434E9D">
        <w:rPr>
          <w:strike/>
        </w:rPr>
        <w:t>Les</w:t>
      </w:r>
      <w:r w:rsidRPr="00434E9D">
        <w:rPr>
          <w:b/>
          <w:i/>
        </w:rPr>
        <w:t>nouvelles</w:t>
      </w:r>
      <w:proofErr w:type="spellEnd"/>
      <w:r w:rsidRPr="00434E9D">
        <w:t xml:space="preserve"> substances </w:t>
      </w:r>
      <w:r w:rsidRPr="00434E9D">
        <w:rPr>
          <w:strike/>
        </w:rPr>
        <w:t xml:space="preserve">devant être incluses sur la liste de vigilance </w:t>
      </w:r>
      <w:proofErr w:type="spellStart"/>
      <w:r w:rsidRPr="00434E9D">
        <w:rPr>
          <w:strike/>
        </w:rPr>
        <w:t>sont</w:t>
      </w:r>
      <w:r w:rsidRPr="00434E9D">
        <w:rPr>
          <w:b/>
          <w:i/>
        </w:rPr>
        <w:t>préoccupantes</w:t>
      </w:r>
      <w:proofErr w:type="spellEnd"/>
      <w:r w:rsidRPr="00434E9D">
        <w:t xml:space="preserve"> choisies parmi celles qui, au vu des informations disponibles</w:t>
      </w:r>
      <w:r w:rsidRPr="00434E9D">
        <w:rPr>
          <w:b/>
          <w:i/>
        </w:rPr>
        <w:t>, y compris conformément au quatrième alinéa ci-après</w:t>
      </w:r>
      <w:r w:rsidRPr="00434E9D">
        <w:t>, sont susceptibles de présenter un risque significatif pour ou via l’environnement aquatique au niveau de l’Union et pour lesquelles les données de surveillance sont insuffisantes</w:t>
      </w:r>
      <w:r w:rsidRPr="00434E9D">
        <w:rPr>
          <w:strike/>
        </w:rPr>
        <w:t>. Cette</w:t>
      </w:r>
      <w:r w:rsidRPr="00434E9D">
        <w:rPr>
          <w:b/>
          <w:i/>
        </w:rPr>
        <w:t>, sauf lorsque le nombre de substances ou de groupes de substances à choisir qui, au vu des informations disponibles, sont susceptibles de présenter un risque significatif pour ou via l’environnement aquatique est inférieur à cinq, auquel cas la</w:t>
      </w:r>
      <w:r w:rsidRPr="00434E9D">
        <w:t xml:space="preserve"> liste de vigilance </w:t>
      </w:r>
      <w:r w:rsidRPr="00434E9D">
        <w:rPr>
          <w:strike/>
        </w:rPr>
        <w:t xml:space="preserve">inclut les </w:t>
      </w:r>
      <w:proofErr w:type="spellStart"/>
      <w:r w:rsidRPr="00434E9D">
        <w:rPr>
          <w:strike/>
        </w:rPr>
        <w:t>nouvelles</w:t>
      </w:r>
      <w:r w:rsidRPr="00434E9D">
        <w:rPr>
          <w:b/>
          <w:i/>
        </w:rPr>
        <w:t>contient</w:t>
      </w:r>
      <w:proofErr w:type="spellEnd"/>
      <w:r w:rsidRPr="00434E9D">
        <w:rPr>
          <w:b/>
          <w:i/>
        </w:rPr>
        <w:t xml:space="preserve"> toutes ces</w:t>
      </w:r>
      <w:r w:rsidRPr="00434E9D">
        <w:t xml:space="preserve"> substances</w:t>
      </w:r>
      <w:r w:rsidRPr="00434E9D">
        <w:rPr>
          <w:strike/>
        </w:rPr>
        <w:t xml:space="preserve"> préoccupantes</w:t>
      </w:r>
      <w:r w:rsidRPr="00434E9D">
        <w:t>.</w:t>
      </w:r>
    </w:p>
    <w:p w14:paraId="503D625F" w14:textId="77777777" w:rsidR="008C3DE0" w:rsidRPr="00434E9D" w:rsidRDefault="008C3DE0" w:rsidP="00E96033">
      <w:pPr>
        <w:spacing w:line="360" w:lineRule="auto"/>
        <w:ind w:left="1416"/>
      </w:pPr>
      <w:r w:rsidRPr="00434E9D">
        <w:rPr>
          <w:b/>
          <w:i/>
        </w:rPr>
        <w:t>En plus du nombre minimum de substances ou de groupes de substances, la liste de vigilance peut également contenir des indicateurs de pollution.</w:t>
      </w:r>
    </w:p>
    <w:p w14:paraId="5DF3AB08" w14:textId="77777777" w:rsidR="00BE1586" w:rsidRPr="00434E9D" w:rsidRDefault="00BE1586">
      <w:pPr>
        <w:widowControl/>
        <w:rPr>
          <w:b/>
          <w:i/>
        </w:rPr>
      </w:pPr>
      <w:r w:rsidRPr="00434E9D">
        <w:rPr>
          <w:b/>
          <w:i/>
        </w:rPr>
        <w:br w:type="page"/>
      </w:r>
    </w:p>
    <w:p w14:paraId="67F5278C" w14:textId="77777777" w:rsidR="008C3DE0" w:rsidRPr="00434E9D" w:rsidRDefault="008C3DE0" w:rsidP="00E96033">
      <w:pPr>
        <w:spacing w:line="360" w:lineRule="auto"/>
        <w:ind w:left="1416"/>
        <w:rPr>
          <w:b/>
        </w:rPr>
      </w:pPr>
      <w:r w:rsidRPr="00434E9D">
        <w:rPr>
          <w:b/>
          <w:i/>
        </w:rPr>
        <w:lastRenderedPageBreak/>
        <w:t>La liste de vigilance précise, pour chaque substance, la matrice de surveillance applicable et les éventuelles méthodes d’analyse. Ces matrices de surveillance et méthodes n’entraînent pas de coûts excessifs pour les autorités compétentes.</w:t>
      </w:r>
      <w:r w:rsidR="00BE1586" w:rsidRPr="00434E9D">
        <w:rPr>
          <w:b/>
          <w:i/>
        </w:rPr>
        <w:t xml:space="preserve"> </w:t>
      </w:r>
      <w:r w:rsidR="00BE1586" w:rsidRPr="00434E9D">
        <w:rPr>
          <w:b/>
        </w:rPr>
        <w:t xml:space="preserve"> [Am. 85]</w:t>
      </w:r>
    </w:p>
    <w:p w14:paraId="42FB174D" w14:textId="77777777" w:rsidR="008C3DE0" w:rsidRPr="00434E9D" w:rsidRDefault="008C3DE0" w:rsidP="00E96033">
      <w:pPr>
        <w:spacing w:line="360" w:lineRule="auto"/>
        <w:ind w:left="1416"/>
        <w:rPr>
          <w:b/>
        </w:rPr>
      </w:pPr>
      <w:r w:rsidRPr="00434E9D">
        <w:rPr>
          <w:strike/>
        </w:rPr>
        <w:t xml:space="preserve">Dès que </w:t>
      </w:r>
      <w:r w:rsidRPr="00434E9D">
        <w:t xml:space="preserve">Des méthodes de surveillance appropriées pour les microplastiques et les gènes de résistance aux antimicrobiens </w:t>
      </w:r>
      <w:r w:rsidRPr="00434E9D">
        <w:rPr>
          <w:strike/>
        </w:rPr>
        <w:t xml:space="preserve">auront </w:t>
      </w:r>
      <w:proofErr w:type="spellStart"/>
      <w:r w:rsidRPr="00434E9D">
        <w:rPr>
          <w:strike/>
        </w:rPr>
        <w:t>été</w:t>
      </w:r>
      <w:r w:rsidRPr="00434E9D">
        <w:rPr>
          <w:b/>
          <w:i/>
        </w:rPr>
        <w:t>sont</w:t>
      </w:r>
      <w:proofErr w:type="spellEnd"/>
      <w:r w:rsidRPr="00434E9D">
        <w:rPr>
          <w:b/>
          <w:i/>
        </w:rPr>
        <w:t xml:space="preserve"> mises en évidence dès que possible et au plus tard [le premier jour du mois suivant la période de 18 mois suivant la date d’entrée en vigueur de la présente directive modificative]. Dès que ces méthodes de surveillance seront</w:t>
      </w:r>
      <w:r w:rsidRPr="00434E9D">
        <w:t xml:space="preserve"> mises en évidence, </w:t>
      </w:r>
      <w:r w:rsidRPr="00434E9D">
        <w:rPr>
          <w:strike/>
        </w:rPr>
        <w:t xml:space="preserve">ces </w:t>
      </w:r>
      <w:proofErr w:type="spellStart"/>
      <w:r w:rsidRPr="00434E9D">
        <w:rPr>
          <w:strike/>
        </w:rPr>
        <w:t>substances</w:t>
      </w:r>
      <w:r w:rsidRPr="00434E9D">
        <w:rPr>
          <w:b/>
          <w:i/>
        </w:rPr>
        <w:t>les</w:t>
      </w:r>
      <w:proofErr w:type="spellEnd"/>
      <w:r w:rsidRPr="00434E9D">
        <w:rPr>
          <w:b/>
          <w:i/>
        </w:rPr>
        <w:t xml:space="preserve"> microplastiques et les gènes de résistance aux antimicrobiens</w:t>
      </w:r>
      <w:r w:rsidRPr="00434E9D">
        <w:t xml:space="preserve"> seront </w:t>
      </w:r>
      <w:proofErr w:type="spellStart"/>
      <w:r w:rsidRPr="00434E9D">
        <w:rPr>
          <w:strike/>
        </w:rPr>
        <w:t>incluses</w:t>
      </w:r>
      <w:r w:rsidRPr="00434E9D">
        <w:rPr>
          <w:b/>
          <w:i/>
        </w:rPr>
        <w:t>inclus</w:t>
      </w:r>
      <w:proofErr w:type="spellEnd"/>
      <w:r w:rsidRPr="00434E9D">
        <w:t xml:space="preserve"> à la liste de vigilance</w:t>
      </w:r>
      <w:r w:rsidRPr="00434E9D">
        <w:rPr>
          <w:b/>
          <w:i/>
        </w:rPr>
        <w:t xml:space="preserve"> conformément à l’article 6 bis, paragraphe 2, alinéa 1</w:t>
      </w:r>
      <w:r w:rsidRPr="00434E9D">
        <w:t>.</w:t>
      </w:r>
      <w:r w:rsidRPr="00434E9D">
        <w:rPr>
          <w:b/>
          <w:i/>
        </w:rPr>
        <w:t xml:space="preserve"> La Commission détermine également si l’inclusion des sulfates dans la première liste de vigilance est nécessaire pour accroître la disponibilité de données sur leur présence eu égard au champ d’application de la présente directive.</w:t>
      </w:r>
      <w:r w:rsidR="00BE1586" w:rsidRPr="00434E9D">
        <w:rPr>
          <w:b/>
          <w:i/>
        </w:rPr>
        <w:t xml:space="preserve"> </w:t>
      </w:r>
      <w:r w:rsidR="00BE1586" w:rsidRPr="00434E9D">
        <w:rPr>
          <w:b/>
        </w:rPr>
        <w:t xml:space="preserve"> [Am. 86]</w:t>
      </w:r>
    </w:p>
    <w:p w14:paraId="35B9BEF6" w14:textId="77777777" w:rsidR="008C3DE0" w:rsidRPr="00434E9D" w:rsidRDefault="008C3DE0" w:rsidP="00E96033">
      <w:pPr>
        <w:spacing w:line="360" w:lineRule="auto"/>
      </w:pPr>
    </w:p>
    <w:p w14:paraId="31DFC2FA" w14:textId="77777777" w:rsidR="00BE1586" w:rsidRPr="00434E9D" w:rsidRDefault="00BE1586">
      <w:pPr>
        <w:widowControl/>
      </w:pPr>
      <w:r w:rsidRPr="00434E9D">
        <w:br w:type="page"/>
      </w:r>
    </w:p>
    <w:p w14:paraId="7047C1F7" w14:textId="77777777" w:rsidR="008C3DE0" w:rsidRPr="00434E9D" w:rsidRDefault="008C3DE0" w:rsidP="00E96033">
      <w:pPr>
        <w:spacing w:line="360" w:lineRule="auto"/>
        <w:ind w:left="1416"/>
        <w:rPr>
          <w:b/>
        </w:rPr>
      </w:pPr>
      <w:r w:rsidRPr="00434E9D">
        <w:lastRenderedPageBreak/>
        <w:t xml:space="preserve">L’ECHA prépare des rapports scientifiques afin d’aider la Commission à sélectionner les substances </w:t>
      </w:r>
      <w:r w:rsidRPr="00434E9D">
        <w:rPr>
          <w:b/>
          <w:i/>
        </w:rPr>
        <w:t xml:space="preserve">et les indicateurs de pollution </w:t>
      </w:r>
      <w:r w:rsidRPr="00434E9D">
        <w:t xml:space="preserve">à inclure </w:t>
      </w:r>
      <w:proofErr w:type="spellStart"/>
      <w:r w:rsidRPr="00434E9D">
        <w:rPr>
          <w:strike/>
        </w:rPr>
        <w:t>sur</w:t>
      </w:r>
      <w:r w:rsidRPr="00434E9D">
        <w:rPr>
          <w:b/>
          <w:i/>
        </w:rPr>
        <w:t>dans</w:t>
      </w:r>
      <w:proofErr w:type="spellEnd"/>
      <w:r w:rsidRPr="00434E9D">
        <w:t xml:space="preserve"> la liste de vigilance, en tenant compte des informations suivantes:</w:t>
      </w:r>
      <w:r w:rsidR="00BE1586" w:rsidRPr="00434E9D">
        <w:t xml:space="preserve"> </w:t>
      </w:r>
      <w:r w:rsidR="00BE1586" w:rsidRPr="00434E9D">
        <w:rPr>
          <w:b/>
        </w:rPr>
        <w:t xml:space="preserve"> [Am. 87]</w:t>
      </w:r>
    </w:p>
    <w:p w14:paraId="0BE91612" w14:textId="77777777" w:rsidR="008C3DE0" w:rsidRPr="00434E9D" w:rsidRDefault="008C3DE0" w:rsidP="00BE1586">
      <w:pPr>
        <w:spacing w:before="240" w:after="240" w:line="360" w:lineRule="auto"/>
        <w:ind w:left="1982" w:hanging="566"/>
      </w:pPr>
      <w:r w:rsidRPr="00434E9D">
        <w:t>a)</w:t>
      </w:r>
      <w:r w:rsidRPr="00434E9D">
        <w:tab/>
        <w:t>l’annexe I de la directive 2008/105/CE du Parlement européen et du Conseil* et les résultats du réexamen le plus récent de ladite annexe;</w:t>
      </w:r>
    </w:p>
    <w:p w14:paraId="08007567" w14:textId="77777777" w:rsidR="008C3DE0" w:rsidRPr="00434E9D" w:rsidRDefault="008C3DE0" w:rsidP="00E96033">
      <w:pPr>
        <w:spacing w:line="360" w:lineRule="auto"/>
        <w:ind w:left="1982" w:hanging="566"/>
      </w:pPr>
      <w:r w:rsidRPr="00434E9D">
        <w:t>b)</w:t>
      </w:r>
      <w:r w:rsidRPr="00434E9D">
        <w:tab/>
        <w:t>la liste de vigilance établie conformément à la directive 2008/105/CE et à la directive (UE) 2020/2184 du Parlement européen et du Conseil**;</w:t>
      </w:r>
    </w:p>
    <w:p w14:paraId="14A4A120" w14:textId="77777777" w:rsidR="008C3DE0" w:rsidRPr="00434E9D" w:rsidRDefault="008C3DE0" w:rsidP="00BE1586">
      <w:pPr>
        <w:spacing w:before="240" w:after="240" w:line="360" w:lineRule="auto"/>
        <w:ind w:left="1982" w:hanging="566"/>
      </w:pPr>
      <w:r w:rsidRPr="00434E9D">
        <w:t>c)</w:t>
      </w:r>
      <w:r w:rsidRPr="00434E9D">
        <w:tab/>
        <w:t>les exigences en matière de lutte contre la pollution des sols, y compris les données de surveillance y afférentes;</w:t>
      </w:r>
    </w:p>
    <w:p w14:paraId="0AC5FEA7" w14:textId="77777777" w:rsidR="008C3DE0" w:rsidRPr="00434E9D" w:rsidRDefault="008C3DE0" w:rsidP="00E96033">
      <w:pPr>
        <w:spacing w:line="360" w:lineRule="auto"/>
        <w:ind w:left="1982" w:hanging="566"/>
      </w:pPr>
      <w:r w:rsidRPr="00434E9D">
        <w:t>d)</w:t>
      </w:r>
      <w:r w:rsidRPr="00434E9D">
        <w:tab/>
        <w:t>la caractérisation des districts hydrographiques par les États membres conformément à l’article 5 de la directive 2000/60/CE et les résultats des programmes de surveillance établis conformément à l’article 8 de ladite directive;</w:t>
      </w:r>
    </w:p>
    <w:p w14:paraId="68C6FEB8" w14:textId="77777777" w:rsidR="00BE1586" w:rsidRPr="00434E9D" w:rsidRDefault="00BE1586">
      <w:pPr>
        <w:widowControl/>
      </w:pPr>
      <w:r w:rsidRPr="00434E9D">
        <w:br w:type="page"/>
      </w:r>
    </w:p>
    <w:p w14:paraId="3526BF92" w14:textId="77777777" w:rsidR="008C3DE0" w:rsidRPr="00434E9D" w:rsidRDefault="008C3DE0" w:rsidP="00E96033">
      <w:pPr>
        <w:spacing w:line="360" w:lineRule="auto"/>
        <w:ind w:left="1982" w:hanging="566"/>
      </w:pPr>
      <w:r w:rsidRPr="00434E9D">
        <w:lastRenderedPageBreak/>
        <w:t>e)</w:t>
      </w:r>
      <w:r w:rsidRPr="00434E9D">
        <w:tab/>
        <w:t>des informations sur les volumes de production, les modes d’utilisation, les propriétés intrinsèques (y compris la mobilité dans les sols et, le cas échéant, la granularité), les concentrations dans l’environnement et les effets négatifs sur la santé humaine et l’environnement aquatique d’une substance particulière ou d’un groupe de substances particulier, y compris les informations réunies conformément au règlement (CE) nº 1907/2006 du Parlement européen et du Conseil***, au règlement (CE) nº 1107/2009 du Parlement européen et du Conseil****, au règlement (UE) nº 528/2012 du Parlement européen et du Conseil*****, au règlement (UE) 2019/6 du Parlement européen et du Conseil******, à la directive 2001/83/CE du Parlement européen et du Conseil*******, et à la directive 2009/128/CE du Parlement européen et du Conseil********;</w:t>
      </w:r>
    </w:p>
    <w:p w14:paraId="2A901F01" w14:textId="77777777" w:rsidR="00BE1586" w:rsidRPr="00434E9D" w:rsidRDefault="00BE1586">
      <w:pPr>
        <w:widowControl/>
      </w:pPr>
      <w:r w:rsidRPr="00434E9D">
        <w:br w:type="page"/>
      </w:r>
    </w:p>
    <w:p w14:paraId="76023078" w14:textId="77777777" w:rsidR="008C3DE0" w:rsidRPr="00434E9D" w:rsidRDefault="008C3DE0" w:rsidP="00E96033">
      <w:pPr>
        <w:spacing w:line="360" w:lineRule="auto"/>
        <w:ind w:left="1982" w:hanging="566"/>
        <w:rPr>
          <w:b/>
        </w:rPr>
      </w:pPr>
      <w:r w:rsidRPr="00434E9D">
        <w:lastRenderedPageBreak/>
        <w:t>f)</w:t>
      </w:r>
      <w:r w:rsidRPr="00434E9D">
        <w:tab/>
        <w:t xml:space="preserve">les projets de recherche et les publications </w:t>
      </w:r>
      <w:r w:rsidRPr="00434E9D">
        <w:rPr>
          <w:b/>
          <w:i/>
        </w:rPr>
        <w:t xml:space="preserve">et données </w:t>
      </w:r>
      <w:r w:rsidRPr="00434E9D">
        <w:t>scientifiques, y compris</w:t>
      </w:r>
      <w:r w:rsidRPr="00434E9D">
        <w:rPr>
          <w:b/>
          <w:i/>
        </w:rPr>
        <w:t xml:space="preserve"> les informations relatives aux effets des contaminants matériels et thermiques ainsi qu’aux incidences des activités d’infrastructure et d’extraction en surface et souterraines sur les écosystèmes des eaux souterraines et les écosystèmes dépendant des eaux souterraines ainsi que sur leur biodiversité,</w:t>
      </w:r>
      <w:r w:rsidRPr="00434E9D">
        <w:t xml:space="preserve"> les informations sur les tendances et les prévisions fondées sur la modélisation ou d’autres évaluations prédictives</w:t>
      </w:r>
      <w:r w:rsidRPr="00434E9D">
        <w:rPr>
          <w:strike/>
        </w:rPr>
        <w:t xml:space="preserve"> et sur les données et</w:t>
      </w:r>
      <w:r w:rsidRPr="00434E9D">
        <w:rPr>
          <w:b/>
          <w:i/>
        </w:rPr>
        <w:t>, ainsi que les</w:t>
      </w:r>
      <w:r w:rsidRPr="00434E9D">
        <w:t xml:space="preserve"> informations </w:t>
      </w:r>
      <w:proofErr w:type="spellStart"/>
      <w:r w:rsidRPr="00434E9D">
        <w:rPr>
          <w:strike/>
        </w:rPr>
        <w:t>obtenues</w:t>
      </w:r>
      <w:r w:rsidRPr="00434E9D">
        <w:rPr>
          <w:b/>
          <w:i/>
        </w:rPr>
        <w:t>et</w:t>
      </w:r>
      <w:proofErr w:type="spellEnd"/>
      <w:r w:rsidRPr="00434E9D">
        <w:rPr>
          <w:b/>
          <w:i/>
        </w:rPr>
        <w:t xml:space="preserve"> données recueillies</w:t>
      </w:r>
      <w:r w:rsidRPr="00434E9D">
        <w:t xml:space="preserve"> grâce aux technologies de télédétection, à l’observation de la terre (services </w:t>
      </w:r>
      <w:proofErr w:type="spellStart"/>
      <w:r w:rsidRPr="00434E9D">
        <w:t>Copernicus</w:t>
      </w:r>
      <w:proofErr w:type="spellEnd"/>
      <w:r w:rsidRPr="00434E9D">
        <w:t xml:space="preserve">) et aux capteurs et dispositifs in situ, ou les données issues des sciences citoyennes, </w:t>
      </w:r>
      <w:r w:rsidRPr="00434E9D">
        <w:rPr>
          <w:strike/>
        </w:rPr>
        <w:t xml:space="preserve">exploitant </w:t>
      </w:r>
      <w:proofErr w:type="spellStart"/>
      <w:r w:rsidRPr="00434E9D">
        <w:rPr>
          <w:strike/>
        </w:rPr>
        <w:t>les</w:t>
      </w:r>
      <w:r w:rsidRPr="00434E9D">
        <w:rPr>
          <w:b/>
          <w:i/>
        </w:rPr>
        <w:t>tirant</w:t>
      </w:r>
      <w:proofErr w:type="spellEnd"/>
      <w:r w:rsidRPr="00434E9D">
        <w:rPr>
          <w:b/>
          <w:i/>
        </w:rPr>
        <w:t xml:space="preserve"> parti des</w:t>
      </w:r>
      <w:r w:rsidRPr="00434E9D">
        <w:t xml:space="preserve"> possibilités </w:t>
      </w:r>
      <w:proofErr w:type="spellStart"/>
      <w:r w:rsidRPr="00434E9D">
        <w:rPr>
          <w:strike/>
        </w:rPr>
        <w:t>offertes</w:t>
      </w:r>
      <w:r w:rsidRPr="00434E9D">
        <w:rPr>
          <w:b/>
          <w:i/>
        </w:rPr>
        <w:t>créées</w:t>
      </w:r>
      <w:proofErr w:type="spellEnd"/>
      <w:r w:rsidRPr="00434E9D">
        <w:t xml:space="preserve"> par l’intelligence artificielle et l’analyse et le traitement avancés des données;</w:t>
      </w:r>
      <w:r w:rsidR="00BE1586" w:rsidRPr="00434E9D">
        <w:t xml:space="preserve"> </w:t>
      </w:r>
      <w:r w:rsidR="00BE1586" w:rsidRPr="00434E9D">
        <w:rPr>
          <w:b/>
        </w:rPr>
        <w:t xml:space="preserve"> [Am. 88]</w:t>
      </w:r>
    </w:p>
    <w:p w14:paraId="4D0A53E5" w14:textId="77777777" w:rsidR="008C3DE0" w:rsidRPr="00434E9D" w:rsidRDefault="008C3DE0" w:rsidP="00BE1586">
      <w:pPr>
        <w:spacing w:before="240" w:after="240" w:line="360" w:lineRule="auto"/>
        <w:ind w:left="1982" w:hanging="566"/>
      </w:pPr>
      <w:r w:rsidRPr="00434E9D">
        <w:t>g)</w:t>
      </w:r>
      <w:r w:rsidRPr="00434E9D">
        <w:tab/>
        <w:t>les recommandations des parties concernées.</w:t>
      </w:r>
    </w:p>
    <w:p w14:paraId="20414C0A" w14:textId="77777777" w:rsidR="008C3DE0" w:rsidRPr="00434E9D" w:rsidRDefault="008C3DE0" w:rsidP="00E96033">
      <w:pPr>
        <w:spacing w:line="360" w:lineRule="auto"/>
        <w:ind w:left="1416"/>
      </w:pPr>
      <w:r w:rsidRPr="00434E9D">
        <w:t>Tous les trois ans, l’ECHA prépare et rend public un rapport résumant les conclusions des rapports scientifiques établis au titre du quatrième alinéa. Le premier rapport est rendu public au plus tard le X [OP: veuillez insérer la date correspondant au premier jour du vingt et unième mois suivant la date d’entrée en vigueur de la présente directive].</w:t>
      </w:r>
    </w:p>
    <w:p w14:paraId="040ED8EE" w14:textId="77777777" w:rsidR="00BE1586" w:rsidRPr="00434E9D" w:rsidRDefault="00BE1586">
      <w:pPr>
        <w:widowControl/>
      </w:pPr>
      <w:r w:rsidRPr="00434E9D">
        <w:br w:type="page"/>
      </w:r>
    </w:p>
    <w:p w14:paraId="48A4C5E7" w14:textId="77777777" w:rsidR="008C3DE0" w:rsidRPr="00434E9D" w:rsidRDefault="008C3DE0" w:rsidP="00E96033">
      <w:pPr>
        <w:spacing w:line="360" w:lineRule="auto"/>
        <w:ind w:left="1416" w:hanging="566"/>
        <w:rPr>
          <w:b/>
        </w:rPr>
      </w:pPr>
      <w:r w:rsidRPr="00434E9D">
        <w:lastRenderedPageBreak/>
        <w:t>2.</w:t>
      </w:r>
      <w:r w:rsidRPr="00434E9D">
        <w:tab/>
        <w:t xml:space="preserve">Une première liste de vigilance est établie au plus tard le [OP: veuillez insérer la date correspondant au premier jour du mois suivant un délai de vingt-quatre mois à compter de la date d’entrée en vigueur de la présente directive]. La liste de vigilance est ensuite mise à jour </w:t>
      </w:r>
      <w:r w:rsidRPr="00434E9D">
        <w:rPr>
          <w:b/>
          <w:i/>
        </w:rPr>
        <w:t xml:space="preserve">au plus tard </w:t>
      </w:r>
      <w:r w:rsidRPr="00434E9D">
        <w:t>tous les trente-six mois</w:t>
      </w:r>
      <w:r w:rsidRPr="00434E9D">
        <w:rPr>
          <w:b/>
          <w:i/>
        </w:rPr>
        <w:t xml:space="preserve"> ou à une fréquence plus grande s’il s’avère, au vu de nouvelles preuves scientifiques, qu’il conviendrait de mettre la liste à jour entre deux réexamens</w:t>
      </w:r>
      <w:r w:rsidRPr="00434E9D">
        <w:t>.</w:t>
      </w:r>
      <w:r w:rsidR="00BE1586" w:rsidRPr="00434E9D">
        <w:t xml:space="preserve"> </w:t>
      </w:r>
      <w:r w:rsidR="00BE1586" w:rsidRPr="00434E9D">
        <w:rPr>
          <w:b/>
        </w:rPr>
        <w:t xml:space="preserve"> [Am. 89]</w:t>
      </w:r>
    </w:p>
    <w:p w14:paraId="74490588" w14:textId="77777777" w:rsidR="008C3DE0" w:rsidRPr="00434E9D" w:rsidRDefault="008C3DE0" w:rsidP="00BE1586">
      <w:pPr>
        <w:spacing w:before="240" w:line="360" w:lineRule="auto"/>
        <w:ind w:left="1416"/>
        <w:rPr>
          <w:b/>
        </w:rPr>
      </w:pPr>
      <w:r w:rsidRPr="00434E9D">
        <w:rPr>
          <w:b/>
          <w:i/>
        </w:rPr>
        <w:t>Les États membres évaluent tous les deux ans l’incidence sur la qualité de l’eau des activités industrielles liées à la transition énergétique et informent la Commission des nouvelles menaces identifiées afin que celle-ci mette à jour la liste de vigilance en conséquence. L’évaluation doit être facilement accessible au public.</w:t>
      </w:r>
      <w:r w:rsidR="00BE1586" w:rsidRPr="00434E9D">
        <w:rPr>
          <w:b/>
          <w:i/>
        </w:rPr>
        <w:t xml:space="preserve"> </w:t>
      </w:r>
      <w:r w:rsidR="00BE1586" w:rsidRPr="00434E9D">
        <w:rPr>
          <w:b/>
        </w:rPr>
        <w:t xml:space="preserve"> [Am. 90]</w:t>
      </w:r>
    </w:p>
    <w:p w14:paraId="306631B6" w14:textId="77777777" w:rsidR="00BE1586" w:rsidRPr="00434E9D" w:rsidRDefault="00BE1586">
      <w:pPr>
        <w:widowControl/>
      </w:pPr>
      <w:r w:rsidRPr="00434E9D">
        <w:br w:type="page"/>
      </w:r>
    </w:p>
    <w:p w14:paraId="5B8DDDF8" w14:textId="77777777" w:rsidR="008C3DE0" w:rsidRPr="00434E9D" w:rsidRDefault="008C3DE0" w:rsidP="00E96033">
      <w:pPr>
        <w:spacing w:line="360" w:lineRule="auto"/>
        <w:ind w:left="1416"/>
      </w:pPr>
      <w:r w:rsidRPr="00434E9D">
        <w:lastRenderedPageBreak/>
        <w:t>Lorsqu’elle met la liste de vigilance à jour, la Commission retire de la liste de vigilance existante toute substance ou tout groupe de substances pour lesquels elle estime qu’il est possible d’évaluer le risque pour l’environnement aquatique sans données de surveillance supplémentaires. Lorsqu’une liste de vigilance est mise à jour, une substance individuelle ou un groupe de substances individuel peuvent être maintenus sur la liste pour une période de trois ans supplémentaires lorsque des données de surveillance supplémentaires sont nécessaires pour évaluer le risque pour l’environnement aquatique. La liste de vigilance mise à jour inclut aussi une ou plusieurs substances supplémentaires pour lesquelles la Commission estime, eu égard aux rapports scientifiques de l’ECHA, qu’elles pourraient présenter un risque pour l’environnement aquatique.</w:t>
      </w:r>
    </w:p>
    <w:p w14:paraId="6C895E8A" w14:textId="77777777" w:rsidR="008C3DE0" w:rsidRPr="00434E9D" w:rsidRDefault="008C3DE0" w:rsidP="00E96033">
      <w:pPr>
        <w:spacing w:line="360" w:lineRule="auto"/>
        <w:ind w:left="1416" w:hanging="566"/>
      </w:pPr>
      <w:r w:rsidRPr="00434E9D">
        <w:t>3.</w:t>
      </w:r>
      <w:r w:rsidRPr="00434E9D">
        <w:tab/>
        <w:t>Les États membres surveillent chaque substance ou groupe de substances figurant sur la liste de vigilance en procédant à des contrôles dans certaines stations de surveillance représentatives pendant une période de vingt-quatre mois. La période de surveillance commence dans les six mois à compter de l’établissement de la liste de vigilance.</w:t>
      </w:r>
    </w:p>
    <w:p w14:paraId="6CFCC01A" w14:textId="77777777" w:rsidR="008C3DE0" w:rsidRPr="00434E9D" w:rsidRDefault="008C3DE0" w:rsidP="00E96033">
      <w:pPr>
        <w:spacing w:line="360" w:lineRule="auto"/>
        <w:ind w:left="1416"/>
        <w:rPr>
          <w:b/>
        </w:rPr>
      </w:pPr>
      <w:r w:rsidRPr="00434E9D">
        <w:t xml:space="preserve">Chaque État membre sélectionne au moins </w:t>
      </w:r>
      <w:r w:rsidRPr="00434E9D">
        <w:rPr>
          <w:strike/>
        </w:rPr>
        <w:t xml:space="preserve">une </w:t>
      </w:r>
      <w:proofErr w:type="spellStart"/>
      <w:r w:rsidRPr="00434E9D">
        <w:rPr>
          <w:strike/>
        </w:rPr>
        <w:t>station</w:t>
      </w:r>
      <w:r w:rsidRPr="00434E9D">
        <w:rPr>
          <w:b/>
          <w:i/>
        </w:rPr>
        <w:t>deux</w:t>
      </w:r>
      <w:proofErr w:type="spellEnd"/>
      <w:r w:rsidRPr="00434E9D">
        <w:rPr>
          <w:b/>
          <w:i/>
        </w:rPr>
        <w:t xml:space="preserve"> stations</w:t>
      </w:r>
      <w:r w:rsidRPr="00434E9D">
        <w:t xml:space="preserve"> de surveillance, plus le nombre de stations équivalent à sa superficie totale en km2 de masses d’eau souterraine divisée par </w:t>
      </w:r>
      <w:r w:rsidRPr="00434E9D">
        <w:rPr>
          <w:strike/>
        </w:rPr>
        <w:t>60 000</w:t>
      </w:r>
      <w:r w:rsidRPr="00434E9D">
        <w:rPr>
          <w:b/>
          <w:i/>
        </w:rPr>
        <w:t>30 000</w:t>
      </w:r>
      <w:r w:rsidRPr="00434E9D">
        <w:t xml:space="preserve"> (arrondi à l’entier le plus proche).</w:t>
      </w:r>
      <w:r w:rsidR="00BE1586" w:rsidRPr="00434E9D">
        <w:t xml:space="preserve"> </w:t>
      </w:r>
      <w:r w:rsidR="00BE1586" w:rsidRPr="00434E9D">
        <w:rPr>
          <w:b/>
        </w:rPr>
        <w:t xml:space="preserve"> [Am. 91]</w:t>
      </w:r>
    </w:p>
    <w:p w14:paraId="37629BE8" w14:textId="77777777" w:rsidR="00BE1586" w:rsidRPr="00434E9D" w:rsidRDefault="00BE1586">
      <w:pPr>
        <w:widowControl/>
      </w:pPr>
      <w:r w:rsidRPr="00434E9D">
        <w:br w:type="page"/>
      </w:r>
    </w:p>
    <w:p w14:paraId="5D03F3DD" w14:textId="77777777" w:rsidR="008C3DE0" w:rsidRPr="00434E9D" w:rsidRDefault="008C3DE0" w:rsidP="00E96033">
      <w:pPr>
        <w:spacing w:line="360" w:lineRule="auto"/>
        <w:ind w:left="1416"/>
      </w:pPr>
      <w:r w:rsidRPr="00434E9D">
        <w:lastRenderedPageBreak/>
        <w:t>Lors du choix des stations de surveillance représentatives ainsi que pour déterminer la fréquence et le calendrier saisonnier de la surveillance pour chaque substance ou groupe de substances, les États membres prennent en compte les modes d’utilisation et la présence possible de la substance ou du groupe de substances. La fréquence de la surveillance est établie à une fois par an au minimum.</w:t>
      </w:r>
    </w:p>
    <w:p w14:paraId="7BAF444A" w14:textId="77777777" w:rsidR="008C3DE0" w:rsidRPr="00434E9D" w:rsidRDefault="008C3DE0" w:rsidP="00E96033">
      <w:pPr>
        <w:spacing w:line="360" w:lineRule="auto"/>
        <w:ind w:left="1416"/>
      </w:pPr>
      <w:r w:rsidRPr="00434E9D">
        <w:t>Lorsqu’un État membre est en position de générer des données de surveillance suffisantes, comparables, représentatives et récentes pour une substance particulière ou un groupe de substances particulier à partir des études et programmes de surveillance existants, il peut décider de ne pas procéder à une surveillance supplémentaire au titre du mécanisme de la liste de vigilance pour cette substance ou ce groupe de substances, à condition que ladite substance ou ledit groupe de substances soit surveillé(e) suivant une méthode conforme aux matrices de surveillance et aux méthodes d’analyse visées dans l’acte d’exécution établissant la liste de vigilance.</w:t>
      </w:r>
    </w:p>
    <w:p w14:paraId="0DDBD760" w14:textId="77777777" w:rsidR="00BE1586" w:rsidRPr="00434E9D" w:rsidRDefault="00BE1586">
      <w:pPr>
        <w:widowControl/>
      </w:pPr>
      <w:r w:rsidRPr="00434E9D">
        <w:br w:type="page"/>
      </w:r>
    </w:p>
    <w:p w14:paraId="45E24788" w14:textId="77777777" w:rsidR="008C3DE0" w:rsidRPr="00434E9D" w:rsidRDefault="008C3DE0" w:rsidP="00E96033">
      <w:pPr>
        <w:spacing w:line="360" w:lineRule="auto"/>
        <w:ind w:left="1416" w:hanging="566"/>
      </w:pPr>
      <w:r w:rsidRPr="00434E9D">
        <w:lastRenderedPageBreak/>
        <w:t>4.</w:t>
      </w:r>
      <w:r w:rsidRPr="00434E9D">
        <w:tab/>
        <w:t>Les États membres mettent à disposition les résultats de la surveillance visée au paragraphe 3 du présent article conformément à l’article 8, paragraphe 4, de la directive 2000/60/CE et à l’acte d’exécution établissant la liste de vigilance telle qu’adoptée en application du paragraphe 1. Ils mettent également à disposition des informations sur la représentativité des stations de surveillance et sur la stratégie de surveillance.</w:t>
      </w:r>
    </w:p>
    <w:p w14:paraId="14DEF517" w14:textId="77777777" w:rsidR="008C3DE0" w:rsidRPr="00434E9D" w:rsidRDefault="008C3DE0" w:rsidP="00E96033">
      <w:pPr>
        <w:spacing w:line="360" w:lineRule="auto"/>
        <w:ind w:left="1416" w:hanging="566"/>
      </w:pPr>
      <w:r w:rsidRPr="00434E9D">
        <w:t>5.</w:t>
      </w:r>
      <w:r w:rsidRPr="00434E9D">
        <w:tab/>
        <w:t>L’ECHA analyse les résultats de la surveillance au terme du délai de vingt-quatre mois visé au paragraphe 3 et évalue quelles substances ou quels groupes de substances doivent être surveillés pendant une période de vingt-quatre mois supplémentaires et doivent donc être maintenus sur la liste de vigilance, et quelles substances ou quels groupes de substances peuvent être retirés de la liste de vigilance.</w:t>
      </w:r>
    </w:p>
    <w:p w14:paraId="486D2E2D" w14:textId="77777777" w:rsidR="008C3DE0" w:rsidRPr="00434E9D" w:rsidRDefault="008C3DE0" w:rsidP="00E96033">
      <w:pPr>
        <w:spacing w:line="360" w:lineRule="auto"/>
        <w:ind w:left="1416"/>
      </w:pPr>
      <w:r w:rsidRPr="00434E9D">
        <w:t>Lorsque la Commission, eu égard à l’évaluation réalisée par l’ECHA visée au premier alinéa, conclut qu’aucune autre surveillance n’est nécessaire pour évaluer le risque pour l’environnement aquatique, ladite évaluation est prise en considération dans le réexamen de l’annexe I ou II visé à l’article 8.</w:t>
      </w:r>
    </w:p>
    <w:p w14:paraId="1F913E61" w14:textId="77777777" w:rsidR="00BE1586" w:rsidRPr="00434E9D" w:rsidRDefault="00BE1586">
      <w:pPr>
        <w:widowControl/>
      </w:pPr>
      <w:r w:rsidRPr="00434E9D">
        <w:br w:type="page"/>
      </w:r>
    </w:p>
    <w:p w14:paraId="2212D466" w14:textId="77777777" w:rsidR="008C3DE0" w:rsidRPr="00434E9D" w:rsidRDefault="008C3DE0" w:rsidP="00E96033">
      <w:pPr>
        <w:spacing w:line="360" w:lineRule="auto"/>
        <w:ind w:left="1416"/>
      </w:pPr>
      <w:r w:rsidRPr="00434E9D">
        <w:lastRenderedPageBreak/>
        <w:t>* Directive 2008/105/CE du Parlement européen et du Conseil du 16 décembre 2008 établissant des normes de qualité environnementale dans le domaine de l’eau, modifiant et abrogeant les directives du Conseil 82/176/CEE, 83/513/CEE, 84/156/CEE, 84/491/CEE, 86/280/CEE et modifiant la directive 2000/60/CE (JO L 348 du 24.12.2008, p. 84).</w:t>
      </w:r>
    </w:p>
    <w:p w14:paraId="476B19A2" w14:textId="77777777" w:rsidR="008C3DE0" w:rsidRPr="00434E9D" w:rsidRDefault="008C3DE0" w:rsidP="00E96033">
      <w:pPr>
        <w:spacing w:line="360" w:lineRule="auto"/>
        <w:ind w:left="1416"/>
      </w:pPr>
      <w:r w:rsidRPr="00434E9D">
        <w:t>** Directive (UE) 2020/2184 du Parlement européen et du Conseil du 16 décembre 2020 relative à la qualité des eaux destinées à la consommation humaine (JO L 435 du 23.12.2020, p. 1).</w:t>
      </w:r>
    </w:p>
    <w:p w14:paraId="72C327C0" w14:textId="77777777" w:rsidR="008C3DE0" w:rsidRPr="00434E9D" w:rsidRDefault="008C3DE0" w:rsidP="00E96033">
      <w:pPr>
        <w:spacing w:line="360" w:lineRule="auto"/>
        <w:ind w:left="1416"/>
      </w:pPr>
      <w:r w:rsidRPr="00434E9D">
        <w:t>*** Règlement (CE) nº 1907/2006 du Parlement européen et du Conseil du 18 décembre 2006 concernant l’enregistrement, l’évaluation et l’autorisation des substances chimiques, ainsi que les restrictions applicables à ces substances (REACH) (JO L 396 du 30.12.2006, p. 1).</w:t>
      </w:r>
    </w:p>
    <w:p w14:paraId="43D8F107" w14:textId="77777777" w:rsidR="008C3DE0" w:rsidRPr="00434E9D" w:rsidRDefault="008C3DE0" w:rsidP="00E96033">
      <w:pPr>
        <w:spacing w:line="360" w:lineRule="auto"/>
        <w:ind w:left="1416"/>
      </w:pPr>
      <w:r w:rsidRPr="00434E9D">
        <w:t>**** Règlement (CE) nº 1107/2009 du Parlement européen et du Conseil du 21 octobre 2009 concernant la mise sur le marché des produits phytopharmaceutiques (JO L 309 du 24.11.2009, p. 1).</w:t>
      </w:r>
    </w:p>
    <w:p w14:paraId="74A3722E" w14:textId="77777777" w:rsidR="00BE1586" w:rsidRPr="00434E9D" w:rsidRDefault="00BE1586">
      <w:pPr>
        <w:widowControl/>
      </w:pPr>
      <w:r w:rsidRPr="00434E9D">
        <w:br w:type="page"/>
      </w:r>
    </w:p>
    <w:p w14:paraId="3D604A58" w14:textId="77777777" w:rsidR="008C3DE0" w:rsidRPr="00434E9D" w:rsidRDefault="008C3DE0" w:rsidP="00E96033">
      <w:pPr>
        <w:spacing w:line="360" w:lineRule="auto"/>
        <w:ind w:left="1416"/>
      </w:pPr>
      <w:r w:rsidRPr="00434E9D">
        <w:lastRenderedPageBreak/>
        <w:t>***** Règlement (UE) nº 528/2012 du Parlement européen et du Conseil du 22 mai 2012 concernant la mise à disposition sur le marché et l’utilisation des produits biocides (JO L 167 du 27.6.2012, p. 1).</w:t>
      </w:r>
    </w:p>
    <w:p w14:paraId="3210E0B8" w14:textId="77777777" w:rsidR="008C3DE0" w:rsidRPr="00434E9D" w:rsidRDefault="008C3DE0" w:rsidP="00E96033">
      <w:pPr>
        <w:spacing w:line="360" w:lineRule="auto"/>
        <w:ind w:left="1416"/>
      </w:pPr>
      <w:r w:rsidRPr="00434E9D">
        <w:t>****** Règlement (UE) 2019/6 du Parlement européen et du Conseil du 11 décembre 2018 relatif aux médicaments vétérinaires (JO L 4 du 7.1.2019, p. 43).</w:t>
      </w:r>
    </w:p>
    <w:p w14:paraId="4C89C903" w14:textId="77777777" w:rsidR="008C3DE0" w:rsidRPr="00434E9D" w:rsidRDefault="008C3DE0" w:rsidP="00E96033">
      <w:pPr>
        <w:spacing w:line="360" w:lineRule="auto"/>
        <w:ind w:left="1416"/>
      </w:pPr>
      <w:r w:rsidRPr="00434E9D">
        <w:t>******* Directive 2001/83/CE du Parlement européen et du Conseil du 6 novembre 2001 instituant un code communautaire relatif aux médicaments à usage humain (JO L 311 du 28.11.2001, p. 67).</w:t>
      </w:r>
    </w:p>
    <w:p w14:paraId="5CF14D95" w14:textId="77777777" w:rsidR="008C3DE0" w:rsidRPr="00434E9D" w:rsidRDefault="008C3DE0" w:rsidP="00E96033">
      <w:pPr>
        <w:spacing w:line="360" w:lineRule="auto"/>
        <w:ind w:left="1416"/>
      </w:pPr>
      <w:r w:rsidRPr="00434E9D">
        <w:t>******** Directive 2009/128/CE du Parlement européen et du Conseil du 21 octobre 2009 instaurant un cadre d’action communautaire pour parvenir à une utilisation des pesticides compatible avec le développement durable (JO L 309 du 24.11.2009, p. 71).;»</w:t>
      </w:r>
    </w:p>
    <w:p w14:paraId="303A30A3" w14:textId="77777777" w:rsidR="00BE1586" w:rsidRPr="00434E9D" w:rsidRDefault="00BE1586">
      <w:pPr>
        <w:widowControl/>
        <w:rPr>
          <w:b/>
          <w:i/>
        </w:rPr>
      </w:pPr>
      <w:r w:rsidRPr="00434E9D">
        <w:rPr>
          <w:b/>
          <w:i/>
        </w:rPr>
        <w:br w:type="page"/>
      </w:r>
    </w:p>
    <w:p w14:paraId="43689915" w14:textId="77777777" w:rsidR="008C3DE0" w:rsidRPr="00434E9D" w:rsidRDefault="00BE1586" w:rsidP="00E96033">
      <w:pPr>
        <w:spacing w:line="360" w:lineRule="auto"/>
        <w:ind w:left="850" w:hanging="850"/>
      </w:pPr>
      <w:r w:rsidRPr="00434E9D">
        <w:rPr>
          <w:b/>
          <w:i/>
        </w:rPr>
        <w:lastRenderedPageBreak/>
        <w:t>6 bis</w:t>
      </w:r>
      <w:r w:rsidR="008C3DE0" w:rsidRPr="00434E9D">
        <w:rPr>
          <w:b/>
          <w:i/>
        </w:rPr>
        <w:t>)</w:t>
      </w:r>
      <w:r w:rsidR="008C3DE0" w:rsidRPr="00434E9D">
        <w:tab/>
      </w:r>
      <w:r w:rsidRPr="00434E9D">
        <w:rPr>
          <w:b/>
          <w:i/>
        </w:rPr>
        <w:t>L</w:t>
      </w:r>
      <w:r w:rsidR="008C3DE0" w:rsidRPr="00434E9D">
        <w:rPr>
          <w:b/>
          <w:i/>
        </w:rPr>
        <w:t>’article suivant est inséré:</w:t>
      </w:r>
    </w:p>
    <w:p w14:paraId="1EC5997E" w14:textId="77777777" w:rsidR="008C3DE0" w:rsidRPr="00434E9D" w:rsidRDefault="008C3DE0" w:rsidP="00E96033">
      <w:pPr>
        <w:spacing w:line="360" w:lineRule="auto"/>
        <w:ind w:left="850"/>
      </w:pPr>
      <w:r w:rsidRPr="00434E9D">
        <w:t>«</w:t>
      </w:r>
      <w:r w:rsidRPr="00434E9D">
        <w:rPr>
          <w:b/>
          <w:i/>
        </w:rPr>
        <w:t xml:space="preserve">Article 6 bis </w:t>
      </w:r>
      <w:proofErr w:type="spellStart"/>
      <w:r w:rsidRPr="00434E9D">
        <w:rPr>
          <w:b/>
          <w:i/>
        </w:rPr>
        <w:t>bis</w:t>
      </w:r>
      <w:proofErr w:type="spellEnd"/>
      <w:r w:rsidRPr="00434E9D">
        <w:br/>
      </w:r>
      <w:r w:rsidRPr="00434E9D">
        <w:rPr>
          <w:b/>
          <w:i/>
        </w:rPr>
        <w:t>Amélioration de la protection des écosystèmes des eaux souterraines</w:t>
      </w:r>
    </w:p>
    <w:p w14:paraId="1D9E289A" w14:textId="77777777" w:rsidR="008C3DE0" w:rsidRPr="00434E9D" w:rsidRDefault="008C3DE0" w:rsidP="00E96033">
      <w:pPr>
        <w:spacing w:line="360" w:lineRule="auto"/>
        <w:ind w:left="850"/>
        <w:rPr>
          <w:b/>
        </w:rPr>
      </w:pPr>
      <w:r w:rsidRPr="00434E9D">
        <w:rPr>
          <w:b/>
          <w:i/>
        </w:rPr>
        <w:t>Au plus tard le [OP: veuillez insérer la date, à savoir quatre ans après la date d’entrée en vigueur de la présente directive], la Commission publie une évaluation des incidences des éléments physico-chimiques tels que le pH, l’oxygénation et la température sur la santé des écosystèmes des eaux souterraines, accompagnée, le cas échéant, d’une proposition législative destinée à réviser la présente directive en conséquence afin de définir les paramètres correspondants, de prévoir des méthodes de surveillance harmonisées et de définir ce que doit constituer un "bon état écologique » pour les eaux souterraines.</w:t>
      </w:r>
      <w:r w:rsidRPr="00434E9D">
        <w:t>»</w:t>
      </w:r>
      <w:r w:rsidR="00BE1586" w:rsidRPr="00434E9D">
        <w:t xml:space="preserve"> </w:t>
      </w:r>
      <w:r w:rsidR="00BE1586" w:rsidRPr="00434E9D">
        <w:rPr>
          <w:b/>
        </w:rPr>
        <w:t xml:space="preserve"> [Am. 92]</w:t>
      </w:r>
    </w:p>
    <w:p w14:paraId="57886DC4" w14:textId="77777777" w:rsidR="00BE1586" w:rsidRPr="00434E9D" w:rsidRDefault="00BE1586">
      <w:pPr>
        <w:widowControl/>
        <w:rPr>
          <w:b/>
          <w:i/>
        </w:rPr>
      </w:pPr>
      <w:r w:rsidRPr="00434E9D">
        <w:rPr>
          <w:b/>
          <w:i/>
        </w:rPr>
        <w:br w:type="page"/>
      </w:r>
    </w:p>
    <w:p w14:paraId="27E7DF88" w14:textId="77777777" w:rsidR="008C3DE0" w:rsidRPr="00434E9D" w:rsidRDefault="00BE1586" w:rsidP="00E96033">
      <w:pPr>
        <w:spacing w:line="360" w:lineRule="auto"/>
        <w:ind w:left="850" w:hanging="850"/>
      </w:pPr>
      <w:r w:rsidRPr="00434E9D">
        <w:rPr>
          <w:b/>
          <w:i/>
        </w:rPr>
        <w:lastRenderedPageBreak/>
        <w:t>6 ter</w:t>
      </w:r>
      <w:r w:rsidR="008C3DE0" w:rsidRPr="00434E9D">
        <w:rPr>
          <w:b/>
          <w:i/>
        </w:rPr>
        <w:t>)</w:t>
      </w:r>
      <w:r w:rsidR="008C3DE0" w:rsidRPr="00434E9D">
        <w:tab/>
      </w:r>
      <w:r w:rsidRPr="00434E9D">
        <w:rPr>
          <w:b/>
          <w:i/>
        </w:rPr>
        <w:t>L</w:t>
      </w:r>
      <w:r w:rsidR="008C3DE0" w:rsidRPr="00434E9D">
        <w:rPr>
          <w:b/>
          <w:i/>
        </w:rPr>
        <w:t>’article suivant est inséré:</w:t>
      </w:r>
    </w:p>
    <w:p w14:paraId="05772A65" w14:textId="77777777" w:rsidR="008C3DE0" w:rsidRPr="00434E9D" w:rsidRDefault="008C3DE0" w:rsidP="00E96033">
      <w:pPr>
        <w:spacing w:line="360" w:lineRule="auto"/>
        <w:ind w:left="850"/>
      </w:pPr>
      <w:r w:rsidRPr="00434E9D">
        <w:t>«</w:t>
      </w:r>
      <w:r w:rsidRPr="00434E9D">
        <w:rPr>
          <w:b/>
          <w:i/>
        </w:rPr>
        <w:t>Article 6 bis ter</w:t>
      </w:r>
      <w:r w:rsidRPr="00434E9D">
        <w:br/>
      </w:r>
      <w:r w:rsidRPr="00434E9D">
        <w:rPr>
          <w:b/>
          <w:i/>
        </w:rPr>
        <w:t>Traitement spécifique des zones caractérisées par une haute valeur écologique, une grande vulnérabilité ou une pollution élevée</w:t>
      </w:r>
    </w:p>
    <w:p w14:paraId="47A20AD4" w14:textId="77777777" w:rsidR="008C3DE0" w:rsidRPr="00434E9D" w:rsidRDefault="008C3DE0" w:rsidP="00E96033">
      <w:pPr>
        <w:spacing w:line="360" w:lineRule="auto"/>
        <w:ind w:left="850"/>
        <w:rPr>
          <w:b/>
        </w:rPr>
      </w:pPr>
      <w:r w:rsidRPr="00434E9D">
        <w:rPr>
          <w:b/>
          <w:i/>
        </w:rPr>
        <w:t>Le ... [au plus tard quatre ans après l’entrée en vigueur de la présente directive], la Commission publie une évaluation de l’état chimique des zones caractérisées par une haute valeur écologique, une grande vulnérabilité ou une pollution élevée, comme les grottes et les zones karstiques, les anciens sites industriels ou les autres zones affectées par une contamination historique connue, accompagnée, le cas échéant, d’une proposition législative destinée à réviser la présente directive.</w:t>
      </w:r>
      <w:r w:rsidRPr="00434E9D">
        <w:t>»</w:t>
      </w:r>
      <w:r w:rsidR="00BE1586" w:rsidRPr="00434E9D">
        <w:t xml:space="preserve"> </w:t>
      </w:r>
      <w:r w:rsidR="00BE1586" w:rsidRPr="00434E9D">
        <w:rPr>
          <w:b/>
        </w:rPr>
        <w:t xml:space="preserve"> [Am. 93]</w:t>
      </w:r>
    </w:p>
    <w:p w14:paraId="2E865250" w14:textId="77777777" w:rsidR="00BE1586" w:rsidRPr="00434E9D" w:rsidRDefault="00BE1586">
      <w:pPr>
        <w:widowControl/>
        <w:rPr>
          <w:b/>
          <w:i/>
        </w:rPr>
      </w:pPr>
      <w:r w:rsidRPr="00434E9D">
        <w:rPr>
          <w:b/>
          <w:i/>
        </w:rPr>
        <w:br w:type="page"/>
      </w:r>
    </w:p>
    <w:p w14:paraId="7210A518" w14:textId="77777777" w:rsidR="008C3DE0" w:rsidRPr="00434E9D" w:rsidRDefault="00BE1586" w:rsidP="00E96033">
      <w:pPr>
        <w:spacing w:line="360" w:lineRule="auto"/>
        <w:ind w:left="850" w:hanging="850"/>
      </w:pPr>
      <w:r w:rsidRPr="00434E9D">
        <w:rPr>
          <w:b/>
          <w:i/>
        </w:rPr>
        <w:lastRenderedPageBreak/>
        <w:t>6 quater</w:t>
      </w:r>
      <w:r w:rsidR="008C3DE0" w:rsidRPr="00434E9D">
        <w:rPr>
          <w:b/>
          <w:i/>
        </w:rPr>
        <w:t>)</w:t>
      </w:r>
      <w:r w:rsidRPr="00434E9D">
        <w:t xml:space="preserve"> </w:t>
      </w:r>
      <w:r w:rsidRPr="00434E9D">
        <w:rPr>
          <w:b/>
          <w:i/>
        </w:rPr>
        <w:t>L</w:t>
      </w:r>
      <w:r w:rsidR="008C3DE0" w:rsidRPr="00434E9D">
        <w:rPr>
          <w:b/>
          <w:i/>
        </w:rPr>
        <w:t>’article suivant est inséré:</w:t>
      </w:r>
    </w:p>
    <w:p w14:paraId="039A885A" w14:textId="77777777" w:rsidR="008C3DE0" w:rsidRPr="00434E9D" w:rsidRDefault="008C3DE0" w:rsidP="00E96033">
      <w:pPr>
        <w:spacing w:line="360" w:lineRule="auto"/>
        <w:ind w:left="850"/>
      </w:pPr>
      <w:r w:rsidRPr="00434E9D">
        <w:t>«</w:t>
      </w:r>
      <w:r w:rsidRPr="00434E9D">
        <w:rPr>
          <w:b/>
          <w:i/>
        </w:rPr>
        <w:t>Article 6 bis quater</w:t>
      </w:r>
    </w:p>
    <w:p w14:paraId="5A6D9745" w14:textId="77777777" w:rsidR="008C3DE0" w:rsidRPr="00434E9D" w:rsidRDefault="008C3DE0" w:rsidP="00E96033">
      <w:pPr>
        <w:spacing w:line="360" w:lineRule="auto"/>
        <w:ind w:left="850"/>
        <w:rPr>
          <w:b/>
        </w:rPr>
      </w:pPr>
      <w:r w:rsidRPr="00434E9D">
        <w:rPr>
          <w:b/>
          <w:i/>
        </w:rPr>
        <w:t>Au plus tard le ... [un an après la date d’entrée en vigueur de la présente directive], la Commission présente une analyse d’impact examinant l’inclusion, dans la présente directive, d’un mécanisme de responsabilité élargie des producteurs pour que les producteurs qui mettent sur le marché des produits contenant l’une des substances ou l’un des composés figurant à l’annexe I ainsi que de nouvelles substances préoccupantes figurant dans la liste de vigilance prévue par la présente directive contribuent au coût des programmes de surveillance créés en vertu de l’article 8 de la directive 2000/60/CE. L’analyse d’impact est accompagnée, le cas échéant, d’une proposition législative destinée à réviser la présente directive.</w:t>
      </w:r>
      <w:r w:rsidRPr="00434E9D">
        <w:t>»</w:t>
      </w:r>
      <w:r w:rsidR="00BE1586" w:rsidRPr="00434E9D">
        <w:t xml:space="preserve"> </w:t>
      </w:r>
      <w:r w:rsidR="00162D54" w:rsidRPr="00434E9D">
        <w:rPr>
          <w:b/>
        </w:rPr>
        <w:t xml:space="preserve"> [Am. 94]</w:t>
      </w:r>
    </w:p>
    <w:p w14:paraId="39512335" w14:textId="77777777" w:rsidR="00162D54" w:rsidRPr="00434E9D" w:rsidRDefault="00162D54">
      <w:pPr>
        <w:widowControl/>
        <w:rPr>
          <w:b/>
          <w:i/>
        </w:rPr>
      </w:pPr>
      <w:r w:rsidRPr="00434E9D">
        <w:rPr>
          <w:b/>
          <w:i/>
        </w:rPr>
        <w:br w:type="page"/>
      </w:r>
    </w:p>
    <w:p w14:paraId="78C08CBB" w14:textId="77777777" w:rsidR="008C3DE0" w:rsidRPr="00434E9D" w:rsidRDefault="00162D54" w:rsidP="00E96033">
      <w:pPr>
        <w:spacing w:line="360" w:lineRule="auto"/>
        <w:ind w:left="850" w:hanging="850"/>
      </w:pPr>
      <w:r w:rsidRPr="00434E9D">
        <w:rPr>
          <w:b/>
          <w:i/>
        </w:rPr>
        <w:lastRenderedPageBreak/>
        <w:t>6 quinquies</w:t>
      </w:r>
      <w:r w:rsidR="008C3DE0" w:rsidRPr="00434E9D">
        <w:rPr>
          <w:b/>
          <w:i/>
        </w:rPr>
        <w:t>)</w:t>
      </w:r>
      <w:r w:rsidR="008C3DE0" w:rsidRPr="00434E9D">
        <w:tab/>
      </w:r>
      <w:r w:rsidRPr="00434E9D">
        <w:rPr>
          <w:b/>
          <w:i/>
        </w:rPr>
        <w:t>L</w:t>
      </w:r>
      <w:r w:rsidR="008C3DE0" w:rsidRPr="00434E9D">
        <w:rPr>
          <w:b/>
          <w:i/>
        </w:rPr>
        <w:t>’article suivant est inséré:</w:t>
      </w:r>
    </w:p>
    <w:p w14:paraId="0DE3D208" w14:textId="77777777" w:rsidR="008C3DE0" w:rsidRPr="00434E9D" w:rsidRDefault="008C3DE0" w:rsidP="00E96033">
      <w:pPr>
        <w:spacing w:line="360" w:lineRule="auto"/>
        <w:ind w:left="850"/>
      </w:pPr>
      <w:r w:rsidRPr="00434E9D">
        <w:t>«</w:t>
      </w:r>
      <w:r w:rsidRPr="00434E9D">
        <w:rPr>
          <w:b/>
          <w:i/>
        </w:rPr>
        <w:t>Article 6 bis quinq</w:t>
      </w:r>
      <w:r w:rsidR="00162D54" w:rsidRPr="00434E9D">
        <w:rPr>
          <w:b/>
          <w:i/>
        </w:rPr>
        <w:t>uies</w:t>
      </w:r>
      <w:r w:rsidRPr="00434E9D">
        <w:br/>
      </w:r>
      <w:r w:rsidRPr="00434E9D">
        <w:rPr>
          <w:b/>
          <w:i/>
        </w:rPr>
        <w:t>Mécanisme de surveillance européen</w:t>
      </w:r>
    </w:p>
    <w:p w14:paraId="77FD2630" w14:textId="77777777" w:rsidR="008C3DE0" w:rsidRPr="00434E9D" w:rsidRDefault="008C3DE0" w:rsidP="00E96033">
      <w:pPr>
        <w:spacing w:line="360" w:lineRule="auto"/>
        <w:ind w:left="850"/>
      </w:pPr>
      <w:r w:rsidRPr="00434E9D">
        <w:rPr>
          <w:b/>
          <w:i/>
        </w:rPr>
        <w:t xml:space="preserve">Le ... [un an après la date d’entrée en vigueur de la présente directive], la Commission met en place un mécanisme de surveillance commun chargé de la gestion des exigences de surveillance dans les cas où les États membres en font la demande. </w:t>
      </w:r>
    </w:p>
    <w:p w14:paraId="45AF02DD" w14:textId="77777777" w:rsidR="008C3DE0" w:rsidRPr="00434E9D" w:rsidRDefault="008C3DE0" w:rsidP="00E96033">
      <w:pPr>
        <w:spacing w:line="360" w:lineRule="auto"/>
        <w:ind w:left="850"/>
      </w:pPr>
      <w:r w:rsidRPr="00434E9D">
        <w:rPr>
          <w:b/>
          <w:i/>
        </w:rPr>
        <w:t xml:space="preserve">La Commission définit le fonctionnement du mécanisme de surveillance, qui comporte, entre autres, les éléments suivants: </w:t>
      </w:r>
    </w:p>
    <w:p w14:paraId="660DA2D6" w14:textId="77777777" w:rsidR="008C3DE0" w:rsidRPr="00434E9D" w:rsidRDefault="008C3DE0" w:rsidP="00E96033">
      <w:pPr>
        <w:spacing w:line="360" w:lineRule="auto"/>
        <w:ind w:left="1416" w:hanging="566"/>
      </w:pPr>
      <w:r w:rsidRPr="00434E9D">
        <w:rPr>
          <w:b/>
          <w:i/>
        </w:rPr>
        <w:t>a)</w:t>
      </w:r>
      <w:r w:rsidRPr="00434E9D">
        <w:tab/>
      </w:r>
      <w:r w:rsidRPr="00434E9D">
        <w:rPr>
          <w:b/>
          <w:i/>
        </w:rPr>
        <w:t xml:space="preserve">le caractère facultatif du recours au mécanisme de surveillance, qui ne porte pas atteinte aux dispositions déjà mises en place par les États membres; </w:t>
      </w:r>
    </w:p>
    <w:p w14:paraId="342CE1AE" w14:textId="77777777" w:rsidR="008C3DE0" w:rsidRPr="00434E9D" w:rsidRDefault="008C3DE0" w:rsidP="00E96033">
      <w:pPr>
        <w:spacing w:line="360" w:lineRule="auto"/>
        <w:ind w:left="1416" w:hanging="566"/>
      </w:pPr>
      <w:r w:rsidRPr="00434E9D">
        <w:rPr>
          <w:b/>
          <w:i/>
        </w:rPr>
        <w:t>b)</w:t>
      </w:r>
      <w:r w:rsidRPr="00434E9D">
        <w:tab/>
      </w:r>
      <w:r w:rsidRPr="00434E9D">
        <w:rPr>
          <w:b/>
          <w:i/>
        </w:rPr>
        <w:t>les procédures opérationnelles destinées aux États membres qui comptent avoir recours au mécanisme de surveillance, lesquelles comprennent, entre autres, la notification obligatoire à la Commission de leurs besoins précis ou de leurs capacités précises de surveillance, les protocoles précis de gestion des échantillons ainsi que la période pendant laquelle ils comptent faire partie du mécanisme;</w:t>
      </w:r>
    </w:p>
    <w:p w14:paraId="38DAA64E" w14:textId="77777777" w:rsidR="00162D54" w:rsidRPr="00434E9D" w:rsidRDefault="00162D54">
      <w:pPr>
        <w:widowControl/>
        <w:rPr>
          <w:b/>
          <w:i/>
        </w:rPr>
      </w:pPr>
      <w:r w:rsidRPr="00434E9D">
        <w:rPr>
          <w:b/>
          <w:i/>
        </w:rPr>
        <w:br w:type="page"/>
      </w:r>
    </w:p>
    <w:p w14:paraId="372ACCDD" w14:textId="77777777" w:rsidR="008C3DE0" w:rsidRPr="00434E9D" w:rsidRDefault="008C3DE0" w:rsidP="00E96033">
      <w:pPr>
        <w:spacing w:line="360" w:lineRule="auto"/>
        <w:ind w:left="1416" w:hanging="566"/>
        <w:rPr>
          <w:b/>
        </w:rPr>
      </w:pPr>
      <w:r w:rsidRPr="00434E9D">
        <w:rPr>
          <w:b/>
          <w:i/>
        </w:rPr>
        <w:lastRenderedPageBreak/>
        <w:t>c)</w:t>
      </w:r>
      <w:r w:rsidRPr="00434E9D">
        <w:tab/>
      </w:r>
      <w:r w:rsidRPr="00434E9D">
        <w:rPr>
          <w:b/>
          <w:i/>
        </w:rPr>
        <w:t>les sources de financement, qui peuvent comprendre les programmes et les fonds structurels pertinents de l’Union ainsi que des contributions du secteur privé, y compris au titre du mécanisme de responsabilité élargie des producteurs lorsque celui-ci aura été mis en place conformément à l’article 6 bis quater.»</w:t>
      </w:r>
      <w:r w:rsidR="00162D54" w:rsidRPr="00434E9D">
        <w:t xml:space="preserve"> </w:t>
      </w:r>
      <w:r w:rsidR="00162D54" w:rsidRPr="00434E9D">
        <w:rPr>
          <w:b/>
        </w:rPr>
        <w:t xml:space="preserve"> [Am. 95]</w:t>
      </w:r>
    </w:p>
    <w:p w14:paraId="0001FB8D" w14:textId="77777777" w:rsidR="008C3DE0" w:rsidRPr="00434E9D" w:rsidRDefault="00162D54" w:rsidP="00E96033">
      <w:pPr>
        <w:spacing w:line="360" w:lineRule="auto"/>
        <w:ind w:left="850" w:hanging="850"/>
      </w:pPr>
      <w:r w:rsidRPr="00434E9D">
        <w:t>7)</w:t>
      </w:r>
      <w:r w:rsidRPr="00434E9D">
        <w:tab/>
        <w:t>L</w:t>
      </w:r>
      <w:r w:rsidR="008C3DE0" w:rsidRPr="00434E9D">
        <w:t>’article 8 est remplacé par le texte suivant:</w:t>
      </w:r>
    </w:p>
    <w:p w14:paraId="671C0BB7" w14:textId="77777777" w:rsidR="008C3DE0" w:rsidRPr="00434E9D" w:rsidRDefault="008C3DE0" w:rsidP="00E96033">
      <w:pPr>
        <w:spacing w:line="360" w:lineRule="auto"/>
        <w:ind w:left="850"/>
      </w:pPr>
      <w:r w:rsidRPr="00434E9D">
        <w:t>«Article 8</w:t>
      </w:r>
    </w:p>
    <w:p w14:paraId="39FA4DDD" w14:textId="77777777" w:rsidR="008C3DE0" w:rsidRPr="00434E9D" w:rsidRDefault="008C3DE0" w:rsidP="00E96033">
      <w:pPr>
        <w:spacing w:line="360" w:lineRule="auto"/>
        <w:ind w:left="850"/>
      </w:pPr>
      <w:r w:rsidRPr="00434E9D">
        <w:t xml:space="preserve">Réexamen des annexes I à IV </w:t>
      </w:r>
    </w:p>
    <w:p w14:paraId="5289EB94" w14:textId="77777777" w:rsidR="008C3DE0" w:rsidRPr="00434E9D" w:rsidRDefault="008C3DE0" w:rsidP="00E96033">
      <w:pPr>
        <w:spacing w:line="360" w:lineRule="auto"/>
        <w:ind w:left="1416" w:hanging="566"/>
        <w:rPr>
          <w:b/>
        </w:rPr>
      </w:pPr>
      <w:r w:rsidRPr="00434E9D">
        <w:t>1.</w:t>
      </w:r>
      <w:r w:rsidRPr="00434E9D">
        <w:tab/>
        <w:t xml:space="preserve">La Commission réexamine, pour la première fois au plus tard le [OP: veuillez insérer la date, à savoir </w:t>
      </w:r>
      <w:proofErr w:type="spellStart"/>
      <w:r w:rsidRPr="00434E9D">
        <w:rPr>
          <w:strike/>
        </w:rPr>
        <w:t>six</w:t>
      </w:r>
      <w:r w:rsidRPr="00434E9D">
        <w:rPr>
          <w:b/>
          <w:i/>
        </w:rPr>
        <w:t>quatre</w:t>
      </w:r>
      <w:proofErr w:type="spellEnd"/>
      <w:r w:rsidRPr="00434E9D">
        <w:t xml:space="preserve"> ans après la date d’entrée en vigueur de la présente directive] et tous les </w:t>
      </w:r>
      <w:proofErr w:type="spellStart"/>
      <w:r w:rsidRPr="00434E9D">
        <w:rPr>
          <w:strike/>
        </w:rPr>
        <w:t>six</w:t>
      </w:r>
      <w:r w:rsidRPr="00434E9D">
        <w:rPr>
          <w:b/>
          <w:i/>
        </w:rPr>
        <w:t>quatre</w:t>
      </w:r>
      <w:proofErr w:type="spellEnd"/>
      <w:r w:rsidRPr="00434E9D">
        <w:t xml:space="preserve"> ans ensuite, la liste des polluants figurant à l’annexe I et les normes de qualité applicables à ces polluants figurant dans ladite annexe, ainsi que la liste des polluants et indicateurs figurant à l’annexe II, partie B.</w:t>
      </w:r>
      <w:r w:rsidR="00162D54" w:rsidRPr="00434E9D">
        <w:t xml:space="preserve"> </w:t>
      </w:r>
      <w:r w:rsidR="00162D54" w:rsidRPr="00434E9D">
        <w:rPr>
          <w:b/>
        </w:rPr>
        <w:t xml:space="preserve"> [Am. 96]</w:t>
      </w:r>
    </w:p>
    <w:p w14:paraId="101F73DF" w14:textId="77777777" w:rsidR="00162D54" w:rsidRPr="00434E9D" w:rsidRDefault="00162D54">
      <w:pPr>
        <w:widowControl/>
      </w:pPr>
      <w:r w:rsidRPr="00434E9D">
        <w:br w:type="page"/>
      </w:r>
    </w:p>
    <w:p w14:paraId="21ACE318" w14:textId="77777777" w:rsidR="008C3DE0" w:rsidRPr="00434E9D" w:rsidRDefault="008C3DE0" w:rsidP="00E96033">
      <w:pPr>
        <w:spacing w:line="360" w:lineRule="auto"/>
        <w:ind w:left="1416" w:hanging="566"/>
        <w:rPr>
          <w:b/>
        </w:rPr>
      </w:pPr>
      <w:r w:rsidRPr="00434E9D">
        <w:lastRenderedPageBreak/>
        <w:t>2.</w:t>
      </w:r>
      <w:r w:rsidRPr="00434E9D">
        <w:tab/>
      </w:r>
      <w:r w:rsidRPr="00434E9D">
        <w:rPr>
          <w:b/>
          <w:i/>
        </w:rPr>
        <w:t xml:space="preserve">Sur la base du réexamen, </w:t>
      </w:r>
      <w:r w:rsidRPr="00434E9D">
        <w:t xml:space="preserve">la Commission </w:t>
      </w:r>
      <w:r w:rsidRPr="00434E9D">
        <w:rPr>
          <w:strike/>
        </w:rPr>
        <w:t xml:space="preserve">est habilitée à adopter des actes délégués, conformément à l’article 8 </w:t>
      </w:r>
      <w:proofErr w:type="spellStart"/>
      <w:r w:rsidRPr="00434E9D">
        <w:rPr>
          <w:strike/>
        </w:rPr>
        <w:t>bis,</w:t>
      </w:r>
      <w:r w:rsidRPr="00434E9D">
        <w:rPr>
          <w:b/>
          <w:i/>
        </w:rPr>
        <w:t>présente</w:t>
      </w:r>
      <w:proofErr w:type="spellEnd"/>
      <w:r w:rsidRPr="00434E9D">
        <w:rPr>
          <w:b/>
          <w:i/>
        </w:rPr>
        <w:t>, le cas échéant, des propositions législatives</w:t>
      </w:r>
      <w:r w:rsidRPr="00434E9D">
        <w:t xml:space="preserve"> aux fins de modifier l’annexe I pour l’adapter au progrès technique et scientifique en ajoutant ou retirant des polluants des eaux souterraines et des normes de qualité applicables à ces polluants figurant dans ladite annexe</w:t>
      </w:r>
      <w:r w:rsidRPr="00434E9D">
        <w:rPr>
          <w:b/>
          <w:i/>
        </w:rPr>
        <w:t>. La Commission est habilitée à adopter des actes délégués, conformément à l’article 8 bis, aux fins</w:t>
      </w:r>
      <w:r w:rsidRPr="00434E9D">
        <w:rPr>
          <w:strike/>
        </w:rPr>
        <w:t>, et</w:t>
      </w:r>
      <w:r w:rsidRPr="00434E9D">
        <w:t xml:space="preserve"> de modifier </w:t>
      </w:r>
      <w:proofErr w:type="spellStart"/>
      <w:r w:rsidRPr="00434E9D">
        <w:rPr>
          <w:strike/>
        </w:rPr>
        <w:t>la</w:t>
      </w:r>
      <w:r w:rsidRPr="00434E9D">
        <w:rPr>
          <w:b/>
          <w:i/>
        </w:rPr>
        <w:t>l’annexe</w:t>
      </w:r>
      <w:proofErr w:type="spellEnd"/>
      <w:r w:rsidRPr="00434E9D">
        <w:rPr>
          <w:b/>
          <w:i/>
        </w:rPr>
        <w:t xml:space="preserve"> II,</w:t>
      </w:r>
      <w:r w:rsidRPr="00434E9D">
        <w:t xml:space="preserve"> partie B</w:t>
      </w:r>
      <w:r w:rsidRPr="00434E9D">
        <w:rPr>
          <w:b/>
          <w:i/>
        </w:rPr>
        <w:t>,</w:t>
      </w:r>
      <w:r w:rsidRPr="00434E9D">
        <w:t xml:space="preserve"> afin de l’adapter au progrès technique et scientifique en ajoutant ou en retirant des polluants ou des indicateurs pour lesquels les États membres doivent envisager de fixer des valeurs seuils nationales.</w:t>
      </w:r>
      <w:r w:rsidR="00162D54" w:rsidRPr="00434E9D">
        <w:t xml:space="preserve"> </w:t>
      </w:r>
      <w:r w:rsidR="00162D54" w:rsidRPr="00434E9D">
        <w:rPr>
          <w:b/>
        </w:rPr>
        <w:t xml:space="preserve"> [Am. 97]</w:t>
      </w:r>
    </w:p>
    <w:p w14:paraId="0090C23A" w14:textId="77777777" w:rsidR="008C3DE0" w:rsidRPr="00434E9D" w:rsidRDefault="008C3DE0" w:rsidP="00E96033">
      <w:pPr>
        <w:spacing w:line="360" w:lineRule="auto"/>
        <w:ind w:left="1416" w:hanging="566"/>
      </w:pPr>
      <w:r w:rsidRPr="00434E9D">
        <w:t>3.</w:t>
      </w:r>
      <w:r w:rsidRPr="00434E9D">
        <w:tab/>
        <w:t>La Commission est habilitée à adopter des actes délégués, conformément à l’article 8 bis, aux fins de modifier l’annexe II, partie D, pour l’adapter au progrès technique et scientifique en ajoutant ou modifiant des valeurs seuils harmonisées pour un ou plusieurs polluants répertoriés dans la partie B de ladite annexe.</w:t>
      </w:r>
    </w:p>
    <w:p w14:paraId="4C77C884" w14:textId="77777777" w:rsidR="008C3DE0" w:rsidRPr="00434E9D" w:rsidRDefault="008C3DE0" w:rsidP="00E96033">
      <w:pPr>
        <w:spacing w:line="360" w:lineRule="auto"/>
        <w:ind w:left="1416" w:hanging="566"/>
        <w:rPr>
          <w:b/>
        </w:rPr>
      </w:pPr>
      <w:r w:rsidRPr="00434E9D">
        <w:t>4.</w:t>
      </w:r>
      <w:r w:rsidRPr="00434E9D">
        <w:tab/>
        <w:t>Lorsqu’elle adopte</w:t>
      </w:r>
      <w:r w:rsidRPr="00434E9D">
        <w:rPr>
          <w:b/>
          <w:i/>
        </w:rPr>
        <w:t xml:space="preserve"> les propositions législatives et</w:t>
      </w:r>
      <w:r w:rsidRPr="00434E9D">
        <w:t xml:space="preserve"> les actes délégués visés aux paragraphes 2 et 3, la Commission prend en considération les rapports scientifiques préparés par l’ECHA en application du paragraphe 6 du présent article.</w:t>
      </w:r>
      <w:r w:rsidR="00162D54" w:rsidRPr="00434E9D">
        <w:t xml:space="preserve"> </w:t>
      </w:r>
      <w:r w:rsidR="00162D54" w:rsidRPr="00434E9D">
        <w:rPr>
          <w:b/>
        </w:rPr>
        <w:t xml:space="preserve"> [Am. 98]</w:t>
      </w:r>
    </w:p>
    <w:p w14:paraId="2A54588E" w14:textId="77777777" w:rsidR="00162D54" w:rsidRPr="00434E9D" w:rsidRDefault="00162D54">
      <w:pPr>
        <w:widowControl/>
      </w:pPr>
      <w:r w:rsidRPr="00434E9D">
        <w:br w:type="page"/>
      </w:r>
    </w:p>
    <w:p w14:paraId="00D61469" w14:textId="77777777" w:rsidR="008C3DE0" w:rsidRPr="00434E9D" w:rsidRDefault="008C3DE0" w:rsidP="00E96033">
      <w:pPr>
        <w:spacing w:line="360" w:lineRule="auto"/>
        <w:ind w:left="1416" w:hanging="566"/>
      </w:pPr>
      <w:r w:rsidRPr="00434E9D">
        <w:lastRenderedPageBreak/>
        <w:t>5.</w:t>
      </w:r>
      <w:r w:rsidRPr="00434E9D">
        <w:tab/>
        <w:t>La Commission est habilitée à adopter des actes délégués, conformément à l’article 8 bis, aux fins de modifier l’annexe II, parties A et C, et les annexes III et IV afin de les adapter au progrès scientifique et technique.</w:t>
      </w:r>
    </w:p>
    <w:p w14:paraId="2FD9A4F0" w14:textId="77777777" w:rsidR="008C3DE0" w:rsidRPr="00434E9D" w:rsidRDefault="008C3DE0" w:rsidP="00E96033">
      <w:pPr>
        <w:spacing w:line="360" w:lineRule="auto"/>
        <w:ind w:left="1416" w:hanging="566"/>
      </w:pPr>
      <w:r w:rsidRPr="00434E9D">
        <w:t>6.</w:t>
      </w:r>
      <w:r w:rsidRPr="00434E9D">
        <w:tab/>
        <w:t>Aux fins d’aider la Commission dans le cadre du réexamen des annexes I et II, l’ECHA prépare des rapports scientifiques. Ces rapports tiennent compte des éléments suivants:</w:t>
      </w:r>
    </w:p>
    <w:p w14:paraId="4B9945C8" w14:textId="77777777" w:rsidR="008C3DE0" w:rsidRPr="00434E9D" w:rsidRDefault="008C3DE0" w:rsidP="00E96033">
      <w:pPr>
        <w:spacing w:line="360" w:lineRule="auto"/>
        <w:ind w:left="1982" w:hanging="566"/>
      </w:pPr>
      <w:r w:rsidRPr="00434E9D">
        <w:t>a)</w:t>
      </w:r>
      <w:r w:rsidRPr="00434E9D">
        <w:tab/>
        <w:t>l’avis du comité d’évaluation des risques et du comité d’analyse socioéconomique de l’ECHA;</w:t>
      </w:r>
    </w:p>
    <w:p w14:paraId="5216F0A5" w14:textId="77777777" w:rsidR="008C3DE0" w:rsidRPr="00434E9D" w:rsidRDefault="008C3DE0" w:rsidP="00E96033">
      <w:pPr>
        <w:spacing w:line="360" w:lineRule="auto"/>
        <w:ind w:left="1982" w:hanging="566"/>
      </w:pPr>
      <w:r w:rsidRPr="00434E9D">
        <w:t>b)</w:t>
      </w:r>
      <w:r w:rsidRPr="00434E9D">
        <w:tab/>
        <w:t>les résultats des programmes de surveillance établis conformément à l’article 8 de la directive 2000/60/CE;</w:t>
      </w:r>
    </w:p>
    <w:p w14:paraId="551ACA26" w14:textId="77777777" w:rsidR="008C3DE0" w:rsidRPr="00434E9D" w:rsidRDefault="008C3DE0" w:rsidP="00E96033">
      <w:pPr>
        <w:spacing w:line="360" w:lineRule="auto"/>
        <w:ind w:left="1982" w:hanging="566"/>
      </w:pPr>
      <w:r w:rsidRPr="00434E9D">
        <w:t>c)</w:t>
      </w:r>
      <w:r w:rsidRPr="00434E9D">
        <w:tab/>
        <w:t>les données de surveillance recueillies conformément à l’article 6 bis, paragraphe 4, de la présente directive;</w:t>
      </w:r>
    </w:p>
    <w:p w14:paraId="7FC9F655" w14:textId="77777777" w:rsidR="008C3DE0" w:rsidRPr="00434E9D" w:rsidRDefault="008C3DE0" w:rsidP="00E96033">
      <w:pPr>
        <w:spacing w:line="360" w:lineRule="auto"/>
        <w:ind w:left="1982" w:hanging="566"/>
      </w:pPr>
      <w:r w:rsidRPr="00434E9D">
        <w:t>d)</w:t>
      </w:r>
      <w:r w:rsidRPr="00434E9D">
        <w:tab/>
        <w:t>le résultat des réexamens des annexes de la directive 2008/105/CE et de la directive (UE) 2020/2184;</w:t>
      </w:r>
    </w:p>
    <w:p w14:paraId="01FC159E" w14:textId="77777777" w:rsidR="00162D54" w:rsidRPr="00434E9D" w:rsidRDefault="00162D54">
      <w:pPr>
        <w:widowControl/>
      </w:pPr>
      <w:r w:rsidRPr="00434E9D">
        <w:br w:type="page"/>
      </w:r>
    </w:p>
    <w:p w14:paraId="3ED5EFE4" w14:textId="77777777" w:rsidR="008C3DE0" w:rsidRPr="00434E9D" w:rsidRDefault="008C3DE0" w:rsidP="00E96033">
      <w:pPr>
        <w:spacing w:line="360" w:lineRule="auto"/>
        <w:ind w:left="1982" w:hanging="566"/>
      </w:pPr>
      <w:r w:rsidRPr="00434E9D">
        <w:lastRenderedPageBreak/>
        <w:t>e)</w:t>
      </w:r>
      <w:r w:rsidRPr="00434E9D">
        <w:tab/>
        <w:t>les informations et les exigences en matière de lutte contre la pollution des sols;</w:t>
      </w:r>
    </w:p>
    <w:p w14:paraId="3060DF17" w14:textId="77777777" w:rsidR="008C3DE0" w:rsidRPr="00434E9D" w:rsidRDefault="008C3DE0" w:rsidP="00E96033">
      <w:pPr>
        <w:spacing w:line="360" w:lineRule="auto"/>
        <w:ind w:left="1982" w:hanging="566"/>
        <w:rPr>
          <w:b/>
        </w:rPr>
      </w:pPr>
      <w:r w:rsidRPr="00434E9D">
        <w:t>f)</w:t>
      </w:r>
      <w:r w:rsidRPr="00434E9D">
        <w:tab/>
        <w:t>les programmes de recherche et les publications scientifiques de l’Union, y compris les informations</w:t>
      </w:r>
      <w:r w:rsidRPr="00434E9D">
        <w:rPr>
          <w:b/>
          <w:i/>
        </w:rPr>
        <w:t xml:space="preserve"> actualisées</w:t>
      </w:r>
      <w:r w:rsidRPr="00434E9D">
        <w:t xml:space="preserve"> obtenues grâce aux technologies de télédétection, à l’observation de la terre (services </w:t>
      </w:r>
      <w:proofErr w:type="spellStart"/>
      <w:r w:rsidRPr="00434E9D">
        <w:t>Copernicus</w:t>
      </w:r>
      <w:proofErr w:type="spellEnd"/>
      <w:r w:rsidRPr="00434E9D">
        <w:t xml:space="preserve">) et aux capteurs et dispositifs in situ, ou les données issues des sciences citoyennes, exploitant les possibilités offertes par </w:t>
      </w:r>
      <w:r w:rsidRPr="00434E9D">
        <w:rPr>
          <w:b/>
          <w:i/>
        </w:rPr>
        <w:t xml:space="preserve">les meilleures techniques disponibles, qui peuvent comprendre </w:t>
      </w:r>
      <w:r w:rsidRPr="00434E9D">
        <w:t>l’intelligence artificielle et l’analyse et le traitement avancés des données;</w:t>
      </w:r>
      <w:r w:rsidR="00162D54" w:rsidRPr="00434E9D">
        <w:t xml:space="preserve"> </w:t>
      </w:r>
      <w:r w:rsidR="00162D54" w:rsidRPr="00434E9D">
        <w:rPr>
          <w:b/>
        </w:rPr>
        <w:t xml:space="preserve"> [Am. 99]</w:t>
      </w:r>
    </w:p>
    <w:p w14:paraId="0F5B36FF" w14:textId="77777777" w:rsidR="008C3DE0" w:rsidRPr="00434E9D" w:rsidRDefault="008C3DE0" w:rsidP="00E96033">
      <w:pPr>
        <w:spacing w:line="360" w:lineRule="auto"/>
        <w:ind w:left="1982" w:hanging="566"/>
        <w:rPr>
          <w:b/>
        </w:rPr>
      </w:pPr>
      <w:r w:rsidRPr="00434E9D">
        <w:t>g)</w:t>
      </w:r>
      <w:r w:rsidRPr="00434E9D">
        <w:tab/>
        <w:t>les commentaires et les informations des parties concernées pertinentes</w:t>
      </w:r>
      <w:r w:rsidRPr="00434E9D">
        <w:rPr>
          <w:b/>
          <w:i/>
        </w:rPr>
        <w:t>, y compris des autorités de régulation nationales et d’autres organismes compétents</w:t>
      </w:r>
      <w:r w:rsidRPr="00434E9D">
        <w:t>.</w:t>
      </w:r>
      <w:r w:rsidR="00162D54" w:rsidRPr="00434E9D">
        <w:t xml:space="preserve"> </w:t>
      </w:r>
      <w:r w:rsidR="00162D54" w:rsidRPr="00434E9D">
        <w:rPr>
          <w:b/>
        </w:rPr>
        <w:t xml:space="preserve"> [Am. 100]</w:t>
      </w:r>
    </w:p>
    <w:p w14:paraId="39598C9C" w14:textId="77777777" w:rsidR="008C3DE0" w:rsidRPr="00434E9D" w:rsidRDefault="00162D54" w:rsidP="00E96033">
      <w:pPr>
        <w:spacing w:line="360" w:lineRule="auto"/>
        <w:ind w:left="1416" w:hanging="566"/>
        <w:rPr>
          <w:b/>
        </w:rPr>
      </w:pPr>
      <w:r w:rsidRPr="00434E9D">
        <w:rPr>
          <w:b/>
          <w:i/>
        </w:rPr>
        <w:t>6 bis</w:t>
      </w:r>
      <w:r w:rsidR="008C3DE0" w:rsidRPr="00434E9D">
        <w:rPr>
          <w:b/>
          <w:i/>
        </w:rPr>
        <w:t>.</w:t>
      </w:r>
      <w:r w:rsidR="008C3DE0" w:rsidRPr="00434E9D">
        <w:tab/>
      </w:r>
      <w:r w:rsidR="008C3DE0" w:rsidRPr="00434E9D">
        <w:rPr>
          <w:b/>
          <w:i/>
        </w:rPr>
        <w:t xml:space="preserve">Au plus tard le 12 janvier 2025, la Commission établit des lignes directrices techniques concernant les méthodes d’analyse pour la surveillance des substances alkylées per- et </w:t>
      </w:r>
      <w:proofErr w:type="spellStart"/>
      <w:r w:rsidR="008C3DE0" w:rsidRPr="00434E9D">
        <w:rPr>
          <w:b/>
          <w:i/>
        </w:rPr>
        <w:t>polyfluorées</w:t>
      </w:r>
      <w:proofErr w:type="spellEnd"/>
      <w:r w:rsidR="008C3DE0" w:rsidRPr="00434E9D">
        <w:rPr>
          <w:b/>
          <w:i/>
        </w:rPr>
        <w:t xml:space="preserve"> en vertu des paramètres «PFAS – total». La Commission est habilitée à adopter des actes délégués conformément à l’article 8 bis aux fins de modifier la présente directive en fixant une norme de qualité pour le «PFAS – total» et de modifier l’annexe I en conséquence. La Commission adopte ces actes délégués le 12 janvier 2026 au plus tard.</w:t>
      </w:r>
      <w:r w:rsidRPr="00434E9D">
        <w:rPr>
          <w:b/>
          <w:i/>
        </w:rPr>
        <w:t xml:space="preserve"> </w:t>
      </w:r>
      <w:r w:rsidRPr="00434E9D">
        <w:rPr>
          <w:b/>
        </w:rPr>
        <w:t xml:space="preserve"> [Am. 101]</w:t>
      </w:r>
    </w:p>
    <w:p w14:paraId="3B740A73" w14:textId="77777777" w:rsidR="00162D54" w:rsidRPr="00434E9D" w:rsidRDefault="00162D54">
      <w:pPr>
        <w:widowControl/>
      </w:pPr>
      <w:r w:rsidRPr="00434E9D">
        <w:br w:type="page"/>
      </w:r>
    </w:p>
    <w:p w14:paraId="6DC1A615" w14:textId="77777777" w:rsidR="008C3DE0" w:rsidRPr="00434E9D" w:rsidRDefault="008C3DE0" w:rsidP="00E96033">
      <w:pPr>
        <w:spacing w:line="360" w:lineRule="auto"/>
        <w:ind w:left="1416" w:hanging="566"/>
        <w:rPr>
          <w:b/>
        </w:rPr>
      </w:pPr>
      <w:r w:rsidRPr="00434E9D">
        <w:lastRenderedPageBreak/>
        <w:t>7.</w:t>
      </w:r>
      <w:r w:rsidRPr="00434E9D">
        <w:tab/>
        <w:t xml:space="preserve">Tous les </w:t>
      </w:r>
      <w:proofErr w:type="spellStart"/>
      <w:r w:rsidRPr="00434E9D">
        <w:rPr>
          <w:strike/>
        </w:rPr>
        <w:t>six</w:t>
      </w:r>
      <w:r w:rsidRPr="00434E9D">
        <w:rPr>
          <w:b/>
          <w:i/>
        </w:rPr>
        <w:t>quatre</w:t>
      </w:r>
      <w:proofErr w:type="spellEnd"/>
      <w:r w:rsidRPr="00434E9D">
        <w:t xml:space="preserve"> ans, l’ECHA prépare et rend public un rapport résumant les conclusions du réexamen visé aux paragraphes 2 et 3. Le premier rapport est présenté à la Commission le … [OP: veuillez insérer la date, à savoir </w:t>
      </w:r>
      <w:proofErr w:type="spellStart"/>
      <w:r w:rsidRPr="00434E9D">
        <w:rPr>
          <w:strike/>
        </w:rPr>
        <w:t>cinq</w:t>
      </w:r>
      <w:r w:rsidRPr="00434E9D">
        <w:rPr>
          <w:b/>
          <w:i/>
        </w:rPr>
        <w:t>trois</w:t>
      </w:r>
      <w:proofErr w:type="spellEnd"/>
      <w:r w:rsidRPr="00434E9D">
        <w:t xml:space="preserve"> ans après la date d’entrée en vigueur de la présente directive].</w:t>
      </w:r>
      <w:r w:rsidRPr="00434E9D">
        <w:rPr>
          <w:strike/>
        </w:rPr>
        <w:t>;</w:t>
      </w:r>
      <w:r w:rsidRPr="00434E9D">
        <w:t>»</w:t>
      </w:r>
      <w:r w:rsidR="00162D54" w:rsidRPr="00434E9D">
        <w:t xml:space="preserve"> </w:t>
      </w:r>
      <w:r w:rsidR="00162D54" w:rsidRPr="00434E9D">
        <w:rPr>
          <w:b/>
        </w:rPr>
        <w:t xml:space="preserve"> [Am. 102]</w:t>
      </w:r>
    </w:p>
    <w:p w14:paraId="390D5855" w14:textId="77777777" w:rsidR="008C3DE0" w:rsidRPr="00434E9D" w:rsidRDefault="00162D54" w:rsidP="00E96033">
      <w:pPr>
        <w:spacing w:line="360" w:lineRule="auto"/>
        <w:ind w:left="850" w:hanging="850"/>
      </w:pPr>
      <w:r w:rsidRPr="00434E9D">
        <w:t>(8)</w:t>
      </w:r>
      <w:r w:rsidRPr="00434E9D">
        <w:tab/>
        <w:t>L</w:t>
      </w:r>
      <w:r w:rsidR="008C3DE0" w:rsidRPr="00434E9D">
        <w:t>’article 8 bis suivant est inséré:</w:t>
      </w:r>
    </w:p>
    <w:p w14:paraId="50029383" w14:textId="77777777" w:rsidR="008C3DE0" w:rsidRPr="00434E9D" w:rsidRDefault="008C3DE0" w:rsidP="00E96033">
      <w:pPr>
        <w:spacing w:line="360" w:lineRule="auto"/>
        <w:ind w:left="850"/>
      </w:pPr>
      <w:r w:rsidRPr="00434E9D">
        <w:t>«</w:t>
      </w:r>
      <w:r w:rsidR="00162D54" w:rsidRPr="00434E9D">
        <w:t xml:space="preserve"> </w:t>
      </w:r>
      <w:r w:rsidRPr="00434E9D">
        <w:t>Article 8 bis</w:t>
      </w:r>
    </w:p>
    <w:p w14:paraId="0DE1F23E" w14:textId="77777777" w:rsidR="008C3DE0" w:rsidRPr="00434E9D" w:rsidRDefault="008C3DE0" w:rsidP="00E96033">
      <w:pPr>
        <w:spacing w:line="360" w:lineRule="auto"/>
        <w:ind w:left="850"/>
      </w:pPr>
      <w:r w:rsidRPr="00434E9D">
        <w:t>Exercice de la délégation</w:t>
      </w:r>
    </w:p>
    <w:p w14:paraId="3016EC59" w14:textId="77777777" w:rsidR="008C3DE0" w:rsidRPr="00434E9D" w:rsidRDefault="008C3DE0" w:rsidP="00E96033">
      <w:pPr>
        <w:spacing w:line="360" w:lineRule="auto"/>
        <w:ind w:left="1416" w:hanging="566"/>
      </w:pPr>
      <w:r w:rsidRPr="00434E9D">
        <w:t>1.</w:t>
      </w:r>
      <w:r w:rsidRPr="00434E9D">
        <w:tab/>
        <w:t>Le pouvoir d’adopter des actes délégués est conféré à la Commission sous réserve des conditions fixées au présent article.</w:t>
      </w:r>
    </w:p>
    <w:p w14:paraId="7A75D22B" w14:textId="77777777" w:rsidR="008C3DE0" w:rsidRPr="00434E9D" w:rsidRDefault="008C3DE0" w:rsidP="00E96033">
      <w:pPr>
        <w:spacing w:line="360" w:lineRule="auto"/>
        <w:ind w:left="1416" w:hanging="566"/>
        <w:rPr>
          <w:b/>
        </w:rPr>
      </w:pPr>
      <w:r w:rsidRPr="00434E9D">
        <w:t>2.</w:t>
      </w:r>
      <w:r w:rsidRPr="00434E9D">
        <w:tab/>
        <w:t xml:space="preserve">Le pouvoir d’adopter des actes délégués visé à l’article 8, paragraphes </w:t>
      </w:r>
      <w:r w:rsidRPr="00434E9D">
        <w:rPr>
          <w:strike/>
        </w:rPr>
        <w:t>1 et 2</w:t>
      </w:r>
      <w:r w:rsidRPr="00434E9D">
        <w:rPr>
          <w:b/>
          <w:i/>
        </w:rPr>
        <w:t>2, 3 et 6 bis</w:t>
      </w:r>
      <w:r w:rsidRPr="00434E9D">
        <w:t xml:space="preserve">, est conféré à la Commission pour une </w:t>
      </w:r>
      <w:r w:rsidRPr="00434E9D">
        <w:rPr>
          <w:strike/>
        </w:rPr>
        <w:t xml:space="preserve">durée </w:t>
      </w:r>
      <w:proofErr w:type="spellStart"/>
      <w:r w:rsidRPr="00434E9D">
        <w:rPr>
          <w:strike/>
        </w:rPr>
        <w:t>indéterminée</w:t>
      </w:r>
      <w:r w:rsidRPr="00434E9D">
        <w:rPr>
          <w:b/>
          <w:i/>
        </w:rPr>
        <w:t>période</w:t>
      </w:r>
      <w:proofErr w:type="spellEnd"/>
      <w:r w:rsidRPr="00434E9D">
        <w:rPr>
          <w:b/>
          <w:i/>
        </w:rPr>
        <w:t xml:space="preserve"> de six ans</w:t>
      </w:r>
      <w:r w:rsidRPr="00434E9D">
        <w:t xml:space="preserve"> à compter du [</w:t>
      </w:r>
      <w:r w:rsidRPr="00434E9D">
        <w:rPr>
          <w:strike/>
        </w:rPr>
        <w:t xml:space="preserve">OP: veuille insérer la date = la </w:t>
      </w:r>
      <w:r w:rsidRPr="00434E9D">
        <w:t>date d’entrée en vigueur de la présente directive].</w:t>
      </w:r>
      <w:r w:rsidRPr="00434E9D">
        <w:rPr>
          <w:b/>
          <w:i/>
        </w:rPr>
        <w:t xml:space="preserve"> La Commission élabore un rapport relatif à la délégation de pouvoir au plus tard neuf mois avant la fin de la période de six ans. La délégation de pouvoir est tacitement prorogée pour des périodes d’une durée identique, sauf si le Parlement européen ou le Conseil s’oppose à cette prorogation trois mois au plus tard avant la fin de chaque période.</w:t>
      </w:r>
      <w:r w:rsidR="00162D54" w:rsidRPr="00434E9D">
        <w:rPr>
          <w:b/>
          <w:i/>
        </w:rPr>
        <w:t xml:space="preserve"> </w:t>
      </w:r>
      <w:r w:rsidR="00162D54" w:rsidRPr="00434E9D">
        <w:rPr>
          <w:b/>
        </w:rPr>
        <w:t xml:space="preserve"> [Am. 103]</w:t>
      </w:r>
    </w:p>
    <w:p w14:paraId="150CB289" w14:textId="77777777" w:rsidR="00162D54" w:rsidRPr="00434E9D" w:rsidRDefault="00162D54">
      <w:pPr>
        <w:widowControl/>
      </w:pPr>
      <w:r w:rsidRPr="00434E9D">
        <w:br w:type="page"/>
      </w:r>
    </w:p>
    <w:p w14:paraId="2329EF70" w14:textId="77777777" w:rsidR="008C3DE0" w:rsidRPr="00434E9D" w:rsidRDefault="008C3DE0" w:rsidP="00E96033">
      <w:pPr>
        <w:spacing w:line="360" w:lineRule="auto"/>
        <w:ind w:left="1416" w:hanging="566"/>
        <w:rPr>
          <w:b/>
        </w:rPr>
      </w:pPr>
      <w:r w:rsidRPr="00434E9D">
        <w:lastRenderedPageBreak/>
        <w:t>3.</w:t>
      </w:r>
      <w:r w:rsidRPr="00434E9D">
        <w:tab/>
        <w:t xml:space="preserve">La délégation de pouvoir visée à l’article 8, paragraphes </w:t>
      </w:r>
      <w:r w:rsidRPr="00434E9D">
        <w:rPr>
          <w:strike/>
        </w:rPr>
        <w:t>1 et 2</w:t>
      </w:r>
      <w:r w:rsidRPr="00434E9D">
        <w:rPr>
          <w:b/>
          <w:i/>
        </w:rPr>
        <w:t>2, 3 et 6 bis</w:t>
      </w:r>
      <w:r w:rsidRPr="00434E9D">
        <w:t xml:space="preserve">, peut être révoquée à tout moment par le Parlement européen ou le Conseil. La décision de révocation met fin à la délégation de pouvoir qui y est précisée. La révocation prend effet le jour suivant celui de la publication de ladite décision au </w:t>
      </w:r>
      <w:r w:rsidRPr="00434E9D">
        <w:rPr>
          <w:i/>
        </w:rPr>
        <w:t>Journal officiel de l’Union européenne</w:t>
      </w:r>
      <w:r w:rsidRPr="00434E9D">
        <w:t xml:space="preserve"> ou à une date ultérieure qui est précisée dans ladite décision. Elle n’affecte pas la validité des actes délégués déjà en vigueur.</w:t>
      </w:r>
      <w:r w:rsidR="00162D54" w:rsidRPr="00434E9D">
        <w:t xml:space="preserve"> </w:t>
      </w:r>
      <w:r w:rsidR="00162D54" w:rsidRPr="00434E9D">
        <w:rPr>
          <w:b/>
        </w:rPr>
        <w:t xml:space="preserve"> [Am. 104]</w:t>
      </w:r>
    </w:p>
    <w:p w14:paraId="1AD361F9" w14:textId="77777777" w:rsidR="008C3DE0" w:rsidRPr="00434E9D" w:rsidRDefault="008C3DE0" w:rsidP="00E96033">
      <w:pPr>
        <w:spacing w:line="360" w:lineRule="auto"/>
        <w:ind w:left="1416" w:hanging="566"/>
        <w:rPr>
          <w:b/>
        </w:rPr>
      </w:pPr>
      <w:r w:rsidRPr="00434E9D">
        <w:t>4.</w:t>
      </w:r>
      <w:r w:rsidRPr="00434E9D">
        <w:tab/>
        <w:t>Avant l’adoption d’un acte délégué, la Commission consulte les experts désignés par chaque État membre, conformément aux principes définis dans l’accord interinstitutionnel du 13 avril 2016 «Mieux légiférer».</w:t>
      </w:r>
      <w:r w:rsidR="00162D54" w:rsidRPr="00434E9D">
        <w:t xml:space="preserve"> </w:t>
      </w:r>
      <w:r w:rsidR="00162D54" w:rsidRPr="00434E9D">
        <w:rPr>
          <w:b/>
        </w:rPr>
        <w:t xml:space="preserve"> [Am. 105</w:t>
      </w:r>
      <w:r w:rsidR="00DA20D4" w:rsidRPr="00434E9D">
        <w:rPr>
          <w:b/>
        </w:rPr>
        <w:t xml:space="preserve"> – </w:t>
      </w:r>
      <w:r w:rsidR="00DA20D4" w:rsidRPr="00434E9D">
        <w:rPr>
          <w:b/>
          <w:i/>
        </w:rPr>
        <w:t>ne concerne pas la version française</w:t>
      </w:r>
      <w:r w:rsidR="00162D54" w:rsidRPr="00434E9D">
        <w:rPr>
          <w:b/>
        </w:rPr>
        <w:t>]</w:t>
      </w:r>
    </w:p>
    <w:p w14:paraId="3A624F78" w14:textId="77777777" w:rsidR="008C3DE0" w:rsidRPr="00434E9D" w:rsidRDefault="008C3DE0" w:rsidP="00E96033">
      <w:pPr>
        <w:spacing w:line="360" w:lineRule="auto"/>
        <w:ind w:left="1416" w:hanging="566"/>
      </w:pPr>
      <w:r w:rsidRPr="00434E9D">
        <w:t>5.</w:t>
      </w:r>
      <w:r w:rsidRPr="00434E9D">
        <w:tab/>
        <w:t>Aussitôt qu’elle adopte un acte délégué, la Commission le notifie simultanément au Parlement européen et au Conseil.</w:t>
      </w:r>
    </w:p>
    <w:p w14:paraId="688F8968" w14:textId="77777777" w:rsidR="00162D54" w:rsidRPr="00434E9D" w:rsidRDefault="00162D54">
      <w:pPr>
        <w:widowControl/>
      </w:pPr>
      <w:r w:rsidRPr="00434E9D">
        <w:br w:type="page"/>
      </w:r>
    </w:p>
    <w:p w14:paraId="65973A50" w14:textId="77777777" w:rsidR="008C3DE0" w:rsidRPr="00434E9D" w:rsidRDefault="008C3DE0" w:rsidP="00E96033">
      <w:pPr>
        <w:spacing w:line="360" w:lineRule="auto"/>
        <w:ind w:left="1416" w:hanging="566"/>
        <w:rPr>
          <w:b/>
        </w:rPr>
      </w:pPr>
      <w:r w:rsidRPr="00434E9D">
        <w:lastRenderedPageBreak/>
        <w:t>6.</w:t>
      </w:r>
      <w:r w:rsidRPr="00434E9D">
        <w:tab/>
        <w:t xml:space="preserve">Un acte délégué adopté en vertu de l’article 8, paragraphe </w:t>
      </w:r>
      <w:r w:rsidRPr="00434E9D">
        <w:rPr>
          <w:strike/>
        </w:rPr>
        <w:t>1 ou 2</w:t>
      </w:r>
      <w:r w:rsidRPr="00434E9D">
        <w:rPr>
          <w:b/>
          <w:i/>
        </w:rPr>
        <w:t>2, 3 ou 6 bis</w:t>
      </w:r>
      <w:r w:rsidRPr="00434E9D">
        <w:t>, n’entre en vigueur que si le Parlement européen ou le Conseil n’a pas exprimé d’objections dans un délai de deux mois à compter de la notification de cet acte au Parlement européen et au Conseil ou si, avant l’expiration de ce délai, le Parlement européen et le Conseil ont tous deux informé la Commission de leur intention de ne pas exprimer d’objections. Ce délai est prolongé de deux mois à l’initiative du Parlement européen ou du Conseil.</w:t>
      </w:r>
      <w:r w:rsidRPr="00434E9D">
        <w:rPr>
          <w:strike/>
        </w:rPr>
        <w:t>;</w:t>
      </w:r>
      <w:r w:rsidRPr="00434E9D">
        <w:t>»</w:t>
      </w:r>
      <w:r w:rsidR="00162D54" w:rsidRPr="00434E9D">
        <w:t xml:space="preserve"> </w:t>
      </w:r>
      <w:r w:rsidR="00162D54" w:rsidRPr="00434E9D">
        <w:rPr>
          <w:b/>
        </w:rPr>
        <w:t xml:space="preserve"> [Am. 106]</w:t>
      </w:r>
    </w:p>
    <w:p w14:paraId="75A4FF9A" w14:textId="77777777" w:rsidR="008C3DE0" w:rsidRPr="00434E9D" w:rsidRDefault="00162D54" w:rsidP="00E96033">
      <w:pPr>
        <w:spacing w:line="360" w:lineRule="auto"/>
        <w:ind w:left="850" w:hanging="850"/>
      </w:pPr>
      <w:r w:rsidRPr="00434E9D">
        <w:t>9)</w:t>
      </w:r>
      <w:r w:rsidRPr="00434E9D">
        <w:tab/>
        <w:t>L</w:t>
      </w:r>
      <w:r w:rsidR="008C3DE0" w:rsidRPr="00434E9D">
        <w:t>’article 9 est remplacé par le texte suivant:</w:t>
      </w:r>
    </w:p>
    <w:p w14:paraId="55EEB067" w14:textId="77777777" w:rsidR="008C3DE0" w:rsidRPr="00434E9D" w:rsidRDefault="008C3DE0" w:rsidP="00E96033">
      <w:pPr>
        <w:spacing w:line="360" w:lineRule="auto"/>
        <w:ind w:left="850"/>
      </w:pPr>
      <w:r w:rsidRPr="00434E9D">
        <w:t>«Article 9</w:t>
      </w:r>
    </w:p>
    <w:p w14:paraId="40F24A31" w14:textId="77777777" w:rsidR="008C3DE0" w:rsidRPr="00434E9D" w:rsidRDefault="008C3DE0" w:rsidP="00E96033">
      <w:pPr>
        <w:spacing w:line="360" w:lineRule="auto"/>
        <w:ind w:left="850"/>
      </w:pPr>
      <w:r w:rsidRPr="00434E9D">
        <w:t>Comité</w:t>
      </w:r>
    </w:p>
    <w:p w14:paraId="2A150D6C" w14:textId="77777777" w:rsidR="008C3DE0" w:rsidRPr="00434E9D" w:rsidRDefault="008C3DE0" w:rsidP="00E96033">
      <w:pPr>
        <w:spacing w:line="360" w:lineRule="auto"/>
        <w:ind w:left="1416" w:hanging="566"/>
      </w:pPr>
      <w:r w:rsidRPr="00434E9D">
        <w:t>1.</w:t>
      </w:r>
      <w:r w:rsidRPr="00434E9D">
        <w:tab/>
        <w:t>La Commission est assistée par un comité. Ledit comité est un comité au sens du règlement (UE) nº 182/2011 du Parlement européen et du Conseil*.</w:t>
      </w:r>
    </w:p>
    <w:p w14:paraId="04B0B6FD" w14:textId="77777777" w:rsidR="00162D54" w:rsidRPr="00434E9D" w:rsidRDefault="00162D54">
      <w:pPr>
        <w:widowControl/>
      </w:pPr>
      <w:r w:rsidRPr="00434E9D">
        <w:br w:type="page"/>
      </w:r>
    </w:p>
    <w:p w14:paraId="0A68B7B8" w14:textId="77777777" w:rsidR="008C3DE0" w:rsidRPr="00434E9D" w:rsidRDefault="008C3DE0" w:rsidP="00E96033">
      <w:pPr>
        <w:spacing w:line="360" w:lineRule="auto"/>
        <w:ind w:left="1416" w:hanging="566"/>
      </w:pPr>
      <w:r w:rsidRPr="00434E9D">
        <w:lastRenderedPageBreak/>
        <w:t>2.</w:t>
      </w:r>
      <w:r w:rsidRPr="00434E9D">
        <w:tab/>
        <w:t>Dans le cas où il est fait référence au présent paragraphe, l’article 5 du règlement (UE) nº 182/2011 s’applique.</w:t>
      </w:r>
    </w:p>
    <w:p w14:paraId="6E5CBCF9" w14:textId="77777777" w:rsidR="008C3DE0" w:rsidRPr="00434E9D" w:rsidRDefault="008C3DE0" w:rsidP="00E96033">
      <w:pPr>
        <w:spacing w:line="360" w:lineRule="auto"/>
        <w:ind w:left="850"/>
      </w:pPr>
      <w:r w:rsidRPr="00434E9D">
        <w:t>Dans le cas où le comité n’émet aucun avis, la Commission n’adopte pas le projet d’acte d’exécution et l’article 5, paragraphe 4, troisième alinéa, du règlement (UE) nº 182/2011 s’applique.</w:t>
      </w:r>
    </w:p>
    <w:p w14:paraId="76CA7FF5" w14:textId="77777777" w:rsidR="008C3DE0" w:rsidRPr="00434E9D" w:rsidRDefault="008C3DE0" w:rsidP="00E96033">
      <w:pPr>
        <w:spacing w:line="360" w:lineRule="auto"/>
        <w:ind w:left="850"/>
      </w:pPr>
      <w:r w:rsidRPr="00434E9D">
        <w:t>* Règlement (UE) nº 182/2011 du Parlement européen et du Conseil du 16 février 2011 établissant les règles et principes généraux relatifs aux modalités de contrôle par les États membres de l’exercice des compétences d’exécution par la Commission (JO L 55 du 28.2.2011, p. 13).;»</w:t>
      </w:r>
    </w:p>
    <w:p w14:paraId="519BE299" w14:textId="77777777" w:rsidR="008C3DE0" w:rsidRPr="00434E9D" w:rsidRDefault="00162D54" w:rsidP="00E96033">
      <w:pPr>
        <w:spacing w:line="360" w:lineRule="auto"/>
        <w:ind w:left="850" w:hanging="850"/>
      </w:pPr>
      <w:r w:rsidRPr="00434E9D">
        <w:t>10)</w:t>
      </w:r>
      <w:r w:rsidRPr="00434E9D">
        <w:tab/>
        <w:t>L</w:t>
      </w:r>
      <w:r w:rsidR="008C3DE0" w:rsidRPr="00434E9D">
        <w:t>’article 10 est supprimé;</w:t>
      </w:r>
    </w:p>
    <w:p w14:paraId="6450E684" w14:textId="77777777" w:rsidR="008C3DE0" w:rsidRPr="00434E9D" w:rsidRDefault="00162D54" w:rsidP="00E96033">
      <w:pPr>
        <w:spacing w:line="360" w:lineRule="auto"/>
        <w:ind w:left="850" w:hanging="850"/>
      </w:pPr>
      <w:r w:rsidRPr="00434E9D">
        <w:t>11)</w:t>
      </w:r>
      <w:r w:rsidRPr="00434E9D">
        <w:tab/>
        <w:t>L</w:t>
      </w:r>
      <w:r w:rsidR="008C3DE0" w:rsidRPr="00434E9D">
        <w:t>’annexe I est remplacée par le texte figurant à l’annexe III de la présente directive;</w:t>
      </w:r>
    </w:p>
    <w:p w14:paraId="0EA8351E" w14:textId="77777777" w:rsidR="008C3DE0" w:rsidRPr="00434E9D" w:rsidRDefault="00162D54" w:rsidP="00E96033">
      <w:pPr>
        <w:spacing w:line="360" w:lineRule="auto"/>
        <w:ind w:left="850" w:hanging="850"/>
      </w:pPr>
      <w:r w:rsidRPr="00434E9D">
        <w:t>12)</w:t>
      </w:r>
      <w:r w:rsidRPr="00434E9D">
        <w:tab/>
        <w:t>L</w:t>
      </w:r>
      <w:r w:rsidR="008C3DE0" w:rsidRPr="00434E9D">
        <w:t>’annexe II est modifiée conformément à l’annexe IV de la présente directive;</w:t>
      </w:r>
    </w:p>
    <w:p w14:paraId="660A673C" w14:textId="77777777" w:rsidR="00162D54" w:rsidRPr="00434E9D" w:rsidRDefault="00162D54">
      <w:pPr>
        <w:widowControl/>
      </w:pPr>
      <w:r w:rsidRPr="00434E9D">
        <w:br w:type="page"/>
      </w:r>
    </w:p>
    <w:p w14:paraId="38275080" w14:textId="77777777" w:rsidR="008C3DE0" w:rsidRPr="00434E9D" w:rsidRDefault="00162D54" w:rsidP="00E96033">
      <w:pPr>
        <w:spacing w:line="360" w:lineRule="auto"/>
        <w:ind w:left="850" w:hanging="850"/>
      </w:pPr>
      <w:r w:rsidRPr="00434E9D">
        <w:lastRenderedPageBreak/>
        <w:t>13)</w:t>
      </w:r>
      <w:r w:rsidRPr="00434E9D">
        <w:tab/>
        <w:t>À</w:t>
      </w:r>
      <w:r w:rsidR="008C3DE0" w:rsidRPr="00434E9D">
        <w:t xml:space="preserve"> l’annexe III, le point 2 c) est remplacé par le texte suivant:</w:t>
      </w:r>
    </w:p>
    <w:p w14:paraId="574800F6" w14:textId="77777777" w:rsidR="008C3DE0" w:rsidRPr="00434E9D" w:rsidRDefault="008C3DE0" w:rsidP="00E96033">
      <w:pPr>
        <w:spacing w:line="360" w:lineRule="auto"/>
        <w:ind w:left="1416" w:hanging="566"/>
      </w:pPr>
      <w:r w:rsidRPr="00434E9D">
        <w:t>«c)</w:t>
      </w:r>
      <w:r w:rsidRPr="00434E9D">
        <w:tab/>
        <w:t>de toute autre information pertinente, y compris une comparaison de la moyenne arithmétique annuelle de la concentration des polluants concernés à un point de surveillance avec les normes de qualité des eaux souterraines établies à l’annexe I et les valeurs seuils visées à l’article 3, paragraphe 1, points b) et c).;»</w:t>
      </w:r>
    </w:p>
    <w:p w14:paraId="0059BBA2" w14:textId="77777777" w:rsidR="008C3DE0" w:rsidRPr="00434E9D" w:rsidRDefault="00162D54" w:rsidP="00E96033">
      <w:pPr>
        <w:spacing w:line="360" w:lineRule="auto"/>
        <w:ind w:left="850" w:hanging="850"/>
      </w:pPr>
      <w:r w:rsidRPr="00434E9D">
        <w:t>14)</w:t>
      </w:r>
      <w:r w:rsidRPr="00434E9D">
        <w:tab/>
        <w:t>À</w:t>
      </w:r>
      <w:r w:rsidR="008C3DE0" w:rsidRPr="00434E9D">
        <w:t xml:space="preserve"> l’annexe IV, partie B, point 1, la phrase introductive est remplacée par le texte suivant:</w:t>
      </w:r>
    </w:p>
    <w:p w14:paraId="0D7FD64D" w14:textId="77777777" w:rsidR="008C3DE0" w:rsidRPr="00434E9D" w:rsidRDefault="008C3DE0" w:rsidP="00E96033">
      <w:pPr>
        <w:spacing w:line="360" w:lineRule="auto"/>
        <w:ind w:left="850"/>
        <w:rPr>
          <w:b/>
        </w:rPr>
      </w:pPr>
      <w:r w:rsidRPr="00434E9D">
        <w:t>«Le point de départ de la mise en œuvre de mesures visant à inverser des tendances à la hausse significatives et durables</w:t>
      </w:r>
      <w:r w:rsidRPr="00434E9D">
        <w:rPr>
          <w:b/>
          <w:i/>
        </w:rPr>
        <w:t>, y compris les tendances saisonnières à la hausse dues, entre autres, au faible débit d’une masse d’eau,</w:t>
      </w:r>
      <w:r w:rsidRPr="00434E9D">
        <w:t xml:space="preserve"> correspond à une concentration du polluant qui équivaut à 75 % des valeurs des paramètres relatifs aux normes de qualité des eaux souterraines établies à l’annexe I et des valeurs seuils visées à l’article 3, paragraphe 1, points b) et c), sauf si:.»</w:t>
      </w:r>
      <w:r w:rsidR="00162D54" w:rsidRPr="00434E9D">
        <w:t xml:space="preserve"> </w:t>
      </w:r>
      <w:r w:rsidR="00162D54" w:rsidRPr="00434E9D">
        <w:rPr>
          <w:b/>
        </w:rPr>
        <w:t xml:space="preserve"> [Am. 107]</w:t>
      </w:r>
    </w:p>
    <w:p w14:paraId="7C4CEE09" w14:textId="77777777" w:rsidR="00162D54" w:rsidRPr="00434E9D" w:rsidRDefault="00162D54">
      <w:pPr>
        <w:widowControl/>
      </w:pPr>
      <w:r w:rsidRPr="00434E9D">
        <w:br w:type="page"/>
      </w:r>
    </w:p>
    <w:p w14:paraId="2E54C1F8" w14:textId="77777777" w:rsidR="008C3DE0" w:rsidRPr="00434E9D" w:rsidRDefault="008C3DE0" w:rsidP="00E96033">
      <w:pPr>
        <w:spacing w:line="360" w:lineRule="auto"/>
        <w:jc w:val="center"/>
      </w:pPr>
      <w:r w:rsidRPr="00434E9D">
        <w:lastRenderedPageBreak/>
        <w:t>Article 3</w:t>
      </w:r>
      <w:r w:rsidRPr="00434E9D">
        <w:br/>
        <w:t>Modifications de la directive 2008/105/CE</w:t>
      </w:r>
    </w:p>
    <w:p w14:paraId="04A205F6" w14:textId="77777777" w:rsidR="008C3DE0" w:rsidRPr="00434E9D" w:rsidRDefault="008C3DE0" w:rsidP="00E96033">
      <w:pPr>
        <w:spacing w:line="360" w:lineRule="auto"/>
      </w:pPr>
      <w:r w:rsidRPr="00434E9D">
        <w:t>La directive 2008/105/CE est modifiée comme suit:</w:t>
      </w:r>
    </w:p>
    <w:p w14:paraId="56CB710D" w14:textId="77777777" w:rsidR="008C3DE0" w:rsidRPr="00434E9D" w:rsidRDefault="00162D54" w:rsidP="00E96033">
      <w:pPr>
        <w:spacing w:line="360" w:lineRule="auto"/>
        <w:ind w:left="850" w:hanging="850"/>
      </w:pPr>
      <w:r w:rsidRPr="00434E9D">
        <w:t>1)</w:t>
      </w:r>
      <w:r w:rsidRPr="00434E9D">
        <w:tab/>
        <w:t>L</w:t>
      </w:r>
      <w:r w:rsidR="008C3DE0" w:rsidRPr="00434E9D">
        <w:t>e titre est remplacé par le texte suivant:</w:t>
      </w:r>
    </w:p>
    <w:p w14:paraId="55BCF2E3" w14:textId="77777777" w:rsidR="008C3DE0" w:rsidRPr="00434E9D" w:rsidRDefault="008C3DE0" w:rsidP="00E96033">
      <w:pPr>
        <w:spacing w:line="360" w:lineRule="auto"/>
        <w:ind w:left="850"/>
      </w:pPr>
      <w:r w:rsidRPr="00434E9D">
        <w:t>«Directive 2008/105/CE du Parlement européen et du Conseil du 16 décembre 2008 relative à la prévention et au contrôle de la pollution des eaux de surface, modifiant et abrogeant les directives du Conseil 82/176/CEE, 83/513/CEE, 84/156/CEE, 84/491/CEE, 86/280/CEE et modifiant la directive 2000/60/CE;»</w:t>
      </w:r>
    </w:p>
    <w:p w14:paraId="4CBECF46" w14:textId="77777777" w:rsidR="008C3DE0" w:rsidRPr="00434E9D" w:rsidRDefault="00162D54" w:rsidP="00E96033">
      <w:pPr>
        <w:spacing w:line="360" w:lineRule="auto"/>
        <w:ind w:left="850" w:hanging="850"/>
      </w:pPr>
      <w:r w:rsidRPr="00434E9D">
        <w:rPr>
          <w:b/>
          <w:i/>
        </w:rPr>
        <w:t>1 bis</w:t>
      </w:r>
      <w:r w:rsidR="008C3DE0" w:rsidRPr="00434E9D">
        <w:rPr>
          <w:b/>
          <w:i/>
        </w:rPr>
        <w:t>)</w:t>
      </w:r>
      <w:r w:rsidR="008C3DE0" w:rsidRPr="00434E9D">
        <w:tab/>
      </w:r>
      <w:r w:rsidRPr="00434E9D">
        <w:rPr>
          <w:b/>
          <w:i/>
        </w:rPr>
        <w:t>L</w:t>
      </w:r>
      <w:r w:rsidR="008C3DE0" w:rsidRPr="00434E9D">
        <w:rPr>
          <w:b/>
          <w:i/>
        </w:rPr>
        <w:t>’article 1</w:t>
      </w:r>
      <w:r w:rsidR="005B6317" w:rsidRPr="00434E9D">
        <w:rPr>
          <w:b/>
          <w:i/>
        </w:rPr>
        <w:t>er</w:t>
      </w:r>
      <w:r w:rsidR="008C3DE0" w:rsidRPr="00434E9D">
        <w:rPr>
          <w:b/>
          <w:i/>
        </w:rPr>
        <w:t xml:space="preserve"> est modifié comme suit:</w:t>
      </w:r>
    </w:p>
    <w:p w14:paraId="4F227DFB" w14:textId="77777777" w:rsidR="008C3DE0" w:rsidRPr="00434E9D" w:rsidRDefault="008C3DE0" w:rsidP="00E96033">
      <w:pPr>
        <w:spacing w:line="360" w:lineRule="auto"/>
        <w:ind w:left="850"/>
      </w:pPr>
      <w:r w:rsidRPr="00434E9D">
        <w:t>«</w:t>
      </w:r>
      <w:r w:rsidRPr="00434E9D">
        <w:rPr>
          <w:b/>
          <w:i/>
        </w:rPr>
        <w:t xml:space="preserve">Article </w:t>
      </w:r>
      <w:r w:rsidR="005B6317" w:rsidRPr="00434E9D">
        <w:rPr>
          <w:b/>
          <w:i/>
        </w:rPr>
        <w:t>premier</w:t>
      </w:r>
      <w:r w:rsidRPr="00434E9D">
        <w:br/>
      </w:r>
      <w:r w:rsidRPr="00434E9D">
        <w:rPr>
          <w:b/>
          <w:i/>
        </w:rPr>
        <w:t>Objet</w:t>
      </w:r>
    </w:p>
    <w:p w14:paraId="7947DFF2" w14:textId="77777777" w:rsidR="008C3DE0" w:rsidRPr="00434E9D" w:rsidRDefault="008C3DE0" w:rsidP="00E96033">
      <w:pPr>
        <w:spacing w:line="360" w:lineRule="auto"/>
        <w:ind w:left="850"/>
        <w:rPr>
          <w:b/>
        </w:rPr>
      </w:pPr>
      <w:r w:rsidRPr="00434E9D">
        <w:rPr>
          <w:b/>
          <w:i/>
        </w:rPr>
        <w:t>En vue d’obtenir un bon état chimique des eaux de surface et conformément aux dispositions et aux objectifs de l’article 4 de la directive 2000/60/CE, la présente directive établit des normes de qualité environnementale (NQE) pour les substances prioritaires et les substances dangereuses prioritaires.»</w:t>
      </w:r>
      <w:r w:rsidRPr="00434E9D">
        <w:t>»</w:t>
      </w:r>
      <w:r w:rsidR="00162D54" w:rsidRPr="00434E9D">
        <w:t xml:space="preserve"> </w:t>
      </w:r>
      <w:r w:rsidR="00162D54" w:rsidRPr="00434E9D">
        <w:rPr>
          <w:b/>
        </w:rPr>
        <w:t xml:space="preserve"> [Am. 108]</w:t>
      </w:r>
    </w:p>
    <w:p w14:paraId="556737FB" w14:textId="77777777" w:rsidR="00F45C85" w:rsidRPr="00434E9D" w:rsidRDefault="00F45C85">
      <w:pPr>
        <w:widowControl/>
      </w:pPr>
      <w:r w:rsidRPr="00434E9D">
        <w:br w:type="page"/>
      </w:r>
    </w:p>
    <w:p w14:paraId="73DB75C4" w14:textId="77777777" w:rsidR="008C3DE0" w:rsidRPr="00434E9D" w:rsidRDefault="00162D54" w:rsidP="00E96033">
      <w:pPr>
        <w:spacing w:line="360" w:lineRule="auto"/>
        <w:ind w:left="850" w:hanging="850"/>
      </w:pPr>
      <w:r w:rsidRPr="00434E9D">
        <w:lastRenderedPageBreak/>
        <w:t>2)</w:t>
      </w:r>
      <w:r w:rsidRPr="00434E9D">
        <w:tab/>
        <w:t>L</w:t>
      </w:r>
      <w:r w:rsidR="008C3DE0" w:rsidRPr="00434E9D">
        <w:t>’article 3 est modifié comme suit:</w:t>
      </w:r>
    </w:p>
    <w:p w14:paraId="4541DB63" w14:textId="77777777" w:rsidR="008C3DE0" w:rsidRPr="00434E9D" w:rsidRDefault="008C3DE0" w:rsidP="00E96033">
      <w:pPr>
        <w:spacing w:line="360" w:lineRule="auto"/>
        <w:ind w:left="1416" w:hanging="566"/>
      </w:pPr>
      <w:r w:rsidRPr="00434E9D">
        <w:t>a)</w:t>
      </w:r>
      <w:r w:rsidRPr="00434E9D">
        <w:tab/>
        <w:t>au paragraphe 1 bis, premier alinéa, le point iii) suivant est ajouté:</w:t>
      </w:r>
    </w:p>
    <w:p w14:paraId="0A8A301F" w14:textId="77777777" w:rsidR="008C3DE0" w:rsidRPr="00434E9D" w:rsidRDefault="008C3DE0" w:rsidP="00E96033">
      <w:pPr>
        <w:spacing w:line="360" w:lineRule="auto"/>
        <w:ind w:left="1982" w:hanging="566"/>
      </w:pPr>
      <w:r w:rsidRPr="00434E9D">
        <w:t>«iii)</w:t>
      </w:r>
      <w:r w:rsidRPr="00434E9D">
        <w:tab/>
        <w:t>les substances numérotées 5, 9, 13, 15, 17, 21, 23, 24, 28, 30, 34, 37, 41, 44 dans l’annexe I, partie A, pour lesquelles des NQE révisées sont fixées, et les substances nouvellement identifiées numérotées 46 à 70 dans l’annexe I, partie A, avec effet à compter du … [OP: veuillez insérer la date correspondant au premier jour du mois suivant un délai de dix-huit mois à compter de la date d’entrée en vigueur de la présente directive], en vue de prévenir la détérioration de l’état chimique des masses d’eau de surface et de parvenir à un bon état chimique des eaux de surface en rapport avec ces substances.;»</w:t>
      </w:r>
    </w:p>
    <w:p w14:paraId="7264CFDA" w14:textId="77777777" w:rsidR="008C3DE0" w:rsidRPr="00434E9D" w:rsidRDefault="008C3DE0" w:rsidP="00E96033">
      <w:pPr>
        <w:spacing w:line="360" w:lineRule="auto"/>
        <w:ind w:left="1416" w:hanging="566"/>
      </w:pPr>
      <w:r w:rsidRPr="00434E9D">
        <w:t>b)</w:t>
      </w:r>
      <w:r w:rsidRPr="00434E9D">
        <w:tab/>
        <w:t>le paragraphe 2 est remplacé par le texte suivant:</w:t>
      </w:r>
    </w:p>
    <w:p w14:paraId="2086E00C" w14:textId="77777777" w:rsidR="008C3DE0" w:rsidRPr="00434E9D" w:rsidRDefault="008C3DE0" w:rsidP="00E96033">
      <w:pPr>
        <w:spacing w:line="360" w:lineRule="auto"/>
        <w:ind w:left="1982" w:hanging="566"/>
      </w:pPr>
      <w:r w:rsidRPr="00434E9D">
        <w:t>«2.</w:t>
      </w:r>
      <w:r w:rsidRPr="00434E9D">
        <w:tab/>
        <w:t>En ce qui concerne les substances pour lesquelles une NQE pour le biote ou une NQE pour les sédiments est établie à l’annexe I, partie A, les États membres appliquent ladite NQE.</w:t>
      </w:r>
    </w:p>
    <w:p w14:paraId="714DFDF4" w14:textId="77777777" w:rsidR="008C3DE0" w:rsidRPr="00434E9D" w:rsidRDefault="008C3DE0" w:rsidP="00E96033">
      <w:pPr>
        <w:spacing w:line="360" w:lineRule="auto"/>
        <w:ind w:left="1982"/>
      </w:pPr>
      <w:r w:rsidRPr="00434E9D">
        <w:t>En ce qui concerne les substances autres que celles visées au premier alinéa, les États membres appliquent les NQE établies pour l’eau à l’annexe I, partie A.;»</w:t>
      </w:r>
    </w:p>
    <w:p w14:paraId="5814726D" w14:textId="77777777" w:rsidR="00F45C85" w:rsidRPr="00434E9D" w:rsidRDefault="00F45C85">
      <w:pPr>
        <w:widowControl/>
      </w:pPr>
      <w:r w:rsidRPr="00434E9D">
        <w:br w:type="page"/>
      </w:r>
    </w:p>
    <w:p w14:paraId="237691F2" w14:textId="77777777" w:rsidR="008C3DE0" w:rsidRPr="00434E9D" w:rsidRDefault="008C3DE0" w:rsidP="00E96033">
      <w:pPr>
        <w:spacing w:line="360" w:lineRule="auto"/>
        <w:ind w:left="1416" w:hanging="566"/>
      </w:pPr>
      <w:r w:rsidRPr="00434E9D">
        <w:lastRenderedPageBreak/>
        <w:t>c)</w:t>
      </w:r>
      <w:r w:rsidRPr="00434E9D">
        <w:tab/>
        <w:t>au paragraphe 6, premier alinéa, la première phrase est remplacée par le texte suivant:</w:t>
      </w:r>
    </w:p>
    <w:p w14:paraId="16C9BC4B" w14:textId="77777777" w:rsidR="008C3DE0" w:rsidRPr="00434E9D" w:rsidRDefault="008C3DE0" w:rsidP="00E96033">
      <w:pPr>
        <w:spacing w:line="360" w:lineRule="auto"/>
        <w:ind w:left="1416"/>
      </w:pPr>
      <w:r w:rsidRPr="00434E9D">
        <w:t>«Les États membres procèdent à l’analyse de l’évolution à long terme des concentrations des substances prioritaires recensées à l’annexe I, partie A, qui ont tendance à s’accumuler dans les sédiments et/ou le biote, en se fondant sur la surveillance dans les sédiments ou dans le biote dans le cadre de la surveillance de l’état des eaux de surface effectuée conformément à l’article 8 de la directive 2000/60/CE.;»</w:t>
      </w:r>
    </w:p>
    <w:p w14:paraId="544958BE" w14:textId="77777777" w:rsidR="008C3DE0" w:rsidRPr="00434E9D" w:rsidRDefault="008C3DE0" w:rsidP="00E96033">
      <w:pPr>
        <w:spacing w:line="360" w:lineRule="auto"/>
        <w:ind w:left="1416" w:hanging="566"/>
      </w:pPr>
      <w:r w:rsidRPr="00434E9D">
        <w:t>d)</w:t>
      </w:r>
      <w:r w:rsidRPr="00434E9D">
        <w:tab/>
        <w:t>le paragraphe 7 est supprimé;</w:t>
      </w:r>
    </w:p>
    <w:p w14:paraId="1CDE6683" w14:textId="77777777" w:rsidR="008C3DE0" w:rsidRPr="00434E9D" w:rsidRDefault="008C3DE0" w:rsidP="00E96033">
      <w:pPr>
        <w:spacing w:line="360" w:lineRule="auto"/>
        <w:ind w:left="1416" w:hanging="566"/>
      </w:pPr>
      <w:r w:rsidRPr="00434E9D">
        <w:t>e)</w:t>
      </w:r>
      <w:r w:rsidRPr="00434E9D">
        <w:tab/>
        <w:t>le paragraphe 8 est remplacé par le texte suivant:</w:t>
      </w:r>
    </w:p>
    <w:p w14:paraId="1B0F823D" w14:textId="77777777" w:rsidR="008C3DE0" w:rsidRPr="00434E9D" w:rsidRDefault="008C3DE0" w:rsidP="00E96033">
      <w:pPr>
        <w:spacing w:line="360" w:lineRule="auto"/>
        <w:ind w:left="1982" w:hanging="566"/>
      </w:pPr>
      <w:r w:rsidRPr="00434E9D">
        <w:t>«8.</w:t>
      </w:r>
      <w:r w:rsidRPr="00434E9D">
        <w:tab/>
        <w:t>La Commission est habilitée à adopter des actes délégués conformément à l’article 9 bis aux fins de modifier l’annexe I, partie B, point 3, pour l’adapter au progrès scientifique ou technique.;»</w:t>
      </w:r>
    </w:p>
    <w:p w14:paraId="3D041F0C" w14:textId="77777777" w:rsidR="00F45C85" w:rsidRPr="00434E9D" w:rsidRDefault="00F45C85">
      <w:pPr>
        <w:widowControl/>
      </w:pPr>
      <w:r w:rsidRPr="00434E9D">
        <w:br w:type="page"/>
      </w:r>
    </w:p>
    <w:p w14:paraId="6227F4BC" w14:textId="77777777" w:rsidR="008C3DE0" w:rsidRPr="00434E9D" w:rsidRDefault="00F45C85" w:rsidP="00E96033">
      <w:pPr>
        <w:spacing w:line="360" w:lineRule="auto"/>
        <w:ind w:left="850" w:hanging="850"/>
      </w:pPr>
      <w:r w:rsidRPr="00434E9D">
        <w:lastRenderedPageBreak/>
        <w:t>3)</w:t>
      </w:r>
      <w:r w:rsidRPr="00434E9D">
        <w:tab/>
        <w:t>L</w:t>
      </w:r>
      <w:r w:rsidR="008C3DE0" w:rsidRPr="00434E9D">
        <w:t>’article 5 est modifié comme suit:</w:t>
      </w:r>
    </w:p>
    <w:p w14:paraId="31E4C749" w14:textId="77777777" w:rsidR="008C3DE0" w:rsidRPr="00434E9D" w:rsidRDefault="00F45C85" w:rsidP="00E96033">
      <w:pPr>
        <w:spacing w:line="360" w:lineRule="auto"/>
        <w:ind w:left="1416" w:hanging="566"/>
      </w:pPr>
      <w:r w:rsidRPr="00434E9D">
        <w:t>a)</w:t>
      </w:r>
      <w:r w:rsidRPr="00434E9D">
        <w:tab/>
        <w:t>L</w:t>
      </w:r>
      <w:r w:rsidR="008C3DE0" w:rsidRPr="00434E9D">
        <w:t>e paragraphe 1 est remplacé par le texte suivant:</w:t>
      </w:r>
    </w:p>
    <w:p w14:paraId="30BE0015" w14:textId="77777777" w:rsidR="008C3DE0" w:rsidRPr="00434E9D" w:rsidRDefault="008C3DE0" w:rsidP="00E96033">
      <w:pPr>
        <w:spacing w:line="360" w:lineRule="auto"/>
        <w:ind w:left="1982" w:hanging="566"/>
        <w:rPr>
          <w:b/>
        </w:rPr>
      </w:pPr>
      <w:r w:rsidRPr="00434E9D">
        <w:t>«1.</w:t>
      </w:r>
      <w:r w:rsidRPr="00434E9D">
        <w:tab/>
        <w:t>Sur la base des informations recueillies conformément aux articles 5 et 8 de la directive 2000/60/CE</w:t>
      </w:r>
      <w:r w:rsidRPr="00434E9D">
        <w:rPr>
          <w:b/>
          <w:i/>
        </w:rPr>
        <w:t xml:space="preserve"> et au règlement (UE) .../... du Parlement européen et du Conseil</w:t>
      </w:r>
      <w:r w:rsidR="00F45C85" w:rsidRPr="00434E9D">
        <w:rPr>
          <w:b/>
          <w:i/>
          <w:vertAlign w:val="superscript"/>
        </w:rPr>
        <w:t>1</w:t>
      </w:r>
      <w:r w:rsidR="005B6317" w:rsidRPr="00434E9D">
        <w:rPr>
          <w:b/>
          <w:i/>
          <w:vertAlign w:val="superscript"/>
        </w:rPr>
        <w:t xml:space="preserve"> </w:t>
      </w:r>
      <w:r w:rsidR="00F45C85" w:rsidRPr="00434E9D">
        <w:rPr>
          <w:b/>
          <w:i/>
          <w:vertAlign w:val="superscript"/>
        </w:rPr>
        <w:t>bis</w:t>
      </w:r>
      <w:r w:rsidRPr="00434E9D">
        <w:t>, et d’autres données disponibles, les États membres dressent un inventaire, y compris des cartes, le cas échéant, des émissions, des rejets et des pertes de toutes les substances prioritaires visées à l’annexe I, partie A, de la présente directive et de tous les polluants visés à l’annexe II, partie A, de la présente directive pour chaque district hydrographique ou partie de district hydrographique situé sur leur territoire, y compris leurs concentrations dans les sédiments et le biote, le cas échéant.</w:t>
      </w:r>
      <w:r w:rsidR="00F45C85" w:rsidRPr="00434E9D">
        <w:t xml:space="preserve"> </w:t>
      </w:r>
      <w:r w:rsidR="00F45C85" w:rsidRPr="00434E9D">
        <w:rPr>
          <w:b/>
        </w:rPr>
        <w:t xml:space="preserve"> [Am. 109]</w:t>
      </w:r>
    </w:p>
    <w:p w14:paraId="0415E0D4" w14:textId="77777777" w:rsidR="00F45C85" w:rsidRPr="00434E9D" w:rsidRDefault="00F45C85" w:rsidP="00F45C85">
      <w:pPr>
        <w:spacing w:before="120" w:after="120" w:line="360" w:lineRule="auto"/>
        <w:ind w:left="1982" w:hanging="566"/>
        <w:rPr>
          <w:b/>
          <w:i/>
          <w:szCs w:val="24"/>
          <w:lang w:eastAsia="en-US"/>
        </w:rPr>
      </w:pPr>
      <w:r w:rsidRPr="00434E9D">
        <w:rPr>
          <w:b/>
          <w:i/>
          <w:szCs w:val="24"/>
          <w:lang w:eastAsia="en-US"/>
        </w:rPr>
        <w:t>_________________</w:t>
      </w:r>
    </w:p>
    <w:p w14:paraId="565EC529" w14:textId="77777777" w:rsidR="00F45C85" w:rsidRPr="00434E9D" w:rsidRDefault="00F45C85" w:rsidP="00F45C85">
      <w:pPr>
        <w:spacing w:before="120" w:after="120" w:line="360" w:lineRule="auto"/>
        <w:ind w:left="1982" w:hanging="566"/>
        <w:rPr>
          <w:b/>
          <w:szCs w:val="24"/>
          <w:lang w:eastAsia="en-US"/>
        </w:rPr>
      </w:pPr>
      <w:r w:rsidRPr="00434E9D">
        <w:rPr>
          <w:b/>
          <w:i/>
          <w:szCs w:val="24"/>
          <w:vertAlign w:val="superscript"/>
          <w:lang w:eastAsia="en-US"/>
        </w:rPr>
        <w:t>1</w:t>
      </w:r>
      <w:r w:rsidR="005B6317" w:rsidRPr="00434E9D">
        <w:rPr>
          <w:b/>
          <w:i/>
          <w:szCs w:val="24"/>
          <w:vertAlign w:val="superscript"/>
          <w:lang w:eastAsia="en-US"/>
        </w:rPr>
        <w:t xml:space="preserve"> </w:t>
      </w:r>
      <w:r w:rsidRPr="00434E9D">
        <w:rPr>
          <w:b/>
          <w:i/>
          <w:szCs w:val="24"/>
          <w:vertAlign w:val="superscript"/>
          <w:lang w:eastAsia="en-US"/>
        </w:rPr>
        <w:t>bis</w:t>
      </w:r>
      <w:r w:rsidRPr="00434E9D">
        <w:rPr>
          <w:b/>
          <w:szCs w:val="24"/>
          <w:lang w:eastAsia="en-US"/>
        </w:rPr>
        <w:t xml:space="preserve"> </w:t>
      </w:r>
      <w:r w:rsidRPr="00434E9D">
        <w:rPr>
          <w:b/>
          <w:szCs w:val="24"/>
          <w:lang w:eastAsia="en-US"/>
        </w:rPr>
        <w:tab/>
      </w:r>
      <w:r w:rsidRPr="00434E9D">
        <w:rPr>
          <w:b/>
          <w:i/>
          <w:szCs w:val="24"/>
          <w:lang w:eastAsia="en-US"/>
        </w:rPr>
        <w:t>JO: veuillez insérer dans le texte le numéro du règlement figurant dans le document COM (2022) 157.</w:t>
      </w:r>
    </w:p>
    <w:p w14:paraId="0CBE8CD1" w14:textId="77777777" w:rsidR="008C3DE0" w:rsidRPr="00434E9D" w:rsidRDefault="008C3DE0" w:rsidP="00E96033">
      <w:pPr>
        <w:spacing w:line="360" w:lineRule="auto"/>
        <w:ind w:left="1982"/>
        <w:rPr>
          <w:b/>
        </w:rPr>
      </w:pPr>
      <w:r w:rsidRPr="00434E9D">
        <w:rPr>
          <w:b/>
          <w:i/>
        </w:rPr>
        <w:t>Les inventaires des émissions sont mis à disposition dans une base de données électronique régulièrement mise à jour et facilement accessible au public.</w:t>
      </w:r>
      <w:r w:rsidR="00F45C85" w:rsidRPr="00434E9D">
        <w:rPr>
          <w:b/>
          <w:i/>
        </w:rPr>
        <w:t xml:space="preserve"> </w:t>
      </w:r>
      <w:r w:rsidR="00F45C85" w:rsidRPr="00434E9D">
        <w:rPr>
          <w:b/>
        </w:rPr>
        <w:t>[Am. 110]</w:t>
      </w:r>
    </w:p>
    <w:p w14:paraId="052CD604" w14:textId="77777777" w:rsidR="00F45C85" w:rsidRPr="00434E9D" w:rsidRDefault="00F45C85">
      <w:pPr>
        <w:widowControl/>
        <w:rPr>
          <w:strike/>
        </w:rPr>
      </w:pPr>
      <w:r w:rsidRPr="00434E9D">
        <w:rPr>
          <w:strike/>
        </w:rPr>
        <w:br w:type="page"/>
      </w:r>
    </w:p>
    <w:p w14:paraId="241B11C0" w14:textId="77777777" w:rsidR="008C3DE0" w:rsidRPr="00434E9D" w:rsidRDefault="008C3DE0" w:rsidP="00E96033">
      <w:pPr>
        <w:spacing w:line="360" w:lineRule="auto"/>
        <w:ind w:left="1982"/>
        <w:rPr>
          <w:b/>
        </w:rPr>
      </w:pPr>
      <w:r w:rsidRPr="00434E9D">
        <w:rPr>
          <w:strike/>
        </w:rPr>
        <w:lastRenderedPageBreak/>
        <w:t>Le premier alinéa ne s’applique pas aux émissions, rejets et pertes communiqués à la Commission par voie électronique conformément au règlement (UE) .../… du Parlement européen et du Conseil.;</w:t>
      </w:r>
      <w:r w:rsidRPr="00434E9D">
        <w:t>»</w:t>
      </w:r>
      <w:r w:rsidR="00F45C85" w:rsidRPr="00434E9D">
        <w:t xml:space="preserve"> </w:t>
      </w:r>
      <w:r w:rsidR="00F45C85" w:rsidRPr="00434E9D">
        <w:rPr>
          <w:b/>
        </w:rPr>
        <w:t xml:space="preserve"> [Am. 111]</w:t>
      </w:r>
    </w:p>
    <w:p w14:paraId="3D84B25D" w14:textId="77777777" w:rsidR="008C3DE0" w:rsidRPr="00434E9D" w:rsidRDefault="008C3DE0" w:rsidP="00E96033">
      <w:pPr>
        <w:spacing w:line="360" w:lineRule="auto"/>
        <w:ind w:left="1416" w:hanging="566"/>
      </w:pPr>
      <w:r w:rsidRPr="00434E9D">
        <w:t>b)</w:t>
      </w:r>
      <w:r w:rsidRPr="00434E9D">
        <w:tab/>
        <w:t>les paragraphes 2 et 3 sont supprimés;</w:t>
      </w:r>
    </w:p>
    <w:p w14:paraId="26BB7BCB" w14:textId="77777777" w:rsidR="008C3DE0" w:rsidRPr="00434E9D" w:rsidRDefault="008C3DE0" w:rsidP="00E96033">
      <w:pPr>
        <w:spacing w:line="360" w:lineRule="auto"/>
        <w:ind w:left="1416" w:hanging="566"/>
      </w:pPr>
      <w:r w:rsidRPr="00434E9D">
        <w:t>c)</w:t>
      </w:r>
      <w:r w:rsidRPr="00434E9D">
        <w:tab/>
        <w:t>le paragraphe 4 est remplacé par le texte suivant:</w:t>
      </w:r>
    </w:p>
    <w:p w14:paraId="0188E4B4" w14:textId="77777777" w:rsidR="008C3DE0" w:rsidRPr="00434E9D" w:rsidRDefault="008C3DE0" w:rsidP="00E96033">
      <w:pPr>
        <w:spacing w:line="360" w:lineRule="auto"/>
        <w:ind w:left="1982" w:hanging="566"/>
        <w:rPr>
          <w:b/>
        </w:rPr>
      </w:pPr>
      <w:r w:rsidRPr="00434E9D">
        <w:t>«4.</w:t>
      </w:r>
      <w:r w:rsidRPr="00434E9D">
        <w:tab/>
        <w:t>Les États membres actualisent leurs inventaires dans le cadre des réexamens des analyses prévus à l’article 5, paragraphe 2, de la directive 2000/60/CE et veillent à ce que les émissions</w:t>
      </w:r>
      <w:r w:rsidRPr="00434E9D">
        <w:rPr>
          <w:b/>
          <w:i/>
        </w:rPr>
        <w:t>, y compris celles</w:t>
      </w:r>
      <w:r w:rsidRPr="00434E9D">
        <w:t xml:space="preserve"> qui</w:t>
      </w:r>
      <w:r w:rsidRPr="00434E9D">
        <w:rPr>
          <w:strike/>
        </w:rPr>
        <w:t xml:space="preserve"> ne sont pas</w:t>
      </w:r>
      <w:r w:rsidRPr="00434E9D">
        <w:rPr>
          <w:b/>
          <w:i/>
        </w:rPr>
        <w:t xml:space="preserve"> sont</w:t>
      </w:r>
      <w:r w:rsidRPr="00434E9D">
        <w:t xml:space="preserve"> déclarées sur le portail sur les émissions industrielles au titre du règlement (UE) .../…++ soient publiées dans leurs plans de gestion de district hydrographique conformément à l’article 13, paragraphe 7, de ladite directive.</w:t>
      </w:r>
      <w:r w:rsidR="00F45C85" w:rsidRPr="00434E9D">
        <w:t xml:space="preserve"> </w:t>
      </w:r>
      <w:r w:rsidR="00F45C85" w:rsidRPr="00434E9D">
        <w:rPr>
          <w:b/>
        </w:rPr>
        <w:t xml:space="preserve"> [Am. 112]</w:t>
      </w:r>
    </w:p>
    <w:p w14:paraId="7BBA8B94" w14:textId="77777777" w:rsidR="008C3DE0" w:rsidRPr="00434E9D" w:rsidRDefault="008C3DE0" w:rsidP="00E96033">
      <w:pPr>
        <w:spacing w:line="360" w:lineRule="auto"/>
        <w:ind w:left="1982"/>
      </w:pPr>
      <w:r w:rsidRPr="00434E9D">
        <w:t>La période de référence pour l’établissement des valeurs consignées dans les inventaires actualisés est l’année précédant celle de l’achèvement des analyses visées au premier alinéa.</w:t>
      </w:r>
    </w:p>
    <w:p w14:paraId="3E89A3D4" w14:textId="77777777" w:rsidR="00F45C85" w:rsidRPr="00434E9D" w:rsidRDefault="00F45C85">
      <w:pPr>
        <w:widowControl/>
        <w:rPr>
          <w:strike/>
        </w:rPr>
      </w:pPr>
      <w:r w:rsidRPr="00434E9D">
        <w:rPr>
          <w:strike/>
        </w:rPr>
        <w:br w:type="page"/>
      </w:r>
    </w:p>
    <w:p w14:paraId="415ED328" w14:textId="77777777" w:rsidR="008C3DE0" w:rsidRPr="00434E9D" w:rsidRDefault="008C3DE0" w:rsidP="00E96033">
      <w:pPr>
        <w:spacing w:line="360" w:lineRule="auto"/>
        <w:ind w:left="1982"/>
        <w:rPr>
          <w:b/>
        </w:rPr>
      </w:pPr>
      <w:r w:rsidRPr="00434E9D">
        <w:rPr>
          <w:strike/>
        </w:rPr>
        <w:lastRenderedPageBreak/>
        <w:t>Pour les substances prioritaires ou les polluants couverts par le règlement (CE) nº 1107/2009, les données peuvent être calculées en tant que moyenne des trois années précédant l’achèvement de l’analyse visée au premier alinéa.</w:t>
      </w:r>
      <w:r w:rsidR="00F45C85" w:rsidRPr="00434E9D">
        <w:rPr>
          <w:strike/>
        </w:rPr>
        <w:t xml:space="preserve"> </w:t>
      </w:r>
      <w:r w:rsidR="00F45C85" w:rsidRPr="00434E9D">
        <w:rPr>
          <w:b/>
          <w:strike/>
        </w:rPr>
        <w:t xml:space="preserve"> </w:t>
      </w:r>
      <w:r w:rsidR="00F45C85" w:rsidRPr="00434E9D">
        <w:rPr>
          <w:b/>
        </w:rPr>
        <w:t>[Am. 113]</w:t>
      </w:r>
    </w:p>
    <w:p w14:paraId="6DD788E2" w14:textId="77777777" w:rsidR="008C3DE0" w:rsidRPr="00434E9D" w:rsidRDefault="008C3DE0" w:rsidP="00E96033">
      <w:pPr>
        <w:spacing w:line="360" w:lineRule="auto"/>
        <w:ind w:left="1982"/>
      </w:pPr>
      <w:r w:rsidRPr="00434E9D">
        <w:t>Pour les émissions de sources ponctuelles qui ne sont pas déclarées conformément au règlement (UE) ../… +++, parce qu’elles ne relèvent pas dudit règlement ou parce qu’elles se trouvent sous les seuils de déclaration annuelle fixés dans ledit règlement, l’obligation de déclaration établie dans le premier alinéa du présent article est satisfaite par déclaration électronique sur le portail sur les émissions industrielles établi au titre dudit règlement.</w:t>
      </w:r>
    </w:p>
    <w:p w14:paraId="00AB40C3" w14:textId="77777777" w:rsidR="008C3DE0" w:rsidRPr="00434E9D" w:rsidRDefault="008C3DE0" w:rsidP="00E96033">
      <w:pPr>
        <w:spacing w:line="360" w:lineRule="auto"/>
        <w:ind w:left="1982"/>
      </w:pPr>
      <w:r w:rsidRPr="00434E9D">
        <w:t>La Commission, avec l’aide de l’Agence européenne pour l’environnement, adopte un acte d’exécution établissant le format, le niveau de granularité et la fréquence de la déclaration visée au quatrième alinéa. Cet acte d’exécution est adopté en conformité avec la procédure d’examen visée à l’article 9, paragraphe 2.;»</w:t>
      </w:r>
    </w:p>
    <w:p w14:paraId="44E039A7" w14:textId="77777777" w:rsidR="008C3DE0" w:rsidRPr="00434E9D" w:rsidRDefault="008C3DE0" w:rsidP="00E96033">
      <w:pPr>
        <w:spacing w:line="360" w:lineRule="auto"/>
        <w:ind w:left="1416" w:hanging="566"/>
      </w:pPr>
      <w:r w:rsidRPr="00434E9D">
        <w:t>d)</w:t>
      </w:r>
      <w:r w:rsidRPr="00434E9D">
        <w:tab/>
        <w:t>le paragraphe 5 est supprimé;</w:t>
      </w:r>
    </w:p>
    <w:p w14:paraId="69109A14" w14:textId="77777777" w:rsidR="00CC5573" w:rsidRPr="00434E9D" w:rsidRDefault="00CC5573">
      <w:pPr>
        <w:widowControl/>
      </w:pPr>
      <w:r w:rsidRPr="00434E9D">
        <w:br w:type="page"/>
      </w:r>
    </w:p>
    <w:p w14:paraId="3CF3D179" w14:textId="77777777" w:rsidR="008C3DE0" w:rsidRPr="00434E9D" w:rsidRDefault="00CC5573" w:rsidP="00E96033">
      <w:pPr>
        <w:spacing w:line="360" w:lineRule="auto"/>
        <w:ind w:left="850" w:hanging="850"/>
      </w:pPr>
      <w:r w:rsidRPr="00434E9D">
        <w:lastRenderedPageBreak/>
        <w:t>4)</w:t>
      </w:r>
      <w:r w:rsidRPr="00434E9D">
        <w:tab/>
        <w:t>À</w:t>
      </w:r>
      <w:r w:rsidR="008C3DE0" w:rsidRPr="00434E9D">
        <w:t xml:space="preserve"> l’article 7 bis, paragraphe 1, le premier alinéa est remplacé par le texte suivant:</w:t>
      </w:r>
    </w:p>
    <w:p w14:paraId="70B7F17C" w14:textId="77777777" w:rsidR="008C3DE0" w:rsidRPr="00434E9D" w:rsidRDefault="008C3DE0" w:rsidP="00E96033">
      <w:pPr>
        <w:spacing w:line="360" w:lineRule="auto"/>
        <w:ind w:left="1416" w:hanging="566"/>
        <w:rPr>
          <w:b/>
        </w:rPr>
      </w:pPr>
      <w:r w:rsidRPr="00434E9D">
        <w:t>«1.</w:t>
      </w:r>
      <w:r w:rsidRPr="00434E9D">
        <w:tab/>
        <w:t>Pour les substances prioritaires relevant du champ d’application du règlement (CE) nº 1907/2006, du règlement (CE) nº 1107/2009, du règlement (UE) nº 528/2012, du règlement (UE) 2019/6 du Parlement européen et du Conseil*, ou du champ d’application de la directive 2001/83/CE du Parlement européen et du Conseil**, de la directive 2009/128/CE du Parlement européen et du Conseil*** ou de la directive 2010/75/UE, la Commission détermine</w:t>
      </w:r>
      <w:r w:rsidRPr="00434E9D">
        <w:rPr>
          <w:strike/>
        </w:rPr>
        <w:t>, dans le cadre du rapport visé à l’article 18, paragraphe 1, de la directive 2000/60/CE,</w:t>
      </w:r>
      <w:r w:rsidRPr="00434E9D">
        <w:rPr>
          <w:b/>
          <w:i/>
        </w:rPr>
        <w:t xml:space="preserve"> tous les deux ans</w:t>
      </w:r>
      <w:r w:rsidRPr="00434E9D">
        <w:t xml:space="preserve"> si les mesures adoptées au niveau de l’Union et des États membres sont suffisantes pour atteindre les NQE pour les substances prioritaires et l’objectif d’arrêt ou de suppression progressive des rejets, émissions et pertes de substances dangereuses prioritaires conformément à l’article 4, paragraphe 1, point a), de la directive 2000/60/CE.</w:t>
      </w:r>
      <w:r w:rsidR="00CC5573" w:rsidRPr="00434E9D">
        <w:t xml:space="preserve"> </w:t>
      </w:r>
      <w:r w:rsidR="00CC5573" w:rsidRPr="00434E9D">
        <w:rPr>
          <w:b/>
        </w:rPr>
        <w:t xml:space="preserve"> [Am. 114]</w:t>
      </w:r>
    </w:p>
    <w:p w14:paraId="5BB81CC7" w14:textId="77777777" w:rsidR="005B6317" w:rsidRPr="00434E9D" w:rsidRDefault="005B6317" w:rsidP="00E96033">
      <w:pPr>
        <w:spacing w:line="360" w:lineRule="auto"/>
        <w:ind w:left="1416" w:hanging="566"/>
        <w:rPr>
          <w:b/>
        </w:rPr>
      </w:pPr>
    </w:p>
    <w:p w14:paraId="4134EC83" w14:textId="77777777" w:rsidR="008C3DE0" w:rsidRPr="00434E9D" w:rsidRDefault="008C3DE0" w:rsidP="00E96033">
      <w:pPr>
        <w:spacing w:line="360" w:lineRule="auto"/>
        <w:ind w:left="1416"/>
        <w:rPr>
          <w:b/>
        </w:rPr>
      </w:pPr>
      <w:r w:rsidRPr="00434E9D">
        <w:rPr>
          <w:b/>
          <w:i/>
        </w:rPr>
        <w:t>La hiérarchie des mesures à prendre donne la priorité aux restrictions et autres mesures de contrôle à la source. À cet égard, la Commission présente, le cas échéant des propositions visant à modifier les actes juridiques de l’Union afin de garantir que les rejets, les émissions et les pertes de substances prioritaires sont arrêtés à la source.</w:t>
      </w:r>
      <w:r w:rsidR="00CC5573" w:rsidRPr="00434E9D">
        <w:rPr>
          <w:b/>
          <w:i/>
        </w:rPr>
        <w:t xml:space="preserve"> </w:t>
      </w:r>
      <w:r w:rsidR="00CC5573" w:rsidRPr="00434E9D">
        <w:rPr>
          <w:b/>
        </w:rPr>
        <w:t xml:space="preserve"> [Am. 115]</w:t>
      </w:r>
    </w:p>
    <w:p w14:paraId="26623ED9" w14:textId="77777777" w:rsidR="00CC5573" w:rsidRPr="00434E9D" w:rsidRDefault="00CC5573">
      <w:pPr>
        <w:widowControl/>
      </w:pPr>
      <w:r w:rsidRPr="00434E9D">
        <w:br w:type="page"/>
      </w:r>
    </w:p>
    <w:p w14:paraId="2211DBD5" w14:textId="77777777" w:rsidR="008C3DE0" w:rsidRPr="00434E9D" w:rsidRDefault="008C3DE0" w:rsidP="00E96033">
      <w:pPr>
        <w:spacing w:line="360" w:lineRule="auto"/>
        <w:ind w:left="850"/>
      </w:pPr>
      <w:r w:rsidRPr="00434E9D">
        <w:lastRenderedPageBreak/>
        <w:t>* Règlement (UE) 2019/6 du Parlement européen et du Conseil du 11 décembre 2018 relatif aux médicaments vétérinaires et abrogeant la directive 2001/82/CE (JO L 4 du 7.1.2019, p. 43).</w:t>
      </w:r>
    </w:p>
    <w:p w14:paraId="222B3B6B" w14:textId="77777777" w:rsidR="008C3DE0" w:rsidRPr="00434E9D" w:rsidRDefault="008C3DE0" w:rsidP="00E96033">
      <w:pPr>
        <w:spacing w:line="360" w:lineRule="auto"/>
        <w:ind w:left="850"/>
      </w:pPr>
      <w:r w:rsidRPr="00434E9D">
        <w:t>** Directive 2001/83/CE du Parlement européen et du Conseil du 6 novembre 2001 instituant un code communautaire relatif aux médicaments à usage humain (JO L 311 du 28.11.2001, p. 67).</w:t>
      </w:r>
    </w:p>
    <w:p w14:paraId="6F9344D2" w14:textId="77777777" w:rsidR="008C3DE0" w:rsidRPr="00434E9D" w:rsidRDefault="008C3DE0" w:rsidP="00E96033">
      <w:pPr>
        <w:spacing w:line="360" w:lineRule="auto"/>
        <w:ind w:left="850"/>
      </w:pPr>
      <w:r w:rsidRPr="00434E9D">
        <w:t>*** Directive 2009/128/CE du Parlement européen et du Conseil du 21 octobre 2009 instaurant un cadre d’action communautaire pour parvenir à une utilisation des pesticides compatible avec le développement durable (JO L 309 du 24.11.2009, p. 71).;»</w:t>
      </w:r>
    </w:p>
    <w:p w14:paraId="7FC41B08" w14:textId="77777777" w:rsidR="008C3DE0" w:rsidRPr="00434E9D" w:rsidRDefault="00CC5573" w:rsidP="00E96033">
      <w:pPr>
        <w:spacing w:line="360" w:lineRule="auto"/>
        <w:ind w:left="850" w:hanging="850"/>
      </w:pPr>
      <w:r w:rsidRPr="00434E9D">
        <w:rPr>
          <w:b/>
          <w:i/>
        </w:rPr>
        <w:t>4 bis</w:t>
      </w:r>
      <w:r w:rsidR="008C3DE0" w:rsidRPr="00434E9D">
        <w:rPr>
          <w:b/>
          <w:i/>
        </w:rPr>
        <w:t>)</w:t>
      </w:r>
      <w:r w:rsidR="008C3DE0" w:rsidRPr="00434E9D">
        <w:tab/>
      </w:r>
      <w:r w:rsidRPr="00434E9D">
        <w:rPr>
          <w:b/>
          <w:i/>
        </w:rPr>
        <w:t>À</w:t>
      </w:r>
      <w:r w:rsidR="008C3DE0" w:rsidRPr="00434E9D">
        <w:rPr>
          <w:b/>
          <w:i/>
        </w:rPr>
        <w:t xml:space="preserve"> l’article 7 bis, le paragraphe 2 est remplacé par le texte suivant:</w:t>
      </w:r>
    </w:p>
    <w:p w14:paraId="214DEDBB" w14:textId="77777777" w:rsidR="008C3DE0" w:rsidRPr="00434E9D" w:rsidRDefault="008C3DE0" w:rsidP="00E96033">
      <w:pPr>
        <w:spacing w:line="360" w:lineRule="auto"/>
        <w:ind w:left="1416" w:hanging="566"/>
        <w:rPr>
          <w:b/>
        </w:rPr>
      </w:pPr>
      <w:r w:rsidRPr="00434E9D">
        <w:t>«</w:t>
      </w:r>
      <w:r w:rsidRPr="00434E9D">
        <w:rPr>
          <w:b/>
          <w:i/>
        </w:rPr>
        <w:t>2.</w:t>
      </w:r>
      <w:r w:rsidRPr="00434E9D">
        <w:tab/>
      </w:r>
      <w:r w:rsidRPr="00434E9D">
        <w:rPr>
          <w:b/>
          <w:i/>
        </w:rPr>
        <w:t>La Commission communique au Parlement européen et au Conseil les résultats de l’évaluation visée au paragraphe 1 au plus tard six mois après son évaluation et joint à son rapport des propositions appropriées, notamment en vue de mesures de contrôle.</w:t>
      </w:r>
      <w:r w:rsidRPr="00434E9D">
        <w:t>»</w:t>
      </w:r>
      <w:r w:rsidR="00CC5573" w:rsidRPr="00434E9D">
        <w:t xml:space="preserve"> </w:t>
      </w:r>
      <w:r w:rsidR="00CC5573" w:rsidRPr="00434E9D">
        <w:rPr>
          <w:b/>
        </w:rPr>
        <w:t xml:space="preserve"> [Am. 116]</w:t>
      </w:r>
    </w:p>
    <w:p w14:paraId="45A5E118" w14:textId="77777777" w:rsidR="00CC5573" w:rsidRPr="00434E9D" w:rsidRDefault="00CC5573">
      <w:pPr>
        <w:widowControl/>
      </w:pPr>
      <w:r w:rsidRPr="00434E9D">
        <w:br w:type="page"/>
      </w:r>
    </w:p>
    <w:p w14:paraId="07B93E79" w14:textId="77777777" w:rsidR="008C3DE0" w:rsidRPr="00434E9D" w:rsidRDefault="00CC5573" w:rsidP="00E96033">
      <w:pPr>
        <w:spacing w:line="360" w:lineRule="auto"/>
        <w:ind w:left="850" w:hanging="850"/>
      </w:pPr>
      <w:r w:rsidRPr="00434E9D">
        <w:lastRenderedPageBreak/>
        <w:t>5)</w:t>
      </w:r>
      <w:r w:rsidRPr="00434E9D">
        <w:tab/>
        <w:t>L</w:t>
      </w:r>
      <w:r w:rsidR="008C3DE0" w:rsidRPr="00434E9D">
        <w:t>’article 8 est remplacé par le texte suivant:</w:t>
      </w:r>
    </w:p>
    <w:p w14:paraId="689E58E2" w14:textId="77777777" w:rsidR="008C3DE0" w:rsidRPr="00434E9D" w:rsidRDefault="008C3DE0" w:rsidP="00E96033">
      <w:pPr>
        <w:spacing w:line="360" w:lineRule="auto"/>
        <w:ind w:left="850"/>
      </w:pPr>
      <w:r w:rsidRPr="00434E9D">
        <w:t>«</w:t>
      </w:r>
      <w:r w:rsidR="00CC5573" w:rsidRPr="00434E9D">
        <w:t xml:space="preserve"> </w:t>
      </w:r>
      <w:r w:rsidRPr="00434E9D">
        <w:t>Article 8</w:t>
      </w:r>
    </w:p>
    <w:p w14:paraId="1DC4C765" w14:textId="77777777" w:rsidR="008C3DE0" w:rsidRPr="00434E9D" w:rsidRDefault="008C3DE0" w:rsidP="00E96033">
      <w:pPr>
        <w:spacing w:line="360" w:lineRule="auto"/>
        <w:ind w:left="850"/>
      </w:pPr>
      <w:r w:rsidRPr="00434E9D">
        <w:t>Réexamen des annexes I et II</w:t>
      </w:r>
    </w:p>
    <w:p w14:paraId="212239BF" w14:textId="77777777" w:rsidR="008C3DE0" w:rsidRPr="00434E9D" w:rsidRDefault="008C3DE0" w:rsidP="00E96033">
      <w:pPr>
        <w:spacing w:line="360" w:lineRule="auto"/>
        <w:ind w:left="1416" w:hanging="566"/>
        <w:rPr>
          <w:b/>
        </w:rPr>
      </w:pPr>
      <w:r w:rsidRPr="00434E9D">
        <w:t>1.</w:t>
      </w:r>
      <w:r w:rsidRPr="00434E9D">
        <w:tab/>
        <w:t xml:space="preserve">La Commission réexamine, pour la première fois au plus tard le [OP: veuillez insérer la date, à savoir </w:t>
      </w:r>
      <w:proofErr w:type="spellStart"/>
      <w:r w:rsidRPr="00434E9D">
        <w:rPr>
          <w:strike/>
        </w:rPr>
        <w:t>six</w:t>
      </w:r>
      <w:r w:rsidRPr="00434E9D">
        <w:rPr>
          <w:b/>
          <w:i/>
        </w:rPr>
        <w:t>quatre</w:t>
      </w:r>
      <w:proofErr w:type="spellEnd"/>
      <w:r w:rsidRPr="00434E9D">
        <w:t xml:space="preserve"> ans après la date d’entrée en vigueur de la présente directive] et tous les </w:t>
      </w:r>
      <w:proofErr w:type="spellStart"/>
      <w:r w:rsidRPr="00434E9D">
        <w:rPr>
          <w:strike/>
        </w:rPr>
        <w:t>six</w:t>
      </w:r>
      <w:r w:rsidRPr="00434E9D">
        <w:rPr>
          <w:b/>
          <w:i/>
        </w:rPr>
        <w:t>quatre</w:t>
      </w:r>
      <w:proofErr w:type="spellEnd"/>
      <w:r w:rsidRPr="00434E9D">
        <w:t xml:space="preserve"> ans ensuite, la liste des substances prioritaires et les NQE correspondantes applicables à ces substances figurant à l’annexe I, partie A, ainsi que la liste des polluants figurant à l’annexe II, partie A.</w:t>
      </w:r>
      <w:r w:rsidR="00CC5573" w:rsidRPr="00434E9D">
        <w:t xml:space="preserve"> </w:t>
      </w:r>
      <w:r w:rsidR="00CC5573" w:rsidRPr="00434E9D">
        <w:rPr>
          <w:b/>
        </w:rPr>
        <w:t xml:space="preserve"> [Am. 117]</w:t>
      </w:r>
    </w:p>
    <w:p w14:paraId="390E15E0" w14:textId="77777777" w:rsidR="008C3DE0" w:rsidRPr="00434E9D" w:rsidRDefault="008C3DE0" w:rsidP="00E96033">
      <w:pPr>
        <w:spacing w:line="360" w:lineRule="auto"/>
        <w:ind w:left="1416" w:hanging="566"/>
        <w:rPr>
          <w:b/>
        </w:rPr>
      </w:pPr>
      <w:r w:rsidRPr="00434E9D">
        <w:t>2.</w:t>
      </w:r>
      <w:r w:rsidRPr="00434E9D">
        <w:tab/>
      </w:r>
      <w:r w:rsidRPr="00434E9D">
        <w:rPr>
          <w:b/>
          <w:i/>
        </w:rPr>
        <w:t xml:space="preserve">Sur la base du réexamen, </w:t>
      </w:r>
      <w:r w:rsidRPr="00434E9D">
        <w:t xml:space="preserve">la Commission </w:t>
      </w:r>
      <w:r w:rsidRPr="00434E9D">
        <w:rPr>
          <w:strike/>
        </w:rPr>
        <w:t xml:space="preserve">est habilitée à adopter des actes </w:t>
      </w:r>
      <w:proofErr w:type="spellStart"/>
      <w:r w:rsidRPr="00434E9D">
        <w:rPr>
          <w:strike/>
        </w:rPr>
        <w:t>délégués</w:t>
      </w:r>
      <w:r w:rsidRPr="00434E9D">
        <w:rPr>
          <w:b/>
          <w:i/>
        </w:rPr>
        <w:t>présente</w:t>
      </w:r>
      <w:proofErr w:type="spellEnd"/>
      <w:r w:rsidRPr="00434E9D">
        <w:rPr>
          <w:b/>
          <w:i/>
        </w:rPr>
        <w:t>, le cas échéant, des propositions législatives</w:t>
      </w:r>
      <w:r w:rsidRPr="00434E9D">
        <w:t>, eu égard aux rapports scientifiques préparés par l’Agence européenne des produits chimiques (ECHA) en application du paragraphe 6 du présent article</w:t>
      </w:r>
      <w:r w:rsidRPr="00434E9D">
        <w:rPr>
          <w:strike/>
        </w:rPr>
        <w:t>, conformément à l’article 9 bis,</w:t>
      </w:r>
      <w:r w:rsidRPr="00434E9D">
        <w:t xml:space="preserve"> aux fins de modifier l’annexe I afin de l’adapter au progrès technique et scientifique:</w:t>
      </w:r>
      <w:r w:rsidR="00CC5573" w:rsidRPr="00434E9D">
        <w:t xml:space="preserve"> </w:t>
      </w:r>
      <w:r w:rsidR="00CC5573" w:rsidRPr="00434E9D">
        <w:rPr>
          <w:b/>
        </w:rPr>
        <w:t xml:space="preserve"> [Am. 118]</w:t>
      </w:r>
    </w:p>
    <w:p w14:paraId="6C6A02C5" w14:textId="77777777" w:rsidR="00CC5573" w:rsidRPr="00434E9D" w:rsidRDefault="00CC5573">
      <w:pPr>
        <w:widowControl/>
      </w:pPr>
      <w:r w:rsidRPr="00434E9D">
        <w:br w:type="page"/>
      </w:r>
    </w:p>
    <w:p w14:paraId="39F93BF3" w14:textId="77777777" w:rsidR="008C3DE0" w:rsidRPr="00434E9D" w:rsidRDefault="008C3DE0" w:rsidP="00E96033">
      <w:pPr>
        <w:spacing w:line="360" w:lineRule="auto"/>
        <w:ind w:left="1982" w:hanging="566"/>
      </w:pPr>
      <w:r w:rsidRPr="00434E9D">
        <w:lastRenderedPageBreak/>
        <w:t>a)</w:t>
      </w:r>
      <w:r w:rsidRPr="00434E9D">
        <w:tab/>
        <w:t>en ajoutant ou retirant des substances de la liste des substances prioritaires;</w:t>
      </w:r>
    </w:p>
    <w:p w14:paraId="297DA0D6" w14:textId="77777777" w:rsidR="008C3DE0" w:rsidRPr="00434E9D" w:rsidRDefault="008C3DE0" w:rsidP="00E96033">
      <w:pPr>
        <w:spacing w:line="360" w:lineRule="auto"/>
        <w:ind w:left="1982" w:hanging="566"/>
      </w:pPr>
      <w:r w:rsidRPr="00434E9D">
        <w:t>b)</w:t>
      </w:r>
      <w:r w:rsidRPr="00434E9D">
        <w:tab/>
        <w:t>en ajoutant ou retirant certaines substances considérées comme des substances dangereuses prioritaires et/ou comme des substances persistantes, bioaccumulables et toxiques ubiquistes (</w:t>
      </w:r>
      <w:proofErr w:type="spellStart"/>
      <w:r w:rsidRPr="00434E9D">
        <w:t>uPBT</w:t>
      </w:r>
      <w:proofErr w:type="spellEnd"/>
      <w:r w:rsidRPr="00434E9D">
        <w:t>) et/ou comme des substances qui ont tendance à s’accumuler dans les sédiments et/ou le biote;</w:t>
      </w:r>
    </w:p>
    <w:p w14:paraId="538FF720" w14:textId="77777777" w:rsidR="008C3DE0" w:rsidRPr="00434E9D" w:rsidRDefault="008C3DE0" w:rsidP="00E96033">
      <w:pPr>
        <w:spacing w:line="360" w:lineRule="auto"/>
        <w:ind w:left="1982" w:hanging="566"/>
      </w:pPr>
      <w:r w:rsidRPr="00434E9D">
        <w:t>c)</w:t>
      </w:r>
      <w:r w:rsidRPr="00434E9D">
        <w:tab/>
        <w:t>en fixant des NQE correspondantes pour les eaux de surface, les sédiments ou le biote, selon les cas.</w:t>
      </w:r>
    </w:p>
    <w:p w14:paraId="5508681B" w14:textId="77777777" w:rsidR="008C3DE0" w:rsidRPr="00434E9D" w:rsidRDefault="008C3DE0" w:rsidP="00E96033">
      <w:pPr>
        <w:spacing w:line="360" w:lineRule="auto"/>
        <w:ind w:left="1416" w:hanging="566"/>
      </w:pPr>
      <w:r w:rsidRPr="00434E9D">
        <w:t>3.</w:t>
      </w:r>
      <w:r w:rsidRPr="00434E9D">
        <w:tab/>
        <w:t>La Commission est habilitée à adopter des actes délégués, eu égard aux rapports scientifiques préparés par l’ECHA en application du paragraphe 6 du présent article, conformément à l’article 9 bis, aux fins de modifier l’annexe II afin de l’adapter au progrès technique et scientifique:</w:t>
      </w:r>
    </w:p>
    <w:p w14:paraId="3E8EB9B6" w14:textId="77777777" w:rsidR="008C3DE0" w:rsidRPr="00434E9D" w:rsidRDefault="008C3DE0" w:rsidP="00E96033">
      <w:pPr>
        <w:spacing w:line="360" w:lineRule="auto"/>
        <w:ind w:left="1982" w:hanging="566"/>
      </w:pPr>
      <w:r w:rsidRPr="00434E9D">
        <w:t>a)</w:t>
      </w:r>
      <w:r w:rsidRPr="00434E9D">
        <w:tab/>
        <w:t>en ajoutant ou retirant des polluants de la liste des catégories de polluants figurant à l’annexe II, partie A;</w:t>
      </w:r>
    </w:p>
    <w:p w14:paraId="04775629" w14:textId="77777777" w:rsidR="008C3DE0" w:rsidRPr="00434E9D" w:rsidRDefault="008C3DE0" w:rsidP="00E96033">
      <w:pPr>
        <w:spacing w:line="360" w:lineRule="auto"/>
        <w:ind w:left="1982" w:hanging="566"/>
      </w:pPr>
      <w:r w:rsidRPr="00434E9D">
        <w:t>b)</w:t>
      </w:r>
      <w:r w:rsidRPr="00434E9D">
        <w:tab/>
        <w:t>en mettant à jour la méthode décrite à l’annexe II, partie B;</w:t>
      </w:r>
    </w:p>
    <w:p w14:paraId="71310A9B" w14:textId="77777777" w:rsidR="00CC5573" w:rsidRPr="00434E9D" w:rsidRDefault="00CC5573">
      <w:pPr>
        <w:widowControl/>
      </w:pPr>
      <w:r w:rsidRPr="00434E9D">
        <w:br w:type="page"/>
      </w:r>
    </w:p>
    <w:p w14:paraId="0170C07E" w14:textId="77777777" w:rsidR="008C3DE0" w:rsidRPr="00434E9D" w:rsidRDefault="008C3DE0" w:rsidP="00E96033">
      <w:pPr>
        <w:spacing w:line="360" w:lineRule="auto"/>
        <w:ind w:left="1982" w:hanging="566"/>
      </w:pPr>
      <w:r w:rsidRPr="00434E9D">
        <w:lastRenderedPageBreak/>
        <w:t>c)</w:t>
      </w:r>
      <w:r w:rsidRPr="00434E9D">
        <w:tab/>
        <w:t>en répertoriant à l’annexe II, partie C, de la présente directive les polluants spécifiques à un bassin hydrographique pour lesquels elle a établi que les NQE fixées au niveau de l’Union devaient être appliquées, le cas échéant, pour garantir la réalisation harmonisée et fondée sur des données scientifiques des objectifs fixés à l’article 4 de la directive 2000/60/CE, et en répertoriant les NQE correspondantes applicables à ces polluants à l’annexe II, partie C, de la présente directive.</w:t>
      </w:r>
    </w:p>
    <w:p w14:paraId="5D954FB4" w14:textId="77777777" w:rsidR="008C3DE0" w:rsidRPr="00434E9D" w:rsidRDefault="008C3DE0" w:rsidP="00E96033">
      <w:pPr>
        <w:spacing w:line="360" w:lineRule="auto"/>
        <w:ind w:left="1416" w:hanging="566"/>
      </w:pPr>
      <w:r w:rsidRPr="00434E9D">
        <w:t>4.</w:t>
      </w:r>
      <w:r w:rsidRPr="00434E9D">
        <w:tab/>
        <w:t>Au moment de déterminer les polluants spécifiques à un bassin hydrographique pour lesquels il pourrait être nécessaire de fixer des NQE au niveau de l’Union, la Commission prend en considération les critères suivants:</w:t>
      </w:r>
    </w:p>
    <w:p w14:paraId="441F937E" w14:textId="77777777" w:rsidR="008C3DE0" w:rsidRPr="00434E9D" w:rsidRDefault="008C3DE0" w:rsidP="00E96033">
      <w:pPr>
        <w:spacing w:line="360" w:lineRule="auto"/>
        <w:ind w:left="1982" w:hanging="566"/>
        <w:rPr>
          <w:b/>
        </w:rPr>
      </w:pPr>
      <w:r w:rsidRPr="00434E9D">
        <w:t>a)</w:t>
      </w:r>
      <w:r w:rsidRPr="00434E9D">
        <w:tab/>
        <w:t>le risque présenté par les polluants, y compris leur danger, leurs concentrations dans l’environnement</w:t>
      </w:r>
      <w:r w:rsidRPr="00434E9D">
        <w:rPr>
          <w:strike/>
        </w:rPr>
        <w:t xml:space="preserve"> et</w:t>
      </w:r>
      <w:r w:rsidRPr="00434E9D">
        <w:rPr>
          <w:b/>
          <w:i/>
        </w:rPr>
        <w:t>,</w:t>
      </w:r>
      <w:r w:rsidRPr="00434E9D">
        <w:t xml:space="preserve"> la concentration au-dessus de laquelle des effets pourraient être escomptés</w:t>
      </w:r>
      <w:r w:rsidRPr="00434E9D">
        <w:rPr>
          <w:b/>
          <w:i/>
        </w:rPr>
        <w:t>, y compris leurs effets cumulatifs</w:t>
      </w:r>
      <w:r w:rsidRPr="00434E9D">
        <w:t>;</w:t>
      </w:r>
      <w:r w:rsidR="00CC5573" w:rsidRPr="00434E9D">
        <w:t xml:space="preserve"> </w:t>
      </w:r>
      <w:r w:rsidR="00CC5573" w:rsidRPr="00434E9D">
        <w:rPr>
          <w:b/>
        </w:rPr>
        <w:t xml:space="preserve"> [Am. 119]</w:t>
      </w:r>
    </w:p>
    <w:p w14:paraId="0A6A2BAF" w14:textId="77777777" w:rsidR="008C3DE0" w:rsidRPr="00434E9D" w:rsidRDefault="008C3DE0" w:rsidP="00E96033">
      <w:pPr>
        <w:spacing w:line="360" w:lineRule="auto"/>
        <w:ind w:left="1982" w:hanging="566"/>
      </w:pPr>
      <w:r w:rsidRPr="00434E9D">
        <w:t>b)</w:t>
      </w:r>
      <w:r w:rsidRPr="00434E9D">
        <w:tab/>
        <w:t>la disparité entre les NQE nationales fixées pour les polluants spécifiques à un bassin hydrographique par différents États membres et la mesure dans laquelle cette disparité est justifiable;</w:t>
      </w:r>
    </w:p>
    <w:p w14:paraId="261A830F" w14:textId="77777777" w:rsidR="00CC5573" w:rsidRPr="00434E9D" w:rsidRDefault="00CC5573">
      <w:pPr>
        <w:widowControl/>
      </w:pPr>
      <w:r w:rsidRPr="00434E9D">
        <w:br w:type="page"/>
      </w:r>
    </w:p>
    <w:p w14:paraId="6222AFE9" w14:textId="77777777" w:rsidR="008C3DE0" w:rsidRPr="00434E9D" w:rsidRDefault="008C3DE0" w:rsidP="00E96033">
      <w:pPr>
        <w:spacing w:line="360" w:lineRule="auto"/>
        <w:ind w:left="1982" w:hanging="566"/>
      </w:pPr>
      <w:r w:rsidRPr="00434E9D">
        <w:lastRenderedPageBreak/>
        <w:t>c)</w:t>
      </w:r>
      <w:r w:rsidRPr="00434E9D">
        <w:tab/>
        <w:t>le nombre d’États membres qui appliquent déjà des NQE pour les polluants spécifiques à un bassin hydrographique envisagés.</w:t>
      </w:r>
    </w:p>
    <w:p w14:paraId="67C37933" w14:textId="77777777" w:rsidR="008C3DE0" w:rsidRPr="00434E9D" w:rsidRDefault="008C3DE0" w:rsidP="00E96033">
      <w:pPr>
        <w:spacing w:line="360" w:lineRule="auto"/>
        <w:ind w:left="1416" w:hanging="566"/>
      </w:pPr>
      <w:r w:rsidRPr="00434E9D">
        <w:t>5.</w:t>
      </w:r>
      <w:r w:rsidRPr="00434E9D">
        <w:tab/>
        <w:t>Les substances prioritaires qui, à la suite du réexamen visé au paragraphe 1, ont été retirées de la liste des substances prioritaires parce qu’elles ne présentent plus un risque à l’échelle de l’Union, sont inscrites sur la liste figurant à l’annexe II, partie C, qui répertorie les polluants spécifiques à un bassin hydrographique et les NQE harmonisées correspondantes qui doivent être appliquées lorsque les polluants sont préoccupants au niveau national ou régional, conformément à l’article 8 quinquies.</w:t>
      </w:r>
    </w:p>
    <w:p w14:paraId="510D8785" w14:textId="77777777" w:rsidR="008C3DE0" w:rsidRPr="00434E9D" w:rsidRDefault="008C3DE0" w:rsidP="00E96033">
      <w:pPr>
        <w:spacing w:line="360" w:lineRule="auto"/>
        <w:ind w:left="1416" w:hanging="566"/>
      </w:pPr>
      <w:r w:rsidRPr="00434E9D">
        <w:t>6.</w:t>
      </w:r>
      <w:r w:rsidRPr="00434E9D">
        <w:tab/>
        <w:t>Aux fins d’aider la Commission dans le cadre du réexamen des annexes I et II, l’ECHA prépare des rapports scientifiques. Ces rapports scientifiques tiennent compte des éléments suivants:</w:t>
      </w:r>
    </w:p>
    <w:p w14:paraId="0F14EC09" w14:textId="77777777" w:rsidR="008C3DE0" w:rsidRPr="00434E9D" w:rsidRDefault="008C3DE0" w:rsidP="00E96033">
      <w:pPr>
        <w:spacing w:line="360" w:lineRule="auto"/>
        <w:ind w:left="1982" w:hanging="566"/>
      </w:pPr>
      <w:r w:rsidRPr="00434E9D">
        <w:t>a)</w:t>
      </w:r>
      <w:r w:rsidRPr="00434E9D">
        <w:tab/>
        <w:t>les avis du comité d’évaluation des risques et du comité d’analyse socioéconomique de l’ECHA;</w:t>
      </w:r>
    </w:p>
    <w:p w14:paraId="30AFCC45" w14:textId="77777777" w:rsidR="008C3DE0" w:rsidRPr="00434E9D" w:rsidRDefault="008C3DE0" w:rsidP="00E96033">
      <w:pPr>
        <w:spacing w:line="360" w:lineRule="auto"/>
        <w:ind w:left="1982" w:hanging="566"/>
      </w:pPr>
      <w:r w:rsidRPr="00434E9D">
        <w:t>b)</w:t>
      </w:r>
      <w:r w:rsidRPr="00434E9D">
        <w:tab/>
        <w:t>les résultats des programmes de surveillance établis conformément à l’article 8 de la directive 2000/60/CE;</w:t>
      </w:r>
    </w:p>
    <w:p w14:paraId="633C32FA" w14:textId="77777777" w:rsidR="00CC5573" w:rsidRPr="00434E9D" w:rsidRDefault="00CC5573">
      <w:pPr>
        <w:widowControl/>
      </w:pPr>
      <w:r w:rsidRPr="00434E9D">
        <w:br w:type="page"/>
      </w:r>
    </w:p>
    <w:p w14:paraId="177C9EB4" w14:textId="77777777" w:rsidR="008C3DE0" w:rsidRPr="00434E9D" w:rsidRDefault="008C3DE0" w:rsidP="00E96033">
      <w:pPr>
        <w:spacing w:line="360" w:lineRule="auto"/>
        <w:ind w:left="1982" w:hanging="566"/>
      </w:pPr>
      <w:r w:rsidRPr="00434E9D">
        <w:lastRenderedPageBreak/>
        <w:t>c)</w:t>
      </w:r>
      <w:r w:rsidRPr="00434E9D">
        <w:tab/>
        <w:t>les données de surveillance recueillies conformément à l’article 8 ter, paragraphe 4, de la présente directive;</w:t>
      </w:r>
    </w:p>
    <w:p w14:paraId="22E118DD" w14:textId="77777777" w:rsidR="008C3DE0" w:rsidRPr="00434E9D" w:rsidRDefault="008C3DE0" w:rsidP="00E96033">
      <w:pPr>
        <w:spacing w:line="360" w:lineRule="auto"/>
        <w:ind w:left="1982" w:hanging="566"/>
      </w:pPr>
      <w:r w:rsidRPr="00434E9D">
        <w:t>d)</w:t>
      </w:r>
      <w:r w:rsidRPr="00434E9D">
        <w:tab/>
        <w:t>le résultat des réexamens des annexes de la directive 2006/118/CE du Parlement européen et du Conseil* et de la directive (UE) 2020/2184 du Parlement européen et du Conseil**;</w:t>
      </w:r>
    </w:p>
    <w:p w14:paraId="308395FA" w14:textId="77777777" w:rsidR="008C3DE0" w:rsidRPr="00434E9D" w:rsidRDefault="008C3DE0" w:rsidP="00E96033">
      <w:pPr>
        <w:spacing w:line="360" w:lineRule="auto"/>
        <w:ind w:left="1982" w:hanging="566"/>
      </w:pPr>
      <w:r w:rsidRPr="00434E9D">
        <w:t>e)</w:t>
      </w:r>
      <w:r w:rsidRPr="00434E9D">
        <w:tab/>
        <w:t>les exigences en matière de lutte contre la pollution des sols, y compris les données de surveillance y afférentes;</w:t>
      </w:r>
    </w:p>
    <w:p w14:paraId="431D5A6F" w14:textId="77777777" w:rsidR="008C3DE0" w:rsidRPr="00434E9D" w:rsidRDefault="008C3DE0" w:rsidP="00E96033">
      <w:pPr>
        <w:spacing w:line="360" w:lineRule="auto"/>
        <w:ind w:left="1982" w:hanging="566"/>
      </w:pPr>
      <w:r w:rsidRPr="00434E9D">
        <w:t>f)</w:t>
      </w:r>
      <w:r w:rsidRPr="00434E9D">
        <w:tab/>
        <w:t xml:space="preserve">les programmes de recherche et les publications scientifiques de l’Union, y compris les informations obtenues grâce aux technologies de télédétection, à l’observation de la terre (services </w:t>
      </w:r>
      <w:proofErr w:type="spellStart"/>
      <w:r w:rsidRPr="00434E9D">
        <w:t>Copernicus</w:t>
      </w:r>
      <w:proofErr w:type="spellEnd"/>
      <w:r w:rsidRPr="00434E9D">
        <w:t>) et aux capteurs et dispositifs in situ, ou les données issues des sciences citoyennes, exploitant les possibilités offertes par l’intelligence artificielle et l’analyse et le traitement avancés des données;</w:t>
      </w:r>
    </w:p>
    <w:p w14:paraId="58231A28" w14:textId="77777777" w:rsidR="008C3DE0" w:rsidRPr="00434E9D" w:rsidRDefault="008C3DE0" w:rsidP="00E96033">
      <w:pPr>
        <w:spacing w:line="360" w:lineRule="auto"/>
        <w:ind w:left="1982" w:hanging="566"/>
      </w:pPr>
      <w:r w:rsidRPr="00434E9D">
        <w:t>g)</w:t>
      </w:r>
      <w:r w:rsidRPr="00434E9D">
        <w:tab/>
        <w:t>les commentaires et les informations des parties concernées pertinentes.</w:t>
      </w:r>
    </w:p>
    <w:p w14:paraId="55AF5575" w14:textId="77777777" w:rsidR="00CC5573" w:rsidRPr="00434E9D" w:rsidRDefault="00CC5573">
      <w:pPr>
        <w:widowControl/>
        <w:rPr>
          <w:b/>
          <w:i/>
        </w:rPr>
      </w:pPr>
      <w:r w:rsidRPr="00434E9D">
        <w:rPr>
          <w:b/>
          <w:i/>
        </w:rPr>
        <w:br w:type="page"/>
      </w:r>
    </w:p>
    <w:p w14:paraId="426E5D0B" w14:textId="77777777" w:rsidR="008C3DE0" w:rsidRPr="00434E9D" w:rsidRDefault="00CC5573" w:rsidP="00E96033">
      <w:pPr>
        <w:spacing w:line="360" w:lineRule="auto"/>
        <w:ind w:left="1416" w:hanging="566"/>
        <w:rPr>
          <w:b/>
        </w:rPr>
      </w:pPr>
      <w:r w:rsidRPr="00434E9D">
        <w:rPr>
          <w:b/>
          <w:i/>
        </w:rPr>
        <w:lastRenderedPageBreak/>
        <w:t>6 bis</w:t>
      </w:r>
      <w:r w:rsidR="008C3DE0" w:rsidRPr="00434E9D">
        <w:rPr>
          <w:b/>
          <w:i/>
        </w:rPr>
        <w:t>.</w:t>
      </w:r>
      <w:r w:rsidR="008C3DE0" w:rsidRPr="00434E9D">
        <w:tab/>
      </w:r>
      <w:r w:rsidR="008C3DE0" w:rsidRPr="00434E9D">
        <w:rPr>
          <w:b/>
          <w:i/>
        </w:rPr>
        <w:t xml:space="preserve">Au plus tard le 12 janvier 2025, la Commission établit des lignes directrices techniques concernant les méthodes d’analyse pour la surveillance des substances alkylées per- et </w:t>
      </w:r>
      <w:proofErr w:type="spellStart"/>
      <w:r w:rsidR="008C3DE0" w:rsidRPr="00434E9D">
        <w:rPr>
          <w:b/>
          <w:i/>
        </w:rPr>
        <w:t>polyfluorées</w:t>
      </w:r>
      <w:proofErr w:type="spellEnd"/>
      <w:r w:rsidR="008C3DE0" w:rsidRPr="00434E9D">
        <w:rPr>
          <w:b/>
          <w:i/>
        </w:rPr>
        <w:t xml:space="preserve"> en vertu des paramètres «PFAS – total». Au plus tard le 12 janvier 2026, la Commission adopte un acte délégué conformément à l’article 9 bis aux fins de modifier la présente directive en fixant une norme de qualité pour le «PFAS – total» et de modifier l’annexe I en conséquence. </w:t>
      </w:r>
      <w:r w:rsidRPr="00434E9D">
        <w:rPr>
          <w:b/>
        </w:rPr>
        <w:t xml:space="preserve"> [Am. 120]</w:t>
      </w:r>
    </w:p>
    <w:p w14:paraId="1EF44C49" w14:textId="77777777" w:rsidR="008C3DE0" w:rsidRPr="00434E9D" w:rsidRDefault="00CC5573" w:rsidP="00E96033">
      <w:pPr>
        <w:spacing w:line="360" w:lineRule="auto"/>
        <w:ind w:left="1416" w:hanging="566"/>
        <w:rPr>
          <w:b/>
        </w:rPr>
      </w:pPr>
      <w:r w:rsidRPr="00434E9D">
        <w:rPr>
          <w:b/>
          <w:i/>
        </w:rPr>
        <w:t>6 ter</w:t>
      </w:r>
      <w:r w:rsidR="008C3DE0" w:rsidRPr="00434E9D">
        <w:rPr>
          <w:b/>
          <w:i/>
        </w:rPr>
        <w:t>.</w:t>
      </w:r>
      <w:r w:rsidR="008C3DE0" w:rsidRPr="00434E9D">
        <w:tab/>
      </w:r>
      <w:r w:rsidR="008C3DE0" w:rsidRPr="00434E9D">
        <w:rPr>
          <w:b/>
          <w:i/>
        </w:rPr>
        <w:t>Au plus tard le... [deux ans après l’entrée en vigueur de la présente directive], la Commission établit des lignes directrices techniques concernant les méthodes d’analyse pour la surveillance des bisphénols, dont, au minimum, le bisphénol A, le bisphénol B et le bisphénol S, en vertu des paramètres «Total des bisphénols». Au plus tard le... [trois ans après l’entrée en vigueur de la présente directive], la Commission adopte un acte délégué conformément à l’article 9 bis aux fins de modifier la présente directive en fixant une NQE pour le «Total des bisphénols» au moyen d’une approche utilisant le facteur de puissance relative et de modifier l’annexe I en conséquence.</w:t>
      </w:r>
      <w:r w:rsidRPr="00434E9D">
        <w:rPr>
          <w:b/>
          <w:i/>
        </w:rPr>
        <w:t xml:space="preserve"> </w:t>
      </w:r>
      <w:r w:rsidRPr="00434E9D">
        <w:rPr>
          <w:b/>
        </w:rPr>
        <w:t xml:space="preserve"> [Am. 121]</w:t>
      </w:r>
    </w:p>
    <w:p w14:paraId="1D1F4578" w14:textId="77777777" w:rsidR="00CC5573" w:rsidRPr="00434E9D" w:rsidRDefault="00CC5573">
      <w:pPr>
        <w:widowControl/>
      </w:pPr>
      <w:r w:rsidRPr="00434E9D">
        <w:br w:type="page"/>
      </w:r>
    </w:p>
    <w:p w14:paraId="53B8C1DE" w14:textId="77777777" w:rsidR="008C3DE0" w:rsidRPr="00434E9D" w:rsidRDefault="008C3DE0" w:rsidP="00E96033">
      <w:pPr>
        <w:spacing w:line="360" w:lineRule="auto"/>
        <w:ind w:left="1416" w:hanging="566"/>
        <w:rPr>
          <w:b/>
        </w:rPr>
      </w:pPr>
      <w:r w:rsidRPr="00434E9D">
        <w:lastRenderedPageBreak/>
        <w:t>7.</w:t>
      </w:r>
      <w:r w:rsidRPr="00434E9D">
        <w:tab/>
        <w:t xml:space="preserve">Tous les </w:t>
      </w:r>
      <w:proofErr w:type="spellStart"/>
      <w:r w:rsidRPr="00434E9D">
        <w:rPr>
          <w:strike/>
        </w:rPr>
        <w:t>six</w:t>
      </w:r>
      <w:r w:rsidRPr="00434E9D">
        <w:rPr>
          <w:b/>
          <w:i/>
        </w:rPr>
        <w:t>quatre</w:t>
      </w:r>
      <w:proofErr w:type="spellEnd"/>
      <w:r w:rsidRPr="00434E9D">
        <w:t xml:space="preserve"> ans, l’ECHA prépare et rend public un rapport résumant les conclusions des rapports scientifiques établis au titre du paragraphe 6. Le premier rapport est présenté à la Commission le … [OP: veuillez insérer la date, à savoir </w:t>
      </w:r>
      <w:proofErr w:type="spellStart"/>
      <w:r w:rsidRPr="00434E9D">
        <w:rPr>
          <w:strike/>
        </w:rPr>
        <w:t>cinq</w:t>
      </w:r>
      <w:r w:rsidRPr="00434E9D">
        <w:rPr>
          <w:b/>
          <w:i/>
        </w:rPr>
        <w:t>trois</w:t>
      </w:r>
      <w:proofErr w:type="spellEnd"/>
      <w:r w:rsidRPr="00434E9D">
        <w:t xml:space="preserve"> ans après la date d’entrée en vigueur de la présente directive].</w:t>
      </w:r>
      <w:r w:rsidR="00CC5573" w:rsidRPr="00434E9D">
        <w:t xml:space="preserve"> </w:t>
      </w:r>
      <w:r w:rsidR="00CC5573" w:rsidRPr="00434E9D">
        <w:rPr>
          <w:b/>
        </w:rPr>
        <w:t xml:space="preserve"> [Am. 122]</w:t>
      </w:r>
    </w:p>
    <w:p w14:paraId="71F2411B" w14:textId="77777777" w:rsidR="008C3DE0" w:rsidRPr="00434E9D" w:rsidRDefault="008C3DE0" w:rsidP="00E96033">
      <w:pPr>
        <w:spacing w:line="360" w:lineRule="auto"/>
        <w:ind w:left="850"/>
      </w:pPr>
      <w:r w:rsidRPr="00434E9D">
        <w:t>* Directive 2006/118/CE du Parlement européen et du Conseil du 12 décembre 2006 relative à la prévention et au contrôle de la pollution des eaux souterraines (JO L 372 du 27.12.2006, p. 19).</w:t>
      </w:r>
    </w:p>
    <w:p w14:paraId="75B89261" w14:textId="77777777" w:rsidR="008C3DE0" w:rsidRPr="00434E9D" w:rsidRDefault="008C3DE0" w:rsidP="00E96033">
      <w:pPr>
        <w:spacing w:line="360" w:lineRule="auto"/>
        <w:ind w:left="850"/>
      </w:pPr>
      <w:r w:rsidRPr="00434E9D">
        <w:t>** Directive (UE) 2020/2184 du Parlement européen et du Conseil du 16 décembre 2020 relative à la qualité des eaux destinées à la consommation humaine (JO L 435 du 23.12.2020, p. 1).;»</w:t>
      </w:r>
    </w:p>
    <w:p w14:paraId="44D490E5" w14:textId="77777777" w:rsidR="00CC5573" w:rsidRPr="00434E9D" w:rsidRDefault="00CC5573">
      <w:pPr>
        <w:widowControl/>
      </w:pPr>
      <w:r w:rsidRPr="00434E9D">
        <w:br w:type="page"/>
      </w:r>
    </w:p>
    <w:p w14:paraId="29C76C32" w14:textId="77777777" w:rsidR="008C3DE0" w:rsidRPr="00434E9D" w:rsidRDefault="00CC5573" w:rsidP="00E96033">
      <w:pPr>
        <w:spacing w:line="360" w:lineRule="auto"/>
        <w:ind w:left="850" w:hanging="850"/>
      </w:pPr>
      <w:r w:rsidRPr="00434E9D">
        <w:lastRenderedPageBreak/>
        <w:t>6)</w:t>
      </w:r>
      <w:r w:rsidRPr="00434E9D">
        <w:tab/>
        <w:t>L</w:t>
      </w:r>
      <w:r w:rsidR="008C3DE0" w:rsidRPr="00434E9D">
        <w:t>’article 8 bis est remplacé par le texte suivant:</w:t>
      </w:r>
    </w:p>
    <w:p w14:paraId="628E8D2F" w14:textId="77777777" w:rsidR="008C3DE0" w:rsidRPr="00434E9D" w:rsidRDefault="008C3DE0" w:rsidP="00E96033">
      <w:pPr>
        <w:spacing w:line="360" w:lineRule="auto"/>
        <w:ind w:left="850"/>
      </w:pPr>
      <w:r w:rsidRPr="00434E9D">
        <w:t>«Article 8 bis</w:t>
      </w:r>
    </w:p>
    <w:p w14:paraId="11CB27CF" w14:textId="77777777" w:rsidR="008C3DE0" w:rsidRPr="00434E9D" w:rsidRDefault="008C3DE0" w:rsidP="00E96033">
      <w:pPr>
        <w:spacing w:line="360" w:lineRule="auto"/>
        <w:ind w:left="850"/>
      </w:pPr>
      <w:r w:rsidRPr="00434E9D">
        <w:t>Dispositions spécifiques pour certaines substances</w:t>
      </w:r>
    </w:p>
    <w:p w14:paraId="39C2DA9C" w14:textId="77777777" w:rsidR="008C3DE0" w:rsidRPr="00434E9D" w:rsidRDefault="008C3DE0" w:rsidP="00E96033">
      <w:pPr>
        <w:spacing w:line="360" w:lineRule="auto"/>
        <w:ind w:left="1416" w:hanging="566"/>
      </w:pPr>
      <w:r w:rsidRPr="00434E9D">
        <w:t>1.</w:t>
      </w:r>
      <w:r w:rsidRPr="00434E9D">
        <w:tab/>
        <w:t>Dans les plans de gestion de district hydrographique qui sont élaborés conformément à l’article 13 de la directive 2000/60/CE, sans préjudice des dispositions de son annexe V, section 1.4.3, concernant la présentation de l’état chimique global et des objectifs et obligations énoncés à l’article 4, paragraphe 1, point a), de ladite directive, les États membres peuvent présenter des cartes supplémentaires indiquant les informations relatives à l’état chimique pour une ou plusieurs des substances suivantes séparément des informations sur le reste des substances qui figurent à l’annexe I, partie A, de la présente directive:</w:t>
      </w:r>
    </w:p>
    <w:p w14:paraId="0349652C" w14:textId="77777777" w:rsidR="008C3DE0" w:rsidRPr="00434E9D" w:rsidRDefault="008C3DE0" w:rsidP="00E96033">
      <w:pPr>
        <w:spacing w:line="360" w:lineRule="auto"/>
        <w:ind w:left="1982" w:hanging="566"/>
      </w:pPr>
      <w:r w:rsidRPr="00434E9D">
        <w:t>a)</w:t>
      </w:r>
      <w:r w:rsidRPr="00434E9D">
        <w:tab/>
        <w:t>substances identifiées dans l’annexe I, partie A, comme des substances se comportant comme des substances PBT ubiquistes;</w:t>
      </w:r>
    </w:p>
    <w:p w14:paraId="31BAFBF0" w14:textId="77777777" w:rsidR="008C3DE0" w:rsidRPr="00434E9D" w:rsidRDefault="008C3DE0" w:rsidP="00E96033">
      <w:pPr>
        <w:spacing w:line="360" w:lineRule="auto"/>
        <w:ind w:left="1982" w:hanging="566"/>
      </w:pPr>
      <w:r w:rsidRPr="00434E9D">
        <w:t>b)</w:t>
      </w:r>
      <w:r w:rsidRPr="00434E9D">
        <w:tab/>
        <w:t>substances nouvellement identifiées lors du dernier réexamen conformément à l’article 8;</w:t>
      </w:r>
    </w:p>
    <w:p w14:paraId="6D5FED72" w14:textId="77777777" w:rsidR="00CC5573" w:rsidRPr="00434E9D" w:rsidRDefault="00CC5573">
      <w:pPr>
        <w:widowControl/>
      </w:pPr>
      <w:r w:rsidRPr="00434E9D">
        <w:br w:type="page"/>
      </w:r>
    </w:p>
    <w:p w14:paraId="1425154B" w14:textId="77777777" w:rsidR="008C3DE0" w:rsidRPr="00434E9D" w:rsidRDefault="008C3DE0" w:rsidP="00E96033">
      <w:pPr>
        <w:spacing w:line="360" w:lineRule="auto"/>
        <w:ind w:left="1982" w:hanging="566"/>
      </w:pPr>
      <w:r w:rsidRPr="00434E9D">
        <w:lastRenderedPageBreak/>
        <w:t>c)</w:t>
      </w:r>
      <w:r w:rsidRPr="00434E9D">
        <w:tab/>
        <w:t>substances pour lesquelles une NQE plus stricte a été établie lors du dernier réexamen conformément à l’article 8.</w:t>
      </w:r>
    </w:p>
    <w:p w14:paraId="6DAEA0DB" w14:textId="77777777" w:rsidR="008C3DE0" w:rsidRPr="00434E9D" w:rsidRDefault="008C3DE0" w:rsidP="00E96033">
      <w:pPr>
        <w:spacing w:line="360" w:lineRule="auto"/>
        <w:ind w:left="1416"/>
        <w:rPr>
          <w:b/>
        </w:rPr>
      </w:pPr>
      <w:r w:rsidRPr="00434E9D">
        <w:t xml:space="preserve">Les États membres </w:t>
      </w:r>
      <w:proofErr w:type="spellStart"/>
      <w:r w:rsidRPr="00434E9D">
        <w:rPr>
          <w:strike/>
        </w:rPr>
        <w:t>peuvent</w:t>
      </w:r>
      <w:r w:rsidRPr="00434E9D">
        <w:rPr>
          <w:b/>
          <w:i/>
        </w:rPr>
        <w:t>présentent</w:t>
      </w:r>
      <w:proofErr w:type="spellEnd"/>
      <w:r w:rsidRPr="00434E9D">
        <w:t xml:space="preserve"> </w:t>
      </w:r>
      <w:r w:rsidRPr="00434E9D">
        <w:rPr>
          <w:strike/>
        </w:rPr>
        <w:t>aussi présenter</w:t>
      </w:r>
      <w:r w:rsidRPr="00434E9D">
        <w:t xml:space="preserve"> l’amplitude de tout écart par rapport aux valeurs des NQE pour les substances visées au premier alinéa, points a), b) et c), dans les plans de gestion de district hydrographique élaborés conformément à l’article 13 de la directive 2000/60/CE. Les États membres qui présentent les cartes supplémentaires visées au premier alinéa s’efforcent d’assurer leur comparabilité au niveau du district hydrographique et au niveau de l’Union et mettent les données à disposition conformément à la directive 2003/4/CE, à la directive 2007/2/CE du Parlement européen et du Conseil* et à la directive (UE) 2019/1024 du Parlement européen et du Conseil**.</w:t>
      </w:r>
      <w:r w:rsidR="00CC5573" w:rsidRPr="00434E9D">
        <w:t xml:space="preserve"> </w:t>
      </w:r>
      <w:r w:rsidR="00CC5573" w:rsidRPr="00434E9D">
        <w:rPr>
          <w:b/>
        </w:rPr>
        <w:t xml:space="preserve"> [Am. 123]</w:t>
      </w:r>
    </w:p>
    <w:p w14:paraId="5F5DDDC1" w14:textId="77777777" w:rsidR="00CC5573" w:rsidRPr="00434E9D" w:rsidRDefault="00CC5573">
      <w:pPr>
        <w:widowControl/>
      </w:pPr>
      <w:r w:rsidRPr="00434E9D">
        <w:br w:type="page"/>
      </w:r>
    </w:p>
    <w:p w14:paraId="2F111A0B" w14:textId="77777777" w:rsidR="008C3DE0" w:rsidRPr="00434E9D" w:rsidRDefault="008C3DE0" w:rsidP="00E96033">
      <w:pPr>
        <w:spacing w:line="360" w:lineRule="auto"/>
        <w:ind w:left="1416" w:hanging="566"/>
        <w:rPr>
          <w:b/>
        </w:rPr>
      </w:pPr>
      <w:r w:rsidRPr="00434E9D">
        <w:lastRenderedPageBreak/>
        <w:t>2.</w:t>
      </w:r>
      <w:r w:rsidRPr="00434E9D">
        <w:tab/>
        <w:t>Les États membres peuvent réaliser, pour les substances identifiées dans l’annexe I, partie A, comme des substances se comportant comme des substances PBT ubiquistes</w:t>
      </w:r>
      <w:r w:rsidRPr="00434E9D">
        <w:rPr>
          <w:b/>
          <w:i/>
        </w:rPr>
        <w:t xml:space="preserve"> et qui ne sont plus autorisées ni utilisées dans l’Union</w:t>
      </w:r>
      <w:r w:rsidRPr="00434E9D">
        <w:t>, des contrôles moins intensifs que ceux prévus pour les substances prioritaires conformément à l’article 3, paragraphe 4, de la présente directive et à l’annexe V de la directive 2000/60/CE, pour autant que la surveillance réalisée soit représentative et qu’une base de référence statistique fiable soit disponible en ce qui concerne la présence de ces substances dans l’environnement aquatique. À titre indicatif, conformément à l’article 3, paragraphe 6, deuxième alinéa, de la présente directive, les contrôles devraient avoir lieu tous les trois ans, à moins qu’un autre intervalle ne se justifie sur la base des connaissances techniques et de l’avis des experts.</w:t>
      </w:r>
      <w:r w:rsidR="00CC5573" w:rsidRPr="00434E9D">
        <w:t xml:space="preserve"> </w:t>
      </w:r>
      <w:r w:rsidR="00CC5573" w:rsidRPr="00434E9D">
        <w:rPr>
          <w:b/>
        </w:rPr>
        <w:t xml:space="preserve"> [Am. 124]</w:t>
      </w:r>
    </w:p>
    <w:p w14:paraId="3E20E52C" w14:textId="77777777" w:rsidR="00CC5573" w:rsidRPr="00434E9D" w:rsidRDefault="00CC5573">
      <w:pPr>
        <w:widowControl/>
      </w:pPr>
      <w:r w:rsidRPr="00434E9D">
        <w:br w:type="page"/>
      </w:r>
    </w:p>
    <w:p w14:paraId="0F04A646" w14:textId="77777777" w:rsidR="008C3DE0" w:rsidRPr="00434E9D" w:rsidRDefault="008C3DE0" w:rsidP="00E96033">
      <w:pPr>
        <w:spacing w:line="360" w:lineRule="auto"/>
        <w:ind w:left="1416" w:hanging="566"/>
      </w:pPr>
      <w:r w:rsidRPr="00434E9D">
        <w:lastRenderedPageBreak/>
        <w:t>3.</w:t>
      </w:r>
      <w:r w:rsidRPr="00434E9D">
        <w:tab/>
        <w:t xml:space="preserve">À compter du … [OP: veuillez insérer la date correspondant au premier jour du mois suivant un délai de dix-huit mois à compter de la date d’entrée en vigueur de la présente directive] et pendant deux ans, les États membres surveillent la présence de substances œstrogéniques dans les masses d’eau à l’aide de méthodes de surveillance fondée sur les effets. Ils procèdent à une surveillance à au moins quatre reprises au cours de chacune des deux années, dans des lieux où les trois hormones œstrogéniques 7-bêta estradiol (E2), estrone (E1) et </w:t>
      </w:r>
      <w:proofErr w:type="spellStart"/>
      <w:r w:rsidRPr="00434E9D">
        <w:t>alphaéthinylestradiol</w:t>
      </w:r>
      <w:proofErr w:type="spellEnd"/>
      <w:r w:rsidRPr="00434E9D">
        <w:t xml:space="preserve"> (EE2) répertoriées à l’annexe I, partie A, de la présente directive, sont surveillées à l’aide de méthodes d’analyse conventionnelles conformément à l’article 8 de la directive 2000/60/CE et à l’annexe V de ladite directive. Les États membres peuvent utiliser le réseau de sites de surveillance recensés pour la surveillance des masses d’eau de surface représentatives conformément à l’annexe V, point 1.3.1, de la directive 2000/60/CE.</w:t>
      </w:r>
    </w:p>
    <w:p w14:paraId="406B8460" w14:textId="77777777" w:rsidR="008C3DE0" w:rsidRPr="00434E9D" w:rsidRDefault="00CC5573" w:rsidP="00E96033">
      <w:pPr>
        <w:spacing w:line="360" w:lineRule="auto"/>
        <w:ind w:left="1416" w:hanging="566"/>
      </w:pPr>
      <w:r w:rsidRPr="00434E9D">
        <w:rPr>
          <w:b/>
          <w:i/>
        </w:rPr>
        <w:t>3 bis</w:t>
      </w:r>
      <w:r w:rsidR="008C3DE0" w:rsidRPr="00434E9D">
        <w:rPr>
          <w:b/>
          <w:i/>
        </w:rPr>
        <w:t>.</w:t>
      </w:r>
      <w:r w:rsidR="008C3DE0" w:rsidRPr="00434E9D">
        <w:tab/>
      </w:r>
      <w:r w:rsidR="008C3DE0" w:rsidRPr="00434E9D">
        <w:rPr>
          <w:b/>
          <w:i/>
        </w:rPr>
        <w:t>Dans les 12 mois suivant la période de deux ans visée au paragraphe 3, la Commission publie un rapport sur la fiabilité des méthodes fondées sur les effets en comparant les résultats fondés sur les effets aux résultats obtenus au moyen des méthodes conventionnelles de surveillance des trois substances œstrogéniques énumérées au paragraphe 1 en prévision de la définition possible de valeurs de déclenchement fondées sur les effets à l’avenir.</w:t>
      </w:r>
    </w:p>
    <w:p w14:paraId="77C23282" w14:textId="77777777" w:rsidR="00CC5573" w:rsidRPr="00434E9D" w:rsidRDefault="00CC5573">
      <w:pPr>
        <w:widowControl/>
        <w:rPr>
          <w:b/>
          <w:i/>
        </w:rPr>
      </w:pPr>
      <w:r w:rsidRPr="00434E9D">
        <w:rPr>
          <w:b/>
          <w:i/>
        </w:rPr>
        <w:br w:type="page"/>
      </w:r>
    </w:p>
    <w:p w14:paraId="7018AB0C" w14:textId="77777777" w:rsidR="008C3DE0" w:rsidRPr="00434E9D" w:rsidRDefault="008C3DE0" w:rsidP="00E96033">
      <w:pPr>
        <w:spacing w:line="360" w:lineRule="auto"/>
        <w:ind w:left="1416"/>
        <w:rPr>
          <w:b/>
        </w:rPr>
      </w:pPr>
      <w:r w:rsidRPr="00434E9D">
        <w:rPr>
          <w:b/>
          <w:i/>
        </w:rPr>
        <w:lastRenderedPageBreak/>
        <w:t>Lorsque les méthodes fondées sur les effets seront prêtes à être également utilisées pour d’autres substances, la Commission est habilitée à adopter des actes délégués conformément à l’article 9 bis pour compléter la présente directive en ajoutant une obligation pour les États membres d’utiliser les méthodes fondées sur les effets, parallèlement aux méthodes de surveillance conventionnelles, pour procéder à la surveillance visant à évaluer la présence de ces substances dans les masses d’eau.</w:t>
      </w:r>
      <w:r w:rsidR="00CC5573" w:rsidRPr="00434E9D">
        <w:rPr>
          <w:b/>
          <w:i/>
        </w:rPr>
        <w:t xml:space="preserve"> </w:t>
      </w:r>
      <w:r w:rsidR="00CC5573" w:rsidRPr="00434E9D">
        <w:rPr>
          <w:b/>
        </w:rPr>
        <w:t xml:space="preserve"> [Am. 125]</w:t>
      </w:r>
    </w:p>
    <w:p w14:paraId="7D66D514" w14:textId="77777777" w:rsidR="008C3DE0" w:rsidRPr="00434E9D" w:rsidRDefault="008C3DE0" w:rsidP="00E96033">
      <w:pPr>
        <w:spacing w:line="360" w:lineRule="auto"/>
        <w:ind w:left="850"/>
      </w:pPr>
      <w:r w:rsidRPr="00434E9D">
        <w:t>* Directive 2007/2/CE du Parlement européen et du Conseil du 14 mars 2007 établissant une infrastructure d’information géographique dans la Communauté européenne (INSPIRE) (JO L 108 du 25.4.2007, p. 1).</w:t>
      </w:r>
    </w:p>
    <w:p w14:paraId="6D096BDB" w14:textId="77777777" w:rsidR="008C3DE0" w:rsidRPr="00434E9D" w:rsidRDefault="008C3DE0" w:rsidP="00E96033">
      <w:pPr>
        <w:spacing w:line="360" w:lineRule="auto"/>
        <w:ind w:left="850"/>
      </w:pPr>
      <w:r w:rsidRPr="00434E9D">
        <w:t>** Directive (UE) 2019/1024 du Parlement européen et du Conseil du 20 juin 2019 concernant les données ouvertes et la réutilisation des informations du secteur public (JO L 172 du 26.6.2019, p. 56).;»</w:t>
      </w:r>
    </w:p>
    <w:p w14:paraId="1D7B99AF" w14:textId="77777777" w:rsidR="00CC5573" w:rsidRPr="00434E9D" w:rsidRDefault="00CC5573">
      <w:pPr>
        <w:widowControl/>
      </w:pPr>
      <w:r w:rsidRPr="00434E9D">
        <w:br w:type="page"/>
      </w:r>
    </w:p>
    <w:p w14:paraId="29C3A26C" w14:textId="77777777" w:rsidR="008C3DE0" w:rsidRPr="00434E9D" w:rsidRDefault="00CC5573" w:rsidP="00E96033">
      <w:pPr>
        <w:spacing w:line="360" w:lineRule="auto"/>
        <w:ind w:left="850" w:hanging="850"/>
      </w:pPr>
      <w:r w:rsidRPr="00434E9D">
        <w:lastRenderedPageBreak/>
        <w:t>7)</w:t>
      </w:r>
      <w:r w:rsidRPr="00434E9D">
        <w:tab/>
        <w:t>L</w:t>
      </w:r>
      <w:r w:rsidR="008C3DE0" w:rsidRPr="00434E9D">
        <w:t>’article 8 ter est remplacé par le texte suivant:</w:t>
      </w:r>
    </w:p>
    <w:p w14:paraId="513AC686" w14:textId="77777777" w:rsidR="008C3DE0" w:rsidRPr="00434E9D" w:rsidRDefault="008C3DE0" w:rsidP="00E96033">
      <w:pPr>
        <w:spacing w:line="360" w:lineRule="auto"/>
        <w:ind w:left="850"/>
      </w:pPr>
      <w:r w:rsidRPr="00434E9D">
        <w:t>«Article 8 ter</w:t>
      </w:r>
    </w:p>
    <w:p w14:paraId="56DEF2D9" w14:textId="77777777" w:rsidR="008C3DE0" w:rsidRPr="00434E9D" w:rsidRDefault="008C3DE0" w:rsidP="00E96033">
      <w:pPr>
        <w:spacing w:line="360" w:lineRule="auto"/>
        <w:ind w:left="850"/>
      </w:pPr>
      <w:r w:rsidRPr="00434E9D">
        <w:t>Liste de vigilance</w:t>
      </w:r>
    </w:p>
    <w:p w14:paraId="42174573" w14:textId="77777777" w:rsidR="008C3DE0" w:rsidRPr="00434E9D" w:rsidRDefault="008C3DE0" w:rsidP="00E96033">
      <w:pPr>
        <w:spacing w:line="360" w:lineRule="auto"/>
        <w:ind w:left="1416" w:hanging="566"/>
      </w:pPr>
      <w:r w:rsidRPr="00434E9D">
        <w:t>1.</w:t>
      </w:r>
      <w:r w:rsidRPr="00434E9D">
        <w:tab/>
        <w:t>La Commission est habilitée à adopter des actes d’exécution aux fins d’établir, en ce qui concerne les rapports scientifiques préparés par l’ECHA, une liste de vigilance de substances pour lesquelles il est nécessaire de réunir des données de surveillance à l’échelle de l’Union en provenance des États membres, et d’établir les formats que les États membres doivent utiliser pour communiquer les résultats de ladite surveillance et les informations y afférentes à la Commission. Ces actes d’exécution sont adoptés en conformité avec la procédure d’examen visée à l’article 9, paragraphe 2.</w:t>
      </w:r>
    </w:p>
    <w:p w14:paraId="11D025B8" w14:textId="77777777" w:rsidR="00CC5573" w:rsidRPr="00434E9D" w:rsidRDefault="00CC5573">
      <w:pPr>
        <w:widowControl/>
      </w:pPr>
      <w:r w:rsidRPr="00434E9D">
        <w:br w:type="page"/>
      </w:r>
    </w:p>
    <w:p w14:paraId="7943CE9E" w14:textId="77777777" w:rsidR="008C3DE0" w:rsidRPr="00434E9D" w:rsidRDefault="008C3DE0" w:rsidP="00E96033">
      <w:pPr>
        <w:spacing w:line="360" w:lineRule="auto"/>
        <w:ind w:left="1416"/>
      </w:pPr>
      <w:r w:rsidRPr="00434E9D">
        <w:lastRenderedPageBreak/>
        <w:t xml:space="preserve">La liste de vigilance contient au </w:t>
      </w:r>
      <w:r w:rsidRPr="00434E9D">
        <w:rPr>
          <w:strike/>
        </w:rPr>
        <w:t xml:space="preserve">maximum </w:t>
      </w:r>
      <w:proofErr w:type="spellStart"/>
      <w:r w:rsidRPr="00434E9D">
        <w:rPr>
          <w:strike/>
        </w:rPr>
        <w:t>dix</w:t>
      </w:r>
      <w:r w:rsidRPr="00434E9D">
        <w:rPr>
          <w:b/>
          <w:i/>
        </w:rPr>
        <w:t>minimum</w:t>
      </w:r>
      <w:proofErr w:type="spellEnd"/>
      <w:r w:rsidRPr="00434E9D">
        <w:rPr>
          <w:b/>
          <w:i/>
        </w:rPr>
        <w:t xml:space="preserve"> cinq </w:t>
      </w:r>
      <w:r w:rsidRPr="00434E9D">
        <w:t>substances</w:t>
      </w:r>
      <w:r w:rsidRPr="00434E9D">
        <w:rPr>
          <w:b/>
          <w:i/>
        </w:rPr>
        <w:t xml:space="preserve"> préoccupantes</w:t>
      </w:r>
      <w:r w:rsidRPr="00434E9D">
        <w:t xml:space="preserve"> ou groupes de </w:t>
      </w:r>
      <w:r w:rsidRPr="00434E9D">
        <w:rPr>
          <w:strike/>
        </w:rPr>
        <w:t>Les</w:t>
      </w:r>
      <w:r w:rsidRPr="00434E9D">
        <w:t xml:space="preserve"> substances </w:t>
      </w:r>
      <w:r w:rsidRPr="00434E9D">
        <w:rPr>
          <w:strike/>
        </w:rPr>
        <w:t xml:space="preserve">devant être incluses sur la liste de vigilance </w:t>
      </w:r>
      <w:proofErr w:type="spellStart"/>
      <w:r w:rsidRPr="00434E9D">
        <w:rPr>
          <w:strike/>
        </w:rPr>
        <w:t>sont</w:t>
      </w:r>
      <w:r w:rsidRPr="00434E9D">
        <w:rPr>
          <w:b/>
          <w:i/>
        </w:rPr>
        <w:t>préoccupantes</w:t>
      </w:r>
      <w:proofErr w:type="spellEnd"/>
      <w:r w:rsidRPr="00434E9D">
        <w:t xml:space="preserve"> </w:t>
      </w:r>
      <w:r w:rsidRPr="00434E9D">
        <w:rPr>
          <w:b/>
          <w:i/>
        </w:rPr>
        <w:t>choisies parmi celles qui, au vu des informations disponibles, y compris conformément au quatrième alinéa</w:t>
      </w:r>
      <w:r w:rsidRPr="00434E9D">
        <w:t xml:space="preserve">, </w:t>
      </w:r>
      <w:r w:rsidRPr="00434E9D">
        <w:rPr>
          <w:b/>
          <w:i/>
        </w:rPr>
        <w:t>sont susceptibles de présenter un risque significatif pour ou via l’environnement aquatique au niveau de l’Union et pour lesquelles les données de surveillance sont insuffisantes</w:t>
      </w:r>
      <w:r w:rsidRPr="00434E9D">
        <w:rPr>
          <w:strike/>
        </w:rPr>
        <w:t>.</w:t>
      </w:r>
      <w:r w:rsidRPr="00434E9D">
        <w:rPr>
          <w:b/>
          <w:i/>
        </w:rPr>
        <w:t>, sauf lorsque le nombre de substances ou de groupes de substances à choisir qui, au vu des informations disponibles, sont susceptibles de présenter un risque significatif pour ou via l’environnement aquatique est inférieur à cinq, auquel cas</w:t>
      </w:r>
      <w:r w:rsidRPr="00434E9D">
        <w:t xml:space="preserve"> la liste de vigilance </w:t>
      </w:r>
      <w:r w:rsidRPr="00434E9D">
        <w:rPr>
          <w:strike/>
        </w:rPr>
        <w:t xml:space="preserve">inclut les </w:t>
      </w:r>
      <w:proofErr w:type="spellStart"/>
      <w:r w:rsidRPr="00434E9D">
        <w:rPr>
          <w:strike/>
        </w:rPr>
        <w:t>nouvelles</w:t>
      </w:r>
      <w:r w:rsidRPr="00434E9D">
        <w:rPr>
          <w:b/>
          <w:i/>
        </w:rPr>
        <w:t>contient</w:t>
      </w:r>
      <w:proofErr w:type="spellEnd"/>
      <w:r w:rsidRPr="00434E9D">
        <w:rPr>
          <w:b/>
          <w:i/>
        </w:rPr>
        <w:t xml:space="preserve"> toutes ces</w:t>
      </w:r>
      <w:r w:rsidRPr="00434E9D">
        <w:t xml:space="preserve"> substances</w:t>
      </w:r>
      <w:r w:rsidRPr="00434E9D">
        <w:rPr>
          <w:strike/>
        </w:rPr>
        <w:t xml:space="preserve"> préoccupantes</w:t>
      </w:r>
      <w:r w:rsidRPr="00434E9D">
        <w:t>.</w:t>
      </w:r>
    </w:p>
    <w:p w14:paraId="395A8E3E" w14:textId="77777777" w:rsidR="008C3DE0" w:rsidRPr="00434E9D" w:rsidRDefault="008C3DE0" w:rsidP="00040481">
      <w:pPr>
        <w:spacing w:before="240" w:after="240" w:line="360" w:lineRule="auto"/>
        <w:ind w:left="1416"/>
      </w:pPr>
      <w:r w:rsidRPr="00434E9D">
        <w:rPr>
          <w:b/>
          <w:i/>
        </w:rPr>
        <w:t xml:space="preserve">En plus du nombre minimum de substances ou de groupes de substances, la liste de vigilance peut également contenir des indicateurs de pollution. </w:t>
      </w:r>
    </w:p>
    <w:p w14:paraId="620FAA53" w14:textId="77777777" w:rsidR="008C3DE0" w:rsidRPr="00434E9D" w:rsidRDefault="008C3DE0" w:rsidP="00E96033">
      <w:pPr>
        <w:spacing w:line="360" w:lineRule="auto"/>
        <w:ind w:left="1416"/>
        <w:rPr>
          <w:b/>
        </w:rPr>
      </w:pPr>
      <w:r w:rsidRPr="00434E9D">
        <w:rPr>
          <w:b/>
          <w:i/>
        </w:rPr>
        <w:t xml:space="preserve">La liste de vigilance précise, </w:t>
      </w:r>
      <w:r w:rsidRPr="00434E9D">
        <w:t>pour chaque substance, la matrice de surveillance applicable et les éventuelles méthodes d’analyse.</w:t>
      </w:r>
      <w:r w:rsidRPr="00434E9D">
        <w:rPr>
          <w:b/>
          <w:i/>
        </w:rPr>
        <w:t xml:space="preserve"> </w:t>
      </w:r>
      <w:r w:rsidRPr="00434E9D">
        <w:t>Ces matrices de surveillance et méthodes n’entraînent pas de coûts excessifs pour les autorités compétentes.</w:t>
      </w:r>
      <w:r w:rsidR="00040481" w:rsidRPr="00434E9D">
        <w:rPr>
          <w:b/>
          <w:i/>
        </w:rPr>
        <w:t xml:space="preserve"> </w:t>
      </w:r>
      <w:r w:rsidR="00040481" w:rsidRPr="00434E9D">
        <w:rPr>
          <w:b/>
        </w:rPr>
        <w:t xml:space="preserve"> </w:t>
      </w:r>
      <w:r w:rsidR="00885B4C" w:rsidRPr="00434E9D">
        <w:rPr>
          <w:strike/>
        </w:rPr>
        <w:t xml:space="preserve">substances à la fois et elle précise, pour chaque substance, la matrice de surveillance applicable et les éventuelles méthodes d’analyse. Ces matrices de surveillance et méthodes n’entraînent pas de coûts excessifs pour les autorités compétentes. </w:t>
      </w:r>
      <w:r w:rsidR="00040481" w:rsidRPr="00434E9D">
        <w:rPr>
          <w:b/>
        </w:rPr>
        <w:t>[Am. 126]</w:t>
      </w:r>
    </w:p>
    <w:p w14:paraId="0E062F23" w14:textId="77777777" w:rsidR="00040481" w:rsidRPr="00434E9D" w:rsidRDefault="00040481">
      <w:pPr>
        <w:widowControl/>
        <w:rPr>
          <w:strike/>
        </w:rPr>
      </w:pPr>
      <w:r w:rsidRPr="00434E9D">
        <w:rPr>
          <w:strike/>
        </w:rPr>
        <w:br w:type="page"/>
      </w:r>
    </w:p>
    <w:p w14:paraId="1E4B044B" w14:textId="77777777" w:rsidR="008C3DE0" w:rsidRPr="00434E9D" w:rsidRDefault="008C3DE0" w:rsidP="00E96033">
      <w:pPr>
        <w:spacing w:line="360" w:lineRule="auto"/>
        <w:ind w:left="1416"/>
        <w:rPr>
          <w:b/>
        </w:rPr>
      </w:pPr>
      <w:r w:rsidRPr="00434E9D">
        <w:rPr>
          <w:strike/>
        </w:rPr>
        <w:lastRenderedPageBreak/>
        <w:t xml:space="preserve">Dès que </w:t>
      </w:r>
      <w:r w:rsidRPr="00434E9D">
        <w:t xml:space="preserve">Des méthodes de surveillance appropriées pour les microplastiques et les gènes de résistance aux antimicrobiens </w:t>
      </w:r>
      <w:r w:rsidRPr="00434E9D">
        <w:rPr>
          <w:strike/>
        </w:rPr>
        <w:t xml:space="preserve">auront </w:t>
      </w:r>
      <w:proofErr w:type="spellStart"/>
      <w:r w:rsidRPr="00434E9D">
        <w:rPr>
          <w:strike/>
        </w:rPr>
        <w:t>été</w:t>
      </w:r>
      <w:r w:rsidRPr="00434E9D">
        <w:rPr>
          <w:b/>
          <w:i/>
        </w:rPr>
        <w:t>sont</w:t>
      </w:r>
      <w:proofErr w:type="spellEnd"/>
      <w:r w:rsidRPr="00434E9D">
        <w:rPr>
          <w:b/>
          <w:i/>
        </w:rPr>
        <w:t xml:space="preserve"> mises en évidence dès que possible et au plus tard [le premier jour du mois suivant la période de 18 mois suivant la date d’entrée en vigueur de la présente directive modificative]. Dès que ces méthodes de surveillance seront</w:t>
      </w:r>
      <w:r w:rsidRPr="00434E9D">
        <w:t xml:space="preserve"> mises en évidence, </w:t>
      </w:r>
      <w:r w:rsidRPr="00434E9D">
        <w:rPr>
          <w:strike/>
        </w:rPr>
        <w:t xml:space="preserve">ces </w:t>
      </w:r>
      <w:proofErr w:type="spellStart"/>
      <w:r w:rsidRPr="00434E9D">
        <w:rPr>
          <w:strike/>
        </w:rPr>
        <w:t>substances</w:t>
      </w:r>
      <w:r w:rsidRPr="00434E9D">
        <w:rPr>
          <w:b/>
          <w:i/>
        </w:rPr>
        <w:t>les</w:t>
      </w:r>
      <w:proofErr w:type="spellEnd"/>
      <w:r w:rsidRPr="00434E9D">
        <w:rPr>
          <w:b/>
          <w:i/>
        </w:rPr>
        <w:t xml:space="preserve"> microplastiques et les gènes de résistance aux antimicrobiens</w:t>
      </w:r>
      <w:r w:rsidRPr="00434E9D">
        <w:t xml:space="preserve"> seront </w:t>
      </w:r>
      <w:proofErr w:type="spellStart"/>
      <w:r w:rsidRPr="00434E9D">
        <w:rPr>
          <w:strike/>
        </w:rPr>
        <w:t>incluses</w:t>
      </w:r>
      <w:r w:rsidRPr="00434E9D">
        <w:rPr>
          <w:b/>
          <w:i/>
        </w:rPr>
        <w:t>inclus</w:t>
      </w:r>
      <w:proofErr w:type="spellEnd"/>
      <w:r w:rsidRPr="00434E9D">
        <w:rPr>
          <w:b/>
          <w:i/>
        </w:rPr>
        <w:t xml:space="preserve"> à la liste de vigilance conformément au paragraphe 2. La Commission détermine également si l’inclusion des sulfates, des xanthates et des métabolites non pertinents de pesticides (</w:t>
      </w:r>
      <w:proofErr w:type="spellStart"/>
      <w:r w:rsidRPr="00434E9D">
        <w:rPr>
          <w:b/>
          <w:i/>
        </w:rPr>
        <w:t>nrM</w:t>
      </w:r>
      <w:proofErr w:type="spellEnd"/>
      <w:r w:rsidRPr="00434E9D">
        <w:rPr>
          <w:b/>
          <w:i/>
        </w:rPr>
        <w:t>)</w:t>
      </w:r>
      <w:r w:rsidRPr="00434E9D">
        <w:t xml:space="preserve"> dans la liste de vigilance</w:t>
      </w:r>
      <w:r w:rsidRPr="00434E9D">
        <w:rPr>
          <w:b/>
          <w:i/>
        </w:rPr>
        <w:t xml:space="preserve"> est nécessaire pour accroître la disponibilité de données sur leur présence eu égard au champ d’application de la présente directive</w:t>
      </w:r>
      <w:r w:rsidRPr="00434E9D">
        <w:t>.</w:t>
      </w:r>
      <w:r w:rsidR="00040481" w:rsidRPr="00434E9D">
        <w:t xml:space="preserve"> </w:t>
      </w:r>
      <w:r w:rsidR="00040481" w:rsidRPr="00434E9D">
        <w:rPr>
          <w:b/>
        </w:rPr>
        <w:t xml:space="preserve"> [Am. 127]</w:t>
      </w:r>
    </w:p>
    <w:p w14:paraId="3EF07C06" w14:textId="77777777" w:rsidR="008C3DE0" w:rsidRPr="00434E9D" w:rsidRDefault="008C3DE0" w:rsidP="00E96033">
      <w:pPr>
        <w:spacing w:line="360" w:lineRule="auto"/>
      </w:pPr>
    </w:p>
    <w:p w14:paraId="2AD2D6A9" w14:textId="77777777" w:rsidR="008C3DE0" w:rsidRPr="00434E9D" w:rsidRDefault="008C3DE0" w:rsidP="00E96033">
      <w:pPr>
        <w:spacing w:line="360" w:lineRule="auto"/>
        <w:ind w:left="1416"/>
        <w:rPr>
          <w:b/>
        </w:rPr>
      </w:pPr>
      <w:r w:rsidRPr="00434E9D">
        <w:t xml:space="preserve">L’ECHA prépare des rapports scientifiques afin d’aider la Commission à sélectionner les substances </w:t>
      </w:r>
      <w:r w:rsidRPr="00434E9D">
        <w:rPr>
          <w:b/>
          <w:i/>
        </w:rPr>
        <w:t xml:space="preserve">et les indicateurs de pollution </w:t>
      </w:r>
      <w:r w:rsidRPr="00434E9D">
        <w:t>à inclure dans la liste de vigilance, en tenant compte des informations suivantes:</w:t>
      </w:r>
      <w:r w:rsidR="00040481" w:rsidRPr="00434E9D">
        <w:t xml:space="preserve"> </w:t>
      </w:r>
      <w:r w:rsidR="00040481" w:rsidRPr="00434E9D">
        <w:rPr>
          <w:b/>
        </w:rPr>
        <w:t xml:space="preserve"> [Am. 128]</w:t>
      </w:r>
    </w:p>
    <w:p w14:paraId="7581DB1F" w14:textId="77777777" w:rsidR="008C3DE0" w:rsidRPr="00434E9D" w:rsidRDefault="008C3DE0" w:rsidP="00E96033">
      <w:pPr>
        <w:spacing w:line="360" w:lineRule="auto"/>
        <w:ind w:left="1982" w:hanging="566"/>
      </w:pPr>
      <w:r w:rsidRPr="00434E9D">
        <w:t>a)</w:t>
      </w:r>
      <w:r w:rsidRPr="00434E9D">
        <w:tab/>
        <w:t>les résultats du réexamen régulier le plus récent de l’annexe I de la présente directive;</w:t>
      </w:r>
    </w:p>
    <w:p w14:paraId="11C02A47" w14:textId="77777777" w:rsidR="008C3DE0" w:rsidRPr="00434E9D" w:rsidRDefault="008C3DE0" w:rsidP="00E96033">
      <w:pPr>
        <w:spacing w:line="360" w:lineRule="auto"/>
        <w:ind w:left="1982" w:hanging="566"/>
      </w:pPr>
      <w:r w:rsidRPr="00434E9D">
        <w:t>b)</w:t>
      </w:r>
      <w:r w:rsidRPr="00434E9D">
        <w:tab/>
        <w:t>les recommandations des parties prenantes visées à l’article 8 de la directive 2008/105/CE;</w:t>
      </w:r>
    </w:p>
    <w:p w14:paraId="14229C92" w14:textId="77777777" w:rsidR="00040481" w:rsidRPr="00434E9D" w:rsidRDefault="00040481">
      <w:pPr>
        <w:widowControl/>
      </w:pPr>
      <w:r w:rsidRPr="00434E9D">
        <w:br w:type="page"/>
      </w:r>
    </w:p>
    <w:p w14:paraId="0EDD380D" w14:textId="77777777" w:rsidR="008C3DE0" w:rsidRPr="00434E9D" w:rsidRDefault="008C3DE0" w:rsidP="00E96033">
      <w:pPr>
        <w:spacing w:line="360" w:lineRule="auto"/>
        <w:ind w:left="1982" w:hanging="566"/>
      </w:pPr>
      <w:r w:rsidRPr="00434E9D">
        <w:lastRenderedPageBreak/>
        <w:t>c)</w:t>
      </w:r>
      <w:r w:rsidRPr="00434E9D">
        <w:tab/>
        <w:t>la caractérisation des districts hydrographiques par les États membres conformément à l’article 5 de la directive 2000/60/CE et les résultats des programmes de surveillance établis conformément à l’article 8 de ladite directive;</w:t>
      </w:r>
    </w:p>
    <w:p w14:paraId="57BC083D" w14:textId="77777777" w:rsidR="008C3DE0" w:rsidRPr="00434E9D" w:rsidRDefault="008C3DE0" w:rsidP="00E96033">
      <w:pPr>
        <w:spacing w:line="360" w:lineRule="auto"/>
        <w:ind w:left="1982" w:hanging="566"/>
      </w:pPr>
      <w:r w:rsidRPr="00434E9D">
        <w:t>d)</w:t>
      </w:r>
      <w:r w:rsidRPr="00434E9D">
        <w:tab/>
        <w:t>des informations sur les volumes de production, les modes d’utilisation, les propriétés intrinsèques (y compris, le cas échéant, la granularité), les concentrations dans l’environnement et les effets négatifs pour la santé humaine et l’environnement aquatique d’une substance particulière ou d’un groupe de substances particulier, y compris les informations réunies conformément au règlement (CE) nº 1907/2006, au règlement (CE) nº 1107/2009, au règlement (UE) nº 528/2012, au règlement (UE) 2019/6, à la directive 2001/83/CE, et à la directive 2009/128/CE;</w:t>
      </w:r>
    </w:p>
    <w:p w14:paraId="6394EADE" w14:textId="77777777" w:rsidR="008C3DE0" w:rsidRPr="00434E9D" w:rsidRDefault="008C3DE0" w:rsidP="00E96033">
      <w:pPr>
        <w:spacing w:line="360" w:lineRule="auto"/>
        <w:ind w:left="1982" w:hanging="566"/>
        <w:rPr>
          <w:b/>
        </w:rPr>
      </w:pPr>
      <w:r w:rsidRPr="00434E9D">
        <w:t>e)</w:t>
      </w:r>
      <w:r w:rsidRPr="00434E9D">
        <w:tab/>
        <w:t>les projets de recherche et les publications</w:t>
      </w:r>
      <w:r w:rsidRPr="00434E9D">
        <w:rPr>
          <w:b/>
          <w:i/>
        </w:rPr>
        <w:t xml:space="preserve"> et données</w:t>
      </w:r>
      <w:r w:rsidRPr="00434E9D">
        <w:t xml:space="preserve"> scientifiques, y compris les informations sur les tendances et les prévisions fondées sur la modélisation ou d’autres évaluations prédictives</w:t>
      </w:r>
      <w:r w:rsidRPr="00434E9D">
        <w:rPr>
          <w:b/>
          <w:i/>
        </w:rPr>
        <w:t>, ainsi que les</w:t>
      </w:r>
      <w:r w:rsidRPr="00434E9D">
        <w:rPr>
          <w:strike/>
        </w:rPr>
        <w:t xml:space="preserve"> et les données et</w:t>
      </w:r>
      <w:r w:rsidRPr="00434E9D">
        <w:t xml:space="preserve"> informations </w:t>
      </w:r>
      <w:proofErr w:type="spellStart"/>
      <w:r w:rsidRPr="00434E9D">
        <w:rPr>
          <w:strike/>
        </w:rPr>
        <w:t>obtenues</w:t>
      </w:r>
      <w:r w:rsidRPr="00434E9D">
        <w:rPr>
          <w:b/>
          <w:i/>
        </w:rPr>
        <w:t>et</w:t>
      </w:r>
      <w:proofErr w:type="spellEnd"/>
      <w:r w:rsidRPr="00434E9D">
        <w:rPr>
          <w:b/>
          <w:i/>
        </w:rPr>
        <w:t xml:space="preserve"> données recueillies</w:t>
      </w:r>
      <w:r w:rsidRPr="00434E9D">
        <w:t xml:space="preserve"> grâce aux technologies de télédétection, à l’observation de la terre (services </w:t>
      </w:r>
      <w:proofErr w:type="spellStart"/>
      <w:r w:rsidRPr="00434E9D">
        <w:t>Copernicus</w:t>
      </w:r>
      <w:proofErr w:type="spellEnd"/>
      <w:r w:rsidRPr="00434E9D">
        <w:t xml:space="preserve">) et aux capteurs et dispositifs in situ, ou les données issues des sciences citoyennes, </w:t>
      </w:r>
      <w:r w:rsidRPr="00434E9D">
        <w:rPr>
          <w:strike/>
        </w:rPr>
        <w:t xml:space="preserve">exploitant </w:t>
      </w:r>
      <w:proofErr w:type="spellStart"/>
      <w:r w:rsidRPr="00434E9D">
        <w:rPr>
          <w:strike/>
        </w:rPr>
        <w:t>les</w:t>
      </w:r>
      <w:r w:rsidRPr="00434E9D">
        <w:rPr>
          <w:b/>
          <w:i/>
        </w:rPr>
        <w:t>tirant</w:t>
      </w:r>
      <w:proofErr w:type="spellEnd"/>
      <w:r w:rsidRPr="00434E9D">
        <w:rPr>
          <w:b/>
          <w:i/>
        </w:rPr>
        <w:t xml:space="preserve"> parti des</w:t>
      </w:r>
      <w:r w:rsidRPr="00434E9D">
        <w:t xml:space="preserve"> possibilités </w:t>
      </w:r>
      <w:proofErr w:type="spellStart"/>
      <w:r w:rsidRPr="00434E9D">
        <w:rPr>
          <w:strike/>
        </w:rPr>
        <w:t>offertes</w:t>
      </w:r>
      <w:r w:rsidRPr="00434E9D">
        <w:rPr>
          <w:b/>
          <w:i/>
        </w:rPr>
        <w:t>créées</w:t>
      </w:r>
      <w:proofErr w:type="spellEnd"/>
      <w:r w:rsidRPr="00434E9D">
        <w:t xml:space="preserve"> par l’intelligence artificielle et l’analyse et le traitement avancés des données</w:t>
      </w:r>
      <w:r w:rsidRPr="00434E9D">
        <w:rPr>
          <w:strike/>
        </w:rPr>
        <w:t>.</w:t>
      </w:r>
      <w:r w:rsidRPr="00434E9D">
        <w:rPr>
          <w:b/>
          <w:i/>
        </w:rPr>
        <w:t>;</w:t>
      </w:r>
      <w:r w:rsidR="00040481" w:rsidRPr="00434E9D">
        <w:rPr>
          <w:b/>
          <w:i/>
        </w:rPr>
        <w:t xml:space="preserve"> </w:t>
      </w:r>
      <w:r w:rsidR="00040481" w:rsidRPr="00434E9D">
        <w:rPr>
          <w:b/>
        </w:rPr>
        <w:t xml:space="preserve"> [Am. 129]</w:t>
      </w:r>
    </w:p>
    <w:p w14:paraId="63033744" w14:textId="77777777" w:rsidR="00040481" w:rsidRPr="00434E9D" w:rsidRDefault="00040481">
      <w:pPr>
        <w:widowControl/>
      </w:pPr>
      <w:r w:rsidRPr="00434E9D">
        <w:br w:type="page"/>
      </w:r>
    </w:p>
    <w:p w14:paraId="0D6C05C5" w14:textId="77777777" w:rsidR="008C3DE0" w:rsidRPr="00434E9D" w:rsidRDefault="008C3DE0" w:rsidP="00E96033">
      <w:pPr>
        <w:spacing w:line="360" w:lineRule="auto"/>
        <w:ind w:left="1416"/>
      </w:pPr>
      <w:r w:rsidRPr="00434E9D">
        <w:lastRenderedPageBreak/>
        <w:t>Tous les trois ans, l’ECHA prépare et rend public un rapport résumant les conclusions des rapports scientifiques établis au titre du quatrième alinéa. Le premier rapport de l’ECHA est mis à disposition au plus tard le … [OP: veuillez insérer la date correspondant au premier jour du vingt et unième mois après la date d’entrée en vigueur de la présente directive].</w:t>
      </w:r>
    </w:p>
    <w:p w14:paraId="042616C9" w14:textId="77777777" w:rsidR="008C3DE0" w:rsidRPr="00434E9D" w:rsidRDefault="00040481" w:rsidP="00040481">
      <w:pPr>
        <w:spacing w:before="240" w:line="360" w:lineRule="auto"/>
        <w:ind w:left="1416" w:hanging="566"/>
      </w:pPr>
      <w:r w:rsidRPr="00434E9D">
        <w:t>2</w:t>
      </w:r>
      <w:r w:rsidR="008C3DE0" w:rsidRPr="00434E9D">
        <w:t>.</w:t>
      </w:r>
      <w:r w:rsidR="008C3DE0" w:rsidRPr="00434E9D">
        <w:tab/>
        <w:t xml:space="preserve">La liste de vigilance est mise à jour au plus tard le X [OP: veuillez insérer la date correspondant au dernier jour du vingt-troisième mois après la date d’entrée en vigueur de la présente directive], </w:t>
      </w:r>
      <w:r w:rsidR="00BF1A15" w:rsidRPr="00434E9D">
        <w:t xml:space="preserve">et </w:t>
      </w:r>
      <w:r w:rsidR="00BF1A15" w:rsidRPr="00434E9D">
        <w:rPr>
          <w:b/>
          <w:i/>
        </w:rPr>
        <w:t>au plus tard</w:t>
      </w:r>
      <w:r w:rsidR="00BF1A15" w:rsidRPr="00434E9D">
        <w:t xml:space="preserve"> tous les trente-six mois ensuite </w:t>
      </w:r>
      <w:r w:rsidR="00BF1A15" w:rsidRPr="00434E9D">
        <w:rPr>
          <w:b/>
          <w:i/>
        </w:rPr>
        <w:t>ou à une fréquence plus grande s’il s’avère, au vu de nouvelles preuves scientifiques, qu’il conviendrait de mettre la liste à jour entre deux réexamens</w:t>
      </w:r>
      <w:r w:rsidR="00BF1A15" w:rsidRPr="00434E9D">
        <w:t>.</w:t>
      </w:r>
    </w:p>
    <w:p w14:paraId="4444C3AF" w14:textId="77777777" w:rsidR="008C3DE0" w:rsidRPr="00434E9D" w:rsidRDefault="008C3DE0" w:rsidP="00040481">
      <w:pPr>
        <w:spacing w:before="240" w:line="360" w:lineRule="auto"/>
        <w:ind w:left="1416"/>
      </w:pPr>
      <w:r w:rsidRPr="00434E9D">
        <w:rPr>
          <w:b/>
          <w:i/>
        </w:rPr>
        <w:t>Les États membres évaluent tous les deux ans l’incidence sur la qualité de l’eau des activités industrielles liées à la transition énergétique et informent la Commission des nouvelles menaces identifiées afin que celle-ci mette à jour la liste de vigilance en conséquence. L’évaluation doit être facilement accessible au public.</w:t>
      </w:r>
    </w:p>
    <w:p w14:paraId="1D13DFED" w14:textId="77777777" w:rsidR="00040481" w:rsidRPr="00434E9D" w:rsidRDefault="00040481">
      <w:pPr>
        <w:widowControl/>
        <w:rPr>
          <w:b/>
          <w:i/>
        </w:rPr>
      </w:pPr>
      <w:r w:rsidRPr="00434E9D">
        <w:rPr>
          <w:b/>
          <w:i/>
        </w:rPr>
        <w:br w:type="page"/>
      </w:r>
    </w:p>
    <w:p w14:paraId="1E82484A" w14:textId="77777777" w:rsidR="008C3DE0" w:rsidRPr="00434E9D" w:rsidRDefault="00BF1A15" w:rsidP="00E96033">
      <w:pPr>
        <w:spacing w:line="360" w:lineRule="auto"/>
        <w:ind w:left="1416"/>
        <w:rPr>
          <w:b/>
        </w:rPr>
      </w:pPr>
      <w:r w:rsidRPr="00434E9D">
        <w:lastRenderedPageBreak/>
        <w:t xml:space="preserve">Lorsqu’elle met la liste de vigilance à jour, la Commission retire de la liste de vigilance existante toute substance pour laquelle elle estime possible d’évaluer le risque pour l’environnement aquatique sans données de surveillance supplémentaires. Lorsque la liste de vigilance est mise à jour, une substance individuelle ou un groupe de substances individuel peut être maintenu(e) sur la liste pour une période maximale de trois ans supplémentaires lorsque des données de surveillance supplémentaires sont nécessaires pour évaluer le risque pour l’environnement aquatique. Chaque liste de vigilance mise à jour inclut aussi une ou plusieurs nouvelles substances pour lesquelles la Commission estime, sur la base des rapports scientifiques de l’ECHA, qu’elles présentent un risque pour l’environnement aquatique. </w:t>
      </w:r>
      <w:r w:rsidR="00885B4C" w:rsidRPr="00434E9D">
        <w:rPr>
          <w:b/>
        </w:rPr>
        <w:t>[Am. 130]</w:t>
      </w:r>
    </w:p>
    <w:p w14:paraId="071BF369" w14:textId="77777777" w:rsidR="00BF1A15" w:rsidRPr="00434E9D" w:rsidRDefault="00BF1A15" w:rsidP="00E96033">
      <w:pPr>
        <w:spacing w:line="360" w:lineRule="auto"/>
        <w:ind w:left="1416"/>
      </w:pPr>
    </w:p>
    <w:p w14:paraId="5655C348" w14:textId="77777777" w:rsidR="008C3DE0" w:rsidRPr="00434E9D" w:rsidRDefault="008C3DE0" w:rsidP="00E96033">
      <w:pPr>
        <w:spacing w:line="360" w:lineRule="auto"/>
        <w:ind w:left="1416" w:hanging="566"/>
      </w:pPr>
      <w:r w:rsidRPr="00434E9D">
        <w:t>3.</w:t>
      </w:r>
      <w:r w:rsidRPr="00434E9D">
        <w:tab/>
        <w:t>Les États membres surveillent chaque substance ou groupe de substances figurant sur la liste de vigilance en procédant à des contrôles dans certaines stations de surveillance représentatives pendant une période de vingt-quatre mois. La période de surveillance commence dans un délai de six mois à compter de l’inscription sur la liste.</w:t>
      </w:r>
    </w:p>
    <w:p w14:paraId="33318D94" w14:textId="77777777" w:rsidR="008C3DE0" w:rsidRPr="00434E9D" w:rsidRDefault="008C3DE0" w:rsidP="00E96033">
      <w:pPr>
        <w:spacing w:line="360" w:lineRule="auto"/>
        <w:ind w:left="1416"/>
      </w:pPr>
      <w:r w:rsidRPr="00434E9D">
        <w:t>Chaque État membre sélectionne au moins une station de surveillance, plus une station s’il compte plus d’un million d’habitants, plus le nombre de stations égal à sa surface géographique en km</w:t>
      </w:r>
      <w:r w:rsidRPr="00434E9D">
        <w:rPr>
          <w:vertAlign w:val="superscript"/>
        </w:rPr>
        <w:t>2</w:t>
      </w:r>
      <w:r w:rsidRPr="00434E9D">
        <w:t xml:space="preserve"> divisée par 60 000 (arrondi au nombre entier le plus proche) et plus le nombre de stations égal à sa population divisée par cinq millions (arrondi au nombre entier le plus proche).</w:t>
      </w:r>
    </w:p>
    <w:p w14:paraId="0F113A3D" w14:textId="77777777" w:rsidR="00040481" w:rsidRPr="00434E9D" w:rsidRDefault="00040481">
      <w:pPr>
        <w:widowControl/>
      </w:pPr>
      <w:r w:rsidRPr="00434E9D">
        <w:br w:type="page"/>
      </w:r>
    </w:p>
    <w:p w14:paraId="22F3F6FA" w14:textId="77777777" w:rsidR="008C3DE0" w:rsidRPr="00434E9D" w:rsidRDefault="008C3DE0" w:rsidP="00E96033">
      <w:pPr>
        <w:spacing w:line="360" w:lineRule="auto"/>
        <w:ind w:left="1416"/>
        <w:rPr>
          <w:b/>
        </w:rPr>
      </w:pPr>
      <w:r w:rsidRPr="00434E9D">
        <w:lastRenderedPageBreak/>
        <w:t>Lors du choix des stations de surveillance représentatives ainsi que pour déterminer la fréquence et le calendrier saisonnier de la surveillance pour chaque substance ou groupe de substances, les États membres prennent en compte les modes d’utilisation et la présence possible de la substance ou du groupe de substances. La fréquence des contrôles est établie à deux fois par an au minimum</w:t>
      </w:r>
      <w:r w:rsidRPr="00434E9D">
        <w:rPr>
          <w:strike/>
        </w:rPr>
        <w:t>, sauf pour les substances qui sont sensibles aux variabilités climatiques ou saisonnières, pour lesquelles des contrôles sont effectués plus fréquemment</w:t>
      </w:r>
      <w:r w:rsidRPr="00434E9D">
        <w:rPr>
          <w:b/>
          <w:i/>
        </w:rPr>
        <w:t>. La fréquence est supérieure</w:t>
      </w:r>
      <w:r w:rsidRPr="00434E9D">
        <w:t>, tel qu’indiqué dans l’acte d’exécution établissant la liste de vigilance adopté en application du paragraphe 1</w:t>
      </w:r>
      <w:r w:rsidRPr="00434E9D">
        <w:rPr>
          <w:b/>
          <w:i/>
        </w:rPr>
        <w:t>, pour les substances qui sont sensibles aux variations climatiques, comme les précipitations, et pour les substances dont la concentration est susceptible de connaître un pic sur des périodes très courtes en raison des fluctuations saisonnières de l’utilisation de ces substances</w:t>
      </w:r>
      <w:r w:rsidRPr="00434E9D">
        <w:t>.</w:t>
      </w:r>
      <w:r w:rsidR="00040481" w:rsidRPr="00434E9D">
        <w:t xml:space="preserve"> </w:t>
      </w:r>
      <w:r w:rsidR="00040481" w:rsidRPr="00434E9D">
        <w:rPr>
          <w:b/>
        </w:rPr>
        <w:t xml:space="preserve"> [Am. 131]</w:t>
      </w:r>
    </w:p>
    <w:p w14:paraId="04568CDF" w14:textId="77777777" w:rsidR="00040481" w:rsidRPr="00434E9D" w:rsidRDefault="00040481">
      <w:pPr>
        <w:widowControl/>
      </w:pPr>
      <w:r w:rsidRPr="00434E9D">
        <w:br w:type="page"/>
      </w:r>
    </w:p>
    <w:p w14:paraId="0766F565" w14:textId="77777777" w:rsidR="008C3DE0" w:rsidRPr="00434E9D" w:rsidRDefault="008C3DE0" w:rsidP="00E96033">
      <w:pPr>
        <w:spacing w:line="360" w:lineRule="auto"/>
        <w:ind w:left="1416"/>
      </w:pPr>
      <w:r w:rsidRPr="00434E9D">
        <w:lastRenderedPageBreak/>
        <w:t>Lorsqu’un État membre est en mesure de générer et de fournir à la Commission des données de surveillance suffisantes, comparables, représentatives et récentes pour une substance particulière ou un groupe de substances particulier à partir des études et programmes de surveillance existants, il peut décider de ne pas procéder à une surveillance supplémentaire au titre du mécanisme de la liste de vigilance pour cette substance ou ce groupe de surveillances, à condition que ladite substance ou ledit groupe de substances soit surveillé(e) suivant une méthode conforme aux matrices de surveillance et aux méthodes d’analyse visées dans l’acte d’exécution établissant la liste de vigilance, ainsi qu’à la directive 2009/90/CE*.</w:t>
      </w:r>
    </w:p>
    <w:p w14:paraId="13E0E7E1" w14:textId="77777777" w:rsidR="008C3DE0" w:rsidRPr="00434E9D" w:rsidRDefault="008C3DE0" w:rsidP="00E96033">
      <w:pPr>
        <w:spacing w:line="360" w:lineRule="auto"/>
        <w:ind w:left="1416" w:hanging="566"/>
      </w:pPr>
      <w:r w:rsidRPr="00434E9D">
        <w:t>4.</w:t>
      </w:r>
      <w:r w:rsidRPr="00434E9D">
        <w:tab/>
        <w:t>Les États membres mettent à disposition les résultats de la surveillance visée au paragraphe 3 du présent article conformément à l’article 8, paragraphe 4, de la directive 2000/60/CE et à l’acte d’exécution établissant la liste de vigilance telle qu’adoptée en application du paragraphe 1. Ils mettent également à disposition des informations sur la représentativité des stations de surveillance et sur la stratégie de surveillance.</w:t>
      </w:r>
    </w:p>
    <w:p w14:paraId="362C6174" w14:textId="77777777" w:rsidR="00040481" w:rsidRPr="00434E9D" w:rsidRDefault="00040481">
      <w:pPr>
        <w:widowControl/>
      </w:pPr>
      <w:r w:rsidRPr="00434E9D">
        <w:br w:type="page"/>
      </w:r>
    </w:p>
    <w:p w14:paraId="5FA37A40" w14:textId="77777777" w:rsidR="008C3DE0" w:rsidRPr="00434E9D" w:rsidRDefault="008C3DE0" w:rsidP="00E96033">
      <w:pPr>
        <w:spacing w:line="360" w:lineRule="auto"/>
        <w:ind w:left="1416" w:hanging="566"/>
      </w:pPr>
      <w:r w:rsidRPr="00434E9D">
        <w:lastRenderedPageBreak/>
        <w:t>5.</w:t>
      </w:r>
      <w:r w:rsidRPr="00434E9D">
        <w:tab/>
        <w:t>L’ECHA analyse les résultats de la surveillance au terme du délai de vingt-quatre mois visé au paragraphe 3 et évalue quelles substances ou quels groupes de substances doivent être surveillés pendant une période de vingt-quatre mois supplémentaires et doivent donc être maintenus sur la liste de vigilance, et quelles substances ou quels groupes de substances peuvent être retirés de la liste de vigilance.</w:t>
      </w:r>
    </w:p>
    <w:p w14:paraId="1D95E4A9" w14:textId="77777777" w:rsidR="008C3DE0" w:rsidRPr="00434E9D" w:rsidRDefault="008C3DE0" w:rsidP="00E96033">
      <w:pPr>
        <w:spacing w:line="360" w:lineRule="auto"/>
        <w:ind w:left="1416"/>
      </w:pPr>
      <w:r w:rsidRPr="00434E9D">
        <w:t>Lorsque la Commission, eu égard à l’évaluation réalisée par l’ECHA visée au premier alinéa, conclut qu’aucune autre surveillance n’est nécessaire pour évaluer le risque pour l’environnement aquatique, ladite évaluation est prise en considération dans le réexamen de l’annexe I ou II visé à l’article 8.</w:t>
      </w:r>
      <w:r w:rsidR="00040481" w:rsidRPr="00434E9D">
        <w:t> »</w:t>
      </w:r>
    </w:p>
    <w:p w14:paraId="1A71E118" w14:textId="77777777" w:rsidR="008C3DE0" w:rsidRPr="00434E9D" w:rsidRDefault="00040481" w:rsidP="00040481">
      <w:pPr>
        <w:spacing w:line="360" w:lineRule="auto"/>
        <w:ind w:left="1416"/>
      </w:pPr>
      <w:r w:rsidRPr="00434E9D">
        <w:t xml:space="preserve">* </w:t>
      </w:r>
      <w:r w:rsidR="008C3DE0" w:rsidRPr="00434E9D">
        <w:t>Directive 2009/90/CE de la Commission du 31 juillet 2009 établissant, conformément à la directive 2000/60/CE du Parlement européen et du Conseil, des spécifications techniques pour l’analyse chimique et la surveillance de l’état des eaux (JO L 201 du 1.8.2009, p. 36).;»</w:t>
      </w:r>
    </w:p>
    <w:p w14:paraId="1DD503F4" w14:textId="77777777" w:rsidR="00040481" w:rsidRPr="00434E9D" w:rsidRDefault="00040481">
      <w:pPr>
        <w:widowControl/>
        <w:rPr>
          <w:b/>
          <w:i/>
        </w:rPr>
      </w:pPr>
      <w:r w:rsidRPr="00434E9D">
        <w:rPr>
          <w:b/>
          <w:i/>
        </w:rPr>
        <w:br w:type="page"/>
      </w:r>
    </w:p>
    <w:p w14:paraId="10055DE4" w14:textId="77777777" w:rsidR="008C3DE0" w:rsidRPr="00434E9D" w:rsidRDefault="008C3DE0" w:rsidP="00E96033">
      <w:pPr>
        <w:spacing w:line="360" w:lineRule="auto"/>
        <w:ind w:left="850" w:hanging="850"/>
      </w:pPr>
      <w:r w:rsidRPr="00434E9D">
        <w:rPr>
          <w:b/>
          <w:i/>
        </w:rPr>
        <w:lastRenderedPageBreak/>
        <w:t>7</w:t>
      </w:r>
      <w:r w:rsidR="00040481" w:rsidRPr="00434E9D">
        <w:rPr>
          <w:b/>
          <w:i/>
        </w:rPr>
        <w:t xml:space="preserve"> bis</w:t>
      </w:r>
      <w:r w:rsidRPr="00434E9D">
        <w:rPr>
          <w:b/>
          <w:i/>
        </w:rPr>
        <w:t>)</w:t>
      </w:r>
      <w:r w:rsidRPr="00434E9D">
        <w:tab/>
      </w:r>
      <w:r w:rsidR="00040481" w:rsidRPr="00434E9D">
        <w:rPr>
          <w:b/>
          <w:i/>
        </w:rPr>
        <w:t>L</w:t>
      </w:r>
      <w:r w:rsidRPr="00434E9D">
        <w:rPr>
          <w:b/>
          <w:i/>
        </w:rPr>
        <w:t>’article 8 ter bis suivant est inséré:</w:t>
      </w:r>
    </w:p>
    <w:p w14:paraId="38EFBAC9" w14:textId="77777777" w:rsidR="008C3DE0" w:rsidRPr="00434E9D" w:rsidRDefault="008C3DE0" w:rsidP="00E96033">
      <w:pPr>
        <w:spacing w:line="360" w:lineRule="auto"/>
        <w:ind w:left="850"/>
      </w:pPr>
      <w:r w:rsidRPr="00434E9D">
        <w:t>«</w:t>
      </w:r>
      <w:r w:rsidRPr="00434E9D">
        <w:rPr>
          <w:b/>
          <w:i/>
        </w:rPr>
        <w:t>Article 8 ter bis</w:t>
      </w:r>
    </w:p>
    <w:p w14:paraId="5FDD8B62" w14:textId="77777777" w:rsidR="008C3DE0" w:rsidRPr="00434E9D" w:rsidRDefault="008C3DE0" w:rsidP="00E96033">
      <w:pPr>
        <w:spacing w:line="360" w:lineRule="auto"/>
        <w:ind w:left="850"/>
        <w:rPr>
          <w:b/>
        </w:rPr>
      </w:pPr>
      <w:r w:rsidRPr="00434E9D">
        <w:rPr>
          <w:b/>
          <w:i/>
        </w:rPr>
        <w:t>Au plus tard le ... [un an après la date d’entrée en vigueur de la présente directive], la Commission présente une analyse d’impact examinant l’inclusion, dans la présente directive, d’un mécanisme de responsabilité élargie des producteurs pour que les producteurs qui mettent sur le marché des produits contenant l’une des substances ou l’un des composés figurant à l’annexe I ainsi que de nouvelles substances préoccupantes figurant dans la liste de vigilance prévue par la présente directive contribuent au coût des programmes de surveillance créés en vertu de l’article 8 de la directive 2000/60/CE. L’analyse d’impact est accompagnée, le cas échéant, d’une proposition législative destinée à réviser la présente directive.»</w:t>
      </w:r>
      <w:r w:rsidRPr="00434E9D">
        <w:t>»</w:t>
      </w:r>
      <w:r w:rsidR="002A2088" w:rsidRPr="00434E9D">
        <w:rPr>
          <w:b/>
        </w:rPr>
        <w:t xml:space="preserve"> [Am. 132]</w:t>
      </w:r>
    </w:p>
    <w:p w14:paraId="51390AB0" w14:textId="77777777" w:rsidR="002A2088" w:rsidRPr="00434E9D" w:rsidRDefault="002A2088">
      <w:pPr>
        <w:widowControl/>
        <w:rPr>
          <w:b/>
          <w:i/>
        </w:rPr>
      </w:pPr>
      <w:r w:rsidRPr="00434E9D">
        <w:rPr>
          <w:b/>
          <w:i/>
        </w:rPr>
        <w:br w:type="page"/>
      </w:r>
    </w:p>
    <w:p w14:paraId="145BE4D9" w14:textId="77777777" w:rsidR="008C3DE0" w:rsidRPr="00434E9D" w:rsidRDefault="002A2088" w:rsidP="00E96033">
      <w:pPr>
        <w:spacing w:line="360" w:lineRule="auto"/>
        <w:ind w:left="850" w:hanging="850"/>
      </w:pPr>
      <w:r w:rsidRPr="00434E9D">
        <w:rPr>
          <w:b/>
          <w:i/>
        </w:rPr>
        <w:lastRenderedPageBreak/>
        <w:t>7 ter</w:t>
      </w:r>
      <w:r w:rsidR="008C3DE0" w:rsidRPr="00434E9D">
        <w:rPr>
          <w:b/>
          <w:i/>
        </w:rPr>
        <w:t>)</w:t>
      </w:r>
      <w:r w:rsidR="008C3DE0" w:rsidRPr="00434E9D">
        <w:tab/>
      </w:r>
      <w:r w:rsidRPr="00434E9D">
        <w:rPr>
          <w:b/>
          <w:i/>
        </w:rPr>
        <w:t>L</w:t>
      </w:r>
      <w:r w:rsidR="008C3DE0" w:rsidRPr="00434E9D">
        <w:rPr>
          <w:b/>
          <w:i/>
        </w:rPr>
        <w:t>’article suivant est inséré:</w:t>
      </w:r>
    </w:p>
    <w:p w14:paraId="24670352" w14:textId="77777777" w:rsidR="008C3DE0" w:rsidRPr="00434E9D" w:rsidRDefault="008C3DE0" w:rsidP="00E96033">
      <w:pPr>
        <w:spacing w:line="360" w:lineRule="auto"/>
        <w:ind w:left="850"/>
      </w:pPr>
      <w:r w:rsidRPr="00434E9D">
        <w:t>«</w:t>
      </w:r>
      <w:r w:rsidRPr="00434E9D">
        <w:rPr>
          <w:b/>
          <w:i/>
        </w:rPr>
        <w:t xml:space="preserve">Article 8 ter </w:t>
      </w:r>
      <w:proofErr w:type="spellStart"/>
      <w:r w:rsidRPr="00434E9D">
        <w:rPr>
          <w:b/>
          <w:i/>
        </w:rPr>
        <w:t>ter</w:t>
      </w:r>
      <w:proofErr w:type="spellEnd"/>
      <w:r w:rsidRPr="00434E9D">
        <w:br/>
      </w:r>
      <w:r w:rsidRPr="00434E9D">
        <w:rPr>
          <w:b/>
          <w:i/>
        </w:rPr>
        <w:t>Mécanisme de surveillance européen</w:t>
      </w:r>
    </w:p>
    <w:p w14:paraId="1EF713E4" w14:textId="77777777" w:rsidR="008C3DE0" w:rsidRPr="00434E9D" w:rsidRDefault="008C3DE0" w:rsidP="00E96033">
      <w:pPr>
        <w:spacing w:line="360" w:lineRule="auto"/>
        <w:ind w:left="850"/>
      </w:pPr>
      <w:r w:rsidRPr="00434E9D">
        <w:rPr>
          <w:b/>
          <w:i/>
        </w:rPr>
        <w:t>Au plus tard le... [un an après la date d’entrée en vigueur de la présente directive], la Commission met en place un mécanisme de surveillance commun chargé de la gestion des exigences de surveillance dans les cas où les États membres en font la demande.</w:t>
      </w:r>
    </w:p>
    <w:p w14:paraId="07C2E706" w14:textId="77777777" w:rsidR="008C3DE0" w:rsidRPr="00434E9D" w:rsidRDefault="008C3DE0" w:rsidP="00E96033">
      <w:pPr>
        <w:spacing w:line="360" w:lineRule="auto"/>
        <w:ind w:left="850"/>
      </w:pPr>
      <w:r w:rsidRPr="00434E9D">
        <w:rPr>
          <w:b/>
          <w:i/>
        </w:rPr>
        <w:t>La Commission définit le fonctionnement du mécanisme de surveillance, qui comporte, entre autres, les éléments suivants:</w:t>
      </w:r>
    </w:p>
    <w:p w14:paraId="5B2598CF" w14:textId="77777777" w:rsidR="008C3DE0" w:rsidRPr="00434E9D" w:rsidRDefault="008C3DE0" w:rsidP="00E96033">
      <w:pPr>
        <w:spacing w:line="360" w:lineRule="auto"/>
        <w:ind w:left="1416" w:hanging="566"/>
      </w:pPr>
      <w:r w:rsidRPr="00434E9D">
        <w:rPr>
          <w:b/>
          <w:i/>
        </w:rPr>
        <w:t>a)</w:t>
      </w:r>
      <w:r w:rsidRPr="00434E9D">
        <w:tab/>
      </w:r>
      <w:r w:rsidRPr="00434E9D">
        <w:rPr>
          <w:b/>
          <w:i/>
        </w:rPr>
        <w:t>le caractère facultatif du recours au mécanisme de surveillance, qui ne porte pas atteinte aux dispositions déjà mises en place par les États membres;</w:t>
      </w:r>
    </w:p>
    <w:p w14:paraId="4C642FEA" w14:textId="77777777" w:rsidR="008C3DE0" w:rsidRPr="00434E9D" w:rsidRDefault="008C3DE0" w:rsidP="00E96033">
      <w:pPr>
        <w:spacing w:line="360" w:lineRule="auto"/>
        <w:ind w:left="1416" w:hanging="566"/>
      </w:pPr>
      <w:r w:rsidRPr="00434E9D">
        <w:rPr>
          <w:b/>
          <w:i/>
        </w:rPr>
        <w:t>b)</w:t>
      </w:r>
      <w:r w:rsidRPr="00434E9D">
        <w:tab/>
      </w:r>
      <w:r w:rsidRPr="00434E9D">
        <w:rPr>
          <w:b/>
          <w:i/>
        </w:rPr>
        <w:t>les procédures opérationnelles destinées aux États membres qui comptent avoir recours au mécanisme de surveillance, lesquelles comprennent, entre autres, la notification obligatoire à la Commission de leurs besoins précis ou de leurs capacités précises de surveillance, les protocoles précis de gestion des échantillons ainsi que la période pendant laquelle ils comptent faire partie du mécanisme;</w:t>
      </w:r>
    </w:p>
    <w:p w14:paraId="3A8F015E" w14:textId="77777777" w:rsidR="002A2088" w:rsidRPr="00434E9D" w:rsidRDefault="002A2088">
      <w:pPr>
        <w:widowControl/>
        <w:rPr>
          <w:b/>
          <w:i/>
        </w:rPr>
      </w:pPr>
      <w:r w:rsidRPr="00434E9D">
        <w:rPr>
          <w:b/>
          <w:i/>
        </w:rPr>
        <w:br w:type="page"/>
      </w:r>
    </w:p>
    <w:p w14:paraId="1B34596E" w14:textId="77777777" w:rsidR="008C3DE0" w:rsidRPr="00434E9D" w:rsidRDefault="008C3DE0" w:rsidP="00E96033">
      <w:pPr>
        <w:spacing w:line="360" w:lineRule="auto"/>
        <w:ind w:left="1416" w:hanging="566"/>
      </w:pPr>
      <w:r w:rsidRPr="00434E9D">
        <w:rPr>
          <w:b/>
          <w:i/>
        </w:rPr>
        <w:lastRenderedPageBreak/>
        <w:t>c)</w:t>
      </w:r>
      <w:r w:rsidRPr="00434E9D">
        <w:tab/>
      </w:r>
      <w:r w:rsidRPr="00434E9D">
        <w:rPr>
          <w:b/>
          <w:i/>
        </w:rPr>
        <w:t>les sources de financement, qui peuvent comprendre les programmes et les fonds structurels pertinents de l’Union ainsi que des contributions du secteur privé, y compris au titre du mécanisme de responsabilité élargie des producteurs lorsque celui-ci aura été mis en place conformément à l’article 8 ter bis.»</w:t>
      </w:r>
      <w:r w:rsidRPr="00434E9D">
        <w:t>»</w:t>
      </w:r>
      <w:r w:rsidR="00885B4C" w:rsidRPr="00434E9D">
        <w:t xml:space="preserve"> </w:t>
      </w:r>
      <w:r w:rsidR="00885B4C" w:rsidRPr="00434E9D">
        <w:rPr>
          <w:b/>
        </w:rPr>
        <w:t>[Am. 133]</w:t>
      </w:r>
    </w:p>
    <w:p w14:paraId="4257821D" w14:textId="77777777" w:rsidR="008C3DE0" w:rsidRPr="00434E9D" w:rsidRDefault="002A2088" w:rsidP="00E96033">
      <w:pPr>
        <w:spacing w:line="360" w:lineRule="auto"/>
        <w:ind w:left="850" w:hanging="850"/>
      </w:pPr>
      <w:r w:rsidRPr="00434E9D">
        <w:t>8)</w:t>
      </w:r>
      <w:r w:rsidRPr="00434E9D">
        <w:tab/>
        <w:t>L</w:t>
      </w:r>
      <w:r w:rsidR="008C3DE0" w:rsidRPr="00434E9D">
        <w:t>’article 8 quinquies suivant est inséré:</w:t>
      </w:r>
    </w:p>
    <w:p w14:paraId="3227725F" w14:textId="77777777" w:rsidR="008C3DE0" w:rsidRPr="00434E9D" w:rsidRDefault="008C3DE0" w:rsidP="00E96033">
      <w:pPr>
        <w:spacing w:line="360" w:lineRule="auto"/>
        <w:ind w:left="850"/>
      </w:pPr>
      <w:r w:rsidRPr="00434E9D">
        <w:t>«Article 8 quinquies</w:t>
      </w:r>
    </w:p>
    <w:p w14:paraId="2E5B6634" w14:textId="77777777" w:rsidR="008C3DE0" w:rsidRPr="00434E9D" w:rsidRDefault="008C3DE0" w:rsidP="00E96033">
      <w:pPr>
        <w:spacing w:line="360" w:lineRule="auto"/>
        <w:ind w:left="850"/>
      </w:pPr>
      <w:r w:rsidRPr="00434E9D">
        <w:t>Polluants spécifiques à un bassin hydrographique</w:t>
      </w:r>
    </w:p>
    <w:p w14:paraId="036C9B82" w14:textId="77777777" w:rsidR="008C3DE0" w:rsidRPr="00434E9D" w:rsidRDefault="008C3DE0" w:rsidP="00E96033">
      <w:pPr>
        <w:spacing w:line="360" w:lineRule="auto"/>
        <w:ind w:left="1416" w:hanging="566"/>
      </w:pPr>
      <w:r w:rsidRPr="00434E9D">
        <w:t>1.</w:t>
      </w:r>
      <w:r w:rsidRPr="00434E9D">
        <w:tab/>
        <w:t>Les États membres établissent et appliquent des NQE pour les polluants spécifiques à un bassin hydrographique relevant des catégories répertoriées à l’annexe II, partie A, de la présente directive, lorsque ces polluants présentent un risque pour les masses d’eau dans un ou plusieurs de leurs districts hydrographiques sur la base des analyses et des études au titre de l’article 5 de la directive 2000/60/CE, conformément à la procédure définie à l’annexe II, partie B, de la présente directive.</w:t>
      </w:r>
    </w:p>
    <w:p w14:paraId="789669B1" w14:textId="77777777" w:rsidR="008C3DE0" w:rsidRPr="00434E9D" w:rsidRDefault="008C3DE0" w:rsidP="00E96033">
      <w:pPr>
        <w:spacing w:line="360" w:lineRule="auto"/>
        <w:ind w:left="1416"/>
      </w:pPr>
      <w:r w:rsidRPr="00434E9D">
        <w:t>Au plus tard le [OP: veuillez insérer la date  correspondant au premier jour du mois suivant un délai de dix-huit mois après la date d’entrée en vigueur de la présente directive], les États membres informent l’ECHA des NQE visées au premier alinéa. L’ECHA rend ces informations publiques.</w:t>
      </w:r>
    </w:p>
    <w:p w14:paraId="3D61B698" w14:textId="77777777" w:rsidR="002A2088" w:rsidRPr="00434E9D" w:rsidRDefault="002A2088">
      <w:pPr>
        <w:widowControl/>
      </w:pPr>
      <w:r w:rsidRPr="00434E9D">
        <w:br w:type="page"/>
      </w:r>
    </w:p>
    <w:p w14:paraId="68A6B278" w14:textId="77777777" w:rsidR="008C3DE0" w:rsidRPr="00434E9D" w:rsidRDefault="008C3DE0" w:rsidP="00E96033">
      <w:pPr>
        <w:spacing w:line="360" w:lineRule="auto"/>
        <w:ind w:left="1416" w:hanging="566"/>
      </w:pPr>
      <w:r w:rsidRPr="00434E9D">
        <w:lastRenderedPageBreak/>
        <w:t>2.</w:t>
      </w:r>
      <w:r w:rsidRPr="00434E9D">
        <w:tab/>
        <w:t>Lorsque des NQE applicables aux polluants spécifiques à un bassin hydrographique ont été établies au niveau de l’Union et répertoriées à l’annexe II, point C, conformément à l’article 8, ces NQE priment sur les NQE applicables aux polluants spécifiques à un bassin hydrographique établies au niveau national conformément au paragraphe 1. Ces NQE établies au niveau de l’Union sont également appliquées par les États membres pour déterminer si les polluants spécifiques à un bassin hydrographique répertoriés à l’annexe II, partie C, présentent un risque.</w:t>
      </w:r>
    </w:p>
    <w:p w14:paraId="5E1989D9" w14:textId="77777777" w:rsidR="008C3DE0" w:rsidRPr="00434E9D" w:rsidRDefault="008C3DE0" w:rsidP="00E96033">
      <w:pPr>
        <w:spacing w:line="360" w:lineRule="auto"/>
        <w:ind w:left="1416" w:hanging="566"/>
      </w:pPr>
      <w:r w:rsidRPr="00434E9D">
        <w:t>3.</w:t>
      </w:r>
      <w:r w:rsidRPr="00434E9D">
        <w:tab/>
        <w:t>Le respect des NQE nationales ou des NQE établies au niveau de l’Union applicables, le cas échéant, est requis pour qu’une masse d’eau soit considérée comme en bon état chimique, conformément à la définition donnée à l’article 2, point 24), de la directive 2000/60/CE.</w:t>
      </w:r>
    </w:p>
    <w:p w14:paraId="14CA2506" w14:textId="77777777" w:rsidR="008C3DE0" w:rsidRPr="00434E9D" w:rsidRDefault="002A2088" w:rsidP="00E96033">
      <w:pPr>
        <w:spacing w:line="360" w:lineRule="auto"/>
        <w:ind w:left="1416" w:hanging="566"/>
        <w:rPr>
          <w:b/>
        </w:rPr>
      </w:pPr>
      <w:r w:rsidRPr="00434E9D">
        <w:rPr>
          <w:b/>
          <w:i/>
        </w:rPr>
        <w:t>3 bis</w:t>
      </w:r>
      <w:r w:rsidR="008C3DE0" w:rsidRPr="00434E9D">
        <w:rPr>
          <w:b/>
          <w:i/>
        </w:rPr>
        <w:t>.</w:t>
      </w:r>
      <w:r w:rsidR="008C3DE0" w:rsidRPr="00434E9D">
        <w:tab/>
      </w:r>
      <w:r w:rsidR="008C3DE0" w:rsidRPr="00434E9D">
        <w:rPr>
          <w:b/>
          <w:i/>
        </w:rPr>
        <w:t>Lors de la définition et de l’application des NQE pour les polluants spécifiques à un bassin hydrographique, les États membres peuvent tenir compte de la biodisponibilité des métaux.</w:t>
      </w:r>
      <w:r w:rsidR="008C3DE0" w:rsidRPr="00434E9D">
        <w:t>»</w:t>
      </w:r>
      <w:r w:rsidRPr="00434E9D">
        <w:t xml:space="preserve"> </w:t>
      </w:r>
      <w:r w:rsidRPr="00434E9D">
        <w:rPr>
          <w:b/>
        </w:rPr>
        <w:t xml:space="preserve"> [Am. 134]</w:t>
      </w:r>
    </w:p>
    <w:p w14:paraId="29FB0CD4" w14:textId="77777777" w:rsidR="002A2088" w:rsidRPr="00434E9D" w:rsidRDefault="002A2088">
      <w:pPr>
        <w:widowControl/>
        <w:rPr>
          <w:b/>
          <w:i/>
        </w:rPr>
      </w:pPr>
      <w:r w:rsidRPr="00434E9D">
        <w:rPr>
          <w:b/>
          <w:i/>
        </w:rPr>
        <w:br w:type="page"/>
      </w:r>
    </w:p>
    <w:p w14:paraId="1F27FCF4" w14:textId="77777777" w:rsidR="008C3DE0" w:rsidRPr="00434E9D" w:rsidRDefault="002A2088" w:rsidP="00E96033">
      <w:pPr>
        <w:spacing w:line="360" w:lineRule="auto"/>
        <w:ind w:left="850" w:hanging="850"/>
      </w:pPr>
      <w:r w:rsidRPr="00434E9D">
        <w:rPr>
          <w:b/>
          <w:i/>
        </w:rPr>
        <w:lastRenderedPageBreak/>
        <w:t>8 bis</w:t>
      </w:r>
      <w:r w:rsidR="008C3DE0" w:rsidRPr="00434E9D">
        <w:rPr>
          <w:b/>
          <w:i/>
        </w:rPr>
        <w:t>)</w:t>
      </w:r>
      <w:r w:rsidR="008C3DE0" w:rsidRPr="00434E9D">
        <w:tab/>
      </w:r>
      <w:r w:rsidR="008C3DE0" w:rsidRPr="00434E9D">
        <w:rPr>
          <w:b/>
          <w:i/>
        </w:rPr>
        <w:t>À l’article 9 bis, le paragraphe 2 est modifié comme suit:</w:t>
      </w:r>
    </w:p>
    <w:p w14:paraId="5C1FF19C" w14:textId="14DA686F" w:rsidR="008C3DE0" w:rsidRPr="00434E9D" w:rsidRDefault="002A2088" w:rsidP="00E96033">
      <w:pPr>
        <w:spacing w:line="360" w:lineRule="auto"/>
        <w:ind w:left="1416" w:hanging="566"/>
        <w:rPr>
          <w:b/>
        </w:rPr>
      </w:pPr>
      <w:r w:rsidRPr="00434E9D">
        <w:rPr>
          <w:b/>
          <w:i/>
        </w:rPr>
        <w:t>«2.</w:t>
      </w:r>
      <w:r w:rsidRPr="00434E9D">
        <w:rPr>
          <w:b/>
          <w:i/>
        </w:rPr>
        <w:tab/>
      </w:r>
      <w:r w:rsidR="008C3DE0" w:rsidRPr="00434E9D">
        <w:rPr>
          <w:b/>
          <w:i/>
        </w:rPr>
        <w:t>Le pouvoir d’adopter des actes délégués visé à l’article 3, paragraphe 8, à l’article 8, paragraphes 3, 6 bis et 6 ter, et à l’article 8 bis, paragraphe 3 bis, est conféré à la Commission pour une période de six ans à compter du [OP: veuillez insérer la date correspondant à la date d’entrée en vigueur de la présente directive]. La Commission élabore un rapport relatif à la délégation de pouvoir au plus tard neuf mois avant la fin de la période de six ans. La délégation de pouvoir est tacitement prorogée pour des périodes d’une durée identique, sauf si le Parlement européen ou le Conseil s’oppose à cette prorogation trois mois au plus tard avant la fin de chaque période.»</w:t>
      </w:r>
      <w:r w:rsidRPr="00434E9D">
        <w:rPr>
          <w:b/>
        </w:rPr>
        <w:t xml:space="preserve"> [Am. 135]</w:t>
      </w:r>
    </w:p>
    <w:p w14:paraId="5084C6C3" w14:textId="77777777" w:rsidR="008C3DE0" w:rsidRPr="00434E9D" w:rsidRDefault="008C3DE0" w:rsidP="00E96033">
      <w:pPr>
        <w:spacing w:line="360" w:lineRule="auto"/>
        <w:ind w:left="850" w:hanging="850"/>
      </w:pPr>
      <w:r w:rsidRPr="00434E9D">
        <w:rPr>
          <w:b/>
          <w:i/>
        </w:rPr>
        <w:t>8 ter)</w:t>
      </w:r>
      <w:r w:rsidRPr="00434E9D">
        <w:rPr>
          <w:b/>
          <w:i/>
        </w:rPr>
        <w:tab/>
        <w:t>À l’article 9 bis, le paragraphe 3 est modifié comme suit:</w:t>
      </w:r>
    </w:p>
    <w:p w14:paraId="10C9FF8F" w14:textId="3D6BBD41" w:rsidR="008C3DE0" w:rsidRPr="00434E9D" w:rsidRDefault="008C3DE0" w:rsidP="00E96033">
      <w:pPr>
        <w:spacing w:line="360" w:lineRule="auto"/>
        <w:ind w:left="1416" w:hanging="566"/>
        <w:rPr>
          <w:b/>
        </w:rPr>
      </w:pPr>
      <w:r w:rsidRPr="00D01767">
        <w:rPr>
          <w:b/>
          <w:bCs/>
          <w:i/>
          <w:iCs/>
        </w:rPr>
        <w:t>«</w:t>
      </w:r>
      <w:r w:rsidR="00D01767" w:rsidRPr="00D01767">
        <w:rPr>
          <w:b/>
          <w:bCs/>
          <w:i/>
          <w:iCs/>
        </w:rPr>
        <w:t>3</w:t>
      </w:r>
      <w:r w:rsidRPr="00D01767">
        <w:rPr>
          <w:b/>
          <w:bCs/>
          <w:i/>
          <w:iCs/>
        </w:rPr>
        <w:t>.</w:t>
      </w:r>
      <w:r w:rsidRPr="00D01767">
        <w:rPr>
          <w:b/>
          <w:bCs/>
          <w:i/>
          <w:iCs/>
        </w:rPr>
        <w:tab/>
      </w:r>
      <w:r w:rsidRPr="00434E9D">
        <w:rPr>
          <w:b/>
          <w:i/>
        </w:rPr>
        <w:t>La délégation de pouvoir visée à l’article 3, paragraphe 8, à l’article 8, paragraphes 3, 6 bis et 6 ter, et à l’article 8 bis, paragraphe 3 bis, peut être révoquée à tout moment par le Parlement européen ou le Conseil. La décision de révocation met fin à la délégation de pouvoir qui y est précisée. La révocation prend effet le jour suivant celui de la publication de ladite décision au Journal officiel de l’Union européenne ou à une date ultérieure qui est précisée dans ladite décision. Elle ne porte pas atteinte à la validité des actes délégués déjà en vigueur.»</w:t>
      </w:r>
      <w:r w:rsidR="002A2088" w:rsidRPr="00434E9D">
        <w:rPr>
          <w:b/>
        </w:rPr>
        <w:t xml:space="preserve"> [Am. 136]</w:t>
      </w:r>
    </w:p>
    <w:p w14:paraId="305DC6D3" w14:textId="77777777" w:rsidR="002A2088" w:rsidRPr="00434E9D" w:rsidRDefault="002A2088">
      <w:pPr>
        <w:widowControl/>
        <w:rPr>
          <w:b/>
          <w:i/>
        </w:rPr>
      </w:pPr>
      <w:r w:rsidRPr="00434E9D">
        <w:rPr>
          <w:b/>
          <w:i/>
        </w:rPr>
        <w:br w:type="page"/>
      </w:r>
    </w:p>
    <w:p w14:paraId="18A15722" w14:textId="77777777" w:rsidR="008C3DE0" w:rsidRPr="00434E9D" w:rsidRDefault="002A2088" w:rsidP="00E96033">
      <w:pPr>
        <w:spacing w:line="360" w:lineRule="auto"/>
        <w:ind w:left="850" w:hanging="850"/>
      </w:pPr>
      <w:r w:rsidRPr="00434E9D">
        <w:rPr>
          <w:b/>
          <w:i/>
        </w:rPr>
        <w:lastRenderedPageBreak/>
        <w:t>8 quater</w:t>
      </w:r>
      <w:r w:rsidR="008C3DE0" w:rsidRPr="00434E9D">
        <w:rPr>
          <w:b/>
          <w:i/>
        </w:rPr>
        <w:t>)</w:t>
      </w:r>
      <w:r w:rsidR="008C3DE0" w:rsidRPr="00434E9D">
        <w:tab/>
      </w:r>
      <w:r w:rsidR="008C3DE0" w:rsidRPr="00434E9D">
        <w:rPr>
          <w:b/>
          <w:i/>
        </w:rPr>
        <w:t>À l’article 9 bis, le paragraphe 3 bis est inséré:</w:t>
      </w:r>
    </w:p>
    <w:p w14:paraId="00987BF6" w14:textId="6FB121BF" w:rsidR="008C3DE0" w:rsidRPr="00434E9D" w:rsidRDefault="002A2088" w:rsidP="00E96033">
      <w:pPr>
        <w:spacing w:line="360" w:lineRule="auto"/>
        <w:ind w:left="1416" w:hanging="566"/>
        <w:rPr>
          <w:b/>
        </w:rPr>
      </w:pPr>
      <w:r w:rsidRPr="00434E9D">
        <w:t>«</w:t>
      </w:r>
      <w:r w:rsidR="008C3DE0" w:rsidRPr="00434E9D">
        <w:rPr>
          <w:b/>
          <w:i/>
        </w:rPr>
        <w:t>3 bis.</w:t>
      </w:r>
      <w:r w:rsidR="008C3DE0" w:rsidRPr="00434E9D">
        <w:rPr>
          <w:b/>
          <w:i/>
        </w:rPr>
        <w:tab/>
        <w:t xml:space="preserve"> Avant l’adoption d’un acte délégué, la Commission consulte les experts désignés par chaque État membre, conformément aux principes définis dans l’accord interinstitutionnel du 13 avril 2016 «Mieux légiférer.»</w:t>
      </w:r>
      <w:r w:rsidRPr="00434E9D">
        <w:rPr>
          <w:b/>
        </w:rPr>
        <w:t xml:space="preserve"> [Am. 137]</w:t>
      </w:r>
    </w:p>
    <w:p w14:paraId="74D84037" w14:textId="77777777" w:rsidR="008C3DE0" w:rsidRPr="00434E9D" w:rsidRDefault="002A2088" w:rsidP="00E96033">
      <w:pPr>
        <w:spacing w:line="360" w:lineRule="auto"/>
        <w:ind w:left="850" w:hanging="850"/>
      </w:pPr>
      <w:r w:rsidRPr="00434E9D">
        <w:rPr>
          <w:b/>
          <w:i/>
        </w:rPr>
        <w:t>8 quinquies</w:t>
      </w:r>
      <w:r w:rsidR="008C3DE0" w:rsidRPr="00434E9D">
        <w:rPr>
          <w:b/>
          <w:i/>
        </w:rPr>
        <w:t>)</w:t>
      </w:r>
      <w:r w:rsidR="008C3DE0" w:rsidRPr="00434E9D">
        <w:tab/>
      </w:r>
      <w:r w:rsidR="008C3DE0" w:rsidRPr="00434E9D">
        <w:rPr>
          <w:b/>
          <w:i/>
        </w:rPr>
        <w:t>À l’article 9 bis, le paragraphe 5 est modifié comme suit:</w:t>
      </w:r>
    </w:p>
    <w:p w14:paraId="2724727F" w14:textId="7EA4A79B" w:rsidR="008C3DE0" w:rsidRPr="00434E9D" w:rsidRDefault="002A2088" w:rsidP="00E96033">
      <w:pPr>
        <w:spacing w:line="360" w:lineRule="auto"/>
        <w:ind w:left="1416" w:hanging="566"/>
        <w:rPr>
          <w:b/>
        </w:rPr>
      </w:pPr>
      <w:r w:rsidRPr="00434E9D">
        <w:rPr>
          <w:b/>
          <w:i/>
        </w:rPr>
        <w:t>«5.</w:t>
      </w:r>
      <w:r w:rsidRPr="00434E9D">
        <w:rPr>
          <w:b/>
          <w:i/>
        </w:rPr>
        <w:tab/>
      </w:r>
      <w:r w:rsidR="008C3DE0" w:rsidRPr="00434E9D">
        <w:rPr>
          <w:b/>
          <w:i/>
        </w:rPr>
        <w:t>Un acte délégué adopté conformément à l’article 3, paragraphe 8, à l’article 8, paragraphes 3, 6 bis ou 6 ter, ou à l’article 8 bis, paragraphe 3 bis, n’entre en vigueur que si le Parlement européen ou le Conseil n’a pas exprimé d’objections dans un délai de deux mois à compter de la notification de cet acte au Parlement européen et au Conseil ou si, avant l’expiration de ce délai, le Parlement européen et le Conseil ont tous deux informé la Commission de leur intention de ne pas exprimer d’objections. Ce délai est prolongé de deux mois à l’initiative du Parlement européen ou du Conseil.»</w:t>
      </w:r>
      <w:r w:rsidRPr="00434E9D">
        <w:rPr>
          <w:b/>
        </w:rPr>
        <w:t xml:space="preserve"> [Am. 138]</w:t>
      </w:r>
    </w:p>
    <w:p w14:paraId="3C494289" w14:textId="77777777" w:rsidR="002A2088" w:rsidRPr="00434E9D" w:rsidRDefault="002A2088">
      <w:pPr>
        <w:widowControl/>
      </w:pPr>
      <w:r w:rsidRPr="00434E9D">
        <w:br w:type="page"/>
      </w:r>
    </w:p>
    <w:p w14:paraId="618A57C9" w14:textId="77777777" w:rsidR="008C3DE0" w:rsidRPr="00434E9D" w:rsidRDefault="008C3DE0" w:rsidP="002A2088">
      <w:pPr>
        <w:spacing w:line="360" w:lineRule="auto"/>
      </w:pPr>
      <w:r w:rsidRPr="00434E9D">
        <w:lastRenderedPageBreak/>
        <w:t>9)</w:t>
      </w:r>
      <w:r w:rsidRPr="00434E9D">
        <w:tab/>
        <w:t>l’article 10 est supprimé;</w:t>
      </w:r>
    </w:p>
    <w:p w14:paraId="1356A7F1" w14:textId="77777777" w:rsidR="008C3DE0" w:rsidRPr="00434E9D" w:rsidRDefault="008C3DE0" w:rsidP="00E96033">
      <w:pPr>
        <w:spacing w:line="360" w:lineRule="auto"/>
        <w:ind w:left="850" w:hanging="850"/>
      </w:pPr>
      <w:r w:rsidRPr="00434E9D">
        <w:t>10)</w:t>
      </w:r>
      <w:r w:rsidRPr="00434E9D">
        <w:tab/>
        <w:t>l’annexe II est modifiée conformément à l’annexe V de la présente directive;</w:t>
      </w:r>
    </w:p>
    <w:p w14:paraId="7E758DEE" w14:textId="77777777" w:rsidR="008C3DE0" w:rsidRPr="00434E9D" w:rsidRDefault="008C3DE0" w:rsidP="00E96033">
      <w:pPr>
        <w:spacing w:line="360" w:lineRule="auto"/>
        <w:ind w:left="850" w:hanging="850"/>
      </w:pPr>
      <w:r w:rsidRPr="00434E9D">
        <w:t>11)</w:t>
      </w:r>
      <w:r w:rsidRPr="00434E9D">
        <w:tab/>
        <w:t>l’annexe II, telle qu’elle figure à l’annexe VI du présent règlement, est ajoutée.</w:t>
      </w:r>
    </w:p>
    <w:p w14:paraId="7ED2EB4D" w14:textId="77777777" w:rsidR="008C3DE0" w:rsidRPr="00434E9D" w:rsidRDefault="008C3DE0" w:rsidP="00E96033">
      <w:pPr>
        <w:spacing w:line="360" w:lineRule="auto"/>
        <w:jc w:val="center"/>
      </w:pPr>
      <w:r w:rsidRPr="00434E9D">
        <w:t>Article 4</w:t>
      </w:r>
    </w:p>
    <w:p w14:paraId="7C99F54F" w14:textId="77777777" w:rsidR="008C3DE0" w:rsidRPr="00434E9D" w:rsidRDefault="008C3DE0" w:rsidP="00E96033">
      <w:pPr>
        <w:spacing w:line="360" w:lineRule="auto"/>
        <w:ind w:left="850" w:hanging="850"/>
      </w:pPr>
      <w:r w:rsidRPr="00434E9D">
        <w:t>1.</w:t>
      </w:r>
      <w:r w:rsidRPr="00434E9D">
        <w:tab/>
        <w:t>Les États membres mettent en vigueur les dispositions législatives, réglementaires et administratives nécessaires pour se conformer à la présente directive au plus tard le [OP: veuillez insérer la date correspondant au premier jour du mois suivant un délai de dix-huit mois à compter de la date d’entrée en vigueur de la présente directive].</w:t>
      </w:r>
    </w:p>
    <w:p w14:paraId="3964E025" w14:textId="77777777" w:rsidR="008C3DE0" w:rsidRPr="00434E9D" w:rsidRDefault="008C3DE0" w:rsidP="00E96033">
      <w:pPr>
        <w:spacing w:line="360" w:lineRule="auto"/>
        <w:ind w:left="850" w:hanging="850"/>
      </w:pPr>
      <w:r w:rsidRPr="00434E9D">
        <w:t>2.</w:t>
      </w:r>
      <w:r w:rsidRPr="00434E9D">
        <w:tab/>
        <w:t>Ils en communiquent immédiatement le texte à la Commission. Lorsque les États membres adoptent ces dispositions, celles-ci contiennent une référence à la présente directive ou sont accompagnées d’une telle référence lors de leur publication officielle. Les modalités de cette référence sont arrêtées par les États membres. Les États membres communiquent à la Commission le texte des dispositions essentielles de droit interne qu’ils adoptent dans le domaine régi par la présente directive.</w:t>
      </w:r>
    </w:p>
    <w:p w14:paraId="6DF7BC70" w14:textId="77777777" w:rsidR="002A2088" w:rsidRPr="00434E9D" w:rsidRDefault="002A2088">
      <w:pPr>
        <w:widowControl/>
      </w:pPr>
      <w:r w:rsidRPr="00434E9D">
        <w:br w:type="page"/>
      </w:r>
    </w:p>
    <w:p w14:paraId="5404FC16" w14:textId="77777777" w:rsidR="008C3DE0" w:rsidRPr="00434E9D" w:rsidRDefault="008C3DE0" w:rsidP="00E96033">
      <w:pPr>
        <w:spacing w:line="360" w:lineRule="auto"/>
        <w:jc w:val="center"/>
      </w:pPr>
      <w:r w:rsidRPr="00434E9D">
        <w:lastRenderedPageBreak/>
        <w:t>Article 5</w:t>
      </w:r>
    </w:p>
    <w:p w14:paraId="5E47CB4E" w14:textId="77777777" w:rsidR="008C3DE0" w:rsidRPr="00434E9D" w:rsidRDefault="008C3DE0" w:rsidP="00E96033">
      <w:pPr>
        <w:pStyle w:val="Applicationdirecte"/>
        <w:rPr>
          <w:lang w:val="fr-FR"/>
        </w:rPr>
      </w:pPr>
      <w:r w:rsidRPr="00434E9D">
        <w:rPr>
          <w:lang w:val="fr-FR"/>
        </w:rPr>
        <w:t xml:space="preserve">La présente directive entre en vigueur le vingtième jour suivant celui de sa publication au </w:t>
      </w:r>
      <w:r w:rsidRPr="00434E9D">
        <w:rPr>
          <w:i/>
          <w:lang w:val="fr-FR"/>
        </w:rPr>
        <w:t>Journal officiel de l’Union européenne</w:t>
      </w:r>
      <w:r w:rsidRPr="00434E9D">
        <w:rPr>
          <w:lang w:val="fr-FR"/>
        </w:rPr>
        <w:t>.</w:t>
      </w:r>
    </w:p>
    <w:p w14:paraId="034F5E15" w14:textId="77777777" w:rsidR="008C3DE0" w:rsidRPr="00434E9D" w:rsidRDefault="008C3DE0" w:rsidP="00E96033">
      <w:pPr>
        <w:spacing w:line="360" w:lineRule="auto"/>
        <w:jc w:val="center"/>
      </w:pPr>
      <w:r w:rsidRPr="00434E9D">
        <w:t>Article 6</w:t>
      </w:r>
    </w:p>
    <w:p w14:paraId="16D910F1" w14:textId="77777777" w:rsidR="008C3DE0" w:rsidRPr="00434E9D" w:rsidRDefault="008C3DE0" w:rsidP="00E96033">
      <w:pPr>
        <w:pStyle w:val="Applicationdirecte"/>
        <w:rPr>
          <w:lang w:val="fr-FR"/>
        </w:rPr>
      </w:pPr>
      <w:r w:rsidRPr="00434E9D">
        <w:rPr>
          <w:lang w:val="fr-FR"/>
        </w:rPr>
        <w:t>Les États membres sont destinataires de la présente directive.</w:t>
      </w:r>
    </w:p>
    <w:p w14:paraId="206BA1B5" w14:textId="77777777" w:rsidR="008C3DE0" w:rsidRPr="00434E9D" w:rsidRDefault="008C3DE0" w:rsidP="00E96033">
      <w:pPr>
        <w:pStyle w:val="Fait"/>
        <w:rPr>
          <w:lang w:val="fr-FR"/>
        </w:rPr>
      </w:pPr>
      <w:r w:rsidRPr="00434E9D">
        <w:rPr>
          <w:lang w:val="fr-FR"/>
        </w:rPr>
        <w:t xml:space="preserve">Fait à </w:t>
      </w:r>
      <w:r w:rsidR="00DE1CD3">
        <w:rPr>
          <w:lang w:val="fr-FR"/>
        </w:rPr>
        <w:t>…</w:t>
      </w:r>
      <w:r w:rsidRPr="00434E9D">
        <w:rPr>
          <w:lang w:val="fr-FR"/>
        </w:rPr>
        <w:t>, le</w:t>
      </w:r>
    </w:p>
    <w:p w14:paraId="5C27510D" w14:textId="77777777" w:rsidR="008C3DE0" w:rsidRPr="00434E9D" w:rsidRDefault="008C3DE0" w:rsidP="00E96033">
      <w:pPr>
        <w:pStyle w:val="SignatureInstitution"/>
        <w:rPr>
          <w:lang w:val="fr-FR"/>
        </w:rPr>
      </w:pPr>
      <w:r w:rsidRPr="00434E9D">
        <w:rPr>
          <w:lang w:val="fr-FR"/>
        </w:rPr>
        <w:t>Par le Parlement européen</w:t>
      </w:r>
      <w:r w:rsidRPr="00434E9D">
        <w:rPr>
          <w:lang w:val="fr-FR"/>
        </w:rPr>
        <w:tab/>
        <w:t>Par le Conseil</w:t>
      </w:r>
    </w:p>
    <w:p w14:paraId="6B5D57AE" w14:textId="77777777" w:rsidR="008C3DE0" w:rsidRPr="00434E9D" w:rsidRDefault="008C3DE0" w:rsidP="00E96033">
      <w:pPr>
        <w:pStyle w:val="SignaturePersonne"/>
        <w:rPr>
          <w:lang w:val="fr-FR"/>
        </w:rPr>
      </w:pPr>
      <w:r w:rsidRPr="00434E9D">
        <w:rPr>
          <w:lang w:val="fr-FR"/>
        </w:rPr>
        <w:t>La présidente</w:t>
      </w:r>
      <w:r w:rsidRPr="00434E9D">
        <w:rPr>
          <w:lang w:val="fr-FR"/>
        </w:rPr>
        <w:tab/>
        <w:t>Le président</w:t>
      </w:r>
    </w:p>
    <w:p w14:paraId="76F9A6FE" w14:textId="77777777" w:rsidR="008C3DE0" w:rsidRPr="00434E9D" w:rsidRDefault="008C3DE0" w:rsidP="00E96033">
      <w:pPr>
        <w:spacing w:line="360" w:lineRule="auto"/>
        <w:sectPr w:rsidR="008C3DE0" w:rsidRPr="00434E9D">
          <w:footnotePr>
            <w:numRestart w:val="eachSect"/>
          </w:footnotePr>
          <w:pgSz w:w="11909" w:h="16834"/>
          <w:pgMar w:top="1134" w:right="1417" w:bottom="1417" w:left="1417" w:header="1134" w:footer="567" w:gutter="0"/>
          <w:cols w:space="720"/>
        </w:sectPr>
      </w:pPr>
    </w:p>
    <w:p w14:paraId="628856FB" w14:textId="77777777" w:rsidR="008C3DE0" w:rsidRPr="00434E9D" w:rsidRDefault="008C3DE0" w:rsidP="00E96033">
      <w:pPr>
        <w:spacing w:line="360" w:lineRule="auto"/>
      </w:pPr>
    </w:p>
    <w:p w14:paraId="237DCD00" w14:textId="77777777" w:rsidR="008C3DE0" w:rsidRPr="00434E9D" w:rsidRDefault="000C5471" w:rsidP="00E96033">
      <w:pPr>
        <w:pStyle w:val="Normale"/>
        <w:jc w:val="center"/>
        <w:rPr>
          <w:lang w:val="fr-FR"/>
        </w:rPr>
      </w:pPr>
      <w:r w:rsidRPr="00434E9D">
        <w:rPr>
          <w:lang w:val="fr-FR"/>
        </w:rPr>
        <w:t>Annexe</w:t>
      </w:r>
      <w:r w:rsidR="008C3DE0" w:rsidRPr="00434E9D">
        <w:rPr>
          <w:lang w:val="fr-FR"/>
        </w:rPr>
        <w:t xml:space="preserve"> I</w:t>
      </w:r>
    </w:p>
    <w:p w14:paraId="2C2E4F78" w14:textId="77777777" w:rsidR="008C3DE0" w:rsidRPr="00434E9D" w:rsidRDefault="008C3DE0" w:rsidP="00E96033">
      <w:pPr>
        <w:pStyle w:val="Applicationdirecte"/>
        <w:rPr>
          <w:lang w:val="fr-FR"/>
        </w:rPr>
      </w:pPr>
      <w:r w:rsidRPr="00434E9D">
        <w:rPr>
          <w:lang w:val="fr-FR"/>
        </w:rPr>
        <w:t>L’annexe V de la directive 2000/60/CE est modifiée comme suit:</w:t>
      </w:r>
    </w:p>
    <w:p w14:paraId="07AB799A" w14:textId="77777777" w:rsidR="008C3DE0" w:rsidRPr="00434E9D" w:rsidRDefault="008C3DE0" w:rsidP="00E96033">
      <w:pPr>
        <w:spacing w:line="360" w:lineRule="auto"/>
        <w:ind w:left="850" w:hanging="850"/>
      </w:pPr>
      <w:r w:rsidRPr="00434E9D">
        <w:t>(1)</w:t>
      </w:r>
      <w:r w:rsidRPr="00434E9D">
        <w:tab/>
        <w:t>Les points 1.1.1 à 1.1.4 sont remplacés par le texte suivant:</w:t>
      </w:r>
    </w:p>
    <w:p w14:paraId="5864B59A" w14:textId="77777777" w:rsidR="008C3DE0" w:rsidRPr="00434E9D" w:rsidRDefault="008C3DE0" w:rsidP="00E96033">
      <w:pPr>
        <w:spacing w:line="360" w:lineRule="auto"/>
        <w:ind w:left="1416" w:hanging="566"/>
      </w:pPr>
      <w:r w:rsidRPr="00434E9D">
        <w:t>«1.1.1.</w:t>
      </w:r>
      <w:r w:rsidRPr="00434E9D">
        <w:tab/>
        <w:t>«Rivières</w:t>
      </w:r>
    </w:p>
    <w:p w14:paraId="2A97B8AD" w14:textId="77777777" w:rsidR="008C3DE0" w:rsidRPr="00434E9D" w:rsidRDefault="008C3DE0" w:rsidP="00E96033">
      <w:pPr>
        <w:spacing w:line="360" w:lineRule="auto"/>
        <w:ind w:left="1416"/>
      </w:pPr>
      <w:r w:rsidRPr="00434E9D">
        <w:t>Paramètres biologiques</w:t>
      </w:r>
    </w:p>
    <w:p w14:paraId="1994959F" w14:textId="77777777" w:rsidR="008C3DE0" w:rsidRPr="00434E9D" w:rsidRDefault="008C3DE0" w:rsidP="00E96033">
      <w:pPr>
        <w:spacing w:line="360" w:lineRule="auto"/>
        <w:ind w:left="1416"/>
      </w:pPr>
      <w:r w:rsidRPr="00434E9D">
        <w:t>Composition et abondance de la flore aquatique</w:t>
      </w:r>
    </w:p>
    <w:p w14:paraId="743CC741" w14:textId="77777777" w:rsidR="008C3DE0" w:rsidRPr="00434E9D" w:rsidRDefault="008C3DE0" w:rsidP="00E96033">
      <w:pPr>
        <w:spacing w:line="360" w:lineRule="auto"/>
        <w:ind w:left="1416"/>
      </w:pPr>
      <w:r w:rsidRPr="00434E9D">
        <w:t>Composition et abondance de la faune benthique invertébrée</w:t>
      </w:r>
    </w:p>
    <w:p w14:paraId="5AB5084A" w14:textId="77777777" w:rsidR="008C3DE0" w:rsidRPr="00434E9D" w:rsidRDefault="008C3DE0" w:rsidP="00E96033">
      <w:pPr>
        <w:spacing w:line="360" w:lineRule="auto"/>
        <w:ind w:left="1416"/>
      </w:pPr>
      <w:r w:rsidRPr="00434E9D">
        <w:t>Composition, abondance et structure de l’âge de l’ichtyofaune</w:t>
      </w:r>
    </w:p>
    <w:p w14:paraId="6E0BEC80" w14:textId="77777777" w:rsidR="008C3DE0" w:rsidRPr="00434E9D" w:rsidRDefault="008C3DE0" w:rsidP="00E96033">
      <w:pPr>
        <w:spacing w:line="360" w:lineRule="auto"/>
        <w:ind w:left="1416"/>
      </w:pPr>
      <w:r w:rsidRPr="00434E9D">
        <w:t>Paramètres hydromorphologiques soutenant les paramètres biologiques</w:t>
      </w:r>
    </w:p>
    <w:p w14:paraId="5A7CE0BC" w14:textId="77777777" w:rsidR="008C3DE0" w:rsidRPr="00434E9D" w:rsidRDefault="008C3DE0" w:rsidP="00E96033">
      <w:pPr>
        <w:spacing w:line="360" w:lineRule="auto"/>
        <w:ind w:left="850"/>
      </w:pPr>
      <w:r w:rsidRPr="00434E9D">
        <w:t>Régime hydrologique:</w:t>
      </w:r>
    </w:p>
    <w:p w14:paraId="03C67E6B" w14:textId="77777777" w:rsidR="008C3DE0" w:rsidRPr="00434E9D" w:rsidRDefault="008C3DE0" w:rsidP="00E96033">
      <w:pPr>
        <w:spacing w:line="360" w:lineRule="auto"/>
        <w:ind w:left="1416"/>
      </w:pPr>
      <w:r w:rsidRPr="00434E9D">
        <w:t>quantité et dynamique du débit d’eau</w:t>
      </w:r>
    </w:p>
    <w:p w14:paraId="70EC747C" w14:textId="77777777" w:rsidR="008C3DE0" w:rsidRPr="00434E9D" w:rsidRDefault="008C3DE0" w:rsidP="00E96033">
      <w:pPr>
        <w:spacing w:line="360" w:lineRule="auto"/>
        <w:ind w:left="1416"/>
      </w:pPr>
      <w:r w:rsidRPr="00434E9D">
        <w:t>connexion aux masses d’eau souterraine</w:t>
      </w:r>
    </w:p>
    <w:p w14:paraId="3A3D99EE" w14:textId="77777777" w:rsidR="008C3DE0" w:rsidRPr="00434E9D" w:rsidRDefault="008C3DE0" w:rsidP="00E96033">
      <w:pPr>
        <w:spacing w:line="360" w:lineRule="auto"/>
        <w:ind w:left="1416"/>
      </w:pPr>
      <w:r w:rsidRPr="00434E9D">
        <w:t>Continuité de la rivière</w:t>
      </w:r>
    </w:p>
    <w:p w14:paraId="6847140E" w14:textId="77777777" w:rsidR="000C5471" w:rsidRPr="00434E9D" w:rsidRDefault="000C5471">
      <w:pPr>
        <w:widowControl/>
      </w:pPr>
      <w:r w:rsidRPr="00434E9D">
        <w:br w:type="page"/>
      </w:r>
    </w:p>
    <w:p w14:paraId="09D939B3" w14:textId="77777777" w:rsidR="008C3DE0" w:rsidRPr="00434E9D" w:rsidRDefault="008C3DE0" w:rsidP="00E96033">
      <w:pPr>
        <w:spacing w:line="360" w:lineRule="auto"/>
        <w:ind w:left="850"/>
      </w:pPr>
      <w:r w:rsidRPr="00434E9D">
        <w:lastRenderedPageBreak/>
        <w:t>Conditions morphologiques:</w:t>
      </w:r>
    </w:p>
    <w:p w14:paraId="6D874EFB" w14:textId="77777777" w:rsidR="008C3DE0" w:rsidRPr="00434E9D" w:rsidRDefault="008C3DE0" w:rsidP="00E96033">
      <w:pPr>
        <w:spacing w:line="360" w:lineRule="auto"/>
        <w:ind w:left="1416"/>
      </w:pPr>
      <w:r w:rsidRPr="00434E9D">
        <w:t>variation de la profondeur et de la largeur de la rivière</w:t>
      </w:r>
    </w:p>
    <w:p w14:paraId="7AEDF3E8" w14:textId="77777777" w:rsidR="008C3DE0" w:rsidRPr="00434E9D" w:rsidRDefault="008C3DE0" w:rsidP="00E96033">
      <w:pPr>
        <w:spacing w:line="360" w:lineRule="auto"/>
        <w:ind w:left="1416"/>
      </w:pPr>
      <w:r w:rsidRPr="00434E9D">
        <w:t>structure et substrat du lit</w:t>
      </w:r>
    </w:p>
    <w:p w14:paraId="15B30DE2" w14:textId="77777777" w:rsidR="008C3DE0" w:rsidRPr="00434E9D" w:rsidRDefault="008C3DE0" w:rsidP="00E96033">
      <w:pPr>
        <w:spacing w:line="360" w:lineRule="auto"/>
        <w:ind w:left="1416"/>
      </w:pPr>
      <w:r w:rsidRPr="00434E9D">
        <w:t>structure de la rive</w:t>
      </w:r>
    </w:p>
    <w:p w14:paraId="112861A9" w14:textId="77777777" w:rsidR="008C3DE0" w:rsidRPr="00434E9D" w:rsidRDefault="008C3DE0" w:rsidP="00E96033">
      <w:pPr>
        <w:spacing w:line="360" w:lineRule="auto"/>
        <w:ind w:left="1416"/>
      </w:pPr>
      <w:r w:rsidRPr="00434E9D">
        <w:t>Paramètres physico-chimiques généraux soutenant les paramètres biologiques</w:t>
      </w:r>
    </w:p>
    <w:p w14:paraId="5537399B" w14:textId="77777777" w:rsidR="008C3DE0" w:rsidRPr="00434E9D" w:rsidRDefault="008C3DE0" w:rsidP="00E96033">
      <w:pPr>
        <w:spacing w:line="360" w:lineRule="auto"/>
        <w:ind w:left="1416"/>
      </w:pPr>
      <w:r w:rsidRPr="00434E9D">
        <w:t>Température de l’eau</w:t>
      </w:r>
    </w:p>
    <w:p w14:paraId="42A9C567" w14:textId="77777777" w:rsidR="008C3DE0" w:rsidRPr="00434E9D" w:rsidRDefault="008C3DE0" w:rsidP="00E96033">
      <w:pPr>
        <w:spacing w:line="360" w:lineRule="auto"/>
        <w:ind w:left="1416"/>
      </w:pPr>
      <w:r w:rsidRPr="00434E9D">
        <w:t>Bilan d’oxygène</w:t>
      </w:r>
    </w:p>
    <w:p w14:paraId="0606CEF2" w14:textId="77777777" w:rsidR="008C3DE0" w:rsidRPr="00434E9D" w:rsidRDefault="008C3DE0" w:rsidP="00E96033">
      <w:pPr>
        <w:spacing w:line="360" w:lineRule="auto"/>
        <w:ind w:left="1416"/>
      </w:pPr>
      <w:r w:rsidRPr="00434E9D">
        <w:t>Salinité</w:t>
      </w:r>
    </w:p>
    <w:p w14:paraId="4E3DDB2D" w14:textId="77777777" w:rsidR="008C3DE0" w:rsidRPr="00434E9D" w:rsidRDefault="008C3DE0" w:rsidP="00E96033">
      <w:pPr>
        <w:spacing w:line="360" w:lineRule="auto"/>
        <w:ind w:left="1416"/>
      </w:pPr>
      <w:r w:rsidRPr="00434E9D">
        <w:t>État d’acidification</w:t>
      </w:r>
    </w:p>
    <w:p w14:paraId="360E2F34" w14:textId="77777777" w:rsidR="008C3DE0" w:rsidRPr="00434E9D" w:rsidRDefault="008C3DE0" w:rsidP="00E96033">
      <w:pPr>
        <w:spacing w:line="360" w:lineRule="auto"/>
        <w:ind w:left="1416"/>
      </w:pPr>
      <w:r w:rsidRPr="00434E9D">
        <w:t>Concentration en nutriments</w:t>
      </w:r>
    </w:p>
    <w:p w14:paraId="5935C045" w14:textId="77777777" w:rsidR="008C3DE0" w:rsidRPr="00434E9D" w:rsidRDefault="008C3DE0" w:rsidP="00E96033">
      <w:pPr>
        <w:spacing w:line="360" w:lineRule="auto"/>
        <w:ind w:left="1416" w:hanging="566"/>
      </w:pPr>
      <w:r w:rsidRPr="00434E9D">
        <w:t>1.1.2.</w:t>
      </w:r>
      <w:r w:rsidRPr="00434E9D">
        <w:tab/>
        <w:t xml:space="preserve"> Lacs</w:t>
      </w:r>
    </w:p>
    <w:p w14:paraId="7E1E03DC" w14:textId="77777777" w:rsidR="008C3DE0" w:rsidRPr="00434E9D" w:rsidRDefault="008C3DE0" w:rsidP="00E96033">
      <w:pPr>
        <w:spacing w:line="360" w:lineRule="auto"/>
        <w:ind w:left="1416"/>
      </w:pPr>
      <w:r w:rsidRPr="00434E9D">
        <w:t>Paramètres biologiques</w:t>
      </w:r>
    </w:p>
    <w:p w14:paraId="6087053B" w14:textId="77777777" w:rsidR="000C5471" w:rsidRPr="00434E9D" w:rsidRDefault="000C5471">
      <w:pPr>
        <w:widowControl/>
      </w:pPr>
      <w:r w:rsidRPr="00434E9D">
        <w:br w:type="page"/>
      </w:r>
    </w:p>
    <w:p w14:paraId="36E0A172" w14:textId="77777777" w:rsidR="008C3DE0" w:rsidRPr="00434E9D" w:rsidRDefault="008C3DE0" w:rsidP="00E96033">
      <w:pPr>
        <w:spacing w:line="360" w:lineRule="auto"/>
        <w:ind w:left="1416"/>
      </w:pPr>
      <w:r w:rsidRPr="00434E9D">
        <w:lastRenderedPageBreak/>
        <w:t>Composition, abondance et biomasse du phytoplancton</w:t>
      </w:r>
    </w:p>
    <w:p w14:paraId="629E534D" w14:textId="77777777" w:rsidR="008C3DE0" w:rsidRPr="00434E9D" w:rsidRDefault="008C3DE0" w:rsidP="00E96033">
      <w:pPr>
        <w:spacing w:line="360" w:lineRule="auto"/>
        <w:ind w:left="1416"/>
      </w:pPr>
      <w:r w:rsidRPr="00434E9D">
        <w:t>Composition et abondance de la flore aquatique (autre que le phytoplancton)</w:t>
      </w:r>
    </w:p>
    <w:p w14:paraId="6EEE9659" w14:textId="77777777" w:rsidR="008C3DE0" w:rsidRPr="00434E9D" w:rsidRDefault="008C3DE0" w:rsidP="00E96033">
      <w:pPr>
        <w:spacing w:line="360" w:lineRule="auto"/>
        <w:ind w:left="1416"/>
      </w:pPr>
      <w:r w:rsidRPr="00434E9D">
        <w:t>Composition et abondance de la faune benthique invertébrée</w:t>
      </w:r>
    </w:p>
    <w:p w14:paraId="520ACB51" w14:textId="77777777" w:rsidR="008C3DE0" w:rsidRPr="00434E9D" w:rsidRDefault="008C3DE0" w:rsidP="00E96033">
      <w:pPr>
        <w:spacing w:line="360" w:lineRule="auto"/>
        <w:ind w:left="1416"/>
      </w:pPr>
      <w:r w:rsidRPr="00434E9D">
        <w:t>Composition, abondance et structure de l’âge de l’ichtyofaune</w:t>
      </w:r>
    </w:p>
    <w:p w14:paraId="0326CD5A" w14:textId="77777777" w:rsidR="008C3DE0" w:rsidRPr="00434E9D" w:rsidRDefault="008C3DE0" w:rsidP="00E96033">
      <w:pPr>
        <w:spacing w:line="360" w:lineRule="auto"/>
        <w:ind w:left="1416"/>
      </w:pPr>
      <w:r w:rsidRPr="00434E9D">
        <w:t>Paramètres hydromorphologiques soutenant les paramètres biologiques</w:t>
      </w:r>
    </w:p>
    <w:p w14:paraId="02A0B0E5" w14:textId="77777777" w:rsidR="008C3DE0" w:rsidRPr="00434E9D" w:rsidRDefault="008C3DE0" w:rsidP="00E96033">
      <w:pPr>
        <w:spacing w:line="360" w:lineRule="auto"/>
        <w:ind w:left="850"/>
      </w:pPr>
      <w:r w:rsidRPr="00434E9D">
        <w:t>Régime hydrologique:</w:t>
      </w:r>
    </w:p>
    <w:p w14:paraId="69AEE156" w14:textId="77777777" w:rsidR="008C3DE0" w:rsidRPr="00434E9D" w:rsidRDefault="008C3DE0" w:rsidP="00E96033">
      <w:pPr>
        <w:spacing w:line="360" w:lineRule="auto"/>
        <w:ind w:left="1416"/>
      </w:pPr>
      <w:r w:rsidRPr="00434E9D">
        <w:t>quantité et dynamique du débit d’eau</w:t>
      </w:r>
    </w:p>
    <w:p w14:paraId="75078E28" w14:textId="77777777" w:rsidR="008C3DE0" w:rsidRPr="00434E9D" w:rsidRDefault="008C3DE0" w:rsidP="00E96033">
      <w:pPr>
        <w:spacing w:line="360" w:lineRule="auto"/>
        <w:ind w:left="1416"/>
      </w:pPr>
      <w:r w:rsidRPr="00434E9D">
        <w:t>temps de résidence</w:t>
      </w:r>
    </w:p>
    <w:p w14:paraId="3DE578A3" w14:textId="77777777" w:rsidR="008C3DE0" w:rsidRPr="00434E9D" w:rsidRDefault="008C3DE0" w:rsidP="00E96033">
      <w:pPr>
        <w:spacing w:line="360" w:lineRule="auto"/>
        <w:ind w:left="1416"/>
      </w:pPr>
      <w:r w:rsidRPr="00434E9D">
        <w:t>connexion à la masse d’eau souterraine</w:t>
      </w:r>
    </w:p>
    <w:p w14:paraId="2751D278" w14:textId="77777777" w:rsidR="008C3DE0" w:rsidRPr="00434E9D" w:rsidRDefault="008C3DE0" w:rsidP="00E96033">
      <w:pPr>
        <w:spacing w:line="360" w:lineRule="auto"/>
        <w:ind w:left="850"/>
      </w:pPr>
      <w:r w:rsidRPr="00434E9D">
        <w:t>Conditions morphologiques:</w:t>
      </w:r>
    </w:p>
    <w:p w14:paraId="0904037D" w14:textId="77777777" w:rsidR="008C3DE0" w:rsidRPr="00434E9D" w:rsidRDefault="008C3DE0" w:rsidP="00E96033">
      <w:pPr>
        <w:spacing w:line="360" w:lineRule="auto"/>
        <w:ind w:left="1416"/>
      </w:pPr>
      <w:r w:rsidRPr="00434E9D">
        <w:t>variation de la profondeur du lac</w:t>
      </w:r>
    </w:p>
    <w:p w14:paraId="7A06873B" w14:textId="77777777" w:rsidR="008C3DE0" w:rsidRPr="00434E9D" w:rsidRDefault="008C3DE0" w:rsidP="00E96033">
      <w:pPr>
        <w:spacing w:line="360" w:lineRule="auto"/>
        <w:ind w:left="1416"/>
      </w:pPr>
      <w:r w:rsidRPr="00434E9D">
        <w:t>quantité, structure et substrat du lit</w:t>
      </w:r>
    </w:p>
    <w:p w14:paraId="677EE4CF" w14:textId="77777777" w:rsidR="008C3DE0" w:rsidRPr="00434E9D" w:rsidRDefault="008C3DE0" w:rsidP="00E96033">
      <w:pPr>
        <w:spacing w:line="360" w:lineRule="auto"/>
        <w:ind w:left="1416"/>
      </w:pPr>
      <w:r w:rsidRPr="00434E9D">
        <w:t>structure de la rive</w:t>
      </w:r>
    </w:p>
    <w:p w14:paraId="0A1CB524" w14:textId="77777777" w:rsidR="000C5471" w:rsidRPr="00434E9D" w:rsidRDefault="000C5471">
      <w:pPr>
        <w:widowControl/>
      </w:pPr>
      <w:r w:rsidRPr="00434E9D">
        <w:br w:type="page"/>
      </w:r>
    </w:p>
    <w:p w14:paraId="0A5DD4B0" w14:textId="77777777" w:rsidR="008C3DE0" w:rsidRPr="00434E9D" w:rsidRDefault="008C3DE0" w:rsidP="00E96033">
      <w:pPr>
        <w:spacing w:line="360" w:lineRule="auto"/>
        <w:ind w:left="1416"/>
      </w:pPr>
      <w:r w:rsidRPr="00434E9D">
        <w:lastRenderedPageBreak/>
        <w:t>Paramètres physico-chimiques généraux soutenant les paramètres biologiques</w:t>
      </w:r>
    </w:p>
    <w:p w14:paraId="4CB516AA" w14:textId="77777777" w:rsidR="008C3DE0" w:rsidRPr="00434E9D" w:rsidRDefault="008C3DE0" w:rsidP="00E96033">
      <w:pPr>
        <w:spacing w:line="360" w:lineRule="auto"/>
        <w:ind w:left="1416"/>
      </w:pPr>
      <w:r w:rsidRPr="00434E9D">
        <w:t>Transparence</w:t>
      </w:r>
    </w:p>
    <w:p w14:paraId="5A335079" w14:textId="77777777" w:rsidR="008C3DE0" w:rsidRPr="00434E9D" w:rsidRDefault="008C3DE0" w:rsidP="00E96033">
      <w:pPr>
        <w:spacing w:line="360" w:lineRule="auto"/>
        <w:ind w:left="1416"/>
      </w:pPr>
      <w:r w:rsidRPr="00434E9D">
        <w:t>Température de l’eau</w:t>
      </w:r>
    </w:p>
    <w:p w14:paraId="7DA30E31" w14:textId="77777777" w:rsidR="008C3DE0" w:rsidRPr="00434E9D" w:rsidRDefault="008C3DE0" w:rsidP="00E96033">
      <w:pPr>
        <w:spacing w:line="360" w:lineRule="auto"/>
        <w:ind w:left="1416"/>
      </w:pPr>
      <w:r w:rsidRPr="00434E9D">
        <w:t>Bilan d’oxygène</w:t>
      </w:r>
    </w:p>
    <w:p w14:paraId="73645EA4" w14:textId="77777777" w:rsidR="008C3DE0" w:rsidRPr="00434E9D" w:rsidRDefault="008C3DE0" w:rsidP="00E96033">
      <w:pPr>
        <w:spacing w:line="360" w:lineRule="auto"/>
        <w:ind w:left="1416"/>
      </w:pPr>
      <w:r w:rsidRPr="00434E9D">
        <w:t>Salinité</w:t>
      </w:r>
    </w:p>
    <w:p w14:paraId="6C8FA8B2" w14:textId="77777777" w:rsidR="008C3DE0" w:rsidRPr="00434E9D" w:rsidRDefault="008C3DE0" w:rsidP="00E96033">
      <w:pPr>
        <w:spacing w:line="360" w:lineRule="auto"/>
        <w:ind w:left="1416"/>
      </w:pPr>
      <w:r w:rsidRPr="00434E9D">
        <w:t>État d’acidification</w:t>
      </w:r>
    </w:p>
    <w:p w14:paraId="5E479CE3" w14:textId="77777777" w:rsidR="008C3DE0" w:rsidRPr="00434E9D" w:rsidRDefault="008C3DE0" w:rsidP="00E96033">
      <w:pPr>
        <w:spacing w:line="360" w:lineRule="auto"/>
        <w:ind w:left="1416"/>
      </w:pPr>
      <w:r w:rsidRPr="00434E9D">
        <w:t>Concentration en nutriments</w:t>
      </w:r>
    </w:p>
    <w:p w14:paraId="7C5AA3C7" w14:textId="77777777" w:rsidR="008C3DE0" w:rsidRPr="00434E9D" w:rsidRDefault="008C3DE0" w:rsidP="00E96033">
      <w:pPr>
        <w:spacing w:line="360" w:lineRule="auto"/>
        <w:ind w:left="1416" w:hanging="566"/>
      </w:pPr>
      <w:r w:rsidRPr="00434E9D">
        <w:t>1.1.3.</w:t>
      </w:r>
      <w:r w:rsidRPr="00434E9D">
        <w:tab/>
        <w:t>Eaux de transition</w:t>
      </w:r>
    </w:p>
    <w:p w14:paraId="3C49F80A" w14:textId="77777777" w:rsidR="008C3DE0" w:rsidRPr="00434E9D" w:rsidRDefault="008C3DE0" w:rsidP="00E96033">
      <w:pPr>
        <w:spacing w:line="360" w:lineRule="auto"/>
        <w:ind w:left="1416"/>
      </w:pPr>
      <w:r w:rsidRPr="00434E9D">
        <w:t>Paramètres biologiques</w:t>
      </w:r>
    </w:p>
    <w:p w14:paraId="7CBD5D17" w14:textId="77777777" w:rsidR="008C3DE0" w:rsidRPr="00434E9D" w:rsidRDefault="008C3DE0" w:rsidP="00E96033">
      <w:pPr>
        <w:spacing w:line="360" w:lineRule="auto"/>
        <w:ind w:left="1416"/>
      </w:pPr>
      <w:r w:rsidRPr="00434E9D">
        <w:t>Composition, abondance et biomasse du phytoplancton</w:t>
      </w:r>
    </w:p>
    <w:p w14:paraId="07A923CF" w14:textId="77777777" w:rsidR="008C3DE0" w:rsidRPr="00434E9D" w:rsidRDefault="008C3DE0" w:rsidP="00E96033">
      <w:pPr>
        <w:spacing w:line="360" w:lineRule="auto"/>
        <w:ind w:left="1416"/>
      </w:pPr>
      <w:r w:rsidRPr="00434E9D">
        <w:t>Composition et abondance de la flore aquatique (autre que le phytoplancton)</w:t>
      </w:r>
    </w:p>
    <w:p w14:paraId="7ECF77C4" w14:textId="77777777" w:rsidR="008C3DE0" w:rsidRPr="00434E9D" w:rsidRDefault="008C3DE0" w:rsidP="00E96033">
      <w:pPr>
        <w:spacing w:line="360" w:lineRule="auto"/>
        <w:ind w:left="1416"/>
      </w:pPr>
      <w:r w:rsidRPr="00434E9D">
        <w:t>Composition et abondance de la faune benthique invertébrée</w:t>
      </w:r>
    </w:p>
    <w:p w14:paraId="7832838D" w14:textId="77777777" w:rsidR="008C3DE0" w:rsidRPr="00434E9D" w:rsidRDefault="008C3DE0" w:rsidP="00E96033">
      <w:pPr>
        <w:spacing w:line="360" w:lineRule="auto"/>
        <w:ind w:left="1416"/>
      </w:pPr>
      <w:r w:rsidRPr="00434E9D">
        <w:t>Composition et abondance de l’ichtyofaune</w:t>
      </w:r>
    </w:p>
    <w:p w14:paraId="44EDA10C" w14:textId="77777777" w:rsidR="000C5471" w:rsidRPr="00434E9D" w:rsidRDefault="000C5471">
      <w:pPr>
        <w:widowControl/>
      </w:pPr>
      <w:r w:rsidRPr="00434E9D">
        <w:br w:type="page"/>
      </w:r>
    </w:p>
    <w:p w14:paraId="6B4827B1" w14:textId="77777777" w:rsidR="008C3DE0" w:rsidRPr="00434E9D" w:rsidRDefault="008C3DE0" w:rsidP="00E96033">
      <w:pPr>
        <w:spacing w:line="360" w:lineRule="auto"/>
        <w:ind w:left="1416"/>
      </w:pPr>
      <w:r w:rsidRPr="00434E9D">
        <w:lastRenderedPageBreak/>
        <w:t>Paramètres hydromorphologiques soutenant les paramètres biologiques</w:t>
      </w:r>
    </w:p>
    <w:p w14:paraId="4A27A570" w14:textId="77777777" w:rsidR="008C3DE0" w:rsidRPr="00434E9D" w:rsidRDefault="008C3DE0" w:rsidP="00E96033">
      <w:pPr>
        <w:spacing w:line="360" w:lineRule="auto"/>
        <w:ind w:left="850"/>
      </w:pPr>
      <w:r w:rsidRPr="00434E9D">
        <w:t>Conditions morphologiques:</w:t>
      </w:r>
    </w:p>
    <w:p w14:paraId="6E02A881" w14:textId="77777777" w:rsidR="008C3DE0" w:rsidRPr="00434E9D" w:rsidRDefault="008C3DE0" w:rsidP="00E96033">
      <w:pPr>
        <w:spacing w:line="360" w:lineRule="auto"/>
        <w:ind w:left="1416"/>
      </w:pPr>
      <w:r w:rsidRPr="00434E9D">
        <w:t>variations de la profondeur</w:t>
      </w:r>
    </w:p>
    <w:p w14:paraId="77074F80" w14:textId="77777777" w:rsidR="008C3DE0" w:rsidRPr="00434E9D" w:rsidRDefault="008C3DE0" w:rsidP="00E96033">
      <w:pPr>
        <w:spacing w:line="360" w:lineRule="auto"/>
        <w:ind w:left="1416"/>
      </w:pPr>
      <w:r w:rsidRPr="00434E9D">
        <w:t>quantité, structure et substrat du lit</w:t>
      </w:r>
    </w:p>
    <w:p w14:paraId="6E81DE67" w14:textId="77777777" w:rsidR="008C3DE0" w:rsidRPr="00434E9D" w:rsidRDefault="008C3DE0" w:rsidP="00E96033">
      <w:pPr>
        <w:spacing w:line="360" w:lineRule="auto"/>
        <w:ind w:left="1416"/>
      </w:pPr>
      <w:r w:rsidRPr="00434E9D">
        <w:t>structure de la zone intertidale</w:t>
      </w:r>
    </w:p>
    <w:p w14:paraId="073E0DD5" w14:textId="77777777" w:rsidR="008C3DE0" w:rsidRPr="00434E9D" w:rsidRDefault="008C3DE0" w:rsidP="00E96033">
      <w:pPr>
        <w:spacing w:line="360" w:lineRule="auto"/>
        <w:ind w:left="850"/>
      </w:pPr>
      <w:r w:rsidRPr="00434E9D">
        <w:t>Régime des marées:</w:t>
      </w:r>
    </w:p>
    <w:p w14:paraId="72A553F5" w14:textId="77777777" w:rsidR="008C3DE0" w:rsidRPr="00434E9D" w:rsidRDefault="008C3DE0" w:rsidP="00E96033">
      <w:pPr>
        <w:spacing w:line="360" w:lineRule="auto"/>
        <w:ind w:left="1416"/>
      </w:pPr>
      <w:r w:rsidRPr="00434E9D">
        <w:t>débit d’eau douce</w:t>
      </w:r>
    </w:p>
    <w:p w14:paraId="4B92C4F4" w14:textId="77777777" w:rsidR="008C3DE0" w:rsidRPr="00434E9D" w:rsidRDefault="008C3DE0" w:rsidP="00E96033">
      <w:pPr>
        <w:spacing w:line="360" w:lineRule="auto"/>
        <w:ind w:left="1416"/>
      </w:pPr>
      <w:r w:rsidRPr="00434E9D">
        <w:t>exposition aux vagues</w:t>
      </w:r>
    </w:p>
    <w:p w14:paraId="589AB4A8" w14:textId="77777777" w:rsidR="008C3DE0" w:rsidRPr="00434E9D" w:rsidRDefault="008C3DE0" w:rsidP="00E96033">
      <w:pPr>
        <w:spacing w:line="360" w:lineRule="auto"/>
        <w:ind w:left="1416"/>
      </w:pPr>
      <w:r w:rsidRPr="00434E9D">
        <w:t>Paramètres physico-chimiques généraux soutenant les paramètres biologiques</w:t>
      </w:r>
    </w:p>
    <w:p w14:paraId="42118013" w14:textId="77777777" w:rsidR="008C3DE0" w:rsidRPr="00434E9D" w:rsidRDefault="008C3DE0" w:rsidP="00E96033">
      <w:pPr>
        <w:spacing w:line="360" w:lineRule="auto"/>
        <w:ind w:left="1416"/>
      </w:pPr>
      <w:r w:rsidRPr="00434E9D">
        <w:t>Transparence</w:t>
      </w:r>
    </w:p>
    <w:p w14:paraId="346B3A16" w14:textId="77777777" w:rsidR="008C3DE0" w:rsidRPr="00434E9D" w:rsidRDefault="008C3DE0" w:rsidP="00E96033">
      <w:pPr>
        <w:spacing w:line="360" w:lineRule="auto"/>
        <w:ind w:left="1416"/>
      </w:pPr>
      <w:r w:rsidRPr="00434E9D">
        <w:t>Température</w:t>
      </w:r>
    </w:p>
    <w:p w14:paraId="10A02806" w14:textId="77777777" w:rsidR="008C3DE0" w:rsidRPr="00434E9D" w:rsidRDefault="008C3DE0" w:rsidP="00E96033">
      <w:pPr>
        <w:spacing w:line="360" w:lineRule="auto"/>
        <w:ind w:left="1416"/>
      </w:pPr>
      <w:r w:rsidRPr="00434E9D">
        <w:t>Bilan d’oxygène</w:t>
      </w:r>
    </w:p>
    <w:p w14:paraId="6B2C3356" w14:textId="77777777" w:rsidR="000C5471" w:rsidRPr="00434E9D" w:rsidRDefault="000C5471">
      <w:pPr>
        <w:widowControl/>
      </w:pPr>
      <w:r w:rsidRPr="00434E9D">
        <w:br w:type="page"/>
      </w:r>
    </w:p>
    <w:p w14:paraId="19BA5D2F" w14:textId="77777777" w:rsidR="008C3DE0" w:rsidRPr="00434E9D" w:rsidRDefault="008C3DE0" w:rsidP="00E96033">
      <w:pPr>
        <w:spacing w:line="360" w:lineRule="auto"/>
        <w:ind w:left="1416"/>
      </w:pPr>
      <w:r w:rsidRPr="00434E9D">
        <w:lastRenderedPageBreak/>
        <w:t>Salinité</w:t>
      </w:r>
    </w:p>
    <w:p w14:paraId="1D95A021" w14:textId="77777777" w:rsidR="008C3DE0" w:rsidRPr="00434E9D" w:rsidRDefault="008C3DE0" w:rsidP="00E96033">
      <w:pPr>
        <w:spacing w:line="360" w:lineRule="auto"/>
        <w:ind w:left="1416"/>
      </w:pPr>
      <w:r w:rsidRPr="00434E9D">
        <w:t>Concentration en nutriments</w:t>
      </w:r>
    </w:p>
    <w:p w14:paraId="102CD37B" w14:textId="77777777" w:rsidR="008C3DE0" w:rsidRPr="00434E9D" w:rsidRDefault="008C3DE0" w:rsidP="00E96033">
      <w:pPr>
        <w:spacing w:line="360" w:lineRule="auto"/>
        <w:ind w:left="1416" w:hanging="566"/>
      </w:pPr>
      <w:r w:rsidRPr="00434E9D">
        <w:t>1.1.4.</w:t>
      </w:r>
      <w:r w:rsidRPr="00434E9D">
        <w:tab/>
        <w:t xml:space="preserve"> Eaux côtières</w:t>
      </w:r>
    </w:p>
    <w:p w14:paraId="22B9BFB8" w14:textId="77777777" w:rsidR="008C3DE0" w:rsidRPr="00434E9D" w:rsidRDefault="008C3DE0" w:rsidP="00E96033">
      <w:pPr>
        <w:spacing w:line="360" w:lineRule="auto"/>
        <w:ind w:left="1416"/>
      </w:pPr>
      <w:r w:rsidRPr="00434E9D">
        <w:t>Paramètres biologiques</w:t>
      </w:r>
    </w:p>
    <w:p w14:paraId="4AFCCBDC" w14:textId="77777777" w:rsidR="008C3DE0" w:rsidRPr="00434E9D" w:rsidRDefault="008C3DE0" w:rsidP="00E96033">
      <w:pPr>
        <w:spacing w:line="360" w:lineRule="auto"/>
        <w:ind w:left="1416"/>
      </w:pPr>
      <w:r w:rsidRPr="00434E9D">
        <w:t>Composition, abondance et biomasse du phytoplancton</w:t>
      </w:r>
    </w:p>
    <w:p w14:paraId="5F25A4D7" w14:textId="77777777" w:rsidR="008C3DE0" w:rsidRPr="00434E9D" w:rsidRDefault="008C3DE0" w:rsidP="00E96033">
      <w:pPr>
        <w:spacing w:line="360" w:lineRule="auto"/>
        <w:ind w:left="1416"/>
      </w:pPr>
      <w:r w:rsidRPr="00434E9D">
        <w:t>Composition et abondance de la flore aquatique (autre que le phytoplancton)</w:t>
      </w:r>
    </w:p>
    <w:p w14:paraId="4231B7DA" w14:textId="77777777" w:rsidR="008C3DE0" w:rsidRPr="00434E9D" w:rsidRDefault="008C3DE0" w:rsidP="00E96033">
      <w:pPr>
        <w:spacing w:line="360" w:lineRule="auto"/>
        <w:ind w:left="1416"/>
      </w:pPr>
      <w:r w:rsidRPr="00434E9D">
        <w:t>Composition et abondance de la faune benthique invertébrée</w:t>
      </w:r>
    </w:p>
    <w:p w14:paraId="086707AE" w14:textId="77777777" w:rsidR="008C3DE0" w:rsidRPr="00434E9D" w:rsidRDefault="008C3DE0" w:rsidP="00E96033">
      <w:pPr>
        <w:spacing w:line="360" w:lineRule="auto"/>
        <w:ind w:left="1416"/>
      </w:pPr>
      <w:r w:rsidRPr="00434E9D">
        <w:t>Paramètres hydromorphologiques soutenant les paramètres biologiques</w:t>
      </w:r>
    </w:p>
    <w:p w14:paraId="739E5DBF" w14:textId="77777777" w:rsidR="008C3DE0" w:rsidRPr="00434E9D" w:rsidRDefault="008C3DE0" w:rsidP="00E96033">
      <w:pPr>
        <w:spacing w:line="360" w:lineRule="auto"/>
        <w:ind w:left="850"/>
      </w:pPr>
      <w:r w:rsidRPr="00434E9D">
        <w:t>Conditions morphologiques:</w:t>
      </w:r>
    </w:p>
    <w:p w14:paraId="1D7F69CA" w14:textId="77777777" w:rsidR="008C3DE0" w:rsidRPr="00434E9D" w:rsidRDefault="008C3DE0" w:rsidP="00E96033">
      <w:pPr>
        <w:spacing w:line="360" w:lineRule="auto"/>
        <w:ind w:left="1416"/>
      </w:pPr>
      <w:r w:rsidRPr="00434E9D">
        <w:t>variations de la profondeur</w:t>
      </w:r>
    </w:p>
    <w:p w14:paraId="3C0A3889" w14:textId="77777777" w:rsidR="008C3DE0" w:rsidRPr="00434E9D" w:rsidRDefault="008C3DE0" w:rsidP="00E96033">
      <w:pPr>
        <w:spacing w:line="360" w:lineRule="auto"/>
        <w:ind w:left="1416"/>
      </w:pPr>
      <w:r w:rsidRPr="00434E9D">
        <w:t>structure et substrat de la côte</w:t>
      </w:r>
    </w:p>
    <w:p w14:paraId="6F27A48D" w14:textId="77777777" w:rsidR="008C3DE0" w:rsidRPr="00434E9D" w:rsidRDefault="008C3DE0" w:rsidP="00E96033">
      <w:pPr>
        <w:spacing w:line="360" w:lineRule="auto"/>
        <w:ind w:left="1416"/>
      </w:pPr>
      <w:r w:rsidRPr="00434E9D">
        <w:t>structure de la zone intertidale</w:t>
      </w:r>
    </w:p>
    <w:p w14:paraId="5EE0ABAF" w14:textId="77777777" w:rsidR="000C5471" w:rsidRPr="00434E9D" w:rsidRDefault="000C5471">
      <w:pPr>
        <w:widowControl/>
      </w:pPr>
      <w:r w:rsidRPr="00434E9D">
        <w:br w:type="page"/>
      </w:r>
    </w:p>
    <w:p w14:paraId="6C273928" w14:textId="77777777" w:rsidR="008C3DE0" w:rsidRPr="00434E9D" w:rsidRDefault="008C3DE0" w:rsidP="00E96033">
      <w:pPr>
        <w:spacing w:line="360" w:lineRule="auto"/>
        <w:ind w:left="850"/>
      </w:pPr>
      <w:r w:rsidRPr="00434E9D">
        <w:lastRenderedPageBreak/>
        <w:t>Régime des marées:</w:t>
      </w:r>
    </w:p>
    <w:p w14:paraId="37C8928B" w14:textId="77777777" w:rsidR="008C3DE0" w:rsidRPr="00434E9D" w:rsidRDefault="008C3DE0" w:rsidP="00E96033">
      <w:pPr>
        <w:spacing w:line="360" w:lineRule="auto"/>
        <w:ind w:left="1416"/>
      </w:pPr>
      <w:r w:rsidRPr="00434E9D">
        <w:t>direction des courants dominants</w:t>
      </w:r>
    </w:p>
    <w:p w14:paraId="24AA9E43" w14:textId="77777777" w:rsidR="008C3DE0" w:rsidRPr="00434E9D" w:rsidRDefault="008C3DE0" w:rsidP="00E96033">
      <w:pPr>
        <w:spacing w:line="360" w:lineRule="auto"/>
        <w:ind w:left="1416"/>
      </w:pPr>
      <w:r w:rsidRPr="00434E9D">
        <w:t>exposition aux vagues</w:t>
      </w:r>
    </w:p>
    <w:p w14:paraId="408639EB" w14:textId="77777777" w:rsidR="008C3DE0" w:rsidRPr="00434E9D" w:rsidRDefault="008C3DE0" w:rsidP="00E96033">
      <w:pPr>
        <w:spacing w:line="360" w:lineRule="auto"/>
        <w:ind w:left="1416"/>
      </w:pPr>
      <w:r w:rsidRPr="00434E9D">
        <w:t>Paramètres physico-chimiques généraux soutenant les paramètres biologiques</w:t>
      </w:r>
    </w:p>
    <w:p w14:paraId="7868D472" w14:textId="77777777" w:rsidR="008C3DE0" w:rsidRPr="00434E9D" w:rsidRDefault="008C3DE0" w:rsidP="00E96033">
      <w:pPr>
        <w:spacing w:line="360" w:lineRule="auto"/>
        <w:ind w:left="1416"/>
      </w:pPr>
      <w:r w:rsidRPr="00434E9D">
        <w:t>Transparence</w:t>
      </w:r>
    </w:p>
    <w:p w14:paraId="68AAFEB7" w14:textId="77777777" w:rsidR="008C3DE0" w:rsidRPr="00434E9D" w:rsidRDefault="008C3DE0" w:rsidP="00E96033">
      <w:pPr>
        <w:spacing w:line="360" w:lineRule="auto"/>
        <w:ind w:left="1416"/>
      </w:pPr>
      <w:r w:rsidRPr="00434E9D">
        <w:t>Température de l’eau</w:t>
      </w:r>
    </w:p>
    <w:p w14:paraId="02FAA281" w14:textId="77777777" w:rsidR="008C3DE0" w:rsidRPr="00434E9D" w:rsidRDefault="008C3DE0" w:rsidP="00E96033">
      <w:pPr>
        <w:spacing w:line="360" w:lineRule="auto"/>
        <w:ind w:left="1416"/>
      </w:pPr>
      <w:r w:rsidRPr="00434E9D">
        <w:t>Bilan d’oxygène</w:t>
      </w:r>
    </w:p>
    <w:p w14:paraId="6438D12E" w14:textId="77777777" w:rsidR="008C3DE0" w:rsidRPr="00434E9D" w:rsidRDefault="008C3DE0" w:rsidP="00E96033">
      <w:pPr>
        <w:spacing w:line="360" w:lineRule="auto"/>
        <w:ind w:left="1416"/>
      </w:pPr>
      <w:r w:rsidRPr="00434E9D">
        <w:t>Salinité</w:t>
      </w:r>
    </w:p>
    <w:p w14:paraId="72BDB2E4" w14:textId="77777777" w:rsidR="008C3DE0" w:rsidRPr="00434E9D" w:rsidRDefault="008C3DE0" w:rsidP="00E96033">
      <w:pPr>
        <w:spacing w:line="360" w:lineRule="auto"/>
        <w:ind w:left="1416"/>
      </w:pPr>
      <w:r w:rsidRPr="00434E9D">
        <w:t>Concentration en nutriments..»</w:t>
      </w:r>
    </w:p>
    <w:p w14:paraId="7284DC39" w14:textId="77777777" w:rsidR="008C3DE0" w:rsidRPr="00434E9D" w:rsidRDefault="008C3DE0" w:rsidP="00E96033">
      <w:pPr>
        <w:spacing w:line="360" w:lineRule="auto"/>
        <w:ind w:left="850" w:hanging="850"/>
      </w:pPr>
      <w:r w:rsidRPr="00434E9D">
        <w:t>(2)</w:t>
      </w:r>
      <w:r w:rsidRPr="00434E9D">
        <w:tab/>
        <w:t>Au point 1.2.1, le tableau «Éléments de qualité physico-chimique» est remplacé par le tableau suivant:</w:t>
      </w:r>
    </w:p>
    <w:p w14:paraId="6E01593C" w14:textId="77777777" w:rsidR="000C5471" w:rsidRPr="00434E9D" w:rsidRDefault="008C3DE0" w:rsidP="00E96033">
      <w:pPr>
        <w:spacing w:line="360" w:lineRule="auto"/>
        <w:ind w:left="850"/>
      </w:pPr>
      <w:r w:rsidRPr="00434E9D">
        <w:t>«Éléments généraux de qualité physico-chimique</w:t>
      </w:r>
    </w:p>
    <w:p w14:paraId="44C94D9B" w14:textId="77777777" w:rsidR="000C5471" w:rsidRPr="00434E9D" w:rsidRDefault="000C5471">
      <w:pPr>
        <w:widowControl/>
      </w:pPr>
      <w:r w:rsidRPr="00434E9D">
        <w:br w:type="page"/>
      </w:r>
    </w:p>
    <w:p w14:paraId="79B3020E" w14:textId="77777777" w:rsidR="008C3DE0" w:rsidRPr="00434E9D" w:rsidRDefault="008C3DE0" w:rsidP="00E96033">
      <w:pPr>
        <w:spacing w:line="360" w:lineRule="auto"/>
        <w:ind w:left="85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746"/>
        <w:gridCol w:w="2679"/>
        <w:gridCol w:w="2574"/>
        <w:gridCol w:w="2066"/>
      </w:tblGrid>
      <w:tr w:rsidR="008C3DE0" w:rsidRPr="00434E9D" w14:paraId="4714FB70" w14:textId="77777777" w:rsidTr="00067EED">
        <w:trPr>
          <w:tblHeader/>
        </w:trPr>
        <w:tc>
          <w:tcPr>
            <w:tcW w:w="0" w:type="auto"/>
          </w:tcPr>
          <w:p w14:paraId="6362CF9D" w14:textId="77777777" w:rsidR="008C3DE0" w:rsidRPr="00434E9D" w:rsidRDefault="008C3DE0" w:rsidP="00E96033">
            <w:pPr>
              <w:spacing w:line="360" w:lineRule="auto"/>
            </w:pPr>
            <w:r w:rsidRPr="00434E9D">
              <w:t>Élément</w:t>
            </w:r>
          </w:p>
        </w:tc>
        <w:tc>
          <w:tcPr>
            <w:tcW w:w="0" w:type="auto"/>
          </w:tcPr>
          <w:p w14:paraId="60C3B60A" w14:textId="77777777" w:rsidR="008C3DE0" w:rsidRPr="00434E9D" w:rsidRDefault="008C3DE0" w:rsidP="00E96033">
            <w:pPr>
              <w:spacing w:line="360" w:lineRule="auto"/>
            </w:pPr>
            <w:r w:rsidRPr="00434E9D">
              <w:t>Très bon état</w:t>
            </w:r>
          </w:p>
        </w:tc>
        <w:tc>
          <w:tcPr>
            <w:tcW w:w="0" w:type="auto"/>
          </w:tcPr>
          <w:p w14:paraId="4F2B8F13" w14:textId="77777777" w:rsidR="008C3DE0" w:rsidRPr="00434E9D" w:rsidRDefault="008C3DE0" w:rsidP="00E96033">
            <w:pPr>
              <w:spacing w:line="360" w:lineRule="auto"/>
            </w:pPr>
            <w:r w:rsidRPr="00434E9D">
              <w:t>Bon état</w:t>
            </w:r>
          </w:p>
        </w:tc>
        <w:tc>
          <w:tcPr>
            <w:tcW w:w="0" w:type="auto"/>
          </w:tcPr>
          <w:p w14:paraId="551CA5E4" w14:textId="77777777" w:rsidR="008C3DE0" w:rsidRPr="00434E9D" w:rsidRDefault="008C3DE0" w:rsidP="00E96033">
            <w:pPr>
              <w:spacing w:line="360" w:lineRule="auto"/>
            </w:pPr>
            <w:r w:rsidRPr="00434E9D">
              <w:t>État moyen</w:t>
            </w:r>
          </w:p>
        </w:tc>
      </w:tr>
      <w:tr w:rsidR="008C3DE0" w:rsidRPr="00434E9D" w14:paraId="3C2BF7FB" w14:textId="77777777" w:rsidTr="00067EED">
        <w:tc>
          <w:tcPr>
            <w:tcW w:w="0" w:type="auto"/>
          </w:tcPr>
          <w:p w14:paraId="0AFEC8D7" w14:textId="77777777" w:rsidR="008C3DE0" w:rsidRPr="00434E9D" w:rsidRDefault="008C3DE0" w:rsidP="00E96033">
            <w:pPr>
              <w:spacing w:line="360" w:lineRule="auto"/>
            </w:pPr>
            <w:r w:rsidRPr="00434E9D">
              <w:t>Conditions générales</w:t>
            </w:r>
          </w:p>
        </w:tc>
        <w:tc>
          <w:tcPr>
            <w:tcW w:w="0" w:type="auto"/>
          </w:tcPr>
          <w:p w14:paraId="6B6B88B7" w14:textId="77777777" w:rsidR="008C3DE0" w:rsidRPr="00434E9D" w:rsidRDefault="008C3DE0" w:rsidP="00E96033">
            <w:pPr>
              <w:spacing w:line="360" w:lineRule="auto"/>
            </w:pPr>
            <w:r w:rsidRPr="00434E9D">
              <w:t>Les valeurs des éléments physico-chimiques généraux correspondent totalement ou presque totalement aux conditions non perturbées. Les concentrations de nutriments restent dans la fourchette normalement associée aux conditions non perturbées. Les niveaux de salinité, le pH, le bilan d’oxygène, la capacité de neutralisation des acides et la température n’indiquent pas de signes de perturbation anthropogénique et restent dans la fourchette normalement associée aux conditions non perturbées.</w:t>
            </w:r>
          </w:p>
        </w:tc>
        <w:tc>
          <w:tcPr>
            <w:tcW w:w="0" w:type="auto"/>
          </w:tcPr>
          <w:p w14:paraId="1768BF8E" w14:textId="77777777" w:rsidR="008C3DE0" w:rsidRPr="00434E9D" w:rsidRDefault="008C3DE0" w:rsidP="00E96033">
            <w:pPr>
              <w:spacing w:line="360" w:lineRule="auto"/>
            </w:pPr>
            <w:r w:rsidRPr="00434E9D">
              <w:t>La température, le bilan d’oxygène, le pH, la capacité de neutralisation des acides et la salinité ne dépassent pas les normes établies pour assurer le fonctionnement de l’écosystème caractéristique et pour atteindre les valeurs indiquées ci-dessus pour les éléments de qualité biologique. Les concentrations de nutriments ne dépassent pas les niveaux établis pour assurer le fonctionnement de l’écosystème et pour atteindre les valeurs indiquées ci-dessus pour les éléments de qualité biologique.</w:t>
            </w:r>
          </w:p>
        </w:tc>
        <w:tc>
          <w:tcPr>
            <w:tcW w:w="0" w:type="auto"/>
          </w:tcPr>
          <w:p w14:paraId="288973CB" w14:textId="77777777" w:rsidR="008C3DE0" w:rsidRPr="00434E9D" w:rsidRDefault="008C3DE0" w:rsidP="00E96033">
            <w:pPr>
              <w:spacing w:line="360" w:lineRule="auto"/>
            </w:pPr>
            <w:r w:rsidRPr="00434E9D">
              <w:t>Conditions permettant d’atteindre les valeurs indiquées ci-dessus pour les éléments de qualité biologique.».</w:t>
            </w:r>
          </w:p>
        </w:tc>
      </w:tr>
    </w:tbl>
    <w:p w14:paraId="7DD52BBA" w14:textId="77777777" w:rsidR="008C3DE0" w:rsidRPr="00434E9D" w:rsidRDefault="008C3DE0" w:rsidP="000C5471">
      <w:pPr>
        <w:spacing w:line="360" w:lineRule="auto"/>
      </w:pPr>
    </w:p>
    <w:p w14:paraId="75FB6CB6" w14:textId="77777777" w:rsidR="008C3DE0" w:rsidRPr="00434E9D" w:rsidRDefault="008C3DE0" w:rsidP="00E96033">
      <w:pPr>
        <w:spacing w:line="360" w:lineRule="auto"/>
        <w:ind w:left="850" w:hanging="850"/>
      </w:pPr>
      <w:r w:rsidRPr="00434E9D">
        <w:t>(3)</w:t>
      </w:r>
      <w:r w:rsidRPr="00434E9D">
        <w:tab/>
        <w:t>Au point 1.2.2, le tableau «Éléments de qualité physico-chimique» est remplacé par le tableau suivant:</w:t>
      </w:r>
    </w:p>
    <w:p w14:paraId="498682EB" w14:textId="77777777" w:rsidR="008C3DE0" w:rsidRPr="00434E9D" w:rsidRDefault="008C3DE0" w:rsidP="00E96033">
      <w:pPr>
        <w:spacing w:line="360" w:lineRule="auto"/>
        <w:ind w:left="850"/>
      </w:pPr>
      <w:r w:rsidRPr="00434E9D">
        <w:t>«Éléments généraux de qualité physico-chimique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746"/>
        <w:gridCol w:w="2679"/>
        <w:gridCol w:w="2574"/>
        <w:gridCol w:w="2066"/>
      </w:tblGrid>
      <w:tr w:rsidR="008C3DE0" w:rsidRPr="00434E9D" w14:paraId="6625C18A" w14:textId="77777777" w:rsidTr="00067EED">
        <w:trPr>
          <w:tblHeader/>
        </w:trPr>
        <w:tc>
          <w:tcPr>
            <w:tcW w:w="0" w:type="auto"/>
          </w:tcPr>
          <w:p w14:paraId="48595480" w14:textId="77777777" w:rsidR="008C3DE0" w:rsidRPr="00434E9D" w:rsidRDefault="008C3DE0" w:rsidP="00E96033">
            <w:pPr>
              <w:spacing w:line="360" w:lineRule="auto"/>
            </w:pPr>
            <w:r w:rsidRPr="00434E9D">
              <w:t>Élément</w:t>
            </w:r>
          </w:p>
        </w:tc>
        <w:tc>
          <w:tcPr>
            <w:tcW w:w="0" w:type="auto"/>
          </w:tcPr>
          <w:p w14:paraId="260B9841" w14:textId="77777777" w:rsidR="008C3DE0" w:rsidRPr="00434E9D" w:rsidRDefault="008C3DE0" w:rsidP="00E96033">
            <w:pPr>
              <w:spacing w:line="360" w:lineRule="auto"/>
            </w:pPr>
            <w:r w:rsidRPr="00434E9D">
              <w:t>Très bon état</w:t>
            </w:r>
          </w:p>
        </w:tc>
        <w:tc>
          <w:tcPr>
            <w:tcW w:w="0" w:type="auto"/>
          </w:tcPr>
          <w:p w14:paraId="25DCC2B7" w14:textId="77777777" w:rsidR="008C3DE0" w:rsidRPr="00434E9D" w:rsidRDefault="008C3DE0" w:rsidP="00E96033">
            <w:pPr>
              <w:spacing w:line="360" w:lineRule="auto"/>
            </w:pPr>
            <w:r w:rsidRPr="00434E9D">
              <w:t>Bon état</w:t>
            </w:r>
          </w:p>
        </w:tc>
        <w:tc>
          <w:tcPr>
            <w:tcW w:w="0" w:type="auto"/>
          </w:tcPr>
          <w:p w14:paraId="2126BCCD" w14:textId="77777777" w:rsidR="008C3DE0" w:rsidRPr="00434E9D" w:rsidRDefault="008C3DE0" w:rsidP="00E96033">
            <w:pPr>
              <w:spacing w:line="360" w:lineRule="auto"/>
            </w:pPr>
            <w:r w:rsidRPr="00434E9D">
              <w:t>État moyen</w:t>
            </w:r>
          </w:p>
        </w:tc>
      </w:tr>
      <w:tr w:rsidR="008C3DE0" w:rsidRPr="00434E9D" w14:paraId="0EA94000" w14:textId="77777777" w:rsidTr="00067EED">
        <w:tc>
          <w:tcPr>
            <w:tcW w:w="0" w:type="auto"/>
          </w:tcPr>
          <w:p w14:paraId="517EA665" w14:textId="77777777" w:rsidR="008C3DE0" w:rsidRPr="00434E9D" w:rsidRDefault="008C3DE0" w:rsidP="00E96033">
            <w:pPr>
              <w:spacing w:line="360" w:lineRule="auto"/>
            </w:pPr>
            <w:r w:rsidRPr="00434E9D">
              <w:t>Conditions générales</w:t>
            </w:r>
          </w:p>
        </w:tc>
        <w:tc>
          <w:tcPr>
            <w:tcW w:w="0" w:type="auto"/>
          </w:tcPr>
          <w:p w14:paraId="02C253AD" w14:textId="77777777" w:rsidR="008C3DE0" w:rsidRPr="00434E9D" w:rsidRDefault="008C3DE0" w:rsidP="00E96033">
            <w:pPr>
              <w:spacing w:line="360" w:lineRule="auto"/>
            </w:pPr>
            <w:r w:rsidRPr="00434E9D">
              <w:t xml:space="preserve">Les valeurs des éléments physico-chimiques généraux correspondent totalement ou presque totalement aux conditions non perturbées. Les concentrations de nutriments restent dans la fourchette normalement associée aux conditions non perturbées. Les niveaux de salinité, le pH, le bilan d’oxygène, la capacité de neutralisation des acides, la transparence et la température n’indiquent pas de signes de perturbation anthropogénique et restent dans la fourchette </w:t>
            </w:r>
            <w:r w:rsidRPr="00434E9D">
              <w:lastRenderedPageBreak/>
              <w:t>normalement associée aux conditions non perturbées.</w:t>
            </w:r>
          </w:p>
        </w:tc>
        <w:tc>
          <w:tcPr>
            <w:tcW w:w="0" w:type="auto"/>
          </w:tcPr>
          <w:p w14:paraId="7410C54C" w14:textId="77777777" w:rsidR="008C3DE0" w:rsidRPr="00434E9D" w:rsidRDefault="008C3DE0" w:rsidP="00E96033">
            <w:pPr>
              <w:spacing w:line="360" w:lineRule="auto"/>
            </w:pPr>
            <w:r w:rsidRPr="00434E9D">
              <w:lastRenderedPageBreak/>
              <w:t xml:space="preserve">La température, le bilan d’oxygène, le pH, la capacité de neutralisation des acides, la transparence et la salinité ne dépassent pas les niveaux établis pour assurer le fonctionnement de l’écosystème caractéristique et pour atteindre les valeurs indiquées ci-dessus pour les éléments de qualité biologique. Les concentrations de nutriments ne dépassent pas les niveaux établis pour assurer le fonctionnement de l’écosystème et pour atteindre les valeurs indiquées ci-dessus pour les éléments de qualité </w:t>
            </w:r>
            <w:r w:rsidRPr="00434E9D">
              <w:lastRenderedPageBreak/>
              <w:t>biologique.</w:t>
            </w:r>
          </w:p>
        </w:tc>
        <w:tc>
          <w:tcPr>
            <w:tcW w:w="0" w:type="auto"/>
          </w:tcPr>
          <w:p w14:paraId="426DF052" w14:textId="77777777" w:rsidR="008C3DE0" w:rsidRPr="00434E9D" w:rsidRDefault="008C3DE0" w:rsidP="00E96033">
            <w:pPr>
              <w:spacing w:line="360" w:lineRule="auto"/>
            </w:pPr>
            <w:r w:rsidRPr="00434E9D">
              <w:lastRenderedPageBreak/>
              <w:t>Conditions permettant d’atteindre les valeurs indiquées ci-dessus pour les éléments de qualité biologique.».</w:t>
            </w:r>
          </w:p>
        </w:tc>
      </w:tr>
    </w:tbl>
    <w:p w14:paraId="0E08FB0C" w14:textId="77777777" w:rsidR="000C5471" w:rsidRPr="00434E9D" w:rsidRDefault="000C5471" w:rsidP="00E96033">
      <w:pPr>
        <w:spacing w:line="360" w:lineRule="auto"/>
        <w:ind w:left="850"/>
      </w:pPr>
    </w:p>
    <w:p w14:paraId="0993B3EF" w14:textId="77777777" w:rsidR="000C5471" w:rsidRPr="00434E9D" w:rsidRDefault="000C5471">
      <w:pPr>
        <w:widowControl/>
      </w:pPr>
      <w:r w:rsidRPr="00434E9D">
        <w:br w:type="page"/>
      </w:r>
    </w:p>
    <w:p w14:paraId="026A90A0" w14:textId="77777777" w:rsidR="008C3DE0" w:rsidRPr="00434E9D" w:rsidRDefault="008C3DE0" w:rsidP="00E96033">
      <w:pPr>
        <w:spacing w:line="360" w:lineRule="auto"/>
        <w:ind w:left="850"/>
      </w:pPr>
    </w:p>
    <w:p w14:paraId="4D3AF176" w14:textId="77777777" w:rsidR="008C3DE0" w:rsidRPr="00434E9D" w:rsidRDefault="008C3DE0" w:rsidP="00E96033">
      <w:pPr>
        <w:spacing w:line="360" w:lineRule="auto"/>
        <w:ind w:left="850" w:hanging="850"/>
      </w:pPr>
      <w:r w:rsidRPr="00434E9D">
        <w:t>(4)</w:t>
      </w:r>
      <w:r w:rsidRPr="00434E9D">
        <w:tab/>
        <w:t>Au point 1.2.3, le tableau «Éléments de qualité physico-chimique» est remplacé par le tableau suivant:</w:t>
      </w:r>
    </w:p>
    <w:p w14:paraId="694E2391" w14:textId="77777777" w:rsidR="008C3DE0" w:rsidRPr="00434E9D" w:rsidRDefault="008C3DE0" w:rsidP="00E96033">
      <w:pPr>
        <w:spacing w:line="360" w:lineRule="auto"/>
        <w:ind w:left="850"/>
      </w:pPr>
      <w:r w:rsidRPr="00434E9D">
        <w:t>«Éléments généraux de qualité physico-chimique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746"/>
        <w:gridCol w:w="2679"/>
        <w:gridCol w:w="2574"/>
        <w:gridCol w:w="2066"/>
      </w:tblGrid>
      <w:tr w:rsidR="008C3DE0" w:rsidRPr="00434E9D" w14:paraId="1BAC0370" w14:textId="77777777" w:rsidTr="00067EED">
        <w:trPr>
          <w:tblHeader/>
        </w:trPr>
        <w:tc>
          <w:tcPr>
            <w:tcW w:w="0" w:type="auto"/>
          </w:tcPr>
          <w:p w14:paraId="75B77180" w14:textId="77777777" w:rsidR="008C3DE0" w:rsidRPr="00434E9D" w:rsidRDefault="008C3DE0" w:rsidP="00E96033">
            <w:pPr>
              <w:spacing w:line="360" w:lineRule="auto"/>
            </w:pPr>
            <w:r w:rsidRPr="00434E9D">
              <w:t>Élément</w:t>
            </w:r>
          </w:p>
        </w:tc>
        <w:tc>
          <w:tcPr>
            <w:tcW w:w="0" w:type="auto"/>
          </w:tcPr>
          <w:p w14:paraId="198A370F" w14:textId="77777777" w:rsidR="008C3DE0" w:rsidRPr="00434E9D" w:rsidRDefault="008C3DE0" w:rsidP="00E96033">
            <w:pPr>
              <w:spacing w:line="360" w:lineRule="auto"/>
            </w:pPr>
            <w:r w:rsidRPr="00434E9D">
              <w:t>Très bon état</w:t>
            </w:r>
          </w:p>
        </w:tc>
        <w:tc>
          <w:tcPr>
            <w:tcW w:w="0" w:type="auto"/>
          </w:tcPr>
          <w:p w14:paraId="666F0227" w14:textId="77777777" w:rsidR="008C3DE0" w:rsidRPr="00434E9D" w:rsidRDefault="008C3DE0" w:rsidP="00E96033">
            <w:pPr>
              <w:spacing w:line="360" w:lineRule="auto"/>
            </w:pPr>
            <w:r w:rsidRPr="00434E9D">
              <w:t>Bon état</w:t>
            </w:r>
          </w:p>
        </w:tc>
        <w:tc>
          <w:tcPr>
            <w:tcW w:w="0" w:type="auto"/>
          </w:tcPr>
          <w:p w14:paraId="4BB28BDA" w14:textId="77777777" w:rsidR="008C3DE0" w:rsidRPr="00434E9D" w:rsidRDefault="008C3DE0" w:rsidP="00E96033">
            <w:pPr>
              <w:spacing w:line="360" w:lineRule="auto"/>
            </w:pPr>
            <w:r w:rsidRPr="00434E9D">
              <w:t>État moyen</w:t>
            </w:r>
          </w:p>
        </w:tc>
      </w:tr>
      <w:tr w:rsidR="008C3DE0" w:rsidRPr="00434E9D" w14:paraId="127E3617" w14:textId="77777777" w:rsidTr="00067EED">
        <w:tc>
          <w:tcPr>
            <w:tcW w:w="0" w:type="auto"/>
          </w:tcPr>
          <w:p w14:paraId="310C9FFA" w14:textId="77777777" w:rsidR="008C3DE0" w:rsidRPr="00434E9D" w:rsidRDefault="008C3DE0" w:rsidP="00E96033">
            <w:pPr>
              <w:spacing w:line="360" w:lineRule="auto"/>
            </w:pPr>
            <w:r w:rsidRPr="00434E9D">
              <w:t>Conditions générales</w:t>
            </w:r>
          </w:p>
        </w:tc>
        <w:tc>
          <w:tcPr>
            <w:tcW w:w="0" w:type="auto"/>
          </w:tcPr>
          <w:p w14:paraId="4C620DD1" w14:textId="77777777" w:rsidR="008C3DE0" w:rsidRPr="00434E9D" w:rsidRDefault="008C3DE0" w:rsidP="00E96033">
            <w:pPr>
              <w:spacing w:line="360" w:lineRule="auto"/>
            </w:pPr>
            <w:r w:rsidRPr="00434E9D">
              <w:t>Les éléments physico-chimiques généraux correspondent totalement ou presque totalement aux conditions non perturbées. Les concentrations de nutriments restent dans la fourchette normalement associée aux conditions non perturbées. La température, le bilan d’oxygène et la transparence n’indiquent pas de signes de perturbation anthropogénique et restent dans la fourchette normalement associée aux conditions non perturbées.</w:t>
            </w:r>
          </w:p>
        </w:tc>
        <w:tc>
          <w:tcPr>
            <w:tcW w:w="0" w:type="auto"/>
          </w:tcPr>
          <w:p w14:paraId="68B8D627" w14:textId="77777777" w:rsidR="008C3DE0" w:rsidRPr="00434E9D" w:rsidRDefault="008C3DE0" w:rsidP="00E96033">
            <w:pPr>
              <w:spacing w:line="360" w:lineRule="auto"/>
            </w:pPr>
            <w:r w:rsidRPr="00434E9D">
              <w:t>La température, le bilan d’oxygène et la transparence ne dépassent pas les niveaux établis pour assurer le fonctionnement de l’écosystème et pour atteindre les valeurs indiquées ci-dessus pour les éléments de qualité biologique. Les concentrations de nutriments ne dépassent pas les niveaux établis pour assurer le fonctionnement de l’écosystème et pour atteindre les valeurs indiquées ci-dessus pour les éléments de qualité biologique.</w:t>
            </w:r>
          </w:p>
        </w:tc>
        <w:tc>
          <w:tcPr>
            <w:tcW w:w="0" w:type="auto"/>
          </w:tcPr>
          <w:p w14:paraId="15FC7E19" w14:textId="77777777" w:rsidR="008C3DE0" w:rsidRPr="00434E9D" w:rsidRDefault="008C3DE0" w:rsidP="00E96033">
            <w:pPr>
              <w:spacing w:line="360" w:lineRule="auto"/>
            </w:pPr>
            <w:r w:rsidRPr="00434E9D">
              <w:t>Conditions permettant d’atteindre les valeurs indiquées ci-dessus pour les éléments de qualité biologique.».</w:t>
            </w:r>
          </w:p>
        </w:tc>
      </w:tr>
    </w:tbl>
    <w:p w14:paraId="0EEDBBE4" w14:textId="77777777" w:rsidR="008C3DE0" w:rsidRPr="00434E9D" w:rsidRDefault="008C3DE0" w:rsidP="00E96033">
      <w:pPr>
        <w:spacing w:line="360" w:lineRule="auto"/>
        <w:ind w:left="850"/>
      </w:pPr>
      <w:r w:rsidRPr="00434E9D">
        <w:t>»»</w:t>
      </w:r>
    </w:p>
    <w:p w14:paraId="514DE1C2" w14:textId="77777777" w:rsidR="008C3DE0" w:rsidRPr="00434E9D" w:rsidRDefault="008C3DE0" w:rsidP="00E96033">
      <w:pPr>
        <w:spacing w:line="360" w:lineRule="auto"/>
        <w:ind w:left="850" w:hanging="850"/>
      </w:pPr>
      <w:r w:rsidRPr="00434E9D">
        <w:lastRenderedPageBreak/>
        <w:t>(5)</w:t>
      </w:r>
      <w:r w:rsidRPr="00434E9D">
        <w:tab/>
        <w:t>Au point 1.2.4, le tableau «Éléments de qualité physico-chimique» est remplacé par le tableau suivant:</w:t>
      </w:r>
    </w:p>
    <w:p w14:paraId="33DAB7B4" w14:textId="77777777" w:rsidR="008C3DE0" w:rsidRPr="00434E9D" w:rsidRDefault="008C3DE0" w:rsidP="00E96033">
      <w:pPr>
        <w:spacing w:line="360" w:lineRule="auto"/>
        <w:ind w:left="850"/>
      </w:pPr>
      <w:r w:rsidRPr="00434E9D">
        <w:t>«Éléments généraux de qualité physico-chimique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746"/>
        <w:gridCol w:w="2679"/>
        <w:gridCol w:w="2574"/>
        <w:gridCol w:w="2066"/>
      </w:tblGrid>
      <w:tr w:rsidR="008C3DE0" w:rsidRPr="00434E9D" w14:paraId="65E25F07" w14:textId="77777777" w:rsidTr="00067EED">
        <w:trPr>
          <w:tblHeader/>
        </w:trPr>
        <w:tc>
          <w:tcPr>
            <w:tcW w:w="0" w:type="auto"/>
          </w:tcPr>
          <w:p w14:paraId="68C64144" w14:textId="77777777" w:rsidR="008C3DE0" w:rsidRPr="00434E9D" w:rsidRDefault="008C3DE0" w:rsidP="00E96033">
            <w:pPr>
              <w:spacing w:line="360" w:lineRule="auto"/>
            </w:pPr>
            <w:r w:rsidRPr="00434E9D">
              <w:t>Élément</w:t>
            </w:r>
          </w:p>
        </w:tc>
        <w:tc>
          <w:tcPr>
            <w:tcW w:w="0" w:type="auto"/>
          </w:tcPr>
          <w:p w14:paraId="18C2B57B" w14:textId="77777777" w:rsidR="008C3DE0" w:rsidRPr="00434E9D" w:rsidRDefault="008C3DE0" w:rsidP="00E96033">
            <w:pPr>
              <w:spacing w:line="360" w:lineRule="auto"/>
            </w:pPr>
            <w:r w:rsidRPr="00434E9D">
              <w:t>Très bon état</w:t>
            </w:r>
          </w:p>
        </w:tc>
        <w:tc>
          <w:tcPr>
            <w:tcW w:w="0" w:type="auto"/>
          </w:tcPr>
          <w:p w14:paraId="00B8F91E" w14:textId="77777777" w:rsidR="008C3DE0" w:rsidRPr="00434E9D" w:rsidRDefault="008C3DE0" w:rsidP="00E96033">
            <w:pPr>
              <w:spacing w:line="360" w:lineRule="auto"/>
            </w:pPr>
            <w:r w:rsidRPr="00434E9D">
              <w:t>Bon état</w:t>
            </w:r>
          </w:p>
        </w:tc>
        <w:tc>
          <w:tcPr>
            <w:tcW w:w="0" w:type="auto"/>
          </w:tcPr>
          <w:p w14:paraId="5339A7AC" w14:textId="77777777" w:rsidR="008C3DE0" w:rsidRPr="00434E9D" w:rsidRDefault="008C3DE0" w:rsidP="00E96033">
            <w:pPr>
              <w:spacing w:line="360" w:lineRule="auto"/>
            </w:pPr>
            <w:r w:rsidRPr="00434E9D">
              <w:t>État moyen</w:t>
            </w:r>
          </w:p>
        </w:tc>
      </w:tr>
      <w:tr w:rsidR="008C3DE0" w:rsidRPr="00434E9D" w14:paraId="7BC618B1" w14:textId="77777777" w:rsidTr="00067EED">
        <w:tc>
          <w:tcPr>
            <w:tcW w:w="0" w:type="auto"/>
          </w:tcPr>
          <w:p w14:paraId="38648A47" w14:textId="77777777" w:rsidR="008C3DE0" w:rsidRPr="00434E9D" w:rsidRDefault="008C3DE0" w:rsidP="00E96033">
            <w:pPr>
              <w:spacing w:line="360" w:lineRule="auto"/>
            </w:pPr>
            <w:r w:rsidRPr="00434E9D">
              <w:t>Conditions générales</w:t>
            </w:r>
          </w:p>
        </w:tc>
        <w:tc>
          <w:tcPr>
            <w:tcW w:w="0" w:type="auto"/>
          </w:tcPr>
          <w:p w14:paraId="04198D81" w14:textId="77777777" w:rsidR="008C3DE0" w:rsidRPr="00434E9D" w:rsidRDefault="008C3DE0" w:rsidP="00E96033">
            <w:pPr>
              <w:spacing w:line="360" w:lineRule="auto"/>
            </w:pPr>
            <w:r w:rsidRPr="00434E9D">
              <w:t>Les éléments physico-chimiques généraux correspondent totalement ou presque totalement aux conditions non perturbées. Les concentrations de nutriments restent dans la fourchette normalement associée aux conditions non perturbées. La température, le bilan d’oxygène et la transparence n’indiquent pas de signes de perturbation anthropogénique et restent dans la fourchette normalement associée aux conditions non perturbées.</w:t>
            </w:r>
          </w:p>
        </w:tc>
        <w:tc>
          <w:tcPr>
            <w:tcW w:w="0" w:type="auto"/>
          </w:tcPr>
          <w:p w14:paraId="63563AD2" w14:textId="77777777" w:rsidR="008C3DE0" w:rsidRPr="00434E9D" w:rsidRDefault="008C3DE0" w:rsidP="00E96033">
            <w:pPr>
              <w:spacing w:line="360" w:lineRule="auto"/>
            </w:pPr>
            <w:r w:rsidRPr="00434E9D">
              <w:t>La température, le bilan d’oxygène et la transparence ne dépassent pas les niveaux établis pour assurer le fonctionnement de l’écosystème et pour atteindre les valeurs indiquées ci-dessus pour les éléments de qualité biologique. Les concentrations de nutriments ne dépassent pas les niveaux établis pour assurer le fonctionnement de l’écosystème et pour atteindre les valeurs indiquées ci-dessus pour les éléments de qualité biologique.</w:t>
            </w:r>
          </w:p>
        </w:tc>
        <w:tc>
          <w:tcPr>
            <w:tcW w:w="0" w:type="auto"/>
          </w:tcPr>
          <w:p w14:paraId="7E1B6386" w14:textId="77777777" w:rsidR="008C3DE0" w:rsidRPr="00434E9D" w:rsidRDefault="008C3DE0" w:rsidP="00E96033">
            <w:pPr>
              <w:spacing w:line="360" w:lineRule="auto"/>
            </w:pPr>
            <w:r w:rsidRPr="00434E9D">
              <w:t>Conditions permettant d’atteindre les valeurs indiquées ci-dessus pour les éléments de qualité biologique.».</w:t>
            </w:r>
          </w:p>
        </w:tc>
      </w:tr>
    </w:tbl>
    <w:p w14:paraId="79AE38CE" w14:textId="77777777" w:rsidR="008C3DE0" w:rsidRPr="00434E9D" w:rsidRDefault="008C3DE0" w:rsidP="00E96033">
      <w:pPr>
        <w:spacing w:line="360" w:lineRule="auto"/>
        <w:ind w:left="850"/>
      </w:pPr>
    </w:p>
    <w:p w14:paraId="2BC63671" w14:textId="77777777" w:rsidR="000C5471" w:rsidRPr="00434E9D" w:rsidRDefault="000C5471">
      <w:pPr>
        <w:widowControl/>
      </w:pPr>
      <w:r w:rsidRPr="00434E9D">
        <w:br w:type="page"/>
      </w:r>
    </w:p>
    <w:p w14:paraId="6E234D69" w14:textId="77777777" w:rsidR="008C3DE0" w:rsidRPr="00434E9D" w:rsidRDefault="008C3DE0" w:rsidP="00E96033">
      <w:pPr>
        <w:spacing w:line="360" w:lineRule="auto"/>
        <w:ind w:left="850" w:hanging="850"/>
      </w:pPr>
      <w:r w:rsidRPr="00434E9D">
        <w:lastRenderedPageBreak/>
        <w:t>(6)</w:t>
      </w:r>
      <w:r w:rsidRPr="00434E9D">
        <w:tab/>
        <w:t>Au point 1.2.5, le tableau est modifié comme suit:</w:t>
      </w:r>
    </w:p>
    <w:p w14:paraId="5B5DB678" w14:textId="77777777" w:rsidR="008C3DE0" w:rsidRPr="00434E9D" w:rsidRDefault="008C3DE0" w:rsidP="00E96033">
      <w:pPr>
        <w:spacing w:line="360" w:lineRule="auto"/>
        <w:ind w:left="1416" w:hanging="566"/>
      </w:pPr>
      <w:r w:rsidRPr="00434E9D">
        <w:t>(a)</w:t>
      </w:r>
      <w:r w:rsidRPr="00434E9D">
        <w:tab/>
        <w:t>la cinquième ligne relative à l’entrée «Polluants synthétiques spécifiques» est supprimée;</w:t>
      </w:r>
    </w:p>
    <w:p w14:paraId="352E0737" w14:textId="77777777" w:rsidR="008C3DE0" w:rsidRPr="00434E9D" w:rsidRDefault="008C3DE0" w:rsidP="00E96033">
      <w:pPr>
        <w:spacing w:line="360" w:lineRule="auto"/>
        <w:ind w:left="1416" w:hanging="566"/>
      </w:pPr>
      <w:r w:rsidRPr="00434E9D">
        <w:t>(b)</w:t>
      </w:r>
      <w:r w:rsidRPr="00434E9D">
        <w:tab/>
        <w:t>la sixième ligne relative à l’entrée «Polluants non synthétiques caractéristiques» est supprimée;</w:t>
      </w:r>
    </w:p>
    <w:p w14:paraId="41D798DB" w14:textId="77777777" w:rsidR="008C3DE0" w:rsidRPr="00434E9D" w:rsidRDefault="008C3DE0" w:rsidP="00E96033">
      <w:pPr>
        <w:spacing w:line="360" w:lineRule="auto"/>
        <w:ind w:left="1416" w:hanging="566"/>
      </w:pPr>
      <w:r w:rsidRPr="00434E9D">
        <w:t>(c)</w:t>
      </w:r>
      <w:r w:rsidRPr="00434E9D">
        <w:tab/>
        <w:t>la septième ligne relative à la note (1) du tableau est supprimée.</w:t>
      </w:r>
    </w:p>
    <w:p w14:paraId="070FD52A" w14:textId="77777777" w:rsidR="008C3DE0" w:rsidRPr="00434E9D" w:rsidRDefault="008C3DE0" w:rsidP="00E96033">
      <w:pPr>
        <w:spacing w:line="360" w:lineRule="auto"/>
        <w:ind w:left="850" w:hanging="850"/>
      </w:pPr>
      <w:r w:rsidRPr="00434E9D">
        <w:t>(7)</w:t>
      </w:r>
      <w:r w:rsidRPr="00434E9D">
        <w:tab/>
        <w:t>Le point 1.2.6 est supprimé.</w:t>
      </w:r>
    </w:p>
    <w:p w14:paraId="05716A4D" w14:textId="77777777" w:rsidR="008C3DE0" w:rsidRPr="00434E9D" w:rsidRDefault="008C3DE0" w:rsidP="00E96033">
      <w:pPr>
        <w:spacing w:line="360" w:lineRule="auto"/>
        <w:ind w:left="850" w:hanging="850"/>
      </w:pPr>
      <w:r w:rsidRPr="00434E9D">
        <w:t>(8)</w:t>
      </w:r>
      <w:r w:rsidRPr="00434E9D">
        <w:tab/>
        <w:t>Au point 1.3, les quatrième et cinquième paragraphes suivants sont ajoutés:</w:t>
      </w:r>
    </w:p>
    <w:p w14:paraId="6B07CEBB" w14:textId="77777777" w:rsidR="008C3DE0" w:rsidRPr="00434E9D" w:rsidRDefault="008C3DE0" w:rsidP="00E96033">
      <w:pPr>
        <w:spacing w:line="360" w:lineRule="auto"/>
        <w:ind w:left="850"/>
      </w:pPr>
      <w:r w:rsidRPr="00434E9D">
        <w:t>«Lorsque le réseau de surveillance s'appuie sur l’observation de la Terre et la télédétection plutôt que sur des points d’échantillonnage locaux, ou sur d’autres techniques innovantes, la carte du réseau de surveillance comporte des informations sur les éléments de qualité et les masses ou groupes de masses d’eau qui ont été surveillés à l’aide de telles méthodes de surveillance. Il y a lieu de faire référence aux normes CEN, ISO ou aux autres normes internationales ou nationales qui ont été appliquées pour garantir que les données temporelles et géographiques obtenues sont aussi fiables que celles obtenues au moyen de méthodes de surveillance conventionnelles aux points d’échantillonnage locaux.</w:t>
      </w:r>
    </w:p>
    <w:p w14:paraId="2592D612" w14:textId="77777777" w:rsidR="000C5471" w:rsidRPr="00434E9D" w:rsidRDefault="000C5471">
      <w:pPr>
        <w:widowControl/>
      </w:pPr>
      <w:r w:rsidRPr="00434E9D">
        <w:br w:type="page"/>
      </w:r>
    </w:p>
    <w:p w14:paraId="0D2B2704" w14:textId="77777777" w:rsidR="008C3DE0" w:rsidRPr="00434E9D" w:rsidRDefault="008C3DE0" w:rsidP="00E96033">
      <w:pPr>
        <w:spacing w:line="360" w:lineRule="auto"/>
        <w:ind w:left="850"/>
      </w:pPr>
      <w:r w:rsidRPr="00434E9D">
        <w:lastRenderedPageBreak/>
        <w:t>Les États membres peuvent appliquer des méthodes d’échantillonnage passif pour surveiller les polluants chimiques, le cas échéant, en particulier à des fins de détection, à condition que ces méthodes d’échantillonnage ne sous-estiment pas les concentrations de polluants pour lesquels des normes de qualité environnementale s’appliquent et permettent donc de constater de manière fiable que «l’état des eaux de surface n’est pas bon», et qu’une analyse chimique d’échantillons d’eau, de biote ou de sédiments, conformément aux normes de qualité environnementale appliquées, soit réalisée à chaque fois que ce constat est fait. Les États membres peuvent également appliquer des méthodes d’échantillonnage fondées sur les effets, sous réserve des mêmes conditions..»</w:t>
      </w:r>
    </w:p>
    <w:p w14:paraId="4B8479F4" w14:textId="77777777" w:rsidR="008C3DE0" w:rsidRPr="00434E9D" w:rsidRDefault="008C3DE0" w:rsidP="00E96033">
      <w:pPr>
        <w:spacing w:line="360" w:lineRule="auto"/>
        <w:ind w:left="850" w:hanging="850"/>
      </w:pPr>
      <w:r w:rsidRPr="00434E9D">
        <w:t>(9)</w:t>
      </w:r>
      <w:r w:rsidRPr="00434E9D">
        <w:tab/>
        <w:t>Au point 1.3.1, le dernier paragraphe «Sélection des éléments de qualité» est remplacé par le texte suivant:</w:t>
      </w:r>
    </w:p>
    <w:p w14:paraId="344753A4" w14:textId="77777777" w:rsidR="008C3DE0" w:rsidRPr="00434E9D" w:rsidRDefault="008C3DE0" w:rsidP="00E96033">
      <w:pPr>
        <w:spacing w:line="360" w:lineRule="auto"/>
        <w:ind w:left="850"/>
      </w:pPr>
      <w:r w:rsidRPr="00434E9D">
        <w:t>«Sélection des éléments de qualité</w:t>
      </w:r>
    </w:p>
    <w:p w14:paraId="2F6097CA" w14:textId="77777777" w:rsidR="008C3DE0" w:rsidRPr="00434E9D" w:rsidRDefault="008C3DE0" w:rsidP="00E96033">
      <w:pPr>
        <w:spacing w:line="360" w:lineRule="auto"/>
        <w:ind w:left="850"/>
      </w:pPr>
      <w:r w:rsidRPr="00434E9D">
        <w:t>Le contrôle de surveillance est effectué, pour chaque site de surveillance, pendant une période d’un an durant la période couverte par le plan de gestion de bassin hydrographique. Le contrôle de surveillance couvre les éléments suivants:</w:t>
      </w:r>
    </w:p>
    <w:p w14:paraId="27ABF8BA" w14:textId="77777777" w:rsidR="008C3DE0" w:rsidRPr="00434E9D" w:rsidRDefault="008C3DE0" w:rsidP="00E96033">
      <w:pPr>
        <w:spacing w:line="360" w:lineRule="auto"/>
        <w:ind w:left="1416" w:hanging="566"/>
      </w:pPr>
      <w:r w:rsidRPr="00434E9D">
        <w:t>a)</w:t>
      </w:r>
      <w:r w:rsidRPr="00434E9D">
        <w:tab/>
        <w:t>les paramètres indicatifs de tous les éléments de qualité biologique,</w:t>
      </w:r>
    </w:p>
    <w:p w14:paraId="0B71B0F8" w14:textId="77777777" w:rsidR="000C5471" w:rsidRPr="00434E9D" w:rsidRDefault="000C5471">
      <w:pPr>
        <w:widowControl/>
      </w:pPr>
      <w:r w:rsidRPr="00434E9D">
        <w:br w:type="page"/>
      </w:r>
    </w:p>
    <w:p w14:paraId="239ED2D1" w14:textId="77777777" w:rsidR="008C3DE0" w:rsidRPr="00434E9D" w:rsidRDefault="008C3DE0" w:rsidP="00E96033">
      <w:pPr>
        <w:spacing w:line="360" w:lineRule="auto"/>
        <w:ind w:left="1416" w:hanging="566"/>
      </w:pPr>
      <w:r w:rsidRPr="00434E9D">
        <w:lastRenderedPageBreak/>
        <w:t>b)</w:t>
      </w:r>
      <w:r w:rsidRPr="00434E9D">
        <w:tab/>
        <w:t>les paramètres indicatifs de tous les éléments de qualité hydromorphologique,</w:t>
      </w:r>
    </w:p>
    <w:p w14:paraId="1F0A62A9" w14:textId="77777777" w:rsidR="008C3DE0" w:rsidRPr="00434E9D" w:rsidRDefault="008C3DE0" w:rsidP="00E96033">
      <w:pPr>
        <w:spacing w:line="360" w:lineRule="auto"/>
        <w:ind w:left="1416" w:hanging="566"/>
      </w:pPr>
      <w:r w:rsidRPr="00434E9D">
        <w:t>c)</w:t>
      </w:r>
      <w:r w:rsidRPr="00434E9D">
        <w:tab/>
        <w:t>les paramètres indicatifs de tous les éléments de qualité physico-chimique,</w:t>
      </w:r>
    </w:p>
    <w:p w14:paraId="6C77B2DA" w14:textId="77777777" w:rsidR="008C3DE0" w:rsidRPr="00434E9D" w:rsidRDefault="008C3DE0" w:rsidP="00E96033">
      <w:pPr>
        <w:spacing w:line="360" w:lineRule="auto"/>
        <w:ind w:left="1416" w:hanging="566"/>
      </w:pPr>
      <w:r w:rsidRPr="00434E9D">
        <w:t>d)</w:t>
      </w:r>
      <w:r w:rsidRPr="00434E9D">
        <w:tab/>
        <w:t>les polluants de la liste de substances prioritaires qui sont rejetés ou déposés de toute autre manière dans le bassin ou le sous-bassin hydrographique, et</w:t>
      </w:r>
    </w:p>
    <w:p w14:paraId="47153DA5" w14:textId="77777777" w:rsidR="008C3DE0" w:rsidRPr="00434E9D" w:rsidRDefault="008C3DE0" w:rsidP="00E96033">
      <w:pPr>
        <w:spacing w:line="360" w:lineRule="auto"/>
        <w:ind w:left="1416" w:hanging="566"/>
      </w:pPr>
      <w:r w:rsidRPr="00434E9D">
        <w:t>e)</w:t>
      </w:r>
      <w:r w:rsidRPr="00434E9D">
        <w:tab/>
        <w:t>les autres polluants rejetés ou déposés de toute autre manière en quantités importantes dans le bassin ou le sous-bassin hydrographique.</w:t>
      </w:r>
    </w:p>
    <w:p w14:paraId="14EAC4E0" w14:textId="77777777" w:rsidR="008C3DE0" w:rsidRPr="00434E9D" w:rsidRDefault="008C3DE0" w:rsidP="00E96033">
      <w:pPr>
        <w:spacing w:line="360" w:lineRule="auto"/>
        <w:ind w:left="850"/>
      </w:pPr>
      <w:r w:rsidRPr="00434E9D">
        <w:t>Cependant, si l’exercice précédent de contrôle de surveillance a montré que l’état de la masse concernée est bon et que rien n’indique, d’après l’étude d’incidence de l’activité humaine visée à l’annexe II, que les incidences sur la masse ont changé, le contrôle de surveillance est effectué une fois au cours de la période couverte par trois plans de gestion de district hydrographique consécutifs..»</w:t>
      </w:r>
    </w:p>
    <w:p w14:paraId="0D8F885D" w14:textId="77777777" w:rsidR="008C3DE0" w:rsidRPr="00434E9D" w:rsidRDefault="008C3DE0" w:rsidP="00E96033">
      <w:pPr>
        <w:spacing w:line="360" w:lineRule="auto"/>
        <w:ind w:left="850" w:hanging="850"/>
      </w:pPr>
      <w:r w:rsidRPr="00434E9D">
        <w:t>(10)</w:t>
      </w:r>
      <w:r w:rsidRPr="00434E9D">
        <w:tab/>
        <w:t>Le point 1.3.2 est modifié comme suit:</w:t>
      </w:r>
    </w:p>
    <w:p w14:paraId="566F1A18" w14:textId="77777777" w:rsidR="008C3DE0" w:rsidRPr="00434E9D" w:rsidRDefault="008C3DE0" w:rsidP="00E96033">
      <w:pPr>
        <w:spacing w:line="360" w:lineRule="auto"/>
        <w:ind w:left="1416" w:hanging="566"/>
      </w:pPr>
      <w:r w:rsidRPr="00434E9D">
        <w:t>«a)</w:t>
      </w:r>
      <w:r w:rsidRPr="00434E9D">
        <w:tab/>
        <w:t>au troisième paragraphe «Sélection des sites de contrôle», la première phrase est remplacée par le texte suivant:</w:t>
      </w:r>
    </w:p>
    <w:p w14:paraId="7F490167" w14:textId="77777777" w:rsidR="000C5471" w:rsidRPr="00434E9D" w:rsidRDefault="000C5471">
      <w:pPr>
        <w:widowControl/>
      </w:pPr>
      <w:r w:rsidRPr="00434E9D">
        <w:br w:type="page"/>
      </w:r>
    </w:p>
    <w:p w14:paraId="2EC7C1D5" w14:textId="77777777" w:rsidR="008C3DE0" w:rsidRPr="00434E9D" w:rsidRDefault="008C3DE0" w:rsidP="00E96033">
      <w:pPr>
        <w:spacing w:line="360" w:lineRule="auto"/>
        <w:ind w:left="1416"/>
      </w:pPr>
      <w:r w:rsidRPr="00434E9D">
        <w:lastRenderedPageBreak/>
        <w:t>«Des contrôles opérationnels sont effectués pour toutes les masses d’eau qui, sur la base soit d’une étude d’incidence effectuée conformément à l’annexe II, soit d’un contrôle de surveillance, sont identifiées comme risquant de ne pas répondre à leurs objectifs environnementaux visés à l’article 4 et pour les masses d’eau dans lesquelles des substances de la liste de substances prioritaires sont rejetées ou déposées de toute autre manière ou dans lesquelles des polluants spécifiques à un bassin hydrographique sont rejetés ou déposés de toute autre manière en quantités importantes.»;</w:t>
      </w:r>
    </w:p>
    <w:p w14:paraId="4063D422" w14:textId="77777777" w:rsidR="008C3DE0" w:rsidRPr="00434E9D" w:rsidRDefault="008C3DE0" w:rsidP="00E96033">
      <w:pPr>
        <w:spacing w:line="360" w:lineRule="auto"/>
        <w:ind w:left="1416" w:hanging="566"/>
      </w:pPr>
      <w:r w:rsidRPr="00434E9D">
        <w:t>b)</w:t>
      </w:r>
      <w:r w:rsidRPr="00434E9D">
        <w:tab/>
        <w:t>au quatrième alinéa «Sélection des éléments de qualité», le deuxième tiret est remplacé par le texte suivant:</w:t>
      </w:r>
    </w:p>
    <w:p w14:paraId="50CDE854" w14:textId="77777777" w:rsidR="008C3DE0" w:rsidRPr="00434E9D" w:rsidRDefault="008C3DE0" w:rsidP="00E96033">
      <w:pPr>
        <w:spacing w:line="360" w:lineRule="auto"/>
        <w:ind w:left="1416"/>
      </w:pPr>
      <w:r w:rsidRPr="00434E9D">
        <w:t>«– toutes les substances prioritaires rejetées ou déposées de toute autre manière dans les masses d’eau et tous les polluants spécifiques à un bassin hydrographique rejetés ou déposés de toute autre manière dans les masses d’eau en quantités importantes..»</w:t>
      </w:r>
    </w:p>
    <w:p w14:paraId="0656BF67" w14:textId="77777777" w:rsidR="000C5471" w:rsidRPr="00434E9D" w:rsidRDefault="000C5471">
      <w:pPr>
        <w:widowControl/>
        <w:rPr>
          <w:b/>
          <w:i/>
        </w:rPr>
      </w:pPr>
      <w:r w:rsidRPr="00434E9D">
        <w:rPr>
          <w:b/>
          <w:i/>
        </w:rPr>
        <w:br w:type="page"/>
      </w:r>
    </w:p>
    <w:p w14:paraId="48F98093" w14:textId="77777777" w:rsidR="008C3DE0" w:rsidRPr="00434E9D" w:rsidRDefault="00885B4C" w:rsidP="00E96033">
      <w:pPr>
        <w:spacing w:line="360" w:lineRule="auto"/>
        <w:ind w:left="850" w:hanging="850"/>
      </w:pPr>
      <w:r w:rsidRPr="00434E9D">
        <w:rPr>
          <w:b/>
          <w:i/>
        </w:rPr>
        <w:lastRenderedPageBreak/>
        <w:t>(</w:t>
      </w:r>
      <w:r w:rsidR="008C3DE0" w:rsidRPr="00434E9D">
        <w:rPr>
          <w:b/>
          <w:i/>
        </w:rPr>
        <w:t>1</w:t>
      </w:r>
      <w:r w:rsidR="000C5471" w:rsidRPr="00434E9D">
        <w:rPr>
          <w:b/>
          <w:i/>
        </w:rPr>
        <w:t>0 bis</w:t>
      </w:r>
      <w:r w:rsidRPr="00434E9D">
        <w:rPr>
          <w:b/>
          <w:i/>
        </w:rPr>
        <w:t>)</w:t>
      </w:r>
      <w:r w:rsidR="008C3DE0" w:rsidRPr="00434E9D">
        <w:tab/>
      </w:r>
      <w:r w:rsidR="008C3DE0" w:rsidRPr="00434E9D">
        <w:rPr>
          <w:b/>
          <w:i/>
        </w:rPr>
        <w:t>au point 1.3.4, l’alinéa 4 est modifié comme suit:</w:t>
      </w:r>
    </w:p>
    <w:p w14:paraId="26C65D0C" w14:textId="77777777" w:rsidR="008C3DE0" w:rsidRPr="00434E9D" w:rsidRDefault="008C3DE0" w:rsidP="00E96033">
      <w:pPr>
        <w:spacing w:line="360" w:lineRule="auto"/>
        <w:ind w:left="850"/>
        <w:rPr>
          <w:b/>
        </w:rPr>
      </w:pPr>
      <w:r w:rsidRPr="00434E9D">
        <w:t>«</w:t>
      </w:r>
      <w:r w:rsidRPr="00434E9D">
        <w:rPr>
          <w:b/>
          <w:i/>
        </w:rPr>
        <w:t>Les fréquences de contrôle sont choisies et, si nécessaire, augmentées pour tenir compte de la variabilité des paramètres résultant des conditions à la fois naturelles et anthropogéniques. De plus, l’époque à laquelle les contrôles sont effectués est déterminée de manière à tenir compte de l’effet des fluctuations saisonnières de l’utilisation des substances et de la variation du niveau des eaux sur l’évaluation de l’état, et donc à assurer que les résultats reflètent les modifications subies par la masse d’eau du fait des pressions anthropogéniques et des variations climatiques. Pour les substances prioritaires qui sont sensibles aux variations climatiques et pour les substances prioritaires dont la concentration est susceptible de connaître un pic sur des périodes très courtes en raison des fluctuations saisonnières de l’utilisation de ces substances, les contrôles sont effectués plus fréquemment que pour les autres substances.</w:t>
      </w:r>
      <w:r w:rsidRPr="00434E9D">
        <w:t>»</w:t>
      </w:r>
      <w:r w:rsidR="00DA20D4" w:rsidRPr="00434E9D">
        <w:t xml:space="preserve"> </w:t>
      </w:r>
      <w:r w:rsidR="00DA20D4" w:rsidRPr="00434E9D">
        <w:rPr>
          <w:b/>
        </w:rPr>
        <w:t xml:space="preserve"> [Am. 139]</w:t>
      </w:r>
    </w:p>
    <w:p w14:paraId="22EC6071" w14:textId="77777777" w:rsidR="008C3DE0" w:rsidRPr="00434E9D" w:rsidRDefault="00885B4C" w:rsidP="00E96033">
      <w:pPr>
        <w:spacing w:line="360" w:lineRule="auto"/>
        <w:ind w:left="850" w:hanging="850"/>
      </w:pPr>
      <w:r w:rsidRPr="00434E9D">
        <w:t>(</w:t>
      </w:r>
      <w:r w:rsidR="008C3DE0" w:rsidRPr="00434E9D">
        <w:t>11)</w:t>
      </w:r>
      <w:r w:rsidR="008C3DE0" w:rsidRPr="00434E9D">
        <w:tab/>
        <w:t>Au point 1.3.4, dans le tableau, à la sixième ligne sous l’intitulé «Physico-chimique», les termes «Autres polluants» sont remplacés par les termes «Polluants spécifiques à un bassin hydrographique».</w:t>
      </w:r>
    </w:p>
    <w:p w14:paraId="613C82AD" w14:textId="77777777" w:rsidR="000C5471" w:rsidRPr="00434E9D" w:rsidRDefault="000C5471">
      <w:pPr>
        <w:widowControl/>
      </w:pPr>
      <w:r w:rsidRPr="00434E9D">
        <w:br w:type="page"/>
      </w:r>
    </w:p>
    <w:p w14:paraId="696E0674" w14:textId="77777777" w:rsidR="008C3DE0" w:rsidRPr="00434E9D" w:rsidRDefault="008C3DE0" w:rsidP="00E96033">
      <w:pPr>
        <w:spacing w:line="360" w:lineRule="auto"/>
        <w:ind w:left="850" w:hanging="850"/>
      </w:pPr>
      <w:r w:rsidRPr="00434E9D">
        <w:lastRenderedPageBreak/>
        <w:t>(12)</w:t>
      </w:r>
      <w:r w:rsidRPr="00434E9D">
        <w:tab/>
        <w:t>Le point 1.4.1 est modifié comme suit:</w:t>
      </w:r>
    </w:p>
    <w:p w14:paraId="3CFA87A7" w14:textId="77777777" w:rsidR="008C3DE0" w:rsidRPr="00434E9D" w:rsidRDefault="008C3DE0" w:rsidP="00E96033">
      <w:pPr>
        <w:spacing w:line="360" w:lineRule="auto"/>
        <w:ind w:left="1416" w:hanging="566"/>
      </w:pPr>
      <w:r w:rsidRPr="00434E9D">
        <w:t>(a)</w:t>
      </w:r>
      <w:r w:rsidRPr="00434E9D">
        <w:tab/>
        <w:t>au point vii), la deuxième phrase est supprimée;</w:t>
      </w:r>
    </w:p>
    <w:p w14:paraId="7232E0A4" w14:textId="77777777" w:rsidR="008C3DE0" w:rsidRPr="00434E9D" w:rsidRDefault="008C3DE0" w:rsidP="00E96033">
      <w:pPr>
        <w:spacing w:line="360" w:lineRule="auto"/>
        <w:ind w:left="1416" w:hanging="566"/>
      </w:pPr>
      <w:r w:rsidRPr="00434E9D">
        <w:t>(b)</w:t>
      </w:r>
      <w:r w:rsidRPr="00434E9D">
        <w:tab/>
        <w:t>le point viii) est supprimé;</w:t>
      </w:r>
    </w:p>
    <w:p w14:paraId="24E0DEA7" w14:textId="77777777" w:rsidR="008C3DE0" w:rsidRPr="00434E9D" w:rsidRDefault="008C3DE0" w:rsidP="00E96033">
      <w:pPr>
        <w:spacing w:line="360" w:lineRule="auto"/>
        <w:ind w:left="1416" w:hanging="566"/>
      </w:pPr>
      <w:r w:rsidRPr="00434E9D">
        <w:t>(c)</w:t>
      </w:r>
      <w:r w:rsidRPr="00434E9D">
        <w:tab/>
        <w:t>le point ix) est remplacé par le texte suivant:</w:t>
      </w:r>
    </w:p>
    <w:p w14:paraId="61CA75DF" w14:textId="77777777" w:rsidR="008C3DE0" w:rsidRPr="00434E9D" w:rsidRDefault="008C3DE0" w:rsidP="00E96033">
      <w:pPr>
        <w:spacing w:line="360" w:lineRule="auto"/>
        <w:ind w:left="1982" w:hanging="566"/>
      </w:pPr>
      <w:r w:rsidRPr="00434E9D">
        <w:t>«ix)</w:t>
      </w:r>
      <w:r w:rsidRPr="00434E9D">
        <w:tab/>
        <w:t>Les résultats de l’exercice d’</w:t>
      </w:r>
      <w:proofErr w:type="spellStart"/>
      <w:r w:rsidRPr="00434E9D">
        <w:t>interétalonnage</w:t>
      </w:r>
      <w:proofErr w:type="spellEnd"/>
      <w:r w:rsidRPr="00434E9D">
        <w:t xml:space="preserve"> et les valeurs établies pour les classifications du système de contrôle des États membres conformément aux points i) à viii) sont publiés dans un délai de six mois à compter de l’adoption de l’acte délégué conformément à l’article 20..»</w:t>
      </w:r>
    </w:p>
    <w:p w14:paraId="2F18D79C" w14:textId="77777777" w:rsidR="008C3DE0" w:rsidRPr="00434E9D" w:rsidRDefault="008C3DE0" w:rsidP="00E96033">
      <w:pPr>
        <w:spacing w:line="360" w:lineRule="auto"/>
        <w:ind w:left="850" w:hanging="850"/>
      </w:pPr>
      <w:r w:rsidRPr="00434E9D">
        <w:t>(13)</w:t>
      </w:r>
      <w:r w:rsidRPr="00434E9D">
        <w:tab/>
        <w:t>Au point 1.4.2, le point iii) est supprimé.</w:t>
      </w:r>
    </w:p>
    <w:p w14:paraId="67144F37" w14:textId="77777777" w:rsidR="008C3DE0" w:rsidRPr="00434E9D" w:rsidRDefault="008C3DE0" w:rsidP="00E96033">
      <w:pPr>
        <w:spacing w:line="360" w:lineRule="auto"/>
        <w:ind w:left="850" w:hanging="850"/>
      </w:pPr>
      <w:r w:rsidRPr="00434E9D">
        <w:t>(14)</w:t>
      </w:r>
      <w:r w:rsidRPr="00434E9D">
        <w:tab/>
        <w:t>Au point 1.4.3, premier paragraphe, la première phrase est remplacée par le texte suivant:</w:t>
      </w:r>
    </w:p>
    <w:p w14:paraId="112FDF21" w14:textId="77777777" w:rsidR="008C3DE0" w:rsidRPr="00434E9D" w:rsidRDefault="008C3DE0" w:rsidP="00E96033">
      <w:pPr>
        <w:spacing w:line="360" w:lineRule="auto"/>
        <w:ind w:left="850"/>
      </w:pPr>
      <w:r w:rsidRPr="00434E9D">
        <w:t>«Une masse d’eau est enregistrée comme atteignant un bon état chimique si elle répond à toutes les normes de qualité environnementale établies à l’annexe I, partie A, de la directive 2008/105/CE et aux normes de qualité environnementale établies en application des articles 8 et 8 quinquies de ladite directive..»</w:t>
      </w:r>
    </w:p>
    <w:p w14:paraId="748FA8E9" w14:textId="77777777" w:rsidR="000C5471" w:rsidRPr="00434E9D" w:rsidRDefault="000C5471">
      <w:pPr>
        <w:widowControl/>
      </w:pPr>
      <w:r w:rsidRPr="00434E9D">
        <w:br w:type="page"/>
      </w:r>
    </w:p>
    <w:p w14:paraId="464FEE20" w14:textId="77777777" w:rsidR="008C3DE0" w:rsidRPr="00434E9D" w:rsidRDefault="008C3DE0" w:rsidP="00E96033">
      <w:pPr>
        <w:spacing w:line="360" w:lineRule="auto"/>
        <w:ind w:left="850" w:hanging="850"/>
      </w:pPr>
      <w:r w:rsidRPr="00434E9D">
        <w:lastRenderedPageBreak/>
        <w:t>(15)</w:t>
      </w:r>
      <w:r w:rsidRPr="00434E9D">
        <w:tab/>
        <w:t>Au point 2.2.1, le paragraphe suivant est ajouté:</w:t>
      </w:r>
    </w:p>
    <w:p w14:paraId="036F28A8" w14:textId="77777777" w:rsidR="008C3DE0" w:rsidRPr="00434E9D" w:rsidRDefault="008C3DE0" w:rsidP="00E96033">
      <w:pPr>
        <w:spacing w:line="360" w:lineRule="auto"/>
        <w:ind w:left="850"/>
      </w:pPr>
      <w:r w:rsidRPr="00434E9D">
        <w:t>«Lorsque le réseau de surveillance s'appuie sur l’observation de la Terre et la télédétection plutôt que sur des points d’échantillonnage locaux, ou sur d’autres techniques innovantes, il est fait référence aux normes CEN, ISO ou aux autres normes internationales ou nationales qui ont été appliquées pour garantir que les données temporelles et géographiques obtenues sont aussi fiables que celles obtenues au moyen de méthodes de surveillance conventionnelles aux points d’échantillonnage locaux..»</w:t>
      </w:r>
    </w:p>
    <w:p w14:paraId="5A775F24" w14:textId="77777777" w:rsidR="000C5471" w:rsidRPr="00434E9D" w:rsidRDefault="000C5471">
      <w:pPr>
        <w:widowControl/>
      </w:pPr>
      <w:r w:rsidRPr="00434E9D">
        <w:br w:type="page"/>
      </w:r>
    </w:p>
    <w:p w14:paraId="3089C511" w14:textId="77777777" w:rsidR="008C3DE0" w:rsidRPr="00434E9D" w:rsidRDefault="008C3DE0" w:rsidP="00E96033">
      <w:pPr>
        <w:spacing w:line="360" w:lineRule="auto"/>
        <w:ind w:left="850" w:hanging="850"/>
      </w:pPr>
      <w:r w:rsidRPr="00434E9D">
        <w:lastRenderedPageBreak/>
        <w:t>(16)</w:t>
      </w:r>
      <w:r w:rsidRPr="00434E9D">
        <w:tab/>
        <w:t>Le point 2.3.2 est remplacé par le texte suivant:</w:t>
      </w:r>
    </w:p>
    <w:p w14:paraId="3059E09D" w14:textId="77777777" w:rsidR="008C3DE0" w:rsidRPr="00434E9D" w:rsidRDefault="008C3DE0" w:rsidP="00E96033">
      <w:pPr>
        <w:spacing w:line="360" w:lineRule="auto"/>
        <w:ind w:left="1416" w:hanging="566"/>
      </w:pPr>
      <w:r w:rsidRPr="00434E9D">
        <w:t>«2.3.2.</w:t>
      </w:r>
      <w:r w:rsidRPr="00434E9D">
        <w:tab/>
        <w:t>«Définition du bon état chimique des eaux souterraines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920"/>
        <w:gridCol w:w="7145"/>
      </w:tblGrid>
      <w:tr w:rsidR="008C3DE0" w:rsidRPr="00434E9D" w14:paraId="7F14820D" w14:textId="77777777" w:rsidTr="00067EED">
        <w:trPr>
          <w:tblHeader/>
        </w:trPr>
        <w:tc>
          <w:tcPr>
            <w:tcW w:w="0" w:type="auto"/>
          </w:tcPr>
          <w:p w14:paraId="030AACCC" w14:textId="77777777" w:rsidR="008C3DE0" w:rsidRPr="00434E9D" w:rsidRDefault="008C3DE0" w:rsidP="00E96033">
            <w:pPr>
              <w:spacing w:line="360" w:lineRule="auto"/>
            </w:pPr>
            <w:r w:rsidRPr="00434E9D">
              <w:t>Éléments</w:t>
            </w:r>
          </w:p>
        </w:tc>
        <w:tc>
          <w:tcPr>
            <w:tcW w:w="0" w:type="auto"/>
          </w:tcPr>
          <w:p w14:paraId="4B93C5B5" w14:textId="77777777" w:rsidR="008C3DE0" w:rsidRPr="00434E9D" w:rsidRDefault="008C3DE0" w:rsidP="00E96033">
            <w:pPr>
              <w:spacing w:line="360" w:lineRule="auto"/>
            </w:pPr>
            <w:r w:rsidRPr="00434E9D">
              <w:t>Bon état</w:t>
            </w:r>
          </w:p>
        </w:tc>
      </w:tr>
      <w:tr w:rsidR="008C3DE0" w:rsidRPr="00434E9D" w14:paraId="7F9AD5C1" w14:textId="77777777" w:rsidTr="00067EED">
        <w:tc>
          <w:tcPr>
            <w:tcW w:w="0" w:type="auto"/>
          </w:tcPr>
          <w:p w14:paraId="50CE20A3" w14:textId="77777777" w:rsidR="008C3DE0" w:rsidRPr="00434E9D" w:rsidRDefault="008C3DE0" w:rsidP="00E96033">
            <w:pPr>
              <w:spacing w:line="360" w:lineRule="auto"/>
            </w:pPr>
            <w:r w:rsidRPr="00434E9D">
              <w:t>En général</w:t>
            </w:r>
          </w:p>
        </w:tc>
        <w:tc>
          <w:tcPr>
            <w:tcW w:w="0" w:type="auto"/>
          </w:tcPr>
          <w:p w14:paraId="0EC6E70F" w14:textId="77777777" w:rsidR="008C3DE0" w:rsidRPr="00434E9D" w:rsidRDefault="008C3DE0" w:rsidP="00E96033">
            <w:pPr>
              <w:spacing w:line="360" w:lineRule="auto"/>
            </w:pPr>
            <w:r w:rsidRPr="00434E9D">
              <w:t>La composition chimique de la masse d’eau souterraine est telle que les concentrations de polluants: – comme précisé ci-après, ne montrent pas d’effets d’une invasion salée ou autre, – ne dépassent pas les normes de qualité des eaux souterraines visées à l’annexe I de la directive 2006/118/CE, les valeurs seuils pour les polluants des eaux souterraines et les indicateurs de pollution fixés en application de l’article 3, paragraphe 1, point b), de ladite directive, et les valeurs seuils à l’échelle de l’Union établies en application de l’article 8, paragraphe 3, de ladite directive, – ne sont pas telles qu’elles empêcheraient d’atteindre les objectifs environnementaux spécifiés au titre de l’article 4 pour les eaux de surface associées, entraîneraient une diminution importante de la qualité écologique ou chimique de ces masses ou occasionneraient des dommages importants aux écosystèmes terrestres qui dépendent directement de la masse d’eau souterraine.</w:t>
            </w:r>
          </w:p>
        </w:tc>
      </w:tr>
      <w:tr w:rsidR="008C3DE0" w:rsidRPr="00434E9D" w14:paraId="70707312" w14:textId="77777777" w:rsidTr="00067EED">
        <w:tc>
          <w:tcPr>
            <w:tcW w:w="0" w:type="auto"/>
          </w:tcPr>
          <w:p w14:paraId="72074CDD" w14:textId="77777777" w:rsidR="008C3DE0" w:rsidRPr="00434E9D" w:rsidRDefault="008C3DE0" w:rsidP="00E96033">
            <w:pPr>
              <w:spacing w:line="360" w:lineRule="auto"/>
            </w:pPr>
            <w:r w:rsidRPr="00434E9D">
              <w:t>Conductivité</w:t>
            </w:r>
          </w:p>
        </w:tc>
        <w:tc>
          <w:tcPr>
            <w:tcW w:w="0" w:type="auto"/>
          </w:tcPr>
          <w:p w14:paraId="1D1CAEF3" w14:textId="77777777" w:rsidR="008C3DE0" w:rsidRPr="00434E9D" w:rsidRDefault="008C3DE0" w:rsidP="00E96033">
            <w:pPr>
              <w:spacing w:line="360" w:lineRule="auto"/>
            </w:pPr>
            <w:r w:rsidRPr="00434E9D">
              <w:t>Les changements de conductivité n’indiquent pas d’invasion d’eau salée ou autre dans la masse d’eau souterraine.».</w:t>
            </w:r>
          </w:p>
        </w:tc>
      </w:tr>
    </w:tbl>
    <w:p w14:paraId="24FB6EBB" w14:textId="77777777" w:rsidR="008C3DE0" w:rsidRPr="00434E9D" w:rsidRDefault="008C3DE0" w:rsidP="00E96033">
      <w:pPr>
        <w:spacing w:line="360" w:lineRule="auto"/>
        <w:ind w:left="850"/>
      </w:pPr>
    </w:p>
    <w:p w14:paraId="5CD3B2B4" w14:textId="77777777" w:rsidR="000C5471" w:rsidRPr="00434E9D" w:rsidRDefault="000C5471">
      <w:pPr>
        <w:widowControl/>
      </w:pPr>
      <w:r w:rsidRPr="00434E9D">
        <w:br w:type="page"/>
      </w:r>
    </w:p>
    <w:p w14:paraId="407B9B20" w14:textId="77777777" w:rsidR="008C3DE0" w:rsidRPr="00434E9D" w:rsidRDefault="008C3DE0" w:rsidP="00E96033">
      <w:pPr>
        <w:spacing w:line="360" w:lineRule="auto"/>
        <w:ind w:left="850" w:hanging="850"/>
      </w:pPr>
      <w:r w:rsidRPr="00434E9D">
        <w:lastRenderedPageBreak/>
        <w:t>(17)</w:t>
      </w:r>
      <w:r w:rsidRPr="00434E9D">
        <w:tab/>
        <w:t>Au point 2.4.1, le paragraphe suivant est ajouté:</w:t>
      </w:r>
    </w:p>
    <w:p w14:paraId="60FAFE81" w14:textId="77777777" w:rsidR="008C3DE0" w:rsidRPr="00434E9D" w:rsidRDefault="008C3DE0" w:rsidP="00E96033">
      <w:pPr>
        <w:spacing w:line="360" w:lineRule="auto"/>
        <w:ind w:left="850"/>
      </w:pPr>
      <w:r w:rsidRPr="00434E9D">
        <w:t>«Lorsque le réseau de surveillance s'appuie sur l’observation de la Terre et la télédétection plutôt que sur des points d’échantillonnage locaux, ou sur d’autres techniques innovantes, il est fait référence aux normes CEN, ISO ou aux autres normes internationales ou locales qui ont été appliquées pour garantir que les données temporelles et géographiques obtenues sont aussi fiables que celles obtenues au moyen de méthodes de surveillance conventionnelles aux points d’échantillonnage locaux..»</w:t>
      </w:r>
    </w:p>
    <w:p w14:paraId="18027993" w14:textId="77777777" w:rsidR="008C3DE0" w:rsidRPr="00434E9D" w:rsidRDefault="008C3DE0" w:rsidP="00E96033">
      <w:pPr>
        <w:spacing w:line="360" w:lineRule="auto"/>
        <w:ind w:left="850" w:hanging="850"/>
      </w:pPr>
      <w:r w:rsidRPr="00434E9D">
        <w:t>(18)</w:t>
      </w:r>
      <w:r w:rsidRPr="00434E9D">
        <w:tab/>
        <w:t>Le point 2.4.5 est remplacé par le texte suivant:</w:t>
      </w:r>
    </w:p>
    <w:p w14:paraId="31FEC6A8" w14:textId="77777777" w:rsidR="008C3DE0" w:rsidRPr="00434E9D" w:rsidRDefault="008C3DE0" w:rsidP="00E96033">
      <w:pPr>
        <w:spacing w:line="360" w:lineRule="auto"/>
        <w:ind w:left="1416" w:hanging="566"/>
      </w:pPr>
      <w:r w:rsidRPr="00434E9D">
        <w:t>«2.4.5.</w:t>
      </w:r>
      <w:r w:rsidRPr="00434E9D">
        <w:tab/>
        <w:t>Interprétation et présentation de l’état chimique des eaux souterraines</w:t>
      </w:r>
    </w:p>
    <w:p w14:paraId="1617F519" w14:textId="77777777" w:rsidR="008C3DE0" w:rsidRPr="00434E9D" w:rsidRDefault="008C3DE0" w:rsidP="00E96033">
      <w:pPr>
        <w:spacing w:line="360" w:lineRule="auto"/>
      </w:pPr>
    </w:p>
    <w:p w14:paraId="3022804C" w14:textId="77777777" w:rsidR="008C3DE0" w:rsidRPr="00434E9D" w:rsidRDefault="008C3DE0" w:rsidP="00E96033">
      <w:pPr>
        <w:spacing w:line="360" w:lineRule="auto"/>
        <w:ind w:left="1416"/>
      </w:pPr>
      <w:r w:rsidRPr="00434E9D">
        <w:t>Pour l’évaluation de l’état chimique des eaux souterraines, les résultats des différents points de surveillance dans une masse d’eau souterraine sont réunis pour la masse tout entière. La valeur moyenne des résultats de la surveillance à chaque point de la masse ou du groupe de masses d’eau souterraine est calculée pour les paramètres suivants:</w:t>
      </w:r>
    </w:p>
    <w:p w14:paraId="36A0B0A3" w14:textId="77777777" w:rsidR="000C5471" w:rsidRPr="00434E9D" w:rsidRDefault="000C5471">
      <w:pPr>
        <w:widowControl/>
      </w:pPr>
      <w:r w:rsidRPr="00434E9D">
        <w:br w:type="page"/>
      </w:r>
    </w:p>
    <w:p w14:paraId="4DA52C90" w14:textId="77777777" w:rsidR="008C3DE0" w:rsidRPr="00434E9D" w:rsidRDefault="008C3DE0" w:rsidP="00E96033">
      <w:pPr>
        <w:spacing w:line="360" w:lineRule="auto"/>
        <w:ind w:left="1982" w:hanging="566"/>
      </w:pPr>
      <w:r w:rsidRPr="00434E9D">
        <w:lastRenderedPageBreak/>
        <w:t>a)</w:t>
      </w:r>
      <w:r w:rsidRPr="00434E9D">
        <w:tab/>
        <w:t>les paramètres chimiques pour lesquels des normes de qualité ont été établies à l’annexe I de la directive 2006/118/CE;</w:t>
      </w:r>
    </w:p>
    <w:p w14:paraId="54AB77DD" w14:textId="77777777" w:rsidR="008C3DE0" w:rsidRPr="00434E9D" w:rsidRDefault="008C3DE0" w:rsidP="00E96033">
      <w:pPr>
        <w:spacing w:line="360" w:lineRule="auto"/>
        <w:ind w:left="1982" w:hanging="566"/>
      </w:pPr>
      <w:r w:rsidRPr="00434E9D">
        <w:t>b)</w:t>
      </w:r>
      <w:r w:rsidRPr="00434E9D">
        <w:tab/>
        <w:t>les paramètres chimiques pour lesquels des valeurs seuils nationales ont été fixées en application de l’article 3, paragraphe 1, point b), de la directive 2006/118/CE;</w:t>
      </w:r>
    </w:p>
    <w:p w14:paraId="5122342C" w14:textId="77777777" w:rsidR="008C3DE0" w:rsidRPr="00434E9D" w:rsidRDefault="008C3DE0" w:rsidP="00E96033">
      <w:pPr>
        <w:spacing w:line="360" w:lineRule="auto"/>
        <w:ind w:left="1982" w:hanging="566"/>
      </w:pPr>
      <w:r w:rsidRPr="00434E9D">
        <w:t>c)</w:t>
      </w:r>
      <w:r w:rsidRPr="00434E9D">
        <w:tab/>
        <w:t>les paramètres chimiques pour lesquels des valeurs seuils à l’échelle de l’Union ont été fixées en application de l’article 8, paragraphe 3, de la directive 2006/118/CE.</w:t>
      </w:r>
    </w:p>
    <w:p w14:paraId="2838627D" w14:textId="77777777" w:rsidR="008C3DE0" w:rsidRPr="00434E9D" w:rsidRDefault="008C3DE0" w:rsidP="00E96033">
      <w:pPr>
        <w:spacing w:line="360" w:lineRule="auto"/>
        <w:ind w:left="1416"/>
      </w:pPr>
      <w:r w:rsidRPr="00434E9D">
        <w:t>Les valeurs moyennes visées au premier paragraphe sont utilisées pour démontrer le respect du bon état chimique des eaux souterraines défini par rapport aux normes de qualité et aux valeurs seuils visées au premier paragraphe.</w:t>
      </w:r>
    </w:p>
    <w:p w14:paraId="16271B79" w14:textId="77777777" w:rsidR="008C3DE0" w:rsidRPr="00434E9D" w:rsidRDefault="008C3DE0" w:rsidP="00E96033">
      <w:pPr>
        <w:spacing w:line="360" w:lineRule="auto"/>
      </w:pPr>
    </w:p>
    <w:p w14:paraId="75559E10" w14:textId="77777777" w:rsidR="008C3DE0" w:rsidRPr="00434E9D" w:rsidRDefault="008C3DE0" w:rsidP="00E96033">
      <w:pPr>
        <w:spacing w:line="360" w:lineRule="auto"/>
        <w:ind w:left="1416"/>
      </w:pPr>
      <w:r w:rsidRPr="00434E9D">
        <w:t>Sous réserve du point 2.5, les États membres fournissent une carte sur laquelle l’état chimique des eaux souterraines est indiqué par les couleurs suivantes:</w:t>
      </w:r>
    </w:p>
    <w:p w14:paraId="709DB2FC" w14:textId="77777777" w:rsidR="008C3DE0" w:rsidRPr="00434E9D" w:rsidRDefault="008C3DE0" w:rsidP="00E96033">
      <w:pPr>
        <w:spacing w:line="360" w:lineRule="auto"/>
        <w:ind w:left="1416"/>
      </w:pPr>
      <w:r w:rsidRPr="00434E9D">
        <w:t>bon: vert,</w:t>
      </w:r>
    </w:p>
    <w:p w14:paraId="6CE87264" w14:textId="77777777" w:rsidR="008C3DE0" w:rsidRPr="00434E9D" w:rsidRDefault="008C3DE0" w:rsidP="00E96033">
      <w:pPr>
        <w:spacing w:line="360" w:lineRule="auto"/>
        <w:ind w:left="1416"/>
      </w:pPr>
      <w:r w:rsidRPr="00434E9D">
        <w:t>médiocre: rouge.</w:t>
      </w:r>
    </w:p>
    <w:p w14:paraId="2C79687B" w14:textId="77777777" w:rsidR="000C5471" w:rsidRPr="00434E9D" w:rsidRDefault="000C5471">
      <w:pPr>
        <w:widowControl/>
      </w:pPr>
      <w:r w:rsidRPr="00434E9D">
        <w:br w:type="page"/>
      </w:r>
    </w:p>
    <w:p w14:paraId="48A9FDCA" w14:textId="77777777" w:rsidR="008C3DE0" w:rsidRPr="00434E9D" w:rsidRDefault="008C3DE0" w:rsidP="00E96033">
      <w:pPr>
        <w:spacing w:line="360" w:lineRule="auto"/>
        <w:ind w:left="1416"/>
        <w:rPr>
          <w:b/>
        </w:rPr>
      </w:pPr>
      <w:r w:rsidRPr="00434E9D">
        <w:lastRenderedPageBreak/>
        <w:t xml:space="preserve">Les États membres indiquent également par un point noir sur la carte les masses d’eau souterraine qui subissent </w:t>
      </w:r>
      <w:r w:rsidRPr="00434E9D">
        <w:rPr>
          <w:strike/>
        </w:rPr>
        <w:t xml:space="preserve">une tendance significative et </w:t>
      </w:r>
      <w:proofErr w:type="spellStart"/>
      <w:r w:rsidRPr="00434E9D">
        <w:rPr>
          <w:strike/>
        </w:rPr>
        <w:t>durable</w:t>
      </w:r>
      <w:r w:rsidRPr="00434E9D">
        <w:rPr>
          <w:b/>
          <w:i/>
        </w:rPr>
        <w:t>des</w:t>
      </w:r>
      <w:proofErr w:type="spellEnd"/>
      <w:r w:rsidRPr="00434E9D">
        <w:rPr>
          <w:b/>
          <w:i/>
        </w:rPr>
        <w:t xml:space="preserve"> tendances significatives et durables</w:t>
      </w:r>
      <w:r w:rsidRPr="00434E9D">
        <w:t xml:space="preserve"> à la hausse</w:t>
      </w:r>
      <w:r w:rsidRPr="00434E9D">
        <w:rPr>
          <w:b/>
          <w:i/>
        </w:rPr>
        <w:t>, y compris des tendances saisonnières à la hausse dues, entre autres, au faible débit d’une masse d’eau,</w:t>
      </w:r>
      <w:r w:rsidRPr="00434E9D">
        <w:t xml:space="preserve"> des concentrations d’un polluant quelconque résultant de l’effet de l’activité humaine. Les renversements de tendance doivent être indiqués par un point bleu sur la carte.</w:t>
      </w:r>
      <w:r w:rsidR="000C5471" w:rsidRPr="00434E9D">
        <w:t xml:space="preserve"> </w:t>
      </w:r>
      <w:r w:rsidR="000C5471" w:rsidRPr="00434E9D">
        <w:rPr>
          <w:b/>
        </w:rPr>
        <w:t xml:space="preserve"> [Am. 140]</w:t>
      </w:r>
    </w:p>
    <w:p w14:paraId="3C7A16AF" w14:textId="77777777" w:rsidR="008C3DE0" w:rsidRPr="00434E9D" w:rsidRDefault="008C3DE0" w:rsidP="00E96033">
      <w:pPr>
        <w:spacing w:line="360" w:lineRule="auto"/>
        <w:ind w:left="1416"/>
      </w:pPr>
      <w:r w:rsidRPr="00434E9D">
        <w:t>Ces cartes sont incluses dans les plans de gestion de district hydrographique.»</w:t>
      </w:r>
    </w:p>
    <w:p w14:paraId="32C50B6C" w14:textId="77777777" w:rsidR="008C3DE0" w:rsidRPr="00434E9D" w:rsidRDefault="008C3DE0" w:rsidP="00E96033">
      <w:pPr>
        <w:spacing w:line="360" w:lineRule="auto"/>
        <w:sectPr w:rsidR="008C3DE0" w:rsidRPr="00434E9D">
          <w:footnotePr>
            <w:numRestart w:val="eachSect"/>
          </w:footnotePr>
          <w:pgSz w:w="11909" w:h="16834"/>
          <w:pgMar w:top="1134" w:right="1417" w:bottom="1417" w:left="1417" w:header="1134" w:footer="567" w:gutter="0"/>
          <w:cols w:space="720"/>
        </w:sectPr>
      </w:pPr>
    </w:p>
    <w:p w14:paraId="4C53EB86" w14:textId="77777777" w:rsidR="008C3DE0" w:rsidRPr="00434E9D" w:rsidRDefault="008C3DE0" w:rsidP="00E96033">
      <w:pPr>
        <w:spacing w:line="360" w:lineRule="auto"/>
      </w:pPr>
    </w:p>
    <w:p w14:paraId="4A7F63D9" w14:textId="77777777" w:rsidR="008C3DE0" w:rsidRPr="00434E9D" w:rsidRDefault="000C5471" w:rsidP="00E96033">
      <w:pPr>
        <w:pStyle w:val="Normale"/>
        <w:jc w:val="center"/>
        <w:rPr>
          <w:lang w:val="fr-FR"/>
        </w:rPr>
      </w:pPr>
      <w:r w:rsidRPr="00434E9D">
        <w:rPr>
          <w:lang w:val="fr-FR"/>
        </w:rPr>
        <w:t>Annexe</w:t>
      </w:r>
      <w:r w:rsidR="008C3DE0" w:rsidRPr="00434E9D">
        <w:rPr>
          <w:lang w:val="fr-FR"/>
        </w:rPr>
        <w:t xml:space="preserve"> II</w:t>
      </w:r>
    </w:p>
    <w:p w14:paraId="14265274" w14:textId="77777777" w:rsidR="008C3DE0" w:rsidRPr="00434E9D" w:rsidRDefault="008C3DE0" w:rsidP="00E96033">
      <w:pPr>
        <w:pStyle w:val="Applicationdirecte"/>
        <w:rPr>
          <w:lang w:val="fr-FR"/>
        </w:rPr>
      </w:pPr>
      <w:r w:rsidRPr="00434E9D">
        <w:rPr>
          <w:lang w:val="fr-FR"/>
        </w:rPr>
        <w:t>L’annexe VIII de la directive 2000/60/CE est modifiée comme suit:</w:t>
      </w:r>
    </w:p>
    <w:p w14:paraId="1D35DEB8" w14:textId="77777777" w:rsidR="008C3DE0" w:rsidRPr="00434E9D" w:rsidRDefault="008C3DE0" w:rsidP="00E96033">
      <w:pPr>
        <w:spacing w:line="360" w:lineRule="auto"/>
        <w:ind w:left="850" w:hanging="850"/>
      </w:pPr>
      <w:r w:rsidRPr="00434E9D">
        <w:t>1)</w:t>
      </w:r>
      <w:r w:rsidRPr="00434E9D">
        <w:tab/>
        <w:t>Le point 10 est remplacé par le texte suivant:</w:t>
      </w:r>
    </w:p>
    <w:p w14:paraId="36AE03A0" w14:textId="77777777" w:rsidR="008C3DE0" w:rsidRPr="00434E9D" w:rsidRDefault="008C3DE0" w:rsidP="00E96033">
      <w:pPr>
        <w:spacing w:line="360" w:lineRule="auto"/>
        <w:ind w:left="1416" w:hanging="566"/>
        <w:rPr>
          <w:b/>
        </w:rPr>
      </w:pPr>
      <w:r w:rsidRPr="00434E9D">
        <w:t>«10.</w:t>
      </w:r>
      <w:r w:rsidRPr="00434E9D">
        <w:tab/>
        <w:t xml:space="preserve">Matières en suspension, </w:t>
      </w:r>
      <w:r w:rsidRPr="00434E9D">
        <w:rPr>
          <w:strike/>
        </w:rPr>
        <w:t xml:space="preserve">y compris les micro </w:t>
      </w:r>
      <w:proofErr w:type="spellStart"/>
      <w:r w:rsidRPr="00434E9D">
        <w:rPr>
          <w:strike/>
        </w:rPr>
        <w:t>et</w:t>
      </w:r>
      <w:r w:rsidRPr="00434E9D">
        <w:rPr>
          <w:b/>
          <w:i/>
        </w:rPr>
        <w:t>dont</w:t>
      </w:r>
      <w:proofErr w:type="spellEnd"/>
      <w:r w:rsidRPr="00434E9D">
        <w:rPr>
          <w:b/>
          <w:i/>
        </w:rPr>
        <w:t xml:space="preserve"> micro/</w:t>
      </w:r>
      <w:proofErr w:type="spellStart"/>
      <w:r w:rsidRPr="00434E9D">
        <w:rPr>
          <w:b/>
          <w:i/>
        </w:rPr>
        <w:t>nanoplastiques</w:t>
      </w:r>
      <w:proofErr w:type="spellEnd"/>
      <w:r w:rsidRPr="00434E9D">
        <w:rPr>
          <w:b/>
          <w:i/>
        </w:rPr>
        <w:t>, et matières connues comme donnant lieu à des microplastiques ou des</w:t>
      </w:r>
      <w:r w:rsidRPr="00434E9D">
        <w:t xml:space="preserve"> </w:t>
      </w:r>
      <w:proofErr w:type="spellStart"/>
      <w:r w:rsidRPr="00434E9D">
        <w:t>nanoplastiques</w:t>
      </w:r>
      <w:proofErr w:type="spellEnd"/>
      <w:r w:rsidRPr="00434E9D">
        <w:t>.</w:t>
      </w:r>
      <w:r w:rsidRPr="00434E9D">
        <w:rPr>
          <w:strike/>
        </w:rPr>
        <w:t>.</w:t>
      </w:r>
      <w:r w:rsidRPr="00434E9D">
        <w:t>»</w:t>
      </w:r>
      <w:r w:rsidR="000C5471" w:rsidRPr="00434E9D">
        <w:t xml:space="preserve"> </w:t>
      </w:r>
      <w:r w:rsidR="000C5471" w:rsidRPr="00434E9D">
        <w:rPr>
          <w:b/>
        </w:rPr>
        <w:t xml:space="preserve"> [Am. 141]</w:t>
      </w:r>
    </w:p>
    <w:p w14:paraId="4CCDCF3D" w14:textId="77777777" w:rsidR="008C3DE0" w:rsidRPr="00434E9D" w:rsidRDefault="008C3DE0" w:rsidP="00E96033">
      <w:pPr>
        <w:spacing w:line="360" w:lineRule="auto"/>
        <w:ind w:left="850" w:hanging="850"/>
      </w:pPr>
      <w:r w:rsidRPr="00434E9D">
        <w:t>2)</w:t>
      </w:r>
      <w:r w:rsidRPr="00434E9D">
        <w:tab/>
        <w:t>Le point 13 suivant est ajouté:</w:t>
      </w:r>
    </w:p>
    <w:p w14:paraId="0E944742" w14:textId="77777777" w:rsidR="008C3DE0" w:rsidRPr="00434E9D" w:rsidRDefault="008C3DE0" w:rsidP="00E96033">
      <w:pPr>
        <w:spacing w:line="360" w:lineRule="auto"/>
        <w:ind w:left="1416" w:hanging="566"/>
      </w:pPr>
      <w:r w:rsidRPr="00434E9D">
        <w:t>«13.</w:t>
      </w:r>
      <w:r w:rsidRPr="00434E9D">
        <w:tab/>
        <w:t>Microorganismes, gènes ou matériel génétique reflétant la présence de microorganismes résistants aux agents antimicrobiens, en particulier les microorganismes pathogènes pour l’homme ou les animaux..»</w:t>
      </w:r>
    </w:p>
    <w:p w14:paraId="697E5843" w14:textId="77777777" w:rsidR="008C3DE0" w:rsidRPr="00434E9D" w:rsidRDefault="008C3DE0" w:rsidP="00E96033">
      <w:pPr>
        <w:spacing w:line="360" w:lineRule="auto"/>
        <w:sectPr w:rsidR="008C3DE0" w:rsidRPr="00434E9D">
          <w:footnotePr>
            <w:numRestart w:val="eachSect"/>
          </w:footnotePr>
          <w:pgSz w:w="11909" w:h="16834"/>
          <w:pgMar w:top="1134" w:right="1417" w:bottom="1417" w:left="1417" w:header="1134" w:footer="567" w:gutter="0"/>
          <w:cols w:space="720"/>
        </w:sectPr>
      </w:pPr>
    </w:p>
    <w:p w14:paraId="2F0CDF67" w14:textId="77777777" w:rsidR="008C3DE0" w:rsidRPr="00434E9D" w:rsidRDefault="008C3DE0" w:rsidP="00E96033">
      <w:pPr>
        <w:spacing w:line="360" w:lineRule="auto"/>
      </w:pPr>
    </w:p>
    <w:p w14:paraId="1BE33CD3" w14:textId="77777777" w:rsidR="008C3DE0" w:rsidRPr="00434E9D" w:rsidRDefault="008C3DE0" w:rsidP="00E96033">
      <w:pPr>
        <w:pStyle w:val="Normale"/>
        <w:jc w:val="center"/>
        <w:rPr>
          <w:lang w:val="fr-FR"/>
        </w:rPr>
      </w:pPr>
      <w:r w:rsidRPr="00434E9D">
        <w:rPr>
          <w:lang w:val="fr-FR"/>
        </w:rPr>
        <w:t>Annex</w:t>
      </w:r>
      <w:r w:rsidR="000C5471" w:rsidRPr="00434E9D">
        <w:rPr>
          <w:lang w:val="fr-FR"/>
        </w:rPr>
        <w:t>e</w:t>
      </w:r>
      <w:r w:rsidRPr="00434E9D">
        <w:rPr>
          <w:lang w:val="fr-FR"/>
        </w:rPr>
        <w:t xml:space="preserve"> III</w:t>
      </w:r>
    </w:p>
    <w:p w14:paraId="77A12C49" w14:textId="77777777" w:rsidR="008C3DE0" w:rsidRPr="00434E9D" w:rsidRDefault="008C3DE0" w:rsidP="00E96033">
      <w:pPr>
        <w:pStyle w:val="Applicationdirecte"/>
        <w:ind w:left="850"/>
        <w:rPr>
          <w:lang w:val="fr-FR"/>
        </w:rPr>
      </w:pPr>
    </w:p>
    <w:p w14:paraId="7D2CF137" w14:textId="77777777" w:rsidR="008C3DE0" w:rsidRPr="00434E9D" w:rsidRDefault="008C3DE0" w:rsidP="00E96033">
      <w:pPr>
        <w:spacing w:line="360" w:lineRule="auto"/>
        <w:ind w:left="850"/>
      </w:pPr>
      <w:r w:rsidRPr="00434E9D">
        <w:t>«ANNEXE I</w:t>
      </w:r>
    </w:p>
    <w:p w14:paraId="402EBF32" w14:textId="77777777" w:rsidR="008C3DE0" w:rsidRPr="00434E9D" w:rsidRDefault="008C3DE0" w:rsidP="00E96033">
      <w:pPr>
        <w:spacing w:line="360" w:lineRule="auto"/>
        <w:ind w:left="850"/>
      </w:pPr>
      <w:r w:rsidRPr="00434E9D">
        <w:t>NORMES DE QUALITÉ DES EAUX SOUTERRAINES</w:t>
      </w:r>
    </w:p>
    <w:p w14:paraId="5C69B083" w14:textId="77777777" w:rsidR="008C3DE0" w:rsidRPr="00434E9D" w:rsidRDefault="008C3DE0" w:rsidP="00E96033">
      <w:pPr>
        <w:spacing w:line="360" w:lineRule="auto"/>
        <w:ind w:left="850"/>
        <w:rPr>
          <w:b/>
        </w:rPr>
      </w:pPr>
      <w:r w:rsidRPr="00434E9D">
        <w:t>Remarque 1: les normes de qualité pour les polluants correspondant aux entrées 3 à 7 s’appliquent à compter du … [OP: prière d</w:t>
      </w:r>
      <w:r w:rsidRPr="00434E9D">
        <w:rPr>
          <w:strike/>
        </w:rPr>
        <w:t>'</w:t>
      </w:r>
      <w:r w:rsidRPr="00434E9D">
        <w:rPr>
          <w:b/>
          <w:i/>
        </w:rPr>
        <w:t>’</w:t>
      </w:r>
      <w:r w:rsidRPr="00434E9D">
        <w:t xml:space="preserve">insérer la date correspondant au premier jour du mois suivant </w:t>
      </w:r>
      <w:r w:rsidRPr="00434E9D">
        <w:rPr>
          <w:strike/>
        </w:rPr>
        <w:t>18</w:t>
      </w:r>
      <w:r w:rsidRPr="00434E9D">
        <w:rPr>
          <w:b/>
          <w:i/>
        </w:rPr>
        <w:t>6</w:t>
      </w:r>
      <w:r w:rsidRPr="00434E9D">
        <w:t xml:space="preserve"> mois à compter de l’entrée en vigueur de la présente directive], dans le but de parvenir au bon état chimique des eaux au plus tard le 22 décembre 2033.</w:t>
      </w:r>
      <w:r w:rsidR="000C5471" w:rsidRPr="00434E9D">
        <w:t xml:space="preserve"> </w:t>
      </w:r>
      <w:r w:rsidR="000C5471" w:rsidRPr="00434E9D">
        <w:rPr>
          <w:b/>
        </w:rPr>
        <w:t xml:space="preserve"> [Am. 142]</w:t>
      </w:r>
    </w:p>
    <w:p w14:paraId="5DA57924" w14:textId="77777777" w:rsidR="000C5471" w:rsidRPr="00434E9D" w:rsidRDefault="008C3DE0" w:rsidP="00E96033">
      <w:pPr>
        <w:spacing w:line="360" w:lineRule="auto"/>
        <w:ind w:left="850"/>
        <w:rPr>
          <w:b/>
        </w:rPr>
        <w:sectPr w:rsidR="000C5471" w:rsidRPr="00434E9D">
          <w:footnotePr>
            <w:numRestart w:val="eachSect"/>
          </w:footnotePr>
          <w:pgSz w:w="11909" w:h="16834"/>
          <w:pgMar w:top="1134" w:right="1417" w:bottom="1417" w:left="1417" w:header="1134" w:footer="567" w:gutter="0"/>
          <w:cols w:space="720"/>
        </w:sectPr>
      </w:pPr>
      <w:r w:rsidRPr="00434E9D">
        <w:rPr>
          <w:b/>
          <w:i/>
        </w:rPr>
        <w:t>Lorsque, pour une masse d’eau souterraine donnée, notamment une masse d’eau située dans un réseau écologique de zones spéciales de conservation en vertu de la directive 92/43/CEE du Conseil, on considère que les normes de qualité pourraient empêcher de réaliser les objectifs environnementaux définis à l’article 4 de la directive 2000/60/CE pour les eaux de surface associées, ou entraîner une détérioration significative de la qualité écologique ou chimique de ces masses, ou un quelconque dommage significatif aux écosystèmes des eaux souterraines ou aux écosystèmes terrestres qui dépendent directement de la masse d’eau souterraine, des valeurs seuils plus strictes sont établies conformément à l’article 3 et à l’annexe II de la présente directive. Les programmes et mesures requis en ce qui concerne de telles valeurs seuils s’appliquent également aux activités relevant de la directive 91/676/CEE.</w:t>
      </w:r>
      <w:r w:rsidR="000C5471" w:rsidRPr="00434E9D">
        <w:rPr>
          <w:b/>
          <w:i/>
        </w:rPr>
        <w:t xml:space="preserve"> </w:t>
      </w:r>
      <w:r w:rsidR="000C5471" w:rsidRPr="00434E9D">
        <w:rPr>
          <w:b/>
        </w:rPr>
        <w:t xml:space="preserve"> [Am. 143]</w:t>
      </w:r>
    </w:p>
    <w:p w14:paraId="302534F8" w14:textId="77777777" w:rsidR="008C3DE0" w:rsidRPr="00434E9D" w:rsidRDefault="008C3DE0" w:rsidP="00E96033">
      <w:pPr>
        <w:spacing w:line="360" w:lineRule="auto"/>
        <w:ind w:left="850"/>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798"/>
        <w:gridCol w:w="4099"/>
        <w:gridCol w:w="2461"/>
        <w:gridCol w:w="1711"/>
        <w:gridCol w:w="1711"/>
        <w:gridCol w:w="2493"/>
      </w:tblGrid>
      <w:tr w:rsidR="008C3DE0" w:rsidRPr="00434E9D" w14:paraId="01F70A04" w14:textId="77777777" w:rsidTr="00067EED">
        <w:trPr>
          <w:tblHeader/>
        </w:trPr>
        <w:tc>
          <w:tcPr>
            <w:tcW w:w="0" w:type="auto"/>
          </w:tcPr>
          <w:p w14:paraId="1E6DCE3C" w14:textId="77777777" w:rsidR="008C3DE0" w:rsidRPr="00434E9D" w:rsidRDefault="008C3DE0" w:rsidP="00E96033">
            <w:pPr>
              <w:spacing w:line="360" w:lineRule="auto"/>
            </w:pPr>
            <w:r w:rsidRPr="00434E9D">
              <w:t>(1)</w:t>
            </w:r>
          </w:p>
        </w:tc>
        <w:tc>
          <w:tcPr>
            <w:tcW w:w="0" w:type="auto"/>
          </w:tcPr>
          <w:p w14:paraId="758D99DA" w14:textId="77777777" w:rsidR="008C3DE0" w:rsidRPr="00434E9D" w:rsidRDefault="008C3DE0" w:rsidP="00E96033">
            <w:pPr>
              <w:spacing w:line="360" w:lineRule="auto"/>
            </w:pPr>
            <w:r w:rsidRPr="00434E9D">
              <w:t>(2)</w:t>
            </w:r>
          </w:p>
        </w:tc>
        <w:tc>
          <w:tcPr>
            <w:tcW w:w="0" w:type="auto"/>
          </w:tcPr>
          <w:p w14:paraId="54543A07" w14:textId="77777777" w:rsidR="008C3DE0" w:rsidRPr="00434E9D" w:rsidRDefault="008C3DE0" w:rsidP="00E96033">
            <w:pPr>
              <w:spacing w:line="360" w:lineRule="auto"/>
            </w:pPr>
            <w:r w:rsidRPr="00434E9D">
              <w:t>(3)</w:t>
            </w:r>
          </w:p>
        </w:tc>
        <w:tc>
          <w:tcPr>
            <w:tcW w:w="0" w:type="auto"/>
          </w:tcPr>
          <w:p w14:paraId="3E4305DF" w14:textId="77777777" w:rsidR="008C3DE0" w:rsidRPr="00434E9D" w:rsidRDefault="008C3DE0" w:rsidP="00E96033">
            <w:pPr>
              <w:spacing w:line="360" w:lineRule="auto"/>
            </w:pPr>
            <w:r w:rsidRPr="00434E9D">
              <w:t>(4)</w:t>
            </w:r>
          </w:p>
        </w:tc>
        <w:tc>
          <w:tcPr>
            <w:tcW w:w="0" w:type="auto"/>
          </w:tcPr>
          <w:p w14:paraId="2C4501FF" w14:textId="77777777" w:rsidR="008C3DE0" w:rsidRPr="00434E9D" w:rsidRDefault="008C3DE0" w:rsidP="00E96033">
            <w:pPr>
              <w:spacing w:line="360" w:lineRule="auto"/>
            </w:pPr>
            <w:r w:rsidRPr="00434E9D">
              <w:t>(5)</w:t>
            </w:r>
          </w:p>
        </w:tc>
        <w:tc>
          <w:tcPr>
            <w:tcW w:w="0" w:type="auto"/>
          </w:tcPr>
          <w:p w14:paraId="6E6A6023" w14:textId="77777777" w:rsidR="008C3DE0" w:rsidRPr="00434E9D" w:rsidRDefault="008C3DE0" w:rsidP="00E96033">
            <w:pPr>
              <w:spacing w:line="360" w:lineRule="auto"/>
            </w:pPr>
            <w:r w:rsidRPr="00434E9D">
              <w:t>(6)</w:t>
            </w:r>
          </w:p>
        </w:tc>
      </w:tr>
      <w:tr w:rsidR="008C3DE0" w:rsidRPr="00434E9D" w14:paraId="09ADE3CB" w14:textId="77777777" w:rsidTr="00067EED">
        <w:tc>
          <w:tcPr>
            <w:tcW w:w="0" w:type="auto"/>
          </w:tcPr>
          <w:p w14:paraId="7D47F31F" w14:textId="77777777" w:rsidR="008C3DE0" w:rsidRPr="00434E9D" w:rsidRDefault="008C3DE0" w:rsidP="00E96033">
            <w:pPr>
              <w:spacing w:line="360" w:lineRule="auto"/>
            </w:pPr>
            <w:r w:rsidRPr="00434E9D">
              <w:t>[Entrée] No</w:t>
            </w:r>
          </w:p>
        </w:tc>
        <w:tc>
          <w:tcPr>
            <w:tcW w:w="0" w:type="auto"/>
          </w:tcPr>
          <w:p w14:paraId="4C46EAE4" w14:textId="77777777" w:rsidR="008C3DE0" w:rsidRPr="00434E9D" w:rsidRDefault="008C3DE0" w:rsidP="00E96033">
            <w:pPr>
              <w:spacing w:line="360" w:lineRule="auto"/>
            </w:pPr>
            <w:r w:rsidRPr="00434E9D">
              <w:t>Nom de la substance</w:t>
            </w:r>
          </w:p>
        </w:tc>
        <w:tc>
          <w:tcPr>
            <w:tcW w:w="0" w:type="auto"/>
          </w:tcPr>
          <w:p w14:paraId="57AE1CB2" w14:textId="77777777" w:rsidR="008C3DE0" w:rsidRPr="00434E9D" w:rsidRDefault="008C3DE0" w:rsidP="00E96033">
            <w:pPr>
              <w:spacing w:line="360" w:lineRule="auto"/>
            </w:pPr>
            <w:r w:rsidRPr="00434E9D">
              <w:t>Catégorie de substances</w:t>
            </w:r>
          </w:p>
        </w:tc>
        <w:tc>
          <w:tcPr>
            <w:tcW w:w="0" w:type="auto"/>
          </w:tcPr>
          <w:p w14:paraId="4D8FB9C5" w14:textId="77777777" w:rsidR="008C3DE0" w:rsidRPr="00434E9D" w:rsidRDefault="008C3DE0" w:rsidP="00E96033">
            <w:pPr>
              <w:spacing w:line="360" w:lineRule="auto"/>
            </w:pPr>
            <w:r w:rsidRPr="00434E9D">
              <w:t xml:space="preserve">Numéro CAS </w:t>
            </w:r>
            <w:r w:rsidRPr="00434E9D">
              <w:rPr>
                <w:vertAlign w:val="superscript"/>
              </w:rPr>
              <w:t>(1)</w:t>
            </w:r>
          </w:p>
        </w:tc>
        <w:tc>
          <w:tcPr>
            <w:tcW w:w="0" w:type="auto"/>
          </w:tcPr>
          <w:p w14:paraId="1DD6A3FE" w14:textId="77777777" w:rsidR="008C3DE0" w:rsidRPr="00434E9D" w:rsidRDefault="008C3DE0" w:rsidP="00E96033">
            <w:pPr>
              <w:spacing w:line="360" w:lineRule="auto"/>
            </w:pPr>
            <w:r w:rsidRPr="00434E9D">
              <w:t xml:space="preserve">Numéro UE </w:t>
            </w:r>
            <w:r w:rsidRPr="00434E9D">
              <w:rPr>
                <w:vertAlign w:val="superscript"/>
              </w:rPr>
              <w:t>(2)</w:t>
            </w:r>
          </w:p>
        </w:tc>
        <w:tc>
          <w:tcPr>
            <w:tcW w:w="0" w:type="auto"/>
          </w:tcPr>
          <w:p w14:paraId="4E5E108E" w14:textId="77777777" w:rsidR="008C3DE0" w:rsidRPr="00434E9D" w:rsidRDefault="008C3DE0" w:rsidP="00E96033">
            <w:pPr>
              <w:spacing w:line="360" w:lineRule="auto"/>
            </w:pPr>
            <w:r w:rsidRPr="00434E9D">
              <w:t xml:space="preserve">Norme de qualité </w:t>
            </w:r>
            <w:r w:rsidRPr="00434E9D">
              <w:rPr>
                <w:vertAlign w:val="superscript"/>
              </w:rPr>
              <w:t>(3)</w:t>
            </w:r>
            <w:r w:rsidRPr="00434E9D">
              <w:t xml:space="preserve"> [µg/l sauf indication contraire]</w:t>
            </w:r>
          </w:p>
        </w:tc>
      </w:tr>
      <w:tr w:rsidR="008C3DE0" w:rsidRPr="00434E9D" w14:paraId="27B185B7" w14:textId="77777777" w:rsidTr="00067EED">
        <w:tc>
          <w:tcPr>
            <w:tcW w:w="0" w:type="auto"/>
          </w:tcPr>
          <w:p w14:paraId="6F088BCE" w14:textId="77777777" w:rsidR="008C3DE0" w:rsidRPr="00434E9D" w:rsidRDefault="008C3DE0" w:rsidP="00E96033">
            <w:pPr>
              <w:spacing w:line="360" w:lineRule="auto"/>
            </w:pPr>
            <w:r w:rsidRPr="00434E9D">
              <w:t>1</w:t>
            </w:r>
          </w:p>
        </w:tc>
        <w:tc>
          <w:tcPr>
            <w:tcW w:w="0" w:type="auto"/>
          </w:tcPr>
          <w:p w14:paraId="35E84C5B" w14:textId="77777777" w:rsidR="008C3DE0" w:rsidRPr="00434E9D" w:rsidRDefault="008C3DE0" w:rsidP="00E96033">
            <w:pPr>
              <w:spacing w:line="360" w:lineRule="auto"/>
            </w:pPr>
            <w:r w:rsidRPr="00434E9D">
              <w:t>Nitrates</w:t>
            </w:r>
          </w:p>
        </w:tc>
        <w:tc>
          <w:tcPr>
            <w:tcW w:w="0" w:type="auto"/>
          </w:tcPr>
          <w:p w14:paraId="2BC615E7" w14:textId="77777777" w:rsidR="008C3DE0" w:rsidRPr="00434E9D" w:rsidRDefault="008C3DE0" w:rsidP="00E96033">
            <w:pPr>
              <w:spacing w:line="360" w:lineRule="auto"/>
            </w:pPr>
            <w:r w:rsidRPr="00434E9D">
              <w:t>Nutriments</w:t>
            </w:r>
          </w:p>
        </w:tc>
        <w:tc>
          <w:tcPr>
            <w:tcW w:w="0" w:type="auto"/>
          </w:tcPr>
          <w:p w14:paraId="69430666" w14:textId="77777777" w:rsidR="008C3DE0" w:rsidRPr="00434E9D" w:rsidRDefault="008C3DE0" w:rsidP="00E96033">
            <w:pPr>
              <w:spacing w:line="360" w:lineRule="auto"/>
            </w:pPr>
            <w:r w:rsidRPr="00434E9D">
              <w:t>sans objet</w:t>
            </w:r>
          </w:p>
        </w:tc>
        <w:tc>
          <w:tcPr>
            <w:tcW w:w="0" w:type="auto"/>
          </w:tcPr>
          <w:p w14:paraId="4B595BD5" w14:textId="77777777" w:rsidR="008C3DE0" w:rsidRPr="00434E9D" w:rsidRDefault="008C3DE0" w:rsidP="00E96033">
            <w:pPr>
              <w:spacing w:line="360" w:lineRule="auto"/>
            </w:pPr>
            <w:r w:rsidRPr="00434E9D">
              <w:t>sans objet</w:t>
            </w:r>
          </w:p>
        </w:tc>
        <w:tc>
          <w:tcPr>
            <w:tcW w:w="0" w:type="auto"/>
          </w:tcPr>
          <w:p w14:paraId="3E24DFFB" w14:textId="77777777" w:rsidR="008C3DE0" w:rsidRPr="00434E9D" w:rsidRDefault="008C3DE0" w:rsidP="00E96033">
            <w:pPr>
              <w:spacing w:line="360" w:lineRule="auto"/>
            </w:pPr>
            <w:r w:rsidRPr="00434E9D">
              <w:t>50 mg/l</w:t>
            </w:r>
          </w:p>
        </w:tc>
      </w:tr>
      <w:tr w:rsidR="008C3DE0" w:rsidRPr="00434E9D" w14:paraId="16B469E8" w14:textId="77777777" w:rsidTr="00067EED">
        <w:tc>
          <w:tcPr>
            <w:tcW w:w="0" w:type="auto"/>
            <w:vMerge w:val="restart"/>
          </w:tcPr>
          <w:p w14:paraId="606375AD" w14:textId="77777777" w:rsidR="008C3DE0" w:rsidRPr="00434E9D" w:rsidRDefault="008C3DE0" w:rsidP="00E96033">
            <w:pPr>
              <w:spacing w:line="360" w:lineRule="auto"/>
              <w:rPr>
                <w:b/>
              </w:rPr>
            </w:pPr>
            <w:r w:rsidRPr="00434E9D">
              <w:t>2</w:t>
            </w:r>
            <w:r w:rsidR="000C5471" w:rsidRPr="00434E9D">
              <w:t xml:space="preserve"> </w:t>
            </w:r>
            <w:r w:rsidR="000C5471" w:rsidRPr="00434E9D">
              <w:rPr>
                <w:b/>
              </w:rPr>
              <w:t xml:space="preserve"> [Am. 144]</w:t>
            </w:r>
          </w:p>
        </w:tc>
        <w:tc>
          <w:tcPr>
            <w:tcW w:w="0" w:type="auto"/>
            <w:vMerge w:val="restart"/>
          </w:tcPr>
          <w:p w14:paraId="62A65087" w14:textId="77777777" w:rsidR="008C3DE0" w:rsidRPr="00434E9D" w:rsidRDefault="008C3DE0" w:rsidP="00E96033">
            <w:pPr>
              <w:spacing w:line="360" w:lineRule="auto"/>
            </w:pPr>
            <w:r w:rsidRPr="00434E9D">
              <w:t xml:space="preserve">Substances actives des pesticides, ainsi que les métabolites et produits de dégradation et de réaction pertinents </w:t>
            </w:r>
            <w:r w:rsidRPr="00434E9D">
              <w:rPr>
                <w:vertAlign w:val="superscript"/>
              </w:rPr>
              <w:t>(4)</w:t>
            </w:r>
          </w:p>
        </w:tc>
        <w:tc>
          <w:tcPr>
            <w:tcW w:w="0" w:type="auto"/>
            <w:vMerge w:val="restart"/>
          </w:tcPr>
          <w:p w14:paraId="216C2D5A" w14:textId="77777777" w:rsidR="008C3DE0" w:rsidRPr="00434E9D" w:rsidRDefault="008C3DE0" w:rsidP="00E96033">
            <w:pPr>
              <w:spacing w:line="360" w:lineRule="auto"/>
            </w:pPr>
            <w:r w:rsidRPr="00434E9D">
              <w:t>Pesticides</w:t>
            </w:r>
          </w:p>
        </w:tc>
        <w:tc>
          <w:tcPr>
            <w:tcW w:w="0" w:type="auto"/>
            <w:vMerge w:val="restart"/>
          </w:tcPr>
          <w:p w14:paraId="4E149529" w14:textId="77777777" w:rsidR="008C3DE0" w:rsidRPr="00434E9D" w:rsidRDefault="008C3DE0" w:rsidP="00E96033">
            <w:pPr>
              <w:spacing w:line="360" w:lineRule="auto"/>
            </w:pPr>
            <w:r w:rsidRPr="00434E9D">
              <w:t>sans objet</w:t>
            </w:r>
          </w:p>
        </w:tc>
        <w:tc>
          <w:tcPr>
            <w:tcW w:w="0" w:type="auto"/>
            <w:vMerge w:val="restart"/>
          </w:tcPr>
          <w:p w14:paraId="06AB19F8" w14:textId="77777777" w:rsidR="008C3DE0" w:rsidRPr="00434E9D" w:rsidRDefault="008C3DE0" w:rsidP="00E96033">
            <w:pPr>
              <w:spacing w:line="360" w:lineRule="auto"/>
            </w:pPr>
            <w:r w:rsidRPr="00434E9D">
              <w:t>sans objet</w:t>
            </w:r>
          </w:p>
        </w:tc>
        <w:tc>
          <w:tcPr>
            <w:tcW w:w="0" w:type="auto"/>
          </w:tcPr>
          <w:p w14:paraId="6D0FEAED" w14:textId="77777777" w:rsidR="008C3DE0" w:rsidRPr="00434E9D" w:rsidRDefault="008C3DE0" w:rsidP="00E96033">
            <w:pPr>
              <w:spacing w:line="360" w:lineRule="auto"/>
            </w:pPr>
            <w:r w:rsidRPr="00434E9D">
              <w:rPr>
                <w:strike/>
              </w:rPr>
              <w:t>0,1</w:t>
            </w:r>
            <w:r w:rsidR="00DA20D4" w:rsidRPr="00434E9D">
              <w:rPr>
                <w:b/>
                <w:i/>
              </w:rPr>
              <w:t>0,05</w:t>
            </w:r>
            <w:r w:rsidRPr="00434E9D">
              <w:rPr>
                <w:b/>
                <w:i/>
              </w:rPr>
              <w:t xml:space="preserve"> </w:t>
            </w:r>
            <w:r w:rsidRPr="00434E9D">
              <w:t>(individuel)</w:t>
            </w:r>
            <w:r w:rsidR="00DA20D4" w:rsidRPr="00434E9D">
              <w:t xml:space="preserve"> </w:t>
            </w:r>
            <w:r w:rsidR="00DA20D4" w:rsidRPr="00434E9D">
              <w:rPr>
                <w:vertAlign w:val="superscript"/>
              </w:rPr>
              <w:t>(4bis)</w:t>
            </w:r>
          </w:p>
        </w:tc>
      </w:tr>
      <w:tr w:rsidR="008C3DE0" w:rsidRPr="00434E9D" w14:paraId="477BF2DE" w14:textId="77777777" w:rsidTr="00067EED">
        <w:tc>
          <w:tcPr>
            <w:tcW w:w="0" w:type="auto"/>
            <w:vMerge/>
          </w:tcPr>
          <w:p w14:paraId="224F9AA9" w14:textId="77777777" w:rsidR="008C3DE0" w:rsidRPr="00434E9D" w:rsidRDefault="008C3DE0" w:rsidP="00E96033">
            <w:pPr>
              <w:spacing w:line="360" w:lineRule="auto"/>
            </w:pPr>
          </w:p>
        </w:tc>
        <w:tc>
          <w:tcPr>
            <w:tcW w:w="0" w:type="auto"/>
            <w:vMerge/>
          </w:tcPr>
          <w:p w14:paraId="62ED13C5" w14:textId="77777777" w:rsidR="008C3DE0" w:rsidRPr="00434E9D" w:rsidRDefault="008C3DE0" w:rsidP="00E96033">
            <w:pPr>
              <w:spacing w:line="360" w:lineRule="auto"/>
            </w:pPr>
          </w:p>
        </w:tc>
        <w:tc>
          <w:tcPr>
            <w:tcW w:w="0" w:type="auto"/>
            <w:vMerge/>
          </w:tcPr>
          <w:p w14:paraId="3C1C4642" w14:textId="77777777" w:rsidR="008C3DE0" w:rsidRPr="00434E9D" w:rsidRDefault="008C3DE0" w:rsidP="00E96033">
            <w:pPr>
              <w:spacing w:line="360" w:lineRule="auto"/>
            </w:pPr>
          </w:p>
        </w:tc>
        <w:tc>
          <w:tcPr>
            <w:tcW w:w="0" w:type="auto"/>
            <w:vMerge/>
          </w:tcPr>
          <w:p w14:paraId="23C015B7" w14:textId="77777777" w:rsidR="008C3DE0" w:rsidRPr="00434E9D" w:rsidRDefault="008C3DE0" w:rsidP="00E96033">
            <w:pPr>
              <w:spacing w:line="360" w:lineRule="auto"/>
            </w:pPr>
          </w:p>
        </w:tc>
        <w:tc>
          <w:tcPr>
            <w:tcW w:w="0" w:type="auto"/>
            <w:vMerge/>
          </w:tcPr>
          <w:p w14:paraId="1B0DC8C0" w14:textId="77777777" w:rsidR="008C3DE0" w:rsidRPr="00434E9D" w:rsidRDefault="008C3DE0" w:rsidP="00E96033">
            <w:pPr>
              <w:spacing w:line="360" w:lineRule="auto"/>
            </w:pPr>
          </w:p>
        </w:tc>
        <w:tc>
          <w:tcPr>
            <w:tcW w:w="0" w:type="auto"/>
          </w:tcPr>
          <w:p w14:paraId="7ADB3B39" w14:textId="77777777" w:rsidR="008C3DE0" w:rsidRPr="00434E9D" w:rsidRDefault="00DA20D4" w:rsidP="00E96033">
            <w:pPr>
              <w:spacing w:line="360" w:lineRule="auto"/>
            </w:pPr>
            <w:r w:rsidRPr="00434E9D">
              <w:rPr>
                <w:strike/>
              </w:rPr>
              <w:t>0,5</w:t>
            </w:r>
            <w:r w:rsidRPr="00434E9D">
              <w:rPr>
                <w:b/>
                <w:i/>
              </w:rPr>
              <w:t xml:space="preserve">0,25 </w:t>
            </w:r>
            <w:r w:rsidRPr="00434E9D">
              <w:t>(</w:t>
            </w:r>
            <w:r w:rsidR="008C3DE0" w:rsidRPr="00434E9D">
              <w:t xml:space="preserve">total) </w:t>
            </w:r>
            <w:r w:rsidR="008C3DE0" w:rsidRPr="00434E9D">
              <w:rPr>
                <w:vertAlign w:val="superscript"/>
              </w:rPr>
              <w:t>(5)</w:t>
            </w:r>
          </w:p>
        </w:tc>
      </w:tr>
      <w:tr w:rsidR="008C3DE0" w:rsidRPr="00434E9D" w14:paraId="687ED255" w14:textId="77777777" w:rsidTr="00067EED">
        <w:tc>
          <w:tcPr>
            <w:tcW w:w="0" w:type="auto"/>
          </w:tcPr>
          <w:p w14:paraId="7920FD8B" w14:textId="77777777" w:rsidR="008C3DE0" w:rsidRPr="00434E9D" w:rsidRDefault="008C3DE0" w:rsidP="00E96033">
            <w:pPr>
              <w:spacing w:line="360" w:lineRule="auto"/>
            </w:pPr>
            <w:r w:rsidRPr="00434E9D">
              <w:t>3</w:t>
            </w:r>
          </w:p>
        </w:tc>
        <w:tc>
          <w:tcPr>
            <w:tcW w:w="0" w:type="auto"/>
          </w:tcPr>
          <w:p w14:paraId="01ABC7F8" w14:textId="77777777" w:rsidR="008C3DE0" w:rsidRPr="00434E9D" w:rsidRDefault="008C3DE0" w:rsidP="00E96033">
            <w:pPr>
              <w:spacing w:line="360" w:lineRule="auto"/>
            </w:pPr>
            <w:r w:rsidRPr="00434E9D">
              <w:t xml:space="preserve">Substances per- et </w:t>
            </w:r>
            <w:proofErr w:type="spellStart"/>
            <w:r w:rsidRPr="00434E9D">
              <w:t>polyfluoroalkylées</w:t>
            </w:r>
            <w:proofErr w:type="spellEnd"/>
            <w:r w:rsidRPr="00434E9D">
              <w:t xml:space="preserve"> (PFAS) – somme des 24 </w:t>
            </w:r>
            <w:r w:rsidRPr="00434E9D">
              <w:rPr>
                <w:vertAlign w:val="superscript"/>
              </w:rPr>
              <w:t>(6)</w:t>
            </w:r>
          </w:p>
        </w:tc>
        <w:tc>
          <w:tcPr>
            <w:tcW w:w="0" w:type="auto"/>
          </w:tcPr>
          <w:p w14:paraId="36231BFC" w14:textId="77777777" w:rsidR="008C3DE0" w:rsidRPr="00434E9D" w:rsidRDefault="008C3DE0" w:rsidP="00E96033">
            <w:pPr>
              <w:spacing w:line="360" w:lineRule="auto"/>
            </w:pPr>
            <w:r w:rsidRPr="00434E9D">
              <w:t>Substances industrielles</w:t>
            </w:r>
          </w:p>
        </w:tc>
        <w:tc>
          <w:tcPr>
            <w:tcW w:w="0" w:type="auto"/>
          </w:tcPr>
          <w:p w14:paraId="7BF55070" w14:textId="77777777" w:rsidR="008C3DE0" w:rsidRPr="00434E9D" w:rsidRDefault="008C3DE0" w:rsidP="00E96033">
            <w:pPr>
              <w:spacing w:line="360" w:lineRule="auto"/>
            </w:pPr>
            <w:r w:rsidRPr="00434E9D">
              <w:t>Voir note 6 du tableau</w:t>
            </w:r>
          </w:p>
        </w:tc>
        <w:tc>
          <w:tcPr>
            <w:tcW w:w="0" w:type="auto"/>
          </w:tcPr>
          <w:p w14:paraId="0D1BCAE2" w14:textId="77777777" w:rsidR="008C3DE0" w:rsidRPr="00434E9D" w:rsidRDefault="008C3DE0" w:rsidP="00E96033">
            <w:pPr>
              <w:spacing w:line="360" w:lineRule="auto"/>
            </w:pPr>
            <w:r w:rsidRPr="00434E9D">
              <w:t>Voir note 6 du tableau</w:t>
            </w:r>
          </w:p>
        </w:tc>
        <w:tc>
          <w:tcPr>
            <w:tcW w:w="0" w:type="auto"/>
          </w:tcPr>
          <w:p w14:paraId="7E42ECAE" w14:textId="77777777" w:rsidR="008C3DE0" w:rsidRPr="00434E9D" w:rsidRDefault="008C3DE0" w:rsidP="00E96033">
            <w:pPr>
              <w:spacing w:line="360" w:lineRule="auto"/>
            </w:pPr>
            <w:r w:rsidRPr="00434E9D">
              <w:t xml:space="preserve">0,0044 </w:t>
            </w:r>
            <w:r w:rsidRPr="00434E9D">
              <w:rPr>
                <w:vertAlign w:val="superscript"/>
              </w:rPr>
              <w:t>(7)</w:t>
            </w:r>
          </w:p>
        </w:tc>
      </w:tr>
      <w:tr w:rsidR="00DA20D4" w:rsidRPr="00434E9D" w14:paraId="22E5BF6A" w14:textId="77777777" w:rsidTr="00067EED">
        <w:tc>
          <w:tcPr>
            <w:tcW w:w="0" w:type="auto"/>
          </w:tcPr>
          <w:p w14:paraId="64580249" w14:textId="77777777" w:rsidR="00DA20D4" w:rsidRPr="00434E9D" w:rsidRDefault="00DA20D4" w:rsidP="00DA20D4">
            <w:pPr>
              <w:spacing w:line="360" w:lineRule="auto"/>
              <w:rPr>
                <w:b/>
              </w:rPr>
            </w:pPr>
            <w:r w:rsidRPr="00434E9D">
              <w:rPr>
                <w:b/>
                <w:i/>
              </w:rPr>
              <w:t xml:space="preserve">3 bis </w:t>
            </w:r>
            <w:r w:rsidRPr="00434E9D">
              <w:rPr>
                <w:b/>
              </w:rPr>
              <w:t xml:space="preserve"> [Am. 145]</w:t>
            </w:r>
          </w:p>
        </w:tc>
        <w:tc>
          <w:tcPr>
            <w:tcW w:w="0" w:type="auto"/>
          </w:tcPr>
          <w:p w14:paraId="1F5C8A94" w14:textId="77777777" w:rsidR="00DA20D4" w:rsidRPr="00434E9D" w:rsidRDefault="00DA20D4" w:rsidP="00DA20D4">
            <w:pPr>
              <w:spacing w:line="360" w:lineRule="auto"/>
            </w:pPr>
            <w:r w:rsidRPr="00434E9D">
              <w:rPr>
                <w:b/>
                <w:i/>
                <w:sz w:val="22"/>
              </w:rPr>
              <w:t>PFAS – total</w:t>
            </w:r>
          </w:p>
        </w:tc>
        <w:tc>
          <w:tcPr>
            <w:tcW w:w="0" w:type="auto"/>
          </w:tcPr>
          <w:p w14:paraId="3C3D245C" w14:textId="77777777" w:rsidR="00DA20D4" w:rsidRPr="00434E9D" w:rsidRDefault="00DA20D4" w:rsidP="00DA20D4">
            <w:pPr>
              <w:spacing w:line="360" w:lineRule="auto"/>
            </w:pPr>
            <w:r w:rsidRPr="00434E9D">
              <w:rPr>
                <w:b/>
                <w:i/>
                <w:sz w:val="22"/>
              </w:rPr>
              <w:t>Substances industrielles</w:t>
            </w:r>
          </w:p>
        </w:tc>
        <w:tc>
          <w:tcPr>
            <w:tcW w:w="0" w:type="auto"/>
          </w:tcPr>
          <w:p w14:paraId="10A8BA09" w14:textId="77777777" w:rsidR="00DA20D4" w:rsidRPr="00434E9D" w:rsidRDefault="00DA20D4" w:rsidP="00DA20D4">
            <w:pPr>
              <w:rPr>
                <w:b/>
                <w:i/>
                <w:noProof/>
                <w:sz w:val="22"/>
              </w:rPr>
            </w:pPr>
            <w:r w:rsidRPr="00434E9D">
              <w:rPr>
                <w:b/>
                <w:i/>
                <w:sz w:val="22"/>
              </w:rPr>
              <w:t>sans objet</w:t>
            </w:r>
          </w:p>
        </w:tc>
        <w:tc>
          <w:tcPr>
            <w:tcW w:w="0" w:type="auto"/>
          </w:tcPr>
          <w:p w14:paraId="33F5B23A" w14:textId="77777777" w:rsidR="00DA20D4" w:rsidRPr="00434E9D" w:rsidRDefault="00DA20D4" w:rsidP="00DA20D4">
            <w:pPr>
              <w:rPr>
                <w:b/>
                <w:i/>
                <w:noProof/>
                <w:sz w:val="22"/>
              </w:rPr>
            </w:pPr>
            <w:r w:rsidRPr="00434E9D">
              <w:rPr>
                <w:b/>
                <w:i/>
                <w:sz w:val="22"/>
              </w:rPr>
              <w:t>sans objet</w:t>
            </w:r>
          </w:p>
        </w:tc>
        <w:tc>
          <w:tcPr>
            <w:tcW w:w="0" w:type="auto"/>
          </w:tcPr>
          <w:p w14:paraId="73C3356E" w14:textId="77777777" w:rsidR="00DA20D4" w:rsidRPr="00434E9D" w:rsidRDefault="00DA20D4" w:rsidP="00DA20D4">
            <w:pPr>
              <w:spacing w:line="360" w:lineRule="auto"/>
            </w:pPr>
            <w:r w:rsidRPr="00434E9D">
              <w:rPr>
                <w:b/>
                <w:i/>
                <w:sz w:val="22"/>
              </w:rPr>
              <w:t>(</w:t>
            </w:r>
            <w:r w:rsidRPr="00434E9D">
              <w:rPr>
                <w:b/>
                <w:i/>
                <w:sz w:val="22"/>
                <w:vertAlign w:val="superscript"/>
              </w:rPr>
              <w:t>7 bis</w:t>
            </w:r>
            <w:r w:rsidRPr="00434E9D">
              <w:rPr>
                <w:b/>
                <w:i/>
                <w:sz w:val="22"/>
              </w:rPr>
              <w:t>)</w:t>
            </w:r>
          </w:p>
        </w:tc>
      </w:tr>
      <w:tr w:rsidR="00DA20D4" w:rsidRPr="00434E9D" w14:paraId="3213B734" w14:textId="77777777" w:rsidTr="00067EED">
        <w:tc>
          <w:tcPr>
            <w:tcW w:w="0" w:type="auto"/>
          </w:tcPr>
          <w:p w14:paraId="62ED021F" w14:textId="77777777" w:rsidR="00DA20D4" w:rsidRPr="00434E9D" w:rsidRDefault="00DA20D4" w:rsidP="00DA20D4">
            <w:pPr>
              <w:spacing w:line="360" w:lineRule="auto"/>
              <w:rPr>
                <w:b/>
              </w:rPr>
            </w:pPr>
            <w:r w:rsidRPr="00434E9D">
              <w:t xml:space="preserve">4 </w:t>
            </w:r>
            <w:r w:rsidRPr="00434E9D">
              <w:rPr>
                <w:b/>
              </w:rPr>
              <w:t xml:space="preserve"> [Am. 146]</w:t>
            </w:r>
          </w:p>
        </w:tc>
        <w:tc>
          <w:tcPr>
            <w:tcW w:w="0" w:type="auto"/>
          </w:tcPr>
          <w:p w14:paraId="39775D71" w14:textId="77777777" w:rsidR="00DA20D4" w:rsidRPr="00434E9D" w:rsidRDefault="00DA20D4" w:rsidP="00DA20D4">
            <w:pPr>
              <w:spacing w:line="360" w:lineRule="auto"/>
            </w:pPr>
            <w:r w:rsidRPr="00434E9D">
              <w:t>Carbamazépine</w:t>
            </w:r>
          </w:p>
        </w:tc>
        <w:tc>
          <w:tcPr>
            <w:tcW w:w="0" w:type="auto"/>
          </w:tcPr>
          <w:p w14:paraId="33488D65" w14:textId="77777777" w:rsidR="00DA20D4" w:rsidRPr="00434E9D" w:rsidRDefault="00DA20D4" w:rsidP="00DA20D4">
            <w:pPr>
              <w:spacing w:line="360" w:lineRule="auto"/>
            </w:pPr>
            <w:r w:rsidRPr="00434E9D">
              <w:t>Produits pharmaceutiques</w:t>
            </w:r>
          </w:p>
        </w:tc>
        <w:tc>
          <w:tcPr>
            <w:tcW w:w="0" w:type="auto"/>
          </w:tcPr>
          <w:p w14:paraId="01653143" w14:textId="77777777" w:rsidR="00DA20D4" w:rsidRPr="00434E9D" w:rsidRDefault="00DA20D4" w:rsidP="00DA20D4">
            <w:pPr>
              <w:spacing w:line="360" w:lineRule="auto"/>
            </w:pPr>
            <w:r w:rsidRPr="00434E9D">
              <w:t>298-46-4</w:t>
            </w:r>
          </w:p>
        </w:tc>
        <w:tc>
          <w:tcPr>
            <w:tcW w:w="0" w:type="auto"/>
          </w:tcPr>
          <w:p w14:paraId="221F9B74" w14:textId="77777777" w:rsidR="00DA20D4" w:rsidRPr="00434E9D" w:rsidRDefault="00DA20D4" w:rsidP="00DA20D4">
            <w:pPr>
              <w:spacing w:line="360" w:lineRule="auto"/>
            </w:pPr>
            <w:r w:rsidRPr="00434E9D">
              <w:t>sans objet</w:t>
            </w:r>
          </w:p>
        </w:tc>
        <w:tc>
          <w:tcPr>
            <w:tcW w:w="0" w:type="auto"/>
          </w:tcPr>
          <w:p w14:paraId="319B68E4" w14:textId="77777777" w:rsidR="00DA20D4" w:rsidRPr="00434E9D" w:rsidRDefault="00DA20D4" w:rsidP="00DA20D4">
            <w:pPr>
              <w:spacing w:line="360" w:lineRule="auto"/>
              <w:rPr>
                <w:b/>
                <w:i/>
              </w:rPr>
            </w:pPr>
            <w:r w:rsidRPr="00434E9D">
              <w:rPr>
                <w:strike/>
              </w:rPr>
              <w:t>0,25</w:t>
            </w:r>
            <w:r w:rsidRPr="00434E9D">
              <w:rPr>
                <w:b/>
                <w:i/>
              </w:rPr>
              <w:t>0,025</w:t>
            </w:r>
          </w:p>
        </w:tc>
      </w:tr>
      <w:tr w:rsidR="00DA20D4" w:rsidRPr="00434E9D" w14:paraId="0C7E38A8" w14:textId="77777777" w:rsidTr="00067EED">
        <w:tc>
          <w:tcPr>
            <w:tcW w:w="0" w:type="auto"/>
          </w:tcPr>
          <w:p w14:paraId="396802D8" w14:textId="77777777" w:rsidR="00DA20D4" w:rsidRPr="00434E9D" w:rsidRDefault="00DA20D4" w:rsidP="00DA20D4">
            <w:pPr>
              <w:spacing w:line="360" w:lineRule="auto"/>
            </w:pPr>
            <w:r w:rsidRPr="00434E9D">
              <w:t>5</w:t>
            </w:r>
          </w:p>
        </w:tc>
        <w:tc>
          <w:tcPr>
            <w:tcW w:w="0" w:type="auto"/>
          </w:tcPr>
          <w:p w14:paraId="6641FC75" w14:textId="77777777" w:rsidR="00DA20D4" w:rsidRPr="00434E9D" w:rsidRDefault="00DA20D4" w:rsidP="00DA20D4">
            <w:pPr>
              <w:spacing w:line="360" w:lineRule="auto"/>
            </w:pPr>
            <w:proofErr w:type="spellStart"/>
            <w:r w:rsidRPr="00434E9D">
              <w:t>Sulfaméthoxazole</w:t>
            </w:r>
            <w:proofErr w:type="spellEnd"/>
          </w:p>
        </w:tc>
        <w:tc>
          <w:tcPr>
            <w:tcW w:w="0" w:type="auto"/>
          </w:tcPr>
          <w:p w14:paraId="0C7F10E3" w14:textId="77777777" w:rsidR="00DA20D4" w:rsidRPr="00434E9D" w:rsidRDefault="00DA20D4" w:rsidP="00DA20D4">
            <w:pPr>
              <w:spacing w:line="360" w:lineRule="auto"/>
            </w:pPr>
            <w:r w:rsidRPr="00434E9D">
              <w:t>Produits pharmaceutiques</w:t>
            </w:r>
          </w:p>
        </w:tc>
        <w:tc>
          <w:tcPr>
            <w:tcW w:w="0" w:type="auto"/>
          </w:tcPr>
          <w:p w14:paraId="01B79C07" w14:textId="77777777" w:rsidR="00DA20D4" w:rsidRPr="00434E9D" w:rsidRDefault="00DA20D4" w:rsidP="00DA20D4">
            <w:pPr>
              <w:spacing w:line="360" w:lineRule="auto"/>
            </w:pPr>
            <w:r w:rsidRPr="00434E9D">
              <w:t>723-46-6</w:t>
            </w:r>
          </w:p>
        </w:tc>
        <w:tc>
          <w:tcPr>
            <w:tcW w:w="0" w:type="auto"/>
          </w:tcPr>
          <w:p w14:paraId="7BE9578F" w14:textId="77777777" w:rsidR="00DA20D4" w:rsidRPr="00434E9D" w:rsidRDefault="00DA20D4" w:rsidP="00DA20D4">
            <w:pPr>
              <w:spacing w:line="360" w:lineRule="auto"/>
            </w:pPr>
            <w:r w:rsidRPr="00434E9D">
              <w:t>sans objet</w:t>
            </w:r>
          </w:p>
        </w:tc>
        <w:tc>
          <w:tcPr>
            <w:tcW w:w="0" w:type="auto"/>
          </w:tcPr>
          <w:p w14:paraId="41D110CC" w14:textId="77777777" w:rsidR="00DA20D4" w:rsidRPr="00434E9D" w:rsidRDefault="00DA20D4" w:rsidP="00DA20D4">
            <w:pPr>
              <w:spacing w:line="360" w:lineRule="auto"/>
            </w:pPr>
            <w:r w:rsidRPr="00434E9D">
              <w:t>0,01</w:t>
            </w:r>
          </w:p>
        </w:tc>
      </w:tr>
      <w:tr w:rsidR="00DA20D4" w:rsidRPr="00434E9D" w14:paraId="40DFC69D" w14:textId="77777777" w:rsidTr="00067EED">
        <w:tc>
          <w:tcPr>
            <w:tcW w:w="0" w:type="auto"/>
          </w:tcPr>
          <w:p w14:paraId="615030A3" w14:textId="77777777" w:rsidR="00DA20D4" w:rsidRPr="00434E9D" w:rsidRDefault="00DA20D4" w:rsidP="00DA20D4">
            <w:pPr>
              <w:spacing w:line="360" w:lineRule="auto"/>
              <w:rPr>
                <w:b/>
              </w:rPr>
            </w:pPr>
            <w:r w:rsidRPr="00434E9D">
              <w:t xml:space="preserve">6 </w:t>
            </w:r>
            <w:r w:rsidRPr="00434E9D">
              <w:rPr>
                <w:b/>
              </w:rPr>
              <w:t xml:space="preserve"> </w:t>
            </w:r>
            <w:r w:rsidRPr="00434E9D">
              <w:rPr>
                <w:b/>
              </w:rPr>
              <w:lastRenderedPageBreak/>
              <w:t>[Am. 147]</w:t>
            </w:r>
          </w:p>
        </w:tc>
        <w:tc>
          <w:tcPr>
            <w:tcW w:w="0" w:type="auto"/>
          </w:tcPr>
          <w:p w14:paraId="5C66D27A" w14:textId="77777777" w:rsidR="00DA20D4" w:rsidRPr="00434E9D" w:rsidRDefault="00DA20D4" w:rsidP="00DA20D4">
            <w:pPr>
              <w:spacing w:line="360" w:lineRule="auto"/>
            </w:pPr>
            <w:r w:rsidRPr="00434E9D">
              <w:lastRenderedPageBreak/>
              <w:t xml:space="preserve">Substances actives </w:t>
            </w:r>
            <w:r w:rsidRPr="00434E9D">
              <w:lastRenderedPageBreak/>
              <w:t xml:space="preserve">pharmaceutiques – total </w:t>
            </w:r>
            <w:r w:rsidRPr="00434E9D">
              <w:rPr>
                <w:vertAlign w:val="superscript"/>
              </w:rPr>
              <w:t>(8)</w:t>
            </w:r>
          </w:p>
        </w:tc>
        <w:tc>
          <w:tcPr>
            <w:tcW w:w="0" w:type="auto"/>
          </w:tcPr>
          <w:p w14:paraId="6FA5766C" w14:textId="77777777" w:rsidR="00DA20D4" w:rsidRPr="00434E9D" w:rsidRDefault="00DA20D4" w:rsidP="00DA20D4">
            <w:pPr>
              <w:spacing w:line="360" w:lineRule="auto"/>
            </w:pPr>
            <w:r w:rsidRPr="00434E9D">
              <w:lastRenderedPageBreak/>
              <w:t xml:space="preserve">Produits </w:t>
            </w:r>
            <w:r w:rsidRPr="00434E9D">
              <w:lastRenderedPageBreak/>
              <w:t>pharmaceutiques</w:t>
            </w:r>
          </w:p>
        </w:tc>
        <w:tc>
          <w:tcPr>
            <w:tcW w:w="0" w:type="auto"/>
          </w:tcPr>
          <w:p w14:paraId="39BD00D9" w14:textId="77777777" w:rsidR="00DA20D4" w:rsidRPr="00434E9D" w:rsidRDefault="00DA20D4" w:rsidP="00DA20D4">
            <w:pPr>
              <w:spacing w:line="360" w:lineRule="auto"/>
            </w:pPr>
            <w:r w:rsidRPr="00434E9D">
              <w:lastRenderedPageBreak/>
              <w:t>sans objet</w:t>
            </w:r>
          </w:p>
        </w:tc>
        <w:tc>
          <w:tcPr>
            <w:tcW w:w="0" w:type="auto"/>
          </w:tcPr>
          <w:p w14:paraId="22D6692A" w14:textId="77777777" w:rsidR="00DA20D4" w:rsidRPr="00434E9D" w:rsidRDefault="00DA20D4" w:rsidP="00DA20D4">
            <w:pPr>
              <w:spacing w:line="360" w:lineRule="auto"/>
            </w:pPr>
            <w:r w:rsidRPr="00434E9D">
              <w:t>sans objet</w:t>
            </w:r>
          </w:p>
        </w:tc>
        <w:tc>
          <w:tcPr>
            <w:tcW w:w="0" w:type="auto"/>
          </w:tcPr>
          <w:p w14:paraId="168D2C0E" w14:textId="77777777" w:rsidR="00DA20D4" w:rsidRPr="00434E9D" w:rsidRDefault="004C1CED" w:rsidP="00DA20D4">
            <w:pPr>
              <w:spacing w:line="360" w:lineRule="auto"/>
            </w:pPr>
            <w:r w:rsidRPr="00434E9D">
              <w:rPr>
                <w:strike/>
              </w:rPr>
              <w:t>0,25</w:t>
            </w:r>
            <w:r w:rsidRPr="00434E9D">
              <w:rPr>
                <w:b/>
                <w:i/>
              </w:rPr>
              <w:t>0,025</w:t>
            </w:r>
            <w:r w:rsidRPr="00434E9D">
              <w:rPr>
                <w:b/>
              </w:rPr>
              <w:t xml:space="preserve"> </w:t>
            </w:r>
          </w:p>
        </w:tc>
      </w:tr>
      <w:tr w:rsidR="00DA20D4" w:rsidRPr="00434E9D" w14:paraId="73988137" w14:textId="77777777" w:rsidTr="00067EED">
        <w:tc>
          <w:tcPr>
            <w:tcW w:w="0" w:type="auto"/>
            <w:vMerge w:val="restart"/>
          </w:tcPr>
          <w:p w14:paraId="63D35158" w14:textId="77777777" w:rsidR="00DA20D4" w:rsidRPr="00434E9D" w:rsidRDefault="00DA20D4" w:rsidP="00DA20D4">
            <w:pPr>
              <w:spacing w:line="360" w:lineRule="auto"/>
              <w:rPr>
                <w:b/>
              </w:rPr>
            </w:pPr>
            <w:r w:rsidRPr="00434E9D">
              <w:t>7</w:t>
            </w:r>
            <w:r w:rsidR="004C1CED" w:rsidRPr="00434E9D">
              <w:t xml:space="preserve"> </w:t>
            </w:r>
            <w:r w:rsidR="004C1CED" w:rsidRPr="00434E9D">
              <w:rPr>
                <w:b/>
              </w:rPr>
              <w:t xml:space="preserve"> [Am. 148]</w:t>
            </w:r>
          </w:p>
        </w:tc>
        <w:tc>
          <w:tcPr>
            <w:tcW w:w="0" w:type="auto"/>
            <w:vMerge w:val="restart"/>
          </w:tcPr>
          <w:p w14:paraId="3CE494C8" w14:textId="77777777" w:rsidR="00DA20D4" w:rsidRPr="00434E9D" w:rsidRDefault="00DA20D4" w:rsidP="00DA20D4">
            <w:pPr>
              <w:spacing w:line="360" w:lineRule="auto"/>
            </w:pPr>
            <w:r w:rsidRPr="00434E9D">
              <w:t>Métabolites non pertinents de pesticides (</w:t>
            </w:r>
            <w:proofErr w:type="spellStart"/>
            <w:r w:rsidRPr="00434E9D">
              <w:t>nrM</w:t>
            </w:r>
            <w:proofErr w:type="spellEnd"/>
            <w:r w:rsidRPr="00434E9D">
              <w:t>)</w:t>
            </w:r>
          </w:p>
        </w:tc>
        <w:tc>
          <w:tcPr>
            <w:tcW w:w="0" w:type="auto"/>
            <w:vMerge w:val="restart"/>
          </w:tcPr>
          <w:p w14:paraId="282C8124" w14:textId="77777777" w:rsidR="00DA20D4" w:rsidRPr="00434E9D" w:rsidRDefault="00DA20D4" w:rsidP="00DA20D4">
            <w:pPr>
              <w:spacing w:line="360" w:lineRule="auto"/>
            </w:pPr>
            <w:r w:rsidRPr="00434E9D">
              <w:t>Pesticides</w:t>
            </w:r>
          </w:p>
        </w:tc>
        <w:tc>
          <w:tcPr>
            <w:tcW w:w="0" w:type="auto"/>
            <w:vMerge w:val="restart"/>
          </w:tcPr>
          <w:p w14:paraId="4E631CAA" w14:textId="77777777" w:rsidR="00DA20D4" w:rsidRPr="00434E9D" w:rsidRDefault="00DA20D4" w:rsidP="00DA20D4">
            <w:pPr>
              <w:spacing w:line="360" w:lineRule="auto"/>
            </w:pPr>
            <w:r w:rsidRPr="00434E9D">
              <w:t>sans objet</w:t>
            </w:r>
          </w:p>
        </w:tc>
        <w:tc>
          <w:tcPr>
            <w:tcW w:w="0" w:type="auto"/>
            <w:vMerge w:val="restart"/>
          </w:tcPr>
          <w:p w14:paraId="4B4F96C0" w14:textId="77777777" w:rsidR="00DA20D4" w:rsidRPr="00434E9D" w:rsidRDefault="00DA20D4" w:rsidP="00DA20D4">
            <w:pPr>
              <w:spacing w:line="360" w:lineRule="auto"/>
            </w:pPr>
            <w:r w:rsidRPr="00434E9D">
              <w:t>sans objet</w:t>
            </w:r>
          </w:p>
        </w:tc>
        <w:tc>
          <w:tcPr>
            <w:tcW w:w="0" w:type="auto"/>
          </w:tcPr>
          <w:p w14:paraId="47571A4B" w14:textId="77777777" w:rsidR="00DA20D4" w:rsidRPr="00434E9D" w:rsidRDefault="004C1CED" w:rsidP="00DA20D4">
            <w:pPr>
              <w:spacing w:line="360" w:lineRule="auto"/>
            </w:pPr>
            <w:r w:rsidRPr="00434E9D">
              <w:t>0,1</w:t>
            </w:r>
            <w:r w:rsidRPr="00434E9D">
              <w:rPr>
                <w:strike/>
              </w:rPr>
              <w:t xml:space="preserve"> (</w:t>
            </w:r>
            <w:r w:rsidRPr="00434E9D">
              <w:rPr>
                <w:strike/>
                <w:vertAlign w:val="superscript"/>
              </w:rPr>
              <w:t>9</w:t>
            </w:r>
            <w:r w:rsidRPr="00434E9D">
              <w:rPr>
                <w:strike/>
              </w:rPr>
              <w:t>) ou 1 (</w:t>
            </w:r>
            <w:r w:rsidRPr="00434E9D">
              <w:rPr>
                <w:strike/>
                <w:vertAlign w:val="superscript"/>
              </w:rPr>
              <w:t>10</w:t>
            </w:r>
            <w:r w:rsidRPr="00434E9D">
              <w:rPr>
                <w:strike/>
              </w:rPr>
              <w:t>) ou 2,5 ou 5 (</w:t>
            </w:r>
            <w:r w:rsidRPr="00434E9D">
              <w:rPr>
                <w:strike/>
                <w:vertAlign w:val="superscript"/>
              </w:rPr>
              <w:t>11</w:t>
            </w:r>
            <w:r w:rsidRPr="00434E9D">
              <w:rPr>
                <w:strike/>
              </w:rPr>
              <w:t>)</w:t>
            </w:r>
            <w:r w:rsidRPr="00434E9D">
              <w:t xml:space="preserve"> </w:t>
            </w:r>
            <w:r w:rsidR="00DA20D4" w:rsidRPr="00434E9D">
              <w:t>(individuel)</w:t>
            </w:r>
          </w:p>
        </w:tc>
      </w:tr>
      <w:tr w:rsidR="00DA20D4" w:rsidRPr="00434E9D" w14:paraId="65FFF63B" w14:textId="77777777" w:rsidTr="00067EED">
        <w:tc>
          <w:tcPr>
            <w:tcW w:w="0" w:type="auto"/>
            <w:vMerge/>
          </w:tcPr>
          <w:p w14:paraId="3CA2103E" w14:textId="77777777" w:rsidR="00DA20D4" w:rsidRPr="00434E9D" w:rsidRDefault="00DA20D4" w:rsidP="00DA20D4">
            <w:pPr>
              <w:spacing w:line="360" w:lineRule="auto"/>
            </w:pPr>
          </w:p>
        </w:tc>
        <w:tc>
          <w:tcPr>
            <w:tcW w:w="0" w:type="auto"/>
            <w:vMerge/>
          </w:tcPr>
          <w:p w14:paraId="3055FEB4" w14:textId="77777777" w:rsidR="00DA20D4" w:rsidRPr="00434E9D" w:rsidRDefault="00DA20D4" w:rsidP="00DA20D4">
            <w:pPr>
              <w:spacing w:line="360" w:lineRule="auto"/>
            </w:pPr>
          </w:p>
        </w:tc>
        <w:tc>
          <w:tcPr>
            <w:tcW w:w="0" w:type="auto"/>
            <w:vMerge/>
          </w:tcPr>
          <w:p w14:paraId="6E19139C" w14:textId="77777777" w:rsidR="00DA20D4" w:rsidRPr="00434E9D" w:rsidRDefault="00DA20D4" w:rsidP="00DA20D4">
            <w:pPr>
              <w:spacing w:line="360" w:lineRule="auto"/>
            </w:pPr>
          </w:p>
        </w:tc>
        <w:tc>
          <w:tcPr>
            <w:tcW w:w="0" w:type="auto"/>
            <w:vMerge/>
          </w:tcPr>
          <w:p w14:paraId="531227CE" w14:textId="77777777" w:rsidR="00DA20D4" w:rsidRPr="00434E9D" w:rsidRDefault="00DA20D4" w:rsidP="00DA20D4">
            <w:pPr>
              <w:spacing w:line="360" w:lineRule="auto"/>
            </w:pPr>
          </w:p>
        </w:tc>
        <w:tc>
          <w:tcPr>
            <w:tcW w:w="0" w:type="auto"/>
            <w:vMerge/>
          </w:tcPr>
          <w:p w14:paraId="7A8DE578" w14:textId="77777777" w:rsidR="00DA20D4" w:rsidRPr="00434E9D" w:rsidRDefault="00DA20D4" w:rsidP="00DA20D4">
            <w:pPr>
              <w:spacing w:line="360" w:lineRule="auto"/>
            </w:pPr>
          </w:p>
        </w:tc>
        <w:tc>
          <w:tcPr>
            <w:tcW w:w="0" w:type="auto"/>
          </w:tcPr>
          <w:p w14:paraId="30A9326B" w14:textId="77777777" w:rsidR="00DA20D4" w:rsidRPr="00434E9D" w:rsidRDefault="004C1CED" w:rsidP="00DA20D4">
            <w:pPr>
              <w:spacing w:line="360" w:lineRule="auto"/>
            </w:pPr>
            <w:r w:rsidRPr="00434E9D">
              <w:t>0,5</w:t>
            </w:r>
            <w:r w:rsidRPr="00434E9D">
              <w:rPr>
                <w:strike/>
              </w:rPr>
              <w:t xml:space="preserve"> (</w:t>
            </w:r>
            <w:r w:rsidRPr="00434E9D">
              <w:rPr>
                <w:strike/>
                <w:vertAlign w:val="superscript"/>
              </w:rPr>
              <w:t>9</w:t>
            </w:r>
            <w:r w:rsidRPr="00434E9D">
              <w:rPr>
                <w:strike/>
              </w:rPr>
              <w:t>) or 5 (</w:t>
            </w:r>
            <w:r w:rsidRPr="00434E9D">
              <w:rPr>
                <w:strike/>
                <w:vertAlign w:val="superscript"/>
              </w:rPr>
              <w:t>10</w:t>
            </w:r>
            <w:r w:rsidRPr="00434E9D">
              <w:rPr>
                <w:strike/>
              </w:rPr>
              <w:t>) or 12,5 (</w:t>
            </w:r>
            <w:r w:rsidRPr="00434E9D">
              <w:rPr>
                <w:strike/>
                <w:vertAlign w:val="superscript"/>
              </w:rPr>
              <w:t xml:space="preserve">11) </w:t>
            </w:r>
            <w:r w:rsidR="00DA20D4" w:rsidRPr="00434E9D">
              <w:t xml:space="preserve">(total) </w:t>
            </w:r>
            <w:r w:rsidR="00DA20D4" w:rsidRPr="00434E9D">
              <w:rPr>
                <w:vertAlign w:val="superscript"/>
              </w:rPr>
              <w:t>(12)</w:t>
            </w:r>
          </w:p>
        </w:tc>
      </w:tr>
    </w:tbl>
    <w:p w14:paraId="27961A97" w14:textId="77777777" w:rsidR="004C1CED" w:rsidRPr="00434E9D" w:rsidRDefault="004C1CED" w:rsidP="00E96033">
      <w:pPr>
        <w:spacing w:line="360" w:lineRule="auto"/>
        <w:ind w:left="1416" w:hanging="566"/>
        <w:sectPr w:rsidR="004C1CED" w:rsidRPr="00434E9D" w:rsidSect="00DA20D4">
          <w:footnotePr>
            <w:numRestart w:val="eachSect"/>
          </w:footnotePr>
          <w:pgSz w:w="16834" w:h="11909" w:orient="landscape"/>
          <w:pgMar w:top="1417" w:right="1134" w:bottom="1417" w:left="1417" w:header="1134" w:footer="567" w:gutter="0"/>
          <w:cols w:space="720"/>
          <w:docGrid w:linePitch="326"/>
        </w:sectPr>
      </w:pPr>
    </w:p>
    <w:p w14:paraId="4486CE93" w14:textId="77777777" w:rsidR="008C3DE0" w:rsidRPr="00434E9D" w:rsidRDefault="008C3DE0" w:rsidP="00E96033">
      <w:pPr>
        <w:spacing w:line="360" w:lineRule="auto"/>
        <w:ind w:left="1416" w:hanging="566"/>
      </w:pPr>
      <w:r w:rsidRPr="00434E9D">
        <w:rPr>
          <w:vertAlign w:val="superscript"/>
        </w:rPr>
        <w:lastRenderedPageBreak/>
        <w:t>(1)</w:t>
      </w:r>
      <w:r w:rsidRPr="00434E9D">
        <w:tab/>
        <w:t>CAS: Chemical Abstracts Service</w:t>
      </w:r>
    </w:p>
    <w:p w14:paraId="02AFAE54" w14:textId="77777777" w:rsidR="008C3DE0" w:rsidRPr="00434E9D" w:rsidRDefault="008C3DE0" w:rsidP="00E96033">
      <w:pPr>
        <w:spacing w:line="360" w:lineRule="auto"/>
        <w:ind w:left="1416" w:hanging="566"/>
      </w:pPr>
      <w:r w:rsidRPr="00434E9D">
        <w:rPr>
          <w:vertAlign w:val="superscript"/>
        </w:rPr>
        <w:t>(2)</w:t>
      </w:r>
      <w:r w:rsidRPr="00434E9D">
        <w:tab/>
        <w:t>Numéro UE: Inventaire européen des produits chimiques commercialisés (EINECS) ou Liste européenne des substances chimiques notifiées (ELINCS).</w:t>
      </w:r>
    </w:p>
    <w:p w14:paraId="28BF8696" w14:textId="77777777" w:rsidR="008C3DE0" w:rsidRPr="00434E9D" w:rsidRDefault="008C3DE0" w:rsidP="00E96033">
      <w:pPr>
        <w:spacing w:line="360" w:lineRule="auto"/>
        <w:ind w:left="1416" w:hanging="566"/>
      </w:pPr>
      <w:r w:rsidRPr="00434E9D">
        <w:rPr>
          <w:vertAlign w:val="superscript"/>
        </w:rPr>
        <w:t>(3)</w:t>
      </w:r>
      <w:r w:rsidRPr="00434E9D">
        <w:tab/>
        <w:t>Ce paramètre est la norme de qualité exprimée en valeur moyenne annuelle. Sauf indication contraire, il s’applique à la concentration totale de toutes les substances et tous les isomères.</w:t>
      </w:r>
    </w:p>
    <w:p w14:paraId="569AF991" w14:textId="77777777" w:rsidR="008C3DE0" w:rsidRPr="00434E9D" w:rsidRDefault="008C3DE0" w:rsidP="00E96033">
      <w:pPr>
        <w:spacing w:line="360" w:lineRule="auto"/>
        <w:ind w:left="1416" w:hanging="566"/>
      </w:pPr>
      <w:r w:rsidRPr="00434E9D">
        <w:rPr>
          <w:vertAlign w:val="superscript"/>
        </w:rPr>
        <w:t>(4)</w:t>
      </w:r>
      <w:r w:rsidRPr="00434E9D">
        <w:tab/>
        <w:t>On entend par «pesticides» les produits phytopharmaceutiques et les produits biocides visés à l’article 2 du règlement (CE) nº 1107/2009 du Parlement européen et du Conseil du 21 octobre 2009 concernant la mise sur le marché des produits phytopharmaceutiques et à l’article 3 du règlement (UE) nº 528/2012 du Parlement européen et du Conseil du 22 mai 2012 concernant la mise à disposition sur le marché et l’utilisation des produits biocides, respectivement.</w:t>
      </w:r>
    </w:p>
    <w:tbl>
      <w:tblPr>
        <w:tblW w:w="9214" w:type="dxa"/>
        <w:tblInd w:w="-147" w:type="dxa"/>
        <w:tblLayout w:type="fixed"/>
        <w:tblLook w:val="04A0" w:firstRow="1" w:lastRow="0" w:firstColumn="1" w:lastColumn="0" w:noHBand="0" w:noVBand="1"/>
      </w:tblPr>
      <w:tblGrid>
        <w:gridCol w:w="9214"/>
      </w:tblGrid>
      <w:tr w:rsidR="004C1CED" w:rsidRPr="00434E9D" w14:paraId="49F135B4" w14:textId="77777777" w:rsidTr="004C1CED">
        <w:tc>
          <w:tcPr>
            <w:tcW w:w="9214" w:type="dxa"/>
            <w:hideMark/>
          </w:tcPr>
          <w:p w14:paraId="12650EB0" w14:textId="77777777" w:rsidR="004C1CED" w:rsidRPr="00434E9D" w:rsidRDefault="004C1CED" w:rsidP="004C1CED">
            <w:pPr>
              <w:spacing w:line="360" w:lineRule="auto"/>
              <w:ind w:left="1416" w:hanging="566"/>
            </w:pPr>
            <w:r w:rsidRPr="00434E9D">
              <w:rPr>
                <w:vertAlign w:val="superscript"/>
              </w:rPr>
              <w:t>(4 bis)</w:t>
            </w:r>
            <w:r w:rsidRPr="00434E9D">
              <w:rPr>
                <w:b/>
                <w:i/>
              </w:rPr>
              <w:t xml:space="preserve"> Cette valeur seuil ne s’applique que dans l’attente du réexamen de la Commission. </w:t>
            </w:r>
          </w:p>
        </w:tc>
      </w:tr>
    </w:tbl>
    <w:p w14:paraId="45A603F8" w14:textId="77777777" w:rsidR="008C3DE0" w:rsidRPr="00434E9D" w:rsidRDefault="008C3DE0" w:rsidP="00E96033">
      <w:pPr>
        <w:spacing w:line="360" w:lineRule="auto"/>
        <w:ind w:left="1416" w:hanging="566"/>
      </w:pPr>
      <w:r w:rsidRPr="00434E9D">
        <w:rPr>
          <w:vertAlign w:val="superscript"/>
        </w:rPr>
        <w:t>(5)</w:t>
      </w:r>
      <w:r w:rsidRPr="00434E9D">
        <w:tab/>
        <w:t>On entend par «total», la somme de tous les pesticides individuels détectés et quantifiés dans le cadre de la procédure de surveillance, en ce compris leurs métabolites, les produits de dégradation et les produits de réaction pertinents.</w:t>
      </w:r>
      <w:r w:rsidR="004C1CED" w:rsidRPr="00434E9D">
        <w:t xml:space="preserve"> </w:t>
      </w:r>
      <w:r w:rsidR="004C1CED" w:rsidRPr="00434E9D">
        <w:rPr>
          <w:b/>
          <w:i/>
          <w:sz w:val="22"/>
        </w:rPr>
        <w:t>La valeur seuil fixée pour la somme de tous les pesticides individuels ne s’applique que dans l’attente du réexamen de la Commission.</w:t>
      </w:r>
    </w:p>
    <w:p w14:paraId="0CF3292C" w14:textId="77777777" w:rsidR="004C1CED" w:rsidRPr="00434E9D" w:rsidRDefault="004C1CED">
      <w:pPr>
        <w:widowControl/>
      </w:pPr>
      <w:r w:rsidRPr="00434E9D">
        <w:br w:type="page"/>
      </w:r>
    </w:p>
    <w:p w14:paraId="677F3BEC" w14:textId="77777777" w:rsidR="008C3DE0" w:rsidRPr="00434E9D" w:rsidRDefault="008C3DE0" w:rsidP="00E96033">
      <w:pPr>
        <w:spacing w:line="360" w:lineRule="auto"/>
        <w:ind w:left="1416" w:hanging="566"/>
      </w:pPr>
      <w:r w:rsidRPr="00434E9D">
        <w:rPr>
          <w:vertAlign w:val="superscript"/>
        </w:rPr>
        <w:lastRenderedPageBreak/>
        <w:t>(6)</w:t>
      </w:r>
      <w:r w:rsidRPr="00434E9D">
        <w:tab/>
        <w:t xml:space="preserve">Se rapporte aux composés suivants, assortis de leur numéro CAS, de leur numéro UE, et de leur facteur de puissance relative (RPF): acide </w:t>
      </w:r>
      <w:proofErr w:type="spellStart"/>
      <w:r w:rsidRPr="00434E9D">
        <w:t>perfluorooctanoïque</w:t>
      </w:r>
      <w:proofErr w:type="spellEnd"/>
      <w:r w:rsidRPr="00434E9D">
        <w:t xml:space="preserve"> (PFOA) (CAS 335-67-1, UE 206-397-9) (RPF 1), acide </w:t>
      </w:r>
      <w:proofErr w:type="spellStart"/>
      <w:r w:rsidRPr="00434E9D">
        <w:t>perfluorooctane</w:t>
      </w:r>
      <w:proofErr w:type="spellEnd"/>
      <w:r w:rsidRPr="00434E9D">
        <w:t xml:space="preserve"> sulfonique (PFOS) (CAS 1763-23-1, UE 217-179-8) (RPF 2), acide </w:t>
      </w:r>
      <w:proofErr w:type="spellStart"/>
      <w:r w:rsidRPr="00434E9D">
        <w:t>perfluorohexane</w:t>
      </w:r>
      <w:proofErr w:type="spellEnd"/>
      <w:r w:rsidRPr="00434E9D">
        <w:t xml:space="preserve"> sulfonique (</w:t>
      </w:r>
      <w:proofErr w:type="spellStart"/>
      <w:r w:rsidRPr="00434E9D">
        <w:t>PFHxS</w:t>
      </w:r>
      <w:proofErr w:type="spellEnd"/>
      <w:r w:rsidRPr="00434E9D">
        <w:t xml:space="preserve">) (CAS 355-46-4, UE 206-587-1) (RPF 0,6), acide </w:t>
      </w:r>
      <w:proofErr w:type="spellStart"/>
      <w:r w:rsidRPr="00434E9D">
        <w:t>perfluorononanoïque</w:t>
      </w:r>
      <w:proofErr w:type="spellEnd"/>
      <w:r w:rsidRPr="00434E9D">
        <w:t xml:space="preserve"> (PFNA) (CAS 375-95-1, UE 206-801-3) (RPF 10), acide </w:t>
      </w:r>
      <w:proofErr w:type="spellStart"/>
      <w:r w:rsidRPr="00434E9D">
        <w:t>perfluorobutanesulfonique</w:t>
      </w:r>
      <w:proofErr w:type="spellEnd"/>
      <w:r w:rsidRPr="00434E9D">
        <w:t xml:space="preserve"> (PFBS) (CAS 375-73-5, UE 206-793-1) (RPF 0,001), acide </w:t>
      </w:r>
      <w:proofErr w:type="spellStart"/>
      <w:r w:rsidRPr="00434E9D">
        <w:t>perfluorohexanoïque</w:t>
      </w:r>
      <w:proofErr w:type="spellEnd"/>
      <w:r w:rsidRPr="00434E9D">
        <w:t xml:space="preserve"> (</w:t>
      </w:r>
      <w:proofErr w:type="spellStart"/>
      <w:r w:rsidRPr="00434E9D">
        <w:t>PFHxA</w:t>
      </w:r>
      <w:proofErr w:type="spellEnd"/>
      <w:r w:rsidRPr="00434E9D">
        <w:t xml:space="preserve">) (CAS 307-24-4, UE 206-196-6) (RPF 0,01), acide </w:t>
      </w:r>
      <w:proofErr w:type="spellStart"/>
      <w:r w:rsidRPr="00434E9D">
        <w:t>perfluorobutanoïque</w:t>
      </w:r>
      <w:proofErr w:type="spellEnd"/>
      <w:r w:rsidRPr="00434E9D">
        <w:t xml:space="preserve"> (PFBA) (CAS 375-22-4, UE 206-786-3) (RPF 0,05), acide </w:t>
      </w:r>
      <w:proofErr w:type="spellStart"/>
      <w:r w:rsidRPr="00434E9D">
        <w:t>perfluoropentanoïque</w:t>
      </w:r>
      <w:proofErr w:type="spellEnd"/>
      <w:r w:rsidRPr="00434E9D">
        <w:t xml:space="preserve"> (</w:t>
      </w:r>
      <w:proofErr w:type="spellStart"/>
      <w:r w:rsidRPr="00434E9D">
        <w:t>PFPeA</w:t>
      </w:r>
      <w:proofErr w:type="spellEnd"/>
      <w:r w:rsidRPr="00434E9D">
        <w:t xml:space="preserve">) (CAS 2706-90-3, UE 220-300-7) (RPF 0,03), acide </w:t>
      </w:r>
      <w:proofErr w:type="spellStart"/>
      <w:r w:rsidRPr="00434E9D">
        <w:t>perfluoropentanesulfonique</w:t>
      </w:r>
      <w:proofErr w:type="spellEnd"/>
      <w:r w:rsidRPr="00434E9D">
        <w:t xml:space="preserve"> (</w:t>
      </w:r>
      <w:proofErr w:type="spellStart"/>
      <w:r w:rsidRPr="00434E9D">
        <w:t>PFPeS</w:t>
      </w:r>
      <w:proofErr w:type="spellEnd"/>
      <w:r w:rsidRPr="00434E9D">
        <w:t xml:space="preserve">) (CAS 2706-91-4, UE 220-301-2) (RPF 0,3005), acide </w:t>
      </w:r>
      <w:proofErr w:type="spellStart"/>
      <w:r w:rsidRPr="00434E9D">
        <w:t>perfluorodécanoïque</w:t>
      </w:r>
      <w:proofErr w:type="spellEnd"/>
      <w:r w:rsidRPr="00434E9D">
        <w:t xml:space="preserve"> (PFDA) (CAS 335-76-2, UE 206-400-3) (RPF 7), acide </w:t>
      </w:r>
      <w:proofErr w:type="spellStart"/>
      <w:r w:rsidRPr="00434E9D">
        <w:t>perfluorododécanoïque</w:t>
      </w:r>
      <w:proofErr w:type="spellEnd"/>
      <w:r w:rsidRPr="00434E9D">
        <w:t xml:space="preserve"> (</w:t>
      </w:r>
      <w:proofErr w:type="spellStart"/>
      <w:r w:rsidRPr="00434E9D">
        <w:t>PFDoDA</w:t>
      </w:r>
      <w:proofErr w:type="spellEnd"/>
      <w:r w:rsidRPr="00434E9D">
        <w:t xml:space="preserve"> or </w:t>
      </w:r>
      <w:proofErr w:type="spellStart"/>
      <w:r w:rsidRPr="00434E9D">
        <w:t>PFDoA</w:t>
      </w:r>
      <w:proofErr w:type="spellEnd"/>
      <w:r w:rsidRPr="00434E9D">
        <w:t xml:space="preserve">) (CAS 307-55-1, UE 206-203-2) (RPF 3), acide </w:t>
      </w:r>
      <w:proofErr w:type="spellStart"/>
      <w:r w:rsidRPr="00434E9D">
        <w:t>perfluoroundécanoïque</w:t>
      </w:r>
      <w:proofErr w:type="spellEnd"/>
      <w:r w:rsidRPr="00434E9D">
        <w:t xml:space="preserve"> (</w:t>
      </w:r>
      <w:proofErr w:type="spellStart"/>
      <w:r w:rsidRPr="00434E9D">
        <w:t>PFUnDA</w:t>
      </w:r>
      <w:proofErr w:type="spellEnd"/>
      <w:r w:rsidRPr="00434E9D">
        <w:t xml:space="preserve"> ou </w:t>
      </w:r>
      <w:proofErr w:type="spellStart"/>
      <w:r w:rsidRPr="00434E9D">
        <w:t>PFUnA</w:t>
      </w:r>
      <w:proofErr w:type="spellEnd"/>
      <w:r w:rsidRPr="00434E9D">
        <w:t xml:space="preserve">) (CAS 2058-94-8, UE 218-165-4) (RPF 4), acide </w:t>
      </w:r>
      <w:proofErr w:type="spellStart"/>
      <w:r w:rsidRPr="00434E9D">
        <w:t>perfluoroheptanoïque</w:t>
      </w:r>
      <w:proofErr w:type="spellEnd"/>
      <w:r w:rsidRPr="00434E9D">
        <w:t xml:space="preserve"> (</w:t>
      </w:r>
      <w:proofErr w:type="spellStart"/>
      <w:r w:rsidRPr="00434E9D">
        <w:t>PFHpA</w:t>
      </w:r>
      <w:proofErr w:type="spellEnd"/>
      <w:r w:rsidRPr="00434E9D">
        <w:t xml:space="preserve">) (CAS 375-85-9, UE 206-798-9) (RPF 0,505), acide </w:t>
      </w:r>
      <w:proofErr w:type="spellStart"/>
      <w:r w:rsidRPr="00434E9D">
        <w:t>perfluorotridécanoïque</w:t>
      </w:r>
      <w:proofErr w:type="spellEnd"/>
      <w:r w:rsidRPr="00434E9D">
        <w:t xml:space="preserve"> (</w:t>
      </w:r>
      <w:proofErr w:type="spellStart"/>
      <w:r w:rsidRPr="00434E9D">
        <w:t>PFTrDA</w:t>
      </w:r>
      <w:proofErr w:type="spellEnd"/>
      <w:r w:rsidRPr="00434E9D">
        <w:t xml:space="preserve">) (CAS 72629-94-8, UE 276-745-2) (RPF 1,65), acide </w:t>
      </w:r>
      <w:proofErr w:type="spellStart"/>
      <w:r w:rsidRPr="00434E9D">
        <w:t>perfluoroheptane</w:t>
      </w:r>
      <w:proofErr w:type="spellEnd"/>
      <w:r w:rsidRPr="00434E9D">
        <w:t xml:space="preserve"> sulfonique (</w:t>
      </w:r>
      <w:proofErr w:type="spellStart"/>
      <w:r w:rsidRPr="00434E9D">
        <w:t>PFHpS</w:t>
      </w:r>
      <w:proofErr w:type="spellEnd"/>
      <w:r w:rsidRPr="00434E9D">
        <w:t xml:space="preserve">) (CAS 375-92-8, UE 206-800-8) (RPF 1,3), acide </w:t>
      </w:r>
      <w:proofErr w:type="spellStart"/>
      <w:r w:rsidRPr="00434E9D">
        <w:t>perfluorodécane</w:t>
      </w:r>
      <w:proofErr w:type="spellEnd"/>
      <w:r w:rsidRPr="00434E9D">
        <w:t xml:space="preserve"> sulfonique (PFDS) (CAS 335-77-3, UE 206-401-9) (RPF 2), acide </w:t>
      </w:r>
      <w:proofErr w:type="spellStart"/>
      <w:r w:rsidRPr="00434E9D">
        <w:t>perfluorotétradécanoïque</w:t>
      </w:r>
      <w:proofErr w:type="spellEnd"/>
      <w:r w:rsidRPr="00434E9D">
        <w:t xml:space="preserve"> (</w:t>
      </w:r>
      <w:proofErr w:type="spellStart"/>
      <w:r w:rsidRPr="00434E9D">
        <w:t>PFTeDA</w:t>
      </w:r>
      <w:proofErr w:type="spellEnd"/>
      <w:r w:rsidRPr="00434E9D">
        <w:t xml:space="preserve">) (CAS 376-06-7, UE 206-803-4) (RPF 0,3), acide </w:t>
      </w:r>
      <w:proofErr w:type="spellStart"/>
      <w:r w:rsidRPr="00434E9D">
        <w:t>perfluorohexanoïque</w:t>
      </w:r>
      <w:proofErr w:type="spellEnd"/>
      <w:r w:rsidRPr="00434E9D">
        <w:t xml:space="preserve"> (</w:t>
      </w:r>
      <w:proofErr w:type="spellStart"/>
      <w:r w:rsidRPr="00434E9D">
        <w:t>PFHxDA</w:t>
      </w:r>
      <w:proofErr w:type="spellEnd"/>
      <w:r w:rsidRPr="00434E9D">
        <w:t xml:space="preserve">) (CAS 67905-19-5, UE 267-638-1) (RPF 0,02), acide </w:t>
      </w:r>
      <w:proofErr w:type="spellStart"/>
      <w:r w:rsidRPr="00434E9D">
        <w:t>perfluorooctadécanoïque</w:t>
      </w:r>
      <w:proofErr w:type="spellEnd"/>
      <w:r w:rsidRPr="00434E9D">
        <w:t xml:space="preserve"> (PFODA) (CAS 16517-11-6, UE 240-582-5) (RPF 0,02), </w:t>
      </w:r>
      <w:proofErr w:type="spellStart"/>
      <w:r w:rsidRPr="00434E9D">
        <w:t>perfluoro</w:t>
      </w:r>
      <w:proofErr w:type="spellEnd"/>
      <w:r w:rsidRPr="00434E9D">
        <w:t xml:space="preserve">(2-méthyl-3-oxahexanoate) d’ammonium (HFPO-DA ou </w:t>
      </w:r>
      <w:proofErr w:type="spellStart"/>
      <w:r w:rsidRPr="00434E9D">
        <w:t>Gen</w:t>
      </w:r>
      <w:proofErr w:type="spellEnd"/>
      <w:r w:rsidRPr="00434E9D">
        <w:t xml:space="preserve"> X) (CAS 62037-80-3) (RPF 0,06), acide propionique/2,2,3-trifluoro-3-(1,1,2,2,3,3-hexafluoro-3-(trifluorométhoxy)propoxy)propanoate d’ammonium (ADONA) (CAS 958445-44-8) (RPF 0,03), 2- (</w:t>
      </w:r>
      <w:proofErr w:type="spellStart"/>
      <w:r w:rsidRPr="00434E9D">
        <w:t>perfluorohexyl</w:t>
      </w:r>
      <w:proofErr w:type="spellEnd"/>
      <w:r w:rsidRPr="00434E9D">
        <w:t>)éthanol (6:2 FTOH) (CAS 647-42-7, UE 211-477-1) (RPF 0,02), 2-(</w:t>
      </w:r>
      <w:proofErr w:type="spellStart"/>
      <w:r w:rsidRPr="00434E9D">
        <w:t>perfluorooctyl</w:t>
      </w:r>
      <w:proofErr w:type="spellEnd"/>
      <w:r w:rsidRPr="00434E9D">
        <w:t>)éthanol (8:2 FTOH) (CAS 678-39-7, UE 211-648-0) (RPF 0,04) et acide acétique/2,2-difluoro-2-((2,2,4,5-tétrafluoro-5-(trifluorométhoxy)-1,3-dioxolan-4-yl)oxy)- (C6O4) (CAS 1190931-41-9) (RPF 0,06).</w:t>
      </w:r>
    </w:p>
    <w:p w14:paraId="172ABCC1" w14:textId="77777777" w:rsidR="004C1CED" w:rsidRPr="00434E9D" w:rsidRDefault="004C1CED">
      <w:pPr>
        <w:widowControl/>
      </w:pPr>
      <w:r w:rsidRPr="00434E9D">
        <w:br w:type="page"/>
      </w:r>
    </w:p>
    <w:p w14:paraId="5D9800CB" w14:textId="77777777" w:rsidR="008C3DE0" w:rsidRPr="00434E9D" w:rsidRDefault="008C3DE0" w:rsidP="00E96033">
      <w:pPr>
        <w:spacing w:line="360" w:lineRule="auto"/>
        <w:ind w:left="1416" w:hanging="566"/>
      </w:pPr>
      <w:r w:rsidRPr="00434E9D">
        <w:rPr>
          <w:vertAlign w:val="superscript"/>
        </w:rPr>
        <w:lastRenderedPageBreak/>
        <w:t>(7)</w:t>
      </w:r>
      <w:r w:rsidRPr="00434E9D">
        <w:tab/>
        <w:t>La norme de qualité se rapporte à la somme des 24 PFAS énumérées dans la note 6, exprimée en équivalents PFOA en fonction de la puissance des substances par rapport à celle du PFOA, à savoir les RPF mentionnés dans la note 6.</w:t>
      </w:r>
    </w:p>
    <w:p w14:paraId="2B634CEE" w14:textId="77777777" w:rsidR="004C1CED" w:rsidRPr="00434E9D" w:rsidRDefault="004C1CED" w:rsidP="00E96033">
      <w:pPr>
        <w:spacing w:line="360" w:lineRule="auto"/>
        <w:ind w:left="1416" w:hanging="566"/>
      </w:pPr>
      <w:r w:rsidRPr="00434E9D">
        <w:rPr>
          <w:vertAlign w:val="superscript"/>
        </w:rPr>
        <w:t>(7bis)</w:t>
      </w:r>
      <w:r w:rsidRPr="00434E9D">
        <w:tab/>
      </w:r>
      <w:r w:rsidRPr="00434E9D">
        <w:tab/>
      </w:r>
      <w:r w:rsidRPr="00434E9D">
        <w:rPr>
          <w:b/>
          <w:i/>
        </w:rPr>
        <w:t>Les normes de qualité seront fixées par la Commission par voie d’acte délégué.</w:t>
      </w:r>
    </w:p>
    <w:p w14:paraId="1B8B107E" w14:textId="77777777" w:rsidR="008C3DE0" w:rsidRPr="00434E9D" w:rsidRDefault="008C3DE0" w:rsidP="00E96033">
      <w:pPr>
        <w:spacing w:line="360" w:lineRule="auto"/>
        <w:ind w:left="1416" w:hanging="566"/>
      </w:pPr>
      <w:r w:rsidRPr="00434E9D">
        <w:rPr>
          <w:vertAlign w:val="superscript"/>
        </w:rPr>
        <w:t>(8)</w:t>
      </w:r>
      <w:r w:rsidRPr="00434E9D">
        <w:tab/>
        <w:t>On entend par «total», la somme de tous les produits pharmaceutiques individuels détectés et quantifiés dans le cadre de la procédure de surveillance, en ce compris les métabolites et les produits de dégradation pertinents.</w:t>
      </w:r>
    </w:p>
    <w:p w14:paraId="410476EF" w14:textId="77777777" w:rsidR="008C3DE0" w:rsidRPr="00434E9D" w:rsidRDefault="008C3DE0" w:rsidP="00E96033">
      <w:pPr>
        <w:spacing w:line="360" w:lineRule="auto"/>
        <w:ind w:left="1416" w:hanging="566"/>
      </w:pPr>
      <w:r w:rsidRPr="00434E9D">
        <w:rPr>
          <w:strike/>
        </w:rPr>
        <w:t>(9)</w:t>
      </w:r>
      <w:r w:rsidRPr="00434E9D">
        <w:tab/>
      </w:r>
      <w:r w:rsidRPr="00434E9D">
        <w:rPr>
          <w:strike/>
        </w:rPr>
        <w:t xml:space="preserve">Applicable aux </w:t>
      </w:r>
      <w:proofErr w:type="spellStart"/>
      <w:r w:rsidRPr="00434E9D">
        <w:rPr>
          <w:strike/>
        </w:rPr>
        <w:t>nrM</w:t>
      </w:r>
      <w:proofErr w:type="spellEnd"/>
      <w:r w:rsidRPr="00434E9D">
        <w:rPr>
          <w:strike/>
        </w:rPr>
        <w:t xml:space="preserve"> pour lesquels les données sont insuffisantes («data-</w:t>
      </w:r>
      <w:proofErr w:type="spellStart"/>
      <w:r w:rsidRPr="00434E9D">
        <w:rPr>
          <w:strike/>
        </w:rPr>
        <w:t>poor</w:t>
      </w:r>
      <w:proofErr w:type="spellEnd"/>
      <w:r w:rsidRPr="00434E9D">
        <w:rPr>
          <w:strike/>
        </w:rPr>
        <w:t>»), autrement dit pour lesquels il n'existe aucune donnée expérimentale fiable concernant leurs effets chroniques ou aigus sur le groupe taxonomique dont il est prédit avec assurance qu'il sera le plus sensible.</w:t>
      </w:r>
    </w:p>
    <w:p w14:paraId="63537B66" w14:textId="77777777" w:rsidR="008C3DE0" w:rsidRPr="00434E9D" w:rsidRDefault="008C3DE0" w:rsidP="00E96033">
      <w:pPr>
        <w:spacing w:line="360" w:lineRule="auto"/>
        <w:ind w:left="1416" w:hanging="566"/>
      </w:pPr>
      <w:r w:rsidRPr="00434E9D">
        <w:rPr>
          <w:strike/>
        </w:rPr>
        <w:t>(10)</w:t>
      </w:r>
      <w:r w:rsidRPr="00434E9D">
        <w:tab/>
      </w:r>
      <w:r w:rsidRPr="00434E9D">
        <w:rPr>
          <w:strike/>
        </w:rPr>
        <w:t xml:space="preserve">Applicable aux </w:t>
      </w:r>
      <w:proofErr w:type="spellStart"/>
      <w:r w:rsidRPr="00434E9D">
        <w:rPr>
          <w:strike/>
        </w:rPr>
        <w:t>nrM</w:t>
      </w:r>
      <w:proofErr w:type="spellEnd"/>
      <w:r w:rsidRPr="00434E9D">
        <w:rPr>
          <w:strike/>
        </w:rPr>
        <w:t xml:space="preserve"> pour lesquels les données sont moyennes («data-</w:t>
      </w:r>
      <w:proofErr w:type="spellStart"/>
      <w:r w:rsidRPr="00434E9D">
        <w:rPr>
          <w:strike/>
        </w:rPr>
        <w:t>fair</w:t>
      </w:r>
      <w:proofErr w:type="spellEnd"/>
      <w:r w:rsidRPr="00434E9D">
        <w:rPr>
          <w:strike/>
        </w:rPr>
        <w:t xml:space="preserve">»), autrement dit pour lesquels il existe des données expérimentales fiables concernant leurs effets chroniques ou aigus sur le groupe taxonomique dont il est prédit avec assurance qu'il sera le plus sensible, mais en quantité insuffisante pour que l'on considère ces </w:t>
      </w:r>
      <w:proofErr w:type="spellStart"/>
      <w:r w:rsidRPr="00434E9D">
        <w:rPr>
          <w:strike/>
        </w:rPr>
        <w:t>susbtances</w:t>
      </w:r>
      <w:proofErr w:type="spellEnd"/>
      <w:r w:rsidRPr="00434E9D">
        <w:rPr>
          <w:strike/>
        </w:rPr>
        <w:t xml:space="preserve"> comme étant abondamment documentées.</w:t>
      </w:r>
    </w:p>
    <w:p w14:paraId="14B1EA53" w14:textId="77777777" w:rsidR="004C1CED" w:rsidRPr="00434E9D" w:rsidRDefault="004C1CED">
      <w:pPr>
        <w:widowControl/>
        <w:rPr>
          <w:strike/>
        </w:rPr>
      </w:pPr>
      <w:r w:rsidRPr="00434E9D">
        <w:rPr>
          <w:strike/>
        </w:rPr>
        <w:br w:type="page"/>
      </w:r>
    </w:p>
    <w:p w14:paraId="087725B5" w14:textId="77777777" w:rsidR="008C3DE0" w:rsidRPr="00434E9D" w:rsidRDefault="008C3DE0" w:rsidP="00E96033">
      <w:pPr>
        <w:spacing w:line="360" w:lineRule="auto"/>
        <w:ind w:left="1416" w:hanging="566"/>
      </w:pPr>
      <w:r w:rsidRPr="00434E9D">
        <w:rPr>
          <w:strike/>
        </w:rPr>
        <w:lastRenderedPageBreak/>
        <w:t>(11)</w:t>
      </w:r>
      <w:r w:rsidRPr="00434E9D">
        <w:tab/>
      </w:r>
      <w:r w:rsidRPr="00434E9D">
        <w:rPr>
          <w:strike/>
        </w:rPr>
        <w:t xml:space="preserve">Applicable aux </w:t>
      </w:r>
      <w:proofErr w:type="spellStart"/>
      <w:r w:rsidRPr="00434E9D">
        <w:rPr>
          <w:strike/>
        </w:rPr>
        <w:t>nrM</w:t>
      </w:r>
      <w:proofErr w:type="spellEnd"/>
      <w:r w:rsidRPr="00434E9D">
        <w:rPr>
          <w:strike/>
        </w:rPr>
        <w:t xml:space="preserve"> abondamment documentés («data-</w:t>
      </w:r>
      <w:proofErr w:type="spellStart"/>
      <w:r w:rsidRPr="00434E9D">
        <w:rPr>
          <w:strike/>
        </w:rPr>
        <w:t>rich</w:t>
      </w:r>
      <w:proofErr w:type="spellEnd"/>
      <w:r w:rsidRPr="00434E9D">
        <w:rPr>
          <w:strike/>
        </w:rPr>
        <w:t xml:space="preserve">»), autrement dit pour lesquels il existe des données expérimentales fiables, ou autres données également fiables obtenues par d’autres méthodes validées scientifiquement, concernant leurs effets chroniques ou aigus sur au moins une espèce d’algues, d’invertébrés et de poissons, permettant de confirmer avec assurance le groupe taxonomique le plus sensible, et pour lesquels une norme de qualité peut être calculée suivant une approche déterministe fondée sur des données expérimentales fiables de toxicité chronique se rapportant à ce groupe taxonomique; les États membres peuvent appliquer à cet effet les dernières orientations établies dans le cadre de la stratégie commune de mise en œuvre de la directive 2000/60/CE (document d’orientation nº 27, tel que mis à jour). La norme de qualité de 2,5 pour les </w:t>
      </w:r>
      <w:proofErr w:type="spellStart"/>
      <w:r w:rsidRPr="00434E9D">
        <w:rPr>
          <w:strike/>
        </w:rPr>
        <w:t>nrM</w:t>
      </w:r>
      <w:proofErr w:type="spellEnd"/>
      <w:r w:rsidRPr="00434E9D">
        <w:rPr>
          <w:strike/>
        </w:rPr>
        <w:t xml:space="preserve"> individuels s’applique, sauf si la norme de qualité calculée en suivant une approche déterministe est plus élevée, auquel cas une norme de qualité de 5 s’applique.</w:t>
      </w:r>
    </w:p>
    <w:p w14:paraId="5DEE4307" w14:textId="77777777" w:rsidR="008C3DE0" w:rsidRPr="00434E9D" w:rsidRDefault="008C3DE0" w:rsidP="00E96033">
      <w:pPr>
        <w:spacing w:line="360" w:lineRule="auto"/>
        <w:ind w:left="1416" w:hanging="566"/>
      </w:pPr>
      <w:r w:rsidRPr="00434E9D">
        <w:rPr>
          <w:vertAlign w:val="superscript"/>
        </w:rPr>
        <w:t>(12)</w:t>
      </w:r>
      <w:r w:rsidRPr="00434E9D">
        <w:tab/>
        <w:t xml:space="preserve">Par «total», on entend la somme de tous les </w:t>
      </w:r>
      <w:proofErr w:type="spellStart"/>
      <w:r w:rsidRPr="00434E9D">
        <w:t>nrM</w:t>
      </w:r>
      <w:proofErr w:type="spellEnd"/>
      <w:r w:rsidRPr="00434E9D">
        <w:t xml:space="preserve"> individuels dans chaque catégorie de données, détectés et quantifiés dans le cadre de la procédure de surveillance.»</w:t>
      </w:r>
    </w:p>
    <w:p w14:paraId="188E5F2D" w14:textId="77777777" w:rsidR="008C3DE0" w:rsidRPr="00434E9D" w:rsidRDefault="008C3DE0" w:rsidP="00E96033">
      <w:pPr>
        <w:spacing w:line="360" w:lineRule="auto"/>
        <w:sectPr w:rsidR="008C3DE0" w:rsidRPr="00434E9D" w:rsidSect="004C1CED">
          <w:footnotePr>
            <w:numRestart w:val="eachSect"/>
          </w:footnotePr>
          <w:pgSz w:w="11909" w:h="16834"/>
          <w:pgMar w:top="1134" w:right="1417" w:bottom="1417" w:left="1417" w:header="1134" w:footer="567" w:gutter="0"/>
          <w:cols w:space="720"/>
          <w:docGrid w:linePitch="326"/>
        </w:sectPr>
      </w:pPr>
    </w:p>
    <w:p w14:paraId="28E60FF3" w14:textId="77777777" w:rsidR="008C3DE0" w:rsidRPr="00434E9D" w:rsidRDefault="008C3DE0" w:rsidP="00E96033">
      <w:pPr>
        <w:spacing w:line="360" w:lineRule="auto"/>
      </w:pPr>
    </w:p>
    <w:p w14:paraId="1CFEA583" w14:textId="77777777" w:rsidR="008C3DE0" w:rsidRPr="00434E9D" w:rsidRDefault="004C1CED" w:rsidP="00E96033">
      <w:pPr>
        <w:pStyle w:val="Normale"/>
        <w:jc w:val="center"/>
        <w:rPr>
          <w:lang w:val="fr-FR"/>
        </w:rPr>
      </w:pPr>
      <w:r w:rsidRPr="00434E9D">
        <w:rPr>
          <w:lang w:val="fr-FR"/>
        </w:rPr>
        <w:t>Annexe</w:t>
      </w:r>
      <w:r w:rsidR="008C3DE0" w:rsidRPr="00434E9D">
        <w:rPr>
          <w:lang w:val="fr-FR"/>
        </w:rPr>
        <w:t xml:space="preserve"> IV</w:t>
      </w:r>
    </w:p>
    <w:p w14:paraId="702049F6" w14:textId="77777777" w:rsidR="008C3DE0" w:rsidRPr="00434E9D" w:rsidRDefault="008C3DE0" w:rsidP="00E96033">
      <w:pPr>
        <w:pStyle w:val="Applicationdirecte"/>
        <w:rPr>
          <w:lang w:val="fr-FR"/>
        </w:rPr>
      </w:pPr>
      <w:r w:rsidRPr="00434E9D">
        <w:rPr>
          <w:lang w:val="fr-FR"/>
        </w:rPr>
        <w:t>L’annexe II de la directive 2006/118/CE est modifiée comme suit:</w:t>
      </w:r>
    </w:p>
    <w:p w14:paraId="21C24520" w14:textId="77777777" w:rsidR="008C3DE0" w:rsidRPr="00434E9D" w:rsidRDefault="008C3DE0" w:rsidP="00E96033">
      <w:pPr>
        <w:spacing w:line="360" w:lineRule="auto"/>
        <w:ind w:left="850" w:hanging="850"/>
      </w:pPr>
      <w:r w:rsidRPr="00434E9D">
        <w:t>(1)</w:t>
      </w:r>
      <w:r w:rsidRPr="00434E9D">
        <w:tab/>
        <w:t>Dans la partie A, le paragraphe suivant est inséré après le premier paragraphe:</w:t>
      </w:r>
    </w:p>
    <w:p w14:paraId="34E29FB0" w14:textId="77777777" w:rsidR="008C3DE0" w:rsidRPr="00434E9D" w:rsidRDefault="008C3DE0" w:rsidP="00E96033">
      <w:pPr>
        <w:spacing w:line="360" w:lineRule="auto"/>
        <w:ind w:left="850"/>
      </w:pPr>
      <w:r w:rsidRPr="00434E9D">
        <w:t>«Les États membres veillent à ce que les autorités compétentes informent l’Agence européenne des produits chimiques (ECHA) des valeurs seuils pour les polluants et indicateurs de pollution. L’ECHA publie ces informations sans délai..»</w:t>
      </w:r>
    </w:p>
    <w:p w14:paraId="7514EC37" w14:textId="77777777" w:rsidR="004C1CED" w:rsidRPr="00434E9D" w:rsidRDefault="004C1CED" w:rsidP="004C1CED">
      <w:pPr>
        <w:spacing w:line="360" w:lineRule="auto"/>
        <w:ind w:left="851" w:hanging="851"/>
        <w:rPr>
          <w:b/>
          <w:i/>
        </w:rPr>
      </w:pPr>
      <w:r w:rsidRPr="00434E9D">
        <w:rPr>
          <w:b/>
          <w:i/>
        </w:rPr>
        <w:t>(1 bis)</w:t>
      </w:r>
      <w:r w:rsidRPr="00434E9D">
        <w:rPr>
          <w:b/>
          <w:i/>
        </w:rPr>
        <w:tab/>
        <w:t>Dans la partie B, le titre est remplacé par le texte suivant:</w:t>
      </w:r>
    </w:p>
    <w:p w14:paraId="3EB6EC8C" w14:textId="77777777" w:rsidR="004C1CED" w:rsidRPr="00434E9D" w:rsidRDefault="004C1CED" w:rsidP="004C1CED">
      <w:pPr>
        <w:spacing w:line="360" w:lineRule="auto"/>
        <w:ind w:left="851" w:hanging="851"/>
        <w:rPr>
          <w:b/>
        </w:rPr>
      </w:pPr>
      <w:r w:rsidRPr="00434E9D">
        <w:rPr>
          <w:b/>
          <w:i/>
        </w:rPr>
        <w:tab/>
        <w:t xml:space="preserve">«Liste minimale des polluants et leurs indicateurs pour lesquels les États membres doivent établir des valeurs seuils conformément à l’article 3» </w:t>
      </w:r>
      <w:r w:rsidRPr="00434E9D">
        <w:rPr>
          <w:b/>
        </w:rPr>
        <w:t xml:space="preserve"> [Am. 149]</w:t>
      </w:r>
    </w:p>
    <w:p w14:paraId="0A9D865D" w14:textId="77777777" w:rsidR="004C1CED" w:rsidRPr="00434E9D" w:rsidRDefault="004C1CED">
      <w:pPr>
        <w:widowControl/>
      </w:pPr>
      <w:r w:rsidRPr="00434E9D">
        <w:br w:type="page"/>
      </w:r>
    </w:p>
    <w:p w14:paraId="5838468C" w14:textId="77777777" w:rsidR="008C3DE0" w:rsidRPr="00434E9D" w:rsidRDefault="008C3DE0" w:rsidP="00E96033">
      <w:pPr>
        <w:spacing w:line="360" w:lineRule="auto"/>
        <w:ind w:left="850" w:hanging="850"/>
      </w:pPr>
      <w:r w:rsidRPr="00434E9D">
        <w:lastRenderedPageBreak/>
        <w:t>(2)</w:t>
      </w:r>
      <w:r w:rsidRPr="00434E9D">
        <w:tab/>
        <w:t>Dans la partie B, le point 2 est remplacé par le texte suivant:</w:t>
      </w:r>
    </w:p>
    <w:p w14:paraId="01F73B82" w14:textId="77777777" w:rsidR="008C3DE0" w:rsidRPr="00434E9D" w:rsidRDefault="008C3DE0" w:rsidP="00E96033">
      <w:pPr>
        <w:spacing w:line="360" w:lineRule="auto"/>
        <w:ind w:left="1416" w:hanging="566"/>
      </w:pPr>
      <w:r w:rsidRPr="00434E9D">
        <w:t>«2.</w:t>
      </w:r>
      <w:r w:rsidRPr="00434E9D">
        <w:tab/>
        <w:t>Substances artificielles</w:t>
      </w:r>
    </w:p>
    <w:p w14:paraId="04B2AB1E" w14:textId="77777777" w:rsidR="008C3DE0" w:rsidRPr="00434E9D" w:rsidRDefault="008C3DE0" w:rsidP="00E96033">
      <w:pPr>
        <w:spacing w:line="360" w:lineRule="auto"/>
        <w:ind w:left="1416"/>
      </w:pPr>
      <w:r w:rsidRPr="00434E9D">
        <w:t>Primidone</w:t>
      </w:r>
    </w:p>
    <w:p w14:paraId="555B5CEA" w14:textId="77777777" w:rsidR="008C3DE0" w:rsidRPr="00434E9D" w:rsidRDefault="008C3DE0" w:rsidP="00E96033">
      <w:pPr>
        <w:spacing w:line="360" w:lineRule="auto"/>
        <w:ind w:left="1416"/>
      </w:pPr>
      <w:r w:rsidRPr="00434E9D">
        <w:t>Trichloréthylène</w:t>
      </w:r>
    </w:p>
    <w:p w14:paraId="2D0864A0" w14:textId="77777777" w:rsidR="008C3DE0" w:rsidRPr="00434E9D" w:rsidRDefault="008C3DE0" w:rsidP="00E96033">
      <w:pPr>
        <w:spacing w:line="360" w:lineRule="auto"/>
        <w:ind w:left="1416"/>
      </w:pPr>
      <w:proofErr w:type="spellStart"/>
      <w:r w:rsidRPr="00434E9D">
        <w:t>Tétrachloréthylène</w:t>
      </w:r>
      <w:proofErr w:type="spellEnd"/>
      <w:r w:rsidRPr="00434E9D">
        <w:t>.»</w:t>
      </w:r>
    </w:p>
    <w:p w14:paraId="360920B2" w14:textId="77777777" w:rsidR="008C3DE0" w:rsidRPr="00434E9D" w:rsidRDefault="008C3DE0" w:rsidP="00E96033">
      <w:pPr>
        <w:spacing w:line="360" w:lineRule="auto"/>
        <w:ind w:left="850" w:hanging="850"/>
      </w:pPr>
      <w:r w:rsidRPr="00434E9D">
        <w:t>(3)</w:t>
      </w:r>
      <w:r w:rsidRPr="00434E9D">
        <w:tab/>
        <w:t>Dans la partie C, le titre est remplacé par le texte suivant:</w:t>
      </w:r>
    </w:p>
    <w:p w14:paraId="17382CF3" w14:textId="77777777" w:rsidR="008C3DE0" w:rsidRPr="00434E9D" w:rsidRDefault="008C3DE0" w:rsidP="00E96033">
      <w:pPr>
        <w:spacing w:line="360" w:lineRule="auto"/>
        <w:ind w:left="850"/>
      </w:pPr>
      <w:r w:rsidRPr="00434E9D">
        <w:t>«Informations à fournir par les États membres en ce qui concerne les polluants et leurs indicateurs pour lesquels des valeurs seuils ont été établies par les États membres.»</w:t>
      </w:r>
    </w:p>
    <w:p w14:paraId="61212969" w14:textId="77777777" w:rsidR="004C1CED" w:rsidRPr="00434E9D" w:rsidRDefault="004C1CED">
      <w:pPr>
        <w:widowControl/>
        <w:sectPr w:rsidR="004C1CED" w:rsidRPr="00434E9D">
          <w:footnotePr>
            <w:numRestart w:val="eachSect"/>
          </w:footnotePr>
          <w:pgSz w:w="11909" w:h="16834"/>
          <w:pgMar w:top="1134" w:right="1417" w:bottom="1417" w:left="1417" w:header="1134" w:footer="567" w:gutter="0"/>
          <w:cols w:space="720"/>
        </w:sectPr>
      </w:pPr>
    </w:p>
    <w:p w14:paraId="503E97C1" w14:textId="77777777" w:rsidR="008C3DE0" w:rsidRPr="00434E9D" w:rsidRDefault="008C3DE0" w:rsidP="00E96033">
      <w:pPr>
        <w:spacing w:line="360" w:lineRule="auto"/>
        <w:ind w:left="850" w:hanging="850"/>
      </w:pPr>
      <w:r w:rsidRPr="00434E9D">
        <w:lastRenderedPageBreak/>
        <w:t>(4)</w:t>
      </w:r>
      <w:r w:rsidRPr="00434E9D">
        <w:tab/>
        <w:t>La partie D suivante est ajoutée:</w:t>
      </w:r>
    </w:p>
    <w:p w14:paraId="0C50B590" w14:textId="77777777" w:rsidR="008C3DE0" w:rsidRPr="00434E9D" w:rsidRDefault="008C3DE0" w:rsidP="00E96033">
      <w:pPr>
        <w:spacing w:line="360" w:lineRule="auto"/>
        <w:ind w:left="850"/>
      </w:pPr>
      <w:r w:rsidRPr="00434E9D">
        <w:t>«Partie D</w:t>
      </w:r>
    </w:p>
    <w:p w14:paraId="0F51FEC0" w14:textId="77777777" w:rsidR="008C3DE0" w:rsidRPr="00434E9D" w:rsidRDefault="008C3DE0" w:rsidP="00E96033">
      <w:pPr>
        <w:spacing w:line="360" w:lineRule="auto"/>
        <w:ind w:left="850"/>
      </w:pPr>
      <w:r w:rsidRPr="00434E9D">
        <w:t>Référentiel des valeurs seuils harmonisées applicables aux polluants des eaux souterraines préoccupants au niveau national, régional ou local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590"/>
        <w:gridCol w:w="3823"/>
        <w:gridCol w:w="2248"/>
        <w:gridCol w:w="1865"/>
        <w:gridCol w:w="1991"/>
        <w:gridCol w:w="2756"/>
      </w:tblGrid>
      <w:tr w:rsidR="008C3DE0" w:rsidRPr="00434E9D" w14:paraId="612CB847" w14:textId="77777777" w:rsidTr="00067EED">
        <w:trPr>
          <w:tblHeader/>
        </w:trPr>
        <w:tc>
          <w:tcPr>
            <w:tcW w:w="0" w:type="auto"/>
          </w:tcPr>
          <w:p w14:paraId="57A6D062" w14:textId="77777777" w:rsidR="008C3DE0" w:rsidRPr="00434E9D" w:rsidRDefault="008C3DE0" w:rsidP="00E96033">
            <w:pPr>
              <w:spacing w:line="360" w:lineRule="auto"/>
            </w:pPr>
            <w:r w:rsidRPr="00434E9D">
              <w:t>(1)</w:t>
            </w:r>
          </w:p>
        </w:tc>
        <w:tc>
          <w:tcPr>
            <w:tcW w:w="0" w:type="auto"/>
          </w:tcPr>
          <w:p w14:paraId="35952821" w14:textId="77777777" w:rsidR="008C3DE0" w:rsidRPr="00434E9D" w:rsidRDefault="008C3DE0" w:rsidP="00E96033">
            <w:pPr>
              <w:spacing w:line="360" w:lineRule="auto"/>
            </w:pPr>
            <w:r w:rsidRPr="00434E9D">
              <w:t>(2)</w:t>
            </w:r>
          </w:p>
        </w:tc>
        <w:tc>
          <w:tcPr>
            <w:tcW w:w="0" w:type="auto"/>
          </w:tcPr>
          <w:p w14:paraId="36313C60" w14:textId="77777777" w:rsidR="008C3DE0" w:rsidRPr="00434E9D" w:rsidRDefault="008C3DE0" w:rsidP="00E96033">
            <w:pPr>
              <w:spacing w:line="360" w:lineRule="auto"/>
            </w:pPr>
            <w:r w:rsidRPr="00434E9D">
              <w:t>(3)</w:t>
            </w:r>
          </w:p>
        </w:tc>
        <w:tc>
          <w:tcPr>
            <w:tcW w:w="0" w:type="auto"/>
          </w:tcPr>
          <w:p w14:paraId="19E6062B" w14:textId="77777777" w:rsidR="008C3DE0" w:rsidRPr="00434E9D" w:rsidRDefault="008C3DE0" w:rsidP="00E96033">
            <w:pPr>
              <w:spacing w:line="360" w:lineRule="auto"/>
            </w:pPr>
            <w:r w:rsidRPr="00434E9D">
              <w:t>(4)</w:t>
            </w:r>
          </w:p>
        </w:tc>
        <w:tc>
          <w:tcPr>
            <w:tcW w:w="0" w:type="auto"/>
          </w:tcPr>
          <w:p w14:paraId="28876A8D" w14:textId="77777777" w:rsidR="008C3DE0" w:rsidRPr="00434E9D" w:rsidRDefault="008C3DE0" w:rsidP="00E96033">
            <w:pPr>
              <w:spacing w:line="360" w:lineRule="auto"/>
            </w:pPr>
            <w:r w:rsidRPr="00434E9D">
              <w:t>(5)</w:t>
            </w:r>
          </w:p>
        </w:tc>
        <w:tc>
          <w:tcPr>
            <w:tcW w:w="0" w:type="auto"/>
          </w:tcPr>
          <w:p w14:paraId="6E0F6F46" w14:textId="77777777" w:rsidR="008C3DE0" w:rsidRPr="00434E9D" w:rsidRDefault="008C3DE0" w:rsidP="00E96033">
            <w:pPr>
              <w:spacing w:line="360" w:lineRule="auto"/>
            </w:pPr>
            <w:r w:rsidRPr="00434E9D">
              <w:t>(6)</w:t>
            </w:r>
          </w:p>
        </w:tc>
      </w:tr>
      <w:tr w:rsidR="008C3DE0" w:rsidRPr="00434E9D" w14:paraId="15424100" w14:textId="77777777" w:rsidTr="00067EED">
        <w:tc>
          <w:tcPr>
            <w:tcW w:w="0" w:type="auto"/>
          </w:tcPr>
          <w:p w14:paraId="0BA672B5" w14:textId="77777777" w:rsidR="008C3DE0" w:rsidRPr="00434E9D" w:rsidRDefault="008C3DE0" w:rsidP="00E96033">
            <w:pPr>
              <w:spacing w:line="360" w:lineRule="auto"/>
            </w:pPr>
            <w:r w:rsidRPr="00434E9D">
              <w:t>[Entrée] No</w:t>
            </w:r>
          </w:p>
        </w:tc>
        <w:tc>
          <w:tcPr>
            <w:tcW w:w="0" w:type="auto"/>
          </w:tcPr>
          <w:p w14:paraId="0B8B4759" w14:textId="77777777" w:rsidR="008C3DE0" w:rsidRPr="00434E9D" w:rsidRDefault="008C3DE0" w:rsidP="00E96033">
            <w:pPr>
              <w:spacing w:line="360" w:lineRule="auto"/>
            </w:pPr>
            <w:r w:rsidRPr="00434E9D">
              <w:t>Nom de la substance</w:t>
            </w:r>
          </w:p>
        </w:tc>
        <w:tc>
          <w:tcPr>
            <w:tcW w:w="0" w:type="auto"/>
          </w:tcPr>
          <w:p w14:paraId="793CE0A5" w14:textId="77777777" w:rsidR="008C3DE0" w:rsidRPr="00434E9D" w:rsidRDefault="008C3DE0" w:rsidP="00E96033">
            <w:pPr>
              <w:spacing w:line="360" w:lineRule="auto"/>
            </w:pPr>
            <w:r w:rsidRPr="00434E9D">
              <w:t>Catégorie de substances</w:t>
            </w:r>
          </w:p>
        </w:tc>
        <w:tc>
          <w:tcPr>
            <w:tcW w:w="0" w:type="auto"/>
          </w:tcPr>
          <w:p w14:paraId="2F830670" w14:textId="77777777" w:rsidR="008C3DE0" w:rsidRPr="00434E9D" w:rsidRDefault="008C3DE0" w:rsidP="00E96033">
            <w:pPr>
              <w:spacing w:line="360" w:lineRule="auto"/>
            </w:pPr>
            <w:r w:rsidRPr="00434E9D">
              <w:t>Numéro CAS(1)</w:t>
            </w:r>
          </w:p>
        </w:tc>
        <w:tc>
          <w:tcPr>
            <w:tcW w:w="0" w:type="auto"/>
          </w:tcPr>
          <w:p w14:paraId="509AD120" w14:textId="77777777" w:rsidR="008C3DE0" w:rsidRPr="00434E9D" w:rsidRDefault="008C3DE0" w:rsidP="00E96033">
            <w:pPr>
              <w:spacing w:line="360" w:lineRule="auto"/>
            </w:pPr>
            <w:r w:rsidRPr="00434E9D">
              <w:t>Numéro UE(2)</w:t>
            </w:r>
          </w:p>
        </w:tc>
        <w:tc>
          <w:tcPr>
            <w:tcW w:w="0" w:type="auto"/>
          </w:tcPr>
          <w:p w14:paraId="5E559BAE" w14:textId="77777777" w:rsidR="008C3DE0" w:rsidRPr="00434E9D" w:rsidRDefault="008C3DE0" w:rsidP="00E96033">
            <w:pPr>
              <w:spacing w:line="360" w:lineRule="auto"/>
            </w:pPr>
            <w:r w:rsidRPr="00434E9D">
              <w:t>Valeur seuil [µg/l sauf indication contraire]</w:t>
            </w:r>
          </w:p>
        </w:tc>
      </w:tr>
      <w:tr w:rsidR="008C3DE0" w:rsidRPr="00434E9D" w14:paraId="6CB81C49" w14:textId="77777777" w:rsidTr="00067EED">
        <w:tc>
          <w:tcPr>
            <w:tcW w:w="0" w:type="auto"/>
          </w:tcPr>
          <w:p w14:paraId="29C447DC" w14:textId="77777777" w:rsidR="008C3DE0" w:rsidRPr="00434E9D" w:rsidRDefault="008C3DE0" w:rsidP="00E96033">
            <w:pPr>
              <w:spacing w:line="360" w:lineRule="auto"/>
            </w:pPr>
            <w:r w:rsidRPr="00434E9D">
              <w:t>1</w:t>
            </w:r>
          </w:p>
        </w:tc>
        <w:tc>
          <w:tcPr>
            <w:tcW w:w="0" w:type="auto"/>
          </w:tcPr>
          <w:p w14:paraId="6A0598DD" w14:textId="77777777" w:rsidR="008C3DE0" w:rsidRPr="00434E9D" w:rsidRDefault="008C3DE0" w:rsidP="00E96033">
            <w:pPr>
              <w:spacing w:line="360" w:lineRule="auto"/>
            </w:pPr>
            <w:r w:rsidRPr="00434E9D">
              <w:t>Trichloréthylène et tétrachloroéthylène (somme des deux)</w:t>
            </w:r>
          </w:p>
        </w:tc>
        <w:tc>
          <w:tcPr>
            <w:tcW w:w="0" w:type="auto"/>
          </w:tcPr>
          <w:p w14:paraId="73C63D3C" w14:textId="77777777" w:rsidR="008C3DE0" w:rsidRPr="00434E9D" w:rsidRDefault="008C3DE0" w:rsidP="00E96033">
            <w:pPr>
              <w:spacing w:line="360" w:lineRule="auto"/>
            </w:pPr>
            <w:r w:rsidRPr="00434E9D">
              <w:t>Substances industrielles</w:t>
            </w:r>
          </w:p>
        </w:tc>
        <w:tc>
          <w:tcPr>
            <w:tcW w:w="0" w:type="auto"/>
          </w:tcPr>
          <w:p w14:paraId="172816AB" w14:textId="77777777" w:rsidR="008C3DE0" w:rsidRPr="00434E9D" w:rsidRDefault="008C3DE0" w:rsidP="00E96033">
            <w:pPr>
              <w:spacing w:line="360" w:lineRule="auto"/>
            </w:pPr>
            <w:r w:rsidRPr="00434E9D">
              <w:t>79-01-6 et 127-18-4</w:t>
            </w:r>
          </w:p>
        </w:tc>
        <w:tc>
          <w:tcPr>
            <w:tcW w:w="0" w:type="auto"/>
          </w:tcPr>
          <w:p w14:paraId="77FA58F0" w14:textId="77777777" w:rsidR="008C3DE0" w:rsidRPr="00434E9D" w:rsidRDefault="008C3DE0" w:rsidP="00E96033">
            <w:pPr>
              <w:spacing w:line="360" w:lineRule="auto"/>
            </w:pPr>
            <w:r w:rsidRPr="00434E9D">
              <w:t>201-167-4 et 204-825-9</w:t>
            </w:r>
          </w:p>
        </w:tc>
        <w:tc>
          <w:tcPr>
            <w:tcW w:w="0" w:type="auto"/>
          </w:tcPr>
          <w:p w14:paraId="5A32DF94" w14:textId="77777777" w:rsidR="008C3DE0" w:rsidRPr="00434E9D" w:rsidRDefault="008C3DE0" w:rsidP="00E96033">
            <w:pPr>
              <w:spacing w:line="360" w:lineRule="auto"/>
            </w:pPr>
            <w:r w:rsidRPr="00434E9D">
              <w:t>10 (total)(3)</w:t>
            </w:r>
          </w:p>
        </w:tc>
      </w:tr>
    </w:tbl>
    <w:p w14:paraId="6E220F75" w14:textId="77777777" w:rsidR="008C3DE0" w:rsidRPr="00434E9D" w:rsidRDefault="008C3DE0" w:rsidP="00E96033">
      <w:pPr>
        <w:spacing w:line="360" w:lineRule="auto"/>
        <w:ind w:left="1416" w:hanging="566"/>
      </w:pPr>
      <w:r w:rsidRPr="00434E9D">
        <w:rPr>
          <w:vertAlign w:val="superscript"/>
        </w:rPr>
        <w:t>(1)</w:t>
      </w:r>
      <w:r w:rsidRPr="00434E9D">
        <w:tab/>
        <w:t>CAS: Chemical Abstracts Service</w:t>
      </w:r>
    </w:p>
    <w:p w14:paraId="2BB7EDEC" w14:textId="77777777" w:rsidR="008C3DE0" w:rsidRPr="00434E9D" w:rsidRDefault="008C3DE0" w:rsidP="00E96033">
      <w:pPr>
        <w:spacing w:line="360" w:lineRule="auto"/>
        <w:ind w:left="1416" w:hanging="566"/>
      </w:pPr>
      <w:r w:rsidRPr="00434E9D">
        <w:rPr>
          <w:vertAlign w:val="superscript"/>
        </w:rPr>
        <w:t>(2)</w:t>
      </w:r>
      <w:r w:rsidRPr="00434E9D">
        <w:tab/>
        <w:t>Numéro UE: Inventaire européen des produits chimiques commercialisés (EINECS) ou Liste européenne des substances chimiques notifiées (ELINCS).</w:t>
      </w:r>
    </w:p>
    <w:p w14:paraId="4A2F384C" w14:textId="77777777" w:rsidR="008C3DE0" w:rsidRPr="00434E9D" w:rsidRDefault="008C3DE0" w:rsidP="00E96033">
      <w:pPr>
        <w:spacing w:line="360" w:lineRule="auto"/>
        <w:ind w:left="1416" w:hanging="566"/>
      </w:pPr>
      <w:r w:rsidRPr="00434E9D">
        <w:rPr>
          <w:vertAlign w:val="superscript"/>
        </w:rPr>
        <w:t>(3)</w:t>
      </w:r>
      <w:r w:rsidRPr="00434E9D">
        <w:tab/>
        <w:t xml:space="preserve">On entend par “total” la somme des concentrations de trichloréthylène et de </w:t>
      </w:r>
      <w:proofErr w:type="spellStart"/>
      <w:r w:rsidRPr="00434E9D">
        <w:t>térachloroéthylène</w:t>
      </w:r>
      <w:proofErr w:type="spellEnd"/>
      <w:r w:rsidRPr="00434E9D">
        <w:t>»</w:t>
      </w:r>
    </w:p>
    <w:p w14:paraId="108F92FB" w14:textId="77777777" w:rsidR="004C1CED" w:rsidRPr="00434E9D" w:rsidRDefault="004C1CED" w:rsidP="00E96033">
      <w:pPr>
        <w:spacing w:line="360" w:lineRule="auto"/>
        <w:sectPr w:rsidR="004C1CED" w:rsidRPr="00434E9D" w:rsidSect="004C1CED">
          <w:footnotePr>
            <w:numRestart w:val="eachSect"/>
          </w:footnotePr>
          <w:pgSz w:w="16834" w:h="11909" w:orient="landscape"/>
          <w:pgMar w:top="1417" w:right="1134" w:bottom="1417" w:left="1417" w:header="1134" w:footer="567" w:gutter="0"/>
          <w:cols w:space="720"/>
          <w:docGrid w:linePitch="326"/>
        </w:sectPr>
      </w:pPr>
    </w:p>
    <w:p w14:paraId="6F0652B7" w14:textId="77777777" w:rsidR="008C3DE0" w:rsidRPr="00434E9D" w:rsidRDefault="008C3DE0" w:rsidP="00E96033">
      <w:pPr>
        <w:spacing w:line="360" w:lineRule="auto"/>
      </w:pPr>
    </w:p>
    <w:p w14:paraId="60A024C6" w14:textId="77777777" w:rsidR="008C3DE0" w:rsidRPr="00434E9D" w:rsidRDefault="004C1CED" w:rsidP="00E96033">
      <w:pPr>
        <w:pStyle w:val="Normale"/>
        <w:jc w:val="center"/>
        <w:rPr>
          <w:lang w:val="fr-FR"/>
        </w:rPr>
      </w:pPr>
      <w:r w:rsidRPr="00434E9D">
        <w:rPr>
          <w:lang w:val="fr-FR"/>
        </w:rPr>
        <w:t>Annexe</w:t>
      </w:r>
      <w:r w:rsidR="008C3DE0" w:rsidRPr="00434E9D">
        <w:rPr>
          <w:lang w:val="fr-FR"/>
        </w:rPr>
        <w:t xml:space="preserve"> V</w:t>
      </w:r>
    </w:p>
    <w:p w14:paraId="7AAFA827" w14:textId="77777777" w:rsidR="008C3DE0" w:rsidRPr="00434E9D" w:rsidRDefault="008C3DE0" w:rsidP="00E96033">
      <w:pPr>
        <w:pStyle w:val="Applicationdirecte"/>
        <w:rPr>
          <w:lang w:val="fr-FR"/>
        </w:rPr>
      </w:pPr>
      <w:r w:rsidRPr="00434E9D">
        <w:rPr>
          <w:lang w:val="fr-FR"/>
        </w:rPr>
        <w:t>L’annexe I de la directive 2008/105/CE est modifiée comme suit:</w:t>
      </w:r>
    </w:p>
    <w:p w14:paraId="3FD2D368" w14:textId="77777777" w:rsidR="008C3DE0" w:rsidRPr="00434E9D" w:rsidRDefault="008C3DE0" w:rsidP="00E96033">
      <w:pPr>
        <w:spacing w:line="360" w:lineRule="auto"/>
        <w:ind w:left="850" w:hanging="850"/>
      </w:pPr>
      <w:r w:rsidRPr="00434E9D">
        <w:t>(1)</w:t>
      </w:r>
      <w:r w:rsidRPr="00434E9D">
        <w:tab/>
        <w:t>Le titre est remplacé par le texte suivant:</w:t>
      </w:r>
    </w:p>
    <w:p w14:paraId="160524B6" w14:textId="77777777" w:rsidR="008C3DE0" w:rsidRPr="00434E9D" w:rsidRDefault="008C3DE0" w:rsidP="00E96033">
      <w:pPr>
        <w:spacing w:line="360" w:lineRule="auto"/>
        <w:ind w:left="850"/>
      </w:pPr>
      <w:r w:rsidRPr="00434E9D">
        <w:t>«NORMES DE QUALITÉ ENVIRONNEMENTALE (NQE) POUR LES SUBSTANCES PRIORITAIRES DANS LES EAUX DE SURFACE»</w:t>
      </w:r>
    </w:p>
    <w:p w14:paraId="5E5E0B1E" w14:textId="77777777" w:rsidR="008C3DE0" w:rsidRPr="00434E9D" w:rsidRDefault="008C3DE0" w:rsidP="00E96033">
      <w:pPr>
        <w:spacing w:line="360" w:lineRule="auto"/>
        <w:ind w:left="850" w:hanging="850"/>
      </w:pPr>
      <w:r w:rsidRPr="00434E9D">
        <w:t>(2)</w:t>
      </w:r>
      <w:r w:rsidRPr="00434E9D">
        <w:tab/>
        <w:t>La partie A est remplacée par le texte suivant:</w:t>
      </w:r>
    </w:p>
    <w:p w14:paraId="58DD7628" w14:textId="77777777" w:rsidR="008C3DE0" w:rsidRPr="00434E9D" w:rsidRDefault="008C3DE0" w:rsidP="00E96033">
      <w:pPr>
        <w:spacing w:line="360" w:lineRule="auto"/>
        <w:ind w:left="850"/>
      </w:pPr>
      <w:r w:rsidRPr="00434E9D">
        <w:t>«PARTIE A: NORMES DE QUALITÉ ENVIRONNEMENTALE</w:t>
      </w:r>
    </w:p>
    <w:p w14:paraId="430ACAD3" w14:textId="77777777" w:rsidR="008C3DE0" w:rsidRPr="00434E9D" w:rsidRDefault="008C3DE0" w:rsidP="00E96033">
      <w:pPr>
        <w:spacing w:line="360" w:lineRule="auto"/>
        <w:ind w:left="850"/>
      </w:pPr>
      <w:r w:rsidRPr="00434E9D">
        <w:t>Remarque 1: les NQE entre crochets sont indiquées sous réserve de confirmation à la lumière de l’avis sollicité auprès du comité scientifique des risques sanitaires et environnementaux.</w:t>
      </w:r>
    </w:p>
    <w:tbl>
      <w:tblPr>
        <w:tblW w:w="160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
        <w:gridCol w:w="34"/>
        <w:gridCol w:w="606"/>
        <w:gridCol w:w="11"/>
        <w:gridCol w:w="2193"/>
        <w:gridCol w:w="69"/>
        <w:gridCol w:w="24"/>
        <w:gridCol w:w="17"/>
        <w:gridCol w:w="1237"/>
        <w:gridCol w:w="75"/>
        <w:gridCol w:w="940"/>
        <w:gridCol w:w="52"/>
        <w:gridCol w:w="1134"/>
        <w:gridCol w:w="71"/>
        <w:gridCol w:w="1208"/>
        <w:gridCol w:w="49"/>
        <w:gridCol w:w="1230"/>
        <w:gridCol w:w="121"/>
        <w:gridCol w:w="1157"/>
        <w:gridCol w:w="89"/>
        <w:gridCol w:w="1188"/>
        <w:gridCol w:w="49"/>
        <w:gridCol w:w="1087"/>
        <w:gridCol w:w="363"/>
        <w:gridCol w:w="899"/>
        <w:gridCol w:w="17"/>
        <w:gridCol w:w="1136"/>
        <w:gridCol w:w="970"/>
      </w:tblGrid>
      <w:tr w:rsidR="004C1CED" w:rsidRPr="00434E9D" w14:paraId="3ED62034" w14:textId="77777777" w:rsidTr="00B12A07">
        <w:trPr>
          <w:gridBefore w:val="1"/>
          <w:wBefore w:w="17" w:type="dxa"/>
          <w:cantSplit/>
          <w:trHeight w:val="309"/>
          <w:tblHeader/>
          <w:jc w:val="center"/>
        </w:trPr>
        <w:tc>
          <w:tcPr>
            <w:tcW w:w="640" w:type="dxa"/>
            <w:gridSpan w:val="2"/>
            <w:tcMar>
              <w:left w:w="28" w:type="dxa"/>
              <w:right w:w="28" w:type="dxa"/>
            </w:tcMar>
          </w:tcPr>
          <w:p w14:paraId="1013E8E1"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lastRenderedPageBreak/>
              <w:t>(1)</w:t>
            </w:r>
          </w:p>
        </w:tc>
        <w:tc>
          <w:tcPr>
            <w:tcW w:w="2273" w:type="dxa"/>
            <w:gridSpan w:val="3"/>
            <w:tcMar>
              <w:left w:w="28" w:type="dxa"/>
              <w:right w:w="28" w:type="dxa"/>
            </w:tcMar>
          </w:tcPr>
          <w:p w14:paraId="66D9CC9D"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(2)</w:t>
            </w:r>
          </w:p>
        </w:tc>
        <w:tc>
          <w:tcPr>
            <w:tcW w:w="1278" w:type="dxa"/>
            <w:gridSpan w:val="3"/>
            <w:tcMar>
              <w:left w:w="28" w:type="dxa"/>
              <w:right w:w="28" w:type="dxa"/>
            </w:tcMar>
          </w:tcPr>
          <w:p w14:paraId="4C8B8ACF"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(3)</w:t>
            </w:r>
          </w:p>
        </w:tc>
        <w:tc>
          <w:tcPr>
            <w:tcW w:w="1015" w:type="dxa"/>
            <w:gridSpan w:val="2"/>
            <w:tcMar>
              <w:left w:w="28" w:type="dxa"/>
              <w:right w:w="28" w:type="dxa"/>
            </w:tcMar>
          </w:tcPr>
          <w:p w14:paraId="205916FF"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(4)</w:t>
            </w:r>
          </w:p>
        </w:tc>
        <w:tc>
          <w:tcPr>
            <w:tcW w:w="1257" w:type="dxa"/>
            <w:gridSpan w:val="3"/>
          </w:tcPr>
          <w:p w14:paraId="14D3E86A"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(5)</w:t>
            </w:r>
          </w:p>
        </w:tc>
        <w:tc>
          <w:tcPr>
            <w:tcW w:w="1257" w:type="dxa"/>
            <w:gridSpan w:val="2"/>
            <w:tcMar>
              <w:left w:w="28" w:type="dxa"/>
              <w:right w:w="28" w:type="dxa"/>
            </w:tcMar>
          </w:tcPr>
          <w:p w14:paraId="2087F1B1"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(6)</w:t>
            </w:r>
          </w:p>
        </w:tc>
        <w:tc>
          <w:tcPr>
            <w:tcW w:w="1351" w:type="dxa"/>
            <w:gridSpan w:val="2"/>
            <w:tcMar>
              <w:left w:w="28" w:type="dxa"/>
              <w:right w:w="28" w:type="dxa"/>
            </w:tcMar>
          </w:tcPr>
          <w:p w14:paraId="1A4FDC35"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(7)</w:t>
            </w:r>
          </w:p>
        </w:tc>
        <w:tc>
          <w:tcPr>
            <w:tcW w:w="1246" w:type="dxa"/>
            <w:gridSpan w:val="2"/>
            <w:tcMar>
              <w:left w:w="28" w:type="dxa"/>
              <w:right w:w="28" w:type="dxa"/>
            </w:tcMar>
          </w:tcPr>
          <w:p w14:paraId="04BFACFB"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(8)</w:t>
            </w:r>
          </w:p>
        </w:tc>
        <w:tc>
          <w:tcPr>
            <w:tcW w:w="1237" w:type="dxa"/>
            <w:gridSpan w:val="2"/>
            <w:tcMar>
              <w:left w:w="28" w:type="dxa"/>
              <w:right w:w="28" w:type="dxa"/>
            </w:tcMar>
          </w:tcPr>
          <w:p w14:paraId="485BD6D9"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(9)</w:t>
            </w:r>
          </w:p>
        </w:tc>
        <w:tc>
          <w:tcPr>
            <w:tcW w:w="1087" w:type="dxa"/>
            <w:tcMar>
              <w:left w:w="28" w:type="dxa"/>
              <w:right w:w="28" w:type="dxa"/>
            </w:tcMar>
          </w:tcPr>
          <w:p w14:paraId="064E2F7B"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(10)</w:t>
            </w:r>
          </w:p>
        </w:tc>
        <w:tc>
          <w:tcPr>
            <w:tcW w:w="1262" w:type="dxa"/>
            <w:gridSpan w:val="2"/>
            <w:tcMar>
              <w:left w:w="28" w:type="dxa"/>
              <w:right w:w="28" w:type="dxa"/>
            </w:tcMar>
          </w:tcPr>
          <w:p w14:paraId="008043B3"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(11)</w:t>
            </w:r>
          </w:p>
        </w:tc>
        <w:tc>
          <w:tcPr>
            <w:tcW w:w="1153" w:type="dxa"/>
            <w:gridSpan w:val="2"/>
            <w:tcMar>
              <w:left w:w="28" w:type="dxa"/>
              <w:right w:w="28" w:type="dxa"/>
            </w:tcMar>
          </w:tcPr>
          <w:p w14:paraId="53B1DE7A"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(12)</w:t>
            </w:r>
          </w:p>
        </w:tc>
        <w:tc>
          <w:tcPr>
            <w:tcW w:w="970" w:type="dxa"/>
            <w:tcMar>
              <w:left w:w="28" w:type="dxa"/>
              <w:right w:w="28" w:type="dxa"/>
            </w:tcMar>
          </w:tcPr>
          <w:p w14:paraId="69B0CDDA"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(13)</w:t>
            </w:r>
          </w:p>
        </w:tc>
      </w:tr>
      <w:tr w:rsidR="004C1CED" w:rsidRPr="00434E9D" w14:paraId="3E880D10" w14:textId="77777777" w:rsidTr="00B12A07">
        <w:trPr>
          <w:gridBefore w:val="1"/>
          <w:wBefore w:w="17" w:type="dxa"/>
          <w:cantSplit/>
          <w:trHeight w:val="1020"/>
          <w:tblHeader/>
          <w:jc w:val="center"/>
        </w:trPr>
        <w:tc>
          <w:tcPr>
            <w:tcW w:w="640" w:type="dxa"/>
            <w:gridSpan w:val="2"/>
            <w:tcMar>
              <w:left w:w="28" w:type="dxa"/>
              <w:right w:w="28" w:type="dxa"/>
            </w:tcMar>
          </w:tcPr>
          <w:p w14:paraId="379E35F8"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[Entrée] Nº</w:t>
            </w:r>
          </w:p>
        </w:tc>
        <w:tc>
          <w:tcPr>
            <w:tcW w:w="2273" w:type="dxa"/>
            <w:gridSpan w:val="3"/>
            <w:tcMar>
              <w:left w:w="28" w:type="dxa"/>
              <w:right w:w="28" w:type="dxa"/>
            </w:tcMar>
          </w:tcPr>
          <w:p w14:paraId="4B894515"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Nom de la substance</w:t>
            </w:r>
          </w:p>
        </w:tc>
        <w:tc>
          <w:tcPr>
            <w:tcW w:w="1278" w:type="dxa"/>
            <w:gridSpan w:val="3"/>
            <w:shd w:val="clear" w:color="auto" w:fill="auto"/>
            <w:tcMar>
              <w:left w:w="28" w:type="dxa"/>
              <w:right w:w="28" w:type="dxa"/>
            </w:tcMar>
          </w:tcPr>
          <w:p w14:paraId="6C2C163C"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Catégorie de substances</w:t>
            </w:r>
          </w:p>
        </w:tc>
        <w:tc>
          <w:tcPr>
            <w:tcW w:w="1015" w:type="dxa"/>
            <w:gridSpan w:val="2"/>
            <w:tcMar>
              <w:left w:w="28" w:type="dxa"/>
              <w:right w:w="28" w:type="dxa"/>
            </w:tcMar>
          </w:tcPr>
          <w:p w14:paraId="725DF34E" w14:textId="77777777" w:rsidR="004C1CED" w:rsidRPr="00434E9D" w:rsidRDefault="004C1CED" w:rsidP="004C1CED">
            <w:pPr>
              <w:widowControl/>
              <w:spacing w:before="40" w:after="40"/>
              <w:rPr>
                <w:rFonts w:eastAsia="Calibri"/>
                <w:noProof/>
                <w:sz w:val="22"/>
                <w:szCs w:val="22"/>
                <w:vertAlign w:val="superscript"/>
                <w:lang w:eastAsia="en-US"/>
              </w:rPr>
            </w:pPr>
            <w:r w:rsidRPr="00434E9D">
              <w:rPr>
                <w:rFonts w:eastAsia="Calibri"/>
                <w:noProof/>
                <w:sz w:val="22"/>
                <w:szCs w:val="22"/>
                <w:lang w:eastAsia="en-US"/>
              </w:rPr>
              <w:t>Numéro CAS (</w:t>
            </w:r>
            <w:r w:rsidRPr="00434E9D">
              <w:rPr>
                <w:rFonts w:eastAsia="Calibri"/>
                <w:noProof/>
                <w:sz w:val="22"/>
                <w:szCs w:val="22"/>
                <w:vertAlign w:val="superscript"/>
                <w:lang w:eastAsia="en-US"/>
              </w:rPr>
              <w:t>1</w:t>
            </w:r>
            <w:r w:rsidRPr="00434E9D">
              <w:rPr>
                <w:rFonts w:eastAsia="Calibri"/>
                <w:noProof/>
                <w:sz w:val="22"/>
                <w:szCs w:val="22"/>
                <w:lang w:eastAsia="en-US"/>
              </w:rPr>
              <w:t>)</w:t>
            </w:r>
            <w:bookmarkStart w:id="7" w:name="_DV_M292"/>
            <w:bookmarkEnd w:id="7"/>
          </w:p>
        </w:tc>
        <w:tc>
          <w:tcPr>
            <w:tcW w:w="1257" w:type="dxa"/>
            <w:gridSpan w:val="3"/>
          </w:tcPr>
          <w:p w14:paraId="194BECC0"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Numéro UE (</w:t>
            </w:r>
            <w:r w:rsidRPr="00434E9D">
              <w:rPr>
                <w:rFonts w:eastAsia="Calibri"/>
                <w:noProof/>
                <w:sz w:val="22"/>
                <w:szCs w:val="22"/>
                <w:vertAlign w:val="superscript"/>
                <w:lang w:eastAsia="en-US"/>
              </w:rPr>
              <w:t>2</w:t>
            </w:r>
            <w:r w:rsidRPr="00434E9D">
              <w:rPr>
                <w:rFonts w:eastAsia="Calibri"/>
                <w:noProof/>
                <w:sz w:val="22"/>
                <w:szCs w:val="22"/>
                <w:lang w:eastAsia="en-US"/>
              </w:rPr>
              <w:t>)</w:t>
            </w:r>
          </w:p>
        </w:tc>
        <w:tc>
          <w:tcPr>
            <w:tcW w:w="1257" w:type="dxa"/>
            <w:gridSpan w:val="2"/>
            <w:tcMar>
              <w:left w:w="28" w:type="dxa"/>
              <w:right w:w="28" w:type="dxa"/>
            </w:tcMar>
          </w:tcPr>
          <w:p w14:paraId="10C64D81" w14:textId="77777777" w:rsidR="004C1CED" w:rsidRPr="00434E9D" w:rsidRDefault="004C1CED" w:rsidP="004C1CED">
            <w:pPr>
              <w:widowControl/>
              <w:spacing w:before="40" w:after="40"/>
              <w:rPr>
                <w:rFonts w:eastAsia="Calibri"/>
                <w:noProof/>
                <w:sz w:val="22"/>
                <w:szCs w:val="22"/>
                <w:vertAlign w:val="superscript"/>
                <w:lang w:eastAsia="en-US"/>
              </w:rPr>
            </w:pPr>
            <w:bookmarkStart w:id="8" w:name="_Hlk115349616"/>
            <w:bookmarkStart w:id="9" w:name="_Hlk115803578"/>
            <w:r w:rsidRPr="00434E9D">
              <w:rPr>
                <w:rFonts w:eastAsia="Calibri"/>
                <w:noProof/>
                <w:sz w:val="22"/>
                <w:szCs w:val="22"/>
                <w:lang w:eastAsia="en-US"/>
              </w:rPr>
              <w:t xml:space="preserve">NQE-MA </w:t>
            </w:r>
            <w:bookmarkEnd w:id="8"/>
            <w:r w:rsidRPr="00434E9D">
              <w:rPr>
                <w:rFonts w:eastAsia="Calibri"/>
                <w:noProof/>
                <w:sz w:val="22"/>
                <w:szCs w:val="22"/>
                <w:lang w:eastAsia="en-US"/>
              </w:rPr>
              <w:t>(</w:t>
            </w:r>
            <w:r w:rsidRPr="00434E9D">
              <w:rPr>
                <w:rFonts w:eastAsia="Calibri"/>
                <w:noProof/>
                <w:sz w:val="22"/>
                <w:szCs w:val="22"/>
                <w:vertAlign w:val="superscript"/>
                <w:lang w:eastAsia="en-US"/>
              </w:rPr>
              <w:t>3</w:t>
            </w:r>
            <w:r w:rsidRPr="00434E9D">
              <w:rPr>
                <w:rFonts w:eastAsia="Calibri"/>
                <w:noProof/>
                <w:sz w:val="22"/>
                <w:szCs w:val="22"/>
                <w:lang w:eastAsia="en-US"/>
              </w:rPr>
              <w:t xml:space="preserve">) </w:t>
            </w:r>
            <w:bookmarkStart w:id="10" w:name="_DV_M293"/>
            <w:bookmarkEnd w:id="10"/>
            <w:r w:rsidRPr="00434E9D">
              <w:rPr>
                <w:rFonts w:eastAsia="Calibri"/>
                <w:noProof/>
                <w:sz w:val="22"/>
                <w:szCs w:val="22"/>
                <w:lang w:eastAsia="en-US"/>
              </w:rPr>
              <w:t>Eaux de surface intérieures</w:t>
            </w:r>
            <w:bookmarkEnd w:id="9"/>
            <w:r w:rsidRPr="00434E9D">
              <w:rPr>
                <w:rFonts w:eastAsia="Calibri"/>
                <w:noProof/>
                <w:sz w:val="22"/>
                <w:szCs w:val="22"/>
                <w:lang w:eastAsia="en-US"/>
              </w:rPr>
              <w:t>(</w:t>
            </w:r>
            <w:r w:rsidRPr="00434E9D">
              <w:rPr>
                <w:rFonts w:eastAsia="Calibri"/>
                <w:noProof/>
                <w:sz w:val="22"/>
                <w:szCs w:val="22"/>
                <w:vertAlign w:val="superscript"/>
                <w:lang w:eastAsia="en-US"/>
              </w:rPr>
              <w:t>4</w:t>
            </w:r>
            <w:r w:rsidRPr="00434E9D">
              <w:rPr>
                <w:rFonts w:eastAsia="Calibri"/>
                <w:noProof/>
                <w:sz w:val="22"/>
                <w:szCs w:val="22"/>
                <w:lang w:eastAsia="en-US"/>
              </w:rPr>
              <w:t>)</w:t>
            </w:r>
            <w:bookmarkStart w:id="11" w:name="_DV_M294"/>
            <w:bookmarkEnd w:id="11"/>
          </w:p>
          <w:p w14:paraId="229819D8" w14:textId="77777777" w:rsidR="004C1CED" w:rsidRPr="00434E9D" w:rsidRDefault="004C1CED" w:rsidP="004C1CED">
            <w:pPr>
              <w:widowControl/>
              <w:spacing w:before="40" w:after="40"/>
              <w:rPr>
                <w:rFonts w:eastAsia="Calibri"/>
                <w:noProof/>
                <w:sz w:val="22"/>
                <w:szCs w:val="22"/>
                <w:lang w:eastAsia="en-US"/>
              </w:rPr>
            </w:pPr>
          </w:p>
          <w:p w14:paraId="40242DFD"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[µg/l]</w:t>
            </w:r>
          </w:p>
        </w:tc>
        <w:tc>
          <w:tcPr>
            <w:tcW w:w="1351" w:type="dxa"/>
            <w:gridSpan w:val="2"/>
            <w:tcMar>
              <w:left w:w="28" w:type="dxa"/>
              <w:right w:w="28" w:type="dxa"/>
            </w:tcMar>
          </w:tcPr>
          <w:p w14:paraId="4705176E"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NQE-MA</w:t>
            </w:r>
            <w:bookmarkStart w:id="12" w:name="_DV_M295"/>
            <w:bookmarkEnd w:id="12"/>
            <w:r w:rsidRPr="00434E9D">
              <w:rPr>
                <w:rFonts w:eastAsia="Calibri"/>
                <w:noProof/>
                <w:sz w:val="22"/>
                <w:szCs w:val="22"/>
                <w:lang w:eastAsia="en-US"/>
              </w:rPr>
              <w:t xml:space="preserve"> (</w:t>
            </w:r>
            <w:r w:rsidRPr="00434E9D">
              <w:rPr>
                <w:rFonts w:eastAsia="Calibri"/>
                <w:noProof/>
                <w:sz w:val="22"/>
                <w:szCs w:val="22"/>
                <w:vertAlign w:val="superscript"/>
                <w:lang w:eastAsia="en-US"/>
              </w:rPr>
              <w:t>3</w:t>
            </w:r>
            <w:r w:rsidRPr="00434E9D">
              <w:rPr>
                <w:rFonts w:eastAsia="Calibri"/>
                <w:noProof/>
                <w:sz w:val="22"/>
                <w:szCs w:val="22"/>
                <w:lang w:eastAsia="en-US"/>
              </w:rPr>
              <w:t>)</w:t>
            </w:r>
          </w:p>
          <w:p w14:paraId="2960AC9B"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Autres eaux de surface</w:t>
            </w:r>
          </w:p>
          <w:p w14:paraId="7CCA8162" w14:textId="77777777" w:rsidR="004C1CED" w:rsidRPr="00434E9D" w:rsidRDefault="004C1CED" w:rsidP="004C1CED">
            <w:pPr>
              <w:widowControl/>
              <w:spacing w:before="40" w:after="40"/>
              <w:rPr>
                <w:rFonts w:eastAsia="Calibri"/>
                <w:noProof/>
                <w:sz w:val="22"/>
                <w:szCs w:val="22"/>
                <w:lang w:eastAsia="en-US"/>
              </w:rPr>
            </w:pPr>
          </w:p>
          <w:p w14:paraId="7FD28CF3"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[µg/l]</w:t>
            </w:r>
          </w:p>
        </w:tc>
        <w:tc>
          <w:tcPr>
            <w:tcW w:w="1246" w:type="dxa"/>
            <w:gridSpan w:val="2"/>
            <w:tcMar>
              <w:left w:w="28" w:type="dxa"/>
              <w:right w:w="28" w:type="dxa"/>
            </w:tcMar>
          </w:tcPr>
          <w:p w14:paraId="4B764C53" w14:textId="77777777" w:rsidR="004C1CED" w:rsidRPr="00434E9D" w:rsidRDefault="004C1CED" w:rsidP="004C1CED">
            <w:pPr>
              <w:widowControl/>
              <w:spacing w:before="40" w:after="40"/>
              <w:rPr>
                <w:rFonts w:eastAsia="Calibri"/>
                <w:noProof/>
                <w:sz w:val="22"/>
                <w:szCs w:val="22"/>
                <w:lang w:eastAsia="en-US"/>
              </w:rPr>
            </w:pPr>
            <w:bookmarkStart w:id="13" w:name="_Hlk115349625"/>
            <w:r w:rsidRPr="00434E9D">
              <w:rPr>
                <w:rFonts w:eastAsia="Calibri"/>
                <w:noProof/>
                <w:sz w:val="22"/>
                <w:szCs w:val="22"/>
                <w:lang w:eastAsia="en-US"/>
              </w:rPr>
              <w:t xml:space="preserve">NQE-CMA </w:t>
            </w:r>
            <w:bookmarkEnd w:id="13"/>
            <w:r w:rsidRPr="00434E9D">
              <w:rPr>
                <w:rFonts w:eastAsia="Calibri"/>
                <w:noProof/>
                <w:sz w:val="22"/>
                <w:szCs w:val="22"/>
                <w:lang w:eastAsia="en-US"/>
              </w:rPr>
              <w:t>(</w:t>
            </w:r>
            <w:r w:rsidRPr="00434E9D">
              <w:rPr>
                <w:rFonts w:eastAsia="Calibri"/>
                <w:noProof/>
                <w:sz w:val="22"/>
                <w:szCs w:val="22"/>
                <w:vertAlign w:val="superscript"/>
                <w:lang w:eastAsia="en-US"/>
              </w:rPr>
              <w:t>5</w:t>
            </w:r>
            <w:r w:rsidRPr="00434E9D">
              <w:rPr>
                <w:rFonts w:eastAsia="Calibri"/>
                <w:noProof/>
                <w:sz w:val="22"/>
                <w:szCs w:val="22"/>
                <w:lang w:eastAsia="en-US"/>
              </w:rPr>
              <w:t>)</w:t>
            </w:r>
            <w:bookmarkStart w:id="14" w:name="_DV_M296"/>
            <w:bookmarkEnd w:id="14"/>
          </w:p>
          <w:p w14:paraId="145AE459" w14:textId="77777777" w:rsidR="004C1CED" w:rsidRPr="00434E9D" w:rsidRDefault="004C1CED" w:rsidP="004C1CED">
            <w:pPr>
              <w:widowControl/>
              <w:spacing w:before="40" w:after="40"/>
              <w:rPr>
                <w:rFonts w:eastAsia="Calibri"/>
                <w:noProof/>
                <w:sz w:val="22"/>
                <w:szCs w:val="22"/>
                <w:vertAlign w:val="superscript"/>
                <w:lang w:eastAsia="en-US"/>
              </w:rPr>
            </w:pPr>
            <w:r w:rsidRPr="00434E9D">
              <w:rPr>
                <w:rFonts w:eastAsia="Calibri"/>
                <w:noProof/>
                <w:sz w:val="22"/>
                <w:szCs w:val="22"/>
                <w:lang w:eastAsia="en-US"/>
              </w:rPr>
              <w:t xml:space="preserve">Eaux de surface intérieures </w:t>
            </w:r>
            <w:bookmarkStart w:id="15" w:name="_DV_M297"/>
            <w:bookmarkEnd w:id="15"/>
            <w:r w:rsidRPr="00434E9D">
              <w:rPr>
                <w:rFonts w:eastAsia="Calibri"/>
                <w:noProof/>
                <w:sz w:val="22"/>
                <w:szCs w:val="22"/>
                <w:lang w:eastAsia="en-US"/>
              </w:rPr>
              <w:t>(</w:t>
            </w:r>
            <w:r w:rsidRPr="00434E9D">
              <w:rPr>
                <w:rFonts w:eastAsia="Calibri"/>
                <w:noProof/>
                <w:sz w:val="22"/>
                <w:szCs w:val="22"/>
                <w:vertAlign w:val="superscript"/>
                <w:lang w:eastAsia="en-US"/>
              </w:rPr>
              <w:t>4</w:t>
            </w:r>
            <w:r w:rsidRPr="00434E9D">
              <w:rPr>
                <w:rFonts w:eastAsia="Calibri"/>
                <w:noProof/>
                <w:sz w:val="22"/>
                <w:szCs w:val="22"/>
                <w:lang w:eastAsia="en-US"/>
              </w:rPr>
              <w:t>)</w:t>
            </w:r>
          </w:p>
          <w:p w14:paraId="7DF6D5C9" w14:textId="77777777" w:rsidR="004C1CED" w:rsidRPr="00434E9D" w:rsidRDefault="004C1CED" w:rsidP="004C1CED">
            <w:pPr>
              <w:widowControl/>
              <w:spacing w:before="40" w:after="40"/>
              <w:rPr>
                <w:rFonts w:eastAsia="Calibri"/>
                <w:noProof/>
                <w:sz w:val="22"/>
                <w:szCs w:val="22"/>
                <w:lang w:eastAsia="en-US"/>
              </w:rPr>
            </w:pPr>
          </w:p>
          <w:p w14:paraId="01748DB7"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[µg/l]</w:t>
            </w:r>
          </w:p>
        </w:tc>
        <w:tc>
          <w:tcPr>
            <w:tcW w:w="1237" w:type="dxa"/>
            <w:gridSpan w:val="2"/>
            <w:tcMar>
              <w:left w:w="28" w:type="dxa"/>
              <w:right w:w="28" w:type="dxa"/>
            </w:tcMar>
          </w:tcPr>
          <w:p w14:paraId="6F6D452C"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NQE-CMA (</w:t>
            </w:r>
            <w:r w:rsidRPr="00434E9D">
              <w:rPr>
                <w:rFonts w:eastAsia="Calibri"/>
                <w:noProof/>
                <w:sz w:val="22"/>
                <w:szCs w:val="22"/>
                <w:vertAlign w:val="superscript"/>
                <w:lang w:eastAsia="en-US"/>
              </w:rPr>
              <w:t>5</w:t>
            </w:r>
            <w:r w:rsidRPr="00434E9D">
              <w:rPr>
                <w:rFonts w:eastAsia="Calibri"/>
                <w:noProof/>
                <w:sz w:val="22"/>
                <w:szCs w:val="22"/>
                <w:lang w:eastAsia="en-US"/>
              </w:rPr>
              <w:t>)</w:t>
            </w:r>
            <w:bookmarkStart w:id="16" w:name="_DV_M298"/>
            <w:bookmarkEnd w:id="16"/>
          </w:p>
          <w:p w14:paraId="4E03A2D2"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Autres eaux de surface</w:t>
            </w:r>
          </w:p>
          <w:p w14:paraId="7C8A1EA3" w14:textId="77777777" w:rsidR="004C1CED" w:rsidRPr="00434E9D" w:rsidRDefault="004C1CED" w:rsidP="004C1CED">
            <w:pPr>
              <w:widowControl/>
              <w:spacing w:before="40" w:after="40"/>
              <w:rPr>
                <w:rFonts w:eastAsia="Calibri"/>
                <w:noProof/>
                <w:sz w:val="22"/>
                <w:szCs w:val="22"/>
                <w:lang w:eastAsia="en-US"/>
              </w:rPr>
            </w:pPr>
          </w:p>
          <w:p w14:paraId="59C656F0"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[µg/l]</w:t>
            </w:r>
          </w:p>
        </w:tc>
        <w:tc>
          <w:tcPr>
            <w:tcW w:w="1087" w:type="dxa"/>
            <w:tcMar>
              <w:left w:w="28" w:type="dxa"/>
              <w:right w:w="28" w:type="dxa"/>
            </w:tcMar>
          </w:tcPr>
          <w:p w14:paraId="29021B9E"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NQE</w:t>
            </w:r>
          </w:p>
          <w:p w14:paraId="50EA3B7D"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 xml:space="preserve">Biote </w:t>
            </w:r>
            <w:bookmarkStart w:id="17" w:name="_DV_M299"/>
            <w:bookmarkEnd w:id="17"/>
            <w:r w:rsidRPr="00434E9D">
              <w:rPr>
                <w:rFonts w:eastAsia="Calibri"/>
                <w:noProof/>
                <w:sz w:val="22"/>
                <w:szCs w:val="22"/>
                <w:lang w:eastAsia="en-US"/>
              </w:rPr>
              <w:t>(</w:t>
            </w:r>
            <w:r w:rsidRPr="00434E9D">
              <w:rPr>
                <w:rFonts w:eastAsia="Calibri"/>
                <w:noProof/>
                <w:sz w:val="22"/>
                <w:szCs w:val="22"/>
                <w:vertAlign w:val="superscript"/>
                <w:lang w:eastAsia="en-US"/>
              </w:rPr>
              <w:t>6</w:t>
            </w:r>
            <w:r w:rsidRPr="00434E9D">
              <w:rPr>
                <w:rFonts w:eastAsia="Calibri"/>
                <w:noProof/>
                <w:sz w:val="22"/>
                <w:szCs w:val="22"/>
                <w:lang w:eastAsia="en-US"/>
              </w:rPr>
              <w:t>)</w:t>
            </w:r>
          </w:p>
          <w:p w14:paraId="44F90200"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 xml:space="preserve">[µg/kg de poids humide] </w:t>
            </w:r>
          </w:p>
          <w:p w14:paraId="1FCEA0CE"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ou NQE Sédiments [µg/kg de poids sec] dans les cas indiqués</w:t>
            </w:r>
          </w:p>
        </w:tc>
        <w:tc>
          <w:tcPr>
            <w:tcW w:w="1262" w:type="dxa"/>
            <w:gridSpan w:val="2"/>
            <w:tcMar>
              <w:left w:w="28" w:type="dxa"/>
              <w:right w:w="28" w:type="dxa"/>
            </w:tcMar>
          </w:tcPr>
          <w:p w14:paraId="54FBBA67"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 xml:space="preserve">Identifiée en tant que substance dangereuse prioritaire </w:t>
            </w:r>
          </w:p>
        </w:tc>
        <w:tc>
          <w:tcPr>
            <w:tcW w:w="1153" w:type="dxa"/>
            <w:gridSpan w:val="2"/>
            <w:tcMar>
              <w:left w:w="28" w:type="dxa"/>
              <w:right w:w="28" w:type="dxa"/>
            </w:tcMar>
          </w:tcPr>
          <w:p w14:paraId="582AEAC4"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Identifiée en tant que substance persistante, bioaccumulable et toxique ubiquiste (uPBT)</w:t>
            </w:r>
          </w:p>
        </w:tc>
        <w:tc>
          <w:tcPr>
            <w:tcW w:w="970" w:type="dxa"/>
            <w:tcMar>
              <w:left w:w="28" w:type="dxa"/>
              <w:right w:w="28" w:type="dxa"/>
            </w:tcMar>
          </w:tcPr>
          <w:p w14:paraId="017D49E2"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 xml:space="preserve">Identifiée en tant que substance ayant tendance à s’accumuler dans les sédiments et/ou le biote </w:t>
            </w:r>
          </w:p>
        </w:tc>
      </w:tr>
      <w:tr w:rsidR="004C1CED" w:rsidRPr="00434E9D" w14:paraId="4B514EF4" w14:textId="77777777" w:rsidTr="00B12A07">
        <w:trPr>
          <w:gridBefore w:val="1"/>
          <w:wBefore w:w="17" w:type="dxa"/>
          <w:cantSplit/>
          <w:tblHeader/>
          <w:jc w:val="center"/>
        </w:trPr>
        <w:tc>
          <w:tcPr>
            <w:tcW w:w="651" w:type="dxa"/>
            <w:gridSpan w:val="3"/>
            <w:tcMar>
              <w:left w:w="28" w:type="dxa"/>
              <w:right w:w="28" w:type="dxa"/>
            </w:tcMar>
          </w:tcPr>
          <w:p w14:paraId="0469EDDE" w14:textId="77777777" w:rsidR="004C1CED" w:rsidRPr="00434E9D" w:rsidRDefault="004C1CED" w:rsidP="004C1CED">
            <w:pPr>
              <w:widowControl/>
              <w:spacing w:before="40" w:after="40"/>
              <w:jc w:val="both"/>
              <w:rPr>
                <w:rFonts w:eastAsia="Calibri"/>
                <w:noProof/>
                <w:sz w:val="22"/>
                <w:szCs w:val="22"/>
                <w:lang w:eastAsia="en-US"/>
              </w:rPr>
            </w:pPr>
            <w:r w:rsidRPr="00434E9D">
              <w:rPr>
                <w:rFonts w:eastAsia="Calibri"/>
                <w:noProof/>
                <w:sz w:val="22"/>
                <w:szCs w:val="22"/>
                <w:lang w:eastAsia="en-US"/>
              </w:rPr>
              <w:t>(1)</w:t>
            </w:r>
          </w:p>
        </w:tc>
        <w:tc>
          <w:tcPr>
            <w:tcW w:w="15375" w:type="dxa"/>
            <w:gridSpan w:val="24"/>
            <w:tcMar>
              <w:left w:w="28" w:type="dxa"/>
              <w:right w:w="28" w:type="dxa"/>
            </w:tcMar>
          </w:tcPr>
          <w:p w14:paraId="6ED70E6D"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 xml:space="preserve">La substance alachlore a été déplacée dans la partie C de l’annexe II </w:t>
            </w:r>
          </w:p>
        </w:tc>
      </w:tr>
      <w:tr w:rsidR="004C1CED" w:rsidRPr="00434E9D" w14:paraId="624E9CED" w14:textId="77777777" w:rsidTr="00B12A07">
        <w:trPr>
          <w:gridBefore w:val="1"/>
          <w:wBefore w:w="17" w:type="dxa"/>
          <w:cantSplit/>
          <w:tblHeader/>
          <w:jc w:val="center"/>
        </w:trPr>
        <w:tc>
          <w:tcPr>
            <w:tcW w:w="651" w:type="dxa"/>
            <w:gridSpan w:val="3"/>
            <w:tcMar>
              <w:left w:w="28" w:type="dxa"/>
              <w:right w:w="28" w:type="dxa"/>
            </w:tcMar>
          </w:tcPr>
          <w:p w14:paraId="094EBB17" w14:textId="77777777" w:rsidR="004C1CED" w:rsidRPr="00434E9D" w:rsidRDefault="004C1CED" w:rsidP="004C1CED">
            <w:pPr>
              <w:widowControl/>
              <w:spacing w:before="40" w:after="40"/>
              <w:jc w:val="both"/>
              <w:rPr>
                <w:rFonts w:eastAsia="Calibri"/>
                <w:noProof/>
                <w:sz w:val="22"/>
                <w:szCs w:val="22"/>
                <w:lang w:eastAsia="en-US"/>
              </w:rPr>
            </w:pPr>
            <w:r w:rsidRPr="00434E9D">
              <w:rPr>
                <w:rFonts w:eastAsia="Calibri"/>
                <w:noProof/>
                <w:sz w:val="22"/>
                <w:szCs w:val="22"/>
                <w:lang w:eastAsia="en-US"/>
              </w:rPr>
              <w:t>(2)</w:t>
            </w:r>
          </w:p>
        </w:tc>
        <w:tc>
          <w:tcPr>
            <w:tcW w:w="2286" w:type="dxa"/>
            <w:gridSpan w:val="3"/>
            <w:tcMar>
              <w:left w:w="28" w:type="dxa"/>
              <w:right w:w="28" w:type="dxa"/>
            </w:tcMar>
          </w:tcPr>
          <w:p w14:paraId="2C6C09AB"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Anthracène</w:t>
            </w:r>
          </w:p>
        </w:tc>
        <w:tc>
          <w:tcPr>
            <w:tcW w:w="1329" w:type="dxa"/>
            <w:gridSpan w:val="3"/>
            <w:tcMar>
              <w:left w:w="28" w:type="dxa"/>
              <w:right w:w="28" w:type="dxa"/>
            </w:tcMar>
          </w:tcPr>
          <w:p w14:paraId="47BBB452"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 xml:space="preserve">Substances industrielles </w:t>
            </w:r>
          </w:p>
        </w:tc>
        <w:tc>
          <w:tcPr>
            <w:tcW w:w="992" w:type="dxa"/>
            <w:gridSpan w:val="2"/>
            <w:tcMar>
              <w:left w:w="28" w:type="dxa"/>
              <w:right w:w="28" w:type="dxa"/>
            </w:tcMar>
          </w:tcPr>
          <w:p w14:paraId="07018768"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120-12-7</w:t>
            </w:r>
          </w:p>
        </w:tc>
        <w:tc>
          <w:tcPr>
            <w:tcW w:w="1134" w:type="dxa"/>
          </w:tcPr>
          <w:p w14:paraId="60B45D8C"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204-371-1</w:t>
            </w:r>
          </w:p>
        </w:tc>
        <w:tc>
          <w:tcPr>
            <w:tcW w:w="1279" w:type="dxa"/>
            <w:gridSpan w:val="2"/>
            <w:tcMar>
              <w:left w:w="28" w:type="dxa"/>
              <w:right w:w="28" w:type="dxa"/>
            </w:tcMar>
          </w:tcPr>
          <w:p w14:paraId="0275A99E"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0,1</w:t>
            </w:r>
          </w:p>
        </w:tc>
        <w:tc>
          <w:tcPr>
            <w:tcW w:w="1279" w:type="dxa"/>
            <w:gridSpan w:val="2"/>
            <w:tcMar>
              <w:left w:w="28" w:type="dxa"/>
              <w:right w:w="28" w:type="dxa"/>
            </w:tcMar>
          </w:tcPr>
          <w:p w14:paraId="76F8B922"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0,1</w:t>
            </w:r>
          </w:p>
        </w:tc>
        <w:tc>
          <w:tcPr>
            <w:tcW w:w="1278" w:type="dxa"/>
            <w:gridSpan w:val="2"/>
            <w:tcMar>
              <w:left w:w="28" w:type="dxa"/>
              <w:right w:w="28" w:type="dxa"/>
            </w:tcMar>
          </w:tcPr>
          <w:p w14:paraId="3EE34A09"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0,1</w:t>
            </w:r>
          </w:p>
        </w:tc>
        <w:tc>
          <w:tcPr>
            <w:tcW w:w="1277" w:type="dxa"/>
            <w:gridSpan w:val="2"/>
            <w:tcMar>
              <w:left w:w="28" w:type="dxa"/>
              <w:right w:w="28" w:type="dxa"/>
            </w:tcMar>
          </w:tcPr>
          <w:p w14:paraId="309C0F6A"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0,1</w:t>
            </w:r>
          </w:p>
        </w:tc>
        <w:tc>
          <w:tcPr>
            <w:tcW w:w="1136" w:type="dxa"/>
            <w:gridSpan w:val="2"/>
            <w:tcMar>
              <w:left w:w="28" w:type="dxa"/>
              <w:right w:w="28" w:type="dxa"/>
            </w:tcMar>
          </w:tcPr>
          <w:p w14:paraId="6E082EAC" w14:textId="77777777" w:rsidR="004C1CED" w:rsidRPr="00434E9D" w:rsidRDefault="004C1CED" w:rsidP="004C1CED">
            <w:pPr>
              <w:widowControl/>
              <w:spacing w:before="40" w:after="40"/>
              <w:rPr>
                <w:rFonts w:eastAsia="Calibri"/>
                <w:noProof/>
                <w:sz w:val="22"/>
                <w:szCs w:val="22"/>
                <w:lang w:eastAsia="en-US"/>
              </w:rPr>
            </w:pPr>
          </w:p>
        </w:tc>
        <w:tc>
          <w:tcPr>
            <w:tcW w:w="1262" w:type="dxa"/>
            <w:gridSpan w:val="2"/>
            <w:tcMar>
              <w:left w:w="28" w:type="dxa"/>
              <w:right w:w="28" w:type="dxa"/>
            </w:tcMar>
          </w:tcPr>
          <w:p w14:paraId="4AF35C2B"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X</w:t>
            </w:r>
          </w:p>
        </w:tc>
        <w:tc>
          <w:tcPr>
            <w:tcW w:w="1153" w:type="dxa"/>
            <w:gridSpan w:val="2"/>
            <w:tcMar>
              <w:left w:w="28" w:type="dxa"/>
              <w:right w:w="28" w:type="dxa"/>
            </w:tcMar>
          </w:tcPr>
          <w:p w14:paraId="7523B5CF" w14:textId="77777777" w:rsidR="004C1CED" w:rsidRPr="00434E9D" w:rsidRDefault="004C1CED" w:rsidP="004C1CED">
            <w:pPr>
              <w:widowControl/>
              <w:spacing w:before="40" w:after="40"/>
              <w:rPr>
                <w:rFonts w:eastAsia="Calibri"/>
                <w:noProof/>
                <w:sz w:val="22"/>
                <w:szCs w:val="22"/>
                <w:lang w:eastAsia="en-US"/>
              </w:rPr>
            </w:pPr>
          </w:p>
        </w:tc>
        <w:tc>
          <w:tcPr>
            <w:tcW w:w="970" w:type="dxa"/>
            <w:tcMar>
              <w:left w:w="28" w:type="dxa"/>
              <w:right w:w="28" w:type="dxa"/>
            </w:tcMar>
          </w:tcPr>
          <w:p w14:paraId="7602BE62"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X</w:t>
            </w:r>
          </w:p>
        </w:tc>
      </w:tr>
      <w:tr w:rsidR="004C1CED" w:rsidRPr="00434E9D" w14:paraId="0BC2FE28" w14:textId="77777777" w:rsidTr="00B12A07">
        <w:trPr>
          <w:gridBefore w:val="1"/>
          <w:wBefore w:w="17" w:type="dxa"/>
          <w:cantSplit/>
          <w:tblHeader/>
          <w:jc w:val="center"/>
        </w:trPr>
        <w:tc>
          <w:tcPr>
            <w:tcW w:w="651" w:type="dxa"/>
            <w:gridSpan w:val="3"/>
            <w:tcMar>
              <w:left w:w="28" w:type="dxa"/>
              <w:right w:w="28" w:type="dxa"/>
            </w:tcMar>
          </w:tcPr>
          <w:p w14:paraId="7CE71C84" w14:textId="77777777" w:rsidR="004C1CED" w:rsidRPr="00434E9D" w:rsidRDefault="004C1CED" w:rsidP="004C1CED">
            <w:pPr>
              <w:widowControl/>
              <w:spacing w:before="40" w:after="40"/>
              <w:jc w:val="both"/>
              <w:rPr>
                <w:rFonts w:eastAsia="Calibri"/>
                <w:b/>
                <w:noProof/>
                <w:sz w:val="22"/>
                <w:szCs w:val="22"/>
                <w:lang w:eastAsia="en-US"/>
              </w:rPr>
            </w:pPr>
            <w:r w:rsidRPr="00434E9D">
              <w:rPr>
                <w:rFonts w:eastAsia="Calibri"/>
                <w:noProof/>
                <w:sz w:val="22"/>
                <w:szCs w:val="22"/>
                <w:lang w:eastAsia="en-US"/>
              </w:rPr>
              <w:t>(3)</w:t>
            </w:r>
            <w:r w:rsidR="00B12A07" w:rsidRPr="00434E9D">
              <w:rPr>
                <w:rFonts w:eastAsia="Calibri"/>
                <w:noProof/>
                <w:sz w:val="22"/>
                <w:szCs w:val="22"/>
                <w:lang w:eastAsia="en-US"/>
              </w:rPr>
              <w:t xml:space="preserve"> </w:t>
            </w:r>
            <w:r w:rsidR="00B12A07" w:rsidRPr="00434E9D">
              <w:rPr>
                <w:rFonts w:eastAsia="Calibri"/>
                <w:b/>
                <w:noProof/>
                <w:sz w:val="22"/>
                <w:szCs w:val="22"/>
                <w:lang w:eastAsia="en-US"/>
              </w:rPr>
              <w:t xml:space="preserve"> [Am. 150]</w:t>
            </w:r>
          </w:p>
        </w:tc>
        <w:tc>
          <w:tcPr>
            <w:tcW w:w="2286" w:type="dxa"/>
            <w:gridSpan w:val="3"/>
            <w:tcMar>
              <w:left w:w="28" w:type="dxa"/>
              <w:right w:w="28" w:type="dxa"/>
            </w:tcMar>
          </w:tcPr>
          <w:p w14:paraId="493DEDC9"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Atrazine</w:t>
            </w:r>
          </w:p>
        </w:tc>
        <w:tc>
          <w:tcPr>
            <w:tcW w:w="1329" w:type="dxa"/>
            <w:gridSpan w:val="3"/>
            <w:tcMar>
              <w:left w:w="28" w:type="dxa"/>
              <w:right w:w="28" w:type="dxa"/>
            </w:tcMar>
          </w:tcPr>
          <w:p w14:paraId="67D81F58"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Herbicides</w:t>
            </w:r>
          </w:p>
        </w:tc>
        <w:tc>
          <w:tcPr>
            <w:tcW w:w="992" w:type="dxa"/>
            <w:gridSpan w:val="2"/>
            <w:tcMar>
              <w:left w:w="28" w:type="dxa"/>
              <w:right w:w="28" w:type="dxa"/>
            </w:tcMar>
          </w:tcPr>
          <w:p w14:paraId="69375F50"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1912-24-9</w:t>
            </w:r>
          </w:p>
        </w:tc>
        <w:tc>
          <w:tcPr>
            <w:tcW w:w="1134" w:type="dxa"/>
          </w:tcPr>
          <w:p w14:paraId="0C5072EE"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217-617-8</w:t>
            </w:r>
          </w:p>
        </w:tc>
        <w:tc>
          <w:tcPr>
            <w:tcW w:w="1279" w:type="dxa"/>
            <w:gridSpan w:val="2"/>
            <w:tcMar>
              <w:left w:w="28" w:type="dxa"/>
              <w:right w:w="28" w:type="dxa"/>
            </w:tcMar>
          </w:tcPr>
          <w:p w14:paraId="0555D966" w14:textId="77777777" w:rsidR="004C1CED" w:rsidRPr="00434E9D" w:rsidRDefault="00B12A07" w:rsidP="004C1CED">
            <w:pPr>
              <w:widowControl/>
              <w:spacing w:before="40" w:after="40"/>
              <w:rPr>
                <w:rFonts w:eastAsia="Calibri"/>
                <w:noProof/>
                <w:sz w:val="22"/>
                <w:szCs w:val="22"/>
                <w:lang w:eastAsia="en-US"/>
              </w:rPr>
            </w:pPr>
            <w:r w:rsidRPr="00434E9D">
              <w:rPr>
                <w:rFonts w:eastAsia="Calibri"/>
                <w:strike/>
                <w:noProof/>
                <w:sz w:val="22"/>
                <w:szCs w:val="22"/>
              </w:rPr>
              <w:t>0,6</w:t>
            </w:r>
            <w:r w:rsidRPr="00434E9D">
              <w:rPr>
                <w:rFonts w:eastAsia="Calibri"/>
                <w:noProof/>
                <w:sz w:val="22"/>
                <w:szCs w:val="22"/>
              </w:rPr>
              <w:t xml:space="preserve"> </w:t>
            </w:r>
            <w:r w:rsidRPr="00434E9D">
              <w:rPr>
                <w:rFonts w:eastAsia="Calibri"/>
                <w:b/>
                <w:i/>
                <w:noProof/>
                <w:sz w:val="22"/>
                <w:szCs w:val="22"/>
              </w:rPr>
              <w:t>0,1</w:t>
            </w:r>
          </w:p>
        </w:tc>
        <w:tc>
          <w:tcPr>
            <w:tcW w:w="1279" w:type="dxa"/>
            <w:gridSpan w:val="2"/>
            <w:tcMar>
              <w:left w:w="28" w:type="dxa"/>
              <w:right w:w="28" w:type="dxa"/>
            </w:tcMar>
          </w:tcPr>
          <w:p w14:paraId="4981D5BA" w14:textId="77777777" w:rsidR="004C1CED" w:rsidRPr="00434E9D" w:rsidRDefault="00B12A07" w:rsidP="004C1CED">
            <w:pPr>
              <w:widowControl/>
              <w:spacing w:before="40" w:after="40"/>
              <w:rPr>
                <w:rFonts w:eastAsia="Calibri"/>
                <w:noProof/>
                <w:sz w:val="22"/>
                <w:szCs w:val="22"/>
                <w:lang w:eastAsia="en-US"/>
              </w:rPr>
            </w:pPr>
            <w:r w:rsidRPr="00434E9D">
              <w:rPr>
                <w:rFonts w:eastAsia="Calibri"/>
                <w:strike/>
                <w:noProof/>
                <w:sz w:val="22"/>
                <w:szCs w:val="22"/>
              </w:rPr>
              <w:t>0,6</w:t>
            </w:r>
            <w:r w:rsidRPr="00434E9D">
              <w:rPr>
                <w:rFonts w:eastAsia="Calibri"/>
                <w:noProof/>
                <w:sz w:val="22"/>
                <w:szCs w:val="22"/>
              </w:rPr>
              <w:t xml:space="preserve"> </w:t>
            </w:r>
            <w:r w:rsidRPr="00434E9D">
              <w:rPr>
                <w:rFonts w:eastAsia="Calibri"/>
                <w:b/>
                <w:i/>
                <w:noProof/>
                <w:sz w:val="22"/>
                <w:szCs w:val="22"/>
              </w:rPr>
              <w:t>0,1</w:t>
            </w:r>
          </w:p>
        </w:tc>
        <w:tc>
          <w:tcPr>
            <w:tcW w:w="1278" w:type="dxa"/>
            <w:gridSpan w:val="2"/>
            <w:tcMar>
              <w:left w:w="28" w:type="dxa"/>
              <w:right w:w="28" w:type="dxa"/>
            </w:tcMar>
          </w:tcPr>
          <w:p w14:paraId="14F118D7"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2,0</w:t>
            </w:r>
          </w:p>
        </w:tc>
        <w:tc>
          <w:tcPr>
            <w:tcW w:w="1277" w:type="dxa"/>
            <w:gridSpan w:val="2"/>
            <w:tcMar>
              <w:left w:w="28" w:type="dxa"/>
              <w:right w:w="28" w:type="dxa"/>
            </w:tcMar>
          </w:tcPr>
          <w:p w14:paraId="0052A289"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2,0</w:t>
            </w:r>
          </w:p>
        </w:tc>
        <w:tc>
          <w:tcPr>
            <w:tcW w:w="1136" w:type="dxa"/>
            <w:gridSpan w:val="2"/>
            <w:tcMar>
              <w:left w:w="28" w:type="dxa"/>
              <w:right w:w="28" w:type="dxa"/>
            </w:tcMar>
          </w:tcPr>
          <w:p w14:paraId="7D321E9C" w14:textId="77777777" w:rsidR="004C1CED" w:rsidRPr="00434E9D" w:rsidRDefault="004C1CED" w:rsidP="004C1CED">
            <w:pPr>
              <w:widowControl/>
              <w:spacing w:before="40" w:after="40"/>
              <w:rPr>
                <w:rFonts w:eastAsia="Calibri"/>
                <w:noProof/>
                <w:sz w:val="22"/>
                <w:szCs w:val="22"/>
                <w:lang w:eastAsia="en-US"/>
              </w:rPr>
            </w:pPr>
          </w:p>
        </w:tc>
        <w:tc>
          <w:tcPr>
            <w:tcW w:w="1262" w:type="dxa"/>
            <w:gridSpan w:val="2"/>
            <w:tcMar>
              <w:left w:w="28" w:type="dxa"/>
              <w:right w:w="28" w:type="dxa"/>
            </w:tcMar>
          </w:tcPr>
          <w:p w14:paraId="06CD3366" w14:textId="77777777" w:rsidR="004C1CED" w:rsidRPr="00434E9D" w:rsidRDefault="004C1CED" w:rsidP="004C1CED">
            <w:pPr>
              <w:widowControl/>
              <w:spacing w:before="40" w:after="40"/>
              <w:rPr>
                <w:rFonts w:eastAsia="Calibri"/>
                <w:noProof/>
                <w:sz w:val="22"/>
                <w:szCs w:val="22"/>
                <w:lang w:eastAsia="en-US"/>
              </w:rPr>
            </w:pPr>
          </w:p>
        </w:tc>
        <w:tc>
          <w:tcPr>
            <w:tcW w:w="1153" w:type="dxa"/>
            <w:gridSpan w:val="2"/>
            <w:tcMar>
              <w:left w:w="28" w:type="dxa"/>
              <w:right w:w="28" w:type="dxa"/>
            </w:tcMar>
          </w:tcPr>
          <w:p w14:paraId="09398123" w14:textId="77777777" w:rsidR="004C1CED" w:rsidRPr="00434E9D" w:rsidRDefault="004C1CED" w:rsidP="004C1CED">
            <w:pPr>
              <w:widowControl/>
              <w:spacing w:before="40" w:after="40"/>
              <w:rPr>
                <w:rFonts w:eastAsia="Calibri"/>
                <w:noProof/>
                <w:sz w:val="22"/>
                <w:szCs w:val="22"/>
                <w:lang w:eastAsia="en-US"/>
              </w:rPr>
            </w:pPr>
          </w:p>
        </w:tc>
        <w:tc>
          <w:tcPr>
            <w:tcW w:w="970" w:type="dxa"/>
            <w:tcMar>
              <w:left w:w="28" w:type="dxa"/>
              <w:right w:w="28" w:type="dxa"/>
            </w:tcMar>
          </w:tcPr>
          <w:p w14:paraId="7E1BCE37" w14:textId="77777777" w:rsidR="004C1CED" w:rsidRPr="00434E9D" w:rsidRDefault="004C1CED" w:rsidP="004C1CED">
            <w:pPr>
              <w:widowControl/>
              <w:spacing w:before="40" w:after="40"/>
              <w:rPr>
                <w:rFonts w:eastAsia="Calibri"/>
                <w:noProof/>
                <w:sz w:val="22"/>
                <w:szCs w:val="22"/>
                <w:lang w:eastAsia="en-US"/>
              </w:rPr>
            </w:pPr>
          </w:p>
        </w:tc>
      </w:tr>
      <w:tr w:rsidR="004C1CED" w:rsidRPr="00434E9D" w14:paraId="00EFCF67" w14:textId="77777777" w:rsidTr="00B12A07">
        <w:trPr>
          <w:gridBefore w:val="1"/>
          <w:wBefore w:w="17" w:type="dxa"/>
          <w:cantSplit/>
          <w:tblHeader/>
          <w:jc w:val="center"/>
        </w:trPr>
        <w:tc>
          <w:tcPr>
            <w:tcW w:w="651" w:type="dxa"/>
            <w:gridSpan w:val="3"/>
            <w:tcMar>
              <w:left w:w="28" w:type="dxa"/>
              <w:right w:w="28" w:type="dxa"/>
            </w:tcMar>
          </w:tcPr>
          <w:p w14:paraId="529D06D8" w14:textId="77777777" w:rsidR="004C1CED" w:rsidRPr="00434E9D" w:rsidRDefault="004C1CED" w:rsidP="004C1CED">
            <w:pPr>
              <w:widowControl/>
              <w:spacing w:before="40" w:after="40"/>
              <w:jc w:val="both"/>
              <w:rPr>
                <w:rFonts w:eastAsia="Calibri"/>
                <w:noProof/>
                <w:sz w:val="22"/>
                <w:szCs w:val="22"/>
                <w:lang w:eastAsia="en-US"/>
              </w:rPr>
            </w:pPr>
            <w:r w:rsidRPr="00434E9D">
              <w:rPr>
                <w:rFonts w:eastAsia="Calibri"/>
                <w:noProof/>
                <w:sz w:val="22"/>
                <w:szCs w:val="22"/>
                <w:lang w:eastAsia="en-US"/>
              </w:rPr>
              <w:t>(4)</w:t>
            </w:r>
          </w:p>
        </w:tc>
        <w:tc>
          <w:tcPr>
            <w:tcW w:w="2286" w:type="dxa"/>
            <w:gridSpan w:val="3"/>
            <w:tcMar>
              <w:left w:w="28" w:type="dxa"/>
              <w:right w:w="28" w:type="dxa"/>
            </w:tcMar>
          </w:tcPr>
          <w:p w14:paraId="6D1C5CCA"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Benzène</w:t>
            </w:r>
          </w:p>
        </w:tc>
        <w:tc>
          <w:tcPr>
            <w:tcW w:w="1329" w:type="dxa"/>
            <w:gridSpan w:val="3"/>
            <w:tcMar>
              <w:left w:w="28" w:type="dxa"/>
              <w:right w:w="28" w:type="dxa"/>
            </w:tcMar>
          </w:tcPr>
          <w:p w14:paraId="7420A6CB"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Substances industrielles</w:t>
            </w:r>
          </w:p>
        </w:tc>
        <w:tc>
          <w:tcPr>
            <w:tcW w:w="992" w:type="dxa"/>
            <w:gridSpan w:val="2"/>
            <w:tcMar>
              <w:left w:w="28" w:type="dxa"/>
              <w:right w:w="28" w:type="dxa"/>
            </w:tcMar>
          </w:tcPr>
          <w:p w14:paraId="23ABABDD"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71-43-2</w:t>
            </w:r>
          </w:p>
        </w:tc>
        <w:tc>
          <w:tcPr>
            <w:tcW w:w="1134" w:type="dxa"/>
          </w:tcPr>
          <w:p w14:paraId="0BED0957"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200-753-7</w:t>
            </w:r>
          </w:p>
        </w:tc>
        <w:tc>
          <w:tcPr>
            <w:tcW w:w="1279" w:type="dxa"/>
            <w:gridSpan w:val="2"/>
            <w:tcMar>
              <w:left w:w="28" w:type="dxa"/>
              <w:right w:w="28" w:type="dxa"/>
            </w:tcMar>
          </w:tcPr>
          <w:p w14:paraId="1F8C1018"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10</w:t>
            </w:r>
          </w:p>
        </w:tc>
        <w:tc>
          <w:tcPr>
            <w:tcW w:w="1279" w:type="dxa"/>
            <w:gridSpan w:val="2"/>
            <w:tcMar>
              <w:left w:w="28" w:type="dxa"/>
              <w:right w:w="28" w:type="dxa"/>
            </w:tcMar>
          </w:tcPr>
          <w:p w14:paraId="5B52391E"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8</w:t>
            </w:r>
          </w:p>
        </w:tc>
        <w:tc>
          <w:tcPr>
            <w:tcW w:w="1278" w:type="dxa"/>
            <w:gridSpan w:val="2"/>
            <w:tcMar>
              <w:left w:w="28" w:type="dxa"/>
              <w:right w:w="28" w:type="dxa"/>
            </w:tcMar>
          </w:tcPr>
          <w:p w14:paraId="7C6609EA"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50</w:t>
            </w:r>
          </w:p>
        </w:tc>
        <w:tc>
          <w:tcPr>
            <w:tcW w:w="1277" w:type="dxa"/>
            <w:gridSpan w:val="2"/>
            <w:tcMar>
              <w:left w:w="28" w:type="dxa"/>
              <w:right w:w="28" w:type="dxa"/>
            </w:tcMar>
          </w:tcPr>
          <w:p w14:paraId="719743ED"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50</w:t>
            </w:r>
          </w:p>
        </w:tc>
        <w:tc>
          <w:tcPr>
            <w:tcW w:w="1136" w:type="dxa"/>
            <w:gridSpan w:val="2"/>
            <w:tcMar>
              <w:left w:w="28" w:type="dxa"/>
              <w:right w:w="28" w:type="dxa"/>
            </w:tcMar>
          </w:tcPr>
          <w:p w14:paraId="5315C6EB" w14:textId="77777777" w:rsidR="004C1CED" w:rsidRPr="00434E9D" w:rsidRDefault="004C1CED" w:rsidP="004C1CED">
            <w:pPr>
              <w:widowControl/>
              <w:spacing w:before="40" w:after="40"/>
              <w:rPr>
                <w:rFonts w:eastAsia="Calibri"/>
                <w:noProof/>
                <w:sz w:val="22"/>
                <w:szCs w:val="22"/>
                <w:lang w:eastAsia="en-US"/>
              </w:rPr>
            </w:pPr>
          </w:p>
        </w:tc>
        <w:tc>
          <w:tcPr>
            <w:tcW w:w="1262" w:type="dxa"/>
            <w:gridSpan w:val="2"/>
            <w:tcMar>
              <w:left w:w="28" w:type="dxa"/>
              <w:right w:w="28" w:type="dxa"/>
            </w:tcMar>
          </w:tcPr>
          <w:p w14:paraId="057D0DE6" w14:textId="77777777" w:rsidR="004C1CED" w:rsidRPr="00434E9D" w:rsidRDefault="004C1CED" w:rsidP="004C1CED">
            <w:pPr>
              <w:widowControl/>
              <w:spacing w:before="40" w:after="40"/>
              <w:rPr>
                <w:rFonts w:eastAsia="Calibri"/>
                <w:noProof/>
                <w:sz w:val="22"/>
                <w:szCs w:val="22"/>
                <w:lang w:eastAsia="en-US"/>
              </w:rPr>
            </w:pPr>
          </w:p>
        </w:tc>
        <w:tc>
          <w:tcPr>
            <w:tcW w:w="1153" w:type="dxa"/>
            <w:gridSpan w:val="2"/>
            <w:tcMar>
              <w:left w:w="28" w:type="dxa"/>
              <w:right w:w="28" w:type="dxa"/>
            </w:tcMar>
          </w:tcPr>
          <w:p w14:paraId="298AF2F1" w14:textId="77777777" w:rsidR="004C1CED" w:rsidRPr="00434E9D" w:rsidRDefault="004C1CED" w:rsidP="004C1CED">
            <w:pPr>
              <w:widowControl/>
              <w:spacing w:before="40" w:after="40"/>
              <w:rPr>
                <w:rFonts w:eastAsia="Calibri"/>
                <w:noProof/>
                <w:sz w:val="22"/>
                <w:szCs w:val="22"/>
                <w:lang w:eastAsia="en-US"/>
              </w:rPr>
            </w:pPr>
          </w:p>
        </w:tc>
        <w:tc>
          <w:tcPr>
            <w:tcW w:w="970" w:type="dxa"/>
            <w:tcMar>
              <w:left w:w="28" w:type="dxa"/>
              <w:right w:w="28" w:type="dxa"/>
            </w:tcMar>
          </w:tcPr>
          <w:p w14:paraId="5296DED7" w14:textId="77777777" w:rsidR="004C1CED" w:rsidRPr="00434E9D" w:rsidRDefault="004C1CED" w:rsidP="004C1CED">
            <w:pPr>
              <w:widowControl/>
              <w:spacing w:before="40" w:after="40"/>
              <w:rPr>
                <w:rFonts w:eastAsia="Calibri"/>
                <w:noProof/>
                <w:sz w:val="22"/>
                <w:szCs w:val="22"/>
                <w:lang w:eastAsia="en-US"/>
              </w:rPr>
            </w:pPr>
          </w:p>
        </w:tc>
      </w:tr>
      <w:tr w:rsidR="004C1CED" w:rsidRPr="00434E9D" w14:paraId="3FEC99A6" w14:textId="77777777" w:rsidTr="00B12A07">
        <w:trPr>
          <w:gridBefore w:val="1"/>
          <w:wBefore w:w="17" w:type="dxa"/>
          <w:cantSplit/>
          <w:trHeight w:val="567"/>
          <w:tblHeader/>
          <w:jc w:val="center"/>
        </w:trPr>
        <w:tc>
          <w:tcPr>
            <w:tcW w:w="651" w:type="dxa"/>
            <w:gridSpan w:val="3"/>
            <w:tcMar>
              <w:left w:w="28" w:type="dxa"/>
              <w:right w:w="28" w:type="dxa"/>
            </w:tcMar>
          </w:tcPr>
          <w:p w14:paraId="0AF4481C" w14:textId="77777777" w:rsidR="004C1CED" w:rsidRPr="00434E9D" w:rsidRDefault="004C1CED" w:rsidP="004C1CED">
            <w:pPr>
              <w:widowControl/>
              <w:spacing w:before="40" w:after="40"/>
              <w:jc w:val="both"/>
              <w:rPr>
                <w:rFonts w:eastAsia="Calibri"/>
                <w:noProof/>
                <w:sz w:val="22"/>
                <w:szCs w:val="22"/>
                <w:lang w:eastAsia="en-US"/>
              </w:rPr>
            </w:pPr>
            <w:r w:rsidRPr="00434E9D">
              <w:rPr>
                <w:rFonts w:eastAsia="Calibri"/>
                <w:noProof/>
                <w:sz w:val="22"/>
                <w:szCs w:val="22"/>
                <w:lang w:eastAsia="en-US"/>
              </w:rPr>
              <w:t>(5)</w:t>
            </w:r>
          </w:p>
        </w:tc>
        <w:tc>
          <w:tcPr>
            <w:tcW w:w="2286" w:type="dxa"/>
            <w:gridSpan w:val="3"/>
            <w:tcMar>
              <w:left w:w="28" w:type="dxa"/>
              <w:right w:w="28" w:type="dxa"/>
            </w:tcMar>
          </w:tcPr>
          <w:p w14:paraId="587F1BA9" w14:textId="77777777" w:rsidR="004C1CED" w:rsidRPr="00434E9D" w:rsidRDefault="004C1CED" w:rsidP="004C1CED">
            <w:pPr>
              <w:widowControl/>
              <w:spacing w:before="40" w:after="40"/>
              <w:rPr>
                <w:rFonts w:eastAsia="Calibri"/>
                <w:noProof/>
                <w:sz w:val="22"/>
                <w:szCs w:val="22"/>
                <w:vertAlign w:val="superscript"/>
                <w:lang w:eastAsia="en-US"/>
              </w:rPr>
            </w:pPr>
            <w:r w:rsidRPr="00434E9D">
              <w:rPr>
                <w:rFonts w:eastAsia="Calibri"/>
                <w:noProof/>
                <w:sz w:val="22"/>
                <w:szCs w:val="22"/>
                <w:lang w:eastAsia="en-US"/>
              </w:rPr>
              <w:t>Diphényléthers bromés</w:t>
            </w:r>
            <w:bookmarkStart w:id="18" w:name="_DV_M300"/>
            <w:bookmarkEnd w:id="18"/>
          </w:p>
        </w:tc>
        <w:tc>
          <w:tcPr>
            <w:tcW w:w="1329" w:type="dxa"/>
            <w:gridSpan w:val="3"/>
            <w:tcMar>
              <w:left w:w="28" w:type="dxa"/>
              <w:right w:w="28" w:type="dxa"/>
            </w:tcMar>
          </w:tcPr>
          <w:p w14:paraId="1F54FE4C"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Substances industrielles</w:t>
            </w:r>
          </w:p>
        </w:tc>
        <w:tc>
          <w:tcPr>
            <w:tcW w:w="992" w:type="dxa"/>
            <w:gridSpan w:val="2"/>
            <w:tcMar>
              <w:left w:w="28" w:type="dxa"/>
              <w:right w:w="28" w:type="dxa"/>
            </w:tcMar>
          </w:tcPr>
          <w:p w14:paraId="1AAC67F4"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sans objet</w:t>
            </w:r>
          </w:p>
        </w:tc>
        <w:tc>
          <w:tcPr>
            <w:tcW w:w="1134" w:type="dxa"/>
          </w:tcPr>
          <w:p w14:paraId="631CB3E9"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sans objet</w:t>
            </w:r>
          </w:p>
        </w:tc>
        <w:tc>
          <w:tcPr>
            <w:tcW w:w="1279" w:type="dxa"/>
            <w:gridSpan w:val="2"/>
            <w:tcMar>
              <w:left w:w="28" w:type="dxa"/>
              <w:right w:w="28" w:type="dxa"/>
            </w:tcMar>
          </w:tcPr>
          <w:p w14:paraId="5F2EDB4B" w14:textId="77777777" w:rsidR="004C1CED" w:rsidRPr="00434E9D" w:rsidRDefault="004C1CED" w:rsidP="004C1CED">
            <w:pPr>
              <w:widowControl/>
              <w:spacing w:before="40" w:after="40"/>
              <w:rPr>
                <w:rFonts w:eastAsia="Calibri"/>
                <w:noProof/>
                <w:sz w:val="22"/>
                <w:szCs w:val="22"/>
                <w:lang w:eastAsia="en-US"/>
              </w:rPr>
            </w:pPr>
          </w:p>
        </w:tc>
        <w:tc>
          <w:tcPr>
            <w:tcW w:w="1279" w:type="dxa"/>
            <w:gridSpan w:val="2"/>
            <w:tcMar>
              <w:left w:w="28" w:type="dxa"/>
              <w:right w:w="28" w:type="dxa"/>
            </w:tcMar>
          </w:tcPr>
          <w:p w14:paraId="239FAA6F" w14:textId="77777777" w:rsidR="004C1CED" w:rsidRPr="00434E9D" w:rsidRDefault="004C1CED" w:rsidP="004C1CED">
            <w:pPr>
              <w:widowControl/>
              <w:spacing w:before="40" w:after="40"/>
              <w:rPr>
                <w:rFonts w:eastAsia="Calibri"/>
                <w:noProof/>
                <w:sz w:val="22"/>
                <w:szCs w:val="22"/>
                <w:lang w:eastAsia="en-US"/>
              </w:rPr>
            </w:pPr>
          </w:p>
        </w:tc>
        <w:tc>
          <w:tcPr>
            <w:tcW w:w="1278" w:type="dxa"/>
            <w:gridSpan w:val="2"/>
            <w:tcMar>
              <w:left w:w="28" w:type="dxa"/>
              <w:right w:w="28" w:type="dxa"/>
            </w:tcMar>
          </w:tcPr>
          <w:p w14:paraId="3F5A242A"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0,14 (</w:t>
            </w:r>
            <w:r w:rsidRPr="00434E9D">
              <w:rPr>
                <w:rFonts w:eastAsia="Calibri"/>
                <w:noProof/>
                <w:sz w:val="22"/>
                <w:szCs w:val="22"/>
                <w:vertAlign w:val="superscript"/>
                <w:lang w:eastAsia="en-US"/>
              </w:rPr>
              <w:t>7</w:t>
            </w:r>
            <w:r w:rsidRPr="00434E9D">
              <w:rPr>
                <w:rFonts w:eastAsia="Calibri"/>
                <w:noProof/>
                <w:sz w:val="22"/>
                <w:szCs w:val="22"/>
                <w:lang w:eastAsia="en-US"/>
              </w:rPr>
              <w:t>)</w:t>
            </w:r>
          </w:p>
        </w:tc>
        <w:tc>
          <w:tcPr>
            <w:tcW w:w="1277" w:type="dxa"/>
            <w:gridSpan w:val="2"/>
            <w:tcMar>
              <w:left w:w="28" w:type="dxa"/>
              <w:right w:w="28" w:type="dxa"/>
            </w:tcMar>
          </w:tcPr>
          <w:p w14:paraId="002A2FCF"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0,014 (</w:t>
            </w:r>
            <w:r w:rsidRPr="00434E9D">
              <w:rPr>
                <w:rFonts w:eastAsia="Calibri"/>
                <w:noProof/>
                <w:sz w:val="22"/>
                <w:szCs w:val="22"/>
                <w:vertAlign w:val="superscript"/>
                <w:lang w:eastAsia="en-US"/>
              </w:rPr>
              <w:t>7</w:t>
            </w:r>
            <w:r w:rsidRPr="00434E9D">
              <w:rPr>
                <w:rFonts w:eastAsia="Calibri"/>
                <w:noProof/>
                <w:sz w:val="22"/>
                <w:szCs w:val="22"/>
                <w:lang w:eastAsia="en-US"/>
              </w:rPr>
              <w:t>)</w:t>
            </w:r>
          </w:p>
        </w:tc>
        <w:tc>
          <w:tcPr>
            <w:tcW w:w="1136" w:type="dxa"/>
            <w:gridSpan w:val="2"/>
            <w:tcMar>
              <w:left w:w="28" w:type="dxa"/>
              <w:right w:w="28" w:type="dxa"/>
            </w:tcMar>
          </w:tcPr>
          <w:p w14:paraId="6D78D5CA"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[0,00028] (</w:t>
            </w:r>
            <w:r w:rsidRPr="00434E9D">
              <w:rPr>
                <w:rFonts w:eastAsia="Calibri"/>
                <w:noProof/>
                <w:sz w:val="22"/>
                <w:szCs w:val="22"/>
                <w:vertAlign w:val="superscript"/>
                <w:lang w:eastAsia="en-US"/>
              </w:rPr>
              <w:t>7</w:t>
            </w:r>
            <w:r w:rsidRPr="00434E9D">
              <w:rPr>
                <w:rFonts w:eastAsia="Calibri"/>
                <w:noProof/>
                <w:sz w:val="22"/>
                <w:szCs w:val="22"/>
                <w:lang w:eastAsia="en-US"/>
              </w:rPr>
              <w:t>)</w:t>
            </w:r>
          </w:p>
        </w:tc>
        <w:tc>
          <w:tcPr>
            <w:tcW w:w="1262" w:type="dxa"/>
            <w:gridSpan w:val="2"/>
            <w:tcMar>
              <w:left w:w="28" w:type="dxa"/>
              <w:right w:w="28" w:type="dxa"/>
            </w:tcMar>
          </w:tcPr>
          <w:p w14:paraId="4FAE8C10"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X (</w:t>
            </w:r>
            <w:r w:rsidRPr="00434E9D">
              <w:rPr>
                <w:rFonts w:eastAsia="Calibri"/>
                <w:noProof/>
                <w:sz w:val="22"/>
                <w:szCs w:val="22"/>
                <w:vertAlign w:val="superscript"/>
                <w:lang w:eastAsia="en-US"/>
              </w:rPr>
              <w:t>8</w:t>
            </w:r>
            <w:r w:rsidRPr="00434E9D">
              <w:rPr>
                <w:rFonts w:eastAsia="Calibri"/>
                <w:noProof/>
                <w:sz w:val="22"/>
                <w:szCs w:val="22"/>
                <w:lang w:eastAsia="en-US"/>
              </w:rPr>
              <w:t>)</w:t>
            </w:r>
          </w:p>
        </w:tc>
        <w:tc>
          <w:tcPr>
            <w:tcW w:w="1153" w:type="dxa"/>
            <w:gridSpan w:val="2"/>
            <w:tcMar>
              <w:left w:w="28" w:type="dxa"/>
              <w:right w:w="28" w:type="dxa"/>
            </w:tcMar>
          </w:tcPr>
          <w:p w14:paraId="76401667"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X</w:t>
            </w:r>
          </w:p>
        </w:tc>
        <w:tc>
          <w:tcPr>
            <w:tcW w:w="970" w:type="dxa"/>
            <w:tcMar>
              <w:left w:w="28" w:type="dxa"/>
              <w:right w:w="28" w:type="dxa"/>
            </w:tcMar>
          </w:tcPr>
          <w:p w14:paraId="13A87065"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X</w:t>
            </w:r>
          </w:p>
        </w:tc>
      </w:tr>
      <w:tr w:rsidR="004C1CED" w:rsidRPr="00434E9D" w14:paraId="755CB81E" w14:textId="77777777" w:rsidTr="00B12A07">
        <w:trPr>
          <w:gridBefore w:val="1"/>
          <w:wBefore w:w="17" w:type="dxa"/>
          <w:cantSplit/>
          <w:tblHeader/>
          <w:jc w:val="center"/>
        </w:trPr>
        <w:tc>
          <w:tcPr>
            <w:tcW w:w="651" w:type="dxa"/>
            <w:gridSpan w:val="3"/>
            <w:tcMar>
              <w:left w:w="28" w:type="dxa"/>
              <w:right w:w="28" w:type="dxa"/>
            </w:tcMar>
          </w:tcPr>
          <w:p w14:paraId="72CF4FAA" w14:textId="77777777" w:rsidR="004C1CED" w:rsidRPr="00434E9D" w:rsidRDefault="004C1CED" w:rsidP="004C1CED">
            <w:pPr>
              <w:keepNext/>
              <w:widowControl/>
              <w:spacing w:before="40" w:after="40"/>
              <w:jc w:val="both"/>
              <w:rPr>
                <w:rFonts w:eastAsia="Calibri"/>
                <w:noProof/>
                <w:sz w:val="22"/>
                <w:szCs w:val="22"/>
                <w:lang w:eastAsia="en-US"/>
              </w:rPr>
            </w:pPr>
            <w:r w:rsidRPr="00434E9D">
              <w:rPr>
                <w:rFonts w:eastAsia="Calibri"/>
                <w:noProof/>
                <w:sz w:val="22"/>
                <w:szCs w:val="22"/>
                <w:lang w:eastAsia="en-US"/>
              </w:rPr>
              <w:lastRenderedPageBreak/>
              <w:t>(6)</w:t>
            </w:r>
          </w:p>
        </w:tc>
        <w:tc>
          <w:tcPr>
            <w:tcW w:w="2286" w:type="dxa"/>
            <w:gridSpan w:val="3"/>
            <w:tcMar>
              <w:left w:w="28" w:type="dxa"/>
              <w:right w:w="28" w:type="dxa"/>
            </w:tcMar>
          </w:tcPr>
          <w:p w14:paraId="16302F36" w14:textId="77777777" w:rsidR="004C1CED" w:rsidRPr="00434E9D" w:rsidRDefault="004C1CED" w:rsidP="004C1CED">
            <w:pPr>
              <w:keepNext/>
              <w:widowControl/>
              <w:spacing w:before="40" w:after="40"/>
              <w:rPr>
                <w:rFonts w:eastAsia="Calibri"/>
                <w:noProof/>
                <w:sz w:val="22"/>
                <w:szCs w:val="22"/>
                <w:lang w:eastAsia="en-US"/>
              </w:rPr>
            </w:pPr>
            <w:r w:rsidRPr="00434E9D">
              <w:rPr>
                <w:rFonts w:eastAsia="Calibri"/>
                <w:noProof/>
                <w:sz w:val="22"/>
                <w:szCs w:val="22"/>
                <w:lang w:eastAsia="en-US"/>
              </w:rPr>
              <w:t>Cadmium et ses composés</w:t>
            </w:r>
          </w:p>
          <w:p w14:paraId="518FE73C" w14:textId="77777777" w:rsidR="004C1CED" w:rsidRPr="00434E9D" w:rsidRDefault="004C1CED" w:rsidP="004C1CED">
            <w:pPr>
              <w:keepNext/>
              <w:widowControl/>
              <w:spacing w:before="40" w:after="40"/>
              <w:rPr>
                <w:rFonts w:eastAsia="Calibri"/>
                <w:noProof/>
                <w:sz w:val="22"/>
                <w:szCs w:val="22"/>
                <w:vertAlign w:val="superscript"/>
                <w:lang w:eastAsia="en-US"/>
              </w:rPr>
            </w:pPr>
            <w:r w:rsidRPr="00434E9D">
              <w:rPr>
                <w:rFonts w:eastAsia="Calibri"/>
                <w:noProof/>
                <w:sz w:val="22"/>
                <w:szCs w:val="22"/>
                <w:lang w:eastAsia="en-US"/>
              </w:rPr>
              <w:t>(suivant les classes de dureté de l’eau) (</w:t>
            </w:r>
            <w:r w:rsidRPr="00434E9D">
              <w:rPr>
                <w:rFonts w:eastAsia="Calibri"/>
                <w:noProof/>
                <w:sz w:val="22"/>
                <w:szCs w:val="22"/>
                <w:vertAlign w:val="superscript"/>
                <w:lang w:eastAsia="en-US"/>
              </w:rPr>
              <w:t>9</w:t>
            </w:r>
            <w:r w:rsidRPr="00434E9D">
              <w:rPr>
                <w:rFonts w:eastAsia="Calibri"/>
                <w:noProof/>
                <w:sz w:val="22"/>
                <w:szCs w:val="22"/>
                <w:lang w:eastAsia="en-US"/>
              </w:rPr>
              <w:t>)</w:t>
            </w:r>
          </w:p>
        </w:tc>
        <w:tc>
          <w:tcPr>
            <w:tcW w:w="1329" w:type="dxa"/>
            <w:gridSpan w:val="3"/>
            <w:tcMar>
              <w:left w:w="28" w:type="dxa"/>
              <w:right w:w="28" w:type="dxa"/>
            </w:tcMar>
          </w:tcPr>
          <w:p w14:paraId="18A6C09E" w14:textId="77777777" w:rsidR="004C1CED" w:rsidRPr="00434E9D" w:rsidRDefault="004C1CED" w:rsidP="004C1CED">
            <w:pPr>
              <w:keepNext/>
              <w:widowControl/>
              <w:spacing w:before="40" w:after="40"/>
              <w:rPr>
                <w:rFonts w:eastAsia="Calibri"/>
                <w:noProof/>
                <w:sz w:val="22"/>
                <w:szCs w:val="22"/>
                <w:lang w:eastAsia="en-US"/>
              </w:rPr>
            </w:pPr>
            <w:r w:rsidRPr="00434E9D">
              <w:rPr>
                <w:rFonts w:eastAsia="Calibri"/>
                <w:noProof/>
                <w:sz w:val="22"/>
                <w:szCs w:val="22"/>
                <w:lang w:eastAsia="en-US"/>
              </w:rPr>
              <w:t>Métaux</w:t>
            </w:r>
          </w:p>
        </w:tc>
        <w:tc>
          <w:tcPr>
            <w:tcW w:w="992" w:type="dxa"/>
            <w:gridSpan w:val="2"/>
            <w:tcMar>
              <w:left w:w="28" w:type="dxa"/>
              <w:right w:w="28" w:type="dxa"/>
            </w:tcMar>
          </w:tcPr>
          <w:p w14:paraId="50381C61" w14:textId="77777777" w:rsidR="004C1CED" w:rsidRPr="00434E9D" w:rsidRDefault="004C1CED" w:rsidP="004C1CED">
            <w:pPr>
              <w:keepNext/>
              <w:widowControl/>
              <w:spacing w:before="40" w:after="40"/>
              <w:rPr>
                <w:rFonts w:eastAsia="Calibri"/>
                <w:noProof/>
                <w:sz w:val="22"/>
                <w:szCs w:val="22"/>
                <w:lang w:eastAsia="en-US"/>
              </w:rPr>
            </w:pPr>
            <w:r w:rsidRPr="00434E9D">
              <w:rPr>
                <w:rFonts w:eastAsia="Calibri"/>
                <w:noProof/>
                <w:sz w:val="22"/>
                <w:szCs w:val="22"/>
                <w:lang w:eastAsia="en-US"/>
              </w:rPr>
              <w:t>7440-43-9</w:t>
            </w:r>
          </w:p>
        </w:tc>
        <w:tc>
          <w:tcPr>
            <w:tcW w:w="1134" w:type="dxa"/>
          </w:tcPr>
          <w:p w14:paraId="13A58ACF" w14:textId="77777777" w:rsidR="004C1CED" w:rsidRPr="00434E9D" w:rsidRDefault="004C1CED" w:rsidP="004C1CED">
            <w:pPr>
              <w:keepNext/>
              <w:widowControl/>
              <w:spacing w:before="40" w:after="40"/>
              <w:rPr>
                <w:rFonts w:eastAsia="Calibri"/>
                <w:noProof/>
                <w:sz w:val="22"/>
                <w:szCs w:val="22"/>
                <w:lang w:eastAsia="en-US"/>
              </w:rPr>
            </w:pPr>
            <w:r w:rsidRPr="00434E9D">
              <w:rPr>
                <w:rFonts w:eastAsia="Calibri"/>
                <w:noProof/>
                <w:sz w:val="22"/>
                <w:szCs w:val="22"/>
                <w:lang w:eastAsia="en-US"/>
              </w:rPr>
              <w:t>231-152-8</w:t>
            </w:r>
          </w:p>
        </w:tc>
        <w:tc>
          <w:tcPr>
            <w:tcW w:w="1279" w:type="dxa"/>
            <w:gridSpan w:val="2"/>
            <w:tcMar>
              <w:left w:w="28" w:type="dxa"/>
              <w:right w:w="28" w:type="dxa"/>
            </w:tcMar>
          </w:tcPr>
          <w:p w14:paraId="50CAEB4F" w14:textId="77777777" w:rsidR="004C1CED" w:rsidRPr="00434E9D" w:rsidRDefault="004C1CED" w:rsidP="004C1CED">
            <w:pPr>
              <w:keepNext/>
              <w:widowControl/>
              <w:spacing w:before="40" w:after="40"/>
              <w:rPr>
                <w:rFonts w:eastAsia="Calibri"/>
                <w:noProof/>
                <w:sz w:val="22"/>
                <w:szCs w:val="22"/>
                <w:lang w:eastAsia="en-US"/>
              </w:rPr>
            </w:pPr>
            <w:r w:rsidRPr="00434E9D">
              <w:rPr>
                <w:rFonts w:eastAsia="Calibri"/>
                <w:noProof/>
                <w:sz w:val="22"/>
                <w:szCs w:val="22"/>
                <w:lang w:eastAsia="en-US"/>
              </w:rPr>
              <w:t>≤ 0,08 (classe 1)</w:t>
            </w:r>
          </w:p>
          <w:p w14:paraId="13B213D0" w14:textId="77777777" w:rsidR="004C1CED" w:rsidRPr="00434E9D" w:rsidRDefault="004C1CED" w:rsidP="004C1CED">
            <w:pPr>
              <w:keepNext/>
              <w:widowControl/>
              <w:spacing w:before="40" w:after="40"/>
              <w:rPr>
                <w:rFonts w:eastAsia="Calibri"/>
                <w:noProof/>
                <w:sz w:val="22"/>
                <w:szCs w:val="22"/>
                <w:lang w:eastAsia="en-US"/>
              </w:rPr>
            </w:pPr>
            <w:r w:rsidRPr="00434E9D">
              <w:rPr>
                <w:rFonts w:eastAsia="Calibri"/>
                <w:noProof/>
                <w:sz w:val="22"/>
                <w:szCs w:val="22"/>
                <w:lang w:eastAsia="en-US"/>
              </w:rPr>
              <w:t>0,08 (classe 2)</w:t>
            </w:r>
          </w:p>
          <w:p w14:paraId="31AECB6F" w14:textId="77777777" w:rsidR="004C1CED" w:rsidRPr="00434E9D" w:rsidRDefault="004C1CED" w:rsidP="004C1CED">
            <w:pPr>
              <w:keepNext/>
              <w:widowControl/>
              <w:spacing w:before="40" w:after="40"/>
              <w:rPr>
                <w:rFonts w:eastAsia="Calibri"/>
                <w:noProof/>
                <w:sz w:val="22"/>
                <w:szCs w:val="22"/>
                <w:lang w:eastAsia="en-US"/>
              </w:rPr>
            </w:pPr>
            <w:r w:rsidRPr="00434E9D">
              <w:rPr>
                <w:rFonts w:eastAsia="Calibri"/>
                <w:noProof/>
                <w:sz w:val="22"/>
                <w:szCs w:val="22"/>
                <w:lang w:eastAsia="en-US"/>
              </w:rPr>
              <w:t>0,09 (classe 3)</w:t>
            </w:r>
          </w:p>
          <w:p w14:paraId="19BF35FF" w14:textId="77777777" w:rsidR="004C1CED" w:rsidRPr="00434E9D" w:rsidRDefault="004C1CED" w:rsidP="004C1CED">
            <w:pPr>
              <w:keepNext/>
              <w:widowControl/>
              <w:spacing w:before="40" w:after="40"/>
              <w:rPr>
                <w:rFonts w:eastAsia="Calibri"/>
                <w:noProof/>
                <w:sz w:val="22"/>
                <w:szCs w:val="22"/>
                <w:lang w:eastAsia="en-US"/>
              </w:rPr>
            </w:pPr>
            <w:r w:rsidRPr="00434E9D">
              <w:rPr>
                <w:rFonts w:eastAsia="Calibri"/>
                <w:noProof/>
                <w:sz w:val="22"/>
                <w:szCs w:val="22"/>
                <w:lang w:eastAsia="en-US"/>
              </w:rPr>
              <w:t>0,15 (classe 4)</w:t>
            </w:r>
          </w:p>
          <w:p w14:paraId="578734DA" w14:textId="77777777" w:rsidR="004C1CED" w:rsidRPr="00434E9D" w:rsidRDefault="004C1CED" w:rsidP="004C1CED">
            <w:pPr>
              <w:keepNext/>
              <w:widowControl/>
              <w:spacing w:before="40" w:after="40"/>
              <w:rPr>
                <w:rFonts w:eastAsia="Calibri"/>
                <w:noProof/>
                <w:sz w:val="22"/>
                <w:szCs w:val="22"/>
                <w:lang w:eastAsia="en-US"/>
              </w:rPr>
            </w:pPr>
            <w:r w:rsidRPr="00434E9D">
              <w:rPr>
                <w:rFonts w:eastAsia="Calibri"/>
                <w:noProof/>
                <w:sz w:val="22"/>
                <w:szCs w:val="22"/>
                <w:lang w:eastAsia="en-US"/>
              </w:rPr>
              <w:t>0,25 (classe 5)</w:t>
            </w:r>
          </w:p>
        </w:tc>
        <w:tc>
          <w:tcPr>
            <w:tcW w:w="1279" w:type="dxa"/>
            <w:gridSpan w:val="2"/>
            <w:tcMar>
              <w:left w:w="28" w:type="dxa"/>
              <w:right w:w="28" w:type="dxa"/>
            </w:tcMar>
          </w:tcPr>
          <w:p w14:paraId="79037864" w14:textId="77777777" w:rsidR="004C1CED" w:rsidRPr="00434E9D" w:rsidRDefault="004C1CED" w:rsidP="004C1CED">
            <w:pPr>
              <w:keepNext/>
              <w:widowControl/>
              <w:spacing w:before="40" w:after="40"/>
              <w:rPr>
                <w:rFonts w:eastAsia="Calibri"/>
                <w:noProof/>
                <w:sz w:val="22"/>
                <w:szCs w:val="22"/>
                <w:lang w:eastAsia="en-US"/>
              </w:rPr>
            </w:pPr>
            <w:r w:rsidRPr="00434E9D">
              <w:rPr>
                <w:rFonts w:eastAsia="Calibri"/>
                <w:noProof/>
                <w:sz w:val="22"/>
                <w:szCs w:val="22"/>
                <w:lang w:eastAsia="en-US"/>
              </w:rPr>
              <w:t>0,2</w:t>
            </w:r>
          </w:p>
        </w:tc>
        <w:tc>
          <w:tcPr>
            <w:tcW w:w="1278" w:type="dxa"/>
            <w:gridSpan w:val="2"/>
            <w:tcMar>
              <w:left w:w="28" w:type="dxa"/>
              <w:right w:w="28" w:type="dxa"/>
            </w:tcMar>
          </w:tcPr>
          <w:p w14:paraId="152E956F" w14:textId="77777777" w:rsidR="004C1CED" w:rsidRPr="00434E9D" w:rsidRDefault="004C1CED" w:rsidP="004C1CED">
            <w:pPr>
              <w:keepNext/>
              <w:widowControl/>
              <w:spacing w:before="40" w:after="40"/>
              <w:rPr>
                <w:rFonts w:eastAsia="Calibri"/>
                <w:noProof/>
                <w:sz w:val="22"/>
                <w:szCs w:val="22"/>
                <w:lang w:eastAsia="en-US"/>
              </w:rPr>
            </w:pPr>
            <w:r w:rsidRPr="00434E9D">
              <w:rPr>
                <w:rFonts w:eastAsia="Calibri"/>
                <w:noProof/>
                <w:sz w:val="22"/>
                <w:szCs w:val="22"/>
                <w:lang w:eastAsia="en-US"/>
              </w:rPr>
              <w:t>≤ 0,45 (classe 1)</w:t>
            </w:r>
          </w:p>
          <w:p w14:paraId="3727759A" w14:textId="77777777" w:rsidR="004C1CED" w:rsidRPr="00434E9D" w:rsidRDefault="004C1CED" w:rsidP="004C1CED">
            <w:pPr>
              <w:keepNext/>
              <w:widowControl/>
              <w:spacing w:before="40" w:after="40"/>
              <w:rPr>
                <w:rFonts w:eastAsia="Calibri"/>
                <w:noProof/>
                <w:sz w:val="22"/>
                <w:szCs w:val="22"/>
                <w:lang w:eastAsia="en-US"/>
              </w:rPr>
            </w:pPr>
            <w:r w:rsidRPr="00434E9D">
              <w:rPr>
                <w:rFonts w:eastAsia="Calibri"/>
                <w:noProof/>
                <w:sz w:val="22"/>
                <w:szCs w:val="22"/>
                <w:lang w:eastAsia="en-US"/>
              </w:rPr>
              <w:t>0,45 (classe 2)</w:t>
            </w:r>
          </w:p>
          <w:p w14:paraId="7FD76A36" w14:textId="77777777" w:rsidR="004C1CED" w:rsidRPr="00434E9D" w:rsidRDefault="004C1CED" w:rsidP="004C1CED">
            <w:pPr>
              <w:keepNext/>
              <w:widowControl/>
              <w:spacing w:before="40" w:after="40"/>
              <w:rPr>
                <w:rFonts w:eastAsia="Calibri"/>
                <w:noProof/>
                <w:sz w:val="22"/>
                <w:szCs w:val="22"/>
                <w:lang w:eastAsia="en-US"/>
              </w:rPr>
            </w:pPr>
            <w:r w:rsidRPr="00434E9D">
              <w:rPr>
                <w:rFonts w:eastAsia="Calibri"/>
                <w:noProof/>
                <w:sz w:val="22"/>
                <w:szCs w:val="22"/>
                <w:lang w:eastAsia="en-US"/>
              </w:rPr>
              <w:t>0,6 (classe 3)</w:t>
            </w:r>
          </w:p>
          <w:p w14:paraId="06128E96" w14:textId="77777777" w:rsidR="004C1CED" w:rsidRPr="00434E9D" w:rsidRDefault="004C1CED" w:rsidP="004C1CED">
            <w:pPr>
              <w:keepNext/>
              <w:widowControl/>
              <w:spacing w:before="40" w:after="40"/>
              <w:rPr>
                <w:rFonts w:eastAsia="Calibri"/>
                <w:noProof/>
                <w:sz w:val="22"/>
                <w:szCs w:val="22"/>
                <w:lang w:eastAsia="en-US"/>
              </w:rPr>
            </w:pPr>
            <w:r w:rsidRPr="00434E9D">
              <w:rPr>
                <w:rFonts w:eastAsia="Calibri"/>
                <w:noProof/>
                <w:sz w:val="22"/>
                <w:szCs w:val="22"/>
                <w:lang w:eastAsia="en-US"/>
              </w:rPr>
              <w:t>0,9 (classe 4)</w:t>
            </w:r>
          </w:p>
          <w:p w14:paraId="10F4B270" w14:textId="77777777" w:rsidR="004C1CED" w:rsidRPr="00434E9D" w:rsidRDefault="004C1CED" w:rsidP="004C1CED">
            <w:pPr>
              <w:keepNext/>
              <w:widowControl/>
              <w:spacing w:before="40" w:after="40"/>
              <w:rPr>
                <w:rFonts w:eastAsia="Calibri"/>
                <w:noProof/>
                <w:sz w:val="22"/>
                <w:szCs w:val="22"/>
                <w:lang w:eastAsia="en-US"/>
              </w:rPr>
            </w:pPr>
            <w:r w:rsidRPr="00434E9D">
              <w:rPr>
                <w:rFonts w:eastAsia="Calibri"/>
                <w:noProof/>
                <w:sz w:val="22"/>
                <w:szCs w:val="22"/>
                <w:lang w:eastAsia="en-US"/>
              </w:rPr>
              <w:t>1,5 (classe 5)</w:t>
            </w:r>
          </w:p>
        </w:tc>
        <w:tc>
          <w:tcPr>
            <w:tcW w:w="1277" w:type="dxa"/>
            <w:gridSpan w:val="2"/>
            <w:tcMar>
              <w:left w:w="28" w:type="dxa"/>
              <w:right w:w="28" w:type="dxa"/>
            </w:tcMar>
          </w:tcPr>
          <w:p w14:paraId="166E3108" w14:textId="77777777" w:rsidR="004C1CED" w:rsidRPr="00434E9D" w:rsidRDefault="004C1CED" w:rsidP="004C1CED">
            <w:pPr>
              <w:keepNext/>
              <w:widowControl/>
              <w:spacing w:before="40" w:after="40"/>
              <w:rPr>
                <w:rFonts w:eastAsia="Calibri"/>
                <w:noProof/>
                <w:sz w:val="22"/>
                <w:szCs w:val="22"/>
                <w:lang w:eastAsia="en-US"/>
              </w:rPr>
            </w:pPr>
            <w:r w:rsidRPr="00434E9D">
              <w:rPr>
                <w:rFonts w:eastAsia="Calibri"/>
                <w:noProof/>
                <w:sz w:val="22"/>
                <w:szCs w:val="22"/>
                <w:lang w:eastAsia="en-US"/>
              </w:rPr>
              <w:t>≤ 0,45 (classe 1)</w:t>
            </w:r>
          </w:p>
          <w:p w14:paraId="1C5BB82E" w14:textId="77777777" w:rsidR="004C1CED" w:rsidRPr="00434E9D" w:rsidRDefault="004C1CED" w:rsidP="004C1CED">
            <w:pPr>
              <w:keepNext/>
              <w:widowControl/>
              <w:spacing w:before="40" w:after="40"/>
              <w:rPr>
                <w:rFonts w:eastAsia="Calibri"/>
                <w:noProof/>
                <w:sz w:val="22"/>
                <w:szCs w:val="22"/>
                <w:lang w:eastAsia="en-US"/>
              </w:rPr>
            </w:pPr>
            <w:r w:rsidRPr="00434E9D">
              <w:rPr>
                <w:rFonts w:eastAsia="Calibri"/>
                <w:noProof/>
                <w:sz w:val="22"/>
                <w:szCs w:val="22"/>
                <w:lang w:eastAsia="en-US"/>
              </w:rPr>
              <w:t>0,45 (classe 2)</w:t>
            </w:r>
          </w:p>
          <w:p w14:paraId="05B58000" w14:textId="77777777" w:rsidR="004C1CED" w:rsidRPr="00434E9D" w:rsidRDefault="004C1CED" w:rsidP="004C1CED">
            <w:pPr>
              <w:keepNext/>
              <w:widowControl/>
              <w:spacing w:before="40" w:after="40"/>
              <w:rPr>
                <w:rFonts w:eastAsia="Calibri"/>
                <w:noProof/>
                <w:sz w:val="22"/>
                <w:szCs w:val="22"/>
                <w:lang w:eastAsia="en-US"/>
              </w:rPr>
            </w:pPr>
            <w:r w:rsidRPr="00434E9D">
              <w:rPr>
                <w:rFonts w:eastAsia="Calibri"/>
                <w:noProof/>
                <w:sz w:val="22"/>
                <w:szCs w:val="22"/>
                <w:lang w:eastAsia="en-US"/>
              </w:rPr>
              <w:t>0,6 (classe 3)</w:t>
            </w:r>
          </w:p>
          <w:p w14:paraId="1EFC37D3" w14:textId="77777777" w:rsidR="004C1CED" w:rsidRPr="00434E9D" w:rsidRDefault="004C1CED" w:rsidP="004C1CED">
            <w:pPr>
              <w:keepNext/>
              <w:widowControl/>
              <w:spacing w:before="40" w:after="40"/>
              <w:rPr>
                <w:rFonts w:eastAsia="Calibri"/>
                <w:noProof/>
                <w:sz w:val="22"/>
                <w:szCs w:val="22"/>
                <w:lang w:eastAsia="en-US"/>
              </w:rPr>
            </w:pPr>
            <w:r w:rsidRPr="00434E9D">
              <w:rPr>
                <w:rFonts w:eastAsia="Calibri"/>
                <w:noProof/>
                <w:sz w:val="22"/>
                <w:szCs w:val="22"/>
                <w:lang w:eastAsia="en-US"/>
              </w:rPr>
              <w:t>0,9 (classe 4)</w:t>
            </w:r>
          </w:p>
          <w:p w14:paraId="4CF6597E" w14:textId="77777777" w:rsidR="004C1CED" w:rsidRPr="00434E9D" w:rsidRDefault="004C1CED" w:rsidP="004C1CED">
            <w:pPr>
              <w:keepNext/>
              <w:widowControl/>
              <w:spacing w:before="40" w:after="40"/>
              <w:rPr>
                <w:rFonts w:eastAsia="Calibri"/>
                <w:noProof/>
                <w:sz w:val="22"/>
                <w:szCs w:val="22"/>
                <w:lang w:eastAsia="en-US"/>
              </w:rPr>
            </w:pPr>
            <w:r w:rsidRPr="00434E9D">
              <w:rPr>
                <w:rFonts w:eastAsia="Calibri"/>
                <w:noProof/>
                <w:sz w:val="22"/>
                <w:szCs w:val="22"/>
                <w:lang w:eastAsia="en-US"/>
              </w:rPr>
              <w:t>1,5 (classe 5)</w:t>
            </w:r>
          </w:p>
        </w:tc>
        <w:tc>
          <w:tcPr>
            <w:tcW w:w="1136" w:type="dxa"/>
            <w:gridSpan w:val="2"/>
            <w:tcMar>
              <w:left w:w="28" w:type="dxa"/>
              <w:right w:w="28" w:type="dxa"/>
            </w:tcMar>
          </w:tcPr>
          <w:p w14:paraId="21D40753" w14:textId="77777777" w:rsidR="004C1CED" w:rsidRPr="00434E9D" w:rsidRDefault="004C1CED" w:rsidP="004C1CED">
            <w:pPr>
              <w:keepNext/>
              <w:widowControl/>
              <w:spacing w:before="40" w:after="40"/>
              <w:rPr>
                <w:rFonts w:eastAsia="Calibri"/>
                <w:noProof/>
                <w:sz w:val="22"/>
                <w:szCs w:val="22"/>
                <w:lang w:eastAsia="en-US"/>
              </w:rPr>
            </w:pPr>
          </w:p>
        </w:tc>
        <w:tc>
          <w:tcPr>
            <w:tcW w:w="1262" w:type="dxa"/>
            <w:gridSpan w:val="2"/>
            <w:tcMar>
              <w:left w:w="28" w:type="dxa"/>
              <w:right w:w="28" w:type="dxa"/>
            </w:tcMar>
          </w:tcPr>
          <w:p w14:paraId="5E29B8BE" w14:textId="77777777" w:rsidR="004C1CED" w:rsidRPr="00434E9D" w:rsidRDefault="004C1CED" w:rsidP="004C1CED">
            <w:pPr>
              <w:keepNext/>
              <w:widowControl/>
              <w:spacing w:before="40" w:after="40"/>
              <w:rPr>
                <w:rFonts w:eastAsia="Calibri"/>
                <w:noProof/>
                <w:sz w:val="22"/>
                <w:szCs w:val="22"/>
                <w:lang w:eastAsia="en-US"/>
              </w:rPr>
            </w:pPr>
            <w:r w:rsidRPr="00434E9D">
              <w:rPr>
                <w:rFonts w:eastAsia="Calibri"/>
                <w:noProof/>
                <w:sz w:val="22"/>
                <w:szCs w:val="22"/>
                <w:lang w:eastAsia="en-US"/>
              </w:rPr>
              <w:t>X</w:t>
            </w:r>
          </w:p>
        </w:tc>
        <w:tc>
          <w:tcPr>
            <w:tcW w:w="1153" w:type="dxa"/>
            <w:gridSpan w:val="2"/>
            <w:tcMar>
              <w:left w:w="28" w:type="dxa"/>
              <w:right w:w="28" w:type="dxa"/>
            </w:tcMar>
          </w:tcPr>
          <w:p w14:paraId="01A136B5" w14:textId="77777777" w:rsidR="004C1CED" w:rsidRPr="00434E9D" w:rsidRDefault="004C1CED" w:rsidP="004C1CED">
            <w:pPr>
              <w:keepNext/>
              <w:widowControl/>
              <w:spacing w:before="40" w:after="40"/>
              <w:rPr>
                <w:rFonts w:eastAsia="Calibri"/>
                <w:noProof/>
                <w:sz w:val="22"/>
                <w:szCs w:val="22"/>
                <w:lang w:eastAsia="en-US"/>
              </w:rPr>
            </w:pPr>
          </w:p>
        </w:tc>
        <w:tc>
          <w:tcPr>
            <w:tcW w:w="970" w:type="dxa"/>
            <w:tcMar>
              <w:left w:w="28" w:type="dxa"/>
              <w:right w:w="28" w:type="dxa"/>
            </w:tcMar>
          </w:tcPr>
          <w:p w14:paraId="20BC5D87" w14:textId="77777777" w:rsidR="004C1CED" w:rsidRPr="00434E9D" w:rsidRDefault="004C1CED" w:rsidP="004C1CED">
            <w:pPr>
              <w:keepNext/>
              <w:widowControl/>
              <w:spacing w:before="40" w:after="40"/>
              <w:rPr>
                <w:rFonts w:eastAsia="Calibri"/>
                <w:noProof/>
                <w:sz w:val="22"/>
                <w:szCs w:val="22"/>
                <w:lang w:eastAsia="en-US"/>
              </w:rPr>
            </w:pPr>
            <w:r w:rsidRPr="00434E9D">
              <w:rPr>
                <w:rFonts w:eastAsia="Calibri"/>
                <w:noProof/>
                <w:sz w:val="22"/>
                <w:szCs w:val="22"/>
                <w:lang w:eastAsia="en-US"/>
              </w:rPr>
              <w:t>X</w:t>
            </w:r>
          </w:p>
        </w:tc>
      </w:tr>
      <w:tr w:rsidR="004C1CED" w:rsidRPr="00434E9D" w14:paraId="489828F9" w14:textId="77777777" w:rsidTr="00B12A07">
        <w:trPr>
          <w:gridBefore w:val="1"/>
          <w:wBefore w:w="17" w:type="dxa"/>
          <w:cantSplit/>
          <w:tblHeader/>
          <w:jc w:val="center"/>
        </w:trPr>
        <w:tc>
          <w:tcPr>
            <w:tcW w:w="651" w:type="dxa"/>
            <w:gridSpan w:val="3"/>
            <w:tcMar>
              <w:left w:w="28" w:type="dxa"/>
              <w:right w:w="28" w:type="dxa"/>
            </w:tcMar>
          </w:tcPr>
          <w:p w14:paraId="01104576" w14:textId="77777777" w:rsidR="004C1CED" w:rsidRPr="00434E9D" w:rsidRDefault="004C1CED" w:rsidP="004C1CED">
            <w:pPr>
              <w:widowControl/>
              <w:spacing w:before="40" w:after="40"/>
              <w:jc w:val="both"/>
              <w:rPr>
                <w:rFonts w:eastAsia="Calibri"/>
                <w:noProof/>
                <w:sz w:val="22"/>
                <w:szCs w:val="22"/>
                <w:lang w:eastAsia="en-US"/>
              </w:rPr>
            </w:pPr>
            <w:r w:rsidRPr="00434E9D">
              <w:rPr>
                <w:rFonts w:eastAsia="Calibri"/>
                <w:noProof/>
                <w:sz w:val="22"/>
                <w:szCs w:val="22"/>
                <w:lang w:eastAsia="en-US"/>
              </w:rPr>
              <w:t>(6 </w:t>
            </w:r>
            <w:r w:rsidRPr="00434E9D">
              <w:rPr>
                <w:rFonts w:eastAsia="Calibri"/>
                <w:i/>
                <w:iCs/>
                <w:noProof/>
                <w:sz w:val="22"/>
                <w:szCs w:val="22"/>
                <w:lang w:eastAsia="en-US"/>
              </w:rPr>
              <w:t>bis</w:t>
            </w:r>
            <w:r w:rsidRPr="00434E9D">
              <w:rPr>
                <w:rFonts w:eastAsia="Calibri"/>
                <w:noProof/>
                <w:sz w:val="22"/>
                <w:szCs w:val="22"/>
                <w:lang w:eastAsia="en-US"/>
              </w:rPr>
              <w:t>)</w:t>
            </w:r>
          </w:p>
        </w:tc>
        <w:tc>
          <w:tcPr>
            <w:tcW w:w="15375" w:type="dxa"/>
            <w:gridSpan w:val="24"/>
            <w:tcMar>
              <w:left w:w="28" w:type="dxa"/>
              <w:right w:w="28" w:type="dxa"/>
            </w:tcMar>
          </w:tcPr>
          <w:p w14:paraId="6845609C"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 xml:space="preserve">La substance tétrachlorure de carbone a été déplacée dans la partie C de l’annexe II </w:t>
            </w:r>
          </w:p>
        </w:tc>
      </w:tr>
      <w:tr w:rsidR="004C1CED" w:rsidRPr="00434E9D" w14:paraId="31958599" w14:textId="77777777" w:rsidTr="00B12A07">
        <w:trPr>
          <w:gridBefore w:val="1"/>
          <w:wBefore w:w="17" w:type="dxa"/>
          <w:cantSplit/>
          <w:tblHeader/>
          <w:jc w:val="center"/>
        </w:trPr>
        <w:tc>
          <w:tcPr>
            <w:tcW w:w="651" w:type="dxa"/>
            <w:gridSpan w:val="3"/>
            <w:tcMar>
              <w:left w:w="28" w:type="dxa"/>
              <w:right w:w="28" w:type="dxa"/>
            </w:tcMar>
          </w:tcPr>
          <w:p w14:paraId="1068B7C5" w14:textId="77777777" w:rsidR="004C1CED" w:rsidRPr="00434E9D" w:rsidRDefault="004C1CED" w:rsidP="004C1CED">
            <w:pPr>
              <w:widowControl/>
              <w:spacing w:before="40" w:after="40"/>
              <w:jc w:val="both"/>
              <w:rPr>
                <w:rFonts w:eastAsia="Calibri"/>
                <w:noProof/>
                <w:sz w:val="22"/>
                <w:szCs w:val="22"/>
                <w:lang w:eastAsia="en-US"/>
              </w:rPr>
            </w:pPr>
            <w:r w:rsidRPr="00434E9D">
              <w:rPr>
                <w:rFonts w:eastAsia="Calibri"/>
                <w:noProof/>
                <w:sz w:val="22"/>
                <w:szCs w:val="22"/>
                <w:lang w:eastAsia="en-US"/>
              </w:rPr>
              <w:t>(7)</w:t>
            </w:r>
          </w:p>
        </w:tc>
        <w:tc>
          <w:tcPr>
            <w:tcW w:w="2286" w:type="dxa"/>
            <w:gridSpan w:val="3"/>
            <w:tcMar>
              <w:left w:w="28" w:type="dxa"/>
              <w:right w:w="28" w:type="dxa"/>
            </w:tcMar>
          </w:tcPr>
          <w:p w14:paraId="1C5EB5D8" w14:textId="77777777" w:rsidR="004C1CED" w:rsidRPr="00434E9D" w:rsidRDefault="004C1CED" w:rsidP="004C1CED">
            <w:pPr>
              <w:widowControl/>
              <w:spacing w:before="40" w:after="40"/>
              <w:rPr>
                <w:rFonts w:eastAsia="Calibri"/>
                <w:noProof/>
                <w:sz w:val="22"/>
                <w:szCs w:val="22"/>
                <w:vertAlign w:val="superscript"/>
                <w:lang w:eastAsia="en-US"/>
              </w:rPr>
            </w:pPr>
            <w:r w:rsidRPr="00434E9D">
              <w:rPr>
                <w:rFonts w:eastAsia="Calibri"/>
                <w:noProof/>
                <w:sz w:val="22"/>
                <w:szCs w:val="22"/>
                <w:lang w:eastAsia="en-US"/>
              </w:rPr>
              <w:t>Chloroalkanes C</w:t>
            </w:r>
            <w:r w:rsidRPr="00434E9D">
              <w:rPr>
                <w:rFonts w:eastAsia="Calibri"/>
                <w:noProof/>
                <w:sz w:val="22"/>
                <w:szCs w:val="22"/>
                <w:vertAlign w:val="subscript"/>
                <w:lang w:eastAsia="en-US"/>
              </w:rPr>
              <w:t xml:space="preserve">10-13 </w:t>
            </w:r>
            <w:r w:rsidRPr="00434E9D">
              <w:rPr>
                <w:rFonts w:eastAsia="Calibri"/>
                <w:noProof/>
                <w:sz w:val="22"/>
                <w:szCs w:val="22"/>
                <w:lang w:eastAsia="en-US"/>
              </w:rPr>
              <w:t xml:space="preserve"> (</w:t>
            </w:r>
            <w:r w:rsidRPr="00434E9D">
              <w:rPr>
                <w:rFonts w:eastAsia="Calibri"/>
                <w:noProof/>
                <w:sz w:val="22"/>
                <w:szCs w:val="22"/>
                <w:vertAlign w:val="superscript"/>
                <w:lang w:eastAsia="en-US"/>
              </w:rPr>
              <w:t>10</w:t>
            </w:r>
            <w:r w:rsidRPr="00434E9D">
              <w:rPr>
                <w:rFonts w:eastAsia="Calibri"/>
                <w:noProof/>
                <w:sz w:val="22"/>
                <w:szCs w:val="22"/>
                <w:lang w:eastAsia="en-US"/>
              </w:rPr>
              <w:t>)</w:t>
            </w:r>
          </w:p>
        </w:tc>
        <w:tc>
          <w:tcPr>
            <w:tcW w:w="1329" w:type="dxa"/>
            <w:gridSpan w:val="3"/>
            <w:tcMar>
              <w:left w:w="28" w:type="dxa"/>
              <w:right w:w="28" w:type="dxa"/>
            </w:tcMar>
          </w:tcPr>
          <w:p w14:paraId="7872D890"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Substances industrielles</w:t>
            </w:r>
          </w:p>
        </w:tc>
        <w:tc>
          <w:tcPr>
            <w:tcW w:w="992" w:type="dxa"/>
            <w:gridSpan w:val="2"/>
            <w:tcMar>
              <w:left w:w="28" w:type="dxa"/>
              <w:right w:w="28" w:type="dxa"/>
            </w:tcMar>
          </w:tcPr>
          <w:p w14:paraId="68EAF5E2"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85535-84-8</w:t>
            </w:r>
          </w:p>
        </w:tc>
        <w:tc>
          <w:tcPr>
            <w:tcW w:w="1134" w:type="dxa"/>
          </w:tcPr>
          <w:p w14:paraId="18E7DCC2"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287-476-5</w:t>
            </w:r>
          </w:p>
        </w:tc>
        <w:tc>
          <w:tcPr>
            <w:tcW w:w="1279" w:type="dxa"/>
            <w:gridSpan w:val="2"/>
            <w:tcMar>
              <w:left w:w="28" w:type="dxa"/>
              <w:right w:w="28" w:type="dxa"/>
            </w:tcMar>
          </w:tcPr>
          <w:p w14:paraId="120CC968"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 xml:space="preserve">0,4 </w:t>
            </w:r>
          </w:p>
        </w:tc>
        <w:tc>
          <w:tcPr>
            <w:tcW w:w="1279" w:type="dxa"/>
            <w:gridSpan w:val="2"/>
            <w:tcMar>
              <w:left w:w="28" w:type="dxa"/>
              <w:right w:w="28" w:type="dxa"/>
            </w:tcMar>
          </w:tcPr>
          <w:p w14:paraId="0F9766D6"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0,4</w:t>
            </w:r>
          </w:p>
        </w:tc>
        <w:tc>
          <w:tcPr>
            <w:tcW w:w="1278" w:type="dxa"/>
            <w:gridSpan w:val="2"/>
            <w:tcMar>
              <w:left w:w="28" w:type="dxa"/>
              <w:right w:w="28" w:type="dxa"/>
            </w:tcMar>
          </w:tcPr>
          <w:p w14:paraId="3E50E13B"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1,4</w:t>
            </w:r>
          </w:p>
        </w:tc>
        <w:tc>
          <w:tcPr>
            <w:tcW w:w="1277" w:type="dxa"/>
            <w:gridSpan w:val="2"/>
            <w:tcMar>
              <w:left w:w="28" w:type="dxa"/>
              <w:right w:w="28" w:type="dxa"/>
            </w:tcMar>
          </w:tcPr>
          <w:p w14:paraId="3FDD64D5"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1,4</w:t>
            </w:r>
          </w:p>
        </w:tc>
        <w:tc>
          <w:tcPr>
            <w:tcW w:w="1136" w:type="dxa"/>
            <w:gridSpan w:val="2"/>
            <w:tcMar>
              <w:left w:w="28" w:type="dxa"/>
              <w:right w:w="28" w:type="dxa"/>
            </w:tcMar>
          </w:tcPr>
          <w:p w14:paraId="2B721566" w14:textId="77777777" w:rsidR="004C1CED" w:rsidRPr="00434E9D" w:rsidRDefault="004C1CED" w:rsidP="004C1CED">
            <w:pPr>
              <w:widowControl/>
              <w:spacing w:before="40" w:after="40"/>
              <w:rPr>
                <w:rFonts w:eastAsia="Calibri"/>
                <w:noProof/>
                <w:sz w:val="22"/>
                <w:szCs w:val="22"/>
                <w:lang w:eastAsia="en-US"/>
              </w:rPr>
            </w:pPr>
          </w:p>
        </w:tc>
        <w:tc>
          <w:tcPr>
            <w:tcW w:w="1262" w:type="dxa"/>
            <w:gridSpan w:val="2"/>
            <w:tcMar>
              <w:left w:w="28" w:type="dxa"/>
              <w:right w:w="28" w:type="dxa"/>
            </w:tcMar>
          </w:tcPr>
          <w:p w14:paraId="52ABB19C"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X</w:t>
            </w:r>
          </w:p>
        </w:tc>
        <w:tc>
          <w:tcPr>
            <w:tcW w:w="1153" w:type="dxa"/>
            <w:gridSpan w:val="2"/>
            <w:tcMar>
              <w:left w:w="28" w:type="dxa"/>
              <w:right w:w="28" w:type="dxa"/>
            </w:tcMar>
          </w:tcPr>
          <w:p w14:paraId="1FC9996C" w14:textId="77777777" w:rsidR="004C1CED" w:rsidRPr="00434E9D" w:rsidRDefault="004C1CED" w:rsidP="004C1CED">
            <w:pPr>
              <w:widowControl/>
              <w:spacing w:before="40" w:after="40"/>
              <w:rPr>
                <w:rFonts w:eastAsia="Calibri"/>
                <w:noProof/>
                <w:sz w:val="22"/>
                <w:szCs w:val="22"/>
                <w:lang w:eastAsia="en-US"/>
              </w:rPr>
            </w:pPr>
          </w:p>
        </w:tc>
        <w:tc>
          <w:tcPr>
            <w:tcW w:w="970" w:type="dxa"/>
            <w:tcMar>
              <w:left w:w="28" w:type="dxa"/>
              <w:right w:w="28" w:type="dxa"/>
            </w:tcMar>
          </w:tcPr>
          <w:p w14:paraId="140F7F5B"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X</w:t>
            </w:r>
          </w:p>
        </w:tc>
      </w:tr>
      <w:tr w:rsidR="004C1CED" w:rsidRPr="00434E9D" w14:paraId="3FF513EC" w14:textId="77777777" w:rsidTr="00B12A07">
        <w:trPr>
          <w:gridBefore w:val="1"/>
          <w:wBefore w:w="17" w:type="dxa"/>
          <w:cantSplit/>
          <w:tblHeader/>
          <w:jc w:val="center"/>
        </w:trPr>
        <w:tc>
          <w:tcPr>
            <w:tcW w:w="651" w:type="dxa"/>
            <w:gridSpan w:val="3"/>
            <w:tcMar>
              <w:left w:w="28" w:type="dxa"/>
              <w:right w:w="28" w:type="dxa"/>
            </w:tcMar>
          </w:tcPr>
          <w:p w14:paraId="5033199F" w14:textId="77777777" w:rsidR="004C1CED" w:rsidRPr="00434E9D" w:rsidRDefault="004C1CED" w:rsidP="004C1CED">
            <w:pPr>
              <w:widowControl/>
              <w:spacing w:before="40" w:after="40"/>
              <w:jc w:val="both"/>
              <w:rPr>
                <w:rFonts w:eastAsia="Calibri"/>
                <w:noProof/>
                <w:sz w:val="22"/>
                <w:szCs w:val="22"/>
                <w:lang w:eastAsia="en-US"/>
              </w:rPr>
            </w:pPr>
            <w:r w:rsidRPr="00434E9D">
              <w:rPr>
                <w:rFonts w:eastAsia="Calibri"/>
                <w:noProof/>
                <w:sz w:val="22"/>
                <w:szCs w:val="22"/>
                <w:lang w:eastAsia="en-US"/>
              </w:rPr>
              <w:t>(8)</w:t>
            </w:r>
          </w:p>
        </w:tc>
        <w:tc>
          <w:tcPr>
            <w:tcW w:w="15375" w:type="dxa"/>
            <w:gridSpan w:val="24"/>
            <w:tcMar>
              <w:left w:w="28" w:type="dxa"/>
              <w:right w:w="28" w:type="dxa"/>
            </w:tcMar>
          </w:tcPr>
          <w:p w14:paraId="536AB6D6"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 xml:space="preserve">La substance chlorfenvinphos a été déplacée dans la partie C de l’annexe II </w:t>
            </w:r>
          </w:p>
        </w:tc>
      </w:tr>
      <w:tr w:rsidR="004C1CED" w:rsidRPr="00434E9D" w14:paraId="416B2C0A" w14:textId="77777777" w:rsidTr="00B12A07">
        <w:trPr>
          <w:gridBefore w:val="1"/>
          <w:wBefore w:w="17" w:type="dxa"/>
          <w:cantSplit/>
          <w:tblHeader/>
          <w:jc w:val="center"/>
        </w:trPr>
        <w:tc>
          <w:tcPr>
            <w:tcW w:w="651" w:type="dxa"/>
            <w:gridSpan w:val="3"/>
            <w:tcMar>
              <w:left w:w="28" w:type="dxa"/>
              <w:right w:w="28" w:type="dxa"/>
            </w:tcMar>
          </w:tcPr>
          <w:p w14:paraId="380A18F4" w14:textId="77777777" w:rsidR="004C1CED" w:rsidRPr="00434E9D" w:rsidRDefault="004C1CED" w:rsidP="004C1CED">
            <w:pPr>
              <w:widowControl/>
              <w:spacing w:before="40" w:after="40"/>
              <w:jc w:val="both"/>
              <w:rPr>
                <w:rFonts w:eastAsia="Calibri"/>
                <w:noProof/>
                <w:sz w:val="22"/>
                <w:szCs w:val="22"/>
                <w:lang w:eastAsia="en-US"/>
              </w:rPr>
            </w:pPr>
            <w:r w:rsidRPr="00434E9D">
              <w:rPr>
                <w:rFonts w:eastAsia="Calibri"/>
                <w:noProof/>
                <w:sz w:val="22"/>
                <w:szCs w:val="22"/>
                <w:lang w:eastAsia="en-US"/>
              </w:rPr>
              <w:t>(9)</w:t>
            </w:r>
          </w:p>
        </w:tc>
        <w:tc>
          <w:tcPr>
            <w:tcW w:w="2286" w:type="dxa"/>
            <w:gridSpan w:val="3"/>
            <w:tcMar>
              <w:left w:w="28" w:type="dxa"/>
              <w:right w:w="28" w:type="dxa"/>
            </w:tcMar>
          </w:tcPr>
          <w:p w14:paraId="766C28C5"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Chlorpyrifos (éthylchlorpyrifos)</w:t>
            </w:r>
          </w:p>
        </w:tc>
        <w:tc>
          <w:tcPr>
            <w:tcW w:w="1329" w:type="dxa"/>
            <w:gridSpan w:val="3"/>
            <w:tcMar>
              <w:left w:w="28" w:type="dxa"/>
              <w:right w:w="28" w:type="dxa"/>
            </w:tcMar>
          </w:tcPr>
          <w:p w14:paraId="2E650F7E"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Pesticides organophosphorés</w:t>
            </w:r>
          </w:p>
        </w:tc>
        <w:tc>
          <w:tcPr>
            <w:tcW w:w="992" w:type="dxa"/>
            <w:gridSpan w:val="2"/>
            <w:tcMar>
              <w:left w:w="28" w:type="dxa"/>
              <w:right w:w="28" w:type="dxa"/>
            </w:tcMar>
          </w:tcPr>
          <w:p w14:paraId="76102D69"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2921-88-2</w:t>
            </w:r>
          </w:p>
        </w:tc>
        <w:tc>
          <w:tcPr>
            <w:tcW w:w="1134" w:type="dxa"/>
          </w:tcPr>
          <w:p w14:paraId="65AB10C6"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220-864-4</w:t>
            </w:r>
          </w:p>
        </w:tc>
        <w:tc>
          <w:tcPr>
            <w:tcW w:w="1279" w:type="dxa"/>
            <w:gridSpan w:val="2"/>
            <w:tcMar>
              <w:left w:w="28" w:type="dxa"/>
              <w:right w:w="28" w:type="dxa"/>
            </w:tcMar>
          </w:tcPr>
          <w:p w14:paraId="6EAF710A"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4,6 × 10</w:t>
            </w:r>
            <w:r w:rsidRPr="00434E9D">
              <w:rPr>
                <w:rFonts w:eastAsia="Calibri"/>
                <w:noProof/>
                <w:sz w:val="22"/>
                <w:szCs w:val="22"/>
                <w:vertAlign w:val="superscript"/>
                <w:lang w:eastAsia="en-US"/>
              </w:rPr>
              <w:t>-4</w:t>
            </w:r>
          </w:p>
        </w:tc>
        <w:tc>
          <w:tcPr>
            <w:tcW w:w="1279" w:type="dxa"/>
            <w:gridSpan w:val="2"/>
            <w:tcMar>
              <w:left w:w="28" w:type="dxa"/>
              <w:right w:w="28" w:type="dxa"/>
            </w:tcMar>
          </w:tcPr>
          <w:p w14:paraId="5B90892A"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4,6 × 10</w:t>
            </w:r>
            <w:r w:rsidRPr="00434E9D">
              <w:rPr>
                <w:rFonts w:eastAsia="Calibri"/>
                <w:noProof/>
                <w:sz w:val="22"/>
                <w:szCs w:val="22"/>
                <w:vertAlign w:val="superscript"/>
                <w:lang w:eastAsia="en-US"/>
              </w:rPr>
              <w:t>-5</w:t>
            </w:r>
          </w:p>
        </w:tc>
        <w:tc>
          <w:tcPr>
            <w:tcW w:w="1278" w:type="dxa"/>
            <w:gridSpan w:val="2"/>
            <w:tcMar>
              <w:left w:w="28" w:type="dxa"/>
              <w:right w:w="28" w:type="dxa"/>
            </w:tcMar>
          </w:tcPr>
          <w:p w14:paraId="52EAE5E6"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0,0026</w:t>
            </w:r>
          </w:p>
        </w:tc>
        <w:tc>
          <w:tcPr>
            <w:tcW w:w="1277" w:type="dxa"/>
            <w:gridSpan w:val="2"/>
            <w:tcMar>
              <w:left w:w="28" w:type="dxa"/>
              <w:right w:w="28" w:type="dxa"/>
            </w:tcMar>
          </w:tcPr>
          <w:p w14:paraId="18829A00"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5,2 × 10</w:t>
            </w:r>
            <w:r w:rsidRPr="00434E9D">
              <w:rPr>
                <w:rFonts w:eastAsia="Calibri"/>
                <w:noProof/>
                <w:sz w:val="22"/>
                <w:szCs w:val="22"/>
                <w:vertAlign w:val="superscript"/>
                <w:lang w:eastAsia="en-US"/>
              </w:rPr>
              <w:t>-4</w:t>
            </w:r>
          </w:p>
        </w:tc>
        <w:tc>
          <w:tcPr>
            <w:tcW w:w="1136" w:type="dxa"/>
            <w:gridSpan w:val="2"/>
            <w:tcMar>
              <w:left w:w="28" w:type="dxa"/>
              <w:right w:w="28" w:type="dxa"/>
            </w:tcMar>
          </w:tcPr>
          <w:p w14:paraId="655AA5A0" w14:textId="77777777" w:rsidR="004C1CED" w:rsidRPr="00434E9D" w:rsidRDefault="004C1CED" w:rsidP="004C1CED">
            <w:pPr>
              <w:widowControl/>
              <w:spacing w:before="40" w:after="40"/>
              <w:rPr>
                <w:rFonts w:eastAsia="Calibri"/>
                <w:noProof/>
                <w:sz w:val="22"/>
                <w:szCs w:val="22"/>
                <w:lang w:eastAsia="en-US"/>
              </w:rPr>
            </w:pPr>
          </w:p>
        </w:tc>
        <w:tc>
          <w:tcPr>
            <w:tcW w:w="1262" w:type="dxa"/>
            <w:gridSpan w:val="2"/>
            <w:tcMar>
              <w:left w:w="28" w:type="dxa"/>
              <w:right w:w="28" w:type="dxa"/>
            </w:tcMar>
          </w:tcPr>
          <w:p w14:paraId="6190CABB"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X</w:t>
            </w:r>
          </w:p>
        </w:tc>
        <w:tc>
          <w:tcPr>
            <w:tcW w:w="1153" w:type="dxa"/>
            <w:gridSpan w:val="2"/>
            <w:tcMar>
              <w:left w:w="28" w:type="dxa"/>
              <w:right w:w="28" w:type="dxa"/>
            </w:tcMar>
          </w:tcPr>
          <w:p w14:paraId="0ABE5F73"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X</w:t>
            </w:r>
          </w:p>
        </w:tc>
        <w:tc>
          <w:tcPr>
            <w:tcW w:w="970" w:type="dxa"/>
            <w:tcMar>
              <w:left w:w="28" w:type="dxa"/>
              <w:right w:w="28" w:type="dxa"/>
            </w:tcMar>
          </w:tcPr>
          <w:p w14:paraId="44606763"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X</w:t>
            </w:r>
          </w:p>
        </w:tc>
      </w:tr>
      <w:tr w:rsidR="004C1CED" w:rsidRPr="00434E9D" w14:paraId="7A78CD01" w14:textId="77777777" w:rsidTr="00B12A07">
        <w:trPr>
          <w:gridBefore w:val="1"/>
          <w:wBefore w:w="17" w:type="dxa"/>
          <w:cantSplit/>
          <w:tblHeader/>
          <w:jc w:val="center"/>
        </w:trPr>
        <w:tc>
          <w:tcPr>
            <w:tcW w:w="651" w:type="dxa"/>
            <w:gridSpan w:val="3"/>
            <w:tcMar>
              <w:left w:w="28" w:type="dxa"/>
              <w:right w:w="28" w:type="dxa"/>
            </w:tcMar>
          </w:tcPr>
          <w:p w14:paraId="478544C3" w14:textId="77777777" w:rsidR="004C1CED" w:rsidRPr="00434E9D" w:rsidRDefault="004C1CED" w:rsidP="004C1CED">
            <w:pPr>
              <w:widowControl/>
              <w:spacing w:before="40" w:after="40"/>
              <w:jc w:val="both"/>
              <w:rPr>
                <w:rFonts w:eastAsia="Calibri"/>
                <w:noProof/>
                <w:sz w:val="22"/>
                <w:szCs w:val="22"/>
                <w:lang w:eastAsia="en-US"/>
              </w:rPr>
            </w:pPr>
            <w:r w:rsidRPr="00434E9D">
              <w:rPr>
                <w:rFonts w:eastAsia="Calibri"/>
                <w:noProof/>
                <w:sz w:val="22"/>
                <w:szCs w:val="22"/>
                <w:lang w:eastAsia="en-US"/>
              </w:rPr>
              <w:br w:type="page"/>
              <w:t>(9 </w:t>
            </w:r>
            <w:r w:rsidRPr="00434E9D">
              <w:rPr>
                <w:rFonts w:eastAsia="Calibri"/>
                <w:i/>
                <w:iCs/>
                <w:noProof/>
                <w:sz w:val="22"/>
                <w:szCs w:val="22"/>
                <w:lang w:eastAsia="en-US"/>
              </w:rPr>
              <w:t>bis</w:t>
            </w:r>
            <w:r w:rsidRPr="00434E9D">
              <w:rPr>
                <w:rFonts w:eastAsia="Calibri"/>
                <w:noProof/>
                <w:sz w:val="22"/>
                <w:szCs w:val="22"/>
                <w:lang w:eastAsia="en-US"/>
              </w:rPr>
              <w:t>)</w:t>
            </w:r>
          </w:p>
        </w:tc>
        <w:tc>
          <w:tcPr>
            <w:tcW w:w="2286" w:type="dxa"/>
            <w:gridSpan w:val="3"/>
            <w:tcMar>
              <w:left w:w="28" w:type="dxa"/>
              <w:right w:w="28" w:type="dxa"/>
            </w:tcMar>
          </w:tcPr>
          <w:p w14:paraId="5EABD178"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Pesticides cyclodiènes:</w:t>
            </w:r>
          </w:p>
          <w:p w14:paraId="008FC044"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 xml:space="preserve">Aldrine </w:t>
            </w:r>
            <w:bookmarkStart w:id="19" w:name="_DV_M301"/>
            <w:bookmarkEnd w:id="19"/>
          </w:p>
          <w:p w14:paraId="25CF91C0"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 xml:space="preserve">Dieldrine </w:t>
            </w:r>
            <w:bookmarkStart w:id="20" w:name="_DV_M302"/>
            <w:bookmarkEnd w:id="20"/>
          </w:p>
          <w:p w14:paraId="27172A33"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 xml:space="preserve">Endrine </w:t>
            </w:r>
            <w:bookmarkStart w:id="21" w:name="_DV_M303"/>
            <w:bookmarkEnd w:id="21"/>
          </w:p>
          <w:p w14:paraId="3EBAB564" w14:textId="77777777" w:rsidR="004C1CED" w:rsidRPr="00434E9D" w:rsidRDefault="004C1CED" w:rsidP="004C1CED">
            <w:pPr>
              <w:widowControl/>
              <w:spacing w:before="40" w:after="40"/>
              <w:rPr>
                <w:rFonts w:eastAsia="Calibri"/>
                <w:noProof/>
                <w:sz w:val="22"/>
                <w:szCs w:val="22"/>
                <w:vertAlign w:val="superscript"/>
                <w:lang w:eastAsia="en-US"/>
              </w:rPr>
            </w:pPr>
            <w:r w:rsidRPr="00434E9D">
              <w:rPr>
                <w:rFonts w:eastAsia="Calibri"/>
                <w:noProof/>
                <w:sz w:val="22"/>
                <w:szCs w:val="22"/>
                <w:lang w:eastAsia="en-US"/>
              </w:rPr>
              <w:t xml:space="preserve">Isodrine </w:t>
            </w:r>
            <w:bookmarkStart w:id="22" w:name="_DV_M304"/>
            <w:bookmarkEnd w:id="22"/>
          </w:p>
        </w:tc>
        <w:tc>
          <w:tcPr>
            <w:tcW w:w="1329" w:type="dxa"/>
            <w:gridSpan w:val="3"/>
            <w:tcMar>
              <w:left w:w="28" w:type="dxa"/>
              <w:right w:w="28" w:type="dxa"/>
            </w:tcMar>
          </w:tcPr>
          <w:p w14:paraId="1BCD8AC5"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Pesticides organochlorés</w:t>
            </w:r>
          </w:p>
        </w:tc>
        <w:tc>
          <w:tcPr>
            <w:tcW w:w="992" w:type="dxa"/>
            <w:gridSpan w:val="2"/>
            <w:tcMar>
              <w:left w:w="28" w:type="dxa"/>
              <w:right w:w="28" w:type="dxa"/>
            </w:tcMar>
          </w:tcPr>
          <w:p w14:paraId="375163A9" w14:textId="77777777" w:rsidR="004C1CED" w:rsidRPr="00434E9D" w:rsidRDefault="004C1CED" w:rsidP="004C1CED">
            <w:pPr>
              <w:widowControl/>
              <w:spacing w:before="40" w:after="40"/>
              <w:rPr>
                <w:rFonts w:eastAsia="Calibri"/>
                <w:noProof/>
                <w:sz w:val="22"/>
                <w:szCs w:val="22"/>
                <w:lang w:eastAsia="en-US"/>
              </w:rPr>
            </w:pPr>
          </w:p>
          <w:p w14:paraId="486917CC"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309-00-2</w:t>
            </w:r>
          </w:p>
          <w:p w14:paraId="02C2B8F1"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60-57-1</w:t>
            </w:r>
          </w:p>
          <w:p w14:paraId="033DA223"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72-20-8</w:t>
            </w:r>
          </w:p>
          <w:p w14:paraId="6E81CF1D"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465-73-6</w:t>
            </w:r>
          </w:p>
        </w:tc>
        <w:tc>
          <w:tcPr>
            <w:tcW w:w="1134" w:type="dxa"/>
          </w:tcPr>
          <w:p w14:paraId="04F3776E" w14:textId="77777777" w:rsidR="004C1CED" w:rsidRPr="00434E9D" w:rsidRDefault="004C1CED" w:rsidP="004C1CED">
            <w:pPr>
              <w:widowControl/>
              <w:spacing w:before="40" w:after="40"/>
              <w:rPr>
                <w:rFonts w:eastAsia="Calibri"/>
                <w:noProof/>
                <w:sz w:val="22"/>
                <w:szCs w:val="22"/>
                <w:lang w:eastAsia="en-US"/>
              </w:rPr>
            </w:pPr>
          </w:p>
          <w:p w14:paraId="0B397887"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206-215-8</w:t>
            </w:r>
          </w:p>
          <w:p w14:paraId="36D1840C"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200-484-5</w:t>
            </w:r>
          </w:p>
          <w:p w14:paraId="1EC39242"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200-775-7</w:t>
            </w:r>
          </w:p>
          <w:p w14:paraId="4FCEB5E8"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207-366-2</w:t>
            </w:r>
          </w:p>
        </w:tc>
        <w:tc>
          <w:tcPr>
            <w:tcW w:w="1279" w:type="dxa"/>
            <w:gridSpan w:val="2"/>
            <w:tcMar>
              <w:left w:w="28" w:type="dxa"/>
              <w:right w:w="28" w:type="dxa"/>
            </w:tcMar>
          </w:tcPr>
          <w:p w14:paraId="48256D82"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Σ = 0,01</w:t>
            </w:r>
          </w:p>
        </w:tc>
        <w:tc>
          <w:tcPr>
            <w:tcW w:w="1279" w:type="dxa"/>
            <w:gridSpan w:val="2"/>
            <w:tcMar>
              <w:left w:w="28" w:type="dxa"/>
              <w:right w:w="28" w:type="dxa"/>
            </w:tcMar>
          </w:tcPr>
          <w:p w14:paraId="5EE6E11A"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Σ = 0 005</w:t>
            </w:r>
          </w:p>
        </w:tc>
        <w:tc>
          <w:tcPr>
            <w:tcW w:w="1278" w:type="dxa"/>
            <w:gridSpan w:val="2"/>
            <w:tcMar>
              <w:left w:w="28" w:type="dxa"/>
              <w:right w:w="28" w:type="dxa"/>
            </w:tcMar>
          </w:tcPr>
          <w:p w14:paraId="5A568A38"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sans objet</w:t>
            </w:r>
          </w:p>
        </w:tc>
        <w:tc>
          <w:tcPr>
            <w:tcW w:w="1277" w:type="dxa"/>
            <w:gridSpan w:val="2"/>
            <w:tcMar>
              <w:left w:w="28" w:type="dxa"/>
              <w:right w:w="28" w:type="dxa"/>
            </w:tcMar>
          </w:tcPr>
          <w:p w14:paraId="45017623"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sans objet</w:t>
            </w:r>
          </w:p>
        </w:tc>
        <w:tc>
          <w:tcPr>
            <w:tcW w:w="1136" w:type="dxa"/>
            <w:gridSpan w:val="2"/>
            <w:tcMar>
              <w:left w:w="28" w:type="dxa"/>
              <w:right w:w="28" w:type="dxa"/>
            </w:tcMar>
          </w:tcPr>
          <w:p w14:paraId="641DF6DA" w14:textId="77777777" w:rsidR="004C1CED" w:rsidRPr="00434E9D" w:rsidRDefault="004C1CED" w:rsidP="004C1CED">
            <w:pPr>
              <w:widowControl/>
              <w:spacing w:before="40" w:after="40"/>
              <w:rPr>
                <w:rFonts w:eastAsia="Calibri"/>
                <w:noProof/>
                <w:sz w:val="22"/>
                <w:szCs w:val="22"/>
                <w:lang w:eastAsia="en-US"/>
              </w:rPr>
            </w:pPr>
          </w:p>
        </w:tc>
        <w:tc>
          <w:tcPr>
            <w:tcW w:w="1262" w:type="dxa"/>
            <w:gridSpan w:val="2"/>
            <w:tcMar>
              <w:left w:w="28" w:type="dxa"/>
              <w:right w:w="28" w:type="dxa"/>
            </w:tcMar>
          </w:tcPr>
          <w:p w14:paraId="6C93F6BD"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X</w:t>
            </w:r>
          </w:p>
        </w:tc>
        <w:tc>
          <w:tcPr>
            <w:tcW w:w="1153" w:type="dxa"/>
            <w:gridSpan w:val="2"/>
            <w:tcMar>
              <w:left w:w="28" w:type="dxa"/>
              <w:right w:w="28" w:type="dxa"/>
            </w:tcMar>
          </w:tcPr>
          <w:p w14:paraId="036D9FEF" w14:textId="77777777" w:rsidR="004C1CED" w:rsidRPr="00434E9D" w:rsidRDefault="004C1CED" w:rsidP="004C1CED">
            <w:pPr>
              <w:widowControl/>
              <w:spacing w:before="40" w:after="40"/>
              <w:rPr>
                <w:rFonts w:eastAsia="Calibri"/>
                <w:noProof/>
                <w:sz w:val="22"/>
                <w:szCs w:val="22"/>
                <w:lang w:eastAsia="en-US"/>
              </w:rPr>
            </w:pPr>
          </w:p>
        </w:tc>
        <w:tc>
          <w:tcPr>
            <w:tcW w:w="970" w:type="dxa"/>
            <w:tcMar>
              <w:left w:w="28" w:type="dxa"/>
              <w:right w:w="28" w:type="dxa"/>
            </w:tcMar>
          </w:tcPr>
          <w:p w14:paraId="1F9D3D43" w14:textId="77777777" w:rsidR="004C1CED" w:rsidRPr="00434E9D" w:rsidRDefault="004C1CED" w:rsidP="004C1CED">
            <w:pPr>
              <w:widowControl/>
              <w:spacing w:before="40" w:after="40"/>
              <w:rPr>
                <w:rFonts w:eastAsia="Calibri"/>
                <w:noProof/>
                <w:sz w:val="22"/>
                <w:szCs w:val="22"/>
                <w:lang w:eastAsia="en-US"/>
              </w:rPr>
            </w:pPr>
          </w:p>
          <w:p w14:paraId="6E43F7F9" w14:textId="77777777" w:rsidR="004C1CED" w:rsidRPr="00434E9D" w:rsidRDefault="004C1CED" w:rsidP="004C1CED">
            <w:pPr>
              <w:widowControl/>
              <w:spacing w:before="40" w:after="40"/>
              <w:rPr>
                <w:rFonts w:eastAsia="Calibri"/>
                <w:noProof/>
                <w:sz w:val="22"/>
                <w:szCs w:val="22"/>
                <w:lang w:eastAsia="en-US"/>
              </w:rPr>
            </w:pPr>
          </w:p>
          <w:p w14:paraId="408CF3FB" w14:textId="77777777" w:rsidR="004C1CED" w:rsidRPr="00434E9D" w:rsidRDefault="004C1CED" w:rsidP="004C1CED">
            <w:pPr>
              <w:widowControl/>
              <w:spacing w:before="40" w:after="40"/>
              <w:rPr>
                <w:rFonts w:eastAsia="Calibri"/>
                <w:noProof/>
                <w:sz w:val="22"/>
                <w:szCs w:val="22"/>
                <w:lang w:eastAsia="en-US"/>
              </w:rPr>
            </w:pPr>
          </w:p>
        </w:tc>
      </w:tr>
      <w:tr w:rsidR="004C1CED" w:rsidRPr="00434E9D" w14:paraId="052202D2" w14:textId="77777777" w:rsidTr="00B12A07">
        <w:trPr>
          <w:gridBefore w:val="1"/>
          <w:wBefore w:w="17" w:type="dxa"/>
          <w:cantSplit/>
          <w:tblHeader/>
          <w:jc w:val="center"/>
        </w:trPr>
        <w:tc>
          <w:tcPr>
            <w:tcW w:w="651" w:type="dxa"/>
            <w:gridSpan w:val="3"/>
            <w:tcMar>
              <w:left w:w="28" w:type="dxa"/>
              <w:right w:w="28" w:type="dxa"/>
            </w:tcMar>
          </w:tcPr>
          <w:p w14:paraId="075DA3FD" w14:textId="77777777" w:rsidR="004C1CED" w:rsidRPr="00434E9D" w:rsidRDefault="004C1CED" w:rsidP="004C1CED">
            <w:pPr>
              <w:widowControl/>
              <w:spacing w:before="40" w:after="40"/>
              <w:jc w:val="both"/>
              <w:rPr>
                <w:rFonts w:eastAsia="Calibri"/>
                <w:noProof/>
                <w:sz w:val="22"/>
                <w:szCs w:val="22"/>
                <w:lang w:eastAsia="en-US"/>
              </w:rPr>
            </w:pPr>
            <w:r w:rsidRPr="00434E9D">
              <w:rPr>
                <w:rFonts w:eastAsia="Calibri"/>
                <w:noProof/>
                <w:sz w:val="22"/>
                <w:szCs w:val="22"/>
                <w:lang w:eastAsia="en-US"/>
              </w:rPr>
              <w:t>(9 </w:t>
            </w:r>
            <w:r w:rsidRPr="00434E9D">
              <w:rPr>
                <w:rFonts w:eastAsia="Calibri"/>
                <w:i/>
                <w:iCs/>
                <w:noProof/>
                <w:sz w:val="22"/>
                <w:szCs w:val="22"/>
                <w:lang w:eastAsia="en-US"/>
              </w:rPr>
              <w:t>ter</w:t>
            </w:r>
            <w:r w:rsidRPr="00434E9D">
              <w:rPr>
                <w:rFonts w:eastAsia="Calibri"/>
                <w:noProof/>
                <w:sz w:val="22"/>
                <w:szCs w:val="22"/>
                <w:lang w:eastAsia="en-US"/>
              </w:rPr>
              <w:t>)</w:t>
            </w:r>
          </w:p>
        </w:tc>
        <w:tc>
          <w:tcPr>
            <w:tcW w:w="2286" w:type="dxa"/>
            <w:gridSpan w:val="3"/>
            <w:tcMar>
              <w:left w:w="28" w:type="dxa"/>
              <w:right w:w="28" w:type="dxa"/>
            </w:tcMar>
          </w:tcPr>
          <w:p w14:paraId="2E68E7DE" w14:textId="77777777" w:rsidR="004C1CED" w:rsidRPr="00434E9D" w:rsidRDefault="004C1CED" w:rsidP="004C1CED">
            <w:pPr>
              <w:widowControl/>
              <w:spacing w:before="40" w:after="40"/>
              <w:rPr>
                <w:rFonts w:eastAsia="Calibri"/>
                <w:noProof/>
                <w:sz w:val="22"/>
                <w:szCs w:val="22"/>
                <w:vertAlign w:val="superscript"/>
                <w:lang w:eastAsia="en-US"/>
              </w:rPr>
            </w:pPr>
            <w:r w:rsidRPr="00434E9D">
              <w:rPr>
                <w:rFonts w:eastAsia="Calibri"/>
                <w:noProof/>
                <w:sz w:val="22"/>
                <w:szCs w:val="22"/>
                <w:lang w:eastAsia="en-US"/>
              </w:rPr>
              <w:t>DDT total (</w:t>
            </w:r>
            <w:r w:rsidRPr="00434E9D">
              <w:rPr>
                <w:rFonts w:eastAsia="Calibri"/>
                <w:noProof/>
                <w:sz w:val="22"/>
                <w:szCs w:val="22"/>
                <w:vertAlign w:val="superscript"/>
                <w:lang w:eastAsia="en-US"/>
              </w:rPr>
              <w:t>11</w:t>
            </w:r>
            <w:r w:rsidRPr="00434E9D">
              <w:rPr>
                <w:rFonts w:eastAsia="Calibri"/>
                <w:noProof/>
                <w:sz w:val="22"/>
                <w:szCs w:val="22"/>
                <w:lang w:eastAsia="en-US"/>
              </w:rPr>
              <w:t>)</w:t>
            </w:r>
          </w:p>
        </w:tc>
        <w:tc>
          <w:tcPr>
            <w:tcW w:w="1329" w:type="dxa"/>
            <w:gridSpan w:val="3"/>
            <w:tcMar>
              <w:left w:w="28" w:type="dxa"/>
              <w:right w:w="28" w:type="dxa"/>
            </w:tcMar>
          </w:tcPr>
          <w:p w14:paraId="09940A04"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Pesticides organochlorés</w:t>
            </w:r>
          </w:p>
        </w:tc>
        <w:tc>
          <w:tcPr>
            <w:tcW w:w="992" w:type="dxa"/>
            <w:gridSpan w:val="2"/>
            <w:tcMar>
              <w:left w:w="28" w:type="dxa"/>
              <w:right w:w="28" w:type="dxa"/>
            </w:tcMar>
          </w:tcPr>
          <w:p w14:paraId="0F50F12E"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sans objet</w:t>
            </w:r>
          </w:p>
        </w:tc>
        <w:tc>
          <w:tcPr>
            <w:tcW w:w="1134" w:type="dxa"/>
          </w:tcPr>
          <w:p w14:paraId="2F412E41"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sans objet</w:t>
            </w:r>
          </w:p>
        </w:tc>
        <w:tc>
          <w:tcPr>
            <w:tcW w:w="1279" w:type="dxa"/>
            <w:gridSpan w:val="2"/>
            <w:tcMar>
              <w:left w:w="28" w:type="dxa"/>
              <w:right w:w="28" w:type="dxa"/>
            </w:tcMar>
          </w:tcPr>
          <w:p w14:paraId="72984475"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0,025</w:t>
            </w:r>
          </w:p>
        </w:tc>
        <w:tc>
          <w:tcPr>
            <w:tcW w:w="1279" w:type="dxa"/>
            <w:gridSpan w:val="2"/>
            <w:tcMar>
              <w:left w:w="28" w:type="dxa"/>
              <w:right w:w="28" w:type="dxa"/>
            </w:tcMar>
          </w:tcPr>
          <w:p w14:paraId="56873C55"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0,025</w:t>
            </w:r>
          </w:p>
        </w:tc>
        <w:tc>
          <w:tcPr>
            <w:tcW w:w="1278" w:type="dxa"/>
            <w:gridSpan w:val="2"/>
            <w:tcMar>
              <w:left w:w="28" w:type="dxa"/>
              <w:right w:w="28" w:type="dxa"/>
            </w:tcMar>
          </w:tcPr>
          <w:p w14:paraId="1D225E3A"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sans objet</w:t>
            </w:r>
          </w:p>
        </w:tc>
        <w:tc>
          <w:tcPr>
            <w:tcW w:w="1277" w:type="dxa"/>
            <w:gridSpan w:val="2"/>
            <w:tcMar>
              <w:left w:w="28" w:type="dxa"/>
              <w:right w:w="28" w:type="dxa"/>
            </w:tcMar>
          </w:tcPr>
          <w:p w14:paraId="4A858646"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sans objet</w:t>
            </w:r>
          </w:p>
        </w:tc>
        <w:tc>
          <w:tcPr>
            <w:tcW w:w="1136" w:type="dxa"/>
            <w:gridSpan w:val="2"/>
            <w:tcMar>
              <w:left w:w="28" w:type="dxa"/>
              <w:right w:w="28" w:type="dxa"/>
            </w:tcMar>
          </w:tcPr>
          <w:p w14:paraId="7F7D15E6" w14:textId="77777777" w:rsidR="004C1CED" w:rsidRPr="00434E9D" w:rsidRDefault="004C1CED" w:rsidP="004C1CED">
            <w:pPr>
              <w:widowControl/>
              <w:spacing w:before="40" w:after="40"/>
              <w:rPr>
                <w:rFonts w:eastAsia="Calibri"/>
                <w:noProof/>
                <w:sz w:val="22"/>
                <w:szCs w:val="22"/>
                <w:lang w:eastAsia="en-US"/>
              </w:rPr>
            </w:pPr>
          </w:p>
        </w:tc>
        <w:tc>
          <w:tcPr>
            <w:tcW w:w="1262" w:type="dxa"/>
            <w:gridSpan w:val="2"/>
            <w:tcMar>
              <w:left w:w="28" w:type="dxa"/>
              <w:right w:w="28" w:type="dxa"/>
            </w:tcMar>
          </w:tcPr>
          <w:p w14:paraId="7CBE1D06"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X</w:t>
            </w:r>
          </w:p>
        </w:tc>
        <w:tc>
          <w:tcPr>
            <w:tcW w:w="1153" w:type="dxa"/>
            <w:gridSpan w:val="2"/>
            <w:tcMar>
              <w:left w:w="28" w:type="dxa"/>
              <w:right w:w="28" w:type="dxa"/>
            </w:tcMar>
          </w:tcPr>
          <w:p w14:paraId="246C74C7" w14:textId="77777777" w:rsidR="004C1CED" w:rsidRPr="00434E9D" w:rsidRDefault="004C1CED" w:rsidP="004C1CED">
            <w:pPr>
              <w:widowControl/>
              <w:spacing w:before="40" w:after="40"/>
              <w:rPr>
                <w:rFonts w:eastAsia="Calibri"/>
                <w:noProof/>
                <w:sz w:val="22"/>
                <w:szCs w:val="22"/>
                <w:lang w:eastAsia="en-US"/>
              </w:rPr>
            </w:pPr>
          </w:p>
        </w:tc>
        <w:tc>
          <w:tcPr>
            <w:tcW w:w="970" w:type="dxa"/>
            <w:tcMar>
              <w:left w:w="28" w:type="dxa"/>
              <w:right w:w="28" w:type="dxa"/>
            </w:tcMar>
          </w:tcPr>
          <w:p w14:paraId="6FC8CB09" w14:textId="77777777" w:rsidR="004C1CED" w:rsidRPr="00434E9D" w:rsidRDefault="004C1CED" w:rsidP="004C1CED">
            <w:pPr>
              <w:widowControl/>
              <w:spacing w:before="40" w:after="40"/>
              <w:rPr>
                <w:rFonts w:eastAsia="Calibri"/>
                <w:noProof/>
                <w:sz w:val="22"/>
                <w:szCs w:val="22"/>
                <w:lang w:eastAsia="en-US"/>
              </w:rPr>
            </w:pPr>
          </w:p>
        </w:tc>
      </w:tr>
      <w:tr w:rsidR="004C1CED" w:rsidRPr="00434E9D" w14:paraId="7A4DA657" w14:textId="77777777" w:rsidTr="00B12A07">
        <w:trPr>
          <w:gridBefore w:val="1"/>
          <w:wBefore w:w="17" w:type="dxa"/>
          <w:cantSplit/>
          <w:tblHeader/>
          <w:jc w:val="center"/>
        </w:trPr>
        <w:tc>
          <w:tcPr>
            <w:tcW w:w="651" w:type="dxa"/>
            <w:gridSpan w:val="3"/>
            <w:tcMar>
              <w:left w:w="28" w:type="dxa"/>
              <w:right w:w="28" w:type="dxa"/>
            </w:tcMar>
          </w:tcPr>
          <w:p w14:paraId="04D2F128" w14:textId="77777777" w:rsidR="004C1CED" w:rsidRPr="00434E9D" w:rsidRDefault="004C1CED" w:rsidP="004C1CED">
            <w:pPr>
              <w:widowControl/>
              <w:spacing w:before="40" w:after="40"/>
              <w:jc w:val="both"/>
              <w:rPr>
                <w:rFonts w:eastAsia="Calibri"/>
                <w:noProof/>
                <w:sz w:val="22"/>
                <w:szCs w:val="22"/>
                <w:lang w:eastAsia="en-US"/>
              </w:rPr>
            </w:pPr>
          </w:p>
        </w:tc>
        <w:tc>
          <w:tcPr>
            <w:tcW w:w="2286" w:type="dxa"/>
            <w:gridSpan w:val="3"/>
            <w:tcMar>
              <w:left w:w="28" w:type="dxa"/>
              <w:right w:w="28" w:type="dxa"/>
            </w:tcMar>
          </w:tcPr>
          <w:p w14:paraId="2B7A4E38"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para-para-DDT</w:t>
            </w:r>
          </w:p>
        </w:tc>
        <w:tc>
          <w:tcPr>
            <w:tcW w:w="1329" w:type="dxa"/>
            <w:gridSpan w:val="3"/>
            <w:tcMar>
              <w:left w:w="28" w:type="dxa"/>
              <w:right w:w="28" w:type="dxa"/>
            </w:tcMar>
          </w:tcPr>
          <w:p w14:paraId="0E178726" w14:textId="77777777" w:rsidR="004C1CED" w:rsidRPr="00434E9D" w:rsidRDefault="004C1CED" w:rsidP="004C1CED">
            <w:pPr>
              <w:widowControl/>
              <w:spacing w:before="40" w:after="40"/>
              <w:rPr>
                <w:rFonts w:eastAsia="Calibri"/>
                <w:noProof/>
                <w:sz w:val="22"/>
                <w:szCs w:val="22"/>
                <w:lang w:eastAsia="en-US"/>
              </w:rPr>
            </w:pPr>
          </w:p>
        </w:tc>
        <w:tc>
          <w:tcPr>
            <w:tcW w:w="992" w:type="dxa"/>
            <w:gridSpan w:val="2"/>
            <w:tcMar>
              <w:left w:w="28" w:type="dxa"/>
              <w:right w:w="28" w:type="dxa"/>
            </w:tcMar>
          </w:tcPr>
          <w:p w14:paraId="37A87740"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50-29-3</w:t>
            </w:r>
          </w:p>
        </w:tc>
        <w:tc>
          <w:tcPr>
            <w:tcW w:w="1134" w:type="dxa"/>
          </w:tcPr>
          <w:p w14:paraId="54F39FCD"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200-024-3</w:t>
            </w:r>
          </w:p>
        </w:tc>
        <w:tc>
          <w:tcPr>
            <w:tcW w:w="1279" w:type="dxa"/>
            <w:gridSpan w:val="2"/>
            <w:tcMar>
              <w:left w:w="28" w:type="dxa"/>
              <w:right w:w="28" w:type="dxa"/>
            </w:tcMar>
          </w:tcPr>
          <w:p w14:paraId="2146553D"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0,01</w:t>
            </w:r>
          </w:p>
        </w:tc>
        <w:tc>
          <w:tcPr>
            <w:tcW w:w="1279" w:type="dxa"/>
            <w:gridSpan w:val="2"/>
            <w:tcMar>
              <w:left w:w="28" w:type="dxa"/>
              <w:right w:w="28" w:type="dxa"/>
            </w:tcMar>
          </w:tcPr>
          <w:p w14:paraId="2240CFDE"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0,01</w:t>
            </w:r>
          </w:p>
        </w:tc>
        <w:tc>
          <w:tcPr>
            <w:tcW w:w="1278" w:type="dxa"/>
            <w:gridSpan w:val="2"/>
            <w:tcMar>
              <w:left w:w="28" w:type="dxa"/>
              <w:right w:w="28" w:type="dxa"/>
            </w:tcMar>
          </w:tcPr>
          <w:p w14:paraId="2B732ECC"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sans objet</w:t>
            </w:r>
          </w:p>
        </w:tc>
        <w:tc>
          <w:tcPr>
            <w:tcW w:w="1277" w:type="dxa"/>
            <w:gridSpan w:val="2"/>
            <w:tcMar>
              <w:left w:w="28" w:type="dxa"/>
              <w:right w:w="28" w:type="dxa"/>
            </w:tcMar>
          </w:tcPr>
          <w:p w14:paraId="7CD715F5"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sans objet</w:t>
            </w:r>
          </w:p>
        </w:tc>
        <w:tc>
          <w:tcPr>
            <w:tcW w:w="1136" w:type="dxa"/>
            <w:gridSpan w:val="2"/>
            <w:tcMar>
              <w:left w:w="28" w:type="dxa"/>
              <w:right w:w="28" w:type="dxa"/>
            </w:tcMar>
          </w:tcPr>
          <w:p w14:paraId="62724DA4" w14:textId="77777777" w:rsidR="004C1CED" w:rsidRPr="00434E9D" w:rsidRDefault="004C1CED" w:rsidP="004C1CED">
            <w:pPr>
              <w:widowControl/>
              <w:spacing w:before="40" w:after="40"/>
              <w:rPr>
                <w:rFonts w:eastAsia="Calibri"/>
                <w:noProof/>
                <w:sz w:val="22"/>
                <w:szCs w:val="22"/>
                <w:lang w:eastAsia="en-US"/>
              </w:rPr>
            </w:pPr>
          </w:p>
        </w:tc>
        <w:tc>
          <w:tcPr>
            <w:tcW w:w="1262" w:type="dxa"/>
            <w:gridSpan w:val="2"/>
            <w:tcMar>
              <w:left w:w="28" w:type="dxa"/>
              <w:right w:w="28" w:type="dxa"/>
            </w:tcMar>
          </w:tcPr>
          <w:p w14:paraId="56196D4F" w14:textId="77777777" w:rsidR="004C1CED" w:rsidRPr="00434E9D" w:rsidDel="004E5B33"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X</w:t>
            </w:r>
          </w:p>
        </w:tc>
        <w:tc>
          <w:tcPr>
            <w:tcW w:w="1153" w:type="dxa"/>
            <w:gridSpan w:val="2"/>
            <w:tcMar>
              <w:left w:w="28" w:type="dxa"/>
              <w:right w:w="28" w:type="dxa"/>
            </w:tcMar>
          </w:tcPr>
          <w:p w14:paraId="28835CA6" w14:textId="77777777" w:rsidR="004C1CED" w:rsidRPr="00434E9D" w:rsidRDefault="004C1CED" w:rsidP="004C1CED">
            <w:pPr>
              <w:widowControl/>
              <w:spacing w:before="40" w:after="40"/>
              <w:rPr>
                <w:rFonts w:eastAsia="Calibri"/>
                <w:noProof/>
                <w:sz w:val="22"/>
                <w:szCs w:val="22"/>
                <w:lang w:eastAsia="en-US"/>
              </w:rPr>
            </w:pPr>
          </w:p>
        </w:tc>
        <w:tc>
          <w:tcPr>
            <w:tcW w:w="970" w:type="dxa"/>
            <w:tcMar>
              <w:left w:w="28" w:type="dxa"/>
              <w:right w:w="28" w:type="dxa"/>
            </w:tcMar>
          </w:tcPr>
          <w:p w14:paraId="528603D3" w14:textId="77777777" w:rsidR="004C1CED" w:rsidRPr="00434E9D" w:rsidRDefault="004C1CED" w:rsidP="004C1CED">
            <w:pPr>
              <w:widowControl/>
              <w:spacing w:before="40" w:after="40"/>
              <w:rPr>
                <w:rFonts w:eastAsia="Calibri"/>
                <w:noProof/>
                <w:sz w:val="22"/>
                <w:szCs w:val="22"/>
                <w:lang w:eastAsia="en-US"/>
              </w:rPr>
            </w:pPr>
          </w:p>
        </w:tc>
      </w:tr>
      <w:tr w:rsidR="004C1CED" w:rsidRPr="00434E9D" w14:paraId="3948ED87" w14:textId="77777777" w:rsidTr="00B12A07">
        <w:trPr>
          <w:gridBefore w:val="1"/>
          <w:wBefore w:w="17" w:type="dxa"/>
          <w:cantSplit/>
          <w:tblHeader/>
          <w:jc w:val="center"/>
        </w:trPr>
        <w:tc>
          <w:tcPr>
            <w:tcW w:w="651" w:type="dxa"/>
            <w:gridSpan w:val="3"/>
            <w:tcMar>
              <w:left w:w="28" w:type="dxa"/>
              <w:right w:w="28" w:type="dxa"/>
            </w:tcMar>
          </w:tcPr>
          <w:p w14:paraId="0FF35F01" w14:textId="77777777" w:rsidR="004C1CED" w:rsidRPr="00434E9D" w:rsidRDefault="004C1CED" w:rsidP="004C1CED">
            <w:pPr>
              <w:widowControl/>
              <w:spacing w:before="40" w:after="40"/>
              <w:jc w:val="both"/>
              <w:rPr>
                <w:rFonts w:eastAsia="Calibri"/>
                <w:noProof/>
                <w:sz w:val="22"/>
                <w:szCs w:val="22"/>
                <w:lang w:eastAsia="en-US"/>
              </w:rPr>
            </w:pPr>
            <w:r w:rsidRPr="00434E9D">
              <w:rPr>
                <w:rFonts w:eastAsia="Calibri"/>
                <w:noProof/>
                <w:sz w:val="22"/>
                <w:szCs w:val="22"/>
                <w:lang w:eastAsia="en-US"/>
              </w:rPr>
              <w:t>(10)</w:t>
            </w:r>
          </w:p>
        </w:tc>
        <w:tc>
          <w:tcPr>
            <w:tcW w:w="2286" w:type="dxa"/>
            <w:gridSpan w:val="3"/>
            <w:tcMar>
              <w:left w:w="28" w:type="dxa"/>
              <w:right w:w="28" w:type="dxa"/>
            </w:tcMar>
          </w:tcPr>
          <w:p w14:paraId="06906589"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1,2-dichloroéthane</w:t>
            </w:r>
          </w:p>
        </w:tc>
        <w:tc>
          <w:tcPr>
            <w:tcW w:w="1329" w:type="dxa"/>
            <w:gridSpan w:val="3"/>
            <w:tcMar>
              <w:left w:w="28" w:type="dxa"/>
              <w:right w:w="28" w:type="dxa"/>
            </w:tcMar>
          </w:tcPr>
          <w:p w14:paraId="6C93E6C6"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Substances industrielles</w:t>
            </w:r>
          </w:p>
        </w:tc>
        <w:tc>
          <w:tcPr>
            <w:tcW w:w="992" w:type="dxa"/>
            <w:gridSpan w:val="2"/>
            <w:tcMar>
              <w:left w:w="28" w:type="dxa"/>
              <w:right w:w="28" w:type="dxa"/>
            </w:tcMar>
          </w:tcPr>
          <w:p w14:paraId="01092801"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107-06-2</w:t>
            </w:r>
          </w:p>
        </w:tc>
        <w:tc>
          <w:tcPr>
            <w:tcW w:w="1134" w:type="dxa"/>
          </w:tcPr>
          <w:p w14:paraId="57505B65"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203-458-1</w:t>
            </w:r>
          </w:p>
        </w:tc>
        <w:tc>
          <w:tcPr>
            <w:tcW w:w="1279" w:type="dxa"/>
            <w:gridSpan w:val="2"/>
            <w:tcMar>
              <w:left w:w="28" w:type="dxa"/>
              <w:right w:w="28" w:type="dxa"/>
            </w:tcMar>
          </w:tcPr>
          <w:p w14:paraId="40CF11E7"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 xml:space="preserve">10 </w:t>
            </w:r>
          </w:p>
        </w:tc>
        <w:tc>
          <w:tcPr>
            <w:tcW w:w="1279" w:type="dxa"/>
            <w:gridSpan w:val="2"/>
            <w:tcMar>
              <w:left w:w="28" w:type="dxa"/>
              <w:right w:w="28" w:type="dxa"/>
            </w:tcMar>
          </w:tcPr>
          <w:p w14:paraId="62EE928C"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 xml:space="preserve">10 </w:t>
            </w:r>
          </w:p>
        </w:tc>
        <w:tc>
          <w:tcPr>
            <w:tcW w:w="1278" w:type="dxa"/>
            <w:gridSpan w:val="2"/>
            <w:tcMar>
              <w:left w:w="28" w:type="dxa"/>
              <w:right w:w="28" w:type="dxa"/>
            </w:tcMar>
          </w:tcPr>
          <w:p w14:paraId="7578F792"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sans objet</w:t>
            </w:r>
          </w:p>
        </w:tc>
        <w:tc>
          <w:tcPr>
            <w:tcW w:w="1277" w:type="dxa"/>
            <w:gridSpan w:val="2"/>
            <w:tcMar>
              <w:left w:w="28" w:type="dxa"/>
              <w:right w:w="28" w:type="dxa"/>
            </w:tcMar>
          </w:tcPr>
          <w:p w14:paraId="3CBE9FC3"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sans objet</w:t>
            </w:r>
          </w:p>
        </w:tc>
        <w:tc>
          <w:tcPr>
            <w:tcW w:w="1136" w:type="dxa"/>
            <w:gridSpan w:val="2"/>
            <w:tcMar>
              <w:left w:w="28" w:type="dxa"/>
              <w:right w:w="28" w:type="dxa"/>
            </w:tcMar>
          </w:tcPr>
          <w:p w14:paraId="7803E244" w14:textId="77777777" w:rsidR="004C1CED" w:rsidRPr="00434E9D" w:rsidRDefault="004C1CED" w:rsidP="004C1CED">
            <w:pPr>
              <w:widowControl/>
              <w:spacing w:before="40" w:after="40"/>
              <w:rPr>
                <w:rFonts w:eastAsia="Calibri"/>
                <w:noProof/>
                <w:sz w:val="22"/>
                <w:szCs w:val="22"/>
                <w:lang w:eastAsia="en-US"/>
              </w:rPr>
            </w:pPr>
          </w:p>
        </w:tc>
        <w:tc>
          <w:tcPr>
            <w:tcW w:w="1262" w:type="dxa"/>
            <w:gridSpan w:val="2"/>
            <w:tcMar>
              <w:left w:w="28" w:type="dxa"/>
              <w:right w:w="28" w:type="dxa"/>
            </w:tcMar>
          </w:tcPr>
          <w:p w14:paraId="480C3028"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X</w:t>
            </w:r>
          </w:p>
        </w:tc>
        <w:tc>
          <w:tcPr>
            <w:tcW w:w="1153" w:type="dxa"/>
            <w:gridSpan w:val="2"/>
            <w:tcMar>
              <w:left w:w="28" w:type="dxa"/>
              <w:right w:w="28" w:type="dxa"/>
            </w:tcMar>
          </w:tcPr>
          <w:p w14:paraId="16A04646" w14:textId="77777777" w:rsidR="004C1CED" w:rsidRPr="00434E9D" w:rsidRDefault="004C1CED" w:rsidP="004C1CED">
            <w:pPr>
              <w:widowControl/>
              <w:spacing w:before="40" w:after="40"/>
              <w:rPr>
                <w:rFonts w:eastAsia="Calibri"/>
                <w:noProof/>
                <w:sz w:val="22"/>
                <w:szCs w:val="22"/>
                <w:lang w:eastAsia="en-US"/>
              </w:rPr>
            </w:pPr>
          </w:p>
        </w:tc>
        <w:tc>
          <w:tcPr>
            <w:tcW w:w="970" w:type="dxa"/>
            <w:tcMar>
              <w:left w:w="28" w:type="dxa"/>
              <w:right w:w="28" w:type="dxa"/>
            </w:tcMar>
          </w:tcPr>
          <w:p w14:paraId="1DB4B9CF" w14:textId="77777777" w:rsidR="004C1CED" w:rsidRPr="00434E9D" w:rsidRDefault="004C1CED" w:rsidP="004C1CED">
            <w:pPr>
              <w:widowControl/>
              <w:spacing w:before="40" w:after="40"/>
              <w:rPr>
                <w:rFonts w:eastAsia="Calibri"/>
                <w:noProof/>
                <w:sz w:val="22"/>
                <w:szCs w:val="22"/>
                <w:lang w:eastAsia="en-US"/>
              </w:rPr>
            </w:pPr>
          </w:p>
        </w:tc>
      </w:tr>
      <w:tr w:rsidR="004C1CED" w:rsidRPr="00434E9D" w14:paraId="1E38E5D0" w14:textId="77777777" w:rsidTr="00B12A07">
        <w:trPr>
          <w:gridBefore w:val="1"/>
          <w:wBefore w:w="17" w:type="dxa"/>
          <w:cantSplit/>
          <w:tblHeader/>
          <w:jc w:val="center"/>
        </w:trPr>
        <w:tc>
          <w:tcPr>
            <w:tcW w:w="651" w:type="dxa"/>
            <w:gridSpan w:val="3"/>
            <w:tcMar>
              <w:left w:w="28" w:type="dxa"/>
              <w:right w:w="28" w:type="dxa"/>
            </w:tcMar>
          </w:tcPr>
          <w:p w14:paraId="3DCD17C7" w14:textId="77777777" w:rsidR="004C1CED" w:rsidRPr="00434E9D" w:rsidRDefault="004C1CED" w:rsidP="004C1CED">
            <w:pPr>
              <w:keepNext/>
              <w:widowControl/>
              <w:spacing w:before="40" w:after="40"/>
              <w:jc w:val="both"/>
              <w:rPr>
                <w:rFonts w:eastAsia="Calibri"/>
                <w:noProof/>
                <w:sz w:val="22"/>
                <w:szCs w:val="22"/>
                <w:lang w:eastAsia="en-US"/>
              </w:rPr>
            </w:pPr>
            <w:r w:rsidRPr="00434E9D">
              <w:rPr>
                <w:rFonts w:eastAsia="Calibri"/>
                <w:noProof/>
                <w:sz w:val="22"/>
                <w:szCs w:val="22"/>
                <w:lang w:eastAsia="en-US"/>
              </w:rPr>
              <w:t>(11)</w:t>
            </w:r>
          </w:p>
        </w:tc>
        <w:tc>
          <w:tcPr>
            <w:tcW w:w="2286" w:type="dxa"/>
            <w:gridSpan w:val="3"/>
            <w:tcMar>
              <w:left w:w="28" w:type="dxa"/>
              <w:right w:w="28" w:type="dxa"/>
            </w:tcMar>
          </w:tcPr>
          <w:p w14:paraId="00160EEE" w14:textId="77777777" w:rsidR="004C1CED" w:rsidRPr="00434E9D" w:rsidRDefault="004C1CED" w:rsidP="004C1CED">
            <w:pPr>
              <w:keepNext/>
              <w:widowControl/>
              <w:spacing w:before="40" w:after="40"/>
              <w:rPr>
                <w:rFonts w:eastAsia="Calibri"/>
                <w:noProof/>
                <w:sz w:val="22"/>
                <w:szCs w:val="22"/>
                <w:lang w:eastAsia="en-US"/>
              </w:rPr>
            </w:pPr>
            <w:r w:rsidRPr="00434E9D">
              <w:rPr>
                <w:rFonts w:eastAsia="Calibri"/>
                <w:noProof/>
                <w:sz w:val="22"/>
                <w:szCs w:val="22"/>
                <w:lang w:eastAsia="en-US"/>
              </w:rPr>
              <w:t>Dichlorométhane</w:t>
            </w:r>
          </w:p>
        </w:tc>
        <w:tc>
          <w:tcPr>
            <w:tcW w:w="1329" w:type="dxa"/>
            <w:gridSpan w:val="3"/>
            <w:tcMar>
              <w:left w:w="28" w:type="dxa"/>
              <w:right w:w="28" w:type="dxa"/>
            </w:tcMar>
          </w:tcPr>
          <w:p w14:paraId="69476792" w14:textId="77777777" w:rsidR="004C1CED" w:rsidRPr="00434E9D" w:rsidRDefault="004C1CED" w:rsidP="004C1CED">
            <w:pPr>
              <w:keepNext/>
              <w:widowControl/>
              <w:spacing w:before="40" w:after="40"/>
              <w:rPr>
                <w:rFonts w:eastAsia="Calibri"/>
                <w:noProof/>
                <w:sz w:val="22"/>
                <w:szCs w:val="22"/>
                <w:lang w:eastAsia="en-US"/>
              </w:rPr>
            </w:pPr>
            <w:r w:rsidRPr="00434E9D">
              <w:rPr>
                <w:rFonts w:eastAsia="Calibri"/>
                <w:noProof/>
                <w:sz w:val="22"/>
                <w:szCs w:val="22"/>
                <w:lang w:eastAsia="en-US"/>
              </w:rPr>
              <w:t>Substances industrielles</w:t>
            </w:r>
          </w:p>
        </w:tc>
        <w:tc>
          <w:tcPr>
            <w:tcW w:w="992" w:type="dxa"/>
            <w:gridSpan w:val="2"/>
            <w:tcMar>
              <w:left w:w="28" w:type="dxa"/>
              <w:right w:w="28" w:type="dxa"/>
            </w:tcMar>
          </w:tcPr>
          <w:p w14:paraId="735D4532" w14:textId="77777777" w:rsidR="004C1CED" w:rsidRPr="00434E9D" w:rsidRDefault="004C1CED" w:rsidP="004C1CED">
            <w:pPr>
              <w:keepNext/>
              <w:widowControl/>
              <w:spacing w:before="40" w:after="40"/>
              <w:rPr>
                <w:rFonts w:eastAsia="Calibri"/>
                <w:noProof/>
                <w:sz w:val="22"/>
                <w:szCs w:val="22"/>
                <w:lang w:eastAsia="en-US"/>
              </w:rPr>
            </w:pPr>
            <w:r w:rsidRPr="00434E9D">
              <w:rPr>
                <w:rFonts w:eastAsia="Calibri"/>
                <w:noProof/>
                <w:sz w:val="22"/>
                <w:szCs w:val="22"/>
                <w:lang w:eastAsia="en-US"/>
              </w:rPr>
              <w:t>75-09-2</w:t>
            </w:r>
          </w:p>
        </w:tc>
        <w:tc>
          <w:tcPr>
            <w:tcW w:w="1134" w:type="dxa"/>
          </w:tcPr>
          <w:p w14:paraId="5C3491FD" w14:textId="77777777" w:rsidR="004C1CED" w:rsidRPr="00434E9D" w:rsidRDefault="004C1CED" w:rsidP="004C1CED">
            <w:pPr>
              <w:keepNext/>
              <w:widowControl/>
              <w:spacing w:before="40" w:after="40"/>
              <w:rPr>
                <w:rFonts w:eastAsia="Calibri"/>
                <w:noProof/>
                <w:sz w:val="22"/>
                <w:szCs w:val="22"/>
                <w:lang w:eastAsia="en-US"/>
              </w:rPr>
            </w:pPr>
            <w:r w:rsidRPr="00434E9D">
              <w:rPr>
                <w:rFonts w:eastAsia="Calibri"/>
                <w:noProof/>
                <w:sz w:val="22"/>
                <w:szCs w:val="22"/>
                <w:lang w:eastAsia="en-US"/>
              </w:rPr>
              <w:t>200-838-9</w:t>
            </w:r>
          </w:p>
        </w:tc>
        <w:tc>
          <w:tcPr>
            <w:tcW w:w="1279" w:type="dxa"/>
            <w:gridSpan w:val="2"/>
            <w:tcMar>
              <w:left w:w="28" w:type="dxa"/>
              <w:right w:w="28" w:type="dxa"/>
            </w:tcMar>
          </w:tcPr>
          <w:p w14:paraId="67D17671" w14:textId="77777777" w:rsidR="004C1CED" w:rsidRPr="00434E9D" w:rsidRDefault="004C1CED" w:rsidP="004C1CED">
            <w:pPr>
              <w:keepNext/>
              <w:widowControl/>
              <w:spacing w:before="40" w:after="40"/>
              <w:rPr>
                <w:rFonts w:eastAsia="Calibri"/>
                <w:noProof/>
                <w:sz w:val="22"/>
                <w:szCs w:val="22"/>
                <w:lang w:eastAsia="en-US"/>
              </w:rPr>
            </w:pPr>
            <w:r w:rsidRPr="00434E9D">
              <w:rPr>
                <w:rFonts w:eastAsia="Calibri"/>
                <w:noProof/>
                <w:sz w:val="22"/>
                <w:szCs w:val="22"/>
                <w:lang w:eastAsia="en-US"/>
              </w:rPr>
              <w:t>20</w:t>
            </w:r>
          </w:p>
        </w:tc>
        <w:tc>
          <w:tcPr>
            <w:tcW w:w="1279" w:type="dxa"/>
            <w:gridSpan w:val="2"/>
            <w:tcMar>
              <w:left w:w="28" w:type="dxa"/>
              <w:right w:w="28" w:type="dxa"/>
            </w:tcMar>
          </w:tcPr>
          <w:p w14:paraId="69B9BD97" w14:textId="77777777" w:rsidR="004C1CED" w:rsidRPr="00434E9D" w:rsidRDefault="004C1CED" w:rsidP="004C1CED">
            <w:pPr>
              <w:keepNext/>
              <w:widowControl/>
              <w:spacing w:before="40" w:after="40"/>
              <w:rPr>
                <w:rFonts w:eastAsia="Calibri"/>
                <w:noProof/>
                <w:sz w:val="22"/>
                <w:szCs w:val="22"/>
                <w:lang w:eastAsia="en-US"/>
              </w:rPr>
            </w:pPr>
            <w:r w:rsidRPr="00434E9D">
              <w:rPr>
                <w:rFonts w:eastAsia="Calibri"/>
                <w:noProof/>
                <w:sz w:val="22"/>
                <w:szCs w:val="22"/>
                <w:lang w:eastAsia="en-US"/>
              </w:rPr>
              <w:t>20</w:t>
            </w:r>
          </w:p>
        </w:tc>
        <w:tc>
          <w:tcPr>
            <w:tcW w:w="1278" w:type="dxa"/>
            <w:gridSpan w:val="2"/>
            <w:tcMar>
              <w:left w:w="28" w:type="dxa"/>
              <w:right w:w="28" w:type="dxa"/>
            </w:tcMar>
          </w:tcPr>
          <w:p w14:paraId="15AB4351" w14:textId="77777777" w:rsidR="004C1CED" w:rsidRPr="00434E9D" w:rsidRDefault="004C1CED" w:rsidP="004C1CED">
            <w:pPr>
              <w:keepNext/>
              <w:widowControl/>
              <w:spacing w:before="40" w:after="40"/>
              <w:rPr>
                <w:rFonts w:eastAsia="Calibri"/>
                <w:noProof/>
                <w:sz w:val="22"/>
                <w:szCs w:val="22"/>
                <w:lang w:eastAsia="en-US"/>
              </w:rPr>
            </w:pPr>
            <w:r w:rsidRPr="00434E9D">
              <w:rPr>
                <w:rFonts w:eastAsia="Calibri"/>
                <w:noProof/>
                <w:sz w:val="22"/>
                <w:szCs w:val="22"/>
                <w:lang w:eastAsia="en-US"/>
              </w:rPr>
              <w:t>sans objet</w:t>
            </w:r>
          </w:p>
        </w:tc>
        <w:tc>
          <w:tcPr>
            <w:tcW w:w="1277" w:type="dxa"/>
            <w:gridSpan w:val="2"/>
            <w:tcMar>
              <w:left w:w="28" w:type="dxa"/>
              <w:right w:w="28" w:type="dxa"/>
            </w:tcMar>
          </w:tcPr>
          <w:p w14:paraId="66423EC2" w14:textId="77777777" w:rsidR="004C1CED" w:rsidRPr="00434E9D" w:rsidRDefault="004C1CED" w:rsidP="004C1CED">
            <w:pPr>
              <w:keepNext/>
              <w:widowControl/>
              <w:spacing w:before="40" w:after="40"/>
              <w:rPr>
                <w:rFonts w:eastAsia="Calibri"/>
                <w:noProof/>
                <w:sz w:val="22"/>
                <w:szCs w:val="22"/>
                <w:lang w:eastAsia="en-US"/>
              </w:rPr>
            </w:pPr>
            <w:r w:rsidRPr="00434E9D">
              <w:rPr>
                <w:rFonts w:eastAsia="Calibri"/>
                <w:noProof/>
                <w:sz w:val="22"/>
                <w:szCs w:val="22"/>
                <w:lang w:eastAsia="en-US"/>
              </w:rPr>
              <w:t>sans objet</w:t>
            </w:r>
          </w:p>
        </w:tc>
        <w:tc>
          <w:tcPr>
            <w:tcW w:w="1136" w:type="dxa"/>
            <w:gridSpan w:val="2"/>
            <w:tcMar>
              <w:left w:w="28" w:type="dxa"/>
              <w:right w:w="28" w:type="dxa"/>
            </w:tcMar>
          </w:tcPr>
          <w:p w14:paraId="166E8B7F" w14:textId="77777777" w:rsidR="004C1CED" w:rsidRPr="00434E9D" w:rsidRDefault="004C1CED" w:rsidP="004C1CED">
            <w:pPr>
              <w:keepNext/>
              <w:widowControl/>
              <w:spacing w:before="40" w:after="40"/>
              <w:rPr>
                <w:rFonts w:eastAsia="Calibri"/>
                <w:noProof/>
                <w:sz w:val="22"/>
                <w:szCs w:val="22"/>
                <w:lang w:eastAsia="en-US"/>
              </w:rPr>
            </w:pPr>
          </w:p>
        </w:tc>
        <w:tc>
          <w:tcPr>
            <w:tcW w:w="1262" w:type="dxa"/>
            <w:gridSpan w:val="2"/>
            <w:tcMar>
              <w:left w:w="28" w:type="dxa"/>
              <w:right w:w="28" w:type="dxa"/>
            </w:tcMar>
          </w:tcPr>
          <w:p w14:paraId="29EA33A5" w14:textId="77777777" w:rsidR="004C1CED" w:rsidRPr="00434E9D" w:rsidRDefault="004C1CED" w:rsidP="004C1CED">
            <w:pPr>
              <w:keepNext/>
              <w:widowControl/>
              <w:spacing w:before="40" w:after="40"/>
              <w:rPr>
                <w:rFonts w:eastAsia="Calibri"/>
                <w:noProof/>
                <w:sz w:val="22"/>
                <w:szCs w:val="22"/>
                <w:lang w:eastAsia="en-US"/>
              </w:rPr>
            </w:pPr>
          </w:p>
        </w:tc>
        <w:tc>
          <w:tcPr>
            <w:tcW w:w="1153" w:type="dxa"/>
            <w:gridSpan w:val="2"/>
            <w:tcMar>
              <w:left w:w="28" w:type="dxa"/>
              <w:right w:w="28" w:type="dxa"/>
            </w:tcMar>
          </w:tcPr>
          <w:p w14:paraId="18CC16BD" w14:textId="77777777" w:rsidR="004C1CED" w:rsidRPr="00434E9D" w:rsidRDefault="004C1CED" w:rsidP="004C1CED">
            <w:pPr>
              <w:keepNext/>
              <w:widowControl/>
              <w:spacing w:before="40" w:after="40"/>
              <w:rPr>
                <w:rFonts w:eastAsia="Calibri"/>
                <w:noProof/>
                <w:sz w:val="22"/>
                <w:szCs w:val="22"/>
                <w:lang w:eastAsia="en-US"/>
              </w:rPr>
            </w:pPr>
          </w:p>
        </w:tc>
        <w:tc>
          <w:tcPr>
            <w:tcW w:w="970" w:type="dxa"/>
            <w:tcMar>
              <w:left w:w="28" w:type="dxa"/>
              <w:right w:w="28" w:type="dxa"/>
            </w:tcMar>
          </w:tcPr>
          <w:p w14:paraId="6891034F" w14:textId="77777777" w:rsidR="004C1CED" w:rsidRPr="00434E9D" w:rsidRDefault="004C1CED" w:rsidP="004C1CED">
            <w:pPr>
              <w:keepNext/>
              <w:widowControl/>
              <w:spacing w:before="40" w:after="40"/>
              <w:rPr>
                <w:rFonts w:eastAsia="Calibri"/>
                <w:noProof/>
                <w:sz w:val="22"/>
                <w:szCs w:val="22"/>
                <w:lang w:eastAsia="en-US"/>
              </w:rPr>
            </w:pPr>
          </w:p>
        </w:tc>
      </w:tr>
      <w:tr w:rsidR="004C1CED" w:rsidRPr="00434E9D" w14:paraId="2DC83BC2" w14:textId="77777777" w:rsidTr="00B12A07">
        <w:trPr>
          <w:gridBefore w:val="1"/>
          <w:wBefore w:w="17" w:type="dxa"/>
          <w:cantSplit/>
          <w:tblHeader/>
          <w:jc w:val="center"/>
        </w:trPr>
        <w:tc>
          <w:tcPr>
            <w:tcW w:w="651" w:type="dxa"/>
            <w:gridSpan w:val="3"/>
            <w:tcMar>
              <w:left w:w="28" w:type="dxa"/>
              <w:right w:w="28" w:type="dxa"/>
            </w:tcMar>
          </w:tcPr>
          <w:p w14:paraId="07D51690" w14:textId="77777777" w:rsidR="004C1CED" w:rsidRPr="00434E9D" w:rsidRDefault="004C1CED" w:rsidP="004C1CED">
            <w:pPr>
              <w:widowControl/>
              <w:spacing w:before="40" w:after="40"/>
              <w:jc w:val="both"/>
              <w:rPr>
                <w:rFonts w:eastAsia="Calibri"/>
                <w:noProof/>
                <w:sz w:val="22"/>
                <w:szCs w:val="22"/>
                <w:lang w:eastAsia="en-US"/>
              </w:rPr>
            </w:pPr>
            <w:r w:rsidRPr="00434E9D">
              <w:rPr>
                <w:rFonts w:eastAsia="Calibri"/>
                <w:noProof/>
                <w:sz w:val="22"/>
                <w:szCs w:val="22"/>
                <w:lang w:eastAsia="en-US"/>
              </w:rPr>
              <w:lastRenderedPageBreak/>
              <w:t>(12)</w:t>
            </w:r>
          </w:p>
        </w:tc>
        <w:tc>
          <w:tcPr>
            <w:tcW w:w="2286" w:type="dxa"/>
            <w:gridSpan w:val="3"/>
            <w:tcMar>
              <w:left w:w="28" w:type="dxa"/>
              <w:right w:w="28" w:type="dxa"/>
            </w:tcMar>
          </w:tcPr>
          <w:p w14:paraId="14CF360E"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Di(2-ethylhexyle)-phtalate (DEHP)</w:t>
            </w:r>
          </w:p>
        </w:tc>
        <w:tc>
          <w:tcPr>
            <w:tcW w:w="1329" w:type="dxa"/>
            <w:gridSpan w:val="3"/>
            <w:tcMar>
              <w:left w:w="28" w:type="dxa"/>
              <w:right w:w="28" w:type="dxa"/>
            </w:tcMar>
          </w:tcPr>
          <w:p w14:paraId="6C598336"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Substances industrielles</w:t>
            </w:r>
          </w:p>
        </w:tc>
        <w:tc>
          <w:tcPr>
            <w:tcW w:w="992" w:type="dxa"/>
            <w:gridSpan w:val="2"/>
            <w:tcMar>
              <w:left w:w="28" w:type="dxa"/>
              <w:right w:w="28" w:type="dxa"/>
            </w:tcMar>
          </w:tcPr>
          <w:p w14:paraId="410B9D70"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117-81-7</w:t>
            </w:r>
          </w:p>
        </w:tc>
        <w:tc>
          <w:tcPr>
            <w:tcW w:w="1134" w:type="dxa"/>
          </w:tcPr>
          <w:p w14:paraId="75A39E09"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204-211-0</w:t>
            </w:r>
          </w:p>
        </w:tc>
        <w:tc>
          <w:tcPr>
            <w:tcW w:w="1279" w:type="dxa"/>
            <w:gridSpan w:val="2"/>
            <w:tcMar>
              <w:left w:w="28" w:type="dxa"/>
              <w:right w:w="28" w:type="dxa"/>
            </w:tcMar>
          </w:tcPr>
          <w:p w14:paraId="20F2C2FF"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1,3</w:t>
            </w:r>
          </w:p>
        </w:tc>
        <w:tc>
          <w:tcPr>
            <w:tcW w:w="1279" w:type="dxa"/>
            <w:gridSpan w:val="2"/>
            <w:tcMar>
              <w:left w:w="28" w:type="dxa"/>
              <w:right w:w="28" w:type="dxa"/>
            </w:tcMar>
          </w:tcPr>
          <w:p w14:paraId="1C2F70B4"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1,3</w:t>
            </w:r>
          </w:p>
        </w:tc>
        <w:tc>
          <w:tcPr>
            <w:tcW w:w="1278" w:type="dxa"/>
            <w:gridSpan w:val="2"/>
            <w:tcMar>
              <w:left w:w="28" w:type="dxa"/>
              <w:right w:w="28" w:type="dxa"/>
            </w:tcMar>
          </w:tcPr>
          <w:p w14:paraId="6303687A"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sans objet</w:t>
            </w:r>
          </w:p>
        </w:tc>
        <w:tc>
          <w:tcPr>
            <w:tcW w:w="1277" w:type="dxa"/>
            <w:gridSpan w:val="2"/>
            <w:tcMar>
              <w:left w:w="28" w:type="dxa"/>
              <w:right w:w="28" w:type="dxa"/>
            </w:tcMar>
          </w:tcPr>
          <w:p w14:paraId="14CC0E47"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sans objet</w:t>
            </w:r>
          </w:p>
        </w:tc>
        <w:tc>
          <w:tcPr>
            <w:tcW w:w="1136" w:type="dxa"/>
            <w:gridSpan w:val="2"/>
            <w:tcMar>
              <w:left w:w="28" w:type="dxa"/>
              <w:right w:w="28" w:type="dxa"/>
            </w:tcMar>
          </w:tcPr>
          <w:p w14:paraId="734C7A3A" w14:textId="77777777" w:rsidR="004C1CED" w:rsidRPr="00434E9D" w:rsidRDefault="004C1CED" w:rsidP="004C1CED">
            <w:pPr>
              <w:widowControl/>
              <w:spacing w:before="40" w:after="40"/>
              <w:rPr>
                <w:rFonts w:eastAsia="Calibri"/>
                <w:noProof/>
                <w:sz w:val="22"/>
                <w:szCs w:val="22"/>
                <w:lang w:eastAsia="en-US"/>
              </w:rPr>
            </w:pPr>
          </w:p>
        </w:tc>
        <w:tc>
          <w:tcPr>
            <w:tcW w:w="1262" w:type="dxa"/>
            <w:gridSpan w:val="2"/>
            <w:tcMar>
              <w:left w:w="28" w:type="dxa"/>
              <w:right w:w="28" w:type="dxa"/>
            </w:tcMar>
          </w:tcPr>
          <w:p w14:paraId="57FA0B5D"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X</w:t>
            </w:r>
          </w:p>
        </w:tc>
        <w:tc>
          <w:tcPr>
            <w:tcW w:w="1153" w:type="dxa"/>
            <w:gridSpan w:val="2"/>
            <w:tcMar>
              <w:left w:w="28" w:type="dxa"/>
              <w:right w:w="28" w:type="dxa"/>
            </w:tcMar>
          </w:tcPr>
          <w:p w14:paraId="2E92D836" w14:textId="77777777" w:rsidR="004C1CED" w:rsidRPr="00434E9D" w:rsidRDefault="004C1CED" w:rsidP="004C1CED">
            <w:pPr>
              <w:widowControl/>
              <w:spacing w:before="40" w:after="40"/>
              <w:rPr>
                <w:rFonts w:eastAsia="Calibri"/>
                <w:noProof/>
                <w:sz w:val="22"/>
                <w:szCs w:val="22"/>
                <w:lang w:eastAsia="en-US"/>
              </w:rPr>
            </w:pPr>
          </w:p>
        </w:tc>
        <w:tc>
          <w:tcPr>
            <w:tcW w:w="970" w:type="dxa"/>
            <w:tcMar>
              <w:left w:w="28" w:type="dxa"/>
              <w:right w:w="28" w:type="dxa"/>
            </w:tcMar>
          </w:tcPr>
          <w:p w14:paraId="527D58E5"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X</w:t>
            </w:r>
          </w:p>
        </w:tc>
      </w:tr>
      <w:tr w:rsidR="004C1CED" w:rsidRPr="00434E9D" w14:paraId="27FD8B30" w14:textId="77777777" w:rsidTr="00B12A07">
        <w:trPr>
          <w:gridBefore w:val="1"/>
          <w:wBefore w:w="17" w:type="dxa"/>
          <w:cantSplit/>
          <w:tblHeader/>
          <w:jc w:val="center"/>
        </w:trPr>
        <w:tc>
          <w:tcPr>
            <w:tcW w:w="651" w:type="dxa"/>
            <w:gridSpan w:val="3"/>
            <w:tcMar>
              <w:left w:w="28" w:type="dxa"/>
              <w:right w:w="28" w:type="dxa"/>
            </w:tcMar>
          </w:tcPr>
          <w:p w14:paraId="75A950E6" w14:textId="77777777" w:rsidR="004C1CED" w:rsidRPr="00434E9D" w:rsidRDefault="004C1CED" w:rsidP="004C1CED">
            <w:pPr>
              <w:widowControl/>
              <w:spacing w:before="40" w:after="40"/>
              <w:jc w:val="both"/>
              <w:rPr>
                <w:rFonts w:eastAsia="Calibri"/>
                <w:noProof/>
                <w:sz w:val="22"/>
                <w:szCs w:val="22"/>
                <w:lang w:eastAsia="en-US"/>
              </w:rPr>
            </w:pPr>
            <w:r w:rsidRPr="00434E9D">
              <w:rPr>
                <w:rFonts w:eastAsia="Calibri"/>
                <w:noProof/>
                <w:sz w:val="22"/>
                <w:szCs w:val="22"/>
                <w:lang w:eastAsia="en-US"/>
              </w:rPr>
              <w:t>(13)</w:t>
            </w:r>
          </w:p>
        </w:tc>
        <w:tc>
          <w:tcPr>
            <w:tcW w:w="2286" w:type="dxa"/>
            <w:gridSpan w:val="3"/>
            <w:tcMar>
              <w:left w:w="28" w:type="dxa"/>
              <w:right w:w="28" w:type="dxa"/>
            </w:tcMar>
          </w:tcPr>
          <w:p w14:paraId="7B917612"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Diuron</w:t>
            </w:r>
          </w:p>
        </w:tc>
        <w:tc>
          <w:tcPr>
            <w:tcW w:w="1329" w:type="dxa"/>
            <w:gridSpan w:val="3"/>
            <w:tcMar>
              <w:left w:w="28" w:type="dxa"/>
              <w:right w:w="28" w:type="dxa"/>
            </w:tcMar>
          </w:tcPr>
          <w:p w14:paraId="166B8DBF"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Herbicides</w:t>
            </w:r>
          </w:p>
        </w:tc>
        <w:tc>
          <w:tcPr>
            <w:tcW w:w="992" w:type="dxa"/>
            <w:gridSpan w:val="2"/>
            <w:tcMar>
              <w:left w:w="28" w:type="dxa"/>
              <w:right w:w="28" w:type="dxa"/>
            </w:tcMar>
          </w:tcPr>
          <w:p w14:paraId="37299FF2"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330-54-1</w:t>
            </w:r>
          </w:p>
        </w:tc>
        <w:tc>
          <w:tcPr>
            <w:tcW w:w="1134" w:type="dxa"/>
          </w:tcPr>
          <w:p w14:paraId="52E9CC4C" w14:textId="77777777" w:rsidR="004C1CED" w:rsidRPr="00434E9D" w:rsidRDefault="004C1CED" w:rsidP="004C1CED">
            <w:pPr>
              <w:widowControl/>
              <w:spacing w:before="40" w:after="40"/>
              <w:rPr>
                <w:rFonts w:eastAsia="Calibri"/>
                <w:strike/>
                <w:noProof/>
                <w:sz w:val="22"/>
                <w:szCs w:val="22"/>
                <w:lang w:eastAsia="en-US"/>
              </w:rPr>
            </w:pPr>
            <w:r w:rsidRPr="00434E9D">
              <w:rPr>
                <w:rFonts w:eastAsia="Calibri"/>
                <w:noProof/>
                <w:sz w:val="22"/>
                <w:szCs w:val="22"/>
                <w:lang w:eastAsia="en-US"/>
              </w:rPr>
              <w:t>206-354-4</w:t>
            </w:r>
          </w:p>
        </w:tc>
        <w:tc>
          <w:tcPr>
            <w:tcW w:w="1279" w:type="dxa"/>
            <w:gridSpan w:val="2"/>
            <w:tcMar>
              <w:left w:w="28" w:type="dxa"/>
              <w:right w:w="28" w:type="dxa"/>
            </w:tcMar>
          </w:tcPr>
          <w:p w14:paraId="6E4F6117" w14:textId="77777777" w:rsidR="004C1CED" w:rsidRPr="00434E9D" w:rsidRDefault="004C1CED" w:rsidP="004C1CED">
            <w:pPr>
              <w:widowControl/>
              <w:spacing w:before="40" w:after="40"/>
              <w:rPr>
                <w:rFonts w:eastAsia="Calibri"/>
                <w:strike/>
                <w:noProof/>
                <w:sz w:val="22"/>
                <w:szCs w:val="22"/>
                <w:lang w:eastAsia="en-US"/>
              </w:rPr>
            </w:pPr>
            <w:r w:rsidRPr="00434E9D">
              <w:rPr>
                <w:rFonts w:eastAsia="Calibri"/>
                <w:noProof/>
                <w:sz w:val="22"/>
                <w:szCs w:val="22"/>
                <w:lang w:eastAsia="en-US"/>
              </w:rPr>
              <w:t>0,049</w:t>
            </w:r>
          </w:p>
        </w:tc>
        <w:tc>
          <w:tcPr>
            <w:tcW w:w="1279" w:type="dxa"/>
            <w:gridSpan w:val="2"/>
            <w:tcMar>
              <w:left w:w="28" w:type="dxa"/>
              <w:right w:w="28" w:type="dxa"/>
            </w:tcMar>
          </w:tcPr>
          <w:p w14:paraId="764C9541"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0,0049</w:t>
            </w:r>
          </w:p>
        </w:tc>
        <w:tc>
          <w:tcPr>
            <w:tcW w:w="1278" w:type="dxa"/>
            <w:gridSpan w:val="2"/>
            <w:tcMar>
              <w:left w:w="28" w:type="dxa"/>
              <w:right w:w="28" w:type="dxa"/>
            </w:tcMar>
          </w:tcPr>
          <w:p w14:paraId="7306E003"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0,27</w:t>
            </w:r>
          </w:p>
        </w:tc>
        <w:tc>
          <w:tcPr>
            <w:tcW w:w="1277" w:type="dxa"/>
            <w:gridSpan w:val="2"/>
            <w:tcMar>
              <w:left w:w="28" w:type="dxa"/>
              <w:right w:w="28" w:type="dxa"/>
            </w:tcMar>
          </w:tcPr>
          <w:p w14:paraId="69CCC79A"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0,054</w:t>
            </w:r>
          </w:p>
        </w:tc>
        <w:tc>
          <w:tcPr>
            <w:tcW w:w="1136" w:type="dxa"/>
            <w:gridSpan w:val="2"/>
            <w:tcMar>
              <w:left w:w="28" w:type="dxa"/>
              <w:right w:w="28" w:type="dxa"/>
            </w:tcMar>
          </w:tcPr>
          <w:p w14:paraId="70124A2A" w14:textId="77777777" w:rsidR="004C1CED" w:rsidRPr="00434E9D" w:rsidRDefault="004C1CED" w:rsidP="004C1CED">
            <w:pPr>
              <w:widowControl/>
              <w:spacing w:before="40" w:after="40"/>
              <w:rPr>
                <w:rFonts w:eastAsia="Calibri"/>
                <w:noProof/>
                <w:sz w:val="22"/>
                <w:szCs w:val="22"/>
                <w:lang w:eastAsia="en-US"/>
              </w:rPr>
            </w:pPr>
          </w:p>
        </w:tc>
        <w:tc>
          <w:tcPr>
            <w:tcW w:w="1262" w:type="dxa"/>
            <w:gridSpan w:val="2"/>
            <w:tcMar>
              <w:left w:w="28" w:type="dxa"/>
              <w:right w:w="28" w:type="dxa"/>
            </w:tcMar>
          </w:tcPr>
          <w:p w14:paraId="08B42AB1" w14:textId="77777777" w:rsidR="004C1CED" w:rsidRPr="00434E9D" w:rsidRDefault="004C1CED" w:rsidP="004C1CED">
            <w:pPr>
              <w:widowControl/>
              <w:spacing w:before="40" w:after="40"/>
              <w:rPr>
                <w:rFonts w:eastAsia="Calibri"/>
                <w:noProof/>
                <w:sz w:val="22"/>
                <w:szCs w:val="22"/>
                <w:lang w:eastAsia="en-US"/>
              </w:rPr>
            </w:pPr>
          </w:p>
        </w:tc>
        <w:tc>
          <w:tcPr>
            <w:tcW w:w="1153" w:type="dxa"/>
            <w:gridSpan w:val="2"/>
            <w:tcMar>
              <w:left w:w="28" w:type="dxa"/>
              <w:right w:w="28" w:type="dxa"/>
            </w:tcMar>
          </w:tcPr>
          <w:p w14:paraId="02D67E7A" w14:textId="77777777" w:rsidR="004C1CED" w:rsidRPr="00434E9D" w:rsidRDefault="004C1CED" w:rsidP="004C1CED">
            <w:pPr>
              <w:widowControl/>
              <w:spacing w:before="40" w:after="40"/>
              <w:rPr>
                <w:rFonts w:eastAsia="Calibri"/>
                <w:noProof/>
                <w:sz w:val="22"/>
                <w:szCs w:val="22"/>
                <w:lang w:eastAsia="en-US"/>
              </w:rPr>
            </w:pPr>
          </w:p>
        </w:tc>
        <w:tc>
          <w:tcPr>
            <w:tcW w:w="970" w:type="dxa"/>
            <w:tcMar>
              <w:left w:w="28" w:type="dxa"/>
              <w:right w:w="28" w:type="dxa"/>
            </w:tcMar>
          </w:tcPr>
          <w:p w14:paraId="79BECE4E" w14:textId="77777777" w:rsidR="004C1CED" w:rsidRPr="00434E9D" w:rsidRDefault="004C1CED" w:rsidP="004C1CED">
            <w:pPr>
              <w:widowControl/>
              <w:spacing w:before="40" w:after="40"/>
              <w:rPr>
                <w:rFonts w:eastAsia="Calibri"/>
                <w:noProof/>
                <w:sz w:val="22"/>
                <w:szCs w:val="22"/>
                <w:lang w:eastAsia="en-US"/>
              </w:rPr>
            </w:pPr>
          </w:p>
        </w:tc>
      </w:tr>
      <w:tr w:rsidR="004C1CED" w:rsidRPr="00434E9D" w14:paraId="3C9656DA" w14:textId="77777777" w:rsidTr="00B12A07">
        <w:trPr>
          <w:gridBefore w:val="1"/>
          <w:wBefore w:w="17" w:type="dxa"/>
          <w:cantSplit/>
          <w:tblHeader/>
          <w:jc w:val="center"/>
        </w:trPr>
        <w:tc>
          <w:tcPr>
            <w:tcW w:w="651" w:type="dxa"/>
            <w:gridSpan w:val="3"/>
            <w:tcMar>
              <w:left w:w="28" w:type="dxa"/>
              <w:right w:w="28" w:type="dxa"/>
            </w:tcMar>
          </w:tcPr>
          <w:p w14:paraId="44D17CCA" w14:textId="77777777" w:rsidR="004C1CED" w:rsidRPr="00434E9D" w:rsidRDefault="004C1CED" w:rsidP="004C1CED">
            <w:pPr>
              <w:widowControl/>
              <w:spacing w:before="40" w:after="40"/>
              <w:jc w:val="both"/>
              <w:rPr>
                <w:rFonts w:eastAsia="Calibri"/>
                <w:noProof/>
                <w:sz w:val="22"/>
                <w:szCs w:val="22"/>
                <w:lang w:eastAsia="en-US"/>
              </w:rPr>
            </w:pPr>
            <w:r w:rsidRPr="00434E9D">
              <w:rPr>
                <w:rFonts w:eastAsia="Calibri"/>
                <w:noProof/>
                <w:sz w:val="22"/>
                <w:szCs w:val="22"/>
                <w:lang w:eastAsia="en-US"/>
              </w:rPr>
              <w:t>(14)</w:t>
            </w:r>
          </w:p>
        </w:tc>
        <w:tc>
          <w:tcPr>
            <w:tcW w:w="2286" w:type="dxa"/>
            <w:gridSpan w:val="3"/>
            <w:tcMar>
              <w:left w:w="28" w:type="dxa"/>
              <w:right w:w="28" w:type="dxa"/>
            </w:tcMar>
          </w:tcPr>
          <w:p w14:paraId="33AD2EBF"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Endosulfan</w:t>
            </w:r>
          </w:p>
        </w:tc>
        <w:tc>
          <w:tcPr>
            <w:tcW w:w="1329" w:type="dxa"/>
            <w:gridSpan w:val="3"/>
            <w:tcMar>
              <w:left w:w="28" w:type="dxa"/>
              <w:right w:w="28" w:type="dxa"/>
            </w:tcMar>
          </w:tcPr>
          <w:p w14:paraId="15E7154E"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Pesticides organochlorés</w:t>
            </w:r>
          </w:p>
        </w:tc>
        <w:tc>
          <w:tcPr>
            <w:tcW w:w="992" w:type="dxa"/>
            <w:gridSpan w:val="2"/>
            <w:tcMar>
              <w:left w:w="28" w:type="dxa"/>
              <w:right w:w="28" w:type="dxa"/>
            </w:tcMar>
          </w:tcPr>
          <w:p w14:paraId="5D29027D"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115-29-7</w:t>
            </w:r>
          </w:p>
        </w:tc>
        <w:tc>
          <w:tcPr>
            <w:tcW w:w="1134" w:type="dxa"/>
          </w:tcPr>
          <w:p w14:paraId="0951553F"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204-079-4</w:t>
            </w:r>
          </w:p>
        </w:tc>
        <w:tc>
          <w:tcPr>
            <w:tcW w:w="1279" w:type="dxa"/>
            <w:gridSpan w:val="2"/>
            <w:tcMar>
              <w:left w:w="28" w:type="dxa"/>
              <w:right w:w="28" w:type="dxa"/>
            </w:tcMar>
          </w:tcPr>
          <w:p w14:paraId="10401194"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0,005</w:t>
            </w:r>
          </w:p>
        </w:tc>
        <w:tc>
          <w:tcPr>
            <w:tcW w:w="1279" w:type="dxa"/>
            <w:gridSpan w:val="2"/>
            <w:tcMar>
              <w:left w:w="28" w:type="dxa"/>
              <w:right w:w="28" w:type="dxa"/>
            </w:tcMar>
          </w:tcPr>
          <w:p w14:paraId="04EF1D61"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0,0005</w:t>
            </w:r>
          </w:p>
        </w:tc>
        <w:tc>
          <w:tcPr>
            <w:tcW w:w="1278" w:type="dxa"/>
            <w:gridSpan w:val="2"/>
            <w:tcMar>
              <w:left w:w="28" w:type="dxa"/>
              <w:right w:w="28" w:type="dxa"/>
            </w:tcMar>
          </w:tcPr>
          <w:p w14:paraId="6446D812"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0,01</w:t>
            </w:r>
          </w:p>
        </w:tc>
        <w:tc>
          <w:tcPr>
            <w:tcW w:w="1277" w:type="dxa"/>
            <w:gridSpan w:val="2"/>
            <w:tcMar>
              <w:left w:w="28" w:type="dxa"/>
              <w:right w:w="28" w:type="dxa"/>
            </w:tcMar>
          </w:tcPr>
          <w:p w14:paraId="0CDC0F79"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0,004</w:t>
            </w:r>
          </w:p>
        </w:tc>
        <w:tc>
          <w:tcPr>
            <w:tcW w:w="1136" w:type="dxa"/>
            <w:gridSpan w:val="2"/>
            <w:tcMar>
              <w:left w:w="28" w:type="dxa"/>
              <w:right w:w="28" w:type="dxa"/>
            </w:tcMar>
          </w:tcPr>
          <w:p w14:paraId="714A3BC4" w14:textId="77777777" w:rsidR="004C1CED" w:rsidRPr="00434E9D" w:rsidRDefault="004C1CED" w:rsidP="004C1CED">
            <w:pPr>
              <w:widowControl/>
              <w:spacing w:before="40" w:after="40"/>
              <w:rPr>
                <w:rFonts w:eastAsia="Calibri"/>
                <w:noProof/>
                <w:sz w:val="22"/>
                <w:szCs w:val="22"/>
                <w:lang w:eastAsia="en-US"/>
              </w:rPr>
            </w:pPr>
          </w:p>
        </w:tc>
        <w:tc>
          <w:tcPr>
            <w:tcW w:w="1262" w:type="dxa"/>
            <w:gridSpan w:val="2"/>
            <w:tcMar>
              <w:left w:w="28" w:type="dxa"/>
              <w:right w:w="28" w:type="dxa"/>
            </w:tcMar>
          </w:tcPr>
          <w:p w14:paraId="47E3D1DA"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X</w:t>
            </w:r>
          </w:p>
        </w:tc>
        <w:tc>
          <w:tcPr>
            <w:tcW w:w="1153" w:type="dxa"/>
            <w:gridSpan w:val="2"/>
            <w:tcMar>
              <w:left w:w="28" w:type="dxa"/>
              <w:right w:w="28" w:type="dxa"/>
            </w:tcMar>
          </w:tcPr>
          <w:p w14:paraId="09F67795" w14:textId="77777777" w:rsidR="004C1CED" w:rsidRPr="00434E9D" w:rsidRDefault="004C1CED" w:rsidP="004C1CED">
            <w:pPr>
              <w:widowControl/>
              <w:spacing w:before="40" w:after="40"/>
              <w:rPr>
                <w:rFonts w:eastAsia="Calibri"/>
                <w:noProof/>
                <w:sz w:val="22"/>
                <w:szCs w:val="22"/>
                <w:lang w:eastAsia="en-US"/>
              </w:rPr>
            </w:pPr>
          </w:p>
        </w:tc>
        <w:tc>
          <w:tcPr>
            <w:tcW w:w="970" w:type="dxa"/>
            <w:tcMar>
              <w:left w:w="28" w:type="dxa"/>
              <w:right w:w="28" w:type="dxa"/>
            </w:tcMar>
          </w:tcPr>
          <w:p w14:paraId="4F564B5F" w14:textId="77777777" w:rsidR="004C1CED" w:rsidRPr="00434E9D" w:rsidRDefault="004C1CED" w:rsidP="004C1CED">
            <w:pPr>
              <w:widowControl/>
              <w:spacing w:before="40" w:after="40"/>
              <w:rPr>
                <w:rFonts w:eastAsia="Calibri"/>
                <w:noProof/>
                <w:sz w:val="22"/>
                <w:szCs w:val="22"/>
                <w:lang w:eastAsia="en-US"/>
              </w:rPr>
            </w:pPr>
          </w:p>
        </w:tc>
      </w:tr>
      <w:tr w:rsidR="004C1CED" w:rsidRPr="00434E9D" w14:paraId="444C6A06" w14:textId="77777777" w:rsidTr="00B12A07">
        <w:trPr>
          <w:gridBefore w:val="1"/>
          <w:wBefore w:w="17" w:type="dxa"/>
          <w:cantSplit/>
          <w:tblHeader/>
          <w:jc w:val="center"/>
        </w:trPr>
        <w:tc>
          <w:tcPr>
            <w:tcW w:w="651" w:type="dxa"/>
            <w:gridSpan w:val="3"/>
            <w:tcMar>
              <w:left w:w="28" w:type="dxa"/>
              <w:right w:w="28" w:type="dxa"/>
            </w:tcMar>
          </w:tcPr>
          <w:p w14:paraId="6E8EACC7" w14:textId="77777777" w:rsidR="004C1CED" w:rsidRPr="00434E9D" w:rsidRDefault="004C1CED" w:rsidP="004C1CED">
            <w:pPr>
              <w:widowControl/>
              <w:spacing w:before="40" w:after="40"/>
              <w:jc w:val="both"/>
              <w:rPr>
                <w:rFonts w:eastAsia="Calibri"/>
                <w:noProof/>
                <w:sz w:val="22"/>
                <w:szCs w:val="22"/>
                <w:lang w:eastAsia="en-US"/>
              </w:rPr>
            </w:pPr>
            <w:r w:rsidRPr="00434E9D">
              <w:rPr>
                <w:rFonts w:eastAsia="Calibri"/>
                <w:noProof/>
                <w:sz w:val="22"/>
                <w:szCs w:val="22"/>
                <w:lang w:eastAsia="en-US"/>
              </w:rPr>
              <w:t>(15)</w:t>
            </w:r>
          </w:p>
        </w:tc>
        <w:tc>
          <w:tcPr>
            <w:tcW w:w="2286" w:type="dxa"/>
            <w:gridSpan w:val="3"/>
            <w:tcMar>
              <w:left w:w="28" w:type="dxa"/>
              <w:right w:w="28" w:type="dxa"/>
            </w:tcMar>
          </w:tcPr>
          <w:p w14:paraId="72874859"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Fluoranthène</w:t>
            </w:r>
          </w:p>
        </w:tc>
        <w:tc>
          <w:tcPr>
            <w:tcW w:w="1329" w:type="dxa"/>
            <w:gridSpan w:val="3"/>
            <w:tcMar>
              <w:left w:w="28" w:type="dxa"/>
              <w:right w:w="28" w:type="dxa"/>
            </w:tcMar>
          </w:tcPr>
          <w:p w14:paraId="4AEF7A7D"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 xml:space="preserve">Substances industrielles </w:t>
            </w:r>
          </w:p>
        </w:tc>
        <w:tc>
          <w:tcPr>
            <w:tcW w:w="992" w:type="dxa"/>
            <w:gridSpan w:val="2"/>
            <w:tcMar>
              <w:left w:w="28" w:type="dxa"/>
              <w:right w:w="28" w:type="dxa"/>
            </w:tcMar>
          </w:tcPr>
          <w:p w14:paraId="603AE680"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206-44-0</w:t>
            </w:r>
          </w:p>
        </w:tc>
        <w:tc>
          <w:tcPr>
            <w:tcW w:w="1134" w:type="dxa"/>
          </w:tcPr>
          <w:p w14:paraId="4EA99537" w14:textId="77777777" w:rsidR="004C1CED" w:rsidRPr="00434E9D" w:rsidRDefault="004C1CED" w:rsidP="004C1CED">
            <w:pPr>
              <w:widowControl/>
              <w:spacing w:before="40" w:after="40"/>
              <w:rPr>
                <w:rFonts w:eastAsia="Calibri"/>
                <w:strike/>
                <w:noProof/>
                <w:sz w:val="22"/>
                <w:szCs w:val="22"/>
                <w:lang w:eastAsia="en-US"/>
              </w:rPr>
            </w:pPr>
            <w:r w:rsidRPr="00434E9D">
              <w:rPr>
                <w:rFonts w:eastAsia="Calibri"/>
                <w:noProof/>
                <w:sz w:val="22"/>
                <w:szCs w:val="22"/>
                <w:lang w:eastAsia="en-US"/>
              </w:rPr>
              <w:t>205-912-4</w:t>
            </w:r>
          </w:p>
        </w:tc>
        <w:tc>
          <w:tcPr>
            <w:tcW w:w="1279" w:type="dxa"/>
            <w:gridSpan w:val="2"/>
            <w:tcMar>
              <w:left w:w="28" w:type="dxa"/>
              <w:right w:w="28" w:type="dxa"/>
            </w:tcMar>
          </w:tcPr>
          <w:p w14:paraId="5ACE3B37"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7,62 × 10</w:t>
            </w:r>
            <w:r w:rsidRPr="00434E9D">
              <w:rPr>
                <w:rFonts w:eastAsia="Calibri"/>
                <w:noProof/>
                <w:sz w:val="22"/>
                <w:szCs w:val="22"/>
                <w:vertAlign w:val="superscript"/>
                <w:lang w:eastAsia="en-US"/>
              </w:rPr>
              <w:t>-4</w:t>
            </w:r>
          </w:p>
        </w:tc>
        <w:tc>
          <w:tcPr>
            <w:tcW w:w="1279" w:type="dxa"/>
            <w:gridSpan w:val="2"/>
            <w:tcMar>
              <w:left w:w="28" w:type="dxa"/>
              <w:right w:w="28" w:type="dxa"/>
            </w:tcMar>
          </w:tcPr>
          <w:p w14:paraId="34C29DD3"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7,62 × 10</w:t>
            </w:r>
            <w:r w:rsidRPr="00434E9D">
              <w:rPr>
                <w:rFonts w:eastAsia="Calibri"/>
                <w:noProof/>
                <w:sz w:val="22"/>
                <w:szCs w:val="22"/>
                <w:vertAlign w:val="superscript"/>
                <w:lang w:eastAsia="en-US"/>
              </w:rPr>
              <w:t>-4</w:t>
            </w:r>
          </w:p>
        </w:tc>
        <w:tc>
          <w:tcPr>
            <w:tcW w:w="1278" w:type="dxa"/>
            <w:gridSpan w:val="2"/>
            <w:tcMar>
              <w:left w:w="28" w:type="dxa"/>
              <w:right w:w="28" w:type="dxa"/>
            </w:tcMar>
          </w:tcPr>
          <w:p w14:paraId="292D7042"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0,12</w:t>
            </w:r>
          </w:p>
        </w:tc>
        <w:tc>
          <w:tcPr>
            <w:tcW w:w="1277" w:type="dxa"/>
            <w:gridSpan w:val="2"/>
            <w:tcMar>
              <w:left w:w="28" w:type="dxa"/>
              <w:right w:w="28" w:type="dxa"/>
            </w:tcMar>
          </w:tcPr>
          <w:p w14:paraId="4F386E31"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0,012</w:t>
            </w:r>
          </w:p>
        </w:tc>
        <w:tc>
          <w:tcPr>
            <w:tcW w:w="1136" w:type="dxa"/>
            <w:gridSpan w:val="2"/>
            <w:tcMar>
              <w:left w:w="28" w:type="dxa"/>
              <w:right w:w="28" w:type="dxa"/>
            </w:tcMar>
          </w:tcPr>
          <w:p w14:paraId="42E81BF3"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6,1</w:t>
            </w:r>
          </w:p>
        </w:tc>
        <w:tc>
          <w:tcPr>
            <w:tcW w:w="1262" w:type="dxa"/>
            <w:gridSpan w:val="2"/>
            <w:tcMar>
              <w:left w:w="28" w:type="dxa"/>
              <w:right w:w="28" w:type="dxa"/>
            </w:tcMar>
          </w:tcPr>
          <w:p w14:paraId="5D85246C" w14:textId="77777777" w:rsidR="004C1CED" w:rsidRPr="00434E9D" w:rsidRDefault="004C1CED" w:rsidP="004C1CED">
            <w:pPr>
              <w:widowControl/>
              <w:spacing w:before="40" w:after="40"/>
              <w:rPr>
                <w:rFonts w:eastAsia="Calibri"/>
                <w:strike/>
                <w:noProof/>
                <w:sz w:val="22"/>
                <w:szCs w:val="22"/>
                <w:lang w:eastAsia="en-US"/>
              </w:rPr>
            </w:pPr>
            <w:r w:rsidRPr="00434E9D">
              <w:rPr>
                <w:rFonts w:eastAsia="Calibri"/>
                <w:noProof/>
                <w:sz w:val="22"/>
                <w:szCs w:val="22"/>
                <w:lang w:eastAsia="en-US"/>
              </w:rPr>
              <w:t>X</w:t>
            </w:r>
          </w:p>
        </w:tc>
        <w:tc>
          <w:tcPr>
            <w:tcW w:w="1153" w:type="dxa"/>
            <w:gridSpan w:val="2"/>
            <w:tcMar>
              <w:left w:w="28" w:type="dxa"/>
              <w:right w:w="28" w:type="dxa"/>
            </w:tcMar>
          </w:tcPr>
          <w:p w14:paraId="57D339B2"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X</w:t>
            </w:r>
          </w:p>
        </w:tc>
        <w:tc>
          <w:tcPr>
            <w:tcW w:w="970" w:type="dxa"/>
            <w:tcMar>
              <w:left w:w="28" w:type="dxa"/>
              <w:right w:w="28" w:type="dxa"/>
            </w:tcMar>
          </w:tcPr>
          <w:p w14:paraId="5D59422C"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X</w:t>
            </w:r>
          </w:p>
        </w:tc>
      </w:tr>
      <w:tr w:rsidR="004C1CED" w:rsidRPr="00434E9D" w14:paraId="4447A228" w14:textId="77777777" w:rsidTr="00B12A07">
        <w:trPr>
          <w:gridBefore w:val="1"/>
          <w:wBefore w:w="17" w:type="dxa"/>
          <w:cantSplit/>
          <w:tblHeader/>
          <w:jc w:val="center"/>
        </w:trPr>
        <w:tc>
          <w:tcPr>
            <w:tcW w:w="651" w:type="dxa"/>
            <w:gridSpan w:val="3"/>
            <w:tcMar>
              <w:left w:w="28" w:type="dxa"/>
              <w:right w:w="28" w:type="dxa"/>
            </w:tcMar>
          </w:tcPr>
          <w:p w14:paraId="428C526E" w14:textId="77777777" w:rsidR="004C1CED" w:rsidRPr="00434E9D" w:rsidRDefault="004C1CED" w:rsidP="004C1CED">
            <w:pPr>
              <w:widowControl/>
              <w:spacing w:before="40" w:after="40"/>
              <w:jc w:val="both"/>
              <w:rPr>
                <w:rFonts w:eastAsia="Calibri"/>
                <w:noProof/>
                <w:sz w:val="22"/>
                <w:szCs w:val="22"/>
                <w:lang w:eastAsia="en-US"/>
              </w:rPr>
            </w:pPr>
            <w:r w:rsidRPr="00434E9D">
              <w:rPr>
                <w:rFonts w:eastAsia="Calibri"/>
                <w:noProof/>
                <w:sz w:val="22"/>
                <w:szCs w:val="22"/>
                <w:lang w:eastAsia="en-US"/>
              </w:rPr>
              <w:t>(16)</w:t>
            </w:r>
          </w:p>
        </w:tc>
        <w:tc>
          <w:tcPr>
            <w:tcW w:w="2286" w:type="dxa"/>
            <w:gridSpan w:val="3"/>
            <w:tcMar>
              <w:left w:w="28" w:type="dxa"/>
              <w:right w:w="28" w:type="dxa"/>
            </w:tcMar>
          </w:tcPr>
          <w:p w14:paraId="1C430F2B"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Hexachlorobenzène</w:t>
            </w:r>
          </w:p>
        </w:tc>
        <w:tc>
          <w:tcPr>
            <w:tcW w:w="1329" w:type="dxa"/>
            <w:gridSpan w:val="3"/>
            <w:tcMar>
              <w:left w:w="28" w:type="dxa"/>
              <w:right w:w="28" w:type="dxa"/>
            </w:tcMar>
          </w:tcPr>
          <w:p w14:paraId="53A9A9DB"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Pesticides organochlorés</w:t>
            </w:r>
          </w:p>
        </w:tc>
        <w:tc>
          <w:tcPr>
            <w:tcW w:w="992" w:type="dxa"/>
            <w:gridSpan w:val="2"/>
            <w:tcMar>
              <w:left w:w="28" w:type="dxa"/>
              <w:right w:w="28" w:type="dxa"/>
            </w:tcMar>
          </w:tcPr>
          <w:p w14:paraId="2EE60A1B"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118-74-1</w:t>
            </w:r>
          </w:p>
        </w:tc>
        <w:tc>
          <w:tcPr>
            <w:tcW w:w="1134" w:type="dxa"/>
          </w:tcPr>
          <w:p w14:paraId="4A1E7597"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204-273-9</w:t>
            </w:r>
          </w:p>
        </w:tc>
        <w:tc>
          <w:tcPr>
            <w:tcW w:w="1279" w:type="dxa"/>
            <w:gridSpan w:val="2"/>
            <w:tcMar>
              <w:left w:w="28" w:type="dxa"/>
              <w:right w:w="28" w:type="dxa"/>
            </w:tcMar>
          </w:tcPr>
          <w:p w14:paraId="0D91FC26" w14:textId="77777777" w:rsidR="004C1CED" w:rsidRPr="00434E9D" w:rsidRDefault="004C1CED" w:rsidP="004C1CED">
            <w:pPr>
              <w:widowControl/>
              <w:spacing w:before="40" w:after="40"/>
              <w:rPr>
                <w:rFonts w:eastAsia="Calibri"/>
                <w:noProof/>
                <w:sz w:val="22"/>
                <w:szCs w:val="22"/>
                <w:lang w:eastAsia="en-US"/>
              </w:rPr>
            </w:pPr>
          </w:p>
        </w:tc>
        <w:tc>
          <w:tcPr>
            <w:tcW w:w="1279" w:type="dxa"/>
            <w:gridSpan w:val="2"/>
            <w:tcMar>
              <w:left w:w="28" w:type="dxa"/>
              <w:right w:w="28" w:type="dxa"/>
            </w:tcMar>
          </w:tcPr>
          <w:p w14:paraId="3482EC90" w14:textId="77777777" w:rsidR="004C1CED" w:rsidRPr="00434E9D" w:rsidRDefault="004C1CED" w:rsidP="004C1CED">
            <w:pPr>
              <w:widowControl/>
              <w:spacing w:before="40" w:after="40"/>
              <w:rPr>
                <w:rFonts w:eastAsia="Calibri"/>
                <w:noProof/>
                <w:sz w:val="22"/>
                <w:szCs w:val="22"/>
                <w:lang w:eastAsia="en-US"/>
              </w:rPr>
            </w:pPr>
          </w:p>
        </w:tc>
        <w:tc>
          <w:tcPr>
            <w:tcW w:w="1278" w:type="dxa"/>
            <w:gridSpan w:val="2"/>
            <w:tcMar>
              <w:left w:w="28" w:type="dxa"/>
              <w:right w:w="28" w:type="dxa"/>
            </w:tcMar>
          </w:tcPr>
          <w:p w14:paraId="1DBA10FA"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0,5</w:t>
            </w:r>
          </w:p>
        </w:tc>
        <w:tc>
          <w:tcPr>
            <w:tcW w:w="1277" w:type="dxa"/>
            <w:gridSpan w:val="2"/>
            <w:tcMar>
              <w:left w:w="28" w:type="dxa"/>
              <w:right w:w="28" w:type="dxa"/>
            </w:tcMar>
          </w:tcPr>
          <w:p w14:paraId="062A174C"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0,05</w:t>
            </w:r>
          </w:p>
        </w:tc>
        <w:tc>
          <w:tcPr>
            <w:tcW w:w="1136" w:type="dxa"/>
            <w:gridSpan w:val="2"/>
            <w:tcMar>
              <w:left w:w="28" w:type="dxa"/>
              <w:right w:w="28" w:type="dxa"/>
            </w:tcMar>
          </w:tcPr>
          <w:p w14:paraId="17CC753C"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20</w:t>
            </w:r>
          </w:p>
        </w:tc>
        <w:tc>
          <w:tcPr>
            <w:tcW w:w="1262" w:type="dxa"/>
            <w:gridSpan w:val="2"/>
            <w:tcMar>
              <w:left w:w="28" w:type="dxa"/>
              <w:right w:w="28" w:type="dxa"/>
            </w:tcMar>
          </w:tcPr>
          <w:p w14:paraId="19BA423C"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X</w:t>
            </w:r>
          </w:p>
        </w:tc>
        <w:tc>
          <w:tcPr>
            <w:tcW w:w="1153" w:type="dxa"/>
            <w:gridSpan w:val="2"/>
            <w:tcMar>
              <w:left w:w="28" w:type="dxa"/>
              <w:right w:w="28" w:type="dxa"/>
            </w:tcMar>
          </w:tcPr>
          <w:p w14:paraId="198BBD8F" w14:textId="77777777" w:rsidR="004C1CED" w:rsidRPr="00434E9D" w:rsidRDefault="004C1CED" w:rsidP="004C1CED">
            <w:pPr>
              <w:widowControl/>
              <w:spacing w:before="40" w:after="40"/>
              <w:rPr>
                <w:rFonts w:eastAsia="Calibri"/>
                <w:noProof/>
                <w:sz w:val="22"/>
                <w:szCs w:val="22"/>
                <w:lang w:eastAsia="en-US"/>
              </w:rPr>
            </w:pPr>
          </w:p>
        </w:tc>
        <w:tc>
          <w:tcPr>
            <w:tcW w:w="970" w:type="dxa"/>
            <w:tcMar>
              <w:left w:w="28" w:type="dxa"/>
              <w:right w:w="28" w:type="dxa"/>
            </w:tcMar>
          </w:tcPr>
          <w:p w14:paraId="20F3CE8C"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X</w:t>
            </w:r>
          </w:p>
        </w:tc>
      </w:tr>
      <w:tr w:rsidR="004C1CED" w:rsidRPr="00434E9D" w14:paraId="0094A0C8" w14:textId="77777777" w:rsidTr="00B12A07">
        <w:trPr>
          <w:gridBefore w:val="1"/>
          <w:wBefore w:w="17" w:type="dxa"/>
          <w:cantSplit/>
          <w:tblHeader/>
          <w:jc w:val="center"/>
        </w:trPr>
        <w:tc>
          <w:tcPr>
            <w:tcW w:w="651" w:type="dxa"/>
            <w:gridSpan w:val="3"/>
            <w:tcMar>
              <w:left w:w="28" w:type="dxa"/>
              <w:right w:w="28" w:type="dxa"/>
            </w:tcMar>
          </w:tcPr>
          <w:p w14:paraId="0B24B572" w14:textId="77777777" w:rsidR="004C1CED" w:rsidRPr="00434E9D" w:rsidRDefault="004C1CED" w:rsidP="004C1CED">
            <w:pPr>
              <w:widowControl/>
              <w:spacing w:before="40" w:after="40"/>
              <w:jc w:val="both"/>
              <w:rPr>
                <w:rFonts w:eastAsia="Calibri"/>
                <w:noProof/>
                <w:sz w:val="22"/>
                <w:szCs w:val="22"/>
                <w:lang w:eastAsia="en-US"/>
              </w:rPr>
            </w:pPr>
            <w:r w:rsidRPr="00434E9D">
              <w:rPr>
                <w:rFonts w:eastAsia="Calibri"/>
                <w:noProof/>
                <w:sz w:val="22"/>
                <w:szCs w:val="22"/>
                <w:lang w:eastAsia="en-US"/>
              </w:rPr>
              <w:t>(17)</w:t>
            </w:r>
          </w:p>
        </w:tc>
        <w:tc>
          <w:tcPr>
            <w:tcW w:w="2286" w:type="dxa"/>
            <w:gridSpan w:val="3"/>
            <w:tcMar>
              <w:left w:w="28" w:type="dxa"/>
              <w:right w:w="28" w:type="dxa"/>
            </w:tcMar>
          </w:tcPr>
          <w:p w14:paraId="1A5192E2"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Hexachlorobutadiène</w:t>
            </w:r>
          </w:p>
        </w:tc>
        <w:tc>
          <w:tcPr>
            <w:tcW w:w="1329" w:type="dxa"/>
            <w:gridSpan w:val="3"/>
            <w:tcMar>
              <w:left w:w="28" w:type="dxa"/>
              <w:right w:w="28" w:type="dxa"/>
            </w:tcMar>
          </w:tcPr>
          <w:p w14:paraId="467CB1FB"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Substances industrielles (solvants)</w:t>
            </w:r>
          </w:p>
        </w:tc>
        <w:tc>
          <w:tcPr>
            <w:tcW w:w="992" w:type="dxa"/>
            <w:gridSpan w:val="2"/>
            <w:tcMar>
              <w:left w:w="28" w:type="dxa"/>
              <w:right w:w="28" w:type="dxa"/>
            </w:tcMar>
          </w:tcPr>
          <w:p w14:paraId="38C4C7C5"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87-68-3</w:t>
            </w:r>
          </w:p>
        </w:tc>
        <w:tc>
          <w:tcPr>
            <w:tcW w:w="1134" w:type="dxa"/>
          </w:tcPr>
          <w:p w14:paraId="7030A562"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201-765-5</w:t>
            </w:r>
          </w:p>
        </w:tc>
        <w:tc>
          <w:tcPr>
            <w:tcW w:w="1279" w:type="dxa"/>
            <w:gridSpan w:val="2"/>
            <w:tcMar>
              <w:left w:w="28" w:type="dxa"/>
              <w:right w:w="28" w:type="dxa"/>
            </w:tcMar>
          </w:tcPr>
          <w:p w14:paraId="1545921F"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9 × 10</w:t>
            </w:r>
            <w:r w:rsidRPr="00434E9D">
              <w:rPr>
                <w:rFonts w:eastAsia="Calibri"/>
                <w:noProof/>
                <w:sz w:val="22"/>
                <w:szCs w:val="22"/>
                <w:vertAlign w:val="superscript"/>
                <w:lang w:eastAsia="en-US"/>
              </w:rPr>
              <w:t>-4</w:t>
            </w:r>
          </w:p>
        </w:tc>
        <w:tc>
          <w:tcPr>
            <w:tcW w:w="1279" w:type="dxa"/>
            <w:gridSpan w:val="2"/>
            <w:tcMar>
              <w:left w:w="28" w:type="dxa"/>
              <w:right w:w="28" w:type="dxa"/>
            </w:tcMar>
          </w:tcPr>
          <w:p w14:paraId="290369EF" w14:textId="77777777" w:rsidR="004C1CED" w:rsidRPr="00434E9D" w:rsidRDefault="004C1CED" w:rsidP="004C1CED">
            <w:pPr>
              <w:widowControl/>
              <w:spacing w:before="40" w:after="40"/>
              <w:rPr>
                <w:rFonts w:eastAsia="Calibri"/>
                <w:noProof/>
                <w:sz w:val="22"/>
                <w:szCs w:val="22"/>
                <w:lang w:eastAsia="en-US"/>
              </w:rPr>
            </w:pPr>
          </w:p>
        </w:tc>
        <w:tc>
          <w:tcPr>
            <w:tcW w:w="1278" w:type="dxa"/>
            <w:gridSpan w:val="2"/>
            <w:tcMar>
              <w:left w:w="28" w:type="dxa"/>
              <w:right w:w="28" w:type="dxa"/>
            </w:tcMar>
          </w:tcPr>
          <w:p w14:paraId="0303B1EC"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0,6</w:t>
            </w:r>
          </w:p>
        </w:tc>
        <w:tc>
          <w:tcPr>
            <w:tcW w:w="1277" w:type="dxa"/>
            <w:gridSpan w:val="2"/>
            <w:tcMar>
              <w:left w:w="28" w:type="dxa"/>
              <w:right w:w="28" w:type="dxa"/>
            </w:tcMar>
          </w:tcPr>
          <w:p w14:paraId="3FCD51C6"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0,6</w:t>
            </w:r>
          </w:p>
        </w:tc>
        <w:tc>
          <w:tcPr>
            <w:tcW w:w="1136" w:type="dxa"/>
            <w:gridSpan w:val="2"/>
            <w:tcMar>
              <w:left w:w="28" w:type="dxa"/>
              <w:right w:w="28" w:type="dxa"/>
            </w:tcMar>
          </w:tcPr>
          <w:p w14:paraId="42C6E4C2"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21</w:t>
            </w:r>
          </w:p>
        </w:tc>
        <w:tc>
          <w:tcPr>
            <w:tcW w:w="1262" w:type="dxa"/>
            <w:gridSpan w:val="2"/>
            <w:tcMar>
              <w:left w:w="28" w:type="dxa"/>
              <w:right w:w="28" w:type="dxa"/>
            </w:tcMar>
          </w:tcPr>
          <w:p w14:paraId="6342D06C"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X</w:t>
            </w:r>
          </w:p>
        </w:tc>
        <w:tc>
          <w:tcPr>
            <w:tcW w:w="1153" w:type="dxa"/>
            <w:gridSpan w:val="2"/>
            <w:tcMar>
              <w:left w:w="28" w:type="dxa"/>
              <w:right w:w="28" w:type="dxa"/>
            </w:tcMar>
          </w:tcPr>
          <w:p w14:paraId="1542B94C" w14:textId="77777777" w:rsidR="004C1CED" w:rsidRPr="00434E9D" w:rsidRDefault="004C1CED" w:rsidP="004C1CED">
            <w:pPr>
              <w:widowControl/>
              <w:spacing w:before="40" w:after="40"/>
              <w:rPr>
                <w:rFonts w:eastAsia="Calibri"/>
                <w:noProof/>
                <w:sz w:val="22"/>
                <w:szCs w:val="22"/>
                <w:lang w:eastAsia="en-US"/>
              </w:rPr>
            </w:pPr>
          </w:p>
        </w:tc>
        <w:tc>
          <w:tcPr>
            <w:tcW w:w="970" w:type="dxa"/>
            <w:tcMar>
              <w:left w:w="28" w:type="dxa"/>
              <w:right w:w="28" w:type="dxa"/>
            </w:tcMar>
          </w:tcPr>
          <w:p w14:paraId="3BCB47F7"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X</w:t>
            </w:r>
          </w:p>
        </w:tc>
      </w:tr>
      <w:tr w:rsidR="004C1CED" w:rsidRPr="00434E9D" w14:paraId="05F1D8A6" w14:textId="77777777" w:rsidTr="00B12A07">
        <w:trPr>
          <w:gridBefore w:val="1"/>
          <w:wBefore w:w="17" w:type="dxa"/>
          <w:cantSplit/>
          <w:tblHeader/>
          <w:jc w:val="center"/>
        </w:trPr>
        <w:tc>
          <w:tcPr>
            <w:tcW w:w="651" w:type="dxa"/>
            <w:gridSpan w:val="3"/>
            <w:tcMar>
              <w:left w:w="28" w:type="dxa"/>
              <w:right w:w="28" w:type="dxa"/>
            </w:tcMar>
          </w:tcPr>
          <w:p w14:paraId="60E8C829" w14:textId="77777777" w:rsidR="004C1CED" w:rsidRPr="00434E9D" w:rsidRDefault="004C1CED" w:rsidP="004C1CED">
            <w:pPr>
              <w:widowControl/>
              <w:spacing w:before="40" w:after="40"/>
              <w:jc w:val="both"/>
              <w:rPr>
                <w:rFonts w:eastAsia="Calibri"/>
                <w:noProof/>
                <w:sz w:val="22"/>
                <w:szCs w:val="22"/>
                <w:lang w:eastAsia="en-US"/>
              </w:rPr>
            </w:pPr>
            <w:r w:rsidRPr="00434E9D">
              <w:rPr>
                <w:rFonts w:eastAsia="Calibri"/>
                <w:noProof/>
                <w:sz w:val="22"/>
                <w:szCs w:val="22"/>
                <w:lang w:eastAsia="en-US"/>
              </w:rPr>
              <w:t>(18)</w:t>
            </w:r>
          </w:p>
        </w:tc>
        <w:tc>
          <w:tcPr>
            <w:tcW w:w="2286" w:type="dxa"/>
            <w:gridSpan w:val="3"/>
            <w:tcMar>
              <w:left w:w="28" w:type="dxa"/>
              <w:right w:w="28" w:type="dxa"/>
            </w:tcMar>
          </w:tcPr>
          <w:p w14:paraId="5D53ACE1"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Hexachlorocyclohexane</w:t>
            </w:r>
          </w:p>
        </w:tc>
        <w:tc>
          <w:tcPr>
            <w:tcW w:w="1329" w:type="dxa"/>
            <w:gridSpan w:val="3"/>
            <w:tcMar>
              <w:left w:w="28" w:type="dxa"/>
              <w:right w:w="28" w:type="dxa"/>
            </w:tcMar>
          </w:tcPr>
          <w:p w14:paraId="6E1C0CD3"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Insecticides</w:t>
            </w:r>
          </w:p>
        </w:tc>
        <w:tc>
          <w:tcPr>
            <w:tcW w:w="992" w:type="dxa"/>
            <w:gridSpan w:val="2"/>
            <w:tcMar>
              <w:left w:w="28" w:type="dxa"/>
              <w:right w:w="28" w:type="dxa"/>
            </w:tcMar>
          </w:tcPr>
          <w:p w14:paraId="4524F9BB"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608-73-1</w:t>
            </w:r>
          </w:p>
        </w:tc>
        <w:tc>
          <w:tcPr>
            <w:tcW w:w="1134" w:type="dxa"/>
          </w:tcPr>
          <w:p w14:paraId="368D572C"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210-168-9</w:t>
            </w:r>
          </w:p>
        </w:tc>
        <w:tc>
          <w:tcPr>
            <w:tcW w:w="1279" w:type="dxa"/>
            <w:gridSpan w:val="2"/>
            <w:tcMar>
              <w:left w:w="28" w:type="dxa"/>
              <w:right w:w="28" w:type="dxa"/>
            </w:tcMar>
          </w:tcPr>
          <w:p w14:paraId="6755FD76"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0,02</w:t>
            </w:r>
          </w:p>
        </w:tc>
        <w:tc>
          <w:tcPr>
            <w:tcW w:w="1279" w:type="dxa"/>
            <w:gridSpan w:val="2"/>
            <w:tcMar>
              <w:left w:w="28" w:type="dxa"/>
              <w:right w:w="28" w:type="dxa"/>
            </w:tcMar>
          </w:tcPr>
          <w:p w14:paraId="68E986D5"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0,002</w:t>
            </w:r>
          </w:p>
        </w:tc>
        <w:tc>
          <w:tcPr>
            <w:tcW w:w="1278" w:type="dxa"/>
            <w:gridSpan w:val="2"/>
            <w:tcMar>
              <w:left w:w="28" w:type="dxa"/>
              <w:right w:w="28" w:type="dxa"/>
            </w:tcMar>
          </w:tcPr>
          <w:p w14:paraId="61E699F4"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0,04</w:t>
            </w:r>
          </w:p>
        </w:tc>
        <w:tc>
          <w:tcPr>
            <w:tcW w:w="1277" w:type="dxa"/>
            <w:gridSpan w:val="2"/>
            <w:tcMar>
              <w:left w:w="28" w:type="dxa"/>
              <w:right w:w="28" w:type="dxa"/>
            </w:tcMar>
          </w:tcPr>
          <w:p w14:paraId="66AD1A27"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0,02</w:t>
            </w:r>
          </w:p>
        </w:tc>
        <w:tc>
          <w:tcPr>
            <w:tcW w:w="1136" w:type="dxa"/>
            <w:gridSpan w:val="2"/>
            <w:tcMar>
              <w:left w:w="28" w:type="dxa"/>
              <w:right w:w="28" w:type="dxa"/>
            </w:tcMar>
          </w:tcPr>
          <w:p w14:paraId="19D13551" w14:textId="77777777" w:rsidR="004C1CED" w:rsidRPr="00434E9D" w:rsidRDefault="004C1CED" w:rsidP="004C1CED">
            <w:pPr>
              <w:widowControl/>
              <w:spacing w:before="40" w:after="40"/>
              <w:rPr>
                <w:rFonts w:eastAsia="Calibri"/>
                <w:noProof/>
                <w:sz w:val="22"/>
                <w:szCs w:val="22"/>
                <w:lang w:eastAsia="en-US"/>
              </w:rPr>
            </w:pPr>
          </w:p>
        </w:tc>
        <w:tc>
          <w:tcPr>
            <w:tcW w:w="1262" w:type="dxa"/>
            <w:gridSpan w:val="2"/>
            <w:tcMar>
              <w:left w:w="28" w:type="dxa"/>
              <w:right w:w="28" w:type="dxa"/>
            </w:tcMar>
          </w:tcPr>
          <w:p w14:paraId="09F73487"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X</w:t>
            </w:r>
          </w:p>
        </w:tc>
        <w:tc>
          <w:tcPr>
            <w:tcW w:w="1153" w:type="dxa"/>
            <w:gridSpan w:val="2"/>
            <w:tcMar>
              <w:left w:w="28" w:type="dxa"/>
              <w:right w:w="28" w:type="dxa"/>
            </w:tcMar>
          </w:tcPr>
          <w:p w14:paraId="6BA6D92F" w14:textId="77777777" w:rsidR="004C1CED" w:rsidRPr="00434E9D" w:rsidRDefault="004C1CED" w:rsidP="004C1CED">
            <w:pPr>
              <w:widowControl/>
              <w:spacing w:before="40" w:after="40"/>
              <w:rPr>
                <w:rFonts w:eastAsia="Calibri"/>
                <w:noProof/>
                <w:sz w:val="22"/>
                <w:szCs w:val="22"/>
                <w:lang w:eastAsia="en-US"/>
              </w:rPr>
            </w:pPr>
          </w:p>
        </w:tc>
        <w:tc>
          <w:tcPr>
            <w:tcW w:w="970" w:type="dxa"/>
            <w:tcMar>
              <w:left w:w="28" w:type="dxa"/>
              <w:right w:w="28" w:type="dxa"/>
            </w:tcMar>
          </w:tcPr>
          <w:p w14:paraId="7AE6DE7A"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X</w:t>
            </w:r>
          </w:p>
        </w:tc>
      </w:tr>
      <w:tr w:rsidR="004C1CED" w:rsidRPr="00434E9D" w14:paraId="2D546879" w14:textId="77777777" w:rsidTr="00B12A07">
        <w:trPr>
          <w:gridBefore w:val="1"/>
          <w:wBefore w:w="17" w:type="dxa"/>
          <w:cantSplit/>
          <w:tblHeader/>
          <w:jc w:val="center"/>
        </w:trPr>
        <w:tc>
          <w:tcPr>
            <w:tcW w:w="651" w:type="dxa"/>
            <w:gridSpan w:val="3"/>
            <w:tcMar>
              <w:left w:w="28" w:type="dxa"/>
              <w:right w:w="28" w:type="dxa"/>
            </w:tcMar>
          </w:tcPr>
          <w:p w14:paraId="2A110231" w14:textId="77777777" w:rsidR="004C1CED" w:rsidRPr="00434E9D" w:rsidRDefault="004C1CED" w:rsidP="004C1CED">
            <w:pPr>
              <w:widowControl/>
              <w:spacing w:before="40" w:after="40"/>
              <w:jc w:val="both"/>
              <w:rPr>
                <w:rFonts w:eastAsia="Calibri"/>
                <w:noProof/>
                <w:sz w:val="22"/>
                <w:szCs w:val="22"/>
                <w:lang w:eastAsia="en-US"/>
              </w:rPr>
            </w:pPr>
            <w:r w:rsidRPr="00434E9D">
              <w:rPr>
                <w:rFonts w:eastAsia="Calibri"/>
                <w:noProof/>
                <w:sz w:val="22"/>
                <w:szCs w:val="22"/>
                <w:lang w:eastAsia="en-US"/>
              </w:rPr>
              <w:t>(19)</w:t>
            </w:r>
          </w:p>
        </w:tc>
        <w:tc>
          <w:tcPr>
            <w:tcW w:w="2286" w:type="dxa"/>
            <w:gridSpan w:val="3"/>
            <w:tcMar>
              <w:left w:w="28" w:type="dxa"/>
              <w:right w:w="28" w:type="dxa"/>
            </w:tcMar>
          </w:tcPr>
          <w:p w14:paraId="698DD9E1"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Isoproturon</w:t>
            </w:r>
          </w:p>
        </w:tc>
        <w:tc>
          <w:tcPr>
            <w:tcW w:w="1329" w:type="dxa"/>
            <w:gridSpan w:val="3"/>
            <w:tcMar>
              <w:left w:w="28" w:type="dxa"/>
              <w:right w:w="28" w:type="dxa"/>
            </w:tcMar>
          </w:tcPr>
          <w:p w14:paraId="01EC82E8"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Herbicides</w:t>
            </w:r>
          </w:p>
        </w:tc>
        <w:tc>
          <w:tcPr>
            <w:tcW w:w="992" w:type="dxa"/>
            <w:gridSpan w:val="2"/>
            <w:tcMar>
              <w:left w:w="28" w:type="dxa"/>
              <w:right w:w="28" w:type="dxa"/>
            </w:tcMar>
          </w:tcPr>
          <w:p w14:paraId="69669C8D"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34123-59-6</w:t>
            </w:r>
          </w:p>
        </w:tc>
        <w:tc>
          <w:tcPr>
            <w:tcW w:w="1134" w:type="dxa"/>
          </w:tcPr>
          <w:p w14:paraId="2090B5C1"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251-835-4</w:t>
            </w:r>
          </w:p>
        </w:tc>
        <w:tc>
          <w:tcPr>
            <w:tcW w:w="1279" w:type="dxa"/>
            <w:gridSpan w:val="2"/>
            <w:tcMar>
              <w:left w:w="28" w:type="dxa"/>
              <w:right w:w="28" w:type="dxa"/>
            </w:tcMar>
          </w:tcPr>
          <w:p w14:paraId="6A996023"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0,3</w:t>
            </w:r>
          </w:p>
        </w:tc>
        <w:tc>
          <w:tcPr>
            <w:tcW w:w="1279" w:type="dxa"/>
            <w:gridSpan w:val="2"/>
            <w:tcMar>
              <w:left w:w="28" w:type="dxa"/>
              <w:right w:w="28" w:type="dxa"/>
            </w:tcMar>
          </w:tcPr>
          <w:p w14:paraId="190A134E"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0,3</w:t>
            </w:r>
          </w:p>
        </w:tc>
        <w:tc>
          <w:tcPr>
            <w:tcW w:w="1278" w:type="dxa"/>
            <w:gridSpan w:val="2"/>
            <w:tcMar>
              <w:left w:w="28" w:type="dxa"/>
              <w:right w:w="28" w:type="dxa"/>
            </w:tcMar>
          </w:tcPr>
          <w:p w14:paraId="32936317"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1,0</w:t>
            </w:r>
          </w:p>
        </w:tc>
        <w:tc>
          <w:tcPr>
            <w:tcW w:w="1277" w:type="dxa"/>
            <w:gridSpan w:val="2"/>
            <w:tcMar>
              <w:left w:w="28" w:type="dxa"/>
              <w:right w:w="28" w:type="dxa"/>
            </w:tcMar>
          </w:tcPr>
          <w:p w14:paraId="5B4D3555"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1,0</w:t>
            </w:r>
          </w:p>
        </w:tc>
        <w:tc>
          <w:tcPr>
            <w:tcW w:w="1136" w:type="dxa"/>
            <w:gridSpan w:val="2"/>
            <w:tcMar>
              <w:left w:w="28" w:type="dxa"/>
              <w:right w:w="28" w:type="dxa"/>
            </w:tcMar>
          </w:tcPr>
          <w:p w14:paraId="3C03DEC3" w14:textId="77777777" w:rsidR="004C1CED" w:rsidRPr="00434E9D" w:rsidRDefault="004C1CED" w:rsidP="004C1CED">
            <w:pPr>
              <w:widowControl/>
              <w:spacing w:before="40" w:after="40"/>
              <w:rPr>
                <w:rFonts w:eastAsia="Calibri"/>
                <w:noProof/>
                <w:sz w:val="22"/>
                <w:szCs w:val="22"/>
                <w:lang w:eastAsia="en-US"/>
              </w:rPr>
            </w:pPr>
          </w:p>
        </w:tc>
        <w:tc>
          <w:tcPr>
            <w:tcW w:w="1262" w:type="dxa"/>
            <w:gridSpan w:val="2"/>
            <w:tcMar>
              <w:left w:w="28" w:type="dxa"/>
              <w:right w:w="28" w:type="dxa"/>
            </w:tcMar>
          </w:tcPr>
          <w:p w14:paraId="7B85B35B" w14:textId="77777777" w:rsidR="004C1CED" w:rsidRPr="00434E9D" w:rsidRDefault="004C1CED" w:rsidP="004C1CED">
            <w:pPr>
              <w:widowControl/>
              <w:spacing w:before="40" w:after="40"/>
              <w:rPr>
                <w:rFonts w:eastAsia="Calibri"/>
                <w:noProof/>
                <w:sz w:val="22"/>
                <w:szCs w:val="22"/>
                <w:lang w:eastAsia="en-US"/>
              </w:rPr>
            </w:pPr>
          </w:p>
        </w:tc>
        <w:tc>
          <w:tcPr>
            <w:tcW w:w="1153" w:type="dxa"/>
            <w:gridSpan w:val="2"/>
            <w:tcMar>
              <w:left w:w="28" w:type="dxa"/>
              <w:right w:w="28" w:type="dxa"/>
            </w:tcMar>
          </w:tcPr>
          <w:p w14:paraId="533EA610" w14:textId="77777777" w:rsidR="004C1CED" w:rsidRPr="00434E9D" w:rsidRDefault="004C1CED" w:rsidP="004C1CED">
            <w:pPr>
              <w:widowControl/>
              <w:spacing w:before="40" w:after="40"/>
              <w:rPr>
                <w:rFonts w:eastAsia="Calibri"/>
                <w:noProof/>
                <w:sz w:val="22"/>
                <w:szCs w:val="22"/>
                <w:lang w:eastAsia="en-US"/>
              </w:rPr>
            </w:pPr>
          </w:p>
        </w:tc>
        <w:tc>
          <w:tcPr>
            <w:tcW w:w="970" w:type="dxa"/>
            <w:tcMar>
              <w:left w:w="28" w:type="dxa"/>
              <w:right w:w="28" w:type="dxa"/>
            </w:tcMar>
          </w:tcPr>
          <w:p w14:paraId="2575A555" w14:textId="77777777" w:rsidR="004C1CED" w:rsidRPr="00434E9D" w:rsidRDefault="004C1CED" w:rsidP="004C1CED">
            <w:pPr>
              <w:widowControl/>
              <w:spacing w:before="40" w:after="40"/>
              <w:rPr>
                <w:rFonts w:eastAsia="Calibri"/>
                <w:noProof/>
                <w:sz w:val="22"/>
                <w:szCs w:val="22"/>
                <w:lang w:eastAsia="en-US"/>
              </w:rPr>
            </w:pPr>
          </w:p>
        </w:tc>
      </w:tr>
      <w:tr w:rsidR="004C1CED" w:rsidRPr="00434E9D" w14:paraId="4208CF1B" w14:textId="77777777" w:rsidTr="00B12A07">
        <w:trPr>
          <w:gridBefore w:val="1"/>
          <w:wBefore w:w="17" w:type="dxa"/>
          <w:cantSplit/>
          <w:tblHeader/>
          <w:jc w:val="center"/>
        </w:trPr>
        <w:tc>
          <w:tcPr>
            <w:tcW w:w="651" w:type="dxa"/>
            <w:gridSpan w:val="3"/>
            <w:tcMar>
              <w:left w:w="28" w:type="dxa"/>
              <w:right w:w="28" w:type="dxa"/>
            </w:tcMar>
          </w:tcPr>
          <w:p w14:paraId="1A38C572" w14:textId="77777777" w:rsidR="004C1CED" w:rsidRPr="00434E9D" w:rsidRDefault="004C1CED" w:rsidP="004C1CED">
            <w:pPr>
              <w:widowControl/>
              <w:spacing w:before="40" w:after="40"/>
              <w:jc w:val="both"/>
              <w:rPr>
                <w:rFonts w:eastAsia="Calibri"/>
                <w:noProof/>
                <w:sz w:val="22"/>
                <w:szCs w:val="22"/>
                <w:lang w:eastAsia="en-US"/>
              </w:rPr>
            </w:pPr>
            <w:r w:rsidRPr="00434E9D">
              <w:rPr>
                <w:rFonts w:eastAsia="Calibri"/>
                <w:noProof/>
                <w:sz w:val="22"/>
                <w:szCs w:val="22"/>
                <w:lang w:eastAsia="en-US"/>
              </w:rPr>
              <w:t>(20)</w:t>
            </w:r>
          </w:p>
        </w:tc>
        <w:tc>
          <w:tcPr>
            <w:tcW w:w="2286" w:type="dxa"/>
            <w:gridSpan w:val="3"/>
            <w:tcMar>
              <w:left w:w="28" w:type="dxa"/>
              <w:right w:w="28" w:type="dxa"/>
            </w:tcMar>
          </w:tcPr>
          <w:p w14:paraId="0EFB77F0"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Plomb et ses composés</w:t>
            </w:r>
          </w:p>
        </w:tc>
        <w:tc>
          <w:tcPr>
            <w:tcW w:w="1329" w:type="dxa"/>
            <w:gridSpan w:val="3"/>
            <w:tcMar>
              <w:left w:w="28" w:type="dxa"/>
              <w:right w:w="28" w:type="dxa"/>
            </w:tcMar>
          </w:tcPr>
          <w:p w14:paraId="6034FDA3"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Métaux</w:t>
            </w:r>
          </w:p>
        </w:tc>
        <w:tc>
          <w:tcPr>
            <w:tcW w:w="992" w:type="dxa"/>
            <w:gridSpan w:val="2"/>
            <w:tcMar>
              <w:left w:w="28" w:type="dxa"/>
              <w:right w:w="28" w:type="dxa"/>
            </w:tcMar>
          </w:tcPr>
          <w:p w14:paraId="6BF3530B"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7439-92-1</w:t>
            </w:r>
          </w:p>
        </w:tc>
        <w:tc>
          <w:tcPr>
            <w:tcW w:w="1134" w:type="dxa"/>
          </w:tcPr>
          <w:p w14:paraId="70C5BE5C"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231-100-4</w:t>
            </w:r>
          </w:p>
        </w:tc>
        <w:tc>
          <w:tcPr>
            <w:tcW w:w="1279" w:type="dxa"/>
            <w:gridSpan w:val="2"/>
            <w:tcMar>
              <w:left w:w="28" w:type="dxa"/>
              <w:right w:w="28" w:type="dxa"/>
            </w:tcMar>
          </w:tcPr>
          <w:p w14:paraId="6D24C8E1" w14:textId="77777777" w:rsidR="004C1CED" w:rsidRPr="00434E9D" w:rsidRDefault="004C1CED" w:rsidP="004C1CED">
            <w:pPr>
              <w:widowControl/>
              <w:spacing w:before="40" w:after="40"/>
              <w:rPr>
                <w:rFonts w:eastAsia="Calibri"/>
                <w:i/>
                <w:noProof/>
                <w:sz w:val="22"/>
                <w:szCs w:val="22"/>
                <w:vertAlign w:val="superscript"/>
                <w:lang w:eastAsia="en-US"/>
              </w:rPr>
            </w:pPr>
            <w:bookmarkStart w:id="23" w:name="_DV_C331"/>
            <w:r w:rsidRPr="00434E9D">
              <w:rPr>
                <w:rFonts w:eastAsia="Calibri"/>
                <w:noProof/>
                <w:sz w:val="22"/>
                <w:szCs w:val="22"/>
                <w:lang w:eastAsia="en-US"/>
              </w:rPr>
              <w:t xml:space="preserve">1,2 </w:t>
            </w:r>
            <w:r w:rsidRPr="00434E9D">
              <w:rPr>
                <w:rFonts w:eastAsia="Calibri"/>
                <w:noProof/>
                <w:sz w:val="22"/>
                <w:szCs w:val="22"/>
                <w:vertAlign w:val="superscript"/>
                <w:lang w:eastAsia="en-US"/>
              </w:rPr>
              <w:t>(12)</w:t>
            </w:r>
            <w:bookmarkEnd w:id="23"/>
          </w:p>
        </w:tc>
        <w:tc>
          <w:tcPr>
            <w:tcW w:w="1279" w:type="dxa"/>
            <w:gridSpan w:val="2"/>
            <w:tcMar>
              <w:left w:w="28" w:type="dxa"/>
              <w:right w:w="28" w:type="dxa"/>
            </w:tcMar>
          </w:tcPr>
          <w:p w14:paraId="373B4A83"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1,3</w:t>
            </w:r>
          </w:p>
        </w:tc>
        <w:tc>
          <w:tcPr>
            <w:tcW w:w="1278" w:type="dxa"/>
            <w:gridSpan w:val="2"/>
            <w:tcMar>
              <w:left w:w="28" w:type="dxa"/>
              <w:right w:w="28" w:type="dxa"/>
            </w:tcMar>
          </w:tcPr>
          <w:p w14:paraId="78A65748"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14</w:t>
            </w:r>
          </w:p>
        </w:tc>
        <w:tc>
          <w:tcPr>
            <w:tcW w:w="1277" w:type="dxa"/>
            <w:gridSpan w:val="2"/>
            <w:tcMar>
              <w:left w:w="28" w:type="dxa"/>
              <w:right w:w="28" w:type="dxa"/>
            </w:tcMar>
          </w:tcPr>
          <w:p w14:paraId="206F613D"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14</w:t>
            </w:r>
          </w:p>
        </w:tc>
        <w:tc>
          <w:tcPr>
            <w:tcW w:w="1136" w:type="dxa"/>
            <w:gridSpan w:val="2"/>
            <w:tcMar>
              <w:left w:w="28" w:type="dxa"/>
              <w:right w:w="28" w:type="dxa"/>
            </w:tcMar>
          </w:tcPr>
          <w:p w14:paraId="6BF23334" w14:textId="77777777" w:rsidR="004C1CED" w:rsidRPr="00434E9D" w:rsidRDefault="004C1CED" w:rsidP="004C1CED">
            <w:pPr>
              <w:widowControl/>
              <w:spacing w:before="40" w:after="40"/>
              <w:rPr>
                <w:rFonts w:eastAsia="Calibri"/>
                <w:noProof/>
                <w:sz w:val="22"/>
                <w:szCs w:val="22"/>
                <w:lang w:eastAsia="en-US"/>
              </w:rPr>
            </w:pPr>
          </w:p>
        </w:tc>
        <w:tc>
          <w:tcPr>
            <w:tcW w:w="1262" w:type="dxa"/>
            <w:gridSpan w:val="2"/>
            <w:tcMar>
              <w:left w:w="28" w:type="dxa"/>
              <w:right w:w="28" w:type="dxa"/>
            </w:tcMar>
          </w:tcPr>
          <w:p w14:paraId="45A34E1F"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X</w:t>
            </w:r>
          </w:p>
        </w:tc>
        <w:tc>
          <w:tcPr>
            <w:tcW w:w="1153" w:type="dxa"/>
            <w:gridSpan w:val="2"/>
            <w:tcMar>
              <w:left w:w="28" w:type="dxa"/>
              <w:right w:w="28" w:type="dxa"/>
            </w:tcMar>
          </w:tcPr>
          <w:p w14:paraId="24F8DB66" w14:textId="77777777" w:rsidR="004C1CED" w:rsidRPr="00434E9D" w:rsidRDefault="004C1CED" w:rsidP="004C1CED">
            <w:pPr>
              <w:widowControl/>
              <w:spacing w:before="40" w:after="40"/>
              <w:rPr>
                <w:rFonts w:eastAsia="Calibri"/>
                <w:noProof/>
                <w:sz w:val="22"/>
                <w:szCs w:val="22"/>
                <w:lang w:eastAsia="en-US"/>
              </w:rPr>
            </w:pPr>
          </w:p>
        </w:tc>
        <w:tc>
          <w:tcPr>
            <w:tcW w:w="970" w:type="dxa"/>
            <w:tcMar>
              <w:left w:w="28" w:type="dxa"/>
              <w:right w:w="28" w:type="dxa"/>
            </w:tcMar>
          </w:tcPr>
          <w:p w14:paraId="7A058D40"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X</w:t>
            </w:r>
          </w:p>
        </w:tc>
      </w:tr>
      <w:tr w:rsidR="004C1CED" w:rsidRPr="00434E9D" w14:paraId="303394B1" w14:textId="77777777" w:rsidTr="00B12A07">
        <w:trPr>
          <w:gridBefore w:val="1"/>
          <w:wBefore w:w="17" w:type="dxa"/>
          <w:cantSplit/>
          <w:tblHeader/>
          <w:jc w:val="center"/>
        </w:trPr>
        <w:tc>
          <w:tcPr>
            <w:tcW w:w="651" w:type="dxa"/>
            <w:gridSpan w:val="3"/>
            <w:tcMar>
              <w:left w:w="28" w:type="dxa"/>
              <w:right w:w="28" w:type="dxa"/>
            </w:tcMar>
          </w:tcPr>
          <w:p w14:paraId="66FE0637" w14:textId="77777777" w:rsidR="004C1CED" w:rsidRPr="00434E9D" w:rsidRDefault="004C1CED" w:rsidP="004C1CED">
            <w:pPr>
              <w:widowControl/>
              <w:spacing w:before="40" w:after="40"/>
              <w:jc w:val="both"/>
              <w:rPr>
                <w:rFonts w:eastAsia="Calibri"/>
                <w:noProof/>
                <w:sz w:val="22"/>
                <w:szCs w:val="22"/>
                <w:lang w:eastAsia="en-US"/>
              </w:rPr>
            </w:pPr>
            <w:r w:rsidRPr="00434E9D">
              <w:rPr>
                <w:rFonts w:eastAsia="Calibri"/>
                <w:noProof/>
                <w:sz w:val="22"/>
                <w:szCs w:val="22"/>
                <w:lang w:eastAsia="en-US"/>
              </w:rPr>
              <w:t>(21)</w:t>
            </w:r>
          </w:p>
        </w:tc>
        <w:tc>
          <w:tcPr>
            <w:tcW w:w="2286" w:type="dxa"/>
            <w:gridSpan w:val="3"/>
            <w:tcMar>
              <w:left w:w="28" w:type="dxa"/>
              <w:right w:w="28" w:type="dxa"/>
            </w:tcMar>
          </w:tcPr>
          <w:p w14:paraId="3A4149CB"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Mercure et ses composés</w:t>
            </w:r>
          </w:p>
        </w:tc>
        <w:tc>
          <w:tcPr>
            <w:tcW w:w="1329" w:type="dxa"/>
            <w:gridSpan w:val="3"/>
            <w:tcMar>
              <w:left w:w="28" w:type="dxa"/>
              <w:right w:w="28" w:type="dxa"/>
            </w:tcMar>
          </w:tcPr>
          <w:p w14:paraId="75B8B41B"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Métaux</w:t>
            </w:r>
          </w:p>
        </w:tc>
        <w:tc>
          <w:tcPr>
            <w:tcW w:w="992" w:type="dxa"/>
            <w:gridSpan w:val="2"/>
            <w:tcMar>
              <w:left w:w="28" w:type="dxa"/>
              <w:right w:w="28" w:type="dxa"/>
            </w:tcMar>
          </w:tcPr>
          <w:p w14:paraId="49E254F6"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7439-97-6</w:t>
            </w:r>
          </w:p>
        </w:tc>
        <w:tc>
          <w:tcPr>
            <w:tcW w:w="1134" w:type="dxa"/>
          </w:tcPr>
          <w:p w14:paraId="0AE2439A"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231-106-7</w:t>
            </w:r>
          </w:p>
        </w:tc>
        <w:tc>
          <w:tcPr>
            <w:tcW w:w="1279" w:type="dxa"/>
            <w:gridSpan w:val="2"/>
            <w:tcMar>
              <w:left w:w="28" w:type="dxa"/>
              <w:right w:w="28" w:type="dxa"/>
            </w:tcMar>
          </w:tcPr>
          <w:p w14:paraId="25482371" w14:textId="77777777" w:rsidR="004C1CED" w:rsidRPr="00434E9D" w:rsidRDefault="004C1CED" w:rsidP="004C1CED">
            <w:pPr>
              <w:widowControl/>
              <w:spacing w:before="40" w:after="40"/>
              <w:rPr>
                <w:rFonts w:eastAsia="Calibri"/>
                <w:noProof/>
                <w:sz w:val="22"/>
                <w:szCs w:val="22"/>
                <w:lang w:eastAsia="en-US"/>
              </w:rPr>
            </w:pPr>
          </w:p>
        </w:tc>
        <w:tc>
          <w:tcPr>
            <w:tcW w:w="1279" w:type="dxa"/>
            <w:gridSpan w:val="2"/>
            <w:tcMar>
              <w:left w:w="28" w:type="dxa"/>
              <w:right w:w="28" w:type="dxa"/>
            </w:tcMar>
          </w:tcPr>
          <w:p w14:paraId="5B847E3D" w14:textId="77777777" w:rsidR="004C1CED" w:rsidRPr="00434E9D" w:rsidRDefault="004C1CED" w:rsidP="004C1CED">
            <w:pPr>
              <w:widowControl/>
              <w:spacing w:before="40" w:after="40"/>
              <w:rPr>
                <w:rFonts w:eastAsia="Calibri"/>
                <w:noProof/>
                <w:sz w:val="22"/>
                <w:szCs w:val="22"/>
                <w:lang w:eastAsia="en-US"/>
              </w:rPr>
            </w:pPr>
          </w:p>
        </w:tc>
        <w:tc>
          <w:tcPr>
            <w:tcW w:w="1278" w:type="dxa"/>
            <w:gridSpan w:val="2"/>
            <w:tcMar>
              <w:left w:w="28" w:type="dxa"/>
              <w:right w:w="28" w:type="dxa"/>
            </w:tcMar>
          </w:tcPr>
          <w:p w14:paraId="04EBE259"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0,07</w:t>
            </w:r>
          </w:p>
        </w:tc>
        <w:tc>
          <w:tcPr>
            <w:tcW w:w="1277" w:type="dxa"/>
            <w:gridSpan w:val="2"/>
            <w:tcMar>
              <w:left w:w="28" w:type="dxa"/>
              <w:right w:w="28" w:type="dxa"/>
            </w:tcMar>
          </w:tcPr>
          <w:p w14:paraId="6857314B"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0,07</w:t>
            </w:r>
          </w:p>
        </w:tc>
        <w:tc>
          <w:tcPr>
            <w:tcW w:w="1136" w:type="dxa"/>
            <w:gridSpan w:val="2"/>
            <w:tcMar>
              <w:left w:w="28" w:type="dxa"/>
              <w:right w:w="28" w:type="dxa"/>
            </w:tcMar>
          </w:tcPr>
          <w:p w14:paraId="740AF697"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[10] (</w:t>
            </w:r>
            <w:r w:rsidRPr="00434E9D">
              <w:rPr>
                <w:rFonts w:eastAsia="Calibri"/>
                <w:noProof/>
                <w:sz w:val="22"/>
                <w:szCs w:val="22"/>
                <w:vertAlign w:val="superscript"/>
                <w:lang w:eastAsia="en-US"/>
              </w:rPr>
              <w:t>13</w:t>
            </w:r>
            <w:r w:rsidRPr="00434E9D">
              <w:rPr>
                <w:rFonts w:eastAsia="Calibri"/>
                <w:noProof/>
                <w:sz w:val="22"/>
                <w:szCs w:val="22"/>
                <w:lang w:eastAsia="en-US"/>
              </w:rPr>
              <w:t>)</w:t>
            </w:r>
          </w:p>
        </w:tc>
        <w:tc>
          <w:tcPr>
            <w:tcW w:w="1262" w:type="dxa"/>
            <w:gridSpan w:val="2"/>
            <w:tcMar>
              <w:left w:w="28" w:type="dxa"/>
              <w:right w:w="28" w:type="dxa"/>
            </w:tcMar>
          </w:tcPr>
          <w:p w14:paraId="63A2F1B8"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X</w:t>
            </w:r>
          </w:p>
        </w:tc>
        <w:tc>
          <w:tcPr>
            <w:tcW w:w="1153" w:type="dxa"/>
            <w:gridSpan w:val="2"/>
            <w:tcMar>
              <w:left w:w="28" w:type="dxa"/>
              <w:right w:w="28" w:type="dxa"/>
            </w:tcMar>
          </w:tcPr>
          <w:p w14:paraId="7D200B36"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X</w:t>
            </w:r>
          </w:p>
        </w:tc>
        <w:tc>
          <w:tcPr>
            <w:tcW w:w="970" w:type="dxa"/>
            <w:tcMar>
              <w:left w:w="28" w:type="dxa"/>
              <w:right w:w="28" w:type="dxa"/>
            </w:tcMar>
          </w:tcPr>
          <w:p w14:paraId="515B21FC"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X</w:t>
            </w:r>
          </w:p>
        </w:tc>
      </w:tr>
      <w:tr w:rsidR="004C1CED" w:rsidRPr="00434E9D" w14:paraId="102D509E" w14:textId="77777777" w:rsidTr="00B12A07">
        <w:trPr>
          <w:gridBefore w:val="1"/>
          <w:wBefore w:w="17" w:type="dxa"/>
          <w:cantSplit/>
          <w:tblHeader/>
          <w:jc w:val="center"/>
        </w:trPr>
        <w:tc>
          <w:tcPr>
            <w:tcW w:w="651" w:type="dxa"/>
            <w:gridSpan w:val="3"/>
            <w:tcMar>
              <w:left w:w="28" w:type="dxa"/>
              <w:right w:w="28" w:type="dxa"/>
            </w:tcMar>
          </w:tcPr>
          <w:p w14:paraId="45DC2377" w14:textId="77777777" w:rsidR="004C1CED" w:rsidRPr="00434E9D" w:rsidRDefault="004C1CED" w:rsidP="004C1CED">
            <w:pPr>
              <w:widowControl/>
              <w:spacing w:before="40" w:after="40"/>
              <w:jc w:val="both"/>
              <w:rPr>
                <w:rFonts w:eastAsia="Calibri"/>
                <w:noProof/>
                <w:sz w:val="22"/>
                <w:szCs w:val="22"/>
                <w:lang w:eastAsia="en-US"/>
              </w:rPr>
            </w:pPr>
            <w:r w:rsidRPr="00434E9D">
              <w:rPr>
                <w:rFonts w:eastAsia="Calibri"/>
                <w:noProof/>
                <w:sz w:val="22"/>
                <w:szCs w:val="22"/>
                <w:lang w:eastAsia="en-US"/>
              </w:rPr>
              <w:t>(22)</w:t>
            </w:r>
          </w:p>
        </w:tc>
        <w:tc>
          <w:tcPr>
            <w:tcW w:w="2286" w:type="dxa"/>
            <w:gridSpan w:val="3"/>
            <w:tcMar>
              <w:left w:w="28" w:type="dxa"/>
              <w:right w:w="28" w:type="dxa"/>
            </w:tcMar>
          </w:tcPr>
          <w:p w14:paraId="29496BEA"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Naphtalène</w:t>
            </w:r>
          </w:p>
        </w:tc>
        <w:tc>
          <w:tcPr>
            <w:tcW w:w="1329" w:type="dxa"/>
            <w:gridSpan w:val="3"/>
            <w:tcMar>
              <w:left w:w="28" w:type="dxa"/>
              <w:right w:w="28" w:type="dxa"/>
            </w:tcMar>
          </w:tcPr>
          <w:p w14:paraId="00BDC821"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 xml:space="preserve">Substances industrielles </w:t>
            </w:r>
          </w:p>
        </w:tc>
        <w:tc>
          <w:tcPr>
            <w:tcW w:w="992" w:type="dxa"/>
            <w:gridSpan w:val="2"/>
            <w:tcMar>
              <w:left w:w="28" w:type="dxa"/>
              <w:right w:w="28" w:type="dxa"/>
            </w:tcMar>
          </w:tcPr>
          <w:p w14:paraId="0BB33E7B"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91-20-3</w:t>
            </w:r>
          </w:p>
        </w:tc>
        <w:tc>
          <w:tcPr>
            <w:tcW w:w="1134" w:type="dxa"/>
          </w:tcPr>
          <w:p w14:paraId="7670B9C4"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202-049-5</w:t>
            </w:r>
          </w:p>
        </w:tc>
        <w:tc>
          <w:tcPr>
            <w:tcW w:w="1279" w:type="dxa"/>
            <w:gridSpan w:val="2"/>
            <w:tcMar>
              <w:left w:w="28" w:type="dxa"/>
              <w:right w:w="28" w:type="dxa"/>
            </w:tcMar>
          </w:tcPr>
          <w:p w14:paraId="5D938BAD"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2</w:t>
            </w:r>
          </w:p>
        </w:tc>
        <w:tc>
          <w:tcPr>
            <w:tcW w:w="1279" w:type="dxa"/>
            <w:gridSpan w:val="2"/>
            <w:tcMar>
              <w:left w:w="28" w:type="dxa"/>
              <w:right w:w="28" w:type="dxa"/>
            </w:tcMar>
          </w:tcPr>
          <w:p w14:paraId="00624AA3"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2</w:t>
            </w:r>
          </w:p>
        </w:tc>
        <w:tc>
          <w:tcPr>
            <w:tcW w:w="1278" w:type="dxa"/>
            <w:gridSpan w:val="2"/>
            <w:tcMar>
              <w:left w:w="28" w:type="dxa"/>
              <w:right w:w="28" w:type="dxa"/>
            </w:tcMar>
          </w:tcPr>
          <w:p w14:paraId="55D5FA13"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130</w:t>
            </w:r>
          </w:p>
        </w:tc>
        <w:tc>
          <w:tcPr>
            <w:tcW w:w="1277" w:type="dxa"/>
            <w:gridSpan w:val="2"/>
            <w:tcMar>
              <w:left w:w="28" w:type="dxa"/>
              <w:right w:w="28" w:type="dxa"/>
            </w:tcMar>
          </w:tcPr>
          <w:p w14:paraId="0CE780DA"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130</w:t>
            </w:r>
          </w:p>
        </w:tc>
        <w:tc>
          <w:tcPr>
            <w:tcW w:w="1136" w:type="dxa"/>
            <w:gridSpan w:val="2"/>
            <w:tcMar>
              <w:left w:w="28" w:type="dxa"/>
              <w:right w:w="28" w:type="dxa"/>
            </w:tcMar>
          </w:tcPr>
          <w:p w14:paraId="2846D3CF" w14:textId="77777777" w:rsidR="004C1CED" w:rsidRPr="00434E9D" w:rsidRDefault="004C1CED" w:rsidP="004C1CED">
            <w:pPr>
              <w:widowControl/>
              <w:spacing w:before="40" w:after="40"/>
              <w:rPr>
                <w:rFonts w:eastAsia="Calibri"/>
                <w:noProof/>
                <w:sz w:val="22"/>
                <w:szCs w:val="22"/>
                <w:lang w:eastAsia="en-US"/>
              </w:rPr>
            </w:pPr>
          </w:p>
        </w:tc>
        <w:tc>
          <w:tcPr>
            <w:tcW w:w="1262" w:type="dxa"/>
            <w:gridSpan w:val="2"/>
            <w:tcMar>
              <w:left w:w="28" w:type="dxa"/>
              <w:right w:w="28" w:type="dxa"/>
            </w:tcMar>
          </w:tcPr>
          <w:p w14:paraId="403870E9" w14:textId="77777777" w:rsidR="004C1CED" w:rsidRPr="00434E9D" w:rsidRDefault="004C1CED" w:rsidP="004C1CED">
            <w:pPr>
              <w:widowControl/>
              <w:spacing w:before="40" w:after="40"/>
              <w:rPr>
                <w:rFonts w:eastAsia="Calibri"/>
                <w:noProof/>
                <w:sz w:val="22"/>
                <w:szCs w:val="22"/>
                <w:lang w:eastAsia="en-US"/>
              </w:rPr>
            </w:pPr>
          </w:p>
        </w:tc>
        <w:tc>
          <w:tcPr>
            <w:tcW w:w="1153" w:type="dxa"/>
            <w:gridSpan w:val="2"/>
            <w:tcMar>
              <w:left w:w="28" w:type="dxa"/>
              <w:right w:w="28" w:type="dxa"/>
            </w:tcMar>
          </w:tcPr>
          <w:p w14:paraId="505063C6" w14:textId="77777777" w:rsidR="004C1CED" w:rsidRPr="00434E9D" w:rsidRDefault="004C1CED" w:rsidP="004C1CED">
            <w:pPr>
              <w:widowControl/>
              <w:spacing w:before="40" w:after="40"/>
              <w:rPr>
                <w:rFonts w:eastAsia="Calibri"/>
                <w:noProof/>
                <w:sz w:val="22"/>
                <w:szCs w:val="22"/>
                <w:lang w:eastAsia="en-US"/>
              </w:rPr>
            </w:pPr>
          </w:p>
        </w:tc>
        <w:tc>
          <w:tcPr>
            <w:tcW w:w="970" w:type="dxa"/>
            <w:tcMar>
              <w:left w:w="28" w:type="dxa"/>
              <w:right w:w="28" w:type="dxa"/>
            </w:tcMar>
          </w:tcPr>
          <w:p w14:paraId="3710878F" w14:textId="77777777" w:rsidR="004C1CED" w:rsidRPr="00434E9D" w:rsidRDefault="004C1CED" w:rsidP="004C1CED">
            <w:pPr>
              <w:widowControl/>
              <w:spacing w:before="40" w:after="40"/>
              <w:rPr>
                <w:rFonts w:eastAsia="Calibri"/>
                <w:noProof/>
                <w:sz w:val="22"/>
                <w:szCs w:val="22"/>
                <w:lang w:eastAsia="en-US"/>
              </w:rPr>
            </w:pPr>
          </w:p>
        </w:tc>
      </w:tr>
      <w:tr w:rsidR="004C1CED" w:rsidRPr="00434E9D" w14:paraId="6F58C1A4" w14:textId="77777777" w:rsidTr="00B12A07">
        <w:trPr>
          <w:gridBefore w:val="1"/>
          <w:wBefore w:w="17" w:type="dxa"/>
          <w:cantSplit/>
          <w:tblHeader/>
          <w:jc w:val="center"/>
        </w:trPr>
        <w:tc>
          <w:tcPr>
            <w:tcW w:w="651" w:type="dxa"/>
            <w:gridSpan w:val="3"/>
            <w:tcMar>
              <w:left w:w="28" w:type="dxa"/>
              <w:right w:w="28" w:type="dxa"/>
            </w:tcMar>
          </w:tcPr>
          <w:p w14:paraId="357A84CE" w14:textId="77777777" w:rsidR="004C1CED" w:rsidRPr="00434E9D" w:rsidRDefault="004C1CED" w:rsidP="004C1CED">
            <w:pPr>
              <w:widowControl/>
              <w:spacing w:before="40" w:after="40"/>
              <w:jc w:val="both"/>
              <w:rPr>
                <w:rFonts w:eastAsia="Calibri"/>
                <w:noProof/>
                <w:sz w:val="22"/>
                <w:szCs w:val="22"/>
                <w:lang w:eastAsia="en-US"/>
              </w:rPr>
            </w:pPr>
            <w:r w:rsidRPr="00434E9D">
              <w:rPr>
                <w:rFonts w:eastAsia="Calibri"/>
                <w:noProof/>
                <w:sz w:val="22"/>
                <w:szCs w:val="22"/>
                <w:lang w:eastAsia="en-US"/>
              </w:rPr>
              <w:t>(23)</w:t>
            </w:r>
          </w:p>
        </w:tc>
        <w:tc>
          <w:tcPr>
            <w:tcW w:w="2286" w:type="dxa"/>
            <w:gridSpan w:val="3"/>
            <w:tcMar>
              <w:left w:w="28" w:type="dxa"/>
              <w:right w:w="28" w:type="dxa"/>
            </w:tcMar>
          </w:tcPr>
          <w:p w14:paraId="3845B0A6"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Nickel et ses composés</w:t>
            </w:r>
          </w:p>
        </w:tc>
        <w:tc>
          <w:tcPr>
            <w:tcW w:w="1329" w:type="dxa"/>
            <w:gridSpan w:val="3"/>
            <w:tcMar>
              <w:left w:w="28" w:type="dxa"/>
              <w:right w:w="28" w:type="dxa"/>
            </w:tcMar>
          </w:tcPr>
          <w:p w14:paraId="649693AA"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Métaux</w:t>
            </w:r>
          </w:p>
        </w:tc>
        <w:tc>
          <w:tcPr>
            <w:tcW w:w="992" w:type="dxa"/>
            <w:gridSpan w:val="2"/>
            <w:tcMar>
              <w:left w:w="28" w:type="dxa"/>
              <w:right w:w="28" w:type="dxa"/>
            </w:tcMar>
          </w:tcPr>
          <w:p w14:paraId="7FABC5E8"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7440-02-0</w:t>
            </w:r>
          </w:p>
        </w:tc>
        <w:tc>
          <w:tcPr>
            <w:tcW w:w="1134" w:type="dxa"/>
          </w:tcPr>
          <w:p w14:paraId="7BD45DB9" w14:textId="77777777" w:rsidR="004C1CED" w:rsidRPr="00434E9D" w:rsidDel="00EC120E" w:rsidRDefault="004C1CED" w:rsidP="004C1CED">
            <w:pPr>
              <w:widowControl/>
              <w:spacing w:before="40" w:after="40"/>
              <w:rPr>
                <w:rFonts w:eastAsia="Calibri"/>
                <w:strike/>
                <w:noProof/>
                <w:sz w:val="22"/>
                <w:szCs w:val="22"/>
                <w:lang w:eastAsia="en-US"/>
              </w:rPr>
            </w:pPr>
            <w:r w:rsidRPr="00434E9D">
              <w:rPr>
                <w:rFonts w:eastAsia="Calibri"/>
                <w:noProof/>
                <w:sz w:val="22"/>
                <w:szCs w:val="22"/>
                <w:lang w:eastAsia="en-US"/>
              </w:rPr>
              <w:t>231-111-4</w:t>
            </w:r>
          </w:p>
        </w:tc>
        <w:tc>
          <w:tcPr>
            <w:tcW w:w="1279" w:type="dxa"/>
            <w:gridSpan w:val="2"/>
            <w:tcMar>
              <w:left w:w="28" w:type="dxa"/>
              <w:right w:w="28" w:type="dxa"/>
            </w:tcMar>
          </w:tcPr>
          <w:p w14:paraId="1D1C7992" w14:textId="77777777" w:rsidR="004C1CED" w:rsidRPr="00434E9D" w:rsidRDefault="004C1CED" w:rsidP="004C1CED">
            <w:pPr>
              <w:widowControl/>
              <w:spacing w:before="40" w:after="40"/>
              <w:rPr>
                <w:rFonts w:eastAsia="Calibri"/>
                <w:noProof/>
                <w:sz w:val="22"/>
                <w:szCs w:val="22"/>
                <w:vertAlign w:val="superscript"/>
                <w:lang w:eastAsia="en-US"/>
              </w:rPr>
            </w:pPr>
            <w:r w:rsidRPr="00434E9D">
              <w:rPr>
                <w:rFonts w:eastAsia="Calibri"/>
                <w:noProof/>
                <w:sz w:val="22"/>
                <w:szCs w:val="22"/>
                <w:lang w:eastAsia="en-US"/>
              </w:rPr>
              <w:t>2 (</w:t>
            </w:r>
            <w:r w:rsidRPr="00434E9D">
              <w:rPr>
                <w:rFonts w:eastAsia="Calibri"/>
                <w:noProof/>
                <w:sz w:val="22"/>
                <w:szCs w:val="22"/>
                <w:vertAlign w:val="superscript"/>
                <w:lang w:eastAsia="en-US"/>
              </w:rPr>
              <w:t>12</w:t>
            </w:r>
            <w:r w:rsidRPr="00434E9D">
              <w:rPr>
                <w:rFonts w:eastAsia="Calibri"/>
                <w:noProof/>
                <w:sz w:val="22"/>
                <w:szCs w:val="22"/>
                <w:lang w:eastAsia="en-US"/>
              </w:rPr>
              <w:t>)</w:t>
            </w:r>
          </w:p>
        </w:tc>
        <w:tc>
          <w:tcPr>
            <w:tcW w:w="1279" w:type="dxa"/>
            <w:gridSpan w:val="2"/>
            <w:tcMar>
              <w:left w:w="28" w:type="dxa"/>
              <w:right w:w="28" w:type="dxa"/>
            </w:tcMar>
          </w:tcPr>
          <w:p w14:paraId="68709726"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3,1</w:t>
            </w:r>
          </w:p>
        </w:tc>
        <w:tc>
          <w:tcPr>
            <w:tcW w:w="1278" w:type="dxa"/>
            <w:gridSpan w:val="2"/>
            <w:tcMar>
              <w:left w:w="28" w:type="dxa"/>
              <w:right w:w="28" w:type="dxa"/>
            </w:tcMar>
          </w:tcPr>
          <w:p w14:paraId="42638716"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8,2</w:t>
            </w:r>
          </w:p>
        </w:tc>
        <w:tc>
          <w:tcPr>
            <w:tcW w:w="1277" w:type="dxa"/>
            <w:gridSpan w:val="2"/>
            <w:tcMar>
              <w:left w:w="28" w:type="dxa"/>
              <w:right w:w="28" w:type="dxa"/>
            </w:tcMar>
          </w:tcPr>
          <w:p w14:paraId="7F42419D"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8,2</w:t>
            </w:r>
          </w:p>
        </w:tc>
        <w:tc>
          <w:tcPr>
            <w:tcW w:w="1136" w:type="dxa"/>
            <w:gridSpan w:val="2"/>
            <w:tcMar>
              <w:left w:w="28" w:type="dxa"/>
              <w:right w:w="28" w:type="dxa"/>
            </w:tcMar>
          </w:tcPr>
          <w:p w14:paraId="2BDC1015" w14:textId="77777777" w:rsidR="004C1CED" w:rsidRPr="00434E9D" w:rsidRDefault="004C1CED" w:rsidP="004C1CED">
            <w:pPr>
              <w:widowControl/>
              <w:spacing w:before="40" w:after="40"/>
              <w:rPr>
                <w:rFonts w:eastAsia="Calibri"/>
                <w:noProof/>
                <w:sz w:val="22"/>
                <w:szCs w:val="22"/>
                <w:lang w:eastAsia="en-US"/>
              </w:rPr>
            </w:pPr>
          </w:p>
        </w:tc>
        <w:tc>
          <w:tcPr>
            <w:tcW w:w="1262" w:type="dxa"/>
            <w:gridSpan w:val="2"/>
            <w:tcMar>
              <w:left w:w="28" w:type="dxa"/>
              <w:right w:w="28" w:type="dxa"/>
            </w:tcMar>
          </w:tcPr>
          <w:p w14:paraId="3461CCC6" w14:textId="77777777" w:rsidR="004C1CED" w:rsidRPr="00434E9D" w:rsidRDefault="004C1CED" w:rsidP="004C1CED">
            <w:pPr>
              <w:widowControl/>
              <w:spacing w:before="40" w:after="40"/>
              <w:rPr>
                <w:rFonts w:eastAsia="Calibri"/>
                <w:noProof/>
                <w:sz w:val="22"/>
                <w:szCs w:val="22"/>
                <w:vertAlign w:val="superscript"/>
                <w:lang w:eastAsia="en-US"/>
              </w:rPr>
            </w:pPr>
          </w:p>
        </w:tc>
        <w:tc>
          <w:tcPr>
            <w:tcW w:w="1153" w:type="dxa"/>
            <w:gridSpan w:val="2"/>
            <w:tcMar>
              <w:left w:w="28" w:type="dxa"/>
              <w:right w:w="28" w:type="dxa"/>
            </w:tcMar>
          </w:tcPr>
          <w:p w14:paraId="26F984EC" w14:textId="77777777" w:rsidR="004C1CED" w:rsidRPr="00434E9D" w:rsidRDefault="004C1CED" w:rsidP="004C1CED">
            <w:pPr>
              <w:widowControl/>
              <w:spacing w:before="40" w:after="40"/>
              <w:rPr>
                <w:rFonts w:eastAsia="Calibri"/>
                <w:noProof/>
                <w:sz w:val="22"/>
                <w:szCs w:val="22"/>
                <w:vertAlign w:val="superscript"/>
                <w:lang w:eastAsia="en-US"/>
              </w:rPr>
            </w:pPr>
          </w:p>
        </w:tc>
        <w:tc>
          <w:tcPr>
            <w:tcW w:w="970" w:type="dxa"/>
            <w:tcMar>
              <w:left w:w="28" w:type="dxa"/>
              <w:right w:w="28" w:type="dxa"/>
            </w:tcMar>
          </w:tcPr>
          <w:p w14:paraId="4D6D2607" w14:textId="77777777" w:rsidR="004C1CED" w:rsidRPr="00434E9D" w:rsidRDefault="004C1CED" w:rsidP="004C1CED">
            <w:pPr>
              <w:widowControl/>
              <w:spacing w:before="40" w:after="40"/>
              <w:rPr>
                <w:rFonts w:eastAsia="Calibri"/>
                <w:noProof/>
                <w:sz w:val="22"/>
                <w:szCs w:val="22"/>
                <w:vertAlign w:val="superscript"/>
                <w:lang w:eastAsia="en-US"/>
              </w:rPr>
            </w:pPr>
          </w:p>
        </w:tc>
      </w:tr>
      <w:tr w:rsidR="004C1CED" w:rsidRPr="00434E9D" w14:paraId="5358C201" w14:textId="77777777" w:rsidTr="00B12A07">
        <w:trPr>
          <w:gridBefore w:val="1"/>
          <w:wBefore w:w="17" w:type="dxa"/>
          <w:cantSplit/>
          <w:tblHeader/>
          <w:jc w:val="center"/>
        </w:trPr>
        <w:tc>
          <w:tcPr>
            <w:tcW w:w="651" w:type="dxa"/>
            <w:gridSpan w:val="3"/>
            <w:tcMar>
              <w:left w:w="28" w:type="dxa"/>
              <w:right w:w="28" w:type="dxa"/>
            </w:tcMar>
          </w:tcPr>
          <w:p w14:paraId="3B09AE62" w14:textId="77777777" w:rsidR="004C1CED" w:rsidRPr="00434E9D" w:rsidRDefault="004C1CED" w:rsidP="004C1CED">
            <w:pPr>
              <w:widowControl/>
              <w:spacing w:before="40" w:after="40"/>
              <w:jc w:val="both"/>
              <w:rPr>
                <w:rFonts w:eastAsia="Calibri"/>
                <w:noProof/>
                <w:sz w:val="22"/>
                <w:szCs w:val="22"/>
                <w:lang w:eastAsia="en-US"/>
              </w:rPr>
            </w:pPr>
            <w:r w:rsidRPr="00434E9D">
              <w:rPr>
                <w:rFonts w:eastAsia="Calibri"/>
                <w:noProof/>
                <w:sz w:val="22"/>
                <w:szCs w:val="22"/>
                <w:lang w:eastAsia="en-US"/>
              </w:rPr>
              <w:t>(24)</w:t>
            </w:r>
          </w:p>
        </w:tc>
        <w:tc>
          <w:tcPr>
            <w:tcW w:w="2286" w:type="dxa"/>
            <w:gridSpan w:val="3"/>
            <w:tcMar>
              <w:left w:w="28" w:type="dxa"/>
              <w:right w:w="28" w:type="dxa"/>
            </w:tcMar>
          </w:tcPr>
          <w:p w14:paraId="7D73BE8A"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Nonylphénols (</w:t>
            </w:r>
            <w:r w:rsidRPr="00434E9D">
              <w:rPr>
                <w:rFonts w:eastAsia="Calibri"/>
                <w:noProof/>
                <w:sz w:val="22"/>
                <w:szCs w:val="22"/>
                <w:vertAlign w:val="superscript"/>
                <w:lang w:eastAsia="en-US"/>
              </w:rPr>
              <w:t>14</w:t>
            </w:r>
            <w:r w:rsidRPr="00434E9D">
              <w:rPr>
                <w:rFonts w:eastAsia="Calibri"/>
                <w:noProof/>
                <w:sz w:val="22"/>
                <w:szCs w:val="22"/>
                <w:lang w:eastAsia="en-US"/>
              </w:rPr>
              <w:t>)</w:t>
            </w:r>
            <w:r w:rsidRPr="00434E9D">
              <w:rPr>
                <w:rFonts w:eastAsia="Calibri"/>
                <w:noProof/>
                <w:szCs w:val="22"/>
                <w:lang w:eastAsia="en-US"/>
              </w:rPr>
              <w:t xml:space="preserve"> </w:t>
            </w:r>
            <w:r w:rsidRPr="00434E9D">
              <w:rPr>
                <w:rFonts w:eastAsia="Calibri"/>
                <w:noProof/>
                <w:szCs w:val="22"/>
                <w:lang w:eastAsia="en-US"/>
              </w:rPr>
              <w:cr/>
            </w:r>
            <w:r w:rsidRPr="00434E9D">
              <w:rPr>
                <w:rFonts w:eastAsia="Calibri"/>
                <w:noProof/>
                <w:szCs w:val="22"/>
                <w:lang w:eastAsia="en-US"/>
              </w:rPr>
              <w:br/>
            </w:r>
            <w:r w:rsidRPr="00434E9D">
              <w:rPr>
                <w:rFonts w:eastAsia="Calibri"/>
                <w:noProof/>
                <w:sz w:val="22"/>
                <w:szCs w:val="22"/>
                <w:lang w:eastAsia="en-US"/>
              </w:rPr>
              <w:t>(4-nonylphénol)</w:t>
            </w:r>
          </w:p>
        </w:tc>
        <w:tc>
          <w:tcPr>
            <w:tcW w:w="1329" w:type="dxa"/>
            <w:gridSpan w:val="3"/>
            <w:tcMar>
              <w:left w:w="28" w:type="dxa"/>
              <w:right w:w="28" w:type="dxa"/>
            </w:tcMar>
          </w:tcPr>
          <w:p w14:paraId="5C61A546"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Substances industrielles</w:t>
            </w:r>
          </w:p>
        </w:tc>
        <w:tc>
          <w:tcPr>
            <w:tcW w:w="992" w:type="dxa"/>
            <w:gridSpan w:val="2"/>
            <w:tcMar>
              <w:left w:w="28" w:type="dxa"/>
              <w:right w:w="28" w:type="dxa"/>
            </w:tcMar>
          </w:tcPr>
          <w:p w14:paraId="290E530F"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84852-15-3</w:t>
            </w:r>
          </w:p>
        </w:tc>
        <w:tc>
          <w:tcPr>
            <w:tcW w:w="1134" w:type="dxa"/>
          </w:tcPr>
          <w:p w14:paraId="25953E1E"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284-325-5</w:t>
            </w:r>
          </w:p>
        </w:tc>
        <w:tc>
          <w:tcPr>
            <w:tcW w:w="1279" w:type="dxa"/>
            <w:gridSpan w:val="2"/>
            <w:tcMar>
              <w:left w:w="28" w:type="dxa"/>
              <w:right w:w="28" w:type="dxa"/>
            </w:tcMar>
          </w:tcPr>
          <w:p w14:paraId="697CCC4E"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0,037</w:t>
            </w:r>
          </w:p>
        </w:tc>
        <w:tc>
          <w:tcPr>
            <w:tcW w:w="1279" w:type="dxa"/>
            <w:gridSpan w:val="2"/>
            <w:tcMar>
              <w:left w:w="28" w:type="dxa"/>
              <w:right w:w="28" w:type="dxa"/>
            </w:tcMar>
          </w:tcPr>
          <w:p w14:paraId="73B6AA25"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0,0018</w:t>
            </w:r>
          </w:p>
        </w:tc>
        <w:tc>
          <w:tcPr>
            <w:tcW w:w="1278" w:type="dxa"/>
            <w:gridSpan w:val="2"/>
            <w:tcMar>
              <w:left w:w="28" w:type="dxa"/>
              <w:right w:w="28" w:type="dxa"/>
            </w:tcMar>
          </w:tcPr>
          <w:p w14:paraId="41AA372A"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2,1</w:t>
            </w:r>
          </w:p>
        </w:tc>
        <w:tc>
          <w:tcPr>
            <w:tcW w:w="1277" w:type="dxa"/>
            <w:gridSpan w:val="2"/>
            <w:tcMar>
              <w:left w:w="28" w:type="dxa"/>
              <w:right w:w="28" w:type="dxa"/>
            </w:tcMar>
          </w:tcPr>
          <w:p w14:paraId="3A132B7D"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0,17</w:t>
            </w:r>
          </w:p>
        </w:tc>
        <w:tc>
          <w:tcPr>
            <w:tcW w:w="1136" w:type="dxa"/>
            <w:gridSpan w:val="2"/>
            <w:tcMar>
              <w:left w:w="28" w:type="dxa"/>
              <w:right w:w="28" w:type="dxa"/>
            </w:tcMar>
          </w:tcPr>
          <w:p w14:paraId="0C781D1A" w14:textId="77777777" w:rsidR="004C1CED" w:rsidRPr="00434E9D" w:rsidRDefault="004C1CED" w:rsidP="004C1CED">
            <w:pPr>
              <w:widowControl/>
              <w:spacing w:before="40" w:after="40"/>
              <w:rPr>
                <w:rFonts w:eastAsia="Calibri"/>
                <w:noProof/>
                <w:sz w:val="22"/>
                <w:szCs w:val="22"/>
                <w:lang w:eastAsia="en-US"/>
              </w:rPr>
            </w:pPr>
          </w:p>
        </w:tc>
        <w:tc>
          <w:tcPr>
            <w:tcW w:w="1262" w:type="dxa"/>
            <w:gridSpan w:val="2"/>
            <w:tcMar>
              <w:left w:w="28" w:type="dxa"/>
              <w:right w:w="28" w:type="dxa"/>
            </w:tcMar>
          </w:tcPr>
          <w:p w14:paraId="770114E1"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X</w:t>
            </w:r>
          </w:p>
        </w:tc>
        <w:tc>
          <w:tcPr>
            <w:tcW w:w="1153" w:type="dxa"/>
            <w:gridSpan w:val="2"/>
            <w:tcMar>
              <w:left w:w="28" w:type="dxa"/>
              <w:right w:w="28" w:type="dxa"/>
            </w:tcMar>
          </w:tcPr>
          <w:p w14:paraId="7F8B02E8" w14:textId="77777777" w:rsidR="004C1CED" w:rsidRPr="00434E9D" w:rsidRDefault="004C1CED" w:rsidP="004C1CED">
            <w:pPr>
              <w:widowControl/>
              <w:spacing w:before="40" w:after="40"/>
              <w:rPr>
                <w:rFonts w:eastAsia="Calibri"/>
                <w:noProof/>
                <w:sz w:val="22"/>
                <w:szCs w:val="22"/>
                <w:lang w:eastAsia="en-US"/>
              </w:rPr>
            </w:pPr>
          </w:p>
        </w:tc>
        <w:tc>
          <w:tcPr>
            <w:tcW w:w="970" w:type="dxa"/>
            <w:tcMar>
              <w:left w:w="28" w:type="dxa"/>
              <w:right w:w="28" w:type="dxa"/>
            </w:tcMar>
          </w:tcPr>
          <w:p w14:paraId="12FB7233" w14:textId="77777777" w:rsidR="004C1CED" w:rsidRPr="00434E9D" w:rsidRDefault="004C1CED" w:rsidP="004C1CED">
            <w:pPr>
              <w:widowControl/>
              <w:spacing w:before="40" w:after="40"/>
              <w:rPr>
                <w:rFonts w:eastAsia="Calibri"/>
                <w:noProof/>
                <w:sz w:val="22"/>
                <w:szCs w:val="22"/>
                <w:lang w:eastAsia="en-US"/>
              </w:rPr>
            </w:pPr>
          </w:p>
        </w:tc>
      </w:tr>
      <w:tr w:rsidR="004C1CED" w:rsidRPr="00434E9D" w14:paraId="0FB2F0D9" w14:textId="77777777" w:rsidTr="00B12A07">
        <w:trPr>
          <w:gridBefore w:val="1"/>
          <w:wBefore w:w="17" w:type="dxa"/>
          <w:cantSplit/>
          <w:tblHeader/>
          <w:jc w:val="center"/>
        </w:trPr>
        <w:tc>
          <w:tcPr>
            <w:tcW w:w="651" w:type="dxa"/>
            <w:gridSpan w:val="3"/>
            <w:tcMar>
              <w:left w:w="28" w:type="dxa"/>
              <w:right w:w="28" w:type="dxa"/>
            </w:tcMar>
          </w:tcPr>
          <w:p w14:paraId="0F17720A" w14:textId="77777777" w:rsidR="004C1CED" w:rsidRPr="00434E9D" w:rsidRDefault="004C1CED" w:rsidP="004C1CED">
            <w:pPr>
              <w:keepNext/>
              <w:widowControl/>
              <w:spacing w:before="40" w:after="40"/>
              <w:jc w:val="both"/>
              <w:rPr>
                <w:rFonts w:eastAsia="Calibri"/>
                <w:noProof/>
                <w:sz w:val="22"/>
                <w:szCs w:val="22"/>
                <w:lang w:eastAsia="en-US"/>
              </w:rPr>
            </w:pPr>
            <w:r w:rsidRPr="00434E9D">
              <w:rPr>
                <w:rFonts w:eastAsia="Calibri"/>
                <w:noProof/>
                <w:sz w:val="22"/>
                <w:szCs w:val="22"/>
                <w:lang w:eastAsia="en-US"/>
              </w:rPr>
              <w:t>(25)</w:t>
            </w:r>
          </w:p>
        </w:tc>
        <w:tc>
          <w:tcPr>
            <w:tcW w:w="2286" w:type="dxa"/>
            <w:gridSpan w:val="3"/>
            <w:tcMar>
              <w:left w:w="28" w:type="dxa"/>
              <w:right w:w="28" w:type="dxa"/>
            </w:tcMar>
          </w:tcPr>
          <w:p w14:paraId="117E9CAA" w14:textId="77777777" w:rsidR="004C1CED" w:rsidRPr="00434E9D" w:rsidRDefault="004C1CED" w:rsidP="004C1CED">
            <w:pPr>
              <w:keepNext/>
              <w:widowControl/>
              <w:spacing w:before="40" w:after="40"/>
              <w:rPr>
                <w:rFonts w:eastAsia="Calibri"/>
                <w:noProof/>
                <w:sz w:val="22"/>
                <w:szCs w:val="22"/>
                <w:lang w:eastAsia="en-US"/>
              </w:rPr>
            </w:pPr>
            <w:r w:rsidRPr="00434E9D">
              <w:rPr>
                <w:rFonts w:eastAsia="Calibri"/>
                <w:noProof/>
                <w:sz w:val="22"/>
                <w:szCs w:val="22"/>
                <w:lang w:eastAsia="en-US"/>
              </w:rPr>
              <w:t>Octylphénols (</w:t>
            </w:r>
            <w:r w:rsidRPr="00434E9D">
              <w:rPr>
                <w:rFonts w:eastAsia="Calibri"/>
                <w:noProof/>
                <w:sz w:val="22"/>
                <w:szCs w:val="22"/>
                <w:vertAlign w:val="superscript"/>
                <w:lang w:eastAsia="en-US"/>
              </w:rPr>
              <w:t>15</w:t>
            </w:r>
            <w:r w:rsidRPr="00434E9D">
              <w:rPr>
                <w:rFonts w:eastAsia="Calibri"/>
                <w:noProof/>
                <w:sz w:val="22"/>
                <w:szCs w:val="22"/>
                <w:lang w:eastAsia="en-US"/>
              </w:rPr>
              <w:t xml:space="preserve">) </w:t>
            </w:r>
            <w:r w:rsidRPr="00434E9D">
              <w:rPr>
                <w:rFonts w:eastAsia="Calibri"/>
                <w:noProof/>
                <w:szCs w:val="22"/>
                <w:lang w:eastAsia="en-US"/>
              </w:rPr>
              <w:t xml:space="preserve"> </w:t>
            </w:r>
            <w:r w:rsidRPr="00434E9D">
              <w:rPr>
                <w:rFonts w:eastAsia="Calibri"/>
                <w:noProof/>
                <w:szCs w:val="22"/>
                <w:lang w:eastAsia="en-US"/>
              </w:rPr>
              <w:cr/>
            </w:r>
            <w:r w:rsidRPr="00434E9D">
              <w:rPr>
                <w:rFonts w:eastAsia="Calibri"/>
                <w:noProof/>
                <w:szCs w:val="22"/>
                <w:lang w:eastAsia="en-US"/>
              </w:rPr>
              <w:br/>
            </w:r>
            <w:r w:rsidRPr="00434E9D">
              <w:rPr>
                <w:rFonts w:eastAsia="Calibri"/>
                <w:noProof/>
                <w:sz w:val="22"/>
                <w:szCs w:val="22"/>
                <w:lang w:eastAsia="en-US"/>
              </w:rPr>
              <w:t>[(4-(1,1’,3,3’-tétraméthylbutyl)phénol)]</w:t>
            </w:r>
          </w:p>
        </w:tc>
        <w:tc>
          <w:tcPr>
            <w:tcW w:w="1329" w:type="dxa"/>
            <w:gridSpan w:val="3"/>
            <w:tcMar>
              <w:left w:w="28" w:type="dxa"/>
              <w:right w:w="28" w:type="dxa"/>
            </w:tcMar>
          </w:tcPr>
          <w:p w14:paraId="414CCD9F" w14:textId="77777777" w:rsidR="004C1CED" w:rsidRPr="00434E9D" w:rsidRDefault="004C1CED" w:rsidP="004C1CED">
            <w:pPr>
              <w:keepNext/>
              <w:widowControl/>
              <w:spacing w:before="40" w:after="40"/>
              <w:rPr>
                <w:rFonts w:eastAsia="Calibri"/>
                <w:noProof/>
                <w:sz w:val="22"/>
                <w:szCs w:val="22"/>
                <w:lang w:eastAsia="en-US"/>
              </w:rPr>
            </w:pPr>
            <w:r w:rsidRPr="00434E9D">
              <w:rPr>
                <w:rFonts w:eastAsia="Calibri"/>
                <w:noProof/>
                <w:sz w:val="22"/>
                <w:szCs w:val="22"/>
                <w:lang w:eastAsia="en-US"/>
              </w:rPr>
              <w:t>Substances industrielles</w:t>
            </w:r>
          </w:p>
        </w:tc>
        <w:tc>
          <w:tcPr>
            <w:tcW w:w="992" w:type="dxa"/>
            <w:gridSpan w:val="2"/>
            <w:tcMar>
              <w:left w:w="28" w:type="dxa"/>
              <w:right w:w="28" w:type="dxa"/>
            </w:tcMar>
          </w:tcPr>
          <w:p w14:paraId="3A791884" w14:textId="77777777" w:rsidR="004C1CED" w:rsidRPr="00434E9D" w:rsidRDefault="004C1CED" w:rsidP="004C1CED">
            <w:pPr>
              <w:keepNext/>
              <w:widowControl/>
              <w:spacing w:before="40" w:after="40"/>
              <w:rPr>
                <w:rFonts w:eastAsia="Calibri"/>
                <w:noProof/>
                <w:sz w:val="22"/>
                <w:szCs w:val="22"/>
                <w:lang w:eastAsia="en-US"/>
              </w:rPr>
            </w:pPr>
            <w:r w:rsidRPr="00434E9D">
              <w:rPr>
                <w:rFonts w:eastAsia="Calibri"/>
                <w:noProof/>
                <w:sz w:val="22"/>
                <w:szCs w:val="22"/>
                <w:lang w:eastAsia="en-US"/>
              </w:rPr>
              <w:t>140-66-9</w:t>
            </w:r>
          </w:p>
        </w:tc>
        <w:tc>
          <w:tcPr>
            <w:tcW w:w="1134" w:type="dxa"/>
          </w:tcPr>
          <w:p w14:paraId="52AE4BEE" w14:textId="77777777" w:rsidR="004C1CED" w:rsidRPr="00434E9D" w:rsidRDefault="004C1CED" w:rsidP="004C1CED">
            <w:pPr>
              <w:keepNext/>
              <w:widowControl/>
              <w:spacing w:before="40" w:after="40"/>
              <w:rPr>
                <w:rFonts w:eastAsia="Calibri"/>
                <w:noProof/>
                <w:sz w:val="22"/>
                <w:szCs w:val="22"/>
                <w:lang w:eastAsia="en-US"/>
              </w:rPr>
            </w:pPr>
            <w:r w:rsidRPr="00434E9D">
              <w:rPr>
                <w:rFonts w:eastAsia="Calibri"/>
                <w:noProof/>
                <w:sz w:val="22"/>
                <w:szCs w:val="22"/>
                <w:lang w:eastAsia="en-US"/>
              </w:rPr>
              <w:t>205-426-2</w:t>
            </w:r>
          </w:p>
        </w:tc>
        <w:tc>
          <w:tcPr>
            <w:tcW w:w="1279" w:type="dxa"/>
            <w:gridSpan w:val="2"/>
            <w:tcMar>
              <w:left w:w="28" w:type="dxa"/>
              <w:right w:w="28" w:type="dxa"/>
            </w:tcMar>
          </w:tcPr>
          <w:p w14:paraId="03A3CA59" w14:textId="77777777" w:rsidR="004C1CED" w:rsidRPr="00434E9D" w:rsidRDefault="004C1CED" w:rsidP="004C1CED">
            <w:pPr>
              <w:keepNext/>
              <w:widowControl/>
              <w:spacing w:before="40" w:after="40"/>
              <w:rPr>
                <w:rFonts w:eastAsia="Calibri"/>
                <w:noProof/>
                <w:sz w:val="22"/>
                <w:szCs w:val="22"/>
                <w:lang w:eastAsia="en-US"/>
              </w:rPr>
            </w:pPr>
            <w:r w:rsidRPr="00434E9D">
              <w:rPr>
                <w:rFonts w:eastAsia="Calibri"/>
                <w:noProof/>
                <w:sz w:val="22"/>
                <w:szCs w:val="22"/>
                <w:lang w:eastAsia="en-US"/>
              </w:rPr>
              <w:t>0,1</w:t>
            </w:r>
          </w:p>
        </w:tc>
        <w:tc>
          <w:tcPr>
            <w:tcW w:w="1279" w:type="dxa"/>
            <w:gridSpan w:val="2"/>
            <w:tcMar>
              <w:left w:w="28" w:type="dxa"/>
              <w:right w:w="28" w:type="dxa"/>
            </w:tcMar>
          </w:tcPr>
          <w:p w14:paraId="3D96667D" w14:textId="77777777" w:rsidR="004C1CED" w:rsidRPr="00434E9D" w:rsidRDefault="004C1CED" w:rsidP="004C1CED">
            <w:pPr>
              <w:keepNext/>
              <w:widowControl/>
              <w:spacing w:before="40" w:after="40"/>
              <w:rPr>
                <w:rFonts w:eastAsia="Calibri"/>
                <w:noProof/>
                <w:sz w:val="22"/>
                <w:szCs w:val="22"/>
                <w:lang w:eastAsia="en-US"/>
              </w:rPr>
            </w:pPr>
            <w:r w:rsidRPr="00434E9D">
              <w:rPr>
                <w:rFonts w:eastAsia="Calibri"/>
                <w:noProof/>
                <w:sz w:val="22"/>
                <w:szCs w:val="22"/>
                <w:lang w:eastAsia="en-US"/>
              </w:rPr>
              <w:t>0,01</w:t>
            </w:r>
          </w:p>
        </w:tc>
        <w:tc>
          <w:tcPr>
            <w:tcW w:w="1278" w:type="dxa"/>
            <w:gridSpan w:val="2"/>
            <w:tcMar>
              <w:left w:w="28" w:type="dxa"/>
              <w:right w:w="28" w:type="dxa"/>
            </w:tcMar>
          </w:tcPr>
          <w:p w14:paraId="4DE69F0D" w14:textId="77777777" w:rsidR="004C1CED" w:rsidRPr="00434E9D" w:rsidRDefault="004C1CED" w:rsidP="004C1CED">
            <w:pPr>
              <w:keepNext/>
              <w:widowControl/>
              <w:spacing w:before="40" w:after="40"/>
              <w:rPr>
                <w:rFonts w:eastAsia="Calibri"/>
                <w:noProof/>
                <w:sz w:val="22"/>
                <w:szCs w:val="22"/>
                <w:lang w:eastAsia="en-US"/>
              </w:rPr>
            </w:pPr>
            <w:r w:rsidRPr="00434E9D">
              <w:rPr>
                <w:rFonts w:eastAsia="Calibri"/>
                <w:noProof/>
                <w:sz w:val="22"/>
                <w:szCs w:val="22"/>
                <w:lang w:eastAsia="en-US"/>
              </w:rPr>
              <w:t>sans objet</w:t>
            </w:r>
          </w:p>
        </w:tc>
        <w:tc>
          <w:tcPr>
            <w:tcW w:w="1277" w:type="dxa"/>
            <w:gridSpan w:val="2"/>
            <w:tcMar>
              <w:left w:w="28" w:type="dxa"/>
              <w:right w:w="28" w:type="dxa"/>
            </w:tcMar>
          </w:tcPr>
          <w:p w14:paraId="2370A72B" w14:textId="77777777" w:rsidR="004C1CED" w:rsidRPr="00434E9D" w:rsidRDefault="004C1CED" w:rsidP="004C1CED">
            <w:pPr>
              <w:keepNext/>
              <w:widowControl/>
              <w:spacing w:before="40" w:after="40"/>
              <w:rPr>
                <w:rFonts w:eastAsia="Calibri"/>
                <w:noProof/>
                <w:sz w:val="22"/>
                <w:szCs w:val="22"/>
                <w:lang w:eastAsia="en-US"/>
              </w:rPr>
            </w:pPr>
            <w:r w:rsidRPr="00434E9D">
              <w:rPr>
                <w:rFonts w:eastAsia="Calibri"/>
                <w:noProof/>
                <w:sz w:val="22"/>
                <w:szCs w:val="22"/>
                <w:lang w:eastAsia="en-US"/>
              </w:rPr>
              <w:t>sans objet</w:t>
            </w:r>
          </w:p>
        </w:tc>
        <w:tc>
          <w:tcPr>
            <w:tcW w:w="1136" w:type="dxa"/>
            <w:gridSpan w:val="2"/>
            <w:tcMar>
              <w:left w:w="28" w:type="dxa"/>
              <w:right w:w="28" w:type="dxa"/>
            </w:tcMar>
          </w:tcPr>
          <w:p w14:paraId="33C9D03F" w14:textId="77777777" w:rsidR="004C1CED" w:rsidRPr="00434E9D" w:rsidRDefault="004C1CED" w:rsidP="004C1CED">
            <w:pPr>
              <w:keepNext/>
              <w:widowControl/>
              <w:spacing w:before="40" w:after="40"/>
              <w:rPr>
                <w:rFonts w:eastAsia="Calibri"/>
                <w:noProof/>
                <w:sz w:val="22"/>
                <w:szCs w:val="22"/>
                <w:lang w:eastAsia="en-US"/>
              </w:rPr>
            </w:pPr>
          </w:p>
        </w:tc>
        <w:tc>
          <w:tcPr>
            <w:tcW w:w="1262" w:type="dxa"/>
            <w:gridSpan w:val="2"/>
            <w:tcMar>
              <w:left w:w="28" w:type="dxa"/>
              <w:right w:w="28" w:type="dxa"/>
            </w:tcMar>
          </w:tcPr>
          <w:p w14:paraId="6046E07E" w14:textId="77777777" w:rsidR="004C1CED" w:rsidRPr="00434E9D" w:rsidRDefault="004C1CED" w:rsidP="004C1CED">
            <w:pPr>
              <w:keepNext/>
              <w:widowControl/>
              <w:spacing w:before="40" w:after="40"/>
              <w:rPr>
                <w:rFonts w:eastAsia="Calibri"/>
                <w:noProof/>
                <w:sz w:val="22"/>
                <w:szCs w:val="22"/>
                <w:lang w:eastAsia="en-US"/>
              </w:rPr>
            </w:pPr>
            <w:r w:rsidRPr="00434E9D">
              <w:rPr>
                <w:rFonts w:eastAsia="Calibri"/>
                <w:noProof/>
                <w:sz w:val="22"/>
                <w:szCs w:val="22"/>
                <w:lang w:eastAsia="en-US"/>
              </w:rPr>
              <w:t>X</w:t>
            </w:r>
          </w:p>
        </w:tc>
        <w:tc>
          <w:tcPr>
            <w:tcW w:w="1153" w:type="dxa"/>
            <w:gridSpan w:val="2"/>
            <w:tcMar>
              <w:left w:w="28" w:type="dxa"/>
              <w:right w:w="28" w:type="dxa"/>
            </w:tcMar>
          </w:tcPr>
          <w:p w14:paraId="1A1F3949" w14:textId="77777777" w:rsidR="004C1CED" w:rsidRPr="00434E9D" w:rsidRDefault="004C1CED" w:rsidP="004C1CED">
            <w:pPr>
              <w:keepNext/>
              <w:widowControl/>
              <w:spacing w:before="40" w:after="40"/>
              <w:rPr>
                <w:rFonts w:eastAsia="Calibri"/>
                <w:noProof/>
                <w:sz w:val="22"/>
                <w:szCs w:val="22"/>
                <w:lang w:eastAsia="en-US"/>
              </w:rPr>
            </w:pPr>
          </w:p>
        </w:tc>
        <w:tc>
          <w:tcPr>
            <w:tcW w:w="970" w:type="dxa"/>
            <w:tcMar>
              <w:left w:w="28" w:type="dxa"/>
              <w:right w:w="28" w:type="dxa"/>
            </w:tcMar>
          </w:tcPr>
          <w:p w14:paraId="3AE5747F" w14:textId="77777777" w:rsidR="004C1CED" w:rsidRPr="00434E9D" w:rsidRDefault="004C1CED" w:rsidP="004C1CED">
            <w:pPr>
              <w:keepNext/>
              <w:widowControl/>
              <w:spacing w:before="40" w:after="40"/>
              <w:rPr>
                <w:rFonts w:eastAsia="Calibri"/>
                <w:noProof/>
                <w:sz w:val="22"/>
                <w:szCs w:val="22"/>
                <w:lang w:eastAsia="en-US"/>
              </w:rPr>
            </w:pPr>
          </w:p>
        </w:tc>
      </w:tr>
      <w:tr w:rsidR="004C1CED" w:rsidRPr="00434E9D" w14:paraId="0F81B6C9" w14:textId="77777777" w:rsidTr="00B12A07">
        <w:trPr>
          <w:gridBefore w:val="1"/>
          <w:wBefore w:w="17" w:type="dxa"/>
          <w:cantSplit/>
          <w:tblHeader/>
          <w:jc w:val="center"/>
        </w:trPr>
        <w:tc>
          <w:tcPr>
            <w:tcW w:w="651" w:type="dxa"/>
            <w:gridSpan w:val="3"/>
            <w:tcMar>
              <w:left w:w="28" w:type="dxa"/>
              <w:right w:w="28" w:type="dxa"/>
            </w:tcMar>
          </w:tcPr>
          <w:p w14:paraId="5ECE7DF6" w14:textId="77777777" w:rsidR="004C1CED" w:rsidRPr="00434E9D" w:rsidRDefault="004C1CED" w:rsidP="004C1CED">
            <w:pPr>
              <w:widowControl/>
              <w:spacing w:before="40" w:after="40"/>
              <w:jc w:val="both"/>
              <w:rPr>
                <w:rFonts w:eastAsia="Calibri"/>
                <w:noProof/>
                <w:sz w:val="22"/>
                <w:szCs w:val="22"/>
                <w:lang w:eastAsia="en-US"/>
              </w:rPr>
            </w:pPr>
            <w:r w:rsidRPr="00434E9D">
              <w:rPr>
                <w:rFonts w:eastAsia="Calibri"/>
                <w:noProof/>
                <w:sz w:val="22"/>
                <w:szCs w:val="22"/>
                <w:lang w:eastAsia="en-US"/>
              </w:rPr>
              <w:t>(26)</w:t>
            </w:r>
          </w:p>
        </w:tc>
        <w:tc>
          <w:tcPr>
            <w:tcW w:w="2286" w:type="dxa"/>
            <w:gridSpan w:val="3"/>
            <w:tcMar>
              <w:left w:w="28" w:type="dxa"/>
              <w:right w:w="28" w:type="dxa"/>
            </w:tcMar>
          </w:tcPr>
          <w:p w14:paraId="32C32AFF"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Pentachlorobenzène</w:t>
            </w:r>
          </w:p>
        </w:tc>
        <w:tc>
          <w:tcPr>
            <w:tcW w:w="1329" w:type="dxa"/>
            <w:gridSpan w:val="3"/>
            <w:tcMar>
              <w:left w:w="28" w:type="dxa"/>
              <w:right w:w="28" w:type="dxa"/>
            </w:tcMar>
          </w:tcPr>
          <w:p w14:paraId="0455504F"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Substances industrielles</w:t>
            </w:r>
          </w:p>
        </w:tc>
        <w:tc>
          <w:tcPr>
            <w:tcW w:w="992" w:type="dxa"/>
            <w:gridSpan w:val="2"/>
            <w:tcMar>
              <w:left w:w="28" w:type="dxa"/>
              <w:right w:w="28" w:type="dxa"/>
            </w:tcMar>
          </w:tcPr>
          <w:p w14:paraId="57F687BE"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608-93-5</w:t>
            </w:r>
          </w:p>
        </w:tc>
        <w:tc>
          <w:tcPr>
            <w:tcW w:w="1134" w:type="dxa"/>
          </w:tcPr>
          <w:p w14:paraId="27C261D6"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210-172-0</w:t>
            </w:r>
          </w:p>
        </w:tc>
        <w:tc>
          <w:tcPr>
            <w:tcW w:w="1279" w:type="dxa"/>
            <w:gridSpan w:val="2"/>
            <w:tcMar>
              <w:left w:w="28" w:type="dxa"/>
              <w:right w:w="28" w:type="dxa"/>
            </w:tcMar>
          </w:tcPr>
          <w:p w14:paraId="6730121A"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0,007</w:t>
            </w:r>
          </w:p>
        </w:tc>
        <w:tc>
          <w:tcPr>
            <w:tcW w:w="1279" w:type="dxa"/>
            <w:gridSpan w:val="2"/>
            <w:tcMar>
              <w:left w:w="28" w:type="dxa"/>
              <w:right w:w="28" w:type="dxa"/>
            </w:tcMar>
          </w:tcPr>
          <w:p w14:paraId="3A335499"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0,0007</w:t>
            </w:r>
          </w:p>
        </w:tc>
        <w:tc>
          <w:tcPr>
            <w:tcW w:w="1278" w:type="dxa"/>
            <w:gridSpan w:val="2"/>
            <w:tcMar>
              <w:left w:w="28" w:type="dxa"/>
              <w:right w:w="28" w:type="dxa"/>
            </w:tcMar>
          </w:tcPr>
          <w:p w14:paraId="5E4153A9"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sans objet</w:t>
            </w:r>
          </w:p>
        </w:tc>
        <w:tc>
          <w:tcPr>
            <w:tcW w:w="1277" w:type="dxa"/>
            <w:gridSpan w:val="2"/>
            <w:tcMar>
              <w:left w:w="28" w:type="dxa"/>
              <w:right w:w="28" w:type="dxa"/>
            </w:tcMar>
          </w:tcPr>
          <w:p w14:paraId="0B3371AF"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sans objet</w:t>
            </w:r>
          </w:p>
        </w:tc>
        <w:tc>
          <w:tcPr>
            <w:tcW w:w="1136" w:type="dxa"/>
            <w:gridSpan w:val="2"/>
            <w:tcMar>
              <w:left w:w="28" w:type="dxa"/>
              <w:right w:w="28" w:type="dxa"/>
            </w:tcMar>
          </w:tcPr>
          <w:p w14:paraId="4F9D00A5" w14:textId="77777777" w:rsidR="004C1CED" w:rsidRPr="00434E9D" w:rsidRDefault="004C1CED" w:rsidP="004C1CED">
            <w:pPr>
              <w:widowControl/>
              <w:spacing w:before="40" w:after="40"/>
              <w:rPr>
                <w:rFonts w:eastAsia="Calibri"/>
                <w:noProof/>
                <w:sz w:val="22"/>
                <w:szCs w:val="22"/>
                <w:lang w:eastAsia="en-US"/>
              </w:rPr>
            </w:pPr>
          </w:p>
        </w:tc>
        <w:tc>
          <w:tcPr>
            <w:tcW w:w="1262" w:type="dxa"/>
            <w:gridSpan w:val="2"/>
            <w:tcMar>
              <w:left w:w="28" w:type="dxa"/>
              <w:right w:w="28" w:type="dxa"/>
            </w:tcMar>
          </w:tcPr>
          <w:p w14:paraId="552E8B03"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X</w:t>
            </w:r>
          </w:p>
        </w:tc>
        <w:tc>
          <w:tcPr>
            <w:tcW w:w="1153" w:type="dxa"/>
            <w:gridSpan w:val="2"/>
            <w:tcMar>
              <w:left w:w="28" w:type="dxa"/>
              <w:right w:w="28" w:type="dxa"/>
            </w:tcMar>
          </w:tcPr>
          <w:p w14:paraId="7597E075" w14:textId="77777777" w:rsidR="004C1CED" w:rsidRPr="00434E9D" w:rsidRDefault="004C1CED" w:rsidP="004C1CED">
            <w:pPr>
              <w:widowControl/>
              <w:spacing w:before="40" w:after="40"/>
              <w:rPr>
                <w:rFonts w:eastAsia="Calibri"/>
                <w:noProof/>
                <w:sz w:val="22"/>
                <w:szCs w:val="22"/>
                <w:lang w:eastAsia="en-US"/>
              </w:rPr>
            </w:pPr>
          </w:p>
        </w:tc>
        <w:tc>
          <w:tcPr>
            <w:tcW w:w="970" w:type="dxa"/>
            <w:tcMar>
              <w:left w:w="28" w:type="dxa"/>
              <w:right w:w="28" w:type="dxa"/>
            </w:tcMar>
          </w:tcPr>
          <w:p w14:paraId="5E8AD7B2"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X</w:t>
            </w:r>
          </w:p>
        </w:tc>
      </w:tr>
      <w:tr w:rsidR="004C1CED" w:rsidRPr="00434E9D" w14:paraId="25AAD620" w14:textId="77777777" w:rsidTr="00B12A07">
        <w:trPr>
          <w:gridBefore w:val="1"/>
          <w:wBefore w:w="17" w:type="dxa"/>
          <w:cantSplit/>
          <w:tblHeader/>
          <w:jc w:val="center"/>
        </w:trPr>
        <w:tc>
          <w:tcPr>
            <w:tcW w:w="651" w:type="dxa"/>
            <w:gridSpan w:val="3"/>
            <w:tcMar>
              <w:left w:w="28" w:type="dxa"/>
              <w:right w:w="28" w:type="dxa"/>
            </w:tcMar>
          </w:tcPr>
          <w:p w14:paraId="7E4DFECE" w14:textId="77777777" w:rsidR="004C1CED" w:rsidRPr="00434E9D" w:rsidRDefault="004C1CED" w:rsidP="004C1CED">
            <w:pPr>
              <w:widowControl/>
              <w:spacing w:before="40" w:after="40"/>
              <w:jc w:val="both"/>
              <w:rPr>
                <w:rFonts w:eastAsia="Calibri"/>
                <w:noProof/>
                <w:sz w:val="22"/>
                <w:szCs w:val="22"/>
                <w:lang w:eastAsia="en-US"/>
              </w:rPr>
            </w:pPr>
            <w:r w:rsidRPr="00434E9D">
              <w:rPr>
                <w:rFonts w:eastAsia="Calibri"/>
                <w:noProof/>
                <w:sz w:val="22"/>
                <w:szCs w:val="22"/>
                <w:lang w:eastAsia="en-US"/>
              </w:rPr>
              <w:lastRenderedPageBreak/>
              <w:t>(27)</w:t>
            </w:r>
          </w:p>
        </w:tc>
        <w:tc>
          <w:tcPr>
            <w:tcW w:w="2286" w:type="dxa"/>
            <w:gridSpan w:val="3"/>
            <w:tcMar>
              <w:left w:w="28" w:type="dxa"/>
              <w:right w:w="28" w:type="dxa"/>
            </w:tcMar>
          </w:tcPr>
          <w:p w14:paraId="1135111C"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Pentachlorophénol</w:t>
            </w:r>
          </w:p>
        </w:tc>
        <w:tc>
          <w:tcPr>
            <w:tcW w:w="1329" w:type="dxa"/>
            <w:gridSpan w:val="3"/>
            <w:tcMar>
              <w:left w:w="28" w:type="dxa"/>
              <w:right w:w="28" w:type="dxa"/>
            </w:tcMar>
          </w:tcPr>
          <w:p w14:paraId="3BDE24C8"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Pesticides organochlorés</w:t>
            </w:r>
          </w:p>
        </w:tc>
        <w:tc>
          <w:tcPr>
            <w:tcW w:w="992" w:type="dxa"/>
            <w:gridSpan w:val="2"/>
            <w:tcMar>
              <w:left w:w="28" w:type="dxa"/>
              <w:right w:w="28" w:type="dxa"/>
            </w:tcMar>
          </w:tcPr>
          <w:p w14:paraId="5435DCAE"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87-86-5</w:t>
            </w:r>
          </w:p>
        </w:tc>
        <w:tc>
          <w:tcPr>
            <w:tcW w:w="1134" w:type="dxa"/>
          </w:tcPr>
          <w:p w14:paraId="315FD8C0"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201-778-6</w:t>
            </w:r>
          </w:p>
        </w:tc>
        <w:tc>
          <w:tcPr>
            <w:tcW w:w="1279" w:type="dxa"/>
            <w:gridSpan w:val="2"/>
            <w:tcMar>
              <w:left w:w="28" w:type="dxa"/>
              <w:right w:w="28" w:type="dxa"/>
            </w:tcMar>
          </w:tcPr>
          <w:p w14:paraId="450B19E9"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0,4</w:t>
            </w:r>
          </w:p>
        </w:tc>
        <w:tc>
          <w:tcPr>
            <w:tcW w:w="1279" w:type="dxa"/>
            <w:gridSpan w:val="2"/>
            <w:tcMar>
              <w:left w:w="28" w:type="dxa"/>
              <w:right w:w="28" w:type="dxa"/>
            </w:tcMar>
          </w:tcPr>
          <w:p w14:paraId="55EDE984"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0,4</w:t>
            </w:r>
          </w:p>
        </w:tc>
        <w:tc>
          <w:tcPr>
            <w:tcW w:w="1278" w:type="dxa"/>
            <w:gridSpan w:val="2"/>
            <w:tcMar>
              <w:left w:w="28" w:type="dxa"/>
              <w:right w:w="28" w:type="dxa"/>
            </w:tcMar>
          </w:tcPr>
          <w:p w14:paraId="2324600C"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1</w:t>
            </w:r>
          </w:p>
        </w:tc>
        <w:tc>
          <w:tcPr>
            <w:tcW w:w="1277" w:type="dxa"/>
            <w:gridSpan w:val="2"/>
            <w:tcMar>
              <w:left w:w="28" w:type="dxa"/>
              <w:right w:w="28" w:type="dxa"/>
            </w:tcMar>
          </w:tcPr>
          <w:p w14:paraId="45855FD6"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1</w:t>
            </w:r>
          </w:p>
        </w:tc>
        <w:tc>
          <w:tcPr>
            <w:tcW w:w="1136" w:type="dxa"/>
            <w:gridSpan w:val="2"/>
            <w:tcMar>
              <w:left w:w="28" w:type="dxa"/>
              <w:right w:w="28" w:type="dxa"/>
            </w:tcMar>
          </w:tcPr>
          <w:p w14:paraId="28BA666A" w14:textId="77777777" w:rsidR="004C1CED" w:rsidRPr="00434E9D" w:rsidRDefault="004C1CED" w:rsidP="004C1CED">
            <w:pPr>
              <w:widowControl/>
              <w:spacing w:before="40" w:after="40"/>
              <w:rPr>
                <w:rFonts w:eastAsia="Calibri"/>
                <w:noProof/>
                <w:sz w:val="22"/>
                <w:szCs w:val="22"/>
                <w:lang w:eastAsia="en-US"/>
              </w:rPr>
            </w:pPr>
          </w:p>
        </w:tc>
        <w:tc>
          <w:tcPr>
            <w:tcW w:w="1262" w:type="dxa"/>
            <w:gridSpan w:val="2"/>
            <w:tcMar>
              <w:left w:w="28" w:type="dxa"/>
              <w:right w:w="28" w:type="dxa"/>
            </w:tcMar>
          </w:tcPr>
          <w:p w14:paraId="11F7C9E7"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X</w:t>
            </w:r>
          </w:p>
        </w:tc>
        <w:tc>
          <w:tcPr>
            <w:tcW w:w="1153" w:type="dxa"/>
            <w:gridSpan w:val="2"/>
            <w:tcMar>
              <w:left w:w="28" w:type="dxa"/>
              <w:right w:w="28" w:type="dxa"/>
            </w:tcMar>
          </w:tcPr>
          <w:p w14:paraId="6A094AC7" w14:textId="77777777" w:rsidR="004C1CED" w:rsidRPr="00434E9D" w:rsidRDefault="004C1CED" w:rsidP="004C1CED">
            <w:pPr>
              <w:widowControl/>
              <w:spacing w:before="40" w:after="40"/>
              <w:rPr>
                <w:rFonts w:eastAsia="Calibri"/>
                <w:noProof/>
                <w:sz w:val="22"/>
                <w:szCs w:val="22"/>
                <w:lang w:eastAsia="en-US"/>
              </w:rPr>
            </w:pPr>
          </w:p>
        </w:tc>
        <w:tc>
          <w:tcPr>
            <w:tcW w:w="970" w:type="dxa"/>
            <w:tcMar>
              <w:left w:w="28" w:type="dxa"/>
              <w:right w:w="28" w:type="dxa"/>
            </w:tcMar>
          </w:tcPr>
          <w:p w14:paraId="0186A66A" w14:textId="77777777" w:rsidR="004C1CED" w:rsidRPr="00434E9D" w:rsidRDefault="004C1CED" w:rsidP="004C1CED">
            <w:pPr>
              <w:widowControl/>
              <w:spacing w:before="40" w:after="40"/>
              <w:rPr>
                <w:rFonts w:eastAsia="Calibri"/>
                <w:noProof/>
                <w:sz w:val="22"/>
                <w:szCs w:val="22"/>
                <w:lang w:eastAsia="en-US"/>
              </w:rPr>
            </w:pPr>
          </w:p>
        </w:tc>
      </w:tr>
      <w:tr w:rsidR="004C1CED" w:rsidRPr="00434E9D" w14:paraId="2B27602E" w14:textId="77777777" w:rsidTr="00B12A07">
        <w:trPr>
          <w:gridBefore w:val="1"/>
          <w:wBefore w:w="17" w:type="dxa"/>
          <w:cantSplit/>
          <w:tblHeader/>
          <w:jc w:val="center"/>
        </w:trPr>
        <w:tc>
          <w:tcPr>
            <w:tcW w:w="651" w:type="dxa"/>
            <w:gridSpan w:val="3"/>
            <w:tcMar>
              <w:left w:w="28" w:type="dxa"/>
              <w:right w:w="28" w:type="dxa"/>
            </w:tcMar>
          </w:tcPr>
          <w:p w14:paraId="25E54426" w14:textId="77777777" w:rsidR="004C1CED" w:rsidRPr="00434E9D" w:rsidRDefault="004C1CED" w:rsidP="004C1CED">
            <w:pPr>
              <w:widowControl/>
              <w:spacing w:before="40" w:after="40"/>
              <w:jc w:val="both"/>
              <w:rPr>
                <w:rFonts w:eastAsia="Calibri"/>
                <w:noProof/>
                <w:sz w:val="22"/>
                <w:szCs w:val="22"/>
                <w:lang w:eastAsia="en-US"/>
              </w:rPr>
            </w:pPr>
            <w:r w:rsidRPr="00434E9D">
              <w:rPr>
                <w:rFonts w:eastAsia="Calibri"/>
                <w:noProof/>
                <w:sz w:val="22"/>
                <w:szCs w:val="22"/>
                <w:lang w:eastAsia="en-US"/>
              </w:rPr>
              <w:t>(28)</w:t>
            </w:r>
          </w:p>
        </w:tc>
        <w:tc>
          <w:tcPr>
            <w:tcW w:w="2286" w:type="dxa"/>
            <w:gridSpan w:val="3"/>
            <w:tcMar>
              <w:left w:w="28" w:type="dxa"/>
              <w:right w:w="28" w:type="dxa"/>
            </w:tcMar>
          </w:tcPr>
          <w:p w14:paraId="67741F76"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Hydrocarbures aromatiques polycycliques (HAP) (</w:t>
            </w:r>
            <w:r w:rsidRPr="00434E9D">
              <w:rPr>
                <w:rFonts w:eastAsia="Calibri"/>
                <w:noProof/>
                <w:sz w:val="22"/>
                <w:szCs w:val="22"/>
                <w:vertAlign w:val="superscript"/>
                <w:lang w:eastAsia="en-US"/>
              </w:rPr>
              <w:t>16</w:t>
            </w:r>
            <w:r w:rsidRPr="00434E9D">
              <w:rPr>
                <w:rFonts w:eastAsia="Calibri"/>
                <w:noProof/>
                <w:sz w:val="22"/>
                <w:szCs w:val="22"/>
                <w:lang w:eastAsia="en-US"/>
              </w:rPr>
              <w:t>)</w:t>
            </w:r>
          </w:p>
        </w:tc>
        <w:tc>
          <w:tcPr>
            <w:tcW w:w="1329" w:type="dxa"/>
            <w:gridSpan w:val="3"/>
            <w:tcMar>
              <w:left w:w="28" w:type="dxa"/>
              <w:right w:w="28" w:type="dxa"/>
            </w:tcMar>
          </w:tcPr>
          <w:p w14:paraId="6CE7D628"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Produits de combustion</w:t>
            </w:r>
          </w:p>
        </w:tc>
        <w:tc>
          <w:tcPr>
            <w:tcW w:w="992" w:type="dxa"/>
            <w:gridSpan w:val="2"/>
            <w:tcMar>
              <w:left w:w="28" w:type="dxa"/>
              <w:right w:w="28" w:type="dxa"/>
            </w:tcMar>
          </w:tcPr>
          <w:p w14:paraId="150FAE6D"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sans objet</w:t>
            </w:r>
          </w:p>
        </w:tc>
        <w:tc>
          <w:tcPr>
            <w:tcW w:w="1134" w:type="dxa"/>
          </w:tcPr>
          <w:p w14:paraId="15A342AC"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sans objet</w:t>
            </w:r>
          </w:p>
        </w:tc>
        <w:tc>
          <w:tcPr>
            <w:tcW w:w="1279" w:type="dxa"/>
            <w:gridSpan w:val="2"/>
            <w:tcMar>
              <w:left w:w="28" w:type="dxa"/>
              <w:right w:w="28" w:type="dxa"/>
            </w:tcMar>
          </w:tcPr>
          <w:p w14:paraId="3341875E"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sans objet</w:t>
            </w:r>
          </w:p>
        </w:tc>
        <w:tc>
          <w:tcPr>
            <w:tcW w:w="1279" w:type="dxa"/>
            <w:gridSpan w:val="2"/>
            <w:tcMar>
              <w:left w:w="28" w:type="dxa"/>
              <w:right w:w="28" w:type="dxa"/>
            </w:tcMar>
          </w:tcPr>
          <w:p w14:paraId="73F2F48A"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sans objet</w:t>
            </w:r>
          </w:p>
        </w:tc>
        <w:tc>
          <w:tcPr>
            <w:tcW w:w="1278" w:type="dxa"/>
            <w:gridSpan w:val="2"/>
            <w:tcMar>
              <w:left w:w="28" w:type="dxa"/>
              <w:right w:w="28" w:type="dxa"/>
            </w:tcMar>
          </w:tcPr>
          <w:p w14:paraId="4A9C58B4"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sans objet</w:t>
            </w:r>
          </w:p>
        </w:tc>
        <w:tc>
          <w:tcPr>
            <w:tcW w:w="1277" w:type="dxa"/>
            <w:gridSpan w:val="2"/>
            <w:tcMar>
              <w:left w:w="28" w:type="dxa"/>
              <w:right w:w="28" w:type="dxa"/>
            </w:tcMar>
          </w:tcPr>
          <w:p w14:paraId="6B03D3EB"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sans objet</w:t>
            </w:r>
          </w:p>
        </w:tc>
        <w:tc>
          <w:tcPr>
            <w:tcW w:w="1136" w:type="dxa"/>
            <w:gridSpan w:val="2"/>
            <w:tcMar>
              <w:left w:w="28" w:type="dxa"/>
              <w:right w:w="28" w:type="dxa"/>
            </w:tcMar>
          </w:tcPr>
          <w:p w14:paraId="0CE5D91B"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Somme des équivalents benzo(a)pyrène [0,6]</w:t>
            </w:r>
            <w:r w:rsidRPr="00434E9D">
              <w:rPr>
                <w:rFonts w:eastAsia="Calibri"/>
                <w:noProof/>
                <w:sz w:val="22"/>
                <w:szCs w:val="22"/>
                <w:vertAlign w:val="superscript"/>
                <w:lang w:eastAsia="en-US"/>
              </w:rPr>
              <w:t xml:space="preserve"> </w:t>
            </w:r>
            <w:r w:rsidRPr="00434E9D">
              <w:rPr>
                <w:rFonts w:eastAsia="Calibri"/>
                <w:noProof/>
                <w:sz w:val="22"/>
                <w:szCs w:val="22"/>
                <w:lang w:eastAsia="en-US"/>
              </w:rPr>
              <w:t>(</w:t>
            </w:r>
            <w:r w:rsidRPr="00434E9D">
              <w:rPr>
                <w:rFonts w:eastAsia="Calibri"/>
                <w:noProof/>
                <w:sz w:val="22"/>
                <w:szCs w:val="22"/>
                <w:vertAlign w:val="superscript"/>
                <w:lang w:eastAsia="en-US"/>
              </w:rPr>
              <w:t>17</w:t>
            </w:r>
            <w:r w:rsidRPr="00434E9D">
              <w:rPr>
                <w:rFonts w:eastAsia="Calibri"/>
                <w:noProof/>
                <w:sz w:val="22"/>
                <w:szCs w:val="22"/>
                <w:lang w:eastAsia="en-US"/>
              </w:rPr>
              <w:t>)</w:t>
            </w:r>
          </w:p>
        </w:tc>
        <w:tc>
          <w:tcPr>
            <w:tcW w:w="1262" w:type="dxa"/>
            <w:gridSpan w:val="2"/>
            <w:tcMar>
              <w:left w:w="28" w:type="dxa"/>
              <w:right w:w="28" w:type="dxa"/>
            </w:tcMar>
          </w:tcPr>
          <w:p w14:paraId="68C6A8AA"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 xml:space="preserve">X </w:t>
            </w:r>
          </w:p>
        </w:tc>
        <w:tc>
          <w:tcPr>
            <w:tcW w:w="1153" w:type="dxa"/>
            <w:gridSpan w:val="2"/>
            <w:tcMar>
              <w:left w:w="28" w:type="dxa"/>
              <w:right w:w="28" w:type="dxa"/>
            </w:tcMar>
          </w:tcPr>
          <w:p w14:paraId="28416304"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X</w:t>
            </w:r>
          </w:p>
        </w:tc>
        <w:tc>
          <w:tcPr>
            <w:tcW w:w="970" w:type="dxa"/>
            <w:tcMar>
              <w:left w:w="28" w:type="dxa"/>
              <w:right w:w="28" w:type="dxa"/>
            </w:tcMar>
          </w:tcPr>
          <w:p w14:paraId="6F806173"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X</w:t>
            </w:r>
          </w:p>
        </w:tc>
      </w:tr>
      <w:tr w:rsidR="004C1CED" w:rsidRPr="00434E9D" w14:paraId="004F4B99" w14:textId="77777777" w:rsidTr="00B12A07">
        <w:trPr>
          <w:gridBefore w:val="1"/>
          <w:wBefore w:w="17" w:type="dxa"/>
          <w:cantSplit/>
          <w:tblHeader/>
          <w:jc w:val="center"/>
        </w:trPr>
        <w:tc>
          <w:tcPr>
            <w:tcW w:w="651" w:type="dxa"/>
            <w:gridSpan w:val="3"/>
            <w:vMerge w:val="restart"/>
            <w:tcMar>
              <w:left w:w="28" w:type="dxa"/>
              <w:right w:w="28" w:type="dxa"/>
            </w:tcMar>
          </w:tcPr>
          <w:p w14:paraId="20A191AA" w14:textId="77777777" w:rsidR="004C1CED" w:rsidRPr="00434E9D" w:rsidRDefault="004C1CED" w:rsidP="004C1CED">
            <w:pPr>
              <w:widowControl/>
              <w:spacing w:before="40" w:after="40"/>
              <w:jc w:val="both"/>
              <w:rPr>
                <w:rFonts w:eastAsia="Calibri"/>
                <w:noProof/>
                <w:sz w:val="22"/>
                <w:szCs w:val="22"/>
                <w:lang w:eastAsia="en-US"/>
              </w:rPr>
            </w:pPr>
          </w:p>
        </w:tc>
        <w:tc>
          <w:tcPr>
            <w:tcW w:w="2286" w:type="dxa"/>
            <w:gridSpan w:val="3"/>
            <w:tcMar>
              <w:left w:w="28" w:type="dxa"/>
              <w:right w:w="28" w:type="dxa"/>
            </w:tcMar>
          </w:tcPr>
          <w:p w14:paraId="715DEF23"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Benzo(a)pyrène</w:t>
            </w:r>
          </w:p>
        </w:tc>
        <w:tc>
          <w:tcPr>
            <w:tcW w:w="1329" w:type="dxa"/>
            <w:gridSpan w:val="3"/>
            <w:tcMar>
              <w:left w:w="28" w:type="dxa"/>
              <w:right w:w="28" w:type="dxa"/>
            </w:tcMar>
          </w:tcPr>
          <w:p w14:paraId="3BABFD63" w14:textId="77777777" w:rsidR="004C1CED" w:rsidRPr="00434E9D" w:rsidRDefault="004C1CED" w:rsidP="004C1CED">
            <w:pPr>
              <w:widowControl/>
              <w:spacing w:before="40" w:after="40"/>
              <w:rPr>
                <w:rFonts w:eastAsia="Calibri"/>
                <w:noProof/>
                <w:sz w:val="22"/>
                <w:szCs w:val="22"/>
                <w:lang w:eastAsia="en-US"/>
              </w:rPr>
            </w:pPr>
          </w:p>
        </w:tc>
        <w:tc>
          <w:tcPr>
            <w:tcW w:w="992" w:type="dxa"/>
            <w:gridSpan w:val="2"/>
            <w:tcMar>
              <w:left w:w="28" w:type="dxa"/>
              <w:right w:w="28" w:type="dxa"/>
            </w:tcMar>
          </w:tcPr>
          <w:p w14:paraId="5024998D"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50-32-8</w:t>
            </w:r>
          </w:p>
        </w:tc>
        <w:tc>
          <w:tcPr>
            <w:tcW w:w="1134" w:type="dxa"/>
            <w:shd w:val="clear" w:color="auto" w:fill="auto"/>
          </w:tcPr>
          <w:p w14:paraId="2723A737"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200-028-5</w:t>
            </w:r>
          </w:p>
        </w:tc>
        <w:tc>
          <w:tcPr>
            <w:tcW w:w="1279" w:type="dxa"/>
            <w:gridSpan w:val="2"/>
            <w:shd w:val="clear" w:color="auto" w:fill="auto"/>
            <w:tcMar>
              <w:left w:w="28" w:type="dxa"/>
              <w:right w:w="28" w:type="dxa"/>
            </w:tcMar>
          </w:tcPr>
          <w:p w14:paraId="1DD2BF86" w14:textId="77777777" w:rsidR="004C1CED" w:rsidRPr="00434E9D" w:rsidRDefault="004C1CED" w:rsidP="004C1CED">
            <w:pPr>
              <w:widowControl/>
              <w:spacing w:before="40" w:after="40"/>
              <w:rPr>
                <w:rFonts w:eastAsia="Calibri"/>
                <w:noProof/>
                <w:sz w:val="22"/>
                <w:szCs w:val="22"/>
                <w:vertAlign w:val="superscript"/>
                <w:lang w:eastAsia="en-US"/>
              </w:rPr>
            </w:pPr>
          </w:p>
        </w:tc>
        <w:tc>
          <w:tcPr>
            <w:tcW w:w="1279" w:type="dxa"/>
            <w:gridSpan w:val="2"/>
            <w:shd w:val="clear" w:color="auto" w:fill="auto"/>
            <w:tcMar>
              <w:left w:w="28" w:type="dxa"/>
              <w:right w:w="28" w:type="dxa"/>
            </w:tcMar>
          </w:tcPr>
          <w:p w14:paraId="390A49A7" w14:textId="77777777" w:rsidR="004C1CED" w:rsidRPr="00434E9D" w:rsidRDefault="004C1CED" w:rsidP="004C1CED">
            <w:pPr>
              <w:widowControl/>
              <w:spacing w:before="40" w:after="40"/>
              <w:rPr>
                <w:rFonts w:eastAsia="Calibri"/>
                <w:noProof/>
                <w:sz w:val="22"/>
                <w:szCs w:val="22"/>
                <w:lang w:eastAsia="en-US"/>
              </w:rPr>
            </w:pPr>
          </w:p>
        </w:tc>
        <w:tc>
          <w:tcPr>
            <w:tcW w:w="1278" w:type="dxa"/>
            <w:gridSpan w:val="2"/>
            <w:tcMar>
              <w:left w:w="28" w:type="dxa"/>
              <w:right w:w="28" w:type="dxa"/>
            </w:tcMar>
          </w:tcPr>
          <w:p w14:paraId="5AB85A91"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0,27</w:t>
            </w:r>
          </w:p>
        </w:tc>
        <w:tc>
          <w:tcPr>
            <w:tcW w:w="1277" w:type="dxa"/>
            <w:gridSpan w:val="2"/>
            <w:tcMar>
              <w:left w:w="28" w:type="dxa"/>
              <w:right w:w="28" w:type="dxa"/>
            </w:tcMar>
          </w:tcPr>
          <w:p w14:paraId="6D7750C7"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0,027</w:t>
            </w:r>
          </w:p>
        </w:tc>
        <w:tc>
          <w:tcPr>
            <w:tcW w:w="1136" w:type="dxa"/>
            <w:gridSpan w:val="2"/>
            <w:tcMar>
              <w:left w:w="28" w:type="dxa"/>
              <w:right w:w="28" w:type="dxa"/>
            </w:tcMar>
          </w:tcPr>
          <w:p w14:paraId="1562D5E9" w14:textId="77777777" w:rsidR="004C1CED" w:rsidRPr="00434E9D" w:rsidRDefault="004C1CED" w:rsidP="004C1CED">
            <w:pPr>
              <w:widowControl/>
              <w:spacing w:before="40" w:after="40"/>
              <w:rPr>
                <w:rFonts w:eastAsia="Calibri"/>
                <w:b/>
                <w:i/>
                <w:noProof/>
                <w:sz w:val="22"/>
                <w:szCs w:val="22"/>
                <w:lang w:eastAsia="en-US"/>
              </w:rPr>
            </w:pPr>
            <w:bookmarkStart w:id="24" w:name="_DV_C335"/>
            <w:r w:rsidRPr="00434E9D">
              <w:rPr>
                <w:rFonts w:eastAsia="Calibri"/>
                <w:noProof/>
                <w:sz w:val="22"/>
                <w:szCs w:val="22"/>
                <w:lang w:eastAsia="en-US"/>
              </w:rPr>
              <w:t>[0,6</w:t>
            </w:r>
            <w:bookmarkEnd w:id="24"/>
            <w:r w:rsidRPr="00434E9D">
              <w:rPr>
                <w:rFonts w:eastAsia="Calibri"/>
                <w:noProof/>
                <w:sz w:val="22"/>
                <w:szCs w:val="22"/>
                <w:lang w:eastAsia="en-US"/>
              </w:rPr>
              <w:t>]</w:t>
            </w:r>
          </w:p>
        </w:tc>
        <w:tc>
          <w:tcPr>
            <w:tcW w:w="1262" w:type="dxa"/>
            <w:gridSpan w:val="2"/>
            <w:tcMar>
              <w:left w:w="28" w:type="dxa"/>
              <w:right w:w="28" w:type="dxa"/>
            </w:tcMar>
          </w:tcPr>
          <w:p w14:paraId="0BB5099D" w14:textId="77777777" w:rsidR="004C1CED" w:rsidRPr="00434E9D" w:rsidRDefault="004C1CED" w:rsidP="004C1CED">
            <w:pPr>
              <w:widowControl/>
              <w:spacing w:before="40" w:after="40"/>
              <w:rPr>
                <w:rFonts w:eastAsia="Calibri"/>
                <w:noProof/>
                <w:sz w:val="22"/>
                <w:szCs w:val="22"/>
                <w:lang w:eastAsia="en-US"/>
              </w:rPr>
            </w:pPr>
          </w:p>
        </w:tc>
        <w:tc>
          <w:tcPr>
            <w:tcW w:w="1153" w:type="dxa"/>
            <w:gridSpan w:val="2"/>
            <w:tcMar>
              <w:left w:w="28" w:type="dxa"/>
              <w:right w:w="28" w:type="dxa"/>
            </w:tcMar>
          </w:tcPr>
          <w:p w14:paraId="3B3E87D4" w14:textId="77777777" w:rsidR="004C1CED" w:rsidRPr="00434E9D" w:rsidRDefault="004C1CED" w:rsidP="004C1CED">
            <w:pPr>
              <w:widowControl/>
              <w:spacing w:before="40" w:after="40"/>
              <w:rPr>
                <w:rFonts w:eastAsia="Calibri"/>
                <w:strike/>
                <w:noProof/>
                <w:sz w:val="22"/>
                <w:szCs w:val="22"/>
                <w:lang w:eastAsia="en-US"/>
              </w:rPr>
            </w:pPr>
          </w:p>
        </w:tc>
        <w:tc>
          <w:tcPr>
            <w:tcW w:w="970" w:type="dxa"/>
            <w:tcMar>
              <w:left w:w="28" w:type="dxa"/>
              <w:right w:w="28" w:type="dxa"/>
            </w:tcMar>
          </w:tcPr>
          <w:p w14:paraId="68EDA7E8" w14:textId="77777777" w:rsidR="004C1CED" w:rsidRPr="00434E9D" w:rsidRDefault="004C1CED" w:rsidP="004C1CED">
            <w:pPr>
              <w:widowControl/>
              <w:spacing w:before="40" w:after="40"/>
              <w:rPr>
                <w:rFonts w:eastAsia="Calibri"/>
                <w:strike/>
                <w:noProof/>
                <w:sz w:val="22"/>
                <w:szCs w:val="22"/>
                <w:lang w:eastAsia="en-US"/>
              </w:rPr>
            </w:pPr>
          </w:p>
        </w:tc>
      </w:tr>
      <w:tr w:rsidR="004C1CED" w:rsidRPr="00434E9D" w14:paraId="335BFD1E" w14:textId="77777777" w:rsidTr="00B12A07">
        <w:trPr>
          <w:gridBefore w:val="1"/>
          <w:wBefore w:w="17" w:type="dxa"/>
          <w:cantSplit/>
          <w:tblHeader/>
          <w:jc w:val="center"/>
        </w:trPr>
        <w:tc>
          <w:tcPr>
            <w:tcW w:w="651" w:type="dxa"/>
            <w:gridSpan w:val="3"/>
            <w:vMerge/>
            <w:tcMar>
              <w:left w:w="28" w:type="dxa"/>
              <w:right w:w="28" w:type="dxa"/>
            </w:tcMar>
          </w:tcPr>
          <w:p w14:paraId="7D13D7AA" w14:textId="77777777" w:rsidR="004C1CED" w:rsidRPr="00434E9D" w:rsidRDefault="004C1CED" w:rsidP="004C1CED">
            <w:pPr>
              <w:widowControl/>
              <w:spacing w:before="40" w:after="40"/>
              <w:jc w:val="both"/>
              <w:rPr>
                <w:rFonts w:eastAsia="Calibri"/>
                <w:noProof/>
                <w:sz w:val="22"/>
                <w:szCs w:val="22"/>
                <w:lang w:eastAsia="en-US"/>
              </w:rPr>
            </w:pPr>
          </w:p>
        </w:tc>
        <w:tc>
          <w:tcPr>
            <w:tcW w:w="2286" w:type="dxa"/>
            <w:gridSpan w:val="3"/>
            <w:tcMar>
              <w:left w:w="28" w:type="dxa"/>
              <w:right w:w="28" w:type="dxa"/>
            </w:tcMar>
          </w:tcPr>
          <w:p w14:paraId="7D457F9B"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Benzo(b)fluoranthène</w:t>
            </w:r>
          </w:p>
        </w:tc>
        <w:tc>
          <w:tcPr>
            <w:tcW w:w="1329" w:type="dxa"/>
            <w:gridSpan w:val="3"/>
            <w:tcMar>
              <w:left w:w="28" w:type="dxa"/>
              <w:right w:w="28" w:type="dxa"/>
            </w:tcMar>
          </w:tcPr>
          <w:p w14:paraId="6E3D4648" w14:textId="77777777" w:rsidR="004C1CED" w:rsidRPr="00434E9D" w:rsidRDefault="004C1CED" w:rsidP="004C1CED">
            <w:pPr>
              <w:widowControl/>
              <w:spacing w:before="40" w:after="40"/>
              <w:rPr>
                <w:rFonts w:eastAsia="Calibri"/>
                <w:noProof/>
                <w:sz w:val="22"/>
                <w:szCs w:val="22"/>
                <w:lang w:eastAsia="en-US"/>
              </w:rPr>
            </w:pPr>
          </w:p>
        </w:tc>
        <w:tc>
          <w:tcPr>
            <w:tcW w:w="992" w:type="dxa"/>
            <w:gridSpan w:val="2"/>
            <w:tcMar>
              <w:left w:w="28" w:type="dxa"/>
              <w:right w:w="28" w:type="dxa"/>
            </w:tcMar>
          </w:tcPr>
          <w:p w14:paraId="3FBE246E"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205-99-2</w:t>
            </w:r>
          </w:p>
        </w:tc>
        <w:tc>
          <w:tcPr>
            <w:tcW w:w="1134" w:type="dxa"/>
          </w:tcPr>
          <w:p w14:paraId="7C885591" w14:textId="77777777" w:rsidR="004C1CED" w:rsidRPr="00434E9D" w:rsidDel="00BD2DD7"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205-911-9</w:t>
            </w:r>
          </w:p>
        </w:tc>
        <w:tc>
          <w:tcPr>
            <w:tcW w:w="1279" w:type="dxa"/>
            <w:gridSpan w:val="2"/>
            <w:tcMar>
              <w:left w:w="28" w:type="dxa"/>
              <w:right w:w="28" w:type="dxa"/>
            </w:tcMar>
          </w:tcPr>
          <w:p w14:paraId="15479211" w14:textId="77777777" w:rsidR="004C1CED" w:rsidRPr="00434E9D" w:rsidRDefault="004C1CED" w:rsidP="004C1CED">
            <w:pPr>
              <w:widowControl/>
              <w:spacing w:before="40" w:after="40"/>
              <w:rPr>
                <w:rFonts w:eastAsia="Calibri"/>
                <w:b/>
                <w:i/>
                <w:noProof/>
                <w:sz w:val="22"/>
                <w:szCs w:val="22"/>
                <w:lang w:eastAsia="en-US"/>
              </w:rPr>
            </w:pPr>
          </w:p>
        </w:tc>
        <w:tc>
          <w:tcPr>
            <w:tcW w:w="1279" w:type="dxa"/>
            <w:gridSpan w:val="2"/>
            <w:tcMar>
              <w:left w:w="28" w:type="dxa"/>
              <w:right w:w="28" w:type="dxa"/>
            </w:tcMar>
          </w:tcPr>
          <w:p w14:paraId="75BB4959" w14:textId="77777777" w:rsidR="004C1CED" w:rsidRPr="00434E9D" w:rsidRDefault="004C1CED" w:rsidP="004C1CED">
            <w:pPr>
              <w:widowControl/>
              <w:spacing w:before="40" w:after="40"/>
              <w:rPr>
                <w:rFonts w:eastAsia="Calibri"/>
                <w:b/>
                <w:i/>
                <w:noProof/>
                <w:sz w:val="22"/>
                <w:szCs w:val="22"/>
                <w:lang w:eastAsia="en-US"/>
              </w:rPr>
            </w:pPr>
          </w:p>
        </w:tc>
        <w:tc>
          <w:tcPr>
            <w:tcW w:w="1278" w:type="dxa"/>
            <w:gridSpan w:val="2"/>
            <w:tcMar>
              <w:left w:w="28" w:type="dxa"/>
              <w:right w:w="28" w:type="dxa"/>
            </w:tcMar>
          </w:tcPr>
          <w:p w14:paraId="2CF9DDDC"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0,017</w:t>
            </w:r>
          </w:p>
        </w:tc>
        <w:tc>
          <w:tcPr>
            <w:tcW w:w="1277" w:type="dxa"/>
            <w:gridSpan w:val="2"/>
            <w:tcMar>
              <w:left w:w="28" w:type="dxa"/>
              <w:right w:w="28" w:type="dxa"/>
            </w:tcMar>
          </w:tcPr>
          <w:p w14:paraId="08C10496"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0,017</w:t>
            </w:r>
          </w:p>
        </w:tc>
        <w:tc>
          <w:tcPr>
            <w:tcW w:w="1136" w:type="dxa"/>
            <w:gridSpan w:val="2"/>
            <w:tcMar>
              <w:left w:w="28" w:type="dxa"/>
              <w:right w:w="28" w:type="dxa"/>
            </w:tcMar>
          </w:tcPr>
          <w:p w14:paraId="6FD9A2CA" w14:textId="77777777" w:rsidR="004C1CED" w:rsidRPr="00434E9D" w:rsidRDefault="004C1CED" w:rsidP="004C1CED">
            <w:pPr>
              <w:widowControl/>
              <w:spacing w:before="40" w:after="40"/>
              <w:rPr>
                <w:rFonts w:eastAsia="Calibri"/>
                <w:b/>
                <w:noProof/>
                <w:sz w:val="22"/>
                <w:szCs w:val="22"/>
                <w:lang w:eastAsia="en-US"/>
              </w:rPr>
            </w:pPr>
            <w:bookmarkStart w:id="25" w:name="_DV_C338"/>
            <w:r w:rsidRPr="00434E9D">
              <w:rPr>
                <w:rFonts w:eastAsia="Calibri"/>
                <w:noProof/>
                <w:sz w:val="22"/>
                <w:szCs w:val="22"/>
                <w:lang w:eastAsia="en-US"/>
              </w:rPr>
              <w:t>voir note </w:t>
            </w:r>
            <w:bookmarkEnd w:id="25"/>
            <w:r w:rsidRPr="00434E9D">
              <w:rPr>
                <w:rFonts w:eastAsia="Calibri"/>
                <w:noProof/>
                <w:sz w:val="22"/>
                <w:szCs w:val="22"/>
                <w:lang w:eastAsia="en-US"/>
              </w:rPr>
              <w:t>17</w:t>
            </w:r>
          </w:p>
        </w:tc>
        <w:tc>
          <w:tcPr>
            <w:tcW w:w="1262" w:type="dxa"/>
            <w:gridSpan w:val="2"/>
            <w:tcMar>
              <w:left w:w="28" w:type="dxa"/>
              <w:right w:w="28" w:type="dxa"/>
            </w:tcMar>
          </w:tcPr>
          <w:p w14:paraId="0B471759" w14:textId="77777777" w:rsidR="004C1CED" w:rsidRPr="00434E9D" w:rsidRDefault="004C1CED" w:rsidP="004C1CED">
            <w:pPr>
              <w:widowControl/>
              <w:spacing w:before="40" w:after="40"/>
              <w:rPr>
                <w:rFonts w:eastAsia="Calibri"/>
                <w:noProof/>
                <w:sz w:val="22"/>
                <w:szCs w:val="22"/>
                <w:lang w:eastAsia="en-US"/>
              </w:rPr>
            </w:pPr>
          </w:p>
        </w:tc>
        <w:tc>
          <w:tcPr>
            <w:tcW w:w="1153" w:type="dxa"/>
            <w:gridSpan w:val="2"/>
            <w:tcMar>
              <w:left w:w="28" w:type="dxa"/>
              <w:right w:w="28" w:type="dxa"/>
            </w:tcMar>
          </w:tcPr>
          <w:p w14:paraId="41575D77" w14:textId="77777777" w:rsidR="004C1CED" w:rsidRPr="00434E9D" w:rsidRDefault="004C1CED" w:rsidP="004C1CED">
            <w:pPr>
              <w:widowControl/>
              <w:spacing w:before="40" w:after="40"/>
              <w:rPr>
                <w:rFonts w:eastAsia="Calibri"/>
                <w:i/>
                <w:noProof/>
                <w:sz w:val="22"/>
                <w:szCs w:val="22"/>
                <w:lang w:eastAsia="en-US"/>
              </w:rPr>
            </w:pPr>
          </w:p>
        </w:tc>
        <w:tc>
          <w:tcPr>
            <w:tcW w:w="970" w:type="dxa"/>
            <w:tcMar>
              <w:left w:w="28" w:type="dxa"/>
              <w:right w:w="28" w:type="dxa"/>
            </w:tcMar>
          </w:tcPr>
          <w:p w14:paraId="4FA9778B" w14:textId="77777777" w:rsidR="004C1CED" w:rsidRPr="00434E9D" w:rsidRDefault="004C1CED" w:rsidP="004C1CED">
            <w:pPr>
              <w:widowControl/>
              <w:spacing w:before="40" w:after="40"/>
              <w:rPr>
                <w:rFonts w:eastAsia="Calibri"/>
                <w:i/>
                <w:noProof/>
                <w:sz w:val="22"/>
                <w:szCs w:val="22"/>
                <w:lang w:eastAsia="en-US"/>
              </w:rPr>
            </w:pPr>
          </w:p>
        </w:tc>
      </w:tr>
      <w:tr w:rsidR="004C1CED" w:rsidRPr="00434E9D" w14:paraId="1014F063" w14:textId="77777777" w:rsidTr="00B12A07">
        <w:trPr>
          <w:gridBefore w:val="1"/>
          <w:wBefore w:w="17" w:type="dxa"/>
          <w:cantSplit/>
          <w:tblHeader/>
          <w:jc w:val="center"/>
        </w:trPr>
        <w:tc>
          <w:tcPr>
            <w:tcW w:w="651" w:type="dxa"/>
            <w:gridSpan w:val="3"/>
            <w:vMerge/>
            <w:tcMar>
              <w:left w:w="28" w:type="dxa"/>
              <w:right w:w="28" w:type="dxa"/>
            </w:tcMar>
          </w:tcPr>
          <w:p w14:paraId="6B0A37C5" w14:textId="77777777" w:rsidR="004C1CED" w:rsidRPr="00434E9D" w:rsidRDefault="004C1CED" w:rsidP="004C1CED">
            <w:pPr>
              <w:widowControl/>
              <w:spacing w:before="40" w:after="40"/>
              <w:jc w:val="both"/>
              <w:rPr>
                <w:rFonts w:eastAsia="Calibri"/>
                <w:noProof/>
                <w:sz w:val="22"/>
                <w:szCs w:val="22"/>
                <w:lang w:eastAsia="en-US"/>
              </w:rPr>
            </w:pPr>
          </w:p>
        </w:tc>
        <w:tc>
          <w:tcPr>
            <w:tcW w:w="2286" w:type="dxa"/>
            <w:gridSpan w:val="3"/>
            <w:tcMar>
              <w:left w:w="28" w:type="dxa"/>
              <w:right w:w="28" w:type="dxa"/>
            </w:tcMar>
          </w:tcPr>
          <w:p w14:paraId="020A7289"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Benzo(k)fluoranthène</w:t>
            </w:r>
          </w:p>
        </w:tc>
        <w:tc>
          <w:tcPr>
            <w:tcW w:w="1329" w:type="dxa"/>
            <w:gridSpan w:val="3"/>
            <w:tcMar>
              <w:left w:w="28" w:type="dxa"/>
              <w:right w:w="28" w:type="dxa"/>
            </w:tcMar>
          </w:tcPr>
          <w:p w14:paraId="65D8AFE2" w14:textId="77777777" w:rsidR="004C1CED" w:rsidRPr="00434E9D" w:rsidRDefault="004C1CED" w:rsidP="004C1CED">
            <w:pPr>
              <w:widowControl/>
              <w:spacing w:before="40" w:after="40"/>
              <w:rPr>
                <w:rFonts w:eastAsia="Calibri"/>
                <w:noProof/>
                <w:sz w:val="22"/>
                <w:szCs w:val="22"/>
                <w:lang w:eastAsia="en-US"/>
              </w:rPr>
            </w:pPr>
          </w:p>
        </w:tc>
        <w:tc>
          <w:tcPr>
            <w:tcW w:w="992" w:type="dxa"/>
            <w:gridSpan w:val="2"/>
            <w:tcMar>
              <w:left w:w="28" w:type="dxa"/>
              <w:right w:w="28" w:type="dxa"/>
            </w:tcMar>
          </w:tcPr>
          <w:p w14:paraId="44E06132"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207-08-9</w:t>
            </w:r>
          </w:p>
        </w:tc>
        <w:tc>
          <w:tcPr>
            <w:tcW w:w="1134" w:type="dxa"/>
          </w:tcPr>
          <w:p w14:paraId="6EFDA1D0" w14:textId="77777777" w:rsidR="004C1CED" w:rsidRPr="00434E9D" w:rsidDel="00BD2DD7"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205-916-6</w:t>
            </w:r>
          </w:p>
        </w:tc>
        <w:tc>
          <w:tcPr>
            <w:tcW w:w="1279" w:type="dxa"/>
            <w:gridSpan w:val="2"/>
            <w:tcMar>
              <w:left w:w="28" w:type="dxa"/>
              <w:right w:w="28" w:type="dxa"/>
            </w:tcMar>
          </w:tcPr>
          <w:p w14:paraId="1335A2EC" w14:textId="77777777" w:rsidR="004C1CED" w:rsidRPr="00434E9D" w:rsidRDefault="004C1CED" w:rsidP="004C1CED">
            <w:pPr>
              <w:widowControl/>
              <w:spacing w:before="40" w:after="40"/>
              <w:rPr>
                <w:rFonts w:eastAsia="Calibri"/>
                <w:b/>
                <w:i/>
                <w:noProof/>
                <w:sz w:val="22"/>
                <w:szCs w:val="22"/>
                <w:lang w:eastAsia="en-US"/>
              </w:rPr>
            </w:pPr>
          </w:p>
        </w:tc>
        <w:tc>
          <w:tcPr>
            <w:tcW w:w="1279" w:type="dxa"/>
            <w:gridSpan w:val="2"/>
            <w:tcMar>
              <w:left w:w="28" w:type="dxa"/>
              <w:right w:w="28" w:type="dxa"/>
            </w:tcMar>
          </w:tcPr>
          <w:p w14:paraId="0BB8030A" w14:textId="77777777" w:rsidR="004C1CED" w:rsidRPr="00434E9D" w:rsidRDefault="004C1CED" w:rsidP="004C1CED">
            <w:pPr>
              <w:widowControl/>
              <w:spacing w:before="40" w:after="40"/>
              <w:rPr>
                <w:rFonts w:eastAsia="Calibri"/>
                <w:b/>
                <w:i/>
                <w:noProof/>
                <w:sz w:val="22"/>
                <w:szCs w:val="22"/>
                <w:lang w:eastAsia="en-US"/>
              </w:rPr>
            </w:pPr>
          </w:p>
        </w:tc>
        <w:tc>
          <w:tcPr>
            <w:tcW w:w="1278" w:type="dxa"/>
            <w:gridSpan w:val="2"/>
            <w:tcMar>
              <w:left w:w="28" w:type="dxa"/>
              <w:right w:w="28" w:type="dxa"/>
            </w:tcMar>
          </w:tcPr>
          <w:p w14:paraId="2D595F2A"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0,017</w:t>
            </w:r>
          </w:p>
        </w:tc>
        <w:tc>
          <w:tcPr>
            <w:tcW w:w="1277" w:type="dxa"/>
            <w:gridSpan w:val="2"/>
            <w:tcMar>
              <w:left w:w="28" w:type="dxa"/>
              <w:right w:w="28" w:type="dxa"/>
            </w:tcMar>
          </w:tcPr>
          <w:p w14:paraId="58A4A181"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0,017</w:t>
            </w:r>
          </w:p>
        </w:tc>
        <w:tc>
          <w:tcPr>
            <w:tcW w:w="1136" w:type="dxa"/>
            <w:gridSpan w:val="2"/>
            <w:tcMar>
              <w:left w:w="28" w:type="dxa"/>
              <w:right w:w="28" w:type="dxa"/>
            </w:tcMar>
          </w:tcPr>
          <w:p w14:paraId="3ED4A423" w14:textId="77777777" w:rsidR="004C1CED" w:rsidRPr="00434E9D" w:rsidRDefault="004C1CED" w:rsidP="004C1CED">
            <w:pPr>
              <w:widowControl/>
              <w:spacing w:before="40" w:after="40"/>
              <w:rPr>
                <w:rFonts w:eastAsia="Calibri"/>
                <w:b/>
                <w:noProof/>
                <w:sz w:val="22"/>
                <w:szCs w:val="22"/>
                <w:lang w:eastAsia="en-US"/>
              </w:rPr>
            </w:pPr>
            <w:bookmarkStart w:id="26" w:name="_DV_C341"/>
            <w:r w:rsidRPr="00434E9D">
              <w:rPr>
                <w:rFonts w:eastAsia="Calibri"/>
                <w:noProof/>
                <w:sz w:val="22"/>
                <w:szCs w:val="22"/>
                <w:lang w:eastAsia="en-US"/>
              </w:rPr>
              <w:t>voir note </w:t>
            </w:r>
            <w:bookmarkEnd w:id="26"/>
            <w:r w:rsidRPr="00434E9D">
              <w:rPr>
                <w:rFonts w:eastAsia="Calibri"/>
                <w:noProof/>
                <w:sz w:val="22"/>
                <w:szCs w:val="22"/>
                <w:lang w:eastAsia="en-US"/>
              </w:rPr>
              <w:t>17</w:t>
            </w:r>
          </w:p>
        </w:tc>
        <w:tc>
          <w:tcPr>
            <w:tcW w:w="1262" w:type="dxa"/>
            <w:gridSpan w:val="2"/>
            <w:tcMar>
              <w:left w:w="28" w:type="dxa"/>
              <w:right w:w="28" w:type="dxa"/>
            </w:tcMar>
          </w:tcPr>
          <w:p w14:paraId="7EA9971F" w14:textId="77777777" w:rsidR="004C1CED" w:rsidRPr="00434E9D" w:rsidRDefault="004C1CED" w:rsidP="004C1CED">
            <w:pPr>
              <w:widowControl/>
              <w:spacing w:before="40" w:after="40"/>
              <w:rPr>
                <w:rFonts w:eastAsia="Calibri"/>
                <w:noProof/>
                <w:sz w:val="22"/>
                <w:szCs w:val="22"/>
                <w:lang w:eastAsia="en-US"/>
              </w:rPr>
            </w:pPr>
          </w:p>
        </w:tc>
        <w:tc>
          <w:tcPr>
            <w:tcW w:w="1153" w:type="dxa"/>
            <w:gridSpan w:val="2"/>
            <w:tcMar>
              <w:left w:w="28" w:type="dxa"/>
              <w:right w:w="28" w:type="dxa"/>
            </w:tcMar>
          </w:tcPr>
          <w:p w14:paraId="4B177A3F" w14:textId="77777777" w:rsidR="004C1CED" w:rsidRPr="00434E9D" w:rsidRDefault="004C1CED" w:rsidP="004C1CED">
            <w:pPr>
              <w:widowControl/>
              <w:spacing w:before="40" w:after="40"/>
              <w:rPr>
                <w:rFonts w:eastAsia="Calibri"/>
                <w:i/>
                <w:noProof/>
                <w:sz w:val="22"/>
                <w:szCs w:val="22"/>
                <w:lang w:eastAsia="en-US"/>
              </w:rPr>
            </w:pPr>
          </w:p>
        </w:tc>
        <w:tc>
          <w:tcPr>
            <w:tcW w:w="970" w:type="dxa"/>
            <w:tcMar>
              <w:left w:w="28" w:type="dxa"/>
              <w:right w:w="28" w:type="dxa"/>
            </w:tcMar>
          </w:tcPr>
          <w:p w14:paraId="5EB991A3" w14:textId="77777777" w:rsidR="004C1CED" w:rsidRPr="00434E9D" w:rsidRDefault="004C1CED" w:rsidP="004C1CED">
            <w:pPr>
              <w:widowControl/>
              <w:spacing w:before="40" w:after="40"/>
              <w:rPr>
                <w:rFonts w:eastAsia="Calibri"/>
                <w:i/>
                <w:noProof/>
                <w:sz w:val="22"/>
                <w:szCs w:val="22"/>
                <w:lang w:eastAsia="en-US"/>
              </w:rPr>
            </w:pPr>
          </w:p>
        </w:tc>
      </w:tr>
      <w:tr w:rsidR="004C1CED" w:rsidRPr="00434E9D" w14:paraId="484A801F" w14:textId="77777777" w:rsidTr="00B12A07">
        <w:trPr>
          <w:gridBefore w:val="1"/>
          <w:wBefore w:w="17" w:type="dxa"/>
          <w:cantSplit/>
          <w:tblHeader/>
          <w:jc w:val="center"/>
        </w:trPr>
        <w:tc>
          <w:tcPr>
            <w:tcW w:w="651" w:type="dxa"/>
            <w:gridSpan w:val="3"/>
            <w:vMerge/>
            <w:tcMar>
              <w:left w:w="28" w:type="dxa"/>
              <w:right w:w="28" w:type="dxa"/>
            </w:tcMar>
          </w:tcPr>
          <w:p w14:paraId="0E56B519" w14:textId="77777777" w:rsidR="004C1CED" w:rsidRPr="00434E9D" w:rsidRDefault="004C1CED" w:rsidP="004C1CED">
            <w:pPr>
              <w:widowControl/>
              <w:spacing w:before="40" w:after="40"/>
              <w:jc w:val="both"/>
              <w:rPr>
                <w:rFonts w:eastAsia="Calibri"/>
                <w:noProof/>
                <w:sz w:val="22"/>
                <w:szCs w:val="22"/>
                <w:lang w:eastAsia="en-US"/>
              </w:rPr>
            </w:pPr>
          </w:p>
        </w:tc>
        <w:tc>
          <w:tcPr>
            <w:tcW w:w="2286" w:type="dxa"/>
            <w:gridSpan w:val="3"/>
            <w:tcMar>
              <w:left w:w="28" w:type="dxa"/>
              <w:right w:w="28" w:type="dxa"/>
            </w:tcMar>
          </w:tcPr>
          <w:p w14:paraId="2F6E3D3A" w14:textId="77777777" w:rsidR="004C1CED" w:rsidRPr="00434E9D" w:rsidRDefault="004C1CED" w:rsidP="004C1CED">
            <w:pPr>
              <w:widowControl/>
              <w:spacing w:before="40" w:after="40"/>
              <w:rPr>
                <w:rFonts w:eastAsia="Calibri"/>
                <w:noProof/>
                <w:sz w:val="22"/>
                <w:szCs w:val="22"/>
                <w:lang w:val="pt-PT" w:eastAsia="en-US"/>
              </w:rPr>
            </w:pPr>
            <w:r w:rsidRPr="00434E9D">
              <w:rPr>
                <w:rFonts w:eastAsia="Calibri"/>
                <w:noProof/>
                <w:sz w:val="22"/>
                <w:szCs w:val="22"/>
                <w:lang w:val="pt-PT" w:eastAsia="en-US"/>
              </w:rPr>
              <w:t>Benzo(g,h,i)pérylène</w:t>
            </w:r>
          </w:p>
        </w:tc>
        <w:tc>
          <w:tcPr>
            <w:tcW w:w="1329" w:type="dxa"/>
            <w:gridSpan w:val="3"/>
            <w:tcMar>
              <w:left w:w="28" w:type="dxa"/>
              <w:right w:w="28" w:type="dxa"/>
            </w:tcMar>
          </w:tcPr>
          <w:p w14:paraId="332F95F0" w14:textId="77777777" w:rsidR="004C1CED" w:rsidRPr="00434E9D" w:rsidRDefault="004C1CED" w:rsidP="004C1CED">
            <w:pPr>
              <w:widowControl/>
              <w:spacing w:before="40" w:after="40"/>
              <w:rPr>
                <w:rFonts w:eastAsia="Calibri"/>
                <w:noProof/>
                <w:sz w:val="22"/>
                <w:szCs w:val="22"/>
                <w:lang w:val="pt-PT" w:eastAsia="en-US"/>
              </w:rPr>
            </w:pPr>
          </w:p>
        </w:tc>
        <w:tc>
          <w:tcPr>
            <w:tcW w:w="992" w:type="dxa"/>
            <w:gridSpan w:val="2"/>
            <w:tcMar>
              <w:left w:w="28" w:type="dxa"/>
              <w:right w:w="28" w:type="dxa"/>
            </w:tcMar>
          </w:tcPr>
          <w:p w14:paraId="4397F70C"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191-24-2</w:t>
            </w:r>
          </w:p>
        </w:tc>
        <w:tc>
          <w:tcPr>
            <w:tcW w:w="1134" w:type="dxa"/>
          </w:tcPr>
          <w:p w14:paraId="37ED5F8D" w14:textId="77777777" w:rsidR="004C1CED" w:rsidRPr="00434E9D" w:rsidDel="00BD2DD7"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205-883-8</w:t>
            </w:r>
          </w:p>
        </w:tc>
        <w:tc>
          <w:tcPr>
            <w:tcW w:w="1279" w:type="dxa"/>
            <w:gridSpan w:val="2"/>
            <w:tcMar>
              <w:left w:w="28" w:type="dxa"/>
              <w:right w:w="28" w:type="dxa"/>
            </w:tcMar>
          </w:tcPr>
          <w:p w14:paraId="2877760C" w14:textId="77777777" w:rsidR="004C1CED" w:rsidRPr="00434E9D" w:rsidRDefault="004C1CED" w:rsidP="004C1CED">
            <w:pPr>
              <w:widowControl/>
              <w:spacing w:before="40" w:after="40"/>
              <w:rPr>
                <w:rFonts w:eastAsia="Calibri"/>
                <w:b/>
                <w:i/>
                <w:noProof/>
                <w:sz w:val="22"/>
                <w:szCs w:val="22"/>
                <w:lang w:eastAsia="en-US"/>
              </w:rPr>
            </w:pPr>
          </w:p>
        </w:tc>
        <w:tc>
          <w:tcPr>
            <w:tcW w:w="1279" w:type="dxa"/>
            <w:gridSpan w:val="2"/>
            <w:tcMar>
              <w:left w:w="28" w:type="dxa"/>
              <w:right w:w="28" w:type="dxa"/>
            </w:tcMar>
          </w:tcPr>
          <w:p w14:paraId="09F86B53" w14:textId="77777777" w:rsidR="004C1CED" w:rsidRPr="00434E9D" w:rsidRDefault="004C1CED" w:rsidP="004C1CED">
            <w:pPr>
              <w:widowControl/>
              <w:spacing w:before="40" w:after="40"/>
              <w:rPr>
                <w:rFonts w:eastAsia="Calibri"/>
                <w:b/>
                <w:i/>
                <w:noProof/>
                <w:sz w:val="22"/>
                <w:szCs w:val="22"/>
                <w:lang w:eastAsia="en-US"/>
              </w:rPr>
            </w:pPr>
          </w:p>
        </w:tc>
        <w:tc>
          <w:tcPr>
            <w:tcW w:w="1278" w:type="dxa"/>
            <w:gridSpan w:val="2"/>
            <w:tcMar>
              <w:left w:w="28" w:type="dxa"/>
              <w:right w:w="28" w:type="dxa"/>
            </w:tcMar>
          </w:tcPr>
          <w:p w14:paraId="1A3A1523" w14:textId="77777777" w:rsidR="004C1CED" w:rsidRPr="00434E9D" w:rsidRDefault="004C1CED" w:rsidP="004C1CED">
            <w:pPr>
              <w:widowControl/>
              <w:spacing w:before="40" w:after="40"/>
              <w:rPr>
                <w:rFonts w:eastAsia="Calibri"/>
                <w:noProof/>
                <w:sz w:val="22"/>
                <w:szCs w:val="22"/>
                <w:vertAlign w:val="superscript"/>
                <w:lang w:eastAsia="en-US"/>
              </w:rPr>
            </w:pPr>
            <w:r w:rsidRPr="00434E9D">
              <w:rPr>
                <w:rFonts w:eastAsia="Calibri"/>
                <w:noProof/>
                <w:sz w:val="22"/>
                <w:szCs w:val="22"/>
                <w:lang w:eastAsia="en-US"/>
              </w:rPr>
              <w:t>8,2 × 10</w:t>
            </w:r>
            <w:r w:rsidRPr="00434E9D">
              <w:rPr>
                <w:rFonts w:eastAsia="Calibri"/>
                <w:noProof/>
                <w:sz w:val="22"/>
                <w:szCs w:val="22"/>
                <w:vertAlign w:val="superscript"/>
                <w:lang w:eastAsia="en-US"/>
              </w:rPr>
              <w:t>-3</w:t>
            </w:r>
          </w:p>
        </w:tc>
        <w:tc>
          <w:tcPr>
            <w:tcW w:w="1277" w:type="dxa"/>
            <w:gridSpan w:val="2"/>
            <w:tcMar>
              <w:left w:w="28" w:type="dxa"/>
              <w:right w:w="28" w:type="dxa"/>
            </w:tcMar>
          </w:tcPr>
          <w:p w14:paraId="4149AC38" w14:textId="77777777" w:rsidR="004C1CED" w:rsidRPr="00434E9D" w:rsidRDefault="004C1CED" w:rsidP="004C1CED">
            <w:pPr>
              <w:widowControl/>
              <w:spacing w:before="40" w:after="40"/>
              <w:rPr>
                <w:rFonts w:eastAsia="Calibri"/>
                <w:noProof/>
                <w:sz w:val="22"/>
                <w:szCs w:val="22"/>
                <w:vertAlign w:val="superscript"/>
                <w:lang w:eastAsia="en-US"/>
              </w:rPr>
            </w:pPr>
            <w:r w:rsidRPr="00434E9D">
              <w:rPr>
                <w:rFonts w:eastAsia="Calibri"/>
                <w:noProof/>
                <w:sz w:val="22"/>
                <w:szCs w:val="22"/>
                <w:lang w:eastAsia="en-US"/>
              </w:rPr>
              <w:t>8,2 × 10</w:t>
            </w:r>
            <w:r w:rsidRPr="00434E9D">
              <w:rPr>
                <w:rFonts w:eastAsia="Calibri"/>
                <w:noProof/>
                <w:sz w:val="22"/>
                <w:szCs w:val="22"/>
                <w:vertAlign w:val="superscript"/>
                <w:lang w:eastAsia="en-US"/>
              </w:rPr>
              <w:t>-4</w:t>
            </w:r>
          </w:p>
        </w:tc>
        <w:tc>
          <w:tcPr>
            <w:tcW w:w="1136" w:type="dxa"/>
            <w:gridSpan w:val="2"/>
            <w:tcMar>
              <w:left w:w="28" w:type="dxa"/>
              <w:right w:w="28" w:type="dxa"/>
            </w:tcMar>
          </w:tcPr>
          <w:p w14:paraId="4260A547" w14:textId="77777777" w:rsidR="004C1CED" w:rsidRPr="00434E9D" w:rsidRDefault="004C1CED" w:rsidP="004C1CED">
            <w:pPr>
              <w:widowControl/>
              <w:spacing w:before="40" w:after="40"/>
              <w:rPr>
                <w:rFonts w:eastAsia="Calibri"/>
                <w:b/>
                <w:noProof/>
                <w:sz w:val="22"/>
                <w:szCs w:val="22"/>
                <w:lang w:eastAsia="en-US"/>
              </w:rPr>
            </w:pPr>
            <w:bookmarkStart w:id="27" w:name="_DV_C344"/>
            <w:r w:rsidRPr="00434E9D">
              <w:rPr>
                <w:rFonts w:eastAsia="Calibri"/>
                <w:noProof/>
                <w:sz w:val="22"/>
                <w:szCs w:val="22"/>
                <w:lang w:eastAsia="en-US"/>
              </w:rPr>
              <w:t>voir note </w:t>
            </w:r>
            <w:bookmarkEnd w:id="27"/>
            <w:r w:rsidRPr="00434E9D">
              <w:rPr>
                <w:rFonts w:eastAsia="Calibri"/>
                <w:noProof/>
                <w:sz w:val="22"/>
                <w:szCs w:val="22"/>
                <w:lang w:eastAsia="en-US"/>
              </w:rPr>
              <w:t>17</w:t>
            </w:r>
          </w:p>
        </w:tc>
        <w:tc>
          <w:tcPr>
            <w:tcW w:w="1262" w:type="dxa"/>
            <w:gridSpan w:val="2"/>
            <w:tcMar>
              <w:left w:w="28" w:type="dxa"/>
              <w:right w:w="28" w:type="dxa"/>
            </w:tcMar>
          </w:tcPr>
          <w:p w14:paraId="10B172D5" w14:textId="77777777" w:rsidR="004C1CED" w:rsidRPr="00434E9D" w:rsidRDefault="004C1CED" w:rsidP="004C1CED">
            <w:pPr>
              <w:widowControl/>
              <w:spacing w:before="40" w:after="40"/>
              <w:rPr>
                <w:rFonts w:eastAsia="Calibri"/>
                <w:noProof/>
                <w:sz w:val="22"/>
                <w:szCs w:val="22"/>
                <w:lang w:eastAsia="en-US"/>
              </w:rPr>
            </w:pPr>
          </w:p>
        </w:tc>
        <w:tc>
          <w:tcPr>
            <w:tcW w:w="1153" w:type="dxa"/>
            <w:gridSpan w:val="2"/>
            <w:tcMar>
              <w:left w:w="28" w:type="dxa"/>
              <w:right w:w="28" w:type="dxa"/>
            </w:tcMar>
          </w:tcPr>
          <w:p w14:paraId="028F0749" w14:textId="77777777" w:rsidR="004C1CED" w:rsidRPr="00434E9D" w:rsidRDefault="004C1CED" w:rsidP="004C1CED">
            <w:pPr>
              <w:widowControl/>
              <w:spacing w:before="40" w:after="40"/>
              <w:rPr>
                <w:rFonts w:eastAsia="Calibri"/>
                <w:i/>
                <w:noProof/>
                <w:sz w:val="22"/>
                <w:szCs w:val="22"/>
                <w:lang w:eastAsia="en-US"/>
              </w:rPr>
            </w:pPr>
          </w:p>
        </w:tc>
        <w:tc>
          <w:tcPr>
            <w:tcW w:w="970" w:type="dxa"/>
            <w:tcMar>
              <w:left w:w="28" w:type="dxa"/>
              <w:right w:w="28" w:type="dxa"/>
            </w:tcMar>
          </w:tcPr>
          <w:p w14:paraId="44172DF2" w14:textId="77777777" w:rsidR="004C1CED" w:rsidRPr="00434E9D" w:rsidRDefault="004C1CED" w:rsidP="004C1CED">
            <w:pPr>
              <w:widowControl/>
              <w:spacing w:before="40" w:after="40"/>
              <w:rPr>
                <w:rFonts w:eastAsia="Calibri"/>
                <w:i/>
                <w:noProof/>
                <w:sz w:val="22"/>
                <w:szCs w:val="22"/>
                <w:lang w:eastAsia="en-US"/>
              </w:rPr>
            </w:pPr>
          </w:p>
        </w:tc>
      </w:tr>
      <w:tr w:rsidR="004C1CED" w:rsidRPr="00434E9D" w14:paraId="411AB32B" w14:textId="77777777" w:rsidTr="00B12A07">
        <w:trPr>
          <w:gridBefore w:val="1"/>
          <w:wBefore w:w="17" w:type="dxa"/>
          <w:cantSplit/>
          <w:tblHeader/>
          <w:jc w:val="center"/>
        </w:trPr>
        <w:tc>
          <w:tcPr>
            <w:tcW w:w="651" w:type="dxa"/>
            <w:gridSpan w:val="3"/>
            <w:vMerge/>
            <w:tcMar>
              <w:left w:w="28" w:type="dxa"/>
              <w:right w:w="28" w:type="dxa"/>
            </w:tcMar>
          </w:tcPr>
          <w:p w14:paraId="6D22029F" w14:textId="77777777" w:rsidR="004C1CED" w:rsidRPr="00434E9D" w:rsidRDefault="004C1CED" w:rsidP="004C1CED">
            <w:pPr>
              <w:widowControl/>
              <w:spacing w:before="40" w:after="40"/>
              <w:jc w:val="both"/>
              <w:rPr>
                <w:rFonts w:eastAsia="Calibri"/>
                <w:noProof/>
                <w:sz w:val="22"/>
                <w:szCs w:val="22"/>
                <w:lang w:eastAsia="en-US"/>
              </w:rPr>
            </w:pPr>
          </w:p>
        </w:tc>
        <w:tc>
          <w:tcPr>
            <w:tcW w:w="2286" w:type="dxa"/>
            <w:gridSpan w:val="3"/>
            <w:tcMar>
              <w:left w:w="28" w:type="dxa"/>
              <w:right w:w="28" w:type="dxa"/>
            </w:tcMar>
          </w:tcPr>
          <w:p w14:paraId="4CCB740A"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Indéno(1,2,3-cd)pyrène</w:t>
            </w:r>
          </w:p>
        </w:tc>
        <w:tc>
          <w:tcPr>
            <w:tcW w:w="1329" w:type="dxa"/>
            <w:gridSpan w:val="3"/>
            <w:tcMar>
              <w:left w:w="28" w:type="dxa"/>
              <w:right w:w="28" w:type="dxa"/>
            </w:tcMar>
          </w:tcPr>
          <w:p w14:paraId="342F7B3A" w14:textId="77777777" w:rsidR="004C1CED" w:rsidRPr="00434E9D" w:rsidRDefault="004C1CED" w:rsidP="004C1CED">
            <w:pPr>
              <w:widowControl/>
              <w:spacing w:before="40" w:after="40"/>
              <w:rPr>
                <w:rFonts w:eastAsia="Calibri"/>
                <w:noProof/>
                <w:sz w:val="22"/>
                <w:szCs w:val="22"/>
                <w:lang w:eastAsia="en-US"/>
              </w:rPr>
            </w:pPr>
          </w:p>
        </w:tc>
        <w:tc>
          <w:tcPr>
            <w:tcW w:w="992" w:type="dxa"/>
            <w:gridSpan w:val="2"/>
            <w:tcMar>
              <w:left w:w="28" w:type="dxa"/>
              <w:right w:w="28" w:type="dxa"/>
            </w:tcMar>
          </w:tcPr>
          <w:p w14:paraId="1C972083"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193-39-5</w:t>
            </w:r>
          </w:p>
        </w:tc>
        <w:tc>
          <w:tcPr>
            <w:tcW w:w="1134" w:type="dxa"/>
          </w:tcPr>
          <w:p w14:paraId="6CC6FD28" w14:textId="77777777" w:rsidR="004C1CED" w:rsidRPr="00434E9D" w:rsidDel="00BD2DD7"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205-893-2</w:t>
            </w:r>
          </w:p>
        </w:tc>
        <w:tc>
          <w:tcPr>
            <w:tcW w:w="1279" w:type="dxa"/>
            <w:gridSpan w:val="2"/>
            <w:tcMar>
              <w:left w:w="28" w:type="dxa"/>
              <w:right w:w="28" w:type="dxa"/>
            </w:tcMar>
          </w:tcPr>
          <w:p w14:paraId="28EAD0E2" w14:textId="77777777" w:rsidR="004C1CED" w:rsidRPr="00434E9D" w:rsidRDefault="004C1CED" w:rsidP="004C1CED">
            <w:pPr>
              <w:widowControl/>
              <w:spacing w:before="40" w:after="40"/>
              <w:rPr>
                <w:rFonts w:eastAsia="Calibri"/>
                <w:b/>
                <w:i/>
                <w:noProof/>
                <w:sz w:val="22"/>
                <w:szCs w:val="22"/>
                <w:lang w:eastAsia="en-US"/>
              </w:rPr>
            </w:pPr>
          </w:p>
        </w:tc>
        <w:tc>
          <w:tcPr>
            <w:tcW w:w="1279" w:type="dxa"/>
            <w:gridSpan w:val="2"/>
            <w:tcMar>
              <w:left w:w="28" w:type="dxa"/>
              <w:right w:w="28" w:type="dxa"/>
            </w:tcMar>
          </w:tcPr>
          <w:p w14:paraId="535C3090" w14:textId="77777777" w:rsidR="004C1CED" w:rsidRPr="00434E9D" w:rsidRDefault="004C1CED" w:rsidP="004C1CED">
            <w:pPr>
              <w:widowControl/>
              <w:spacing w:before="40" w:after="40"/>
              <w:rPr>
                <w:rFonts w:eastAsia="Calibri"/>
                <w:b/>
                <w:i/>
                <w:noProof/>
                <w:sz w:val="22"/>
                <w:szCs w:val="22"/>
                <w:lang w:eastAsia="en-US"/>
              </w:rPr>
            </w:pPr>
          </w:p>
        </w:tc>
        <w:tc>
          <w:tcPr>
            <w:tcW w:w="1278" w:type="dxa"/>
            <w:gridSpan w:val="2"/>
            <w:tcMar>
              <w:left w:w="28" w:type="dxa"/>
              <w:right w:w="28" w:type="dxa"/>
            </w:tcMar>
          </w:tcPr>
          <w:p w14:paraId="12BFE293" w14:textId="77777777" w:rsidR="004C1CED" w:rsidRPr="00434E9D" w:rsidRDefault="004C1CED" w:rsidP="004C1CED">
            <w:pPr>
              <w:widowControl/>
              <w:spacing w:before="40" w:after="40"/>
              <w:rPr>
                <w:rFonts w:eastAsia="Calibri"/>
                <w:b/>
                <w:i/>
                <w:noProof/>
                <w:sz w:val="22"/>
                <w:szCs w:val="22"/>
                <w:lang w:eastAsia="en-US"/>
              </w:rPr>
            </w:pPr>
            <w:bookmarkStart w:id="28" w:name="_DV_C347"/>
            <w:r w:rsidRPr="00434E9D">
              <w:rPr>
                <w:rFonts w:eastAsia="Calibri"/>
                <w:noProof/>
                <w:sz w:val="22"/>
                <w:szCs w:val="22"/>
                <w:lang w:eastAsia="en-US"/>
              </w:rPr>
              <w:t>sans objet</w:t>
            </w:r>
            <w:bookmarkEnd w:id="28"/>
          </w:p>
        </w:tc>
        <w:tc>
          <w:tcPr>
            <w:tcW w:w="1277" w:type="dxa"/>
            <w:gridSpan w:val="2"/>
            <w:tcMar>
              <w:left w:w="28" w:type="dxa"/>
              <w:right w:w="28" w:type="dxa"/>
            </w:tcMar>
          </w:tcPr>
          <w:p w14:paraId="6663E835" w14:textId="77777777" w:rsidR="004C1CED" w:rsidRPr="00434E9D" w:rsidRDefault="004C1CED" w:rsidP="004C1CED">
            <w:pPr>
              <w:widowControl/>
              <w:spacing w:before="40" w:after="40"/>
              <w:rPr>
                <w:rFonts w:eastAsia="Calibri"/>
                <w:b/>
                <w:i/>
                <w:noProof/>
                <w:sz w:val="22"/>
                <w:szCs w:val="22"/>
                <w:lang w:eastAsia="en-US"/>
              </w:rPr>
            </w:pPr>
            <w:bookmarkStart w:id="29" w:name="_DV_C348"/>
            <w:r w:rsidRPr="00434E9D">
              <w:rPr>
                <w:rFonts w:eastAsia="Calibri"/>
                <w:noProof/>
                <w:sz w:val="22"/>
                <w:szCs w:val="22"/>
                <w:lang w:eastAsia="en-US"/>
              </w:rPr>
              <w:t>sans objet</w:t>
            </w:r>
            <w:bookmarkEnd w:id="29"/>
          </w:p>
        </w:tc>
        <w:tc>
          <w:tcPr>
            <w:tcW w:w="1136" w:type="dxa"/>
            <w:gridSpan w:val="2"/>
            <w:tcMar>
              <w:left w:w="28" w:type="dxa"/>
              <w:right w:w="28" w:type="dxa"/>
            </w:tcMar>
          </w:tcPr>
          <w:p w14:paraId="21D02C0C" w14:textId="77777777" w:rsidR="004C1CED" w:rsidRPr="00434E9D" w:rsidRDefault="004C1CED" w:rsidP="004C1CED">
            <w:pPr>
              <w:widowControl/>
              <w:spacing w:before="40" w:after="40"/>
              <w:rPr>
                <w:rFonts w:eastAsia="Calibri"/>
                <w:b/>
                <w:noProof/>
                <w:sz w:val="22"/>
                <w:szCs w:val="22"/>
                <w:lang w:eastAsia="en-US"/>
              </w:rPr>
            </w:pPr>
            <w:bookmarkStart w:id="30" w:name="_DV_C349"/>
            <w:r w:rsidRPr="00434E9D">
              <w:rPr>
                <w:rFonts w:eastAsia="Calibri"/>
                <w:noProof/>
                <w:sz w:val="22"/>
                <w:szCs w:val="22"/>
                <w:lang w:eastAsia="en-US"/>
              </w:rPr>
              <w:t>voir note </w:t>
            </w:r>
            <w:bookmarkEnd w:id="30"/>
            <w:r w:rsidRPr="00434E9D">
              <w:rPr>
                <w:rFonts w:eastAsia="Calibri"/>
                <w:noProof/>
                <w:sz w:val="22"/>
                <w:szCs w:val="22"/>
                <w:lang w:eastAsia="en-US"/>
              </w:rPr>
              <w:t>17</w:t>
            </w:r>
          </w:p>
        </w:tc>
        <w:tc>
          <w:tcPr>
            <w:tcW w:w="1262" w:type="dxa"/>
            <w:gridSpan w:val="2"/>
            <w:tcMar>
              <w:left w:w="28" w:type="dxa"/>
              <w:right w:w="28" w:type="dxa"/>
            </w:tcMar>
          </w:tcPr>
          <w:p w14:paraId="4A368653" w14:textId="77777777" w:rsidR="004C1CED" w:rsidRPr="00434E9D" w:rsidRDefault="004C1CED" w:rsidP="004C1CED">
            <w:pPr>
              <w:widowControl/>
              <w:spacing w:before="40" w:after="40"/>
              <w:rPr>
                <w:rFonts w:eastAsia="Calibri"/>
                <w:noProof/>
                <w:sz w:val="22"/>
                <w:szCs w:val="22"/>
                <w:lang w:eastAsia="en-US"/>
              </w:rPr>
            </w:pPr>
          </w:p>
        </w:tc>
        <w:tc>
          <w:tcPr>
            <w:tcW w:w="1153" w:type="dxa"/>
            <w:gridSpan w:val="2"/>
            <w:tcMar>
              <w:left w:w="28" w:type="dxa"/>
              <w:right w:w="28" w:type="dxa"/>
            </w:tcMar>
          </w:tcPr>
          <w:p w14:paraId="28CC004F" w14:textId="77777777" w:rsidR="004C1CED" w:rsidRPr="00434E9D" w:rsidRDefault="004C1CED" w:rsidP="004C1CED">
            <w:pPr>
              <w:widowControl/>
              <w:spacing w:before="40" w:after="40"/>
              <w:rPr>
                <w:rFonts w:eastAsia="Calibri"/>
                <w:i/>
                <w:noProof/>
                <w:sz w:val="22"/>
                <w:szCs w:val="22"/>
                <w:lang w:eastAsia="en-US"/>
              </w:rPr>
            </w:pPr>
          </w:p>
        </w:tc>
        <w:tc>
          <w:tcPr>
            <w:tcW w:w="970" w:type="dxa"/>
            <w:tcMar>
              <w:left w:w="28" w:type="dxa"/>
              <w:right w:w="28" w:type="dxa"/>
            </w:tcMar>
          </w:tcPr>
          <w:p w14:paraId="3534AE97" w14:textId="77777777" w:rsidR="004C1CED" w:rsidRPr="00434E9D" w:rsidRDefault="004C1CED" w:rsidP="004C1CED">
            <w:pPr>
              <w:widowControl/>
              <w:spacing w:before="40" w:after="40"/>
              <w:rPr>
                <w:rFonts w:eastAsia="Calibri"/>
                <w:i/>
                <w:noProof/>
                <w:sz w:val="22"/>
                <w:szCs w:val="22"/>
                <w:lang w:eastAsia="en-US"/>
              </w:rPr>
            </w:pPr>
          </w:p>
        </w:tc>
      </w:tr>
      <w:tr w:rsidR="004C1CED" w:rsidRPr="00434E9D" w14:paraId="7CF49951" w14:textId="77777777" w:rsidTr="00B12A07">
        <w:trPr>
          <w:gridBefore w:val="1"/>
          <w:wBefore w:w="17" w:type="dxa"/>
          <w:cantSplit/>
          <w:tblHeader/>
          <w:jc w:val="center"/>
        </w:trPr>
        <w:tc>
          <w:tcPr>
            <w:tcW w:w="651" w:type="dxa"/>
            <w:gridSpan w:val="3"/>
            <w:vMerge/>
            <w:tcMar>
              <w:left w:w="28" w:type="dxa"/>
              <w:right w:w="28" w:type="dxa"/>
            </w:tcMar>
          </w:tcPr>
          <w:p w14:paraId="38584A12" w14:textId="77777777" w:rsidR="004C1CED" w:rsidRPr="00434E9D" w:rsidRDefault="004C1CED" w:rsidP="004C1CED">
            <w:pPr>
              <w:widowControl/>
              <w:spacing w:before="40" w:after="40"/>
              <w:jc w:val="both"/>
              <w:rPr>
                <w:rFonts w:eastAsia="Calibri"/>
                <w:noProof/>
                <w:sz w:val="22"/>
                <w:szCs w:val="22"/>
                <w:lang w:eastAsia="en-US"/>
              </w:rPr>
            </w:pPr>
            <w:bookmarkStart w:id="31" w:name="_Hlk115700632"/>
          </w:p>
        </w:tc>
        <w:tc>
          <w:tcPr>
            <w:tcW w:w="2286" w:type="dxa"/>
            <w:gridSpan w:val="3"/>
            <w:tcMar>
              <w:left w:w="28" w:type="dxa"/>
              <w:right w:w="28" w:type="dxa"/>
            </w:tcMar>
          </w:tcPr>
          <w:p w14:paraId="2E1E5906"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Chrysène</w:t>
            </w:r>
          </w:p>
        </w:tc>
        <w:tc>
          <w:tcPr>
            <w:tcW w:w="1329" w:type="dxa"/>
            <w:gridSpan w:val="3"/>
            <w:tcMar>
              <w:left w:w="28" w:type="dxa"/>
              <w:right w:w="28" w:type="dxa"/>
            </w:tcMar>
          </w:tcPr>
          <w:p w14:paraId="5D4A15C4" w14:textId="77777777" w:rsidR="004C1CED" w:rsidRPr="00434E9D" w:rsidRDefault="004C1CED" w:rsidP="004C1CED">
            <w:pPr>
              <w:widowControl/>
              <w:spacing w:before="40" w:after="40"/>
              <w:rPr>
                <w:rFonts w:eastAsia="Calibri"/>
                <w:noProof/>
                <w:sz w:val="22"/>
                <w:szCs w:val="22"/>
                <w:lang w:eastAsia="en-US"/>
              </w:rPr>
            </w:pPr>
          </w:p>
        </w:tc>
        <w:tc>
          <w:tcPr>
            <w:tcW w:w="992" w:type="dxa"/>
            <w:gridSpan w:val="2"/>
            <w:tcMar>
              <w:left w:w="28" w:type="dxa"/>
              <w:right w:w="28" w:type="dxa"/>
            </w:tcMar>
          </w:tcPr>
          <w:p w14:paraId="7E31F131"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218-01-9</w:t>
            </w:r>
          </w:p>
        </w:tc>
        <w:tc>
          <w:tcPr>
            <w:tcW w:w="1134" w:type="dxa"/>
          </w:tcPr>
          <w:p w14:paraId="5CFEE1B4"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205-923-4</w:t>
            </w:r>
          </w:p>
        </w:tc>
        <w:tc>
          <w:tcPr>
            <w:tcW w:w="1279" w:type="dxa"/>
            <w:gridSpan w:val="2"/>
            <w:tcMar>
              <w:left w:w="28" w:type="dxa"/>
              <w:right w:w="28" w:type="dxa"/>
            </w:tcMar>
          </w:tcPr>
          <w:p w14:paraId="3925AECD" w14:textId="77777777" w:rsidR="004C1CED" w:rsidRPr="00434E9D" w:rsidRDefault="004C1CED" w:rsidP="004C1CED">
            <w:pPr>
              <w:widowControl/>
              <w:spacing w:before="40" w:after="40"/>
              <w:rPr>
                <w:rFonts w:eastAsia="Calibri"/>
                <w:i/>
                <w:noProof/>
                <w:sz w:val="22"/>
                <w:szCs w:val="22"/>
                <w:lang w:eastAsia="en-US"/>
              </w:rPr>
            </w:pPr>
          </w:p>
        </w:tc>
        <w:tc>
          <w:tcPr>
            <w:tcW w:w="1279" w:type="dxa"/>
            <w:gridSpan w:val="2"/>
            <w:tcMar>
              <w:left w:w="28" w:type="dxa"/>
              <w:right w:w="28" w:type="dxa"/>
            </w:tcMar>
          </w:tcPr>
          <w:p w14:paraId="75AFC456" w14:textId="77777777" w:rsidR="004C1CED" w:rsidRPr="00434E9D" w:rsidRDefault="004C1CED" w:rsidP="004C1CED">
            <w:pPr>
              <w:widowControl/>
              <w:spacing w:before="40" w:after="40"/>
              <w:rPr>
                <w:rFonts w:eastAsia="Calibri"/>
                <w:i/>
                <w:noProof/>
                <w:sz w:val="22"/>
                <w:szCs w:val="22"/>
                <w:lang w:eastAsia="en-US"/>
              </w:rPr>
            </w:pPr>
          </w:p>
        </w:tc>
        <w:tc>
          <w:tcPr>
            <w:tcW w:w="1278" w:type="dxa"/>
            <w:gridSpan w:val="2"/>
            <w:tcMar>
              <w:left w:w="28" w:type="dxa"/>
              <w:right w:w="28" w:type="dxa"/>
            </w:tcMar>
          </w:tcPr>
          <w:p w14:paraId="730C1D96"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0,07</w:t>
            </w:r>
          </w:p>
        </w:tc>
        <w:tc>
          <w:tcPr>
            <w:tcW w:w="1277" w:type="dxa"/>
            <w:gridSpan w:val="2"/>
            <w:tcMar>
              <w:left w:w="28" w:type="dxa"/>
              <w:right w:w="28" w:type="dxa"/>
            </w:tcMar>
          </w:tcPr>
          <w:p w14:paraId="32D7F78F"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0,007</w:t>
            </w:r>
          </w:p>
        </w:tc>
        <w:tc>
          <w:tcPr>
            <w:tcW w:w="1136" w:type="dxa"/>
            <w:gridSpan w:val="2"/>
            <w:tcMar>
              <w:left w:w="28" w:type="dxa"/>
              <w:right w:w="28" w:type="dxa"/>
            </w:tcMar>
          </w:tcPr>
          <w:p w14:paraId="2240EA5D"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voir note 17</w:t>
            </w:r>
          </w:p>
        </w:tc>
        <w:tc>
          <w:tcPr>
            <w:tcW w:w="1262" w:type="dxa"/>
            <w:gridSpan w:val="2"/>
            <w:tcMar>
              <w:left w:w="28" w:type="dxa"/>
              <w:right w:w="28" w:type="dxa"/>
            </w:tcMar>
          </w:tcPr>
          <w:p w14:paraId="2F6BBB37" w14:textId="77777777" w:rsidR="004C1CED" w:rsidRPr="00434E9D" w:rsidRDefault="004C1CED" w:rsidP="004C1CED">
            <w:pPr>
              <w:widowControl/>
              <w:spacing w:before="40" w:after="40"/>
              <w:rPr>
                <w:rFonts w:eastAsia="Calibri"/>
                <w:i/>
                <w:noProof/>
                <w:sz w:val="22"/>
                <w:szCs w:val="22"/>
                <w:lang w:eastAsia="en-US"/>
              </w:rPr>
            </w:pPr>
          </w:p>
        </w:tc>
        <w:tc>
          <w:tcPr>
            <w:tcW w:w="1153" w:type="dxa"/>
            <w:gridSpan w:val="2"/>
            <w:tcMar>
              <w:left w:w="28" w:type="dxa"/>
              <w:right w:w="28" w:type="dxa"/>
            </w:tcMar>
          </w:tcPr>
          <w:p w14:paraId="52FA071E" w14:textId="77777777" w:rsidR="004C1CED" w:rsidRPr="00434E9D" w:rsidRDefault="004C1CED" w:rsidP="004C1CED">
            <w:pPr>
              <w:widowControl/>
              <w:spacing w:before="40" w:after="40"/>
              <w:rPr>
                <w:rFonts w:eastAsia="Calibri"/>
                <w:i/>
                <w:noProof/>
                <w:sz w:val="22"/>
                <w:szCs w:val="22"/>
                <w:lang w:eastAsia="en-US"/>
              </w:rPr>
            </w:pPr>
          </w:p>
        </w:tc>
        <w:tc>
          <w:tcPr>
            <w:tcW w:w="970" w:type="dxa"/>
            <w:tcMar>
              <w:left w:w="28" w:type="dxa"/>
              <w:right w:w="28" w:type="dxa"/>
            </w:tcMar>
          </w:tcPr>
          <w:p w14:paraId="5CEFF771" w14:textId="77777777" w:rsidR="004C1CED" w:rsidRPr="00434E9D" w:rsidRDefault="004C1CED" w:rsidP="004C1CED">
            <w:pPr>
              <w:widowControl/>
              <w:spacing w:before="40" w:after="40"/>
              <w:rPr>
                <w:rFonts w:eastAsia="Calibri"/>
                <w:i/>
                <w:noProof/>
                <w:sz w:val="22"/>
                <w:szCs w:val="22"/>
                <w:lang w:eastAsia="en-US"/>
              </w:rPr>
            </w:pPr>
          </w:p>
        </w:tc>
      </w:tr>
      <w:tr w:rsidR="004C1CED" w:rsidRPr="00434E9D" w14:paraId="3C690AE6" w14:textId="77777777" w:rsidTr="00B12A07">
        <w:trPr>
          <w:gridBefore w:val="1"/>
          <w:wBefore w:w="17" w:type="dxa"/>
          <w:cantSplit/>
          <w:tblHeader/>
          <w:jc w:val="center"/>
        </w:trPr>
        <w:tc>
          <w:tcPr>
            <w:tcW w:w="651" w:type="dxa"/>
            <w:gridSpan w:val="3"/>
            <w:vMerge/>
            <w:tcMar>
              <w:left w:w="28" w:type="dxa"/>
              <w:right w:w="28" w:type="dxa"/>
            </w:tcMar>
          </w:tcPr>
          <w:p w14:paraId="4EAAAE83" w14:textId="77777777" w:rsidR="004C1CED" w:rsidRPr="00434E9D" w:rsidRDefault="004C1CED" w:rsidP="004C1CED">
            <w:pPr>
              <w:widowControl/>
              <w:spacing w:before="40" w:after="40"/>
              <w:jc w:val="both"/>
              <w:rPr>
                <w:rFonts w:eastAsia="Calibri"/>
                <w:noProof/>
                <w:sz w:val="22"/>
                <w:szCs w:val="22"/>
                <w:lang w:eastAsia="en-US"/>
              </w:rPr>
            </w:pPr>
          </w:p>
        </w:tc>
        <w:tc>
          <w:tcPr>
            <w:tcW w:w="2286" w:type="dxa"/>
            <w:gridSpan w:val="3"/>
            <w:tcMar>
              <w:left w:w="28" w:type="dxa"/>
              <w:right w:w="28" w:type="dxa"/>
            </w:tcMar>
          </w:tcPr>
          <w:p w14:paraId="04F5BB9F"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Benzo(a)anthracène</w:t>
            </w:r>
          </w:p>
        </w:tc>
        <w:tc>
          <w:tcPr>
            <w:tcW w:w="1329" w:type="dxa"/>
            <w:gridSpan w:val="3"/>
            <w:vMerge w:val="restart"/>
            <w:tcMar>
              <w:left w:w="28" w:type="dxa"/>
              <w:right w:w="28" w:type="dxa"/>
            </w:tcMar>
          </w:tcPr>
          <w:p w14:paraId="622B890B" w14:textId="77777777" w:rsidR="004C1CED" w:rsidRPr="00434E9D" w:rsidRDefault="004C1CED" w:rsidP="004C1CED">
            <w:pPr>
              <w:widowControl/>
              <w:spacing w:before="40" w:after="40"/>
              <w:rPr>
                <w:rFonts w:eastAsia="Calibri"/>
                <w:noProof/>
                <w:sz w:val="22"/>
                <w:szCs w:val="22"/>
                <w:lang w:eastAsia="en-US"/>
              </w:rPr>
            </w:pPr>
          </w:p>
        </w:tc>
        <w:tc>
          <w:tcPr>
            <w:tcW w:w="992" w:type="dxa"/>
            <w:gridSpan w:val="2"/>
            <w:tcMar>
              <w:left w:w="28" w:type="dxa"/>
              <w:right w:w="28" w:type="dxa"/>
            </w:tcMar>
          </w:tcPr>
          <w:p w14:paraId="3B35535F"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56-55-3</w:t>
            </w:r>
          </w:p>
        </w:tc>
        <w:tc>
          <w:tcPr>
            <w:tcW w:w="1134" w:type="dxa"/>
          </w:tcPr>
          <w:p w14:paraId="07CC3E54"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200-280-6</w:t>
            </w:r>
          </w:p>
        </w:tc>
        <w:tc>
          <w:tcPr>
            <w:tcW w:w="1279" w:type="dxa"/>
            <w:gridSpan w:val="2"/>
            <w:tcMar>
              <w:left w:w="28" w:type="dxa"/>
              <w:right w:w="28" w:type="dxa"/>
            </w:tcMar>
          </w:tcPr>
          <w:p w14:paraId="417FD5B0" w14:textId="77777777" w:rsidR="004C1CED" w:rsidRPr="00434E9D" w:rsidRDefault="004C1CED" w:rsidP="004C1CED">
            <w:pPr>
              <w:widowControl/>
              <w:spacing w:before="40" w:after="40"/>
              <w:rPr>
                <w:rFonts w:eastAsia="Calibri"/>
                <w:i/>
                <w:noProof/>
                <w:sz w:val="22"/>
                <w:szCs w:val="22"/>
                <w:lang w:eastAsia="en-US"/>
              </w:rPr>
            </w:pPr>
          </w:p>
        </w:tc>
        <w:tc>
          <w:tcPr>
            <w:tcW w:w="1279" w:type="dxa"/>
            <w:gridSpan w:val="2"/>
            <w:tcMar>
              <w:left w:w="28" w:type="dxa"/>
              <w:right w:w="28" w:type="dxa"/>
            </w:tcMar>
          </w:tcPr>
          <w:p w14:paraId="60358B1D" w14:textId="77777777" w:rsidR="004C1CED" w:rsidRPr="00434E9D" w:rsidRDefault="004C1CED" w:rsidP="004C1CED">
            <w:pPr>
              <w:widowControl/>
              <w:spacing w:before="40" w:after="40"/>
              <w:rPr>
                <w:rFonts w:eastAsia="Calibri"/>
                <w:i/>
                <w:noProof/>
                <w:sz w:val="22"/>
                <w:szCs w:val="22"/>
                <w:lang w:eastAsia="en-US"/>
              </w:rPr>
            </w:pPr>
          </w:p>
        </w:tc>
        <w:tc>
          <w:tcPr>
            <w:tcW w:w="1278" w:type="dxa"/>
            <w:gridSpan w:val="2"/>
            <w:tcMar>
              <w:left w:w="28" w:type="dxa"/>
              <w:right w:w="28" w:type="dxa"/>
            </w:tcMar>
          </w:tcPr>
          <w:p w14:paraId="0126D100"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0,1</w:t>
            </w:r>
          </w:p>
        </w:tc>
        <w:tc>
          <w:tcPr>
            <w:tcW w:w="1277" w:type="dxa"/>
            <w:gridSpan w:val="2"/>
            <w:tcMar>
              <w:left w:w="28" w:type="dxa"/>
              <w:right w:w="28" w:type="dxa"/>
            </w:tcMar>
          </w:tcPr>
          <w:p w14:paraId="492C8AF9"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0,01</w:t>
            </w:r>
          </w:p>
        </w:tc>
        <w:tc>
          <w:tcPr>
            <w:tcW w:w="1136" w:type="dxa"/>
            <w:gridSpan w:val="2"/>
            <w:tcMar>
              <w:left w:w="28" w:type="dxa"/>
              <w:right w:w="28" w:type="dxa"/>
            </w:tcMar>
          </w:tcPr>
          <w:p w14:paraId="4CDC3F1C"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voir note 17</w:t>
            </w:r>
          </w:p>
        </w:tc>
        <w:tc>
          <w:tcPr>
            <w:tcW w:w="1262" w:type="dxa"/>
            <w:gridSpan w:val="2"/>
            <w:tcMar>
              <w:left w:w="28" w:type="dxa"/>
              <w:right w:w="28" w:type="dxa"/>
            </w:tcMar>
          </w:tcPr>
          <w:p w14:paraId="386DF382" w14:textId="77777777" w:rsidR="004C1CED" w:rsidRPr="00434E9D" w:rsidRDefault="004C1CED" w:rsidP="004C1CED">
            <w:pPr>
              <w:widowControl/>
              <w:spacing w:before="40" w:after="40"/>
              <w:rPr>
                <w:rFonts w:eastAsia="Calibri"/>
                <w:i/>
                <w:noProof/>
                <w:sz w:val="22"/>
                <w:szCs w:val="22"/>
                <w:lang w:eastAsia="en-US"/>
              </w:rPr>
            </w:pPr>
          </w:p>
        </w:tc>
        <w:tc>
          <w:tcPr>
            <w:tcW w:w="1153" w:type="dxa"/>
            <w:gridSpan w:val="2"/>
            <w:tcMar>
              <w:left w:w="28" w:type="dxa"/>
              <w:right w:w="28" w:type="dxa"/>
            </w:tcMar>
          </w:tcPr>
          <w:p w14:paraId="6D239000" w14:textId="77777777" w:rsidR="004C1CED" w:rsidRPr="00434E9D" w:rsidRDefault="004C1CED" w:rsidP="004C1CED">
            <w:pPr>
              <w:widowControl/>
              <w:spacing w:before="40" w:after="40"/>
              <w:rPr>
                <w:rFonts w:eastAsia="Calibri"/>
                <w:i/>
                <w:noProof/>
                <w:sz w:val="22"/>
                <w:szCs w:val="22"/>
                <w:lang w:eastAsia="en-US"/>
              </w:rPr>
            </w:pPr>
          </w:p>
        </w:tc>
        <w:tc>
          <w:tcPr>
            <w:tcW w:w="970" w:type="dxa"/>
            <w:tcMar>
              <w:left w:w="28" w:type="dxa"/>
              <w:right w:w="28" w:type="dxa"/>
            </w:tcMar>
          </w:tcPr>
          <w:p w14:paraId="08583EAC" w14:textId="77777777" w:rsidR="004C1CED" w:rsidRPr="00434E9D" w:rsidRDefault="004C1CED" w:rsidP="004C1CED">
            <w:pPr>
              <w:widowControl/>
              <w:spacing w:before="40" w:after="40"/>
              <w:rPr>
                <w:rFonts w:eastAsia="Calibri"/>
                <w:i/>
                <w:noProof/>
                <w:sz w:val="22"/>
                <w:szCs w:val="22"/>
                <w:lang w:eastAsia="en-US"/>
              </w:rPr>
            </w:pPr>
          </w:p>
        </w:tc>
      </w:tr>
      <w:tr w:rsidR="004C1CED" w:rsidRPr="00434E9D" w14:paraId="489B70C9" w14:textId="77777777" w:rsidTr="00B12A07">
        <w:trPr>
          <w:gridBefore w:val="1"/>
          <w:wBefore w:w="17" w:type="dxa"/>
          <w:cantSplit/>
          <w:tblHeader/>
          <w:jc w:val="center"/>
        </w:trPr>
        <w:tc>
          <w:tcPr>
            <w:tcW w:w="651" w:type="dxa"/>
            <w:gridSpan w:val="3"/>
            <w:vMerge/>
            <w:tcMar>
              <w:left w:w="28" w:type="dxa"/>
              <w:right w:w="28" w:type="dxa"/>
            </w:tcMar>
          </w:tcPr>
          <w:p w14:paraId="24D3FF29" w14:textId="77777777" w:rsidR="004C1CED" w:rsidRPr="00434E9D" w:rsidRDefault="004C1CED" w:rsidP="004C1CED">
            <w:pPr>
              <w:widowControl/>
              <w:spacing w:before="40" w:after="40"/>
              <w:jc w:val="both"/>
              <w:rPr>
                <w:rFonts w:eastAsia="Calibri"/>
                <w:noProof/>
                <w:sz w:val="22"/>
                <w:szCs w:val="22"/>
                <w:lang w:eastAsia="en-US"/>
              </w:rPr>
            </w:pPr>
          </w:p>
        </w:tc>
        <w:tc>
          <w:tcPr>
            <w:tcW w:w="2286" w:type="dxa"/>
            <w:gridSpan w:val="3"/>
            <w:tcMar>
              <w:left w:w="28" w:type="dxa"/>
              <w:right w:w="28" w:type="dxa"/>
            </w:tcMar>
          </w:tcPr>
          <w:p w14:paraId="73F0870E"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Dibenzo(a,h)anthracène</w:t>
            </w:r>
          </w:p>
        </w:tc>
        <w:tc>
          <w:tcPr>
            <w:tcW w:w="1329" w:type="dxa"/>
            <w:gridSpan w:val="3"/>
            <w:vMerge/>
            <w:tcMar>
              <w:left w:w="28" w:type="dxa"/>
              <w:right w:w="28" w:type="dxa"/>
            </w:tcMar>
          </w:tcPr>
          <w:p w14:paraId="6D7A2902" w14:textId="77777777" w:rsidR="004C1CED" w:rsidRPr="00434E9D" w:rsidRDefault="004C1CED" w:rsidP="004C1CED">
            <w:pPr>
              <w:widowControl/>
              <w:spacing w:before="40" w:after="40"/>
              <w:rPr>
                <w:rFonts w:eastAsia="Calibri"/>
                <w:noProof/>
                <w:sz w:val="22"/>
                <w:szCs w:val="22"/>
                <w:lang w:eastAsia="en-US"/>
              </w:rPr>
            </w:pPr>
          </w:p>
        </w:tc>
        <w:tc>
          <w:tcPr>
            <w:tcW w:w="992" w:type="dxa"/>
            <w:gridSpan w:val="2"/>
            <w:tcMar>
              <w:left w:w="28" w:type="dxa"/>
              <w:right w:w="28" w:type="dxa"/>
            </w:tcMar>
          </w:tcPr>
          <w:p w14:paraId="02841490"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53-70-3</w:t>
            </w:r>
          </w:p>
        </w:tc>
        <w:tc>
          <w:tcPr>
            <w:tcW w:w="1134" w:type="dxa"/>
          </w:tcPr>
          <w:p w14:paraId="20157BE8"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200-181-8</w:t>
            </w:r>
          </w:p>
        </w:tc>
        <w:tc>
          <w:tcPr>
            <w:tcW w:w="1279" w:type="dxa"/>
            <w:gridSpan w:val="2"/>
            <w:tcMar>
              <w:left w:w="28" w:type="dxa"/>
              <w:right w:w="28" w:type="dxa"/>
            </w:tcMar>
          </w:tcPr>
          <w:p w14:paraId="733F3179" w14:textId="77777777" w:rsidR="004C1CED" w:rsidRPr="00434E9D" w:rsidRDefault="004C1CED" w:rsidP="004C1CED">
            <w:pPr>
              <w:widowControl/>
              <w:spacing w:before="40" w:after="40"/>
              <w:rPr>
                <w:rFonts w:eastAsia="Calibri"/>
                <w:i/>
                <w:noProof/>
                <w:sz w:val="22"/>
                <w:szCs w:val="22"/>
                <w:lang w:eastAsia="en-US"/>
              </w:rPr>
            </w:pPr>
          </w:p>
        </w:tc>
        <w:tc>
          <w:tcPr>
            <w:tcW w:w="1279" w:type="dxa"/>
            <w:gridSpan w:val="2"/>
            <w:tcMar>
              <w:left w:w="28" w:type="dxa"/>
              <w:right w:w="28" w:type="dxa"/>
            </w:tcMar>
          </w:tcPr>
          <w:p w14:paraId="5A59D6A8" w14:textId="77777777" w:rsidR="004C1CED" w:rsidRPr="00434E9D" w:rsidRDefault="004C1CED" w:rsidP="004C1CED">
            <w:pPr>
              <w:widowControl/>
              <w:spacing w:before="40" w:after="40"/>
              <w:rPr>
                <w:rFonts w:eastAsia="Calibri"/>
                <w:i/>
                <w:noProof/>
                <w:sz w:val="22"/>
                <w:szCs w:val="22"/>
                <w:lang w:eastAsia="en-US"/>
              </w:rPr>
            </w:pPr>
          </w:p>
        </w:tc>
        <w:tc>
          <w:tcPr>
            <w:tcW w:w="1278" w:type="dxa"/>
            <w:gridSpan w:val="2"/>
            <w:tcMar>
              <w:left w:w="28" w:type="dxa"/>
              <w:right w:w="28" w:type="dxa"/>
            </w:tcMar>
          </w:tcPr>
          <w:p w14:paraId="438CD3DB"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0,014</w:t>
            </w:r>
          </w:p>
        </w:tc>
        <w:tc>
          <w:tcPr>
            <w:tcW w:w="1277" w:type="dxa"/>
            <w:gridSpan w:val="2"/>
            <w:tcMar>
              <w:left w:w="28" w:type="dxa"/>
              <w:right w:w="28" w:type="dxa"/>
            </w:tcMar>
          </w:tcPr>
          <w:p w14:paraId="0CA856D2"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0,0014</w:t>
            </w:r>
          </w:p>
        </w:tc>
        <w:tc>
          <w:tcPr>
            <w:tcW w:w="1136" w:type="dxa"/>
            <w:gridSpan w:val="2"/>
            <w:tcMar>
              <w:left w:w="28" w:type="dxa"/>
              <w:right w:w="28" w:type="dxa"/>
            </w:tcMar>
          </w:tcPr>
          <w:p w14:paraId="31177D19"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voir note 17</w:t>
            </w:r>
          </w:p>
        </w:tc>
        <w:tc>
          <w:tcPr>
            <w:tcW w:w="1262" w:type="dxa"/>
            <w:gridSpan w:val="2"/>
            <w:tcMar>
              <w:left w:w="28" w:type="dxa"/>
              <w:right w:w="28" w:type="dxa"/>
            </w:tcMar>
          </w:tcPr>
          <w:p w14:paraId="6D26F482" w14:textId="77777777" w:rsidR="004C1CED" w:rsidRPr="00434E9D" w:rsidRDefault="004C1CED" w:rsidP="004C1CED">
            <w:pPr>
              <w:widowControl/>
              <w:spacing w:before="40" w:after="40"/>
              <w:rPr>
                <w:rFonts w:eastAsia="Calibri"/>
                <w:i/>
                <w:noProof/>
                <w:sz w:val="22"/>
                <w:szCs w:val="22"/>
                <w:lang w:eastAsia="en-US"/>
              </w:rPr>
            </w:pPr>
          </w:p>
        </w:tc>
        <w:tc>
          <w:tcPr>
            <w:tcW w:w="1153" w:type="dxa"/>
            <w:gridSpan w:val="2"/>
            <w:tcMar>
              <w:left w:w="28" w:type="dxa"/>
              <w:right w:w="28" w:type="dxa"/>
            </w:tcMar>
          </w:tcPr>
          <w:p w14:paraId="0A7F038F" w14:textId="77777777" w:rsidR="004C1CED" w:rsidRPr="00434E9D" w:rsidRDefault="004C1CED" w:rsidP="004C1CED">
            <w:pPr>
              <w:widowControl/>
              <w:spacing w:before="40" w:after="40"/>
              <w:rPr>
                <w:rFonts w:eastAsia="Calibri"/>
                <w:i/>
                <w:noProof/>
                <w:sz w:val="22"/>
                <w:szCs w:val="22"/>
                <w:lang w:eastAsia="en-US"/>
              </w:rPr>
            </w:pPr>
          </w:p>
        </w:tc>
        <w:tc>
          <w:tcPr>
            <w:tcW w:w="970" w:type="dxa"/>
            <w:tcMar>
              <w:left w:w="28" w:type="dxa"/>
              <w:right w:w="28" w:type="dxa"/>
            </w:tcMar>
          </w:tcPr>
          <w:p w14:paraId="45B840D1" w14:textId="77777777" w:rsidR="004C1CED" w:rsidRPr="00434E9D" w:rsidRDefault="004C1CED" w:rsidP="004C1CED">
            <w:pPr>
              <w:widowControl/>
              <w:spacing w:before="40" w:after="40"/>
              <w:rPr>
                <w:rFonts w:eastAsia="Calibri"/>
                <w:i/>
                <w:noProof/>
                <w:sz w:val="22"/>
                <w:szCs w:val="22"/>
                <w:lang w:eastAsia="en-US"/>
              </w:rPr>
            </w:pPr>
          </w:p>
        </w:tc>
      </w:tr>
      <w:tr w:rsidR="004C1CED" w:rsidRPr="00434E9D" w14:paraId="0CEC7404" w14:textId="77777777" w:rsidTr="00B12A07">
        <w:trPr>
          <w:gridBefore w:val="1"/>
          <w:wBefore w:w="17" w:type="dxa"/>
          <w:cantSplit/>
          <w:tblHeader/>
          <w:jc w:val="center"/>
        </w:trPr>
        <w:tc>
          <w:tcPr>
            <w:tcW w:w="651" w:type="dxa"/>
            <w:gridSpan w:val="3"/>
            <w:tcMar>
              <w:left w:w="28" w:type="dxa"/>
              <w:right w:w="28" w:type="dxa"/>
            </w:tcMar>
          </w:tcPr>
          <w:p w14:paraId="0E42A737" w14:textId="77777777" w:rsidR="004C1CED" w:rsidRPr="00434E9D" w:rsidRDefault="004C1CED" w:rsidP="004C1CED">
            <w:pPr>
              <w:widowControl/>
              <w:spacing w:before="40" w:after="40"/>
              <w:jc w:val="both"/>
              <w:rPr>
                <w:rFonts w:eastAsia="Calibri"/>
                <w:noProof/>
                <w:sz w:val="22"/>
                <w:szCs w:val="22"/>
                <w:lang w:eastAsia="en-US"/>
              </w:rPr>
            </w:pPr>
            <w:r w:rsidRPr="00434E9D">
              <w:rPr>
                <w:rFonts w:eastAsia="Calibri"/>
                <w:noProof/>
                <w:sz w:val="22"/>
                <w:szCs w:val="22"/>
                <w:lang w:eastAsia="en-US"/>
              </w:rPr>
              <w:t>(29)</w:t>
            </w:r>
          </w:p>
        </w:tc>
        <w:tc>
          <w:tcPr>
            <w:tcW w:w="15375" w:type="dxa"/>
            <w:gridSpan w:val="24"/>
            <w:tcMar>
              <w:left w:w="28" w:type="dxa"/>
              <w:right w:w="28" w:type="dxa"/>
            </w:tcMar>
          </w:tcPr>
          <w:p w14:paraId="2E159471"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 xml:space="preserve">La substance simazine a été déplacée dans la partie C de l’annexe II </w:t>
            </w:r>
          </w:p>
        </w:tc>
      </w:tr>
      <w:bookmarkEnd w:id="31"/>
      <w:tr w:rsidR="004C1CED" w:rsidRPr="00434E9D" w14:paraId="5E6D2528" w14:textId="77777777" w:rsidTr="00B12A07">
        <w:trPr>
          <w:gridBefore w:val="1"/>
          <w:wBefore w:w="17" w:type="dxa"/>
          <w:cantSplit/>
          <w:tblHeader/>
          <w:jc w:val="center"/>
        </w:trPr>
        <w:tc>
          <w:tcPr>
            <w:tcW w:w="651" w:type="dxa"/>
            <w:gridSpan w:val="3"/>
            <w:tcMar>
              <w:left w:w="28" w:type="dxa"/>
              <w:right w:w="28" w:type="dxa"/>
            </w:tcMar>
          </w:tcPr>
          <w:p w14:paraId="662B836F" w14:textId="77777777" w:rsidR="004C1CED" w:rsidRPr="00434E9D" w:rsidRDefault="004C1CED" w:rsidP="004C1CED">
            <w:pPr>
              <w:widowControl/>
              <w:spacing w:before="40" w:after="40"/>
              <w:jc w:val="both"/>
              <w:rPr>
                <w:rFonts w:eastAsia="Calibri"/>
                <w:noProof/>
                <w:sz w:val="22"/>
                <w:szCs w:val="22"/>
                <w:lang w:eastAsia="en-US"/>
              </w:rPr>
            </w:pPr>
            <w:r w:rsidRPr="00434E9D">
              <w:rPr>
                <w:rFonts w:eastAsia="Calibri"/>
                <w:noProof/>
                <w:sz w:val="22"/>
                <w:szCs w:val="22"/>
                <w:lang w:eastAsia="en-US"/>
              </w:rPr>
              <w:t>(29 bis)</w:t>
            </w:r>
          </w:p>
        </w:tc>
        <w:tc>
          <w:tcPr>
            <w:tcW w:w="2286" w:type="dxa"/>
            <w:gridSpan w:val="3"/>
            <w:tcMar>
              <w:left w:w="28" w:type="dxa"/>
              <w:right w:w="28" w:type="dxa"/>
            </w:tcMar>
          </w:tcPr>
          <w:p w14:paraId="2E5E2C31" w14:textId="77777777" w:rsidR="004C1CED" w:rsidRPr="00434E9D" w:rsidRDefault="004C1CED" w:rsidP="004C1CED">
            <w:pPr>
              <w:widowControl/>
              <w:spacing w:before="40" w:after="40"/>
              <w:rPr>
                <w:rFonts w:eastAsia="Calibri"/>
                <w:noProof/>
                <w:sz w:val="22"/>
                <w:szCs w:val="22"/>
                <w:vertAlign w:val="superscript"/>
                <w:lang w:eastAsia="en-US"/>
              </w:rPr>
            </w:pPr>
            <w:r w:rsidRPr="00434E9D">
              <w:rPr>
                <w:rFonts w:eastAsia="Calibri"/>
                <w:noProof/>
                <w:sz w:val="22"/>
                <w:szCs w:val="22"/>
                <w:lang w:eastAsia="en-US"/>
              </w:rPr>
              <w:t xml:space="preserve">Tétrachloréthylène </w:t>
            </w:r>
            <w:bookmarkStart w:id="32" w:name="_DV_M305"/>
            <w:bookmarkEnd w:id="32"/>
          </w:p>
        </w:tc>
        <w:tc>
          <w:tcPr>
            <w:tcW w:w="1329" w:type="dxa"/>
            <w:gridSpan w:val="3"/>
            <w:tcMar>
              <w:left w:w="28" w:type="dxa"/>
              <w:right w:w="28" w:type="dxa"/>
            </w:tcMar>
          </w:tcPr>
          <w:p w14:paraId="6DD218BB"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Substances industrielles</w:t>
            </w:r>
          </w:p>
        </w:tc>
        <w:tc>
          <w:tcPr>
            <w:tcW w:w="992" w:type="dxa"/>
            <w:gridSpan w:val="2"/>
            <w:tcMar>
              <w:left w:w="28" w:type="dxa"/>
              <w:right w:w="28" w:type="dxa"/>
            </w:tcMar>
          </w:tcPr>
          <w:p w14:paraId="300BC255"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127-18-4</w:t>
            </w:r>
          </w:p>
        </w:tc>
        <w:tc>
          <w:tcPr>
            <w:tcW w:w="1134" w:type="dxa"/>
          </w:tcPr>
          <w:p w14:paraId="4E2B0F38"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204-825-9</w:t>
            </w:r>
          </w:p>
        </w:tc>
        <w:tc>
          <w:tcPr>
            <w:tcW w:w="1279" w:type="dxa"/>
            <w:gridSpan w:val="2"/>
            <w:tcMar>
              <w:left w:w="28" w:type="dxa"/>
              <w:right w:w="28" w:type="dxa"/>
            </w:tcMar>
          </w:tcPr>
          <w:p w14:paraId="64F3B71A"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10</w:t>
            </w:r>
          </w:p>
        </w:tc>
        <w:tc>
          <w:tcPr>
            <w:tcW w:w="1279" w:type="dxa"/>
            <w:gridSpan w:val="2"/>
            <w:tcMar>
              <w:left w:w="28" w:type="dxa"/>
              <w:right w:w="28" w:type="dxa"/>
            </w:tcMar>
          </w:tcPr>
          <w:p w14:paraId="74C43F87"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10</w:t>
            </w:r>
          </w:p>
        </w:tc>
        <w:tc>
          <w:tcPr>
            <w:tcW w:w="1278" w:type="dxa"/>
            <w:gridSpan w:val="2"/>
            <w:tcMar>
              <w:left w:w="28" w:type="dxa"/>
              <w:right w:w="28" w:type="dxa"/>
            </w:tcMar>
          </w:tcPr>
          <w:p w14:paraId="27C60B24"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sans objet</w:t>
            </w:r>
          </w:p>
        </w:tc>
        <w:tc>
          <w:tcPr>
            <w:tcW w:w="1277" w:type="dxa"/>
            <w:gridSpan w:val="2"/>
            <w:tcMar>
              <w:left w:w="28" w:type="dxa"/>
              <w:right w:w="28" w:type="dxa"/>
            </w:tcMar>
          </w:tcPr>
          <w:p w14:paraId="73A62989"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sans objet</w:t>
            </w:r>
          </w:p>
        </w:tc>
        <w:tc>
          <w:tcPr>
            <w:tcW w:w="1136" w:type="dxa"/>
            <w:gridSpan w:val="2"/>
            <w:tcMar>
              <w:left w:w="28" w:type="dxa"/>
              <w:right w:w="28" w:type="dxa"/>
            </w:tcMar>
          </w:tcPr>
          <w:p w14:paraId="48945538" w14:textId="77777777" w:rsidR="004C1CED" w:rsidRPr="00434E9D" w:rsidRDefault="004C1CED" w:rsidP="004C1CED">
            <w:pPr>
              <w:widowControl/>
              <w:spacing w:before="40" w:after="40"/>
              <w:rPr>
                <w:rFonts w:eastAsia="Calibri"/>
                <w:noProof/>
                <w:sz w:val="22"/>
                <w:szCs w:val="22"/>
                <w:lang w:eastAsia="en-US"/>
              </w:rPr>
            </w:pPr>
          </w:p>
        </w:tc>
        <w:tc>
          <w:tcPr>
            <w:tcW w:w="1262" w:type="dxa"/>
            <w:gridSpan w:val="2"/>
            <w:tcMar>
              <w:left w:w="28" w:type="dxa"/>
              <w:right w:w="28" w:type="dxa"/>
            </w:tcMar>
          </w:tcPr>
          <w:p w14:paraId="7D962746" w14:textId="77777777" w:rsidR="004C1CED" w:rsidRPr="00434E9D" w:rsidRDefault="004C1CED" w:rsidP="004C1CED">
            <w:pPr>
              <w:widowControl/>
              <w:spacing w:before="40" w:after="40"/>
              <w:rPr>
                <w:rFonts w:eastAsia="Calibri"/>
                <w:noProof/>
                <w:sz w:val="22"/>
                <w:szCs w:val="22"/>
                <w:lang w:eastAsia="en-US"/>
              </w:rPr>
            </w:pPr>
          </w:p>
        </w:tc>
        <w:tc>
          <w:tcPr>
            <w:tcW w:w="1153" w:type="dxa"/>
            <w:gridSpan w:val="2"/>
            <w:tcMar>
              <w:left w:w="28" w:type="dxa"/>
              <w:right w:w="28" w:type="dxa"/>
            </w:tcMar>
          </w:tcPr>
          <w:p w14:paraId="046D91C8" w14:textId="77777777" w:rsidR="004C1CED" w:rsidRPr="00434E9D" w:rsidRDefault="004C1CED" w:rsidP="004C1CED">
            <w:pPr>
              <w:widowControl/>
              <w:spacing w:before="40" w:after="40"/>
              <w:rPr>
                <w:rFonts w:eastAsia="Calibri"/>
                <w:noProof/>
                <w:sz w:val="22"/>
                <w:szCs w:val="22"/>
                <w:lang w:eastAsia="en-US"/>
              </w:rPr>
            </w:pPr>
          </w:p>
        </w:tc>
        <w:tc>
          <w:tcPr>
            <w:tcW w:w="970" w:type="dxa"/>
            <w:tcMar>
              <w:left w:w="28" w:type="dxa"/>
              <w:right w:w="28" w:type="dxa"/>
            </w:tcMar>
          </w:tcPr>
          <w:p w14:paraId="7A7E681D" w14:textId="77777777" w:rsidR="004C1CED" w:rsidRPr="00434E9D" w:rsidRDefault="004C1CED" w:rsidP="004C1CED">
            <w:pPr>
              <w:widowControl/>
              <w:spacing w:before="40" w:after="40"/>
              <w:rPr>
                <w:rFonts w:eastAsia="Calibri"/>
                <w:noProof/>
                <w:sz w:val="22"/>
                <w:szCs w:val="22"/>
                <w:lang w:eastAsia="en-US"/>
              </w:rPr>
            </w:pPr>
          </w:p>
        </w:tc>
      </w:tr>
      <w:tr w:rsidR="004C1CED" w:rsidRPr="00434E9D" w14:paraId="13FEFA11" w14:textId="77777777" w:rsidTr="00B12A07">
        <w:trPr>
          <w:gridBefore w:val="1"/>
          <w:wBefore w:w="17" w:type="dxa"/>
          <w:cantSplit/>
          <w:tblHeader/>
          <w:jc w:val="center"/>
        </w:trPr>
        <w:tc>
          <w:tcPr>
            <w:tcW w:w="651" w:type="dxa"/>
            <w:gridSpan w:val="3"/>
            <w:tcMar>
              <w:left w:w="28" w:type="dxa"/>
              <w:right w:w="28" w:type="dxa"/>
            </w:tcMar>
          </w:tcPr>
          <w:p w14:paraId="1C375CDB" w14:textId="77777777" w:rsidR="004C1CED" w:rsidRPr="00434E9D" w:rsidRDefault="004C1CED" w:rsidP="004C1CED">
            <w:pPr>
              <w:keepNext/>
              <w:widowControl/>
              <w:spacing w:before="40" w:after="40"/>
              <w:jc w:val="both"/>
              <w:rPr>
                <w:rFonts w:eastAsia="Calibri"/>
                <w:noProof/>
                <w:sz w:val="22"/>
                <w:szCs w:val="22"/>
                <w:lang w:eastAsia="en-US"/>
              </w:rPr>
            </w:pPr>
            <w:r w:rsidRPr="00434E9D">
              <w:rPr>
                <w:rFonts w:eastAsia="Calibri"/>
                <w:noProof/>
                <w:sz w:val="22"/>
                <w:szCs w:val="22"/>
                <w:lang w:eastAsia="en-US"/>
              </w:rPr>
              <w:t>(29 </w:t>
            </w:r>
            <w:r w:rsidRPr="00434E9D">
              <w:rPr>
                <w:rFonts w:eastAsia="Calibri"/>
                <w:i/>
                <w:iCs/>
                <w:noProof/>
                <w:sz w:val="22"/>
                <w:szCs w:val="22"/>
                <w:lang w:eastAsia="en-US"/>
              </w:rPr>
              <w:t>ter</w:t>
            </w:r>
            <w:r w:rsidRPr="00434E9D">
              <w:rPr>
                <w:rFonts w:eastAsia="Calibri"/>
                <w:noProof/>
                <w:sz w:val="22"/>
                <w:szCs w:val="22"/>
                <w:lang w:eastAsia="en-US"/>
              </w:rPr>
              <w:t>)</w:t>
            </w:r>
          </w:p>
        </w:tc>
        <w:tc>
          <w:tcPr>
            <w:tcW w:w="2286" w:type="dxa"/>
            <w:gridSpan w:val="3"/>
            <w:tcMar>
              <w:left w:w="28" w:type="dxa"/>
              <w:right w:w="28" w:type="dxa"/>
            </w:tcMar>
          </w:tcPr>
          <w:p w14:paraId="12F1F190" w14:textId="77777777" w:rsidR="004C1CED" w:rsidRPr="00434E9D" w:rsidRDefault="004C1CED" w:rsidP="004C1CED">
            <w:pPr>
              <w:keepNext/>
              <w:widowControl/>
              <w:spacing w:before="40" w:after="40"/>
              <w:rPr>
                <w:rFonts w:eastAsia="Calibri"/>
                <w:noProof/>
                <w:sz w:val="22"/>
                <w:szCs w:val="22"/>
                <w:vertAlign w:val="superscript"/>
                <w:lang w:eastAsia="en-US"/>
              </w:rPr>
            </w:pPr>
            <w:r w:rsidRPr="00434E9D">
              <w:rPr>
                <w:rFonts w:eastAsia="Calibri"/>
                <w:noProof/>
                <w:sz w:val="22"/>
                <w:szCs w:val="22"/>
                <w:lang w:eastAsia="en-US"/>
              </w:rPr>
              <w:t xml:space="preserve">Trichloro-éthylène </w:t>
            </w:r>
            <w:bookmarkStart w:id="33" w:name="_DV_M306"/>
            <w:bookmarkEnd w:id="33"/>
          </w:p>
        </w:tc>
        <w:tc>
          <w:tcPr>
            <w:tcW w:w="1329" w:type="dxa"/>
            <w:gridSpan w:val="3"/>
            <w:tcMar>
              <w:left w:w="28" w:type="dxa"/>
              <w:right w:w="28" w:type="dxa"/>
            </w:tcMar>
          </w:tcPr>
          <w:p w14:paraId="66CCD709" w14:textId="77777777" w:rsidR="004C1CED" w:rsidRPr="00434E9D" w:rsidRDefault="004C1CED" w:rsidP="004C1CED">
            <w:pPr>
              <w:keepNext/>
              <w:widowControl/>
              <w:spacing w:before="40" w:after="40"/>
              <w:rPr>
                <w:rFonts w:eastAsia="Calibri"/>
                <w:noProof/>
                <w:sz w:val="22"/>
                <w:szCs w:val="22"/>
                <w:lang w:eastAsia="en-US"/>
              </w:rPr>
            </w:pPr>
            <w:r w:rsidRPr="00434E9D">
              <w:rPr>
                <w:rFonts w:eastAsia="Calibri"/>
                <w:noProof/>
                <w:sz w:val="22"/>
                <w:szCs w:val="22"/>
                <w:lang w:eastAsia="en-US"/>
              </w:rPr>
              <w:t>Substances industrielles</w:t>
            </w:r>
          </w:p>
        </w:tc>
        <w:tc>
          <w:tcPr>
            <w:tcW w:w="992" w:type="dxa"/>
            <w:gridSpan w:val="2"/>
            <w:tcMar>
              <w:left w:w="28" w:type="dxa"/>
              <w:right w:w="28" w:type="dxa"/>
            </w:tcMar>
          </w:tcPr>
          <w:p w14:paraId="5B62572C" w14:textId="77777777" w:rsidR="004C1CED" w:rsidRPr="00434E9D" w:rsidRDefault="004C1CED" w:rsidP="004C1CED">
            <w:pPr>
              <w:keepNext/>
              <w:widowControl/>
              <w:spacing w:before="40" w:after="40"/>
              <w:rPr>
                <w:rFonts w:eastAsia="Calibri"/>
                <w:noProof/>
                <w:sz w:val="22"/>
                <w:szCs w:val="22"/>
                <w:lang w:eastAsia="en-US"/>
              </w:rPr>
            </w:pPr>
            <w:r w:rsidRPr="00434E9D">
              <w:rPr>
                <w:rFonts w:eastAsia="Calibri"/>
                <w:noProof/>
                <w:sz w:val="22"/>
                <w:szCs w:val="22"/>
                <w:lang w:eastAsia="en-US"/>
              </w:rPr>
              <w:t>79-01-6</w:t>
            </w:r>
          </w:p>
        </w:tc>
        <w:tc>
          <w:tcPr>
            <w:tcW w:w="1134" w:type="dxa"/>
          </w:tcPr>
          <w:p w14:paraId="66B72A31" w14:textId="77777777" w:rsidR="004C1CED" w:rsidRPr="00434E9D" w:rsidRDefault="004C1CED" w:rsidP="004C1CED">
            <w:pPr>
              <w:keepNext/>
              <w:widowControl/>
              <w:spacing w:before="40" w:after="40"/>
              <w:rPr>
                <w:rFonts w:eastAsia="Calibri"/>
                <w:noProof/>
                <w:sz w:val="22"/>
                <w:szCs w:val="22"/>
                <w:lang w:eastAsia="en-US"/>
              </w:rPr>
            </w:pPr>
            <w:r w:rsidRPr="00434E9D">
              <w:rPr>
                <w:rFonts w:eastAsia="Calibri"/>
                <w:noProof/>
                <w:sz w:val="22"/>
                <w:szCs w:val="22"/>
                <w:lang w:eastAsia="en-US"/>
              </w:rPr>
              <w:t>201-167-4</w:t>
            </w:r>
          </w:p>
        </w:tc>
        <w:tc>
          <w:tcPr>
            <w:tcW w:w="1279" w:type="dxa"/>
            <w:gridSpan w:val="2"/>
            <w:tcMar>
              <w:left w:w="28" w:type="dxa"/>
              <w:right w:w="28" w:type="dxa"/>
            </w:tcMar>
          </w:tcPr>
          <w:p w14:paraId="1BDA99A2" w14:textId="77777777" w:rsidR="004C1CED" w:rsidRPr="00434E9D" w:rsidRDefault="004C1CED" w:rsidP="004C1CED">
            <w:pPr>
              <w:keepNext/>
              <w:widowControl/>
              <w:spacing w:before="40" w:after="40"/>
              <w:rPr>
                <w:rFonts w:eastAsia="Calibri"/>
                <w:noProof/>
                <w:sz w:val="22"/>
                <w:szCs w:val="22"/>
                <w:lang w:eastAsia="en-US"/>
              </w:rPr>
            </w:pPr>
            <w:r w:rsidRPr="00434E9D">
              <w:rPr>
                <w:rFonts w:eastAsia="Calibri"/>
                <w:noProof/>
                <w:sz w:val="22"/>
                <w:szCs w:val="22"/>
                <w:lang w:eastAsia="en-US"/>
              </w:rPr>
              <w:t>10</w:t>
            </w:r>
          </w:p>
        </w:tc>
        <w:tc>
          <w:tcPr>
            <w:tcW w:w="1279" w:type="dxa"/>
            <w:gridSpan w:val="2"/>
            <w:tcMar>
              <w:left w:w="28" w:type="dxa"/>
              <w:right w:w="28" w:type="dxa"/>
            </w:tcMar>
          </w:tcPr>
          <w:p w14:paraId="2C448AAF" w14:textId="77777777" w:rsidR="004C1CED" w:rsidRPr="00434E9D" w:rsidRDefault="004C1CED" w:rsidP="004C1CED">
            <w:pPr>
              <w:keepNext/>
              <w:widowControl/>
              <w:spacing w:before="40" w:after="40"/>
              <w:rPr>
                <w:rFonts w:eastAsia="Calibri"/>
                <w:noProof/>
                <w:sz w:val="22"/>
                <w:szCs w:val="22"/>
                <w:lang w:eastAsia="en-US"/>
              </w:rPr>
            </w:pPr>
            <w:r w:rsidRPr="00434E9D">
              <w:rPr>
                <w:rFonts w:eastAsia="Calibri"/>
                <w:noProof/>
                <w:sz w:val="22"/>
                <w:szCs w:val="22"/>
                <w:lang w:eastAsia="en-US"/>
              </w:rPr>
              <w:t>10</w:t>
            </w:r>
          </w:p>
        </w:tc>
        <w:tc>
          <w:tcPr>
            <w:tcW w:w="1278" w:type="dxa"/>
            <w:gridSpan w:val="2"/>
            <w:tcMar>
              <w:left w:w="28" w:type="dxa"/>
              <w:right w:w="28" w:type="dxa"/>
            </w:tcMar>
          </w:tcPr>
          <w:p w14:paraId="5C892334" w14:textId="77777777" w:rsidR="004C1CED" w:rsidRPr="00434E9D" w:rsidRDefault="004C1CED" w:rsidP="004C1CED">
            <w:pPr>
              <w:keepNext/>
              <w:widowControl/>
              <w:spacing w:before="40" w:after="40"/>
              <w:rPr>
                <w:rFonts w:eastAsia="Calibri"/>
                <w:noProof/>
                <w:sz w:val="22"/>
                <w:szCs w:val="22"/>
                <w:lang w:eastAsia="en-US"/>
              </w:rPr>
            </w:pPr>
            <w:r w:rsidRPr="00434E9D">
              <w:rPr>
                <w:rFonts w:eastAsia="Calibri"/>
                <w:noProof/>
                <w:sz w:val="22"/>
                <w:szCs w:val="22"/>
                <w:lang w:eastAsia="en-US"/>
              </w:rPr>
              <w:t>sans objet</w:t>
            </w:r>
          </w:p>
        </w:tc>
        <w:tc>
          <w:tcPr>
            <w:tcW w:w="1277" w:type="dxa"/>
            <w:gridSpan w:val="2"/>
            <w:tcMar>
              <w:left w:w="28" w:type="dxa"/>
              <w:right w:w="28" w:type="dxa"/>
            </w:tcMar>
          </w:tcPr>
          <w:p w14:paraId="1418749C" w14:textId="77777777" w:rsidR="004C1CED" w:rsidRPr="00434E9D" w:rsidRDefault="004C1CED" w:rsidP="004C1CED">
            <w:pPr>
              <w:keepNext/>
              <w:widowControl/>
              <w:spacing w:before="40" w:after="40"/>
              <w:rPr>
                <w:rFonts w:eastAsia="Calibri"/>
                <w:noProof/>
                <w:sz w:val="22"/>
                <w:szCs w:val="22"/>
                <w:lang w:eastAsia="en-US"/>
              </w:rPr>
            </w:pPr>
            <w:r w:rsidRPr="00434E9D">
              <w:rPr>
                <w:rFonts w:eastAsia="Calibri"/>
                <w:noProof/>
                <w:sz w:val="22"/>
                <w:szCs w:val="22"/>
                <w:lang w:eastAsia="en-US"/>
              </w:rPr>
              <w:t>sans objet</w:t>
            </w:r>
          </w:p>
        </w:tc>
        <w:tc>
          <w:tcPr>
            <w:tcW w:w="1136" w:type="dxa"/>
            <w:gridSpan w:val="2"/>
            <w:tcMar>
              <w:left w:w="28" w:type="dxa"/>
              <w:right w:w="28" w:type="dxa"/>
            </w:tcMar>
          </w:tcPr>
          <w:p w14:paraId="093E3BAC" w14:textId="77777777" w:rsidR="004C1CED" w:rsidRPr="00434E9D" w:rsidRDefault="004C1CED" w:rsidP="004C1CED">
            <w:pPr>
              <w:keepNext/>
              <w:widowControl/>
              <w:spacing w:before="40" w:after="40"/>
              <w:rPr>
                <w:rFonts w:eastAsia="Calibri"/>
                <w:noProof/>
                <w:sz w:val="22"/>
                <w:szCs w:val="22"/>
                <w:lang w:eastAsia="en-US"/>
              </w:rPr>
            </w:pPr>
          </w:p>
        </w:tc>
        <w:tc>
          <w:tcPr>
            <w:tcW w:w="1262" w:type="dxa"/>
            <w:gridSpan w:val="2"/>
            <w:tcMar>
              <w:left w:w="28" w:type="dxa"/>
              <w:right w:w="28" w:type="dxa"/>
            </w:tcMar>
          </w:tcPr>
          <w:p w14:paraId="3383F566" w14:textId="77777777" w:rsidR="004C1CED" w:rsidRPr="00434E9D" w:rsidRDefault="004C1CED" w:rsidP="004C1CED">
            <w:pPr>
              <w:keepNext/>
              <w:widowControl/>
              <w:spacing w:before="40" w:after="40"/>
              <w:rPr>
                <w:rFonts w:eastAsia="Calibri"/>
                <w:noProof/>
                <w:sz w:val="22"/>
                <w:szCs w:val="22"/>
                <w:lang w:eastAsia="en-US"/>
              </w:rPr>
            </w:pPr>
            <w:r w:rsidRPr="00434E9D">
              <w:rPr>
                <w:rFonts w:eastAsia="Calibri"/>
                <w:noProof/>
                <w:sz w:val="22"/>
                <w:szCs w:val="22"/>
                <w:lang w:eastAsia="en-US"/>
              </w:rPr>
              <w:t>X</w:t>
            </w:r>
          </w:p>
        </w:tc>
        <w:tc>
          <w:tcPr>
            <w:tcW w:w="1153" w:type="dxa"/>
            <w:gridSpan w:val="2"/>
            <w:tcMar>
              <w:left w:w="28" w:type="dxa"/>
              <w:right w:w="28" w:type="dxa"/>
            </w:tcMar>
          </w:tcPr>
          <w:p w14:paraId="686A2192" w14:textId="77777777" w:rsidR="004C1CED" w:rsidRPr="00434E9D" w:rsidRDefault="004C1CED" w:rsidP="004C1CED">
            <w:pPr>
              <w:keepNext/>
              <w:widowControl/>
              <w:spacing w:before="40" w:after="40"/>
              <w:rPr>
                <w:rFonts w:eastAsia="Calibri"/>
                <w:noProof/>
                <w:sz w:val="22"/>
                <w:szCs w:val="22"/>
                <w:lang w:eastAsia="en-US"/>
              </w:rPr>
            </w:pPr>
          </w:p>
        </w:tc>
        <w:tc>
          <w:tcPr>
            <w:tcW w:w="970" w:type="dxa"/>
            <w:tcMar>
              <w:left w:w="28" w:type="dxa"/>
              <w:right w:w="28" w:type="dxa"/>
            </w:tcMar>
          </w:tcPr>
          <w:p w14:paraId="4A96BDDF" w14:textId="77777777" w:rsidR="004C1CED" w:rsidRPr="00434E9D" w:rsidRDefault="004C1CED" w:rsidP="004C1CED">
            <w:pPr>
              <w:keepNext/>
              <w:widowControl/>
              <w:spacing w:before="40" w:after="40"/>
              <w:rPr>
                <w:rFonts w:eastAsia="Calibri"/>
                <w:noProof/>
                <w:sz w:val="22"/>
                <w:szCs w:val="22"/>
                <w:lang w:eastAsia="en-US"/>
              </w:rPr>
            </w:pPr>
          </w:p>
        </w:tc>
      </w:tr>
      <w:tr w:rsidR="004C1CED" w:rsidRPr="00434E9D" w14:paraId="005E38AA" w14:textId="77777777" w:rsidTr="00B12A07">
        <w:trPr>
          <w:gridBefore w:val="1"/>
          <w:wBefore w:w="17" w:type="dxa"/>
          <w:cantSplit/>
          <w:tblHeader/>
          <w:jc w:val="center"/>
        </w:trPr>
        <w:tc>
          <w:tcPr>
            <w:tcW w:w="651" w:type="dxa"/>
            <w:gridSpan w:val="3"/>
            <w:tcMar>
              <w:left w:w="28" w:type="dxa"/>
              <w:right w:w="28" w:type="dxa"/>
            </w:tcMar>
          </w:tcPr>
          <w:p w14:paraId="37CC20CA" w14:textId="77777777" w:rsidR="004C1CED" w:rsidRPr="00434E9D" w:rsidRDefault="004C1CED" w:rsidP="004C1CED">
            <w:pPr>
              <w:widowControl/>
              <w:spacing w:before="40" w:after="40"/>
              <w:jc w:val="both"/>
              <w:rPr>
                <w:rFonts w:eastAsia="Calibri"/>
                <w:noProof/>
                <w:sz w:val="22"/>
                <w:szCs w:val="22"/>
                <w:lang w:eastAsia="en-US"/>
              </w:rPr>
            </w:pPr>
            <w:r w:rsidRPr="00434E9D">
              <w:rPr>
                <w:rFonts w:eastAsia="Calibri"/>
                <w:noProof/>
                <w:sz w:val="22"/>
                <w:szCs w:val="22"/>
                <w:lang w:eastAsia="en-US"/>
              </w:rPr>
              <w:t>(30)</w:t>
            </w:r>
          </w:p>
        </w:tc>
        <w:tc>
          <w:tcPr>
            <w:tcW w:w="2286" w:type="dxa"/>
            <w:gridSpan w:val="3"/>
            <w:tcMar>
              <w:left w:w="28" w:type="dxa"/>
              <w:right w:w="28" w:type="dxa"/>
            </w:tcMar>
          </w:tcPr>
          <w:p w14:paraId="2D12AB38"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Composés du tributylétain (</w:t>
            </w:r>
            <w:r w:rsidRPr="00434E9D">
              <w:rPr>
                <w:rFonts w:eastAsia="Calibri"/>
                <w:noProof/>
                <w:sz w:val="22"/>
                <w:szCs w:val="22"/>
                <w:vertAlign w:val="superscript"/>
                <w:lang w:eastAsia="en-US"/>
              </w:rPr>
              <w:t>18</w:t>
            </w:r>
            <w:r w:rsidRPr="00434E9D">
              <w:rPr>
                <w:rFonts w:eastAsia="Calibri"/>
                <w:noProof/>
                <w:sz w:val="22"/>
                <w:szCs w:val="22"/>
                <w:lang w:eastAsia="en-US"/>
              </w:rPr>
              <w:t>) (</w:t>
            </w:r>
            <w:bookmarkStart w:id="34" w:name="_DV_C351"/>
            <w:r w:rsidRPr="00434E9D">
              <w:rPr>
                <w:rFonts w:eastAsia="Calibri"/>
                <w:noProof/>
                <w:sz w:val="22"/>
                <w:szCs w:val="22"/>
                <w:lang w:eastAsia="en-US"/>
              </w:rPr>
              <w:t>tributylétain</w:t>
            </w:r>
            <w:bookmarkStart w:id="35" w:name="_DV_M307"/>
            <w:bookmarkEnd w:id="34"/>
            <w:bookmarkEnd w:id="35"/>
            <w:r w:rsidRPr="00434E9D">
              <w:rPr>
                <w:rFonts w:eastAsia="Calibri"/>
                <w:noProof/>
                <w:sz w:val="22"/>
                <w:szCs w:val="22"/>
                <w:lang w:eastAsia="en-US"/>
              </w:rPr>
              <w:t>-cation)</w:t>
            </w:r>
          </w:p>
        </w:tc>
        <w:tc>
          <w:tcPr>
            <w:tcW w:w="1329" w:type="dxa"/>
            <w:gridSpan w:val="3"/>
            <w:tcMar>
              <w:left w:w="28" w:type="dxa"/>
              <w:right w:w="28" w:type="dxa"/>
            </w:tcMar>
          </w:tcPr>
          <w:p w14:paraId="403F41E9"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Biocides</w:t>
            </w:r>
          </w:p>
        </w:tc>
        <w:tc>
          <w:tcPr>
            <w:tcW w:w="992" w:type="dxa"/>
            <w:gridSpan w:val="2"/>
            <w:tcMar>
              <w:left w:w="28" w:type="dxa"/>
              <w:right w:w="28" w:type="dxa"/>
            </w:tcMar>
          </w:tcPr>
          <w:p w14:paraId="55D054D2"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36643-28-4</w:t>
            </w:r>
          </w:p>
        </w:tc>
        <w:tc>
          <w:tcPr>
            <w:tcW w:w="1134" w:type="dxa"/>
          </w:tcPr>
          <w:p w14:paraId="3452D993"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sans objet</w:t>
            </w:r>
          </w:p>
        </w:tc>
        <w:tc>
          <w:tcPr>
            <w:tcW w:w="1279" w:type="dxa"/>
            <w:gridSpan w:val="2"/>
            <w:tcMar>
              <w:left w:w="28" w:type="dxa"/>
              <w:right w:w="28" w:type="dxa"/>
            </w:tcMar>
          </w:tcPr>
          <w:p w14:paraId="6971BBB5"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0,0002</w:t>
            </w:r>
          </w:p>
        </w:tc>
        <w:tc>
          <w:tcPr>
            <w:tcW w:w="1279" w:type="dxa"/>
            <w:gridSpan w:val="2"/>
            <w:tcMar>
              <w:left w:w="28" w:type="dxa"/>
              <w:right w:w="28" w:type="dxa"/>
            </w:tcMar>
          </w:tcPr>
          <w:p w14:paraId="4B3B10C1"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0,0002</w:t>
            </w:r>
          </w:p>
        </w:tc>
        <w:tc>
          <w:tcPr>
            <w:tcW w:w="1278" w:type="dxa"/>
            <w:gridSpan w:val="2"/>
            <w:tcMar>
              <w:left w:w="28" w:type="dxa"/>
              <w:right w:w="28" w:type="dxa"/>
            </w:tcMar>
          </w:tcPr>
          <w:p w14:paraId="33FE9B93"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0,0015</w:t>
            </w:r>
          </w:p>
        </w:tc>
        <w:tc>
          <w:tcPr>
            <w:tcW w:w="1277" w:type="dxa"/>
            <w:gridSpan w:val="2"/>
            <w:tcMar>
              <w:left w:w="28" w:type="dxa"/>
              <w:right w:w="28" w:type="dxa"/>
            </w:tcMar>
          </w:tcPr>
          <w:p w14:paraId="49A3199D"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0,0015</w:t>
            </w:r>
          </w:p>
        </w:tc>
        <w:tc>
          <w:tcPr>
            <w:tcW w:w="1136" w:type="dxa"/>
            <w:gridSpan w:val="2"/>
            <w:tcMar>
              <w:left w:w="28" w:type="dxa"/>
              <w:right w:w="28" w:type="dxa"/>
            </w:tcMar>
          </w:tcPr>
          <w:p w14:paraId="111A7341"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[1,3] (</w:t>
            </w:r>
            <w:r w:rsidRPr="00434E9D">
              <w:rPr>
                <w:rFonts w:eastAsia="Calibri"/>
                <w:noProof/>
                <w:sz w:val="22"/>
                <w:szCs w:val="22"/>
                <w:vertAlign w:val="superscript"/>
                <w:lang w:eastAsia="en-US"/>
              </w:rPr>
              <w:t>19</w:t>
            </w:r>
            <w:r w:rsidRPr="00434E9D">
              <w:rPr>
                <w:rFonts w:eastAsia="Calibri"/>
                <w:noProof/>
                <w:sz w:val="22"/>
                <w:szCs w:val="22"/>
                <w:lang w:eastAsia="en-US"/>
              </w:rPr>
              <w:t>)</w:t>
            </w:r>
          </w:p>
        </w:tc>
        <w:tc>
          <w:tcPr>
            <w:tcW w:w="1262" w:type="dxa"/>
            <w:gridSpan w:val="2"/>
            <w:tcMar>
              <w:left w:w="28" w:type="dxa"/>
              <w:right w:w="28" w:type="dxa"/>
            </w:tcMar>
          </w:tcPr>
          <w:p w14:paraId="3EC44893"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 xml:space="preserve">X </w:t>
            </w:r>
          </w:p>
        </w:tc>
        <w:tc>
          <w:tcPr>
            <w:tcW w:w="1153" w:type="dxa"/>
            <w:gridSpan w:val="2"/>
            <w:tcMar>
              <w:left w:w="28" w:type="dxa"/>
              <w:right w:w="28" w:type="dxa"/>
            </w:tcMar>
          </w:tcPr>
          <w:p w14:paraId="0B20FF94"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X</w:t>
            </w:r>
          </w:p>
        </w:tc>
        <w:tc>
          <w:tcPr>
            <w:tcW w:w="970" w:type="dxa"/>
            <w:tcMar>
              <w:left w:w="28" w:type="dxa"/>
              <w:right w:w="28" w:type="dxa"/>
            </w:tcMar>
          </w:tcPr>
          <w:p w14:paraId="0BF991E2"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X</w:t>
            </w:r>
          </w:p>
        </w:tc>
      </w:tr>
      <w:tr w:rsidR="004C1CED" w:rsidRPr="00434E9D" w14:paraId="2A6DD310" w14:textId="77777777" w:rsidTr="00B12A07">
        <w:trPr>
          <w:gridBefore w:val="1"/>
          <w:wBefore w:w="17" w:type="dxa"/>
          <w:cantSplit/>
          <w:tblHeader/>
          <w:jc w:val="center"/>
        </w:trPr>
        <w:tc>
          <w:tcPr>
            <w:tcW w:w="651" w:type="dxa"/>
            <w:gridSpan w:val="3"/>
            <w:tcMar>
              <w:left w:w="28" w:type="dxa"/>
              <w:right w:w="28" w:type="dxa"/>
            </w:tcMar>
          </w:tcPr>
          <w:p w14:paraId="39B06FA8" w14:textId="77777777" w:rsidR="004C1CED" w:rsidRPr="00434E9D" w:rsidRDefault="004C1CED" w:rsidP="004C1CED">
            <w:pPr>
              <w:widowControl/>
              <w:spacing w:before="40" w:after="40"/>
              <w:jc w:val="both"/>
              <w:rPr>
                <w:rFonts w:eastAsia="Calibri"/>
                <w:noProof/>
                <w:sz w:val="22"/>
                <w:szCs w:val="22"/>
                <w:lang w:eastAsia="en-US"/>
              </w:rPr>
            </w:pPr>
            <w:r w:rsidRPr="00434E9D">
              <w:rPr>
                <w:rFonts w:eastAsia="Calibri"/>
                <w:noProof/>
                <w:sz w:val="22"/>
                <w:szCs w:val="22"/>
                <w:lang w:eastAsia="en-US"/>
              </w:rPr>
              <w:t>(31)</w:t>
            </w:r>
          </w:p>
        </w:tc>
        <w:tc>
          <w:tcPr>
            <w:tcW w:w="2286" w:type="dxa"/>
            <w:gridSpan w:val="3"/>
            <w:tcMar>
              <w:left w:w="28" w:type="dxa"/>
              <w:right w:w="28" w:type="dxa"/>
            </w:tcMar>
          </w:tcPr>
          <w:p w14:paraId="40B845B7"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Trichloro-benzène</w:t>
            </w:r>
          </w:p>
        </w:tc>
        <w:tc>
          <w:tcPr>
            <w:tcW w:w="1329" w:type="dxa"/>
            <w:gridSpan w:val="3"/>
            <w:tcMar>
              <w:left w:w="28" w:type="dxa"/>
              <w:right w:w="28" w:type="dxa"/>
            </w:tcMar>
          </w:tcPr>
          <w:p w14:paraId="785762DB"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Substances industrielles (solvants)</w:t>
            </w:r>
          </w:p>
        </w:tc>
        <w:tc>
          <w:tcPr>
            <w:tcW w:w="992" w:type="dxa"/>
            <w:gridSpan w:val="2"/>
            <w:tcMar>
              <w:left w:w="28" w:type="dxa"/>
              <w:right w:w="28" w:type="dxa"/>
            </w:tcMar>
          </w:tcPr>
          <w:p w14:paraId="4B78628B"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12002-48-1</w:t>
            </w:r>
          </w:p>
        </w:tc>
        <w:tc>
          <w:tcPr>
            <w:tcW w:w="1134" w:type="dxa"/>
          </w:tcPr>
          <w:p w14:paraId="6469596B"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234-413-4</w:t>
            </w:r>
          </w:p>
        </w:tc>
        <w:tc>
          <w:tcPr>
            <w:tcW w:w="1279" w:type="dxa"/>
            <w:gridSpan w:val="2"/>
            <w:tcMar>
              <w:left w:w="28" w:type="dxa"/>
              <w:right w:w="28" w:type="dxa"/>
            </w:tcMar>
          </w:tcPr>
          <w:p w14:paraId="38983F6E"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 xml:space="preserve">0,4 </w:t>
            </w:r>
          </w:p>
        </w:tc>
        <w:tc>
          <w:tcPr>
            <w:tcW w:w="1279" w:type="dxa"/>
            <w:gridSpan w:val="2"/>
            <w:tcMar>
              <w:left w:w="28" w:type="dxa"/>
              <w:right w:w="28" w:type="dxa"/>
            </w:tcMar>
          </w:tcPr>
          <w:p w14:paraId="43C62578"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0,4</w:t>
            </w:r>
          </w:p>
        </w:tc>
        <w:tc>
          <w:tcPr>
            <w:tcW w:w="1278" w:type="dxa"/>
            <w:gridSpan w:val="2"/>
            <w:tcMar>
              <w:left w:w="28" w:type="dxa"/>
              <w:right w:w="28" w:type="dxa"/>
            </w:tcMar>
          </w:tcPr>
          <w:p w14:paraId="23984383"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sans objet</w:t>
            </w:r>
          </w:p>
        </w:tc>
        <w:tc>
          <w:tcPr>
            <w:tcW w:w="1277" w:type="dxa"/>
            <w:gridSpan w:val="2"/>
            <w:tcMar>
              <w:left w:w="28" w:type="dxa"/>
              <w:right w:w="28" w:type="dxa"/>
            </w:tcMar>
          </w:tcPr>
          <w:p w14:paraId="2362C70B"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sans objet</w:t>
            </w:r>
          </w:p>
        </w:tc>
        <w:tc>
          <w:tcPr>
            <w:tcW w:w="1136" w:type="dxa"/>
            <w:gridSpan w:val="2"/>
            <w:tcMar>
              <w:left w:w="28" w:type="dxa"/>
              <w:right w:w="28" w:type="dxa"/>
            </w:tcMar>
          </w:tcPr>
          <w:p w14:paraId="1F7AAB4B" w14:textId="77777777" w:rsidR="004C1CED" w:rsidRPr="00434E9D" w:rsidRDefault="004C1CED" w:rsidP="004C1CED">
            <w:pPr>
              <w:widowControl/>
              <w:spacing w:before="40" w:after="40"/>
              <w:rPr>
                <w:rFonts w:eastAsia="Calibri"/>
                <w:noProof/>
                <w:sz w:val="22"/>
                <w:szCs w:val="22"/>
                <w:lang w:eastAsia="en-US"/>
              </w:rPr>
            </w:pPr>
          </w:p>
        </w:tc>
        <w:tc>
          <w:tcPr>
            <w:tcW w:w="1262" w:type="dxa"/>
            <w:gridSpan w:val="2"/>
            <w:tcMar>
              <w:left w:w="28" w:type="dxa"/>
              <w:right w:w="28" w:type="dxa"/>
            </w:tcMar>
          </w:tcPr>
          <w:p w14:paraId="400A1BDC" w14:textId="77777777" w:rsidR="004C1CED" w:rsidRPr="00434E9D" w:rsidRDefault="004C1CED" w:rsidP="004C1CED">
            <w:pPr>
              <w:widowControl/>
              <w:spacing w:before="40" w:after="40"/>
              <w:rPr>
                <w:rFonts w:eastAsia="Calibri"/>
                <w:noProof/>
                <w:sz w:val="22"/>
                <w:szCs w:val="22"/>
                <w:lang w:eastAsia="en-US"/>
              </w:rPr>
            </w:pPr>
          </w:p>
        </w:tc>
        <w:tc>
          <w:tcPr>
            <w:tcW w:w="1153" w:type="dxa"/>
            <w:gridSpan w:val="2"/>
            <w:tcMar>
              <w:left w:w="28" w:type="dxa"/>
              <w:right w:w="28" w:type="dxa"/>
            </w:tcMar>
          </w:tcPr>
          <w:p w14:paraId="5EDBA8ED" w14:textId="77777777" w:rsidR="004C1CED" w:rsidRPr="00434E9D" w:rsidRDefault="004C1CED" w:rsidP="004C1CED">
            <w:pPr>
              <w:widowControl/>
              <w:spacing w:before="40" w:after="40"/>
              <w:rPr>
                <w:rFonts w:eastAsia="Calibri"/>
                <w:noProof/>
                <w:sz w:val="22"/>
                <w:szCs w:val="22"/>
                <w:lang w:eastAsia="en-US"/>
              </w:rPr>
            </w:pPr>
          </w:p>
        </w:tc>
        <w:tc>
          <w:tcPr>
            <w:tcW w:w="970" w:type="dxa"/>
            <w:tcMar>
              <w:left w:w="28" w:type="dxa"/>
              <w:right w:w="28" w:type="dxa"/>
            </w:tcMar>
          </w:tcPr>
          <w:p w14:paraId="2BEC7C6B" w14:textId="77777777" w:rsidR="004C1CED" w:rsidRPr="00434E9D" w:rsidRDefault="004C1CED" w:rsidP="004C1CED">
            <w:pPr>
              <w:widowControl/>
              <w:spacing w:before="40" w:after="40"/>
              <w:rPr>
                <w:rFonts w:eastAsia="Calibri"/>
                <w:noProof/>
                <w:sz w:val="22"/>
                <w:szCs w:val="22"/>
                <w:lang w:eastAsia="en-US"/>
              </w:rPr>
            </w:pPr>
          </w:p>
        </w:tc>
      </w:tr>
      <w:tr w:rsidR="004C1CED" w:rsidRPr="00434E9D" w14:paraId="0CAADCCA" w14:textId="77777777" w:rsidTr="00B12A07">
        <w:trPr>
          <w:gridBefore w:val="1"/>
          <w:wBefore w:w="17" w:type="dxa"/>
          <w:cantSplit/>
          <w:tblHeader/>
          <w:jc w:val="center"/>
        </w:trPr>
        <w:tc>
          <w:tcPr>
            <w:tcW w:w="651" w:type="dxa"/>
            <w:gridSpan w:val="3"/>
            <w:tcMar>
              <w:left w:w="28" w:type="dxa"/>
              <w:right w:w="28" w:type="dxa"/>
            </w:tcMar>
          </w:tcPr>
          <w:p w14:paraId="5246DD82" w14:textId="77777777" w:rsidR="004C1CED" w:rsidRPr="00434E9D" w:rsidRDefault="004C1CED" w:rsidP="004C1CED">
            <w:pPr>
              <w:widowControl/>
              <w:spacing w:before="40" w:after="40"/>
              <w:jc w:val="both"/>
              <w:rPr>
                <w:rFonts w:eastAsia="Calibri"/>
                <w:noProof/>
                <w:sz w:val="22"/>
                <w:szCs w:val="22"/>
                <w:lang w:eastAsia="en-US"/>
              </w:rPr>
            </w:pPr>
            <w:r w:rsidRPr="00434E9D">
              <w:rPr>
                <w:rFonts w:eastAsia="Calibri"/>
                <w:noProof/>
                <w:sz w:val="22"/>
                <w:szCs w:val="22"/>
                <w:lang w:eastAsia="en-US"/>
              </w:rPr>
              <w:t>(32)</w:t>
            </w:r>
          </w:p>
        </w:tc>
        <w:tc>
          <w:tcPr>
            <w:tcW w:w="2286" w:type="dxa"/>
            <w:gridSpan w:val="3"/>
            <w:tcMar>
              <w:left w:w="28" w:type="dxa"/>
              <w:right w:w="28" w:type="dxa"/>
            </w:tcMar>
          </w:tcPr>
          <w:p w14:paraId="03ACB61F"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Trichloro-méthane</w:t>
            </w:r>
          </w:p>
        </w:tc>
        <w:tc>
          <w:tcPr>
            <w:tcW w:w="1329" w:type="dxa"/>
            <w:gridSpan w:val="3"/>
            <w:tcMar>
              <w:left w:w="28" w:type="dxa"/>
              <w:right w:w="28" w:type="dxa"/>
            </w:tcMar>
          </w:tcPr>
          <w:p w14:paraId="13D37A56"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Substances industrielles</w:t>
            </w:r>
          </w:p>
        </w:tc>
        <w:tc>
          <w:tcPr>
            <w:tcW w:w="992" w:type="dxa"/>
            <w:gridSpan w:val="2"/>
            <w:tcMar>
              <w:left w:w="28" w:type="dxa"/>
              <w:right w:w="28" w:type="dxa"/>
            </w:tcMar>
          </w:tcPr>
          <w:p w14:paraId="3308FC20"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67-66-3</w:t>
            </w:r>
          </w:p>
        </w:tc>
        <w:tc>
          <w:tcPr>
            <w:tcW w:w="1134" w:type="dxa"/>
          </w:tcPr>
          <w:p w14:paraId="7ABD2B04"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200-663-8</w:t>
            </w:r>
          </w:p>
        </w:tc>
        <w:tc>
          <w:tcPr>
            <w:tcW w:w="1279" w:type="dxa"/>
            <w:gridSpan w:val="2"/>
            <w:tcMar>
              <w:left w:w="28" w:type="dxa"/>
              <w:right w:w="28" w:type="dxa"/>
            </w:tcMar>
          </w:tcPr>
          <w:p w14:paraId="46283F06"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 xml:space="preserve">2,5 </w:t>
            </w:r>
          </w:p>
        </w:tc>
        <w:tc>
          <w:tcPr>
            <w:tcW w:w="1279" w:type="dxa"/>
            <w:gridSpan w:val="2"/>
            <w:tcMar>
              <w:left w:w="28" w:type="dxa"/>
              <w:right w:w="28" w:type="dxa"/>
            </w:tcMar>
          </w:tcPr>
          <w:p w14:paraId="1106ABB7"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 xml:space="preserve">2,5 </w:t>
            </w:r>
          </w:p>
        </w:tc>
        <w:tc>
          <w:tcPr>
            <w:tcW w:w="1278" w:type="dxa"/>
            <w:gridSpan w:val="2"/>
            <w:tcMar>
              <w:left w:w="28" w:type="dxa"/>
              <w:right w:w="28" w:type="dxa"/>
            </w:tcMar>
          </w:tcPr>
          <w:p w14:paraId="47F6397C"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sans objet</w:t>
            </w:r>
          </w:p>
        </w:tc>
        <w:tc>
          <w:tcPr>
            <w:tcW w:w="1277" w:type="dxa"/>
            <w:gridSpan w:val="2"/>
            <w:tcMar>
              <w:left w:w="28" w:type="dxa"/>
              <w:right w:w="28" w:type="dxa"/>
            </w:tcMar>
          </w:tcPr>
          <w:p w14:paraId="4C08381E"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sans objet</w:t>
            </w:r>
          </w:p>
        </w:tc>
        <w:tc>
          <w:tcPr>
            <w:tcW w:w="1136" w:type="dxa"/>
            <w:gridSpan w:val="2"/>
            <w:tcMar>
              <w:left w:w="28" w:type="dxa"/>
              <w:right w:w="28" w:type="dxa"/>
            </w:tcMar>
          </w:tcPr>
          <w:p w14:paraId="725DAA37" w14:textId="77777777" w:rsidR="004C1CED" w:rsidRPr="00434E9D" w:rsidRDefault="004C1CED" w:rsidP="004C1CED">
            <w:pPr>
              <w:widowControl/>
              <w:spacing w:before="40" w:after="40"/>
              <w:rPr>
                <w:rFonts w:eastAsia="Calibri"/>
                <w:noProof/>
                <w:sz w:val="22"/>
                <w:szCs w:val="22"/>
                <w:lang w:eastAsia="en-US"/>
              </w:rPr>
            </w:pPr>
          </w:p>
        </w:tc>
        <w:tc>
          <w:tcPr>
            <w:tcW w:w="1262" w:type="dxa"/>
            <w:gridSpan w:val="2"/>
            <w:tcMar>
              <w:left w:w="28" w:type="dxa"/>
              <w:right w:w="28" w:type="dxa"/>
            </w:tcMar>
          </w:tcPr>
          <w:p w14:paraId="0E57FF96" w14:textId="77777777" w:rsidR="004C1CED" w:rsidRPr="00434E9D" w:rsidRDefault="004C1CED" w:rsidP="004C1CED">
            <w:pPr>
              <w:widowControl/>
              <w:spacing w:before="40" w:after="40"/>
              <w:rPr>
                <w:rFonts w:eastAsia="Calibri"/>
                <w:noProof/>
                <w:sz w:val="22"/>
                <w:szCs w:val="22"/>
                <w:lang w:eastAsia="en-US"/>
              </w:rPr>
            </w:pPr>
          </w:p>
        </w:tc>
        <w:tc>
          <w:tcPr>
            <w:tcW w:w="1153" w:type="dxa"/>
            <w:gridSpan w:val="2"/>
            <w:tcMar>
              <w:left w:w="28" w:type="dxa"/>
              <w:right w:w="28" w:type="dxa"/>
            </w:tcMar>
          </w:tcPr>
          <w:p w14:paraId="60F4DDDB" w14:textId="77777777" w:rsidR="004C1CED" w:rsidRPr="00434E9D" w:rsidRDefault="004C1CED" w:rsidP="004C1CED">
            <w:pPr>
              <w:widowControl/>
              <w:spacing w:before="40" w:after="40"/>
              <w:rPr>
                <w:rFonts w:eastAsia="Calibri"/>
                <w:noProof/>
                <w:sz w:val="22"/>
                <w:szCs w:val="22"/>
                <w:lang w:eastAsia="en-US"/>
              </w:rPr>
            </w:pPr>
          </w:p>
        </w:tc>
        <w:tc>
          <w:tcPr>
            <w:tcW w:w="970" w:type="dxa"/>
            <w:tcMar>
              <w:left w:w="28" w:type="dxa"/>
              <w:right w:w="28" w:type="dxa"/>
            </w:tcMar>
          </w:tcPr>
          <w:p w14:paraId="2CEFF586" w14:textId="77777777" w:rsidR="004C1CED" w:rsidRPr="00434E9D" w:rsidRDefault="004C1CED" w:rsidP="004C1CED">
            <w:pPr>
              <w:widowControl/>
              <w:spacing w:before="40" w:after="40"/>
              <w:rPr>
                <w:rFonts w:eastAsia="Calibri"/>
                <w:noProof/>
                <w:sz w:val="22"/>
                <w:szCs w:val="22"/>
                <w:lang w:eastAsia="en-US"/>
              </w:rPr>
            </w:pPr>
          </w:p>
        </w:tc>
      </w:tr>
      <w:tr w:rsidR="004C1CED" w:rsidRPr="00434E9D" w14:paraId="4F98CD6B" w14:textId="77777777" w:rsidTr="00B12A07">
        <w:trPr>
          <w:gridBefore w:val="1"/>
          <w:wBefore w:w="17" w:type="dxa"/>
          <w:cantSplit/>
          <w:tblHeader/>
          <w:jc w:val="center"/>
        </w:trPr>
        <w:tc>
          <w:tcPr>
            <w:tcW w:w="651" w:type="dxa"/>
            <w:gridSpan w:val="3"/>
            <w:tcMar>
              <w:left w:w="28" w:type="dxa"/>
              <w:right w:w="28" w:type="dxa"/>
            </w:tcMar>
          </w:tcPr>
          <w:p w14:paraId="11E4F353" w14:textId="77777777" w:rsidR="004C1CED" w:rsidRPr="00434E9D" w:rsidRDefault="004C1CED" w:rsidP="004C1CED">
            <w:pPr>
              <w:widowControl/>
              <w:spacing w:before="40" w:after="40"/>
              <w:jc w:val="both"/>
              <w:rPr>
                <w:rFonts w:eastAsia="Calibri"/>
                <w:noProof/>
                <w:sz w:val="22"/>
                <w:szCs w:val="22"/>
                <w:lang w:eastAsia="en-US"/>
              </w:rPr>
            </w:pPr>
            <w:r w:rsidRPr="00434E9D">
              <w:rPr>
                <w:rFonts w:eastAsia="Calibri"/>
                <w:noProof/>
                <w:sz w:val="22"/>
                <w:szCs w:val="22"/>
                <w:lang w:eastAsia="en-US"/>
              </w:rPr>
              <w:t>(33)</w:t>
            </w:r>
          </w:p>
        </w:tc>
        <w:tc>
          <w:tcPr>
            <w:tcW w:w="2286" w:type="dxa"/>
            <w:gridSpan w:val="3"/>
            <w:tcMar>
              <w:left w:w="28" w:type="dxa"/>
              <w:right w:w="28" w:type="dxa"/>
            </w:tcMar>
          </w:tcPr>
          <w:p w14:paraId="175764A3"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Trifluraline</w:t>
            </w:r>
          </w:p>
        </w:tc>
        <w:tc>
          <w:tcPr>
            <w:tcW w:w="1329" w:type="dxa"/>
            <w:gridSpan w:val="3"/>
            <w:tcMar>
              <w:left w:w="28" w:type="dxa"/>
              <w:right w:w="28" w:type="dxa"/>
            </w:tcMar>
          </w:tcPr>
          <w:p w14:paraId="0EBC7E82"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Herbicides</w:t>
            </w:r>
          </w:p>
        </w:tc>
        <w:tc>
          <w:tcPr>
            <w:tcW w:w="992" w:type="dxa"/>
            <w:gridSpan w:val="2"/>
            <w:tcMar>
              <w:left w:w="28" w:type="dxa"/>
              <w:right w:w="28" w:type="dxa"/>
            </w:tcMar>
          </w:tcPr>
          <w:p w14:paraId="704E0B07"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1582-09-8</w:t>
            </w:r>
          </w:p>
        </w:tc>
        <w:tc>
          <w:tcPr>
            <w:tcW w:w="1134" w:type="dxa"/>
          </w:tcPr>
          <w:p w14:paraId="7D0A0885"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216-428-8</w:t>
            </w:r>
          </w:p>
        </w:tc>
        <w:tc>
          <w:tcPr>
            <w:tcW w:w="1279" w:type="dxa"/>
            <w:gridSpan w:val="2"/>
            <w:tcMar>
              <w:left w:w="28" w:type="dxa"/>
              <w:right w:w="28" w:type="dxa"/>
            </w:tcMar>
          </w:tcPr>
          <w:p w14:paraId="04F5D5A0"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0,03</w:t>
            </w:r>
          </w:p>
        </w:tc>
        <w:tc>
          <w:tcPr>
            <w:tcW w:w="1279" w:type="dxa"/>
            <w:gridSpan w:val="2"/>
            <w:tcMar>
              <w:left w:w="28" w:type="dxa"/>
              <w:right w:w="28" w:type="dxa"/>
            </w:tcMar>
          </w:tcPr>
          <w:p w14:paraId="6610FF9D"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0,03</w:t>
            </w:r>
          </w:p>
        </w:tc>
        <w:tc>
          <w:tcPr>
            <w:tcW w:w="1278" w:type="dxa"/>
            <w:gridSpan w:val="2"/>
            <w:tcMar>
              <w:left w:w="28" w:type="dxa"/>
              <w:right w:w="28" w:type="dxa"/>
            </w:tcMar>
          </w:tcPr>
          <w:p w14:paraId="352B157C"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sans objet</w:t>
            </w:r>
          </w:p>
        </w:tc>
        <w:tc>
          <w:tcPr>
            <w:tcW w:w="1277" w:type="dxa"/>
            <w:gridSpan w:val="2"/>
            <w:tcMar>
              <w:left w:w="28" w:type="dxa"/>
              <w:right w:w="28" w:type="dxa"/>
            </w:tcMar>
          </w:tcPr>
          <w:p w14:paraId="50E3FBA8"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sans objet</w:t>
            </w:r>
          </w:p>
        </w:tc>
        <w:tc>
          <w:tcPr>
            <w:tcW w:w="1136" w:type="dxa"/>
            <w:gridSpan w:val="2"/>
            <w:tcMar>
              <w:left w:w="28" w:type="dxa"/>
              <w:right w:w="28" w:type="dxa"/>
            </w:tcMar>
          </w:tcPr>
          <w:p w14:paraId="553A2C0E" w14:textId="77777777" w:rsidR="004C1CED" w:rsidRPr="00434E9D" w:rsidRDefault="004C1CED" w:rsidP="004C1CED">
            <w:pPr>
              <w:widowControl/>
              <w:spacing w:before="40" w:after="40"/>
              <w:rPr>
                <w:rFonts w:eastAsia="Calibri"/>
                <w:noProof/>
                <w:sz w:val="22"/>
                <w:szCs w:val="22"/>
                <w:lang w:eastAsia="en-US"/>
              </w:rPr>
            </w:pPr>
          </w:p>
        </w:tc>
        <w:tc>
          <w:tcPr>
            <w:tcW w:w="1262" w:type="dxa"/>
            <w:gridSpan w:val="2"/>
            <w:tcMar>
              <w:left w:w="28" w:type="dxa"/>
              <w:right w:w="28" w:type="dxa"/>
            </w:tcMar>
          </w:tcPr>
          <w:p w14:paraId="33B8EEA0"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X</w:t>
            </w:r>
          </w:p>
        </w:tc>
        <w:tc>
          <w:tcPr>
            <w:tcW w:w="1153" w:type="dxa"/>
            <w:gridSpan w:val="2"/>
            <w:tcMar>
              <w:left w:w="28" w:type="dxa"/>
              <w:right w:w="28" w:type="dxa"/>
            </w:tcMar>
          </w:tcPr>
          <w:p w14:paraId="58A74C49" w14:textId="77777777" w:rsidR="004C1CED" w:rsidRPr="00434E9D" w:rsidRDefault="004C1CED" w:rsidP="004C1CED">
            <w:pPr>
              <w:widowControl/>
              <w:spacing w:before="40" w:after="40"/>
              <w:rPr>
                <w:rFonts w:eastAsia="Calibri"/>
                <w:noProof/>
                <w:sz w:val="22"/>
                <w:szCs w:val="22"/>
                <w:lang w:eastAsia="en-US"/>
              </w:rPr>
            </w:pPr>
          </w:p>
        </w:tc>
        <w:tc>
          <w:tcPr>
            <w:tcW w:w="970" w:type="dxa"/>
            <w:tcMar>
              <w:left w:w="28" w:type="dxa"/>
              <w:right w:w="28" w:type="dxa"/>
            </w:tcMar>
          </w:tcPr>
          <w:p w14:paraId="25267665" w14:textId="77777777" w:rsidR="004C1CED" w:rsidRPr="00434E9D" w:rsidRDefault="004C1CED" w:rsidP="004C1CED">
            <w:pPr>
              <w:widowControl/>
              <w:spacing w:before="40" w:after="40"/>
              <w:rPr>
                <w:rFonts w:eastAsia="Calibri"/>
                <w:noProof/>
                <w:sz w:val="22"/>
                <w:szCs w:val="22"/>
                <w:lang w:eastAsia="en-US"/>
              </w:rPr>
            </w:pPr>
          </w:p>
        </w:tc>
      </w:tr>
      <w:tr w:rsidR="004C1CED" w:rsidRPr="00434E9D" w14:paraId="4918B8B1" w14:textId="77777777" w:rsidTr="00B12A07">
        <w:trPr>
          <w:gridBefore w:val="1"/>
          <w:wBefore w:w="17" w:type="dxa"/>
          <w:cantSplit/>
          <w:tblHeader/>
          <w:jc w:val="center"/>
        </w:trPr>
        <w:tc>
          <w:tcPr>
            <w:tcW w:w="651" w:type="dxa"/>
            <w:gridSpan w:val="3"/>
            <w:tcMar>
              <w:left w:w="28" w:type="dxa"/>
              <w:right w:w="28" w:type="dxa"/>
            </w:tcMar>
          </w:tcPr>
          <w:p w14:paraId="340D5BB6" w14:textId="77777777" w:rsidR="004C1CED" w:rsidRPr="00434E9D" w:rsidRDefault="004C1CED" w:rsidP="004C1CED">
            <w:pPr>
              <w:widowControl/>
              <w:spacing w:before="40" w:after="40"/>
              <w:jc w:val="both"/>
              <w:rPr>
                <w:rFonts w:eastAsia="Calibri"/>
                <w:noProof/>
                <w:sz w:val="22"/>
                <w:szCs w:val="22"/>
                <w:lang w:eastAsia="en-US"/>
              </w:rPr>
            </w:pPr>
            <w:r w:rsidRPr="00434E9D">
              <w:rPr>
                <w:rFonts w:eastAsia="Calibri"/>
                <w:noProof/>
                <w:sz w:val="22"/>
                <w:szCs w:val="22"/>
                <w:lang w:eastAsia="en-US"/>
              </w:rPr>
              <w:lastRenderedPageBreak/>
              <w:t>(34)</w:t>
            </w:r>
          </w:p>
        </w:tc>
        <w:tc>
          <w:tcPr>
            <w:tcW w:w="2286" w:type="dxa"/>
            <w:gridSpan w:val="3"/>
            <w:tcMar>
              <w:left w:w="28" w:type="dxa"/>
              <w:right w:w="28" w:type="dxa"/>
            </w:tcMar>
          </w:tcPr>
          <w:p w14:paraId="7F8426C9"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Dicofol</w:t>
            </w:r>
          </w:p>
        </w:tc>
        <w:tc>
          <w:tcPr>
            <w:tcW w:w="1329" w:type="dxa"/>
            <w:gridSpan w:val="3"/>
            <w:tcMar>
              <w:left w:w="28" w:type="dxa"/>
              <w:right w:w="28" w:type="dxa"/>
            </w:tcMar>
          </w:tcPr>
          <w:p w14:paraId="0BD0ECC7"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Pesticides organochlorés</w:t>
            </w:r>
          </w:p>
        </w:tc>
        <w:tc>
          <w:tcPr>
            <w:tcW w:w="992" w:type="dxa"/>
            <w:gridSpan w:val="2"/>
            <w:tcMar>
              <w:left w:w="28" w:type="dxa"/>
              <w:right w:w="28" w:type="dxa"/>
            </w:tcMar>
          </w:tcPr>
          <w:p w14:paraId="6918363A"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115-32-2</w:t>
            </w:r>
          </w:p>
        </w:tc>
        <w:tc>
          <w:tcPr>
            <w:tcW w:w="1134" w:type="dxa"/>
          </w:tcPr>
          <w:p w14:paraId="60E54827" w14:textId="77777777" w:rsidR="004C1CED" w:rsidRPr="00434E9D" w:rsidRDefault="004C1CED" w:rsidP="004C1CED">
            <w:pPr>
              <w:widowControl/>
              <w:spacing w:before="40" w:after="40"/>
              <w:rPr>
                <w:rFonts w:eastAsia="Calibri"/>
                <w:strike/>
                <w:noProof/>
                <w:sz w:val="22"/>
                <w:szCs w:val="22"/>
                <w:lang w:eastAsia="en-US"/>
              </w:rPr>
            </w:pPr>
            <w:r w:rsidRPr="00434E9D">
              <w:rPr>
                <w:rFonts w:eastAsia="Calibri"/>
                <w:noProof/>
                <w:sz w:val="22"/>
                <w:szCs w:val="22"/>
                <w:lang w:eastAsia="en-US"/>
              </w:rPr>
              <w:t>204-082-0</w:t>
            </w:r>
          </w:p>
        </w:tc>
        <w:tc>
          <w:tcPr>
            <w:tcW w:w="1279" w:type="dxa"/>
            <w:gridSpan w:val="2"/>
            <w:tcMar>
              <w:left w:w="28" w:type="dxa"/>
              <w:right w:w="28" w:type="dxa"/>
            </w:tcMar>
          </w:tcPr>
          <w:p w14:paraId="570DEE63" w14:textId="77777777" w:rsidR="004C1CED" w:rsidRPr="00434E9D" w:rsidRDefault="004C1CED" w:rsidP="004C1CED">
            <w:pPr>
              <w:widowControl/>
              <w:spacing w:before="40" w:after="40"/>
              <w:rPr>
                <w:rFonts w:eastAsia="Calibri"/>
                <w:noProof/>
                <w:sz w:val="22"/>
                <w:szCs w:val="22"/>
                <w:vertAlign w:val="superscript"/>
                <w:lang w:eastAsia="en-US"/>
              </w:rPr>
            </w:pPr>
            <w:r w:rsidRPr="00434E9D">
              <w:rPr>
                <w:rFonts w:eastAsia="Calibri"/>
                <w:noProof/>
                <w:sz w:val="22"/>
                <w:szCs w:val="22"/>
                <w:lang w:eastAsia="en-US"/>
              </w:rPr>
              <w:t>[4,45 × 10</w:t>
            </w:r>
            <w:r w:rsidRPr="00434E9D">
              <w:rPr>
                <w:rFonts w:eastAsia="Calibri"/>
                <w:noProof/>
                <w:sz w:val="22"/>
                <w:szCs w:val="22"/>
                <w:vertAlign w:val="superscript"/>
                <w:lang w:eastAsia="en-US"/>
              </w:rPr>
              <w:t>-3</w:t>
            </w:r>
            <w:r w:rsidRPr="00434E9D">
              <w:rPr>
                <w:rFonts w:eastAsia="Calibri"/>
                <w:noProof/>
                <w:sz w:val="22"/>
                <w:szCs w:val="22"/>
                <w:lang w:eastAsia="en-US"/>
              </w:rPr>
              <w:t>]</w:t>
            </w:r>
          </w:p>
        </w:tc>
        <w:tc>
          <w:tcPr>
            <w:tcW w:w="1279" w:type="dxa"/>
            <w:gridSpan w:val="2"/>
            <w:tcMar>
              <w:left w:w="28" w:type="dxa"/>
              <w:right w:w="28" w:type="dxa"/>
            </w:tcMar>
          </w:tcPr>
          <w:p w14:paraId="4C7F2D39"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[0,185 × 10</w:t>
            </w:r>
            <w:r w:rsidRPr="00434E9D">
              <w:rPr>
                <w:rFonts w:eastAsia="Calibri"/>
                <w:noProof/>
                <w:sz w:val="22"/>
                <w:szCs w:val="22"/>
                <w:vertAlign w:val="superscript"/>
                <w:lang w:eastAsia="en-US"/>
              </w:rPr>
              <w:t>-3</w:t>
            </w:r>
            <w:r w:rsidRPr="00434E9D">
              <w:rPr>
                <w:rFonts w:eastAsia="Calibri"/>
                <w:noProof/>
                <w:sz w:val="22"/>
                <w:szCs w:val="22"/>
                <w:lang w:eastAsia="en-US"/>
              </w:rPr>
              <w:t>]</w:t>
            </w:r>
          </w:p>
        </w:tc>
        <w:tc>
          <w:tcPr>
            <w:tcW w:w="1278" w:type="dxa"/>
            <w:gridSpan w:val="2"/>
            <w:tcMar>
              <w:left w:w="28" w:type="dxa"/>
              <w:right w:w="28" w:type="dxa"/>
            </w:tcMar>
          </w:tcPr>
          <w:p w14:paraId="45F6B4B4" w14:textId="77777777" w:rsidR="004C1CED" w:rsidRPr="00434E9D" w:rsidRDefault="004C1CED" w:rsidP="004C1CED">
            <w:pPr>
              <w:widowControl/>
              <w:spacing w:before="40" w:after="40"/>
              <w:rPr>
                <w:rFonts w:eastAsia="Calibri"/>
                <w:noProof/>
                <w:sz w:val="22"/>
                <w:szCs w:val="22"/>
                <w:vertAlign w:val="superscript"/>
                <w:lang w:eastAsia="en-US"/>
              </w:rPr>
            </w:pPr>
            <w:r w:rsidRPr="00434E9D">
              <w:rPr>
                <w:rFonts w:eastAsia="Calibri"/>
                <w:noProof/>
                <w:sz w:val="22"/>
                <w:szCs w:val="22"/>
                <w:lang w:eastAsia="en-US"/>
              </w:rPr>
              <w:t xml:space="preserve">sans objet </w:t>
            </w:r>
            <w:bookmarkStart w:id="36" w:name="_DV_M308"/>
            <w:bookmarkStart w:id="37" w:name="_Ref101447957"/>
            <w:bookmarkEnd w:id="36"/>
            <w:r w:rsidRPr="00434E9D">
              <w:rPr>
                <w:rFonts w:eastAsia="Calibri"/>
                <w:noProof/>
                <w:sz w:val="22"/>
                <w:szCs w:val="22"/>
                <w:lang w:eastAsia="en-US"/>
              </w:rPr>
              <w:t>(</w:t>
            </w:r>
            <w:r w:rsidRPr="00434E9D">
              <w:rPr>
                <w:rFonts w:eastAsia="Calibri"/>
                <w:noProof/>
                <w:sz w:val="22"/>
                <w:szCs w:val="22"/>
                <w:vertAlign w:val="superscript"/>
                <w:lang w:eastAsia="en-US"/>
              </w:rPr>
              <w:t>20</w:t>
            </w:r>
            <w:r w:rsidRPr="00434E9D">
              <w:rPr>
                <w:rFonts w:eastAsia="Calibri"/>
                <w:noProof/>
                <w:sz w:val="22"/>
                <w:szCs w:val="22"/>
                <w:lang w:eastAsia="en-US"/>
              </w:rPr>
              <w:t>)</w:t>
            </w:r>
            <w:bookmarkEnd w:id="37"/>
          </w:p>
        </w:tc>
        <w:tc>
          <w:tcPr>
            <w:tcW w:w="1277" w:type="dxa"/>
            <w:gridSpan w:val="2"/>
            <w:tcMar>
              <w:left w:w="28" w:type="dxa"/>
              <w:right w:w="28" w:type="dxa"/>
            </w:tcMar>
          </w:tcPr>
          <w:p w14:paraId="247F44CB" w14:textId="77777777" w:rsidR="004C1CED" w:rsidRPr="00434E9D" w:rsidRDefault="004C1CED" w:rsidP="004C1CED">
            <w:pPr>
              <w:widowControl/>
              <w:spacing w:before="40" w:after="40"/>
              <w:rPr>
                <w:rFonts w:eastAsia="Calibri"/>
                <w:noProof/>
                <w:sz w:val="22"/>
                <w:szCs w:val="22"/>
                <w:vertAlign w:val="superscript"/>
                <w:lang w:eastAsia="en-US"/>
              </w:rPr>
            </w:pPr>
            <w:r w:rsidRPr="00434E9D">
              <w:rPr>
                <w:rFonts w:eastAsia="Calibri"/>
                <w:noProof/>
                <w:sz w:val="22"/>
                <w:szCs w:val="22"/>
                <w:lang w:eastAsia="en-US"/>
              </w:rPr>
              <w:t>sans objet (</w:t>
            </w:r>
            <w:r w:rsidRPr="00434E9D">
              <w:rPr>
                <w:rFonts w:eastAsia="Calibri"/>
                <w:noProof/>
                <w:sz w:val="22"/>
                <w:szCs w:val="22"/>
                <w:vertAlign w:val="superscript"/>
                <w:lang w:eastAsia="en-US"/>
              </w:rPr>
              <w:t>20</w:t>
            </w:r>
            <w:r w:rsidRPr="00434E9D">
              <w:rPr>
                <w:rFonts w:eastAsia="Calibri"/>
                <w:noProof/>
                <w:sz w:val="22"/>
                <w:szCs w:val="22"/>
                <w:lang w:eastAsia="en-US"/>
              </w:rPr>
              <w:t>)</w:t>
            </w:r>
            <w:bookmarkStart w:id="38" w:name="_DV_M309"/>
            <w:bookmarkEnd w:id="38"/>
          </w:p>
        </w:tc>
        <w:tc>
          <w:tcPr>
            <w:tcW w:w="1136" w:type="dxa"/>
            <w:gridSpan w:val="2"/>
            <w:tcMar>
              <w:left w:w="28" w:type="dxa"/>
              <w:right w:w="28" w:type="dxa"/>
            </w:tcMar>
          </w:tcPr>
          <w:p w14:paraId="417EECB3"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[5,45]</w:t>
            </w:r>
          </w:p>
        </w:tc>
        <w:tc>
          <w:tcPr>
            <w:tcW w:w="1262" w:type="dxa"/>
            <w:gridSpan w:val="2"/>
            <w:tcMar>
              <w:left w:w="28" w:type="dxa"/>
              <w:right w:w="28" w:type="dxa"/>
            </w:tcMar>
          </w:tcPr>
          <w:p w14:paraId="3D4B5769"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X</w:t>
            </w:r>
          </w:p>
        </w:tc>
        <w:tc>
          <w:tcPr>
            <w:tcW w:w="1153" w:type="dxa"/>
            <w:gridSpan w:val="2"/>
            <w:tcMar>
              <w:left w:w="28" w:type="dxa"/>
              <w:right w:w="28" w:type="dxa"/>
            </w:tcMar>
          </w:tcPr>
          <w:p w14:paraId="0E651C75" w14:textId="77777777" w:rsidR="004C1CED" w:rsidRPr="00434E9D" w:rsidRDefault="004C1CED" w:rsidP="004C1CED">
            <w:pPr>
              <w:widowControl/>
              <w:spacing w:before="40" w:after="40"/>
              <w:rPr>
                <w:rFonts w:eastAsia="Calibri"/>
                <w:noProof/>
                <w:sz w:val="22"/>
                <w:szCs w:val="22"/>
                <w:lang w:eastAsia="en-US"/>
              </w:rPr>
            </w:pPr>
          </w:p>
        </w:tc>
        <w:tc>
          <w:tcPr>
            <w:tcW w:w="970" w:type="dxa"/>
            <w:tcMar>
              <w:left w:w="28" w:type="dxa"/>
              <w:right w:w="28" w:type="dxa"/>
            </w:tcMar>
          </w:tcPr>
          <w:p w14:paraId="580168A7"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X</w:t>
            </w:r>
          </w:p>
        </w:tc>
      </w:tr>
      <w:tr w:rsidR="004C1CED" w:rsidRPr="00434E9D" w14:paraId="5D300575" w14:textId="77777777" w:rsidTr="00B12A07">
        <w:trPr>
          <w:gridBefore w:val="1"/>
          <w:wBefore w:w="17" w:type="dxa"/>
          <w:cantSplit/>
          <w:tblHeader/>
          <w:jc w:val="center"/>
        </w:trPr>
        <w:tc>
          <w:tcPr>
            <w:tcW w:w="651" w:type="dxa"/>
            <w:gridSpan w:val="3"/>
            <w:tcMar>
              <w:left w:w="28" w:type="dxa"/>
              <w:right w:w="28" w:type="dxa"/>
            </w:tcMar>
          </w:tcPr>
          <w:p w14:paraId="547238F7" w14:textId="77777777" w:rsidR="004C1CED" w:rsidRPr="00434E9D" w:rsidRDefault="004C1CED" w:rsidP="004C1CED">
            <w:pPr>
              <w:widowControl/>
              <w:spacing w:before="40" w:after="40"/>
              <w:jc w:val="both"/>
              <w:rPr>
                <w:rFonts w:eastAsia="Calibri"/>
                <w:noProof/>
                <w:sz w:val="22"/>
                <w:szCs w:val="22"/>
                <w:lang w:eastAsia="en-US"/>
              </w:rPr>
            </w:pPr>
            <w:r w:rsidRPr="00434E9D">
              <w:rPr>
                <w:rFonts w:eastAsia="Calibri"/>
                <w:noProof/>
                <w:sz w:val="22"/>
                <w:szCs w:val="22"/>
                <w:lang w:eastAsia="en-US"/>
              </w:rPr>
              <w:t>(35)</w:t>
            </w:r>
          </w:p>
        </w:tc>
        <w:tc>
          <w:tcPr>
            <w:tcW w:w="2286" w:type="dxa"/>
            <w:gridSpan w:val="3"/>
            <w:tcMar>
              <w:left w:w="28" w:type="dxa"/>
              <w:right w:w="28" w:type="dxa"/>
            </w:tcMar>
          </w:tcPr>
          <w:p w14:paraId="3D002D54" w14:textId="77777777" w:rsidR="004C1CED" w:rsidRPr="00434E9D" w:rsidRDefault="004C1CED" w:rsidP="004C1CED">
            <w:pPr>
              <w:pageBreakBefore/>
              <w:widowControl/>
              <w:spacing w:before="40" w:after="40"/>
              <w:rPr>
                <w:rFonts w:eastAsia="Calibri"/>
                <w:noProof/>
                <w:sz w:val="22"/>
                <w:szCs w:val="22"/>
                <w:lang w:eastAsia="en-US"/>
              </w:rPr>
            </w:pPr>
            <w:r w:rsidRPr="00434E9D">
              <w:rPr>
                <w:rFonts w:eastAsia="Calibri"/>
                <w:noProof/>
                <w:sz w:val="22"/>
                <w:szCs w:val="22"/>
                <w:lang w:eastAsia="en-US"/>
              </w:rPr>
              <w:t>Acide perfluorooctanesulfonique et ses dérivés (perfluoro-octanesulfonate PFOS)</w:t>
            </w:r>
          </w:p>
        </w:tc>
        <w:tc>
          <w:tcPr>
            <w:tcW w:w="1329" w:type="dxa"/>
            <w:gridSpan w:val="3"/>
            <w:tcMar>
              <w:left w:w="28" w:type="dxa"/>
              <w:right w:w="28" w:type="dxa"/>
            </w:tcMar>
          </w:tcPr>
          <w:p w14:paraId="4AD7C1F0"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Substances industrielles</w:t>
            </w:r>
          </w:p>
        </w:tc>
        <w:tc>
          <w:tcPr>
            <w:tcW w:w="992" w:type="dxa"/>
            <w:gridSpan w:val="2"/>
            <w:tcMar>
              <w:left w:w="28" w:type="dxa"/>
              <w:right w:w="28" w:type="dxa"/>
            </w:tcMar>
          </w:tcPr>
          <w:p w14:paraId="5237E688"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1763-23-1</w:t>
            </w:r>
          </w:p>
        </w:tc>
        <w:tc>
          <w:tcPr>
            <w:tcW w:w="1134" w:type="dxa"/>
          </w:tcPr>
          <w:p w14:paraId="4593E126"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217-179-8</w:t>
            </w:r>
          </w:p>
        </w:tc>
        <w:tc>
          <w:tcPr>
            <w:tcW w:w="9634" w:type="dxa"/>
            <w:gridSpan w:val="15"/>
            <w:tcMar>
              <w:left w:w="28" w:type="dxa"/>
              <w:right w:w="28" w:type="dxa"/>
            </w:tcMar>
          </w:tcPr>
          <w:p w14:paraId="55313E4D"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Couvert par le groupe de substances 65 [substances per- et polyfluoroalkylées (PFAS) – somme des 24]</w:t>
            </w:r>
          </w:p>
        </w:tc>
      </w:tr>
      <w:tr w:rsidR="004C1CED" w:rsidRPr="00434E9D" w14:paraId="2989DE30" w14:textId="77777777" w:rsidTr="00B12A07">
        <w:trPr>
          <w:gridBefore w:val="1"/>
          <w:wBefore w:w="17" w:type="dxa"/>
          <w:cantSplit/>
          <w:tblHeader/>
          <w:jc w:val="center"/>
        </w:trPr>
        <w:tc>
          <w:tcPr>
            <w:tcW w:w="651" w:type="dxa"/>
            <w:gridSpan w:val="3"/>
            <w:tcMar>
              <w:left w:w="28" w:type="dxa"/>
              <w:right w:w="28" w:type="dxa"/>
            </w:tcMar>
          </w:tcPr>
          <w:p w14:paraId="164E5284" w14:textId="77777777" w:rsidR="004C1CED" w:rsidRPr="00434E9D" w:rsidRDefault="004C1CED" w:rsidP="004C1CED">
            <w:pPr>
              <w:widowControl/>
              <w:spacing w:before="40" w:after="40"/>
              <w:jc w:val="both"/>
              <w:rPr>
                <w:rFonts w:eastAsia="Calibri"/>
                <w:noProof/>
                <w:sz w:val="22"/>
                <w:szCs w:val="22"/>
                <w:lang w:eastAsia="en-US"/>
              </w:rPr>
            </w:pPr>
            <w:r w:rsidRPr="00434E9D">
              <w:rPr>
                <w:rFonts w:eastAsia="Calibri"/>
                <w:noProof/>
                <w:sz w:val="22"/>
                <w:szCs w:val="22"/>
                <w:lang w:eastAsia="en-US"/>
              </w:rPr>
              <w:t>(36)</w:t>
            </w:r>
          </w:p>
        </w:tc>
        <w:tc>
          <w:tcPr>
            <w:tcW w:w="2286" w:type="dxa"/>
            <w:gridSpan w:val="3"/>
            <w:tcMar>
              <w:left w:w="28" w:type="dxa"/>
              <w:right w:w="28" w:type="dxa"/>
            </w:tcMar>
          </w:tcPr>
          <w:p w14:paraId="55C052D7" w14:textId="77777777" w:rsidR="004C1CED" w:rsidRPr="00434E9D" w:rsidRDefault="004C1CED" w:rsidP="004C1CED">
            <w:pPr>
              <w:pageBreakBefore/>
              <w:widowControl/>
              <w:spacing w:before="40" w:after="40"/>
              <w:rPr>
                <w:rFonts w:eastAsia="Calibri"/>
                <w:noProof/>
                <w:sz w:val="22"/>
                <w:szCs w:val="22"/>
                <w:lang w:eastAsia="en-US"/>
              </w:rPr>
            </w:pPr>
            <w:r w:rsidRPr="00434E9D">
              <w:rPr>
                <w:rFonts w:eastAsia="Calibri"/>
                <w:noProof/>
                <w:sz w:val="22"/>
                <w:szCs w:val="22"/>
                <w:lang w:eastAsia="en-US"/>
              </w:rPr>
              <w:t>Quinoxyfène</w:t>
            </w:r>
          </w:p>
        </w:tc>
        <w:tc>
          <w:tcPr>
            <w:tcW w:w="1329" w:type="dxa"/>
            <w:gridSpan w:val="3"/>
            <w:tcMar>
              <w:left w:w="28" w:type="dxa"/>
              <w:right w:w="28" w:type="dxa"/>
            </w:tcMar>
          </w:tcPr>
          <w:p w14:paraId="4E36E77C"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Produits phytopharmaceutiques</w:t>
            </w:r>
          </w:p>
        </w:tc>
        <w:tc>
          <w:tcPr>
            <w:tcW w:w="992" w:type="dxa"/>
            <w:gridSpan w:val="2"/>
            <w:tcMar>
              <w:left w:w="28" w:type="dxa"/>
              <w:right w:w="28" w:type="dxa"/>
            </w:tcMar>
          </w:tcPr>
          <w:p w14:paraId="2B5B50AC"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124495-18-7</w:t>
            </w:r>
          </w:p>
        </w:tc>
        <w:tc>
          <w:tcPr>
            <w:tcW w:w="1134" w:type="dxa"/>
          </w:tcPr>
          <w:p w14:paraId="69329B0B"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sans objet</w:t>
            </w:r>
          </w:p>
        </w:tc>
        <w:tc>
          <w:tcPr>
            <w:tcW w:w="1279" w:type="dxa"/>
            <w:gridSpan w:val="2"/>
            <w:tcMar>
              <w:left w:w="28" w:type="dxa"/>
              <w:right w:w="28" w:type="dxa"/>
            </w:tcMar>
          </w:tcPr>
          <w:p w14:paraId="5572D68D"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0,15</w:t>
            </w:r>
          </w:p>
        </w:tc>
        <w:tc>
          <w:tcPr>
            <w:tcW w:w="1279" w:type="dxa"/>
            <w:gridSpan w:val="2"/>
            <w:tcMar>
              <w:left w:w="28" w:type="dxa"/>
              <w:right w:w="28" w:type="dxa"/>
            </w:tcMar>
          </w:tcPr>
          <w:p w14:paraId="319DCC18"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0,015</w:t>
            </w:r>
          </w:p>
        </w:tc>
        <w:tc>
          <w:tcPr>
            <w:tcW w:w="1278" w:type="dxa"/>
            <w:gridSpan w:val="2"/>
            <w:tcMar>
              <w:left w:w="28" w:type="dxa"/>
              <w:right w:w="28" w:type="dxa"/>
            </w:tcMar>
          </w:tcPr>
          <w:p w14:paraId="0DAB8BA4"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2,7</w:t>
            </w:r>
          </w:p>
        </w:tc>
        <w:tc>
          <w:tcPr>
            <w:tcW w:w="1277" w:type="dxa"/>
            <w:gridSpan w:val="2"/>
            <w:tcMar>
              <w:left w:w="28" w:type="dxa"/>
              <w:right w:w="28" w:type="dxa"/>
            </w:tcMar>
          </w:tcPr>
          <w:p w14:paraId="0918BAAB"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0,54</w:t>
            </w:r>
          </w:p>
        </w:tc>
        <w:tc>
          <w:tcPr>
            <w:tcW w:w="1136" w:type="dxa"/>
            <w:gridSpan w:val="2"/>
            <w:tcMar>
              <w:left w:w="28" w:type="dxa"/>
              <w:right w:w="28" w:type="dxa"/>
            </w:tcMar>
          </w:tcPr>
          <w:p w14:paraId="14BDEC6B" w14:textId="77777777" w:rsidR="004C1CED" w:rsidRPr="00434E9D" w:rsidRDefault="004C1CED" w:rsidP="004C1CED">
            <w:pPr>
              <w:widowControl/>
              <w:spacing w:before="40" w:after="40"/>
              <w:rPr>
                <w:rFonts w:eastAsia="Calibri"/>
                <w:noProof/>
                <w:sz w:val="22"/>
                <w:szCs w:val="22"/>
                <w:lang w:eastAsia="en-US"/>
              </w:rPr>
            </w:pPr>
          </w:p>
        </w:tc>
        <w:tc>
          <w:tcPr>
            <w:tcW w:w="1262" w:type="dxa"/>
            <w:gridSpan w:val="2"/>
            <w:tcMar>
              <w:left w:w="28" w:type="dxa"/>
              <w:right w:w="28" w:type="dxa"/>
            </w:tcMar>
          </w:tcPr>
          <w:p w14:paraId="5523847C"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X</w:t>
            </w:r>
          </w:p>
        </w:tc>
        <w:tc>
          <w:tcPr>
            <w:tcW w:w="1153" w:type="dxa"/>
            <w:gridSpan w:val="2"/>
            <w:tcMar>
              <w:left w:w="28" w:type="dxa"/>
              <w:right w:w="28" w:type="dxa"/>
            </w:tcMar>
          </w:tcPr>
          <w:p w14:paraId="4E9E6B0D" w14:textId="77777777" w:rsidR="004C1CED" w:rsidRPr="00434E9D" w:rsidRDefault="004C1CED" w:rsidP="004C1CED">
            <w:pPr>
              <w:widowControl/>
              <w:spacing w:before="40" w:after="40"/>
              <w:rPr>
                <w:rFonts w:eastAsia="Calibri"/>
                <w:noProof/>
                <w:sz w:val="22"/>
                <w:szCs w:val="22"/>
                <w:lang w:eastAsia="en-US"/>
              </w:rPr>
            </w:pPr>
          </w:p>
        </w:tc>
        <w:tc>
          <w:tcPr>
            <w:tcW w:w="970" w:type="dxa"/>
            <w:tcMar>
              <w:left w:w="28" w:type="dxa"/>
              <w:right w:w="28" w:type="dxa"/>
            </w:tcMar>
          </w:tcPr>
          <w:p w14:paraId="2E7DC20B"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X</w:t>
            </w:r>
          </w:p>
        </w:tc>
      </w:tr>
      <w:tr w:rsidR="004C1CED" w:rsidRPr="00434E9D" w14:paraId="28AEC7BB" w14:textId="77777777" w:rsidTr="00B12A07">
        <w:trPr>
          <w:cantSplit/>
          <w:tblHeader/>
          <w:jc w:val="center"/>
        </w:trPr>
        <w:tc>
          <w:tcPr>
            <w:tcW w:w="663" w:type="dxa"/>
            <w:gridSpan w:val="4"/>
            <w:tcMar>
              <w:left w:w="28" w:type="dxa"/>
              <w:right w:w="28" w:type="dxa"/>
            </w:tcMar>
          </w:tcPr>
          <w:p w14:paraId="291DA823" w14:textId="77777777" w:rsidR="004C1CED" w:rsidRPr="00434E9D" w:rsidRDefault="004C1CED" w:rsidP="004C1CED">
            <w:pPr>
              <w:widowControl/>
              <w:spacing w:before="40" w:after="40"/>
              <w:jc w:val="both"/>
              <w:rPr>
                <w:rFonts w:eastAsia="Calibri"/>
                <w:noProof/>
                <w:sz w:val="22"/>
                <w:szCs w:val="22"/>
                <w:lang w:eastAsia="en-US"/>
              </w:rPr>
            </w:pPr>
            <w:r w:rsidRPr="00434E9D">
              <w:rPr>
                <w:rFonts w:eastAsia="Calibri"/>
                <w:noProof/>
                <w:sz w:val="22"/>
                <w:szCs w:val="22"/>
                <w:lang w:eastAsia="en-US"/>
              </w:rPr>
              <w:t>(37)</w:t>
            </w:r>
          </w:p>
        </w:tc>
        <w:tc>
          <w:tcPr>
            <w:tcW w:w="2193" w:type="dxa"/>
            <w:tcMar>
              <w:left w:w="28" w:type="dxa"/>
              <w:right w:w="28" w:type="dxa"/>
            </w:tcMar>
          </w:tcPr>
          <w:p w14:paraId="71C8123D" w14:textId="77777777" w:rsidR="004C1CED" w:rsidRPr="00434E9D" w:rsidRDefault="004C1CED" w:rsidP="004C1CED">
            <w:pPr>
              <w:widowControl/>
              <w:spacing w:before="40" w:after="40"/>
              <w:rPr>
                <w:rFonts w:eastAsia="Calibri"/>
                <w:noProof/>
                <w:color w:val="F79646"/>
                <w:sz w:val="22"/>
                <w:szCs w:val="22"/>
                <w:lang w:eastAsia="en-US"/>
              </w:rPr>
            </w:pPr>
            <w:r w:rsidRPr="00434E9D">
              <w:rPr>
                <w:rFonts w:eastAsia="Calibri"/>
                <w:noProof/>
                <w:sz w:val="22"/>
                <w:szCs w:val="22"/>
                <w:lang w:eastAsia="en-US"/>
              </w:rPr>
              <w:t>Dioxines et composés de type dioxine(</w:t>
            </w:r>
            <w:r w:rsidRPr="00434E9D">
              <w:rPr>
                <w:rFonts w:eastAsia="Calibri"/>
                <w:noProof/>
                <w:sz w:val="22"/>
                <w:szCs w:val="22"/>
                <w:vertAlign w:val="superscript"/>
                <w:lang w:eastAsia="en-US"/>
              </w:rPr>
              <w:t>21</w:t>
            </w:r>
            <w:r w:rsidRPr="00434E9D">
              <w:rPr>
                <w:rFonts w:eastAsia="Calibri"/>
                <w:noProof/>
                <w:sz w:val="22"/>
                <w:szCs w:val="22"/>
                <w:lang w:eastAsia="en-US"/>
              </w:rPr>
              <w:t>)</w:t>
            </w:r>
          </w:p>
        </w:tc>
        <w:tc>
          <w:tcPr>
            <w:tcW w:w="1422" w:type="dxa"/>
            <w:gridSpan w:val="5"/>
            <w:tcMar>
              <w:left w:w="28" w:type="dxa"/>
              <w:right w:w="28" w:type="dxa"/>
            </w:tcMar>
          </w:tcPr>
          <w:p w14:paraId="2370B1F6"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Sous-produits industriels</w:t>
            </w:r>
          </w:p>
        </w:tc>
        <w:tc>
          <w:tcPr>
            <w:tcW w:w="992" w:type="dxa"/>
            <w:gridSpan w:val="2"/>
            <w:tcMar>
              <w:left w:w="28" w:type="dxa"/>
              <w:right w:w="28" w:type="dxa"/>
            </w:tcMar>
          </w:tcPr>
          <w:p w14:paraId="3567F153"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sans objet</w:t>
            </w:r>
          </w:p>
        </w:tc>
        <w:tc>
          <w:tcPr>
            <w:tcW w:w="1134" w:type="dxa"/>
          </w:tcPr>
          <w:p w14:paraId="6FA1D783"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sans objet</w:t>
            </w:r>
          </w:p>
        </w:tc>
        <w:tc>
          <w:tcPr>
            <w:tcW w:w="1279" w:type="dxa"/>
            <w:gridSpan w:val="2"/>
            <w:tcMar>
              <w:left w:w="28" w:type="dxa"/>
              <w:right w:w="28" w:type="dxa"/>
            </w:tcMar>
          </w:tcPr>
          <w:p w14:paraId="2ED5BF0B" w14:textId="77777777" w:rsidR="004C1CED" w:rsidRPr="00434E9D" w:rsidRDefault="004C1CED" w:rsidP="004C1CED">
            <w:pPr>
              <w:widowControl/>
              <w:spacing w:before="40" w:after="40"/>
              <w:rPr>
                <w:rFonts w:eastAsia="Calibri"/>
                <w:noProof/>
                <w:sz w:val="22"/>
                <w:szCs w:val="22"/>
                <w:lang w:eastAsia="en-US"/>
              </w:rPr>
            </w:pPr>
          </w:p>
        </w:tc>
        <w:tc>
          <w:tcPr>
            <w:tcW w:w="1279" w:type="dxa"/>
            <w:gridSpan w:val="2"/>
            <w:tcMar>
              <w:left w:w="28" w:type="dxa"/>
              <w:right w:w="28" w:type="dxa"/>
            </w:tcMar>
          </w:tcPr>
          <w:p w14:paraId="590EC59D" w14:textId="77777777" w:rsidR="004C1CED" w:rsidRPr="00434E9D" w:rsidRDefault="004C1CED" w:rsidP="004C1CED">
            <w:pPr>
              <w:widowControl/>
              <w:spacing w:before="40" w:after="40"/>
              <w:rPr>
                <w:rFonts w:eastAsia="Calibri"/>
                <w:noProof/>
                <w:sz w:val="22"/>
                <w:szCs w:val="22"/>
                <w:lang w:eastAsia="en-US"/>
              </w:rPr>
            </w:pPr>
          </w:p>
        </w:tc>
        <w:tc>
          <w:tcPr>
            <w:tcW w:w="1278" w:type="dxa"/>
            <w:gridSpan w:val="2"/>
            <w:tcMar>
              <w:left w:w="28" w:type="dxa"/>
              <w:right w:w="28" w:type="dxa"/>
            </w:tcMar>
          </w:tcPr>
          <w:p w14:paraId="26BFEFDA" w14:textId="77777777" w:rsidR="004C1CED" w:rsidRPr="00434E9D" w:rsidRDefault="004C1CED" w:rsidP="004C1CED">
            <w:pPr>
              <w:widowControl/>
              <w:spacing w:before="40" w:after="40"/>
              <w:rPr>
                <w:rFonts w:eastAsia="Calibri"/>
                <w:b/>
                <w:i/>
                <w:noProof/>
                <w:sz w:val="22"/>
                <w:szCs w:val="22"/>
                <w:lang w:eastAsia="en-US"/>
              </w:rPr>
            </w:pPr>
            <w:bookmarkStart w:id="39" w:name="_DV_C352"/>
            <w:r w:rsidRPr="00434E9D">
              <w:rPr>
                <w:rFonts w:eastAsia="Calibri"/>
                <w:noProof/>
                <w:sz w:val="22"/>
                <w:szCs w:val="22"/>
                <w:lang w:eastAsia="en-US"/>
              </w:rPr>
              <w:t>sans objet</w:t>
            </w:r>
            <w:bookmarkEnd w:id="39"/>
          </w:p>
        </w:tc>
        <w:tc>
          <w:tcPr>
            <w:tcW w:w="1277" w:type="dxa"/>
            <w:gridSpan w:val="2"/>
            <w:tcMar>
              <w:left w:w="28" w:type="dxa"/>
              <w:right w:w="28" w:type="dxa"/>
            </w:tcMar>
          </w:tcPr>
          <w:p w14:paraId="2C61538A" w14:textId="77777777" w:rsidR="004C1CED" w:rsidRPr="00434E9D" w:rsidRDefault="004C1CED" w:rsidP="004C1CED">
            <w:pPr>
              <w:widowControl/>
              <w:spacing w:before="40" w:after="40"/>
              <w:rPr>
                <w:rFonts w:eastAsia="Calibri"/>
                <w:b/>
                <w:i/>
                <w:noProof/>
                <w:sz w:val="22"/>
                <w:szCs w:val="22"/>
                <w:lang w:eastAsia="en-US"/>
              </w:rPr>
            </w:pPr>
            <w:bookmarkStart w:id="40" w:name="_DV_C353"/>
            <w:r w:rsidRPr="00434E9D">
              <w:rPr>
                <w:rFonts w:eastAsia="Calibri"/>
                <w:noProof/>
                <w:sz w:val="22"/>
                <w:szCs w:val="22"/>
                <w:lang w:eastAsia="en-US"/>
              </w:rPr>
              <w:t>sans objet</w:t>
            </w:r>
            <w:bookmarkEnd w:id="40"/>
          </w:p>
        </w:tc>
        <w:tc>
          <w:tcPr>
            <w:tcW w:w="1136" w:type="dxa"/>
            <w:gridSpan w:val="2"/>
            <w:tcMar>
              <w:left w:w="28" w:type="dxa"/>
              <w:right w:w="28" w:type="dxa"/>
            </w:tcMar>
          </w:tcPr>
          <w:p w14:paraId="2CCEAAB4"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Somme des équivalents PCDD + PCDF + PCB-TD</w:t>
            </w:r>
          </w:p>
          <w:p w14:paraId="0F777F81" w14:textId="77777777" w:rsidR="004C1CED" w:rsidRPr="00434E9D" w:rsidRDefault="004C1CED" w:rsidP="004C1CED">
            <w:pPr>
              <w:widowControl/>
              <w:spacing w:before="40" w:after="40"/>
              <w:rPr>
                <w:rFonts w:eastAsia="Calibri"/>
                <w:noProof/>
                <w:sz w:val="22"/>
                <w:szCs w:val="22"/>
                <w:vertAlign w:val="superscript"/>
                <w:lang w:eastAsia="en-US"/>
              </w:rPr>
            </w:pPr>
            <w:r w:rsidRPr="00434E9D">
              <w:rPr>
                <w:rFonts w:eastAsia="Calibri"/>
                <w:noProof/>
                <w:sz w:val="22"/>
                <w:szCs w:val="22"/>
                <w:lang w:eastAsia="en-US"/>
              </w:rPr>
              <w:t>[3,5 10</w:t>
            </w:r>
            <w:r w:rsidRPr="00434E9D">
              <w:rPr>
                <w:rFonts w:eastAsia="Calibri"/>
                <w:noProof/>
                <w:sz w:val="22"/>
                <w:szCs w:val="22"/>
                <w:vertAlign w:val="superscript"/>
                <w:lang w:eastAsia="en-US"/>
              </w:rPr>
              <w:t>-5</w:t>
            </w:r>
            <w:r w:rsidRPr="00434E9D">
              <w:rPr>
                <w:rFonts w:eastAsia="Calibri"/>
                <w:noProof/>
                <w:sz w:val="22"/>
                <w:szCs w:val="22"/>
                <w:lang w:eastAsia="en-US"/>
              </w:rPr>
              <w:t>] (</w:t>
            </w:r>
            <w:r w:rsidRPr="00434E9D">
              <w:rPr>
                <w:rFonts w:eastAsia="Calibri"/>
                <w:noProof/>
                <w:sz w:val="22"/>
                <w:szCs w:val="22"/>
                <w:vertAlign w:val="superscript"/>
                <w:lang w:eastAsia="en-US"/>
              </w:rPr>
              <w:t>22</w:t>
            </w:r>
            <w:r w:rsidRPr="00434E9D">
              <w:rPr>
                <w:rFonts w:eastAsia="Calibri"/>
                <w:noProof/>
                <w:sz w:val="22"/>
                <w:szCs w:val="22"/>
                <w:lang w:eastAsia="en-US"/>
              </w:rPr>
              <w:t>)</w:t>
            </w:r>
          </w:p>
        </w:tc>
        <w:tc>
          <w:tcPr>
            <w:tcW w:w="1262" w:type="dxa"/>
            <w:gridSpan w:val="2"/>
            <w:tcMar>
              <w:left w:w="28" w:type="dxa"/>
              <w:right w:w="28" w:type="dxa"/>
            </w:tcMar>
          </w:tcPr>
          <w:p w14:paraId="76632F9B"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X</w:t>
            </w:r>
          </w:p>
        </w:tc>
        <w:tc>
          <w:tcPr>
            <w:tcW w:w="1153" w:type="dxa"/>
            <w:gridSpan w:val="2"/>
            <w:tcMar>
              <w:left w:w="28" w:type="dxa"/>
              <w:right w:w="28" w:type="dxa"/>
            </w:tcMar>
          </w:tcPr>
          <w:p w14:paraId="562652E8"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X</w:t>
            </w:r>
          </w:p>
        </w:tc>
        <w:tc>
          <w:tcPr>
            <w:tcW w:w="970" w:type="dxa"/>
            <w:tcMar>
              <w:left w:w="28" w:type="dxa"/>
              <w:right w:w="28" w:type="dxa"/>
            </w:tcMar>
          </w:tcPr>
          <w:p w14:paraId="17476307"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X</w:t>
            </w:r>
          </w:p>
        </w:tc>
      </w:tr>
      <w:tr w:rsidR="004C1CED" w:rsidRPr="00434E9D" w14:paraId="33ED0C5B" w14:textId="77777777" w:rsidTr="00B12A07">
        <w:trPr>
          <w:gridBefore w:val="1"/>
          <w:wBefore w:w="17" w:type="dxa"/>
          <w:cantSplit/>
          <w:tblHeader/>
          <w:jc w:val="center"/>
        </w:trPr>
        <w:tc>
          <w:tcPr>
            <w:tcW w:w="651" w:type="dxa"/>
            <w:gridSpan w:val="3"/>
            <w:tcMar>
              <w:left w:w="28" w:type="dxa"/>
              <w:right w:w="28" w:type="dxa"/>
            </w:tcMar>
          </w:tcPr>
          <w:p w14:paraId="54310FA6" w14:textId="77777777" w:rsidR="004C1CED" w:rsidRPr="00434E9D" w:rsidRDefault="004C1CED" w:rsidP="004C1CED">
            <w:pPr>
              <w:widowControl/>
              <w:spacing w:before="40" w:after="40"/>
              <w:jc w:val="both"/>
              <w:rPr>
                <w:rFonts w:eastAsia="Calibri"/>
                <w:noProof/>
                <w:sz w:val="22"/>
                <w:szCs w:val="22"/>
                <w:lang w:eastAsia="en-US"/>
              </w:rPr>
            </w:pPr>
            <w:r w:rsidRPr="00434E9D">
              <w:rPr>
                <w:rFonts w:eastAsia="Calibri"/>
                <w:noProof/>
                <w:sz w:val="22"/>
                <w:szCs w:val="22"/>
                <w:lang w:eastAsia="en-US"/>
              </w:rPr>
              <w:t>(38)</w:t>
            </w:r>
          </w:p>
        </w:tc>
        <w:tc>
          <w:tcPr>
            <w:tcW w:w="2286" w:type="dxa"/>
            <w:gridSpan w:val="3"/>
            <w:tcMar>
              <w:left w:w="28" w:type="dxa"/>
              <w:right w:w="28" w:type="dxa"/>
            </w:tcMar>
          </w:tcPr>
          <w:p w14:paraId="79322E6A"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Aclonifène</w:t>
            </w:r>
          </w:p>
        </w:tc>
        <w:tc>
          <w:tcPr>
            <w:tcW w:w="1329" w:type="dxa"/>
            <w:gridSpan w:val="3"/>
            <w:tcMar>
              <w:left w:w="28" w:type="dxa"/>
              <w:right w:w="28" w:type="dxa"/>
            </w:tcMar>
          </w:tcPr>
          <w:p w14:paraId="152B93EB"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Herbicides</w:t>
            </w:r>
          </w:p>
        </w:tc>
        <w:tc>
          <w:tcPr>
            <w:tcW w:w="992" w:type="dxa"/>
            <w:gridSpan w:val="2"/>
            <w:tcMar>
              <w:left w:w="28" w:type="dxa"/>
              <w:right w:w="28" w:type="dxa"/>
            </w:tcMar>
          </w:tcPr>
          <w:p w14:paraId="43D65824"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74070-46-5</w:t>
            </w:r>
          </w:p>
        </w:tc>
        <w:tc>
          <w:tcPr>
            <w:tcW w:w="1134" w:type="dxa"/>
          </w:tcPr>
          <w:p w14:paraId="110038A5"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277-704-1</w:t>
            </w:r>
          </w:p>
        </w:tc>
        <w:tc>
          <w:tcPr>
            <w:tcW w:w="1279" w:type="dxa"/>
            <w:gridSpan w:val="2"/>
            <w:tcMar>
              <w:left w:w="28" w:type="dxa"/>
              <w:right w:w="28" w:type="dxa"/>
            </w:tcMar>
          </w:tcPr>
          <w:p w14:paraId="5089C411"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0,12</w:t>
            </w:r>
          </w:p>
        </w:tc>
        <w:tc>
          <w:tcPr>
            <w:tcW w:w="1279" w:type="dxa"/>
            <w:gridSpan w:val="2"/>
            <w:tcMar>
              <w:left w:w="28" w:type="dxa"/>
              <w:right w:w="28" w:type="dxa"/>
            </w:tcMar>
          </w:tcPr>
          <w:p w14:paraId="5033ADDF"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0,012</w:t>
            </w:r>
          </w:p>
        </w:tc>
        <w:tc>
          <w:tcPr>
            <w:tcW w:w="1278" w:type="dxa"/>
            <w:gridSpan w:val="2"/>
            <w:tcMar>
              <w:left w:w="28" w:type="dxa"/>
              <w:right w:w="28" w:type="dxa"/>
            </w:tcMar>
          </w:tcPr>
          <w:p w14:paraId="69A21ADA"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0,12</w:t>
            </w:r>
          </w:p>
        </w:tc>
        <w:tc>
          <w:tcPr>
            <w:tcW w:w="1277" w:type="dxa"/>
            <w:gridSpan w:val="2"/>
            <w:tcMar>
              <w:left w:w="28" w:type="dxa"/>
              <w:right w:w="28" w:type="dxa"/>
            </w:tcMar>
          </w:tcPr>
          <w:p w14:paraId="0AED0B0B"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0,012</w:t>
            </w:r>
          </w:p>
        </w:tc>
        <w:tc>
          <w:tcPr>
            <w:tcW w:w="1136" w:type="dxa"/>
            <w:gridSpan w:val="2"/>
            <w:tcMar>
              <w:left w:w="28" w:type="dxa"/>
              <w:right w:w="28" w:type="dxa"/>
            </w:tcMar>
          </w:tcPr>
          <w:p w14:paraId="42CD6369" w14:textId="77777777" w:rsidR="004C1CED" w:rsidRPr="00434E9D" w:rsidRDefault="004C1CED" w:rsidP="004C1CED">
            <w:pPr>
              <w:widowControl/>
              <w:spacing w:before="40" w:after="40"/>
              <w:rPr>
                <w:rFonts w:eastAsia="Calibri"/>
                <w:noProof/>
                <w:sz w:val="22"/>
                <w:szCs w:val="22"/>
                <w:lang w:eastAsia="en-US"/>
              </w:rPr>
            </w:pPr>
          </w:p>
        </w:tc>
        <w:tc>
          <w:tcPr>
            <w:tcW w:w="1262" w:type="dxa"/>
            <w:gridSpan w:val="2"/>
            <w:tcMar>
              <w:left w:w="28" w:type="dxa"/>
              <w:right w:w="28" w:type="dxa"/>
            </w:tcMar>
          </w:tcPr>
          <w:p w14:paraId="5C6B98BF" w14:textId="77777777" w:rsidR="004C1CED" w:rsidRPr="00434E9D" w:rsidRDefault="004C1CED" w:rsidP="004C1CED">
            <w:pPr>
              <w:widowControl/>
              <w:spacing w:before="40" w:after="40"/>
              <w:rPr>
                <w:rFonts w:eastAsia="Calibri"/>
                <w:noProof/>
                <w:sz w:val="22"/>
                <w:szCs w:val="22"/>
                <w:lang w:eastAsia="en-US"/>
              </w:rPr>
            </w:pPr>
          </w:p>
        </w:tc>
        <w:tc>
          <w:tcPr>
            <w:tcW w:w="1153" w:type="dxa"/>
            <w:gridSpan w:val="2"/>
            <w:tcMar>
              <w:left w:w="28" w:type="dxa"/>
              <w:right w:w="28" w:type="dxa"/>
            </w:tcMar>
          </w:tcPr>
          <w:p w14:paraId="26CFBCEB" w14:textId="77777777" w:rsidR="004C1CED" w:rsidRPr="00434E9D" w:rsidRDefault="004C1CED" w:rsidP="004C1CED">
            <w:pPr>
              <w:widowControl/>
              <w:spacing w:before="40" w:after="40"/>
              <w:rPr>
                <w:rFonts w:eastAsia="Calibri"/>
                <w:noProof/>
                <w:sz w:val="22"/>
                <w:szCs w:val="22"/>
                <w:lang w:eastAsia="en-US"/>
              </w:rPr>
            </w:pPr>
          </w:p>
        </w:tc>
        <w:tc>
          <w:tcPr>
            <w:tcW w:w="970" w:type="dxa"/>
            <w:tcMar>
              <w:left w:w="28" w:type="dxa"/>
              <w:right w:w="28" w:type="dxa"/>
            </w:tcMar>
          </w:tcPr>
          <w:p w14:paraId="0A8F3B92" w14:textId="77777777" w:rsidR="004C1CED" w:rsidRPr="00434E9D" w:rsidRDefault="004C1CED" w:rsidP="004C1CED">
            <w:pPr>
              <w:widowControl/>
              <w:spacing w:before="40" w:after="40"/>
              <w:rPr>
                <w:rFonts w:eastAsia="Calibri"/>
                <w:noProof/>
                <w:sz w:val="22"/>
                <w:szCs w:val="22"/>
                <w:lang w:eastAsia="en-US"/>
              </w:rPr>
            </w:pPr>
          </w:p>
        </w:tc>
      </w:tr>
      <w:tr w:rsidR="004C1CED" w:rsidRPr="00434E9D" w14:paraId="46108FB0" w14:textId="77777777" w:rsidTr="00B12A07">
        <w:trPr>
          <w:gridBefore w:val="1"/>
          <w:wBefore w:w="17" w:type="dxa"/>
          <w:cantSplit/>
          <w:tblHeader/>
          <w:jc w:val="center"/>
        </w:trPr>
        <w:tc>
          <w:tcPr>
            <w:tcW w:w="651" w:type="dxa"/>
            <w:gridSpan w:val="3"/>
            <w:tcMar>
              <w:left w:w="28" w:type="dxa"/>
              <w:right w:w="28" w:type="dxa"/>
            </w:tcMar>
          </w:tcPr>
          <w:p w14:paraId="27FFE15E" w14:textId="77777777" w:rsidR="004C1CED" w:rsidRPr="00434E9D" w:rsidRDefault="004C1CED" w:rsidP="004C1CED">
            <w:pPr>
              <w:widowControl/>
              <w:spacing w:before="40" w:after="40"/>
              <w:jc w:val="both"/>
              <w:rPr>
                <w:rFonts w:eastAsia="Calibri"/>
                <w:noProof/>
                <w:sz w:val="22"/>
                <w:szCs w:val="22"/>
                <w:lang w:eastAsia="en-US"/>
              </w:rPr>
            </w:pPr>
            <w:r w:rsidRPr="00434E9D">
              <w:rPr>
                <w:rFonts w:eastAsia="Calibri"/>
                <w:noProof/>
                <w:sz w:val="22"/>
                <w:szCs w:val="22"/>
                <w:lang w:eastAsia="en-US"/>
              </w:rPr>
              <w:t>(39)</w:t>
            </w:r>
          </w:p>
        </w:tc>
        <w:tc>
          <w:tcPr>
            <w:tcW w:w="2286" w:type="dxa"/>
            <w:gridSpan w:val="3"/>
            <w:tcMar>
              <w:left w:w="28" w:type="dxa"/>
              <w:right w:w="28" w:type="dxa"/>
            </w:tcMar>
          </w:tcPr>
          <w:p w14:paraId="1E75929D"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Bifénox</w:t>
            </w:r>
          </w:p>
        </w:tc>
        <w:tc>
          <w:tcPr>
            <w:tcW w:w="1329" w:type="dxa"/>
            <w:gridSpan w:val="3"/>
            <w:tcMar>
              <w:left w:w="28" w:type="dxa"/>
              <w:right w:w="28" w:type="dxa"/>
            </w:tcMar>
          </w:tcPr>
          <w:p w14:paraId="1F86651B"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Herbicides</w:t>
            </w:r>
          </w:p>
        </w:tc>
        <w:tc>
          <w:tcPr>
            <w:tcW w:w="992" w:type="dxa"/>
            <w:gridSpan w:val="2"/>
            <w:tcMar>
              <w:left w:w="28" w:type="dxa"/>
              <w:right w:w="28" w:type="dxa"/>
            </w:tcMar>
          </w:tcPr>
          <w:p w14:paraId="01E18F02"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42576-02-3</w:t>
            </w:r>
          </w:p>
        </w:tc>
        <w:tc>
          <w:tcPr>
            <w:tcW w:w="1134" w:type="dxa"/>
          </w:tcPr>
          <w:p w14:paraId="4537FD2B"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255-894-7</w:t>
            </w:r>
          </w:p>
        </w:tc>
        <w:tc>
          <w:tcPr>
            <w:tcW w:w="1279" w:type="dxa"/>
            <w:gridSpan w:val="2"/>
            <w:tcMar>
              <w:left w:w="28" w:type="dxa"/>
              <w:right w:w="28" w:type="dxa"/>
            </w:tcMar>
          </w:tcPr>
          <w:p w14:paraId="0FF8325E"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0,012</w:t>
            </w:r>
          </w:p>
        </w:tc>
        <w:tc>
          <w:tcPr>
            <w:tcW w:w="1279" w:type="dxa"/>
            <w:gridSpan w:val="2"/>
            <w:tcMar>
              <w:left w:w="28" w:type="dxa"/>
              <w:right w:w="28" w:type="dxa"/>
            </w:tcMar>
          </w:tcPr>
          <w:p w14:paraId="3FB0FF2A"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0,0012</w:t>
            </w:r>
          </w:p>
        </w:tc>
        <w:tc>
          <w:tcPr>
            <w:tcW w:w="1278" w:type="dxa"/>
            <w:gridSpan w:val="2"/>
            <w:tcMar>
              <w:left w:w="28" w:type="dxa"/>
              <w:right w:w="28" w:type="dxa"/>
            </w:tcMar>
          </w:tcPr>
          <w:p w14:paraId="0439BEE2"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0,04</w:t>
            </w:r>
          </w:p>
        </w:tc>
        <w:tc>
          <w:tcPr>
            <w:tcW w:w="1277" w:type="dxa"/>
            <w:gridSpan w:val="2"/>
            <w:tcMar>
              <w:left w:w="28" w:type="dxa"/>
              <w:right w:w="28" w:type="dxa"/>
            </w:tcMar>
          </w:tcPr>
          <w:p w14:paraId="365CA8A9"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0,004</w:t>
            </w:r>
          </w:p>
        </w:tc>
        <w:tc>
          <w:tcPr>
            <w:tcW w:w="1136" w:type="dxa"/>
            <w:gridSpan w:val="2"/>
            <w:tcMar>
              <w:left w:w="28" w:type="dxa"/>
              <w:right w:w="28" w:type="dxa"/>
            </w:tcMar>
          </w:tcPr>
          <w:p w14:paraId="1BBF3CF4" w14:textId="77777777" w:rsidR="004C1CED" w:rsidRPr="00434E9D" w:rsidRDefault="004C1CED" w:rsidP="004C1CED">
            <w:pPr>
              <w:widowControl/>
              <w:spacing w:before="40" w:after="40"/>
              <w:rPr>
                <w:rFonts w:eastAsia="Calibri"/>
                <w:noProof/>
                <w:sz w:val="22"/>
                <w:szCs w:val="22"/>
                <w:lang w:eastAsia="en-US"/>
              </w:rPr>
            </w:pPr>
          </w:p>
        </w:tc>
        <w:tc>
          <w:tcPr>
            <w:tcW w:w="1262" w:type="dxa"/>
            <w:gridSpan w:val="2"/>
            <w:tcMar>
              <w:left w:w="28" w:type="dxa"/>
              <w:right w:w="28" w:type="dxa"/>
            </w:tcMar>
          </w:tcPr>
          <w:p w14:paraId="12922327" w14:textId="77777777" w:rsidR="004C1CED" w:rsidRPr="00434E9D" w:rsidRDefault="004C1CED" w:rsidP="004C1CED">
            <w:pPr>
              <w:widowControl/>
              <w:spacing w:before="40" w:after="40"/>
              <w:rPr>
                <w:rFonts w:eastAsia="Calibri"/>
                <w:noProof/>
                <w:sz w:val="22"/>
                <w:szCs w:val="22"/>
                <w:lang w:eastAsia="en-US"/>
              </w:rPr>
            </w:pPr>
          </w:p>
        </w:tc>
        <w:tc>
          <w:tcPr>
            <w:tcW w:w="1153" w:type="dxa"/>
            <w:gridSpan w:val="2"/>
            <w:tcMar>
              <w:left w:w="28" w:type="dxa"/>
              <w:right w:w="28" w:type="dxa"/>
            </w:tcMar>
          </w:tcPr>
          <w:p w14:paraId="0B5B3FBA" w14:textId="77777777" w:rsidR="004C1CED" w:rsidRPr="00434E9D" w:rsidRDefault="004C1CED" w:rsidP="004C1CED">
            <w:pPr>
              <w:widowControl/>
              <w:spacing w:before="40" w:after="40"/>
              <w:rPr>
                <w:rFonts w:eastAsia="Calibri"/>
                <w:noProof/>
                <w:sz w:val="22"/>
                <w:szCs w:val="22"/>
                <w:lang w:eastAsia="en-US"/>
              </w:rPr>
            </w:pPr>
          </w:p>
        </w:tc>
        <w:tc>
          <w:tcPr>
            <w:tcW w:w="970" w:type="dxa"/>
            <w:tcMar>
              <w:left w:w="28" w:type="dxa"/>
              <w:right w:w="28" w:type="dxa"/>
            </w:tcMar>
          </w:tcPr>
          <w:p w14:paraId="46A86AA8" w14:textId="77777777" w:rsidR="004C1CED" w:rsidRPr="00434E9D" w:rsidRDefault="004C1CED" w:rsidP="004C1CED">
            <w:pPr>
              <w:widowControl/>
              <w:spacing w:before="40" w:after="40"/>
              <w:rPr>
                <w:rFonts w:eastAsia="Calibri"/>
                <w:noProof/>
                <w:sz w:val="22"/>
                <w:szCs w:val="22"/>
                <w:lang w:eastAsia="en-US"/>
              </w:rPr>
            </w:pPr>
          </w:p>
        </w:tc>
      </w:tr>
      <w:tr w:rsidR="004C1CED" w:rsidRPr="00434E9D" w14:paraId="6D4F4F99" w14:textId="77777777" w:rsidTr="00B12A07">
        <w:trPr>
          <w:gridBefore w:val="1"/>
          <w:wBefore w:w="17" w:type="dxa"/>
          <w:cantSplit/>
          <w:tblHeader/>
          <w:jc w:val="center"/>
        </w:trPr>
        <w:tc>
          <w:tcPr>
            <w:tcW w:w="651" w:type="dxa"/>
            <w:gridSpan w:val="3"/>
            <w:tcMar>
              <w:left w:w="28" w:type="dxa"/>
              <w:right w:w="28" w:type="dxa"/>
            </w:tcMar>
          </w:tcPr>
          <w:p w14:paraId="046538EB" w14:textId="77777777" w:rsidR="004C1CED" w:rsidRPr="00434E9D" w:rsidRDefault="004C1CED" w:rsidP="004C1CED">
            <w:pPr>
              <w:widowControl/>
              <w:spacing w:before="40" w:after="40"/>
              <w:jc w:val="both"/>
              <w:rPr>
                <w:rFonts w:eastAsia="Calibri"/>
                <w:noProof/>
                <w:sz w:val="22"/>
                <w:szCs w:val="22"/>
                <w:lang w:eastAsia="en-US"/>
              </w:rPr>
            </w:pPr>
            <w:r w:rsidRPr="00434E9D">
              <w:rPr>
                <w:rFonts w:eastAsia="Calibri"/>
                <w:noProof/>
                <w:sz w:val="22"/>
                <w:szCs w:val="22"/>
                <w:lang w:eastAsia="en-US"/>
              </w:rPr>
              <w:t>(40)</w:t>
            </w:r>
          </w:p>
        </w:tc>
        <w:tc>
          <w:tcPr>
            <w:tcW w:w="2286" w:type="dxa"/>
            <w:gridSpan w:val="3"/>
            <w:tcMar>
              <w:left w:w="28" w:type="dxa"/>
              <w:right w:w="28" w:type="dxa"/>
            </w:tcMar>
          </w:tcPr>
          <w:p w14:paraId="3A454B04"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Cybutryne</w:t>
            </w:r>
          </w:p>
        </w:tc>
        <w:tc>
          <w:tcPr>
            <w:tcW w:w="1329" w:type="dxa"/>
            <w:gridSpan w:val="3"/>
            <w:tcMar>
              <w:left w:w="28" w:type="dxa"/>
              <w:right w:w="28" w:type="dxa"/>
            </w:tcMar>
          </w:tcPr>
          <w:p w14:paraId="0F5BA269"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Biocides</w:t>
            </w:r>
          </w:p>
        </w:tc>
        <w:tc>
          <w:tcPr>
            <w:tcW w:w="992" w:type="dxa"/>
            <w:gridSpan w:val="2"/>
            <w:tcMar>
              <w:left w:w="28" w:type="dxa"/>
              <w:right w:w="28" w:type="dxa"/>
            </w:tcMar>
          </w:tcPr>
          <w:p w14:paraId="49725456"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28159-98-0</w:t>
            </w:r>
          </w:p>
        </w:tc>
        <w:tc>
          <w:tcPr>
            <w:tcW w:w="1134" w:type="dxa"/>
          </w:tcPr>
          <w:p w14:paraId="421A37F1"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248-872-3</w:t>
            </w:r>
          </w:p>
        </w:tc>
        <w:tc>
          <w:tcPr>
            <w:tcW w:w="1279" w:type="dxa"/>
            <w:gridSpan w:val="2"/>
            <w:tcMar>
              <w:left w:w="28" w:type="dxa"/>
              <w:right w:w="28" w:type="dxa"/>
            </w:tcMar>
          </w:tcPr>
          <w:p w14:paraId="02E0E415"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0,0025</w:t>
            </w:r>
          </w:p>
        </w:tc>
        <w:tc>
          <w:tcPr>
            <w:tcW w:w="1279" w:type="dxa"/>
            <w:gridSpan w:val="2"/>
            <w:tcMar>
              <w:left w:w="28" w:type="dxa"/>
              <w:right w:w="28" w:type="dxa"/>
            </w:tcMar>
          </w:tcPr>
          <w:p w14:paraId="089AB0B4"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0,0025</w:t>
            </w:r>
          </w:p>
        </w:tc>
        <w:tc>
          <w:tcPr>
            <w:tcW w:w="1278" w:type="dxa"/>
            <w:gridSpan w:val="2"/>
            <w:tcMar>
              <w:left w:w="28" w:type="dxa"/>
              <w:right w:w="28" w:type="dxa"/>
            </w:tcMar>
          </w:tcPr>
          <w:p w14:paraId="3179B047"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0,016</w:t>
            </w:r>
          </w:p>
        </w:tc>
        <w:tc>
          <w:tcPr>
            <w:tcW w:w="1277" w:type="dxa"/>
            <w:gridSpan w:val="2"/>
            <w:tcMar>
              <w:left w:w="28" w:type="dxa"/>
              <w:right w:w="28" w:type="dxa"/>
            </w:tcMar>
          </w:tcPr>
          <w:p w14:paraId="246C57D2"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0,016</w:t>
            </w:r>
          </w:p>
        </w:tc>
        <w:tc>
          <w:tcPr>
            <w:tcW w:w="1136" w:type="dxa"/>
            <w:gridSpan w:val="2"/>
            <w:tcMar>
              <w:left w:w="28" w:type="dxa"/>
              <w:right w:w="28" w:type="dxa"/>
            </w:tcMar>
          </w:tcPr>
          <w:p w14:paraId="6B71DB2E" w14:textId="77777777" w:rsidR="004C1CED" w:rsidRPr="00434E9D" w:rsidRDefault="004C1CED" w:rsidP="004C1CED">
            <w:pPr>
              <w:widowControl/>
              <w:spacing w:before="40" w:after="40"/>
              <w:rPr>
                <w:rFonts w:eastAsia="Calibri"/>
                <w:noProof/>
                <w:sz w:val="22"/>
                <w:szCs w:val="22"/>
                <w:lang w:eastAsia="en-US"/>
              </w:rPr>
            </w:pPr>
          </w:p>
        </w:tc>
        <w:tc>
          <w:tcPr>
            <w:tcW w:w="1262" w:type="dxa"/>
            <w:gridSpan w:val="2"/>
            <w:tcMar>
              <w:left w:w="28" w:type="dxa"/>
              <w:right w:w="28" w:type="dxa"/>
            </w:tcMar>
          </w:tcPr>
          <w:p w14:paraId="09F26BA3" w14:textId="77777777" w:rsidR="004C1CED" w:rsidRPr="00434E9D" w:rsidRDefault="004C1CED" w:rsidP="004C1CED">
            <w:pPr>
              <w:widowControl/>
              <w:spacing w:before="40" w:after="40"/>
              <w:rPr>
                <w:rFonts w:eastAsia="Calibri"/>
                <w:noProof/>
                <w:sz w:val="22"/>
                <w:szCs w:val="22"/>
                <w:lang w:eastAsia="en-US"/>
              </w:rPr>
            </w:pPr>
          </w:p>
        </w:tc>
        <w:tc>
          <w:tcPr>
            <w:tcW w:w="1153" w:type="dxa"/>
            <w:gridSpan w:val="2"/>
            <w:tcMar>
              <w:left w:w="28" w:type="dxa"/>
              <w:right w:w="28" w:type="dxa"/>
            </w:tcMar>
          </w:tcPr>
          <w:p w14:paraId="34180815" w14:textId="77777777" w:rsidR="004C1CED" w:rsidRPr="00434E9D" w:rsidRDefault="004C1CED" w:rsidP="004C1CED">
            <w:pPr>
              <w:widowControl/>
              <w:spacing w:before="40" w:after="40"/>
              <w:rPr>
                <w:rFonts w:eastAsia="Calibri"/>
                <w:noProof/>
                <w:sz w:val="22"/>
                <w:szCs w:val="22"/>
                <w:lang w:eastAsia="en-US"/>
              </w:rPr>
            </w:pPr>
          </w:p>
        </w:tc>
        <w:tc>
          <w:tcPr>
            <w:tcW w:w="970" w:type="dxa"/>
            <w:tcMar>
              <w:left w:w="28" w:type="dxa"/>
              <w:right w:w="28" w:type="dxa"/>
            </w:tcMar>
          </w:tcPr>
          <w:p w14:paraId="18FAEC7E" w14:textId="77777777" w:rsidR="004C1CED" w:rsidRPr="00434E9D" w:rsidRDefault="004C1CED" w:rsidP="004C1CED">
            <w:pPr>
              <w:widowControl/>
              <w:spacing w:before="40" w:after="40"/>
              <w:rPr>
                <w:rFonts w:eastAsia="Calibri"/>
                <w:noProof/>
                <w:sz w:val="22"/>
                <w:szCs w:val="22"/>
                <w:lang w:eastAsia="en-US"/>
              </w:rPr>
            </w:pPr>
          </w:p>
        </w:tc>
      </w:tr>
      <w:tr w:rsidR="004C1CED" w:rsidRPr="00434E9D" w14:paraId="6B962A9A" w14:textId="77777777" w:rsidTr="00B12A07">
        <w:trPr>
          <w:gridBefore w:val="1"/>
          <w:wBefore w:w="17" w:type="dxa"/>
          <w:cantSplit/>
          <w:tblHeader/>
          <w:jc w:val="center"/>
        </w:trPr>
        <w:tc>
          <w:tcPr>
            <w:tcW w:w="651" w:type="dxa"/>
            <w:gridSpan w:val="3"/>
            <w:tcMar>
              <w:left w:w="28" w:type="dxa"/>
              <w:right w:w="28" w:type="dxa"/>
            </w:tcMar>
          </w:tcPr>
          <w:p w14:paraId="16AD98C5" w14:textId="77777777" w:rsidR="004C1CED" w:rsidRPr="00434E9D" w:rsidRDefault="004C1CED" w:rsidP="004C1CED">
            <w:pPr>
              <w:widowControl/>
              <w:spacing w:before="40" w:after="40"/>
              <w:jc w:val="both"/>
              <w:rPr>
                <w:rFonts w:eastAsia="Calibri"/>
                <w:noProof/>
                <w:sz w:val="22"/>
                <w:szCs w:val="22"/>
                <w:lang w:eastAsia="en-US"/>
              </w:rPr>
            </w:pPr>
            <w:r w:rsidRPr="00434E9D">
              <w:rPr>
                <w:rFonts w:eastAsia="Calibri"/>
                <w:noProof/>
                <w:sz w:val="22"/>
                <w:szCs w:val="22"/>
                <w:lang w:eastAsia="en-US"/>
              </w:rPr>
              <w:t>(41)</w:t>
            </w:r>
          </w:p>
        </w:tc>
        <w:tc>
          <w:tcPr>
            <w:tcW w:w="2286" w:type="dxa"/>
            <w:gridSpan w:val="3"/>
            <w:tcMar>
              <w:left w:w="28" w:type="dxa"/>
              <w:right w:w="28" w:type="dxa"/>
            </w:tcMar>
          </w:tcPr>
          <w:p w14:paraId="1CCA7E88"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Cypermethrine (</w:t>
            </w:r>
            <w:r w:rsidRPr="00434E9D">
              <w:rPr>
                <w:rFonts w:eastAsia="Calibri"/>
                <w:noProof/>
                <w:sz w:val="22"/>
                <w:szCs w:val="22"/>
                <w:vertAlign w:val="superscript"/>
                <w:lang w:eastAsia="en-US"/>
              </w:rPr>
              <w:t>23</w:t>
            </w:r>
            <w:r w:rsidRPr="00434E9D">
              <w:rPr>
                <w:rFonts w:eastAsia="Calibri"/>
                <w:noProof/>
                <w:sz w:val="22"/>
                <w:szCs w:val="22"/>
                <w:lang w:eastAsia="en-US"/>
              </w:rPr>
              <w:t>)</w:t>
            </w:r>
          </w:p>
        </w:tc>
        <w:tc>
          <w:tcPr>
            <w:tcW w:w="1329" w:type="dxa"/>
            <w:gridSpan w:val="3"/>
            <w:tcMar>
              <w:left w:w="28" w:type="dxa"/>
              <w:right w:w="28" w:type="dxa"/>
            </w:tcMar>
          </w:tcPr>
          <w:p w14:paraId="1F64ED64"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Pesticides pyréthrinoïdes</w:t>
            </w:r>
          </w:p>
        </w:tc>
        <w:tc>
          <w:tcPr>
            <w:tcW w:w="992" w:type="dxa"/>
            <w:gridSpan w:val="2"/>
            <w:tcMar>
              <w:left w:w="28" w:type="dxa"/>
              <w:right w:w="28" w:type="dxa"/>
            </w:tcMar>
          </w:tcPr>
          <w:p w14:paraId="7DF3E1D4"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52315-07-8</w:t>
            </w:r>
          </w:p>
        </w:tc>
        <w:tc>
          <w:tcPr>
            <w:tcW w:w="1134" w:type="dxa"/>
          </w:tcPr>
          <w:p w14:paraId="102B6D51" w14:textId="77777777" w:rsidR="004C1CED" w:rsidRPr="00434E9D" w:rsidRDefault="004C1CED" w:rsidP="004C1CED">
            <w:pPr>
              <w:widowControl/>
              <w:spacing w:before="40" w:after="40"/>
              <w:rPr>
                <w:rFonts w:eastAsia="Calibri"/>
                <w:strike/>
                <w:noProof/>
                <w:sz w:val="22"/>
                <w:szCs w:val="22"/>
                <w:lang w:eastAsia="en-US"/>
              </w:rPr>
            </w:pPr>
            <w:r w:rsidRPr="00434E9D">
              <w:rPr>
                <w:rFonts w:eastAsia="Calibri"/>
                <w:noProof/>
                <w:sz w:val="22"/>
                <w:szCs w:val="22"/>
                <w:lang w:eastAsia="en-US"/>
              </w:rPr>
              <w:t>257-842-9</w:t>
            </w:r>
          </w:p>
        </w:tc>
        <w:tc>
          <w:tcPr>
            <w:tcW w:w="1279" w:type="dxa"/>
            <w:gridSpan w:val="2"/>
            <w:tcMar>
              <w:left w:w="28" w:type="dxa"/>
              <w:right w:w="28" w:type="dxa"/>
            </w:tcMar>
          </w:tcPr>
          <w:p w14:paraId="6D0D7418"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3 × 10</w:t>
            </w:r>
            <w:r w:rsidRPr="00434E9D">
              <w:rPr>
                <w:rFonts w:eastAsia="Calibri"/>
                <w:noProof/>
                <w:sz w:val="22"/>
                <w:szCs w:val="22"/>
                <w:vertAlign w:val="superscript"/>
                <w:lang w:eastAsia="en-US"/>
              </w:rPr>
              <w:t>-5</w:t>
            </w:r>
          </w:p>
        </w:tc>
        <w:tc>
          <w:tcPr>
            <w:tcW w:w="1279" w:type="dxa"/>
            <w:gridSpan w:val="2"/>
            <w:tcMar>
              <w:left w:w="28" w:type="dxa"/>
              <w:right w:w="28" w:type="dxa"/>
            </w:tcMar>
          </w:tcPr>
          <w:p w14:paraId="382BBB59"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3 × 10</w:t>
            </w:r>
            <w:r w:rsidRPr="00434E9D">
              <w:rPr>
                <w:rFonts w:eastAsia="Calibri"/>
                <w:noProof/>
                <w:sz w:val="22"/>
                <w:szCs w:val="22"/>
                <w:vertAlign w:val="superscript"/>
                <w:lang w:eastAsia="en-US"/>
              </w:rPr>
              <w:t>-6</w:t>
            </w:r>
          </w:p>
        </w:tc>
        <w:tc>
          <w:tcPr>
            <w:tcW w:w="1278" w:type="dxa"/>
            <w:gridSpan w:val="2"/>
            <w:tcMar>
              <w:left w:w="28" w:type="dxa"/>
              <w:right w:w="28" w:type="dxa"/>
            </w:tcMar>
          </w:tcPr>
          <w:p w14:paraId="00BF1E47" w14:textId="77777777" w:rsidR="004C1CED" w:rsidRPr="00434E9D" w:rsidRDefault="004C1CED" w:rsidP="004C1CED">
            <w:pPr>
              <w:widowControl/>
              <w:spacing w:before="40" w:after="40"/>
              <w:rPr>
                <w:rFonts w:eastAsia="Calibri"/>
                <w:noProof/>
                <w:sz w:val="22"/>
                <w:szCs w:val="22"/>
                <w:vertAlign w:val="superscript"/>
                <w:lang w:eastAsia="en-US"/>
              </w:rPr>
            </w:pPr>
            <w:r w:rsidRPr="00434E9D">
              <w:rPr>
                <w:rFonts w:eastAsia="Calibri"/>
                <w:noProof/>
                <w:sz w:val="22"/>
                <w:szCs w:val="22"/>
                <w:lang w:eastAsia="en-US"/>
              </w:rPr>
              <w:t>6 × 10</w:t>
            </w:r>
            <w:r w:rsidRPr="00434E9D">
              <w:rPr>
                <w:rFonts w:eastAsia="Calibri"/>
                <w:noProof/>
                <w:sz w:val="22"/>
                <w:szCs w:val="22"/>
                <w:vertAlign w:val="superscript"/>
                <w:lang w:eastAsia="en-US"/>
              </w:rPr>
              <w:t>-4</w:t>
            </w:r>
          </w:p>
        </w:tc>
        <w:tc>
          <w:tcPr>
            <w:tcW w:w="1277" w:type="dxa"/>
            <w:gridSpan w:val="2"/>
            <w:tcMar>
              <w:left w:w="28" w:type="dxa"/>
              <w:right w:w="28" w:type="dxa"/>
            </w:tcMar>
          </w:tcPr>
          <w:p w14:paraId="3EF92E35" w14:textId="77777777" w:rsidR="004C1CED" w:rsidRPr="00434E9D" w:rsidRDefault="004C1CED" w:rsidP="004C1CED">
            <w:pPr>
              <w:widowControl/>
              <w:spacing w:before="40" w:after="40"/>
              <w:rPr>
                <w:rFonts w:eastAsia="Calibri"/>
                <w:noProof/>
                <w:sz w:val="22"/>
                <w:szCs w:val="22"/>
                <w:vertAlign w:val="superscript"/>
                <w:lang w:eastAsia="en-US"/>
              </w:rPr>
            </w:pPr>
            <w:r w:rsidRPr="00434E9D">
              <w:rPr>
                <w:rFonts w:eastAsia="Calibri"/>
                <w:noProof/>
                <w:sz w:val="22"/>
                <w:szCs w:val="22"/>
                <w:lang w:eastAsia="en-US"/>
              </w:rPr>
              <w:t>6 × 10</w:t>
            </w:r>
            <w:r w:rsidRPr="00434E9D">
              <w:rPr>
                <w:rFonts w:eastAsia="Calibri"/>
                <w:noProof/>
                <w:sz w:val="22"/>
                <w:szCs w:val="22"/>
                <w:vertAlign w:val="superscript"/>
                <w:lang w:eastAsia="en-US"/>
              </w:rPr>
              <w:t>-5</w:t>
            </w:r>
          </w:p>
        </w:tc>
        <w:tc>
          <w:tcPr>
            <w:tcW w:w="1136" w:type="dxa"/>
            <w:gridSpan w:val="2"/>
            <w:tcMar>
              <w:left w:w="28" w:type="dxa"/>
              <w:right w:w="28" w:type="dxa"/>
            </w:tcMar>
          </w:tcPr>
          <w:p w14:paraId="786E8BBB" w14:textId="77777777" w:rsidR="004C1CED" w:rsidRPr="00434E9D" w:rsidRDefault="004C1CED" w:rsidP="004C1CED">
            <w:pPr>
              <w:widowControl/>
              <w:spacing w:before="40" w:after="40"/>
              <w:rPr>
                <w:rFonts w:eastAsia="Calibri"/>
                <w:noProof/>
                <w:sz w:val="22"/>
                <w:szCs w:val="22"/>
                <w:lang w:eastAsia="en-US"/>
              </w:rPr>
            </w:pPr>
          </w:p>
        </w:tc>
        <w:tc>
          <w:tcPr>
            <w:tcW w:w="1262" w:type="dxa"/>
            <w:gridSpan w:val="2"/>
            <w:tcMar>
              <w:left w:w="28" w:type="dxa"/>
              <w:right w:w="28" w:type="dxa"/>
            </w:tcMar>
          </w:tcPr>
          <w:p w14:paraId="43F3807E" w14:textId="77777777" w:rsidR="004C1CED" w:rsidRPr="00434E9D" w:rsidRDefault="004C1CED" w:rsidP="004C1CED">
            <w:pPr>
              <w:widowControl/>
              <w:spacing w:before="40" w:after="40"/>
              <w:rPr>
                <w:rFonts w:eastAsia="Calibri"/>
                <w:noProof/>
                <w:sz w:val="22"/>
                <w:szCs w:val="22"/>
                <w:vertAlign w:val="superscript"/>
                <w:lang w:eastAsia="en-US"/>
              </w:rPr>
            </w:pPr>
          </w:p>
        </w:tc>
        <w:tc>
          <w:tcPr>
            <w:tcW w:w="1153" w:type="dxa"/>
            <w:gridSpan w:val="2"/>
            <w:tcMar>
              <w:left w:w="28" w:type="dxa"/>
              <w:right w:w="28" w:type="dxa"/>
            </w:tcMar>
          </w:tcPr>
          <w:p w14:paraId="6F95297A" w14:textId="77777777" w:rsidR="004C1CED" w:rsidRPr="00434E9D" w:rsidRDefault="004C1CED" w:rsidP="004C1CED">
            <w:pPr>
              <w:widowControl/>
              <w:spacing w:before="40" w:after="40"/>
              <w:rPr>
                <w:rFonts w:eastAsia="Calibri"/>
                <w:noProof/>
                <w:sz w:val="22"/>
                <w:szCs w:val="22"/>
                <w:vertAlign w:val="superscript"/>
                <w:lang w:eastAsia="en-US"/>
              </w:rPr>
            </w:pPr>
          </w:p>
        </w:tc>
        <w:tc>
          <w:tcPr>
            <w:tcW w:w="970" w:type="dxa"/>
            <w:tcMar>
              <w:left w:w="28" w:type="dxa"/>
              <w:right w:w="28" w:type="dxa"/>
            </w:tcMar>
          </w:tcPr>
          <w:p w14:paraId="48652701" w14:textId="77777777" w:rsidR="004C1CED" w:rsidRPr="00434E9D" w:rsidRDefault="004C1CED" w:rsidP="004C1CED">
            <w:pPr>
              <w:widowControl/>
              <w:spacing w:before="40" w:after="40"/>
              <w:rPr>
                <w:rFonts w:eastAsia="Calibri"/>
                <w:noProof/>
                <w:sz w:val="22"/>
                <w:szCs w:val="22"/>
                <w:vertAlign w:val="superscript"/>
                <w:lang w:eastAsia="en-US"/>
              </w:rPr>
            </w:pPr>
            <w:r w:rsidRPr="00434E9D">
              <w:rPr>
                <w:rFonts w:eastAsia="Calibri"/>
                <w:noProof/>
                <w:sz w:val="22"/>
                <w:szCs w:val="22"/>
                <w:lang w:eastAsia="en-US"/>
              </w:rPr>
              <w:t>X</w:t>
            </w:r>
          </w:p>
        </w:tc>
      </w:tr>
      <w:tr w:rsidR="004C1CED" w:rsidRPr="00434E9D" w14:paraId="3CC7556A" w14:textId="77777777" w:rsidTr="00B12A07">
        <w:trPr>
          <w:gridBefore w:val="1"/>
          <w:wBefore w:w="17" w:type="dxa"/>
          <w:cantSplit/>
          <w:tblHeader/>
          <w:jc w:val="center"/>
        </w:trPr>
        <w:tc>
          <w:tcPr>
            <w:tcW w:w="651" w:type="dxa"/>
            <w:gridSpan w:val="3"/>
            <w:tcMar>
              <w:left w:w="28" w:type="dxa"/>
              <w:right w:w="28" w:type="dxa"/>
            </w:tcMar>
          </w:tcPr>
          <w:p w14:paraId="7AED3C98" w14:textId="77777777" w:rsidR="004C1CED" w:rsidRPr="00434E9D" w:rsidRDefault="004C1CED" w:rsidP="004C1CED">
            <w:pPr>
              <w:widowControl/>
              <w:spacing w:before="40" w:after="40"/>
              <w:jc w:val="both"/>
              <w:rPr>
                <w:rFonts w:eastAsia="Calibri"/>
                <w:noProof/>
                <w:sz w:val="22"/>
                <w:szCs w:val="22"/>
                <w:lang w:eastAsia="en-US"/>
              </w:rPr>
            </w:pPr>
            <w:r w:rsidRPr="00434E9D">
              <w:rPr>
                <w:rFonts w:eastAsia="Calibri"/>
                <w:noProof/>
                <w:sz w:val="22"/>
                <w:szCs w:val="22"/>
                <w:lang w:eastAsia="en-US"/>
              </w:rPr>
              <w:t>(42)</w:t>
            </w:r>
          </w:p>
        </w:tc>
        <w:tc>
          <w:tcPr>
            <w:tcW w:w="2286" w:type="dxa"/>
            <w:gridSpan w:val="3"/>
            <w:tcMar>
              <w:left w:w="28" w:type="dxa"/>
              <w:right w:w="28" w:type="dxa"/>
            </w:tcMar>
          </w:tcPr>
          <w:p w14:paraId="7A3A8DB9"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Dichlorvos</w:t>
            </w:r>
          </w:p>
        </w:tc>
        <w:tc>
          <w:tcPr>
            <w:tcW w:w="1329" w:type="dxa"/>
            <w:gridSpan w:val="3"/>
            <w:tcMar>
              <w:left w:w="28" w:type="dxa"/>
              <w:right w:w="28" w:type="dxa"/>
            </w:tcMar>
          </w:tcPr>
          <w:p w14:paraId="335BF1D0"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Pesticides organophosphorés</w:t>
            </w:r>
          </w:p>
        </w:tc>
        <w:tc>
          <w:tcPr>
            <w:tcW w:w="992" w:type="dxa"/>
            <w:gridSpan w:val="2"/>
            <w:tcMar>
              <w:left w:w="28" w:type="dxa"/>
              <w:right w:w="28" w:type="dxa"/>
            </w:tcMar>
          </w:tcPr>
          <w:p w14:paraId="695878EC"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62-73-7</w:t>
            </w:r>
          </w:p>
        </w:tc>
        <w:tc>
          <w:tcPr>
            <w:tcW w:w="1134" w:type="dxa"/>
          </w:tcPr>
          <w:p w14:paraId="0223F711"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200-547-7</w:t>
            </w:r>
          </w:p>
        </w:tc>
        <w:tc>
          <w:tcPr>
            <w:tcW w:w="1279" w:type="dxa"/>
            <w:gridSpan w:val="2"/>
            <w:tcMar>
              <w:left w:w="28" w:type="dxa"/>
              <w:right w:w="28" w:type="dxa"/>
            </w:tcMar>
          </w:tcPr>
          <w:p w14:paraId="38C9E7EC" w14:textId="77777777" w:rsidR="004C1CED" w:rsidRPr="00434E9D" w:rsidRDefault="004C1CED" w:rsidP="004C1CED">
            <w:pPr>
              <w:widowControl/>
              <w:spacing w:before="40" w:after="40"/>
              <w:rPr>
                <w:rFonts w:eastAsia="Calibri"/>
                <w:noProof/>
                <w:sz w:val="22"/>
                <w:szCs w:val="22"/>
                <w:vertAlign w:val="superscript"/>
                <w:lang w:eastAsia="en-US"/>
              </w:rPr>
            </w:pPr>
            <w:r w:rsidRPr="00434E9D">
              <w:rPr>
                <w:rFonts w:eastAsia="Calibri"/>
                <w:noProof/>
                <w:sz w:val="22"/>
                <w:szCs w:val="22"/>
                <w:lang w:eastAsia="en-US"/>
              </w:rPr>
              <w:t>6 × 10</w:t>
            </w:r>
            <w:r w:rsidRPr="00434E9D">
              <w:rPr>
                <w:rFonts w:eastAsia="Calibri"/>
                <w:noProof/>
                <w:sz w:val="22"/>
                <w:szCs w:val="22"/>
                <w:vertAlign w:val="superscript"/>
                <w:lang w:eastAsia="en-US"/>
              </w:rPr>
              <w:t>-4</w:t>
            </w:r>
          </w:p>
        </w:tc>
        <w:tc>
          <w:tcPr>
            <w:tcW w:w="1279" w:type="dxa"/>
            <w:gridSpan w:val="2"/>
            <w:tcMar>
              <w:left w:w="28" w:type="dxa"/>
              <w:right w:w="28" w:type="dxa"/>
            </w:tcMar>
          </w:tcPr>
          <w:p w14:paraId="34D30AAD" w14:textId="77777777" w:rsidR="004C1CED" w:rsidRPr="00434E9D" w:rsidRDefault="004C1CED" w:rsidP="004C1CED">
            <w:pPr>
              <w:widowControl/>
              <w:spacing w:before="40" w:after="40"/>
              <w:rPr>
                <w:rFonts w:eastAsia="Calibri"/>
                <w:noProof/>
                <w:sz w:val="22"/>
                <w:szCs w:val="22"/>
                <w:vertAlign w:val="superscript"/>
                <w:lang w:eastAsia="en-US"/>
              </w:rPr>
            </w:pPr>
            <w:r w:rsidRPr="00434E9D">
              <w:rPr>
                <w:rFonts w:eastAsia="Calibri"/>
                <w:noProof/>
                <w:sz w:val="22"/>
                <w:szCs w:val="22"/>
                <w:lang w:eastAsia="en-US"/>
              </w:rPr>
              <w:t>6 × 10</w:t>
            </w:r>
            <w:r w:rsidRPr="00434E9D">
              <w:rPr>
                <w:rFonts w:eastAsia="Calibri"/>
                <w:noProof/>
                <w:sz w:val="22"/>
                <w:szCs w:val="22"/>
                <w:vertAlign w:val="superscript"/>
                <w:lang w:eastAsia="en-US"/>
              </w:rPr>
              <w:t>-5</w:t>
            </w:r>
          </w:p>
        </w:tc>
        <w:tc>
          <w:tcPr>
            <w:tcW w:w="1278" w:type="dxa"/>
            <w:gridSpan w:val="2"/>
            <w:tcMar>
              <w:left w:w="28" w:type="dxa"/>
              <w:right w:w="28" w:type="dxa"/>
            </w:tcMar>
          </w:tcPr>
          <w:p w14:paraId="1F4D5356" w14:textId="77777777" w:rsidR="004C1CED" w:rsidRPr="00434E9D" w:rsidRDefault="004C1CED" w:rsidP="004C1CED">
            <w:pPr>
              <w:widowControl/>
              <w:spacing w:before="40" w:after="40"/>
              <w:rPr>
                <w:rFonts w:eastAsia="Calibri"/>
                <w:noProof/>
                <w:sz w:val="22"/>
                <w:szCs w:val="22"/>
                <w:vertAlign w:val="superscript"/>
                <w:lang w:eastAsia="en-US"/>
              </w:rPr>
            </w:pPr>
            <w:r w:rsidRPr="00434E9D">
              <w:rPr>
                <w:rFonts w:eastAsia="Calibri"/>
                <w:noProof/>
                <w:sz w:val="22"/>
                <w:szCs w:val="22"/>
                <w:lang w:eastAsia="en-US"/>
              </w:rPr>
              <w:t>7 × 10</w:t>
            </w:r>
            <w:r w:rsidRPr="00434E9D">
              <w:rPr>
                <w:rFonts w:eastAsia="Calibri"/>
                <w:noProof/>
                <w:sz w:val="22"/>
                <w:szCs w:val="22"/>
                <w:vertAlign w:val="superscript"/>
                <w:lang w:eastAsia="en-US"/>
              </w:rPr>
              <w:t>-4</w:t>
            </w:r>
          </w:p>
        </w:tc>
        <w:tc>
          <w:tcPr>
            <w:tcW w:w="1277" w:type="dxa"/>
            <w:gridSpan w:val="2"/>
            <w:tcMar>
              <w:left w:w="28" w:type="dxa"/>
              <w:right w:w="28" w:type="dxa"/>
            </w:tcMar>
          </w:tcPr>
          <w:p w14:paraId="7482BE77" w14:textId="77777777" w:rsidR="004C1CED" w:rsidRPr="00434E9D" w:rsidRDefault="004C1CED" w:rsidP="004C1CED">
            <w:pPr>
              <w:widowControl/>
              <w:spacing w:before="40" w:after="40"/>
              <w:rPr>
                <w:rFonts w:eastAsia="Calibri"/>
                <w:noProof/>
                <w:sz w:val="22"/>
                <w:szCs w:val="22"/>
                <w:vertAlign w:val="superscript"/>
                <w:lang w:eastAsia="en-US"/>
              </w:rPr>
            </w:pPr>
            <w:r w:rsidRPr="00434E9D">
              <w:rPr>
                <w:rFonts w:eastAsia="Calibri"/>
                <w:noProof/>
                <w:sz w:val="22"/>
                <w:szCs w:val="22"/>
                <w:lang w:eastAsia="en-US"/>
              </w:rPr>
              <w:t>7 × 10</w:t>
            </w:r>
            <w:r w:rsidRPr="00434E9D">
              <w:rPr>
                <w:rFonts w:eastAsia="Calibri"/>
                <w:noProof/>
                <w:sz w:val="22"/>
                <w:szCs w:val="22"/>
                <w:vertAlign w:val="superscript"/>
                <w:lang w:eastAsia="en-US"/>
              </w:rPr>
              <w:t>-5</w:t>
            </w:r>
          </w:p>
        </w:tc>
        <w:tc>
          <w:tcPr>
            <w:tcW w:w="1136" w:type="dxa"/>
            <w:gridSpan w:val="2"/>
            <w:tcMar>
              <w:left w:w="28" w:type="dxa"/>
              <w:right w:w="28" w:type="dxa"/>
            </w:tcMar>
          </w:tcPr>
          <w:p w14:paraId="56D1CC39" w14:textId="77777777" w:rsidR="004C1CED" w:rsidRPr="00434E9D" w:rsidRDefault="004C1CED" w:rsidP="004C1CED">
            <w:pPr>
              <w:widowControl/>
              <w:spacing w:before="40" w:after="40"/>
              <w:rPr>
                <w:rFonts w:eastAsia="Calibri"/>
                <w:noProof/>
                <w:sz w:val="22"/>
                <w:szCs w:val="22"/>
                <w:vertAlign w:val="superscript"/>
                <w:lang w:eastAsia="en-US"/>
              </w:rPr>
            </w:pPr>
          </w:p>
        </w:tc>
        <w:tc>
          <w:tcPr>
            <w:tcW w:w="1262" w:type="dxa"/>
            <w:gridSpan w:val="2"/>
            <w:tcMar>
              <w:left w:w="28" w:type="dxa"/>
              <w:right w:w="28" w:type="dxa"/>
            </w:tcMar>
          </w:tcPr>
          <w:p w14:paraId="49947D40" w14:textId="77777777" w:rsidR="004C1CED" w:rsidRPr="00434E9D" w:rsidRDefault="004C1CED" w:rsidP="004C1CED">
            <w:pPr>
              <w:widowControl/>
              <w:spacing w:before="40" w:after="40"/>
              <w:rPr>
                <w:rFonts w:eastAsia="Calibri"/>
                <w:noProof/>
                <w:sz w:val="22"/>
                <w:szCs w:val="22"/>
                <w:vertAlign w:val="superscript"/>
                <w:lang w:eastAsia="en-US"/>
              </w:rPr>
            </w:pPr>
          </w:p>
        </w:tc>
        <w:tc>
          <w:tcPr>
            <w:tcW w:w="1153" w:type="dxa"/>
            <w:gridSpan w:val="2"/>
            <w:tcMar>
              <w:left w:w="28" w:type="dxa"/>
              <w:right w:w="28" w:type="dxa"/>
            </w:tcMar>
          </w:tcPr>
          <w:p w14:paraId="6095D238" w14:textId="77777777" w:rsidR="004C1CED" w:rsidRPr="00434E9D" w:rsidRDefault="004C1CED" w:rsidP="004C1CED">
            <w:pPr>
              <w:widowControl/>
              <w:spacing w:before="40" w:after="40"/>
              <w:rPr>
                <w:rFonts w:eastAsia="Calibri"/>
                <w:noProof/>
                <w:sz w:val="22"/>
                <w:szCs w:val="22"/>
                <w:vertAlign w:val="superscript"/>
                <w:lang w:eastAsia="en-US"/>
              </w:rPr>
            </w:pPr>
          </w:p>
        </w:tc>
        <w:tc>
          <w:tcPr>
            <w:tcW w:w="970" w:type="dxa"/>
            <w:tcMar>
              <w:left w:w="28" w:type="dxa"/>
              <w:right w:w="28" w:type="dxa"/>
            </w:tcMar>
          </w:tcPr>
          <w:p w14:paraId="6EAEA39B" w14:textId="77777777" w:rsidR="004C1CED" w:rsidRPr="00434E9D" w:rsidRDefault="004C1CED" w:rsidP="004C1CED">
            <w:pPr>
              <w:widowControl/>
              <w:spacing w:before="40" w:after="40"/>
              <w:rPr>
                <w:rFonts w:eastAsia="Calibri"/>
                <w:noProof/>
                <w:sz w:val="22"/>
                <w:szCs w:val="22"/>
                <w:vertAlign w:val="superscript"/>
                <w:lang w:eastAsia="en-US"/>
              </w:rPr>
            </w:pPr>
          </w:p>
        </w:tc>
      </w:tr>
      <w:tr w:rsidR="004C1CED" w:rsidRPr="00434E9D" w14:paraId="453BA6FF" w14:textId="77777777" w:rsidTr="00B12A07">
        <w:trPr>
          <w:gridBefore w:val="1"/>
          <w:wBefore w:w="17" w:type="dxa"/>
          <w:cantSplit/>
          <w:tblHeader/>
          <w:jc w:val="center"/>
        </w:trPr>
        <w:tc>
          <w:tcPr>
            <w:tcW w:w="651" w:type="dxa"/>
            <w:gridSpan w:val="3"/>
            <w:tcMar>
              <w:left w:w="28" w:type="dxa"/>
              <w:right w:w="28" w:type="dxa"/>
            </w:tcMar>
          </w:tcPr>
          <w:p w14:paraId="462490C2" w14:textId="77777777" w:rsidR="004C1CED" w:rsidRPr="00434E9D" w:rsidRDefault="004C1CED" w:rsidP="004C1CED">
            <w:pPr>
              <w:widowControl/>
              <w:spacing w:before="40" w:after="40"/>
              <w:jc w:val="both"/>
              <w:rPr>
                <w:rFonts w:eastAsia="Calibri"/>
                <w:noProof/>
                <w:sz w:val="22"/>
                <w:szCs w:val="22"/>
                <w:lang w:eastAsia="en-US"/>
              </w:rPr>
            </w:pPr>
            <w:r w:rsidRPr="00434E9D">
              <w:rPr>
                <w:rFonts w:eastAsia="Calibri"/>
                <w:noProof/>
                <w:sz w:val="22"/>
                <w:szCs w:val="22"/>
                <w:lang w:eastAsia="en-US"/>
              </w:rPr>
              <w:t>(43)</w:t>
            </w:r>
          </w:p>
        </w:tc>
        <w:tc>
          <w:tcPr>
            <w:tcW w:w="2286" w:type="dxa"/>
            <w:gridSpan w:val="3"/>
            <w:tcMar>
              <w:left w:w="28" w:type="dxa"/>
              <w:right w:w="28" w:type="dxa"/>
            </w:tcMar>
          </w:tcPr>
          <w:p w14:paraId="03D246BC"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Hexabromo-cyclododécane (HBCDD) (</w:t>
            </w:r>
            <w:r w:rsidRPr="00434E9D">
              <w:rPr>
                <w:rFonts w:eastAsia="Calibri"/>
                <w:noProof/>
                <w:sz w:val="22"/>
                <w:szCs w:val="22"/>
                <w:vertAlign w:val="superscript"/>
                <w:lang w:eastAsia="en-US"/>
              </w:rPr>
              <w:t>24</w:t>
            </w:r>
            <w:r w:rsidRPr="00434E9D">
              <w:rPr>
                <w:rFonts w:eastAsia="Calibri"/>
                <w:noProof/>
                <w:sz w:val="22"/>
                <w:szCs w:val="22"/>
                <w:lang w:eastAsia="en-US"/>
              </w:rPr>
              <w:t>)</w:t>
            </w:r>
            <w:r w:rsidRPr="00434E9D">
              <w:rPr>
                <w:rFonts w:eastAsia="Calibri"/>
                <w:noProof/>
                <w:szCs w:val="22"/>
                <w:u w:val="single"/>
                <w:lang w:eastAsia="en-US"/>
              </w:rPr>
              <w:t xml:space="preserve"> </w:t>
            </w:r>
          </w:p>
        </w:tc>
        <w:tc>
          <w:tcPr>
            <w:tcW w:w="1329" w:type="dxa"/>
            <w:gridSpan w:val="3"/>
            <w:tcMar>
              <w:left w:w="28" w:type="dxa"/>
              <w:right w:w="28" w:type="dxa"/>
            </w:tcMar>
          </w:tcPr>
          <w:p w14:paraId="34F04F1F"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Substances industrielles</w:t>
            </w:r>
          </w:p>
        </w:tc>
        <w:tc>
          <w:tcPr>
            <w:tcW w:w="992" w:type="dxa"/>
            <w:gridSpan w:val="2"/>
            <w:tcMar>
              <w:left w:w="28" w:type="dxa"/>
              <w:right w:w="28" w:type="dxa"/>
            </w:tcMar>
          </w:tcPr>
          <w:p w14:paraId="02183447"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Voir note 24.</w:t>
            </w:r>
          </w:p>
        </w:tc>
        <w:tc>
          <w:tcPr>
            <w:tcW w:w="1134" w:type="dxa"/>
          </w:tcPr>
          <w:p w14:paraId="759A3D5D"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Voir note 24.</w:t>
            </w:r>
          </w:p>
        </w:tc>
        <w:tc>
          <w:tcPr>
            <w:tcW w:w="1279" w:type="dxa"/>
            <w:gridSpan w:val="2"/>
            <w:tcMar>
              <w:left w:w="28" w:type="dxa"/>
              <w:right w:w="28" w:type="dxa"/>
            </w:tcMar>
          </w:tcPr>
          <w:p w14:paraId="3931141F"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[4,6 × 10</w:t>
            </w:r>
            <w:r w:rsidRPr="00434E9D">
              <w:rPr>
                <w:rFonts w:eastAsia="Calibri"/>
                <w:noProof/>
                <w:sz w:val="22"/>
                <w:szCs w:val="22"/>
                <w:vertAlign w:val="superscript"/>
                <w:lang w:eastAsia="en-US"/>
              </w:rPr>
              <w:t>-4</w:t>
            </w:r>
            <w:r w:rsidRPr="00434E9D">
              <w:rPr>
                <w:rFonts w:eastAsia="Calibri"/>
                <w:noProof/>
                <w:sz w:val="22"/>
                <w:szCs w:val="22"/>
                <w:lang w:eastAsia="en-US"/>
              </w:rPr>
              <w:t>]</w:t>
            </w:r>
          </w:p>
        </w:tc>
        <w:tc>
          <w:tcPr>
            <w:tcW w:w="1279" w:type="dxa"/>
            <w:gridSpan w:val="2"/>
            <w:tcMar>
              <w:left w:w="28" w:type="dxa"/>
              <w:right w:w="28" w:type="dxa"/>
            </w:tcMar>
          </w:tcPr>
          <w:p w14:paraId="2ADDB311"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[2 × 10</w:t>
            </w:r>
            <w:r w:rsidRPr="00434E9D">
              <w:rPr>
                <w:rFonts w:eastAsia="Calibri"/>
                <w:noProof/>
                <w:sz w:val="22"/>
                <w:szCs w:val="22"/>
                <w:vertAlign w:val="superscript"/>
                <w:lang w:eastAsia="en-US"/>
              </w:rPr>
              <w:t>-5</w:t>
            </w:r>
            <w:r w:rsidRPr="00434E9D">
              <w:rPr>
                <w:rFonts w:eastAsia="Calibri"/>
                <w:noProof/>
                <w:sz w:val="22"/>
                <w:szCs w:val="22"/>
                <w:lang w:eastAsia="en-US"/>
              </w:rPr>
              <w:t>]</w:t>
            </w:r>
          </w:p>
        </w:tc>
        <w:tc>
          <w:tcPr>
            <w:tcW w:w="1278" w:type="dxa"/>
            <w:gridSpan w:val="2"/>
            <w:tcMar>
              <w:left w:w="28" w:type="dxa"/>
              <w:right w:w="28" w:type="dxa"/>
            </w:tcMar>
          </w:tcPr>
          <w:p w14:paraId="162B69CC"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0,5</w:t>
            </w:r>
          </w:p>
        </w:tc>
        <w:tc>
          <w:tcPr>
            <w:tcW w:w="1277" w:type="dxa"/>
            <w:gridSpan w:val="2"/>
            <w:tcMar>
              <w:left w:w="28" w:type="dxa"/>
              <w:right w:w="28" w:type="dxa"/>
            </w:tcMar>
          </w:tcPr>
          <w:p w14:paraId="1A8669B0"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0,05</w:t>
            </w:r>
          </w:p>
        </w:tc>
        <w:tc>
          <w:tcPr>
            <w:tcW w:w="1136" w:type="dxa"/>
            <w:gridSpan w:val="2"/>
            <w:tcMar>
              <w:left w:w="28" w:type="dxa"/>
              <w:right w:w="28" w:type="dxa"/>
            </w:tcMar>
          </w:tcPr>
          <w:p w14:paraId="31914FB8"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[3,5]</w:t>
            </w:r>
          </w:p>
        </w:tc>
        <w:tc>
          <w:tcPr>
            <w:tcW w:w="1262" w:type="dxa"/>
            <w:gridSpan w:val="2"/>
            <w:tcMar>
              <w:left w:w="28" w:type="dxa"/>
              <w:right w:w="28" w:type="dxa"/>
            </w:tcMar>
          </w:tcPr>
          <w:p w14:paraId="2EAC03F6"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X</w:t>
            </w:r>
          </w:p>
        </w:tc>
        <w:tc>
          <w:tcPr>
            <w:tcW w:w="1153" w:type="dxa"/>
            <w:gridSpan w:val="2"/>
            <w:tcMar>
              <w:left w:w="28" w:type="dxa"/>
              <w:right w:w="28" w:type="dxa"/>
            </w:tcMar>
          </w:tcPr>
          <w:p w14:paraId="1820BE19"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X</w:t>
            </w:r>
          </w:p>
        </w:tc>
        <w:tc>
          <w:tcPr>
            <w:tcW w:w="970" w:type="dxa"/>
            <w:tcMar>
              <w:left w:w="28" w:type="dxa"/>
              <w:right w:w="28" w:type="dxa"/>
            </w:tcMar>
          </w:tcPr>
          <w:p w14:paraId="3B2994BB"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X</w:t>
            </w:r>
          </w:p>
        </w:tc>
      </w:tr>
      <w:tr w:rsidR="004C1CED" w:rsidRPr="00434E9D" w14:paraId="0620B022" w14:textId="77777777" w:rsidTr="00B12A07">
        <w:trPr>
          <w:gridBefore w:val="1"/>
          <w:wBefore w:w="17" w:type="dxa"/>
          <w:cantSplit/>
          <w:tblHeader/>
          <w:jc w:val="center"/>
        </w:trPr>
        <w:tc>
          <w:tcPr>
            <w:tcW w:w="651" w:type="dxa"/>
            <w:gridSpan w:val="3"/>
            <w:tcMar>
              <w:left w:w="28" w:type="dxa"/>
              <w:right w:w="28" w:type="dxa"/>
            </w:tcMar>
          </w:tcPr>
          <w:p w14:paraId="1C824F0B" w14:textId="77777777" w:rsidR="004C1CED" w:rsidRPr="00434E9D" w:rsidRDefault="004C1CED" w:rsidP="004C1CED">
            <w:pPr>
              <w:widowControl/>
              <w:spacing w:before="40" w:after="40"/>
              <w:jc w:val="both"/>
              <w:rPr>
                <w:rFonts w:eastAsia="Calibri"/>
                <w:noProof/>
                <w:sz w:val="22"/>
                <w:szCs w:val="22"/>
                <w:lang w:eastAsia="en-US"/>
              </w:rPr>
            </w:pPr>
            <w:r w:rsidRPr="00434E9D">
              <w:rPr>
                <w:rFonts w:eastAsia="Calibri"/>
                <w:noProof/>
                <w:sz w:val="22"/>
                <w:szCs w:val="22"/>
                <w:lang w:eastAsia="en-US"/>
              </w:rPr>
              <w:lastRenderedPageBreak/>
              <w:t>(44)</w:t>
            </w:r>
          </w:p>
        </w:tc>
        <w:tc>
          <w:tcPr>
            <w:tcW w:w="2286" w:type="dxa"/>
            <w:gridSpan w:val="3"/>
            <w:tcMar>
              <w:left w:w="28" w:type="dxa"/>
              <w:right w:w="28" w:type="dxa"/>
            </w:tcMar>
          </w:tcPr>
          <w:p w14:paraId="4E1F1AA2"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Heptachlore et époxyde d’heptachlore</w:t>
            </w:r>
          </w:p>
        </w:tc>
        <w:tc>
          <w:tcPr>
            <w:tcW w:w="1329" w:type="dxa"/>
            <w:gridSpan w:val="3"/>
            <w:tcMar>
              <w:left w:w="28" w:type="dxa"/>
              <w:right w:w="28" w:type="dxa"/>
            </w:tcMar>
          </w:tcPr>
          <w:p w14:paraId="1A4D9730"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Pesticides organochlorés</w:t>
            </w:r>
          </w:p>
        </w:tc>
        <w:tc>
          <w:tcPr>
            <w:tcW w:w="992" w:type="dxa"/>
            <w:gridSpan w:val="2"/>
            <w:tcMar>
              <w:left w:w="28" w:type="dxa"/>
              <w:right w:w="28" w:type="dxa"/>
            </w:tcMar>
          </w:tcPr>
          <w:p w14:paraId="2DADDA37"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76-44-8/1024-57-3</w:t>
            </w:r>
          </w:p>
        </w:tc>
        <w:tc>
          <w:tcPr>
            <w:tcW w:w="1134" w:type="dxa"/>
          </w:tcPr>
          <w:p w14:paraId="0199384A" w14:textId="77777777" w:rsidR="004C1CED" w:rsidRPr="00434E9D" w:rsidRDefault="004C1CED" w:rsidP="004C1CED">
            <w:pPr>
              <w:widowControl/>
              <w:spacing w:before="40" w:after="40"/>
              <w:rPr>
                <w:rFonts w:eastAsia="Calibri"/>
                <w:strike/>
                <w:noProof/>
                <w:sz w:val="22"/>
                <w:szCs w:val="22"/>
                <w:lang w:eastAsia="en-US"/>
              </w:rPr>
            </w:pPr>
            <w:r w:rsidRPr="00434E9D">
              <w:rPr>
                <w:rFonts w:eastAsia="Calibri"/>
                <w:noProof/>
                <w:sz w:val="22"/>
                <w:szCs w:val="22"/>
                <w:lang w:eastAsia="en-US"/>
              </w:rPr>
              <w:t>200-962-3/213-831-0</w:t>
            </w:r>
          </w:p>
        </w:tc>
        <w:tc>
          <w:tcPr>
            <w:tcW w:w="1279" w:type="dxa"/>
            <w:gridSpan w:val="2"/>
            <w:tcMar>
              <w:left w:w="28" w:type="dxa"/>
              <w:right w:w="28" w:type="dxa"/>
            </w:tcMar>
          </w:tcPr>
          <w:p w14:paraId="6E112D38"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[1,7 × 10</w:t>
            </w:r>
            <w:r w:rsidRPr="00434E9D">
              <w:rPr>
                <w:rFonts w:eastAsia="Calibri"/>
                <w:noProof/>
                <w:sz w:val="22"/>
                <w:szCs w:val="22"/>
                <w:vertAlign w:val="superscript"/>
                <w:lang w:eastAsia="en-US"/>
              </w:rPr>
              <w:t>-7</w:t>
            </w:r>
            <w:r w:rsidRPr="00434E9D">
              <w:rPr>
                <w:rFonts w:eastAsia="Calibri"/>
                <w:noProof/>
                <w:sz w:val="22"/>
                <w:szCs w:val="22"/>
                <w:lang w:eastAsia="en-US"/>
              </w:rPr>
              <w:t>]</w:t>
            </w:r>
          </w:p>
        </w:tc>
        <w:tc>
          <w:tcPr>
            <w:tcW w:w="1279" w:type="dxa"/>
            <w:gridSpan w:val="2"/>
            <w:tcMar>
              <w:left w:w="28" w:type="dxa"/>
              <w:right w:w="28" w:type="dxa"/>
            </w:tcMar>
          </w:tcPr>
          <w:p w14:paraId="2400C258"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[1,7 × 10</w:t>
            </w:r>
            <w:r w:rsidRPr="00434E9D">
              <w:rPr>
                <w:rFonts w:eastAsia="Calibri"/>
                <w:noProof/>
                <w:sz w:val="22"/>
                <w:szCs w:val="22"/>
                <w:vertAlign w:val="superscript"/>
                <w:lang w:eastAsia="en-US"/>
              </w:rPr>
              <w:t>-7</w:t>
            </w:r>
            <w:r w:rsidRPr="00434E9D">
              <w:rPr>
                <w:rFonts w:eastAsia="Calibri"/>
                <w:noProof/>
                <w:sz w:val="22"/>
                <w:szCs w:val="22"/>
                <w:lang w:eastAsia="en-US"/>
              </w:rPr>
              <w:t>]</w:t>
            </w:r>
          </w:p>
        </w:tc>
        <w:tc>
          <w:tcPr>
            <w:tcW w:w="1278" w:type="dxa"/>
            <w:gridSpan w:val="2"/>
            <w:tcMar>
              <w:left w:w="28" w:type="dxa"/>
              <w:right w:w="28" w:type="dxa"/>
            </w:tcMar>
          </w:tcPr>
          <w:p w14:paraId="4C2C78DE" w14:textId="77777777" w:rsidR="004C1CED" w:rsidRPr="00434E9D" w:rsidRDefault="004C1CED" w:rsidP="004C1CED">
            <w:pPr>
              <w:widowControl/>
              <w:spacing w:before="40" w:after="40"/>
              <w:rPr>
                <w:rFonts w:eastAsia="Calibri"/>
                <w:noProof/>
                <w:sz w:val="22"/>
                <w:szCs w:val="22"/>
                <w:vertAlign w:val="superscript"/>
                <w:lang w:eastAsia="en-US"/>
              </w:rPr>
            </w:pPr>
            <w:r w:rsidRPr="00434E9D">
              <w:rPr>
                <w:rFonts w:eastAsia="Calibri"/>
                <w:noProof/>
                <w:sz w:val="22"/>
                <w:szCs w:val="22"/>
                <w:lang w:eastAsia="en-US"/>
              </w:rPr>
              <w:t>3 × 10</w:t>
            </w:r>
            <w:r w:rsidRPr="00434E9D">
              <w:rPr>
                <w:rFonts w:eastAsia="Calibri"/>
                <w:noProof/>
                <w:sz w:val="22"/>
                <w:szCs w:val="22"/>
                <w:vertAlign w:val="superscript"/>
                <w:lang w:eastAsia="en-US"/>
              </w:rPr>
              <w:t>-4</w:t>
            </w:r>
          </w:p>
        </w:tc>
        <w:tc>
          <w:tcPr>
            <w:tcW w:w="1277" w:type="dxa"/>
            <w:gridSpan w:val="2"/>
            <w:tcMar>
              <w:left w:w="28" w:type="dxa"/>
              <w:right w:w="28" w:type="dxa"/>
            </w:tcMar>
          </w:tcPr>
          <w:p w14:paraId="6125C0C0" w14:textId="77777777" w:rsidR="004C1CED" w:rsidRPr="00434E9D" w:rsidRDefault="004C1CED" w:rsidP="004C1CED">
            <w:pPr>
              <w:widowControl/>
              <w:spacing w:before="40" w:after="40"/>
              <w:rPr>
                <w:rFonts w:eastAsia="Calibri"/>
                <w:noProof/>
                <w:sz w:val="22"/>
                <w:szCs w:val="22"/>
                <w:vertAlign w:val="superscript"/>
                <w:lang w:eastAsia="en-US"/>
              </w:rPr>
            </w:pPr>
            <w:r w:rsidRPr="00434E9D">
              <w:rPr>
                <w:rFonts w:eastAsia="Calibri"/>
                <w:noProof/>
                <w:sz w:val="22"/>
                <w:szCs w:val="22"/>
                <w:lang w:eastAsia="en-US"/>
              </w:rPr>
              <w:t>3 × 10</w:t>
            </w:r>
            <w:r w:rsidRPr="00434E9D">
              <w:rPr>
                <w:rFonts w:eastAsia="Calibri"/>
                <w:noProof/>
                <w:sz w:val="22"/>
                <w:szCs w:val="22"/>
                <w:vertAlign w:val="superscript"/>
                <w:lang w:eastAsia="en-US"/>
              </w:rPr>
              <w:t>-5</w:t>
            </w:r>
          </w:p>
        </w:tc>
        <w:tc>
          <w:tcPr>
            <w:tcW w:w="1136" w:type="dxa"/>
            <w:gridSpan w:val="2"/>
            <w:tcMar>
              <w:left w:w="28" w:type="dxa"/>
              <w:right w:w="28" w:type="dxa"/>
            </w:tcMar>
          </w:tcPr>
          <w:p w14:paraId="0060795E" w14:textId="77777777" w:rsidR="004C1CED" w:rsidRPr="00434E9D" w:rsidRDefault="004C1CED" w:rsidP="004C1CED">
            <w:pPr>
              <w:widowControl/>
              <w:spacing w:before="40" w:after="40"/>
              <w:rPr>
                <w:rFonts w:eastAsia="Calibri"/>
                <w:noProof/>
                <w:sz w:val="22"/>
                <w:szCs w:val="22"/>
                <w:vertAlign w:val="superscript"/>
                <w:lang w:eastAsia="en-US"/>
              </w:rPr>
            </w:pPr>
            <w:r w:rsidRPr="00434E9D">
              <w:rPr>
                <w:rFonts w:eastAsia="Calibri"/>
                <w:noProof/>
                <w:sz w:val="22"/>
                <w:szCs w:val="22"/>
                <w:vertAlign w:val="superscript"/>
                <w:lang w:eastAsia="en-US"/>
              </w:rPr>
              <w:t xml:space="preserve"> </w:t>
            </w:r>
            <w:r w:rsidRPr="00434E9D">
              <w:rPr>
                <w:rFonts w:eastAsia="Calibri"/>
                <w:noProof/>
                <w:sz w:val="22"/>
                <w:szCs w:val="22"/>
                <w:lang w:eastAsia="en-US"/>
              </w:rPr>
              <w:t>[0,013]</w:t>
            </w:r>
          </w:p>
        </w:tc>
        <w:tc>
          <w:tcPr>
            <w:tcW w:w="1262" w:type="dxa"/>
            <w:gridSpan w:val="2"/>
            <w:tcMar>
              <w:left w:w="28" w:type="dxa"/>
              <w:right w:w="28" w:type="dxa"/>
            </w:tcMar>
          </w:tcPr>
          <w:p w14:paraId="101CC90B"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X</w:t>
            </w:r>
          </w:p>
        </w:tc>
        <w:tc>
          <w:tcPr>
            <w:tcW w:w="1153" w:type="dxa"/>
            <w:gridSpan w:val="2"/>
            <w:tcMar>
              <w:left w:w="28" w:type="dxa"/>
              <w:right w:w="28" w:type="dxa"/>
            </w:tcMar>
          </w:tcPr>
          <w:p w14:paraId="3B595FD3"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X</w:t>
            </w:r>
          </w:p>
        </w:tc>
        <w:tc>
          <w:tcPr>
            <w:tcW w:w="970" w:type="dxa"/>
            <w:tcMar>
              <w:left w:w="28" w:type="dxa"/>
              <w:right w:w="28" w:type="dxa"/>
            </w:tcMar>
          </w:tcPr>
          <w:p w14:paraId="6EBDE5AA"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X</w:t>
            </w:r>
          </w:p>
        </w:tc>
      </w:tr>
      <w:tr w:rsidR="004C1CED" w:rsidRPr="00434E9D" w14:paraId="77D4CE39" w14:textId="77777777" w:rsidTr="00B12A07">
        <w:trPr>
          <w:gridBefore w:val="1"/>
          <w:wBefore w:w="17" w:type="dxa"/>
          <w:cantSplit/>
          <w:tblHeader/>
          <w:jc w:val="center"/>
        </w:trPr>
        <w:tc>
          <w:tcPr>
            <w:tcW w:w="651" w:type="dxa"/>
            <w:gridSpan w:val="3"/>
            <w:tcMar>
              <w:left w:w="28" w:type="dxa"/>
              <w:right w:w="28" w:type="dxa"/>
            </w:tcMar>
          </w:tcPr>
          <w:p w14:paraId="2F11C81E" w14:textId="77777777" w:rsidR="004C1CED" w:rsidRPr="00434E9D" w:rsidRDefault="004C1CED" w:rsidP="004C1CED">
            <w:pPr>
              <w:widowControl/>
              <w:spacing w:before="40" w:after="40"/>
              <w:jc w:val="both"/>
              <w:rPr>
                <w:rFonts w:eastAsia="Calibri"/>
                <w:noProof/>
                <w:sz w:val="22"/>
                <w:szCs w:val="22"/>
                <w:lang w:eastAsia="en-US"/>
              </w:rPr>
            </w:pPr>
            <w:r w:rsidRPr="00434E9D">
              <w:rPr>
                <w:rFonts w:eastAsia="Calibri"/>
                <w:noProof/>
                <w:sz w:val="22"/>
                <w:szCs w:val="22"/>
                <w:lang w:eastAsia="en-US"/>
              </w:rPr>
              <w:t>(45)</w:t>
            </w:r>
          </w:p>
        </w:tc>
        <w:tc>
          <w:tcPr>
            <w:tcW w:w="2286" w:type="dxa"/>
            <w:gridSpan w:val="3"/>
            <w:tcMar>
              <w:left w:w="28" w:type="dxa"/>
              <w:right w:w="28" w:type="dxa"/>
            </w:tcMar>
          </w:tcPr>
          <w:p w14:paraId="5836F07A"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Terbutryne</w:t>
            </w:r>
          </w:p>
        </w:tc>
        <w:tc>
          <w:tcPr>
            <w:tcW w:w="1329" w:type="dxa"/>
            <w:gridSpan w:val="3"/>
            <w:tcMar>
              <w:left w:w="28" w:type="dxa"/>
              <w:right w:w="28" w:type="dxa"/>
            </w:tcMar>
          </w:tcPr>
          <w:p w14:paraId="4EB46065"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Herbicides</w:t>
            </w:r>
          </w:p>
        </w:tc>
        <w:tc>
          <w:tcPr>
            <w:tcW w:w="992" w:type="dxa"/>
            <w:gridSpan w:val="2"/>
            <w:tcMar>
              <w:left w:w="28" w:type="dxa"/>
              <w:right w:w="28" w:type="dxa"/>
            </w:tcMar>
          </w:tcPr>
          <w:p w14:paraId="78E2E7FE"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886-50-0</w:t>
            </w:r>
          </w:p>
        </w:tc>
        <w:tc>
          <w:tcPr>
            <w:tcW w:w="1134" w:type="dxa"/>
          </w:tcPr>
          <w:p w14:paraId="33EAEB4B"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212-950-5</w:t>
            </w:r>
          </w:p>
        </w:tc>
        <w:tc>
          <w:tcPr>
            <w:tcW w:w="1279" w:type="dxa"/>
            <w:gridSpan w:val="2"/>
            <w:tcMar>
              <w:left w:w="28" w:type="dxa"/>
              <w:right w:w="28" w:type="dxa"/>
            </w:tcMar>
          </w:tcPr>
          <w:p w14:paraId="56516500"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0,065</w:t>
            </w:r>
          </w:p>
        </w:tc>
        <w:tc>
          <w:tcPr>
            <w:tcW w:w="1279" w:type="dxa"/>
            <w:gridSpan w:val="2"/>
            <w:tcMar>
              <w:left w:w="28" w:type="dxa"/>
              <w:right w:w="28" w:type="dxa"/>
            </w:tcMar>
          </w:tcPr>
          <w:p w14:paraId="0B9C9927"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0,0065</w:t>
            </w:r>
          </w:p>
        </w:tc>
        <w:tc>
          <w:tcPr>
            <w:tcW w:w="1278" w:type="dxa"/>
            <w:gridSpan w:val="2"/>
            <w:tcMar>
              <w:left w:w="28" w:type="dxa"/>
              <w:right w:w="28" w:type="dxa"/>
            </w:tcMar>
          </w:tcPr>
          <w:p w14:paraId="11AC3314"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0,34</w:t>
            </w:r>
          </w:p>
        </w:tc>
        <w:tc>
          <w:tcPr>
            <w:tcW w:w="1277" w:type="dxa"/>
            <w:gridSpan w:val="2"/>
            <w:tcMar>
              <w:left w:w="28" w:type="dxa"/>
              <w:right w:w="28" w:type="dxa"/>
            </w:tcMar>
          </w:tcPr>
          <w:p w14:paraId="16304BCD"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0,034</w:t>
            </w:r>
          </w:p>
        </w:tc>
        <w:tc>
          <w:tcPr>
            <w:tcW w:w="1136" w:type="dxa"/>
            <w:gridSpan w:val="2"/>
            <w:tcMar>
              <w:left w:w="28" w:type="dxa"/>
              <w:right w:w="28" w:type="dxa"/>
            </w:tcMar>
          </w:tcPr>
          <w:p w14:paraId="55D8C087" w14:textId="77777777" w:rsidR="004C1CED" w:rsidRPr="00434E9D" w:rsidRDefault="004C1CED" w:rsidP="004C1CED">
            <w:pPr>
              <w:widowControl/>
              <w:spacing w:before="40" w:after="40"/>
              <w:rPr>
                <w:rFonts w:eastAsia="Calibri"/>
                <w:noProof/>
                <w:sz w:val="22"/>
                <w:szCs w:val="22"/>
                <w:lang w:eastAsia="en-US"/>
              </w:rPr>
            </w:pPr>
          </w:p>
        </w:tc>
        <w:tc>
          <w:tcPr>
            <w:tcW w:w="1262" w:type="dxa"/>
            <w:gridSpan w:val="2"/>
            <w:tcMar>
              <w:left w:w="28" w:type="dxa"/>
              <w:right w:w="28" w:type="dxa"/>
            </w:tcMar>
          </w:tcPr>
          <w:p w14:paraId="775ED8B3" w14:textId="77777777" w:rsidR="004C1CED" w:rsidRPr="00434E9D" w:rsidRDefault="004C1CED" w:rsidP="004C1CED">
            <w:pPr>
              <w:widowControl/>
              <w:spacing w:before="40" w:after="40"/>
              <w:rPr>
                <w:rFonts w:eastAsia="Calibri"/>
                <w:noProof/>
                <w:sz w:val="22"/>
                <w:szCs w:val="22"/>
                <w:lang w:eastAsia="en-US"/>
              </w:rPr>
            </w:pPr>
          </w:p>
        </w:tc>
        <w:tc>
          <w:tcPr>
            <w:tcW w:w="1153" w:type="dxa"/>
            <w:gridSpan w:val="2"/>
            <w:tcMar>
              <w:left w:w="28" w:type="dxa"/>
              <w:right w:w="28" w:type="dxa"/>
            </w:tcMar>
          </w:tcPr>
          <w:p w14:paraId="0CAC4D2E" w14:textId="77777777" w:rsidR="004C1CED" w:rsidRPr="00434E9D" w:rsidRDefault="004C1CED" w:rsidP="004C1CED">
            <w:pPr>
              <w:widowControl/>
              <w:spacing w:before="40" w:after="40"/>
              <w:rPr>
                <w:rFonts w:eastAsia="Calibri"/>
                <w:noProof/>
                <w:sz w:val="22"/>
                <w:szCs w:val="22"/>
                <w:lang w:eastAsia="en-US"/>
              </w:rPr>
            </w:pPr>
          </w:p>
        </w:tc>
        <w:tc>
          <w:tcPr>
            <w:tcW w:w="970" w:type="dxa"/>
            <w:tcMar>
              <w:left w:w="28" w:type="dxa"/>
              <w:right w:w="28" w:type="dxa"/>
            </w:tcMar>
          </w:tcPr>
          <w:p w14:paraId="4919A4D1" w14:textId="77777777" w:rsidR="004C1CED" w:rsidRPr="00434E9D" w:rsidRDefault="004C1CED" w:rsidP="004C1CED">
            <w:pPr>
              <w:widowControl/>
              <w:spacing w:before="40" w:after="40"/>
              <w:rPr>
                <w:rFonts w:eastAsia="Calibri"/>
                <w:noProof/>
                <w:sz w:val="22"/>
                <w:szCs w:val="22"/>
                <w:lang w:eastAsia="en-US"/>
              </w:rPr>
            </w:pPr>
          </w:p>
        </w:tc>
      </w:tr>
      <w:tr w:rsidR="004C1CED" w:rsidRPr="00434E9D" w14:paraId="27799B5F" w14:textId="77777777" w:rsidTr="00B12A07">
        <w:trPr>
          <w:gridBefore w:val="1"/>
          <w:wBefore w:w="17" w:type="dxa"/>
          <w:cantSplit/>
          <w:tblHeader/>
          <w:jc w:val="center"/>
        </w:trPr>
        <w:tc>
          <w:tcPr>
            <w:tcW w:w="651" w:type="dxa"/>
            <w:gridSpan w:val="3"/>
            <w:tcMar>
              <w:left w:w="28" w:type="dxa"/>
              <w:right w:w="28" w:type="dxa"/>
            </w:tcMar>
          </w:tcPr>
          <w:p w14:paraId="39F85AEA" w14:textId="77777777" w:rsidR="004C1CED" w:rsidRPr="00434E9D" w:rsidRDefault="004C1CED" w:rsidP="004C1CED">
            <w:pPr>
              <w:widowControl/>
              <w:spacing w:before="40" w:after="40"/>
              <w:jc w:val="both"/>
              <w:rPr>
                <w:rFonts w:eastAsia="Calibri"/>
                <w:noProof/>
                <w:sz w:val="22"/>
                <w:szCs w:val="22"/>
                <w:lang w:eastAsia="en-US"/>
              </w:rPr>
            </w:pPr>
            <w:r w:rsidRPr="00434E9D">
              <w:rPr>
                <w:rFonts w:eastAsia="Calibri"/>
                <w:noProof/>
                <w:sz w:val="22"/>
                <w:szCs w:val="22"/>
                <w:lang w:eastAsia="en-US"/>
              </w:rPr>
              <w:t>(46)</w:t>
            </w:r>
          </w:p>
        </w:tc>
        <w:tc>
          <w:tcPr>
            <w:tcW w:w="2286" w:type="dxa"/>
            <w:gridSpan w:val="3"/>
            <w:shd w:val="clear" w:color="auto" w:fill="auto"/>
            <w:tcMar>
              <w:left w:w="28" w:type="dxa"/>
              <w:right w:w="28" w:type="dxa"/>
            </w:tcMar>
          </w:tcPr>
          <w:p w14:paraId="07C4A6BE"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17-alpha-éthinylestradiol (EE2)</w:t>
            </w:r>
          </w:p>
        </w:tc>
        <w:tc>
          <w:tcPr>
            <w:tcW w:w="1329" w:type="dxa"/>
            <w:gridSpan w:val="3"/>
            <w:shd w:val="clear" w:color="auto" w:fill="auto"/>
            <w:tcMar>
              <w:left w:w="28" w:type="dxa"/>
              <w:right w:w="28" w:type="dxa"/>
            </w:tcMar>
          </w:tcPr>
          <w:p w14:paraId="1E3D716F"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Produits pharmaceutiques (hormones œstrogéniques)</w:t>
            </w:r>
          </w:p>
        </w:tc>
        <w:tc>
          <w:tcPr>
            <w:tcW w:w="992" w:type="dxa"/>
            <w:gridSpan w:val="2"/>
            <w:shd w:val="clear" w:color="auto" w:fill="auto"/>
            <w:tcMar>
              <w:left w:w="28" w:type="dxa"/>
              <w:right w:w="28" w:type="dxa"/>
            </w:tcMar>
          </w:tcPr>
          <w:p w14:paraId="363581D2"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57-63-6</w:t>
            </w:r>
          </w:p>
        </w:tc>
        <w:tc>
          <w:tcPr>
            <w:tcW w:w="1134" w:type="dxa"/>
          </w:tcPr>
          <w:p w14:paraId="3DC22E9B"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200-342-2</w:t>
            </w:r>
          </w:p>
        </w:tc>
        <w:tc>
          <w:tcPr>
            <w:tcW w:w="1279" w:type="dxa"/>
            <w:gridSpan w:val="2"/>
            <w:shd w:val="clear" w:color="auto" w:fill="auto"/>
            <w:tcMar>
              <w:left w:w="28" w:type="dxa"/>
              <w:right w:w="28" w:type="dxa"/>
            </w:tcMar>
          </w:tcPr>
          <w:p w14:paraId="5D82B790"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1,7 × 10</w:t>
            </w:r>
            <w:r w:rsidRPr="00434E9D">
              <w:rPr>
                <w:rFonts w:eastAsia="Calibri"/>
                <w:noProof/>
                <w:sz w:val="22"/>
                <w:szCs w:val="22"/>
                <w:vertAlign w:val="superscript"/>
                <w:lang w:eastAsia="en-US"/>
              </w:rPr>
              <w:t>-5</w:t>
            </w:r>
          </w:p>
        </w:tc>
        <w:tc>
          <w:tcPr>
            <w:tcW w:w="1279" w:type="dxa"/>
            <w:gridSpan w:val="2"/>
            <w:shd w:val="clear" w:color="auto" w:fill="auto"/>
            <w:tcMar>
              <w:left w:w="28" w:type="dxa"/>
              <w:right w:w="28" w:type="dxa"/>
            </w:tcMar>
          </w:tcPr>
          <w:p w14:paraId="7AC9058C"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1,6 × 10</w:t>
            </w:r>
            <w:r w:rsidRPr="00434E9D">
              <w:rPr>
                <w:rFonts w:eastAsia="Calibri"/>
                <w:noProof/>
                <w:sz w:val="22"/>
                <w:szCs w:val="22"/>
                <w:vertAlign w:val="superscript"/>
                <w:lang w:eastAsia="en-US"/>
              </w:rPr>
              <w:t>-6</w:t>
            </w:r>
          </w:p>
        </w:tc>
        <w:tc>
          <w:tcPr>
            <w:tcW w:w="1278" w:type="dxa"/>
            <w:gridSpan w:val="2"/>
            <w:shd w:val="clear" w:color="auto" w:fill="auto"/>
            <w:tcMar>
              <w:left w:w="28" w:type="dxa"/>
              <w:right w:w="28" w:type="dxa"/>
            </w:tcMar>
          </w:tcPr>
          <w:p w14:paraId="0CE6BDD4"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non établi</w:t>
            </w:r>
          </w:p>
        </w:tc>
        <w:tc>
          <w:tcPr>
            <w:tcW w:w="1277" w:type="dxa"/>
            <w:gridSpan w:val="2"/>
            <w:shd w:val="clear" w:color="auto" w:fill="auto"/>
            <w:tcMar>
              <w:left w:w="28" w:type="dxa"/>
              <w:right w:w="28" w:type="dxa"/>
            </w:tcMar>
          </w:tcPr>
          <w:p w14:paraId="0B0D2C22"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non établi</w:t>
            </w:r>
          </w:p>
        </w:tc>
        <w:tc>
          <w:tcPr>
            <w:tcW w:w="1136" w:type="dxa"/>
            <w:gridSpan w:val="2"/>
            <w:shd w:val="clear" w:color="auto" w:fill="auto"/>
            <w:tcMar>
              <w:left w:w="28" w:type="dxa"/>
              <w:right w:w="28" w:type="dxa"/>
            </w:tcMar>
          </w:tcPr>
          <w:p w14:paraId="1362DE16" w14:textId="77777777" w:rsidR="004C1CED" w:rsidRPr="00434E9D" w:rsidRDefault="004C1CED" w:rsidP="004C1CED">
            <w:pPr>
              <w:widowControl/>
              <w:spacing w:before="40" w:after="40"/>
              <w:rPr>
                <w:rFonts w:eastAsia="Calibri"/>
                <w:noProof/>
                <w:sz w:val="22"/>
                <w:szCs w:val="22"/>
                <w:lang w:eastAsia="en-US"/>
              </w:rPr>
            </w:pPr>
          </w:p>
        </w:tc>
        <w:tc>
          <w:tcPr>
            <w:tcW w:w="1262" w:type="dxa"/>
            <w:gridSpan w:val="2"/>
            <w:tcMar>
              <w:left w:w="28" w:type="dxa"/>
              <w:right w:w="28" w:type="dxa"/>
            </w:tcMar>
          </w:tcPr>
          <w:p w14:paraId="52EE9B47" w14:textId="77777777" w:rsidR="004C1CED" w:rsidRPr="00434E9D" w:rsidRDefault="004C1CED" w:rsidP="004C1CED">
            <w:pPr>
              <w:widowControl/>
              <w:spacing w:before="40" w:after="40"/>
              <w:rPr>
                <w:rFonts w:eastAsia="Calibri"/>
                <w:noProof/>
                <w:sz w:val="22"/>
                <w:szCs w:val="22"/>
                <w:lang w:eastAsia="en-US"/>
              </w:rPr>
            </w:pPr>
          </w:p>
        </w:tc>
        <w:tc>
          <w:tcPr>
            <w:tcW w:w="1153" w:type="dxa"/>
            <w:gridSpan w:val="2"/>
            <w:tcMar>
              <w:left w:w="28" w:type="dxa"/>
              <w:right w:w="28" w:type="dxa"/>
            </w:tcMar>
          </w:tcPr>
          <w:p w14:paraId="26C7CFDB" w14:textId="77777777" w:rsidR="004C1CED" w:rsidRPr="00434E9D" w:rsidRDefault="004C1CED" w:rsidP="004C1CED">
            <w:pPr>
              <w:widowControl/>
              <w:spacing w:before="40" w:after="40"/>
              <w:rPr>
                <w:rFonts w:eastAsia="Calibri"/>
                <w:noProof/>
                <w:sz w:val="22"/>
                <w:szCs w:val="22"/>
                <w:lang w:eastAsia="en-US"/>
              </w:rPr>
            </w:pPr>
          </w:p>
        </w:tc>
        <w:tc>
          <w:tcPr>
            <w:tcW w:w="970" w:type="dxa"/>
            <w:tcMar>
              <w:left w:w="28" w:type="dxa"/>
              <w:right w:w="28" w:type="dxa"/>
            </w:tcMar>
          </w:tcPr>
          <w:p w14:paraId="5A7DCEF6" w14:textId="77777777" w:rsidR="004C1CED" w:rsidRPr="00434E9D" w:rsidRDefault="004C1CED" w:rsidP="004C1CED">
            <w:pPr>
              <w:widowControl/>
              <w:spacing w:before="40" w:after="40"/>
              <w:rPr>
                <w:rFonts w:eastAsia="Calibri"/>
                <w:noProof/>
                <w:sz w:val="22"/>
                <w:szCs w:val="22"/>
                <w:lang w:eastAsia="en-US"/>
              </w:rPr>
            </w:pPr>
          </w:p>
        </w:tc>
      </w:tr>
      <w:tr w:rsidR="004C1CED" w:rsidRPr="00434E9D" w14:paraId="3660AEF5" w14:textId="77777777" w:rsidTr="00B12A07">
        <w:trPr>
          <w:gridBefore w:val="1"/>
          <w:wBefore w:w="17" w:type="dxa"/>
          <w:cantSplit/>
          <w:tblHeader/>
          <w:jc w:val="center"/>
        </w:trPr>
        <w:tc>
          <w:tcPr>
            <w:tcW w:w="651" w:type="dxa"/>
            <w:gridSpan w:val="3"/>
            <w:tcMar>
              <w:left w:w="28" w:type="dxa"/>
              <w:right w:w="28" w:type="dxa"/>
            </w:tcMar>
          </w:tcPr>
          <w:p w14:paraId="7F4A437B" w14:textId="77777777" w:rsidR="004C1CED" w:rsidRPr="00434E9D" w:rsidRDefault="004C1CED" w:rsidP="004C1CED">
            <w:pPr>
              <w:widowControl/>
              <w:spacing w:before="40" w:after="40"/>
              <w:jc w:val="both"/>
              <w:rPr>
                <w:rFonts w:eastAsia="Calibri"/>
                <w:noProof/>
                <w:sz w:val="22"/>
                <w:szCs w:val="22"/>
                <w:lang w:eastAsia="en-US"/>
              </w:rPr>
            </w:pPr>
            <w:r w:rsidRPr="00434E9D">
              <w:rPr>
                <w:rFonts w:eastAsia="Calibri"/>
                <w:noProof/>
                <w:sz w:val="22"/>
                <w:szCs w:val="22"/>
                <w:lang w:eastAsia="en-US"/>
              </w:rPr>
              <w:t>(47)</w:t>
            </w:r>
          </w:p>
        </w:tc>
        <w:tc>
          <w:tcPr>
            <w:tcW w:w="2286" w:type="dxa"/>
            <w:gridSpan w:val="3"/>
            <w:shd w:val="clear" w:color="auto" w:fill="auto"/>
            <w:tcMar>
              <w:left w:w="28" w:type="dxa"/>
              <w:right w:w="28" w:type="dxa"/>
            </w:tcMar>
          </w:tcPr>
          <w:p w14:paraId="5F0BB9D2"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17 bêta-estradiol (E2)</w:t>
            </w:r>
          </w:p>
        </w:tc>
        <w:tc>
          <w:tcPr>
            <w:tcW w:w="1329" w:type="dxa"/>
            <w:gridSpan w:val="3"/>
            <w:shd w:val="clear" w:color="auto" w:fill="auto"/>
            <w:tcMar>
              <w:left w:w="28" w:type="dxa"/>
              <w:right w:w="28" w:type="dxa"/>
            </w:tcMar>
          </w:tcPr>
          <w:p w14:paraId="5FE49C1B"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Produits pharmaceutiques (hormones œstrogéniques)</w:t>
            </w:r>
          </w:p>
        </w:tc>
        <w:tc>
          <w:tcPr>
            <w:tcW w:w="992" w:type="dxa"/>
            <w:gridSpan w:val="2"/>
            <w:shd w:val="clear" w:color="auto" w:fill="auto"/>
            <w:tcMar>
              <w:left w:w="28" w:type="dxa"/>
              <w:right w:w="28" w:type="dxa"/>
            </w:tcMar>
          </w:tcPr>
          <w:p w14:paraId="6045AA72"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50-28-2</w:t>
            </w:r>
          </w:p>
        </w:tc>
        <w:tc>
          <w:tcPr>
            <w:tcW w:w="1134" w:type="dxa"/>
          </w:tcPr>
          <w:p w14:paraId="6BA8D42B"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200-023-8</w:t>
            </w:r>
          </w:p>
        </w:tc>
        <w:tc>
          <w:tcPr>
            <w:tcW w:w="1279" w:type="dxa"/>
            <w:gridSpan w:val="2"/>
            <w:shd w:val="clear" w:color="auto" w:fill="auto"/>
            <w:tcMar>
              <w:left w:w="28" w:type="dxa"/>
              <w:right w:w="28" w:type="dxa"/>
            </w:tcMar>
          </w:tcPr>
          <w:p w14:paraId="46E06005"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0,00018</w:t>
            </w:r>
          </w:p>
        </w:tc>
        <w:tc>
          <w:tcPr>
            <w:tcW w:w="1279" w:type="dxa"/>
            <w:gridSpan w:val="2"/>
            <w:shd w:val="clear" w:color="auto" w:fill="auto"/>
            <w:tcMar>
              <w:left w:w="28" w:type="dxa"/>
              <w:right w:w="28" w:type="dxa"/>
            </w:tcMar>
          </w:tcPr>
          <w:p w14:paraId="28D076F6"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9 × 10</w:t>
            </w:r>
            <w:r w:rsidRPr="00434E9D">
              <w:rPr>
                <w:rFonts w:eastAsia="Calibri"/>
                <w:noProof/>
                <w:sz w:val="22"/>
                <w:szCs w:val="22"/>
                <w:vertAlign w:val="superscript"/>
                <w:lang w:eastAsia="en-US"/>
              </w:rPr>
              <w:t>-6</w:t>
            </w:r>
          </w:p>
        </w:tc>
        <w:tc>
          <w:tcPr>
            <w:tcW w:w="1278" w:type="dxa"/>
            <w:gridSpan w:val="2"/>
            <w:shd w:val="clear" w:color="auto" w:fill="auto"/>
            <w:tcMar>
              <w:left w:w="28" w:type="dxa"/>
              <w:right w:w="28" w:type="dxa"/>
            </w:tcMar>
          </w:tcPr>
          <w:p w14:paraId="6070785B"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non établi</w:t>
            </w:r>
          </w:p>
        </w:tc>
        <w:tc>
          <w:tcPr>
            <w:tcW w:w="1277" w:type="dxa"/>
            <w:gridSpan w:val="2"/>
            <w:shd w:val="clear" w:color="auto" w:fill="auto"/>
            <w:tcMar>
              <w:left w:w="28" w:type="dxa"/>
              <w:right w:w="28" w:type="dxa"/>
            </w:tcMar>
          </w:tcPr>
          <w:p w14:paraId="55C635B7"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non établi</w:t>
            </w:r>
          </w:p>
        </w:tc>
        <w:tc>
          <w:tcPr>
            <w:tcW w:w="1136" w:type="dxa"/>
            <w:gridSpan w:val="2"/>
            <w:shd w:val="clear" w:color="auto" w:fill="auto"/>
            <w:tcMar>
              <w:left w:w="28" w:type="dxa"/>
              <w:right w:w="28" w:type="dxa"/>
            </w:tcMar>
          </w:tcPr>
          <w:p w14:paraId="30079495" w14:textId="77777777" w:rsidR="004C1CED" w:rsidRPr="00434E9D" w:rsidRDefault="004C1CED" w:rsidP="004C1CED">
            <w:pPr>
              <w:widowControl/>
              <w:spacing w:before="40" w:after="40"/>
              <w:rPr>
                <w:rFonts w:eastAsia="Calibri"/>
                <w:noProof/>
                <w:sz w:val="22"/>
                <w:szCs w:val="22"/>
                <w:lang w:eastAsia="en-US"/>
              </w:rPr>
            </w:pPr>
          </w:p>
        </w:tc>
        <w:tc>
          <w:tcPr>
            <w:tcW w:w="1262" w:type="dxa"/>
            <w:gridSpan w:val="2"/>
            <w:tcMar>
              <w:left w:w="28" w:type="dxa"/>
              <w:right w:w="28" w:type="dxa"/>
            </w:tcMar>
          </w:tcPr>
          <w:p w14:paraId="2DDBEF92" w14:textId="77777777" w:rsidR="004C1CED" w:rsidRPr="00434E9D" w:rsidRDefault="004C1CED" w:rsidP="004C1CED">
            <w:pPr>
              <w:widowControl/>
              <w:spacing w:before="40" w:after="40"/>
              <w:rPr>
                <w:rFonts w:eastAsia="Calibri"/>
                <w:noProof/>
                <w:sz w:val="22"/>
                <w:szCs w:val="22"/>
                <w:lang w:eastAsia="en-US"/>
              </w:rPr>
            </w:pPr>
          </w:p>
        </w:tc>
        <w:tc>
          <w:tcPr>
            <w:tcW w:w="1153" w:type="dxa"/>
            <w:gridSpan w:val="2"/>
            <w:tcMar>
              <w:left w:w="28" w:type="dxa"/>
              <w:right w:w="28" w:type="dxa"/>
            </w:tcMar>
          </w:tcPr>
          <w:p w14:paraId="69828CE7" w14:textId="77777777" w:rsidR="004C1CED" w:rsidRPr="00434E9D" w:rsidRDefault="004C1CED" w:rsidP="004C1CED">
            <w:pPr>
              <w:widowControl/>
              <w:spacing w:before="40" w:after="40"/>
              <w:rPr>
                <w:rFonts w:eastAsia="Calibri"/>
                <w:noProof/>
                <w:sz w:val="22"/>
                <w:szCs w:val="22"/>
                <w:lang w:eastAsia="en-US"/>
              </w:rPr>
            </w:pPr>
          </w:p>
        </w:tc>
        <w:tc>
          <w:tcPr>
            <w:tcW w:w="970" w:type="dxa"/>
            <w:tcMar>
              <w:left w:w="28" w:type="dxa"/>
              <w:right w:w="28" w:type="dxa"/>
            </w:tcMar>
          </w:tcPr>
          <w:p w14:paraId="50646417" w14:textId="77777777" w:rsidR="004C1CED" w:rsidRPr="00434E9D" w:rsidRDefault="004C1CED" w:rsidP="004C1CED">
            <w:pPr>
              <w:widowControl/>
              <w:spacing w:before="40" w:after="40"/>
              <w:rPr>
                <w:rFonts w:eastAsia="Calibri"/>
                <w:noProof/>
                <w:sz w:val="22"/>
                <w:szCs w:val="22"/>
                <w:lang w:eastAsia="en-US"/>
              </w:rPr>
            </w:pPr>
          </w:p>
        </w:tc>
      </w:tr>
      <w:tr w:rsidR="004C1CED" w:rsidRPr="00434E9D" w14:paraId="70768B84" w14:textId="77777777" w:rsidTr="00B12A07">
        <w:trPr>
          <w:gridBefore w:val="1"/>
          <w:wBefore w:w="17" w:type="dxa"/>
          <w:cantSplit/>
          <w:tblHeader/>
          <w:jc w:val="center"/>
        </w:trPr>
        <w:tc>
          <w:tcPr>
            <w:tcW w:w="651" w:type="dxa"/>
            <w:gridSpan w:val="3"/>
            <w:tcMar>
              <w:left w:w="28" w:type="dxa"/>
              <w:right w:w="28" w:type="dxa"/>
            </w:tcMar>
          </w:tcPr>
          <w:p w14:paraId="3624B65C" w14:textId="77777777" w:rsidR="004C1CED" w:rsidRPr="00434E9D" w:rsidRDefault="004C1CED" w:rsidP="004C1CED">
            <w:pPr>
              <w:widowControl/>
              <w:spacing w:before="40" w:after="40"/>
              <w:jc w:val="both"/>
              <w:rPr>
                <w:rFonts w:eastAsia="Calibri"/>
                <w:noProof/>
                <w:sz w:val="22"/>
                <w:szCs w:val="22"/>
                <w:lang w:eastAsia="en-US"/>
              </w:rPr>
            </w:pPr>
            <w:r w:rsidRPr="00434E9D">
              <w:rPr>
                <w:rFonts w:eastAsia="Calibri"/>
                <w:noProof/>
                <w:sz w:val="22"/>
                <w:szCs w:val="22"/>
                <w:lang w:eastAsia="en-US"/>
              </w:rPr>
              <w:t>(48)</w:t>
            </w:r>
          </w:p>
        </w:tc>
        <w:tc>
          <w:tcPr>
            <w:tcW w:w="2286" w:type="dxa"/>
            <w:gridSpan w:val="3"/>
            <w:shd w:val="clear" w:color="auto" w:fill="auto"/>
            <w:tcMar>
              <w:left w:w="28" w:type="dxa"/>
              <w:right w:w="28" w:type="dxa"/>
            </w:tcMar>
          </w:tcPr>
          <w:p w14:paraId="3974BA98"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Acétamipride</w:t>
            </w:r>
          </w:p>
        </w:tc>
        <w:tc>
          <w:tcPr>
            <w:tcW w:w="1329" w:type="dxa"/>
            <w:gridSpan w:val="3"/>
            <w:shd w:val="clear" w:color="auto" w:fill="auto"/>
            <w:tcMar>
              <w:left w:w="28" w:type="dxa"/>
              <w:right w:w="28" w:type="dxa"/>
            </w:tcMar>
          </w:tcPr>
          <w:p w14:paraId="4E272485"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Pesticides néonicotinoïdes</w:t>
            </w:r>
          </w:p>
        </w:tc>
        <w:tc>
          <w:tcPr>
            <w:tcW w:w="992" w:type="dxa"/>
            <w:gridSpan w:val="2"/>
            <w:shd w:val="clear" w:color="auto" w:fill="auto"/>
            <w:tcMar>
              <w:left w:w="28" w:type="dxa"/>
              <w:right w:w="28" w:type="dxa"/>
            </w:tcMar>
          </w:tcPr>
          <w:p w14:paraId="4EB0F136"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135410-20-7/160430-64-8</w:t>
            </w:r>
          </w:p>
        </w:tc>
        <w:tc>
          <w:tcPr>
            <w:tcW w:w="1134" w:type="dxa"/>
          </w:tcPr>
          <w:p w14:paraId="752277DC"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603-921-1</w:t>
            </w:r>
          </w:p>
        </w:tc>
        <w:tc>
          <w:tcPr>
            <w:tcW w:w="1279" w:type="dxa"/>
            <w:gridSpan w:val="2"/>
            <w:shd w:val="clear" w:color="auto" w:fill="auto"/>
            <w:tcMar>
              <w:left w:w="28" w:type="dxa"/>
              <w:right w:w="28" w:type="dxa"/>
            </w:tcMar>
          </w:tcPr>
          <w:p w14:paraId="465D2B8E"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0,037</w:t>
            </w:r>
          </w:p>
        </w:tc>
        <w:tc>
          <w:tcPr>
            <w:tcW w:w="1279" w:type="dxa"/>
            <w:gridSpan w:val="2"/>
            <w:shd w:val="clear" w:color="auto" w:fill="auto"/>
            <w:tcMar>
              <w:left w:w="28" w:type="dxa"/>
              <w:right w:w="28" w:type="dxa"/>
            </w:tcMar>
          </w:tcPr>
          <w:p w14:paraId="7F5CD181"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0,0037</w:t>
            </w:r>
          </w:p>
        </w:tc>
        <w:tc>
          <w:tcPr>
            <w:tcW w:w="1278" w:type="dxa"/>
            <w:gridSpan w:val="2"/>
            <w:shd w:val="clear" w:color="auto" w:fill="auto"/>
            <w:tcMar>
              <w:left w:w="28" w:type="dxa"/>
              <w:right w:w="28" w:type="dxa"/>
            </w:tcMar>
          </w:tcPr>
          <w:p w14:paraId="26DE49C9"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0,16</w:t>
            </w:r>
          </w:p>
        </w:tc>
        <w:tc>
          <w:tcPr>
            <w:tcW w:w="1277" w:type="dxa"/>
            <w:gridSpan w:val="2"/>
            <w:shd w:val="clear" w:color="auto" w:fill="auto"/>
            <w:tcMar>
              <w:left w:w="28" w:type="dxa"/>
              <w:right w:w="28" w:type="dxa"/>
            </w:tcMar>
          </w:tcPr>
          <w:p w14:paraId="38C16AAD"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0,016</w:t>
            </w:r>
          </w:p>
        </w:tc>
        <w:tc>
          <w:tcPr>
            <w:tcW w:w="1136" w:type="dxa"/>
            <w:gridSpan w:val="2"/>
            <w:shd w:val="clear" w:color="auto" w:fill="auto"/>
            <w:tcMar>
              <w:left w:w="28" w:type="dxa"/>
              <w:right w:w="28" w:type="dxa"/>
            </w:tcMar>
          </w:tcPr>
          <w:p w14:paraId="6F2653B3" w14:textId="77777777" w:rsidR="004C1CED" w:rsidRPr="00434E9D" w:rsidRDefault="004C1CED" w:rsidP="004C1CED">
            <w:pPr>
              <w:widowControl/>
              <w:spacing w:before="40" w:after="40"/>
              <w:rPr>
                <w:rFonts w:eastAsia="Calibri"/>
                <w:noProof/>
                <w:sz w:val="22"/>
                <w:szCs w:val="22"/>
                <w:lang w:eastAsia="en-US"/>
              </w:rPr>
            </w:pPr>
          </w:p>
        </w:tc>
        <w:tc>
          <w:tcPr>
            <w:tcW w:w="1262" w:type="dxa"/>
            <w:gridSpan w:val="2"/>
            <w:tcMar>
              <w:left w:w="28" w:type="dxa"/>
              <w:right w:w="28" w:type="dxa"/>
            </w:tcMar>
          </w:tcPr>
          <w:p w14:paraId="2C65E69A" w14:textId="77777777" w:rsidR="004C1CED" w:rsidRPr="00434E9D" w:rsidRDefault="004C1CED" w:rsidP="004C1CED">
            <w:pPr>
              <w:widowControl/>
              <w:spacing w:before="40" w:after="40"/>
              <w:rPr>
                <w:rFonts w:eastAsia="Calibri"/>
                <w:noProof/>
                <w:sz w:val="22"/>
                <w:szCs w:val="22"/>
                <w:lang w:eastAsia="en-US"/>
              </w:rPr>
            </w:pPr>
          </w:p>
        </w:tc>
        <w:tc>
          <w:tcPr>
            <w:tcW w:w="1153" w:type="dxa"/>
            <w:gridSpan w:val="2"/>
            <w:tcMar>
              <w:left w:w="28" w:type="dxa"/>
              <w:right w:w="28" w:type="dxa"/>
            </w:tcMar>
          </w:tcPr>
          <w:p w14:paraId="5C4C5D10" w14:textId="77777777" w:rsidR="004C1CED" w:rsidRPr="00434E9D" w:rsidRDefault="004C1CED" w:rsidP="004C1CED">
            <w:pPr>
              <w:widowControl/>
              <w:spacing w:before="40" w:after="40"/>
              <w:rPr>
                <w:rFonts w:eastAsia="Calibri"/>
                <w:noProof/>
                <w:sz w:val="22"/>
                <w:szCs w:val="22"/>
                <w:lang w:eastAsia="en-US"/>
              </w:rPr>
            </w:pPr>
          </w:p>
        </w:tc>
        <w:tc>
          <w:tcPr>
            <w:tcW w:w="970" w:type="dxa"/>
            <w:tcMar>
              <w:left w:w="28" w:type="dxa"/>
              <w:right w:w="28" w:type="dxa"/>
            </w:tcMar>
          </w:tcPr>
          <w:p w14:paraId="789B14B6" w14:textId="77777777" w:rsidR="004C1CED" w:rsidRPr="00434E9D" w:rsidRDefault="004C1CED" w:rsidP="004C1CED">
            <w:pPr>
              <w:widowControl/>
              <w:spacing w:before="40" w:after="40"/>
              <w:rPr>
                <w:rFonts w:eastAsia="Calibri"/>
                <w:noProof/>
                <w:sz w:val="22"/>
                <w:szCs w:val="22"/>
                <w:lang w:eastAsia="en-US"/>
              </w:rPr>
            </w:pPr>
          </w:p>
        </w:tc>
      </w:tr>
      <w:tr w:rsidR="004C1CED" w:rsidRPr="00434E9D" w14:paraId="26706C47" w14:textId="77777777" w:rsidTr="00B12A07">
        <w:trPr>
          <w:gridBefore w:val="1"/>
          <w:wBefore w:w="17" w:type="dxa"/>
          <w:cantSplit/>
          <w:tblHeader/>
          <w:jc w:val="center"/>
        </w:trPr>
        <w:tc>
          <w:tcPr>
            <w:tcW w:w="651" w:type="dxa"/>
            <w:gridSpan w:val="3"/>
            <w:tcMar>
              <w:left w:w="28" w:type="dxa"/>
              <w:right w:w="28" w:type="dxa"/>
            </w:tcMar>
          </w:tcPr>
          <w:p w14:paraId="0ED33B78" w14:textId="77777777" w:rsidR="004C1CED" w:rsidRPr="00434E9D" w:rsidRDefault="004C1CED" w:rsidP="004C1CED">
            <w:pPr>
              <w:widowControl/>
              <w:spacing w:before="40" w:after="40"/>
              <w:jc w:val="both"/>
              <w:rPr>
                <w:rFonts w:eastAsia="Calibri"/>
                <w:noProof/>
                <w:sz w:val="22"/>
                <w:szCs w:val="22"/>
                <w:lang w:eastAsia="en-US"/>
              </w:rPr>
            </w:pPr>
            <w:r w:rsidRPr="00434E9D">
              <w:rPr>
                <w:rFonts w:eastAsia="Calibri"/>
                <w:noProof/>
                <w:sz w:val="22"/>
                <w:szCs w:val="22"/>
                <w:lang w:eastAsia="en-US"/>
              </w:rPr>
              <w:t>(49)</w:t>
            </w:r>
          </w:p>
        </w:tc>
        <w:tc>
          <w:tcPr>
            <w:tcW w:w="2286" w:type="dxa"/>
            <w:gridSpan w:val="3"/>
            <w:shd w:val="clear" w:color="auto" w:fill="auto"/>
            <w:tcMar>
              <w:left w:w="28" w:type="dxa"/>
              <w:right w:w="28" w:type="dxa"/>
            </w:tcMar>
          </w:tcPr>
          <w:p w14:paraId="589D2F74"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Azithromycine</w:t>
            </w:r>
          </w:p>
        </w:tc>
        <w:tc>
          <w:tcPr>
            <w:tcW w:w="1329" w:type="dxa"/>
            <w:gridSpan w:val="3"/>
            <w:shd w:val="clear" w:color="auto" w:fill="auto"/>
            <w:tcMar>
              <w:left w:w="28" w:type="dxa"/>
              <w:right w:w="28" w:type="dxa"/>
            </w:tcMar>
          </w:tcPr>
          <w:p w14:paraId="21324C36"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Produits pharmaceutiques (antibiotiques macrolides)</w:t>
            </w:r>
          </w:p>
        </w:tc>
        <w:tc>
          <w:tcPr>
            <w:tcW w:w="992" w:type="dxa"/>
            <w:gridSpan w:val="2"/>
            <w:shd w:val="clear" w:color="auto" w:fill="auto"/>
            <w:tcMar>
              <w:left w:w="28" w:type="dxa"/>
              <w:right w:w="28" w:type="dxa"/>
            </w:tcMar>
          </w:tcPr>
          <w:p w14:paraId="21A269A5"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83905-01-5</w:t>
            </w:r>
          </w:p>
        </w:tc>
        <w:tc>
          <w:tcPr>
            <w:tcW w:w="1134" w:type="dxa"/>
          </w:tcPr>
          <w:p w14:paraId="6EBB90FE"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617-500-5</w:t>
            </w:r>
          </w:p>
        </w:tc>
        <w:tc>
          <w:tcPr>
            <w:tcW w:w="1279" w:type="dxa"/>
            <w:gridSpan w:val="2"/>
            <w:shd w:val="clear" w:color="auto" w:fill="auto"/>
            <w:tcMar>
              <w:left w:w="28" w:type="dxa"/>
              <w:right w:w="28" w:type="dxa"/>
            </w:tcMar>
          </w:tcPr>
          <w:p w14:paraId="2CB64700"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0,019</w:t>
            </w:r>
          </w:p>
        </w:tc>
        <w:tc>
          <w:tcPr>
            <w:tcW w:w="1279" w:type="dxa"/>
            <w:gridSpan w:val="2"/>
            <w:shd w:val="clear" w:color="auto" w:fill="auto"/>
            <w:tcMar>
              <w:left w:w="28" w:type="dxa"/>
              <w:right w:w="28" w:type="dxa"/>
            </w:tcMar>
          </w:tcPr>
          <w:p w14:paraId="67CEA609"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0,0019</w:t>
            </w:r>
          </w:p>
        </w:tc>
        <w:tc>
          <w:tcPr>
            <w:tcW w:w="1278" w:type="dxa"/>
            <w:gridSpan w:val="2"/>
            <w:shd w:val="clear" w:color="auto" w:fill="auto"/>
            <w:tcMar>
              <w:left w:w="28" w:type="dxa"/>
              <w:right w:w="28" w:type="dxa"/>
            </w:tcMar>
          </w:tcPr>
          <w:p w14:paraId="7DC49BB4"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0,18</w:t>
            </w:r>
          </w:p>
        </w:tc>
        <w:tc>
          <w:tcPr>
            <w:tcW w:w="1277" w:type="dxa"/>
            <w:gridSpan w:val="2"/>
            <w:shd w:val="clear" w:color="auto" w:fill="auto"/>
            <w:tcMar>
              <w:left w:w="28" w:type="dxa"/>
              <w:right w:w="28" w:type="dxa"/>
            </w:tcMar>
          </w:tcPr>
          <w:p w14:paraId="7A9652EE"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0,018</w:t>
            </w:r>
          </w:p>
        </w:tc>
        <w:tc>
          <w:tcPr>
            <w:tcW w:w="1136" w:type="dxa"/>
            <w:gridSpan w:val="2"/>
            <w:shd w:val="clear" w:color="auto" w:fill="auto"/>
            <w:tcMar>
              <w:left w:w="28" w:type="dxa"/>
              <w:right w:w="28" w:type="dxa"/>
            </w:tcMar>
          </w:tcPr>
          <w:p w14:paraId="73F86F1E" w14:textId="77777777" w:rsidR="004C1CED" w:rsidRPr="00434E9D" w:rsidRDefault="004C1CED" w:rsidP="004C1CED">
            <w:pPr>
              <w:widowControl/>
              <w:spacing w:before="40" w:after="40"/>
              <w:rPr>
                <w:rFonts w:eastAsia="Calibri"/>
                <w:noProof/>
                <w:sz w:val="22"/>
                <w:szCs w:val="22"/>
                <w:lang w:eastAsia="en-US"/>
              </w:rPr>
            </w:pPr>
          </w:p>
        </w:tc>
        <w:tc>
          <w:tcPr>
            <w:tcW w:w="1262" w:type="dxa"/>
            <w:gridSpan w:val="2"/>
            <w:tcMar>
              <w:left w:w="28" w:type="dxa"/>
              <w:right w:w="28" w:type="dxa"/>
            </w:tcMar>
          </w:tcPr>
          <w:p w14:paraId="1CCBB914" w14:textId="77777777" w:rsidR="004C1CED" w:rsidRPr="00434E9D" w:rsidRDefault="004C1CED" w:rsidP="004C1CED">
            <w:pPr>
              <w:widowControl/>
              <w:spacing w:before="40" w:after="40"/>
              <w:rPr>
                <w:rFonts w:eastAsia="Calibri"/>
                <w:noProof/>
                <w:sz w:val="22"/>
                <w:szCs w:val="22"/>
                <w:lang w:eastAsia="en-US"/>
              </w:rPr>
            </w:pPr>
          </w:p>
        </w:tc>
        <w:tc>
          <w:tcPr>
            <w:tcW w:w="1153" w:type="dxa"/>
            <w:gridSpan w:val="2"/>
            <w:tcMar>
              <w:left w:w="28" w:type="dxa"/>
              <w:right w:w="28" w:type="dxa"/>
            </w:tcMar>
          </w:tcPr>
          <w:p w14:paraId="4E87EC63" w14:textId="77777777" w:rsidR="004C1CED" w:rsidRPr="00434E9D" w:rsidRDefault="004C1CED" w:rsidP="004C1CED">
            <w:pPr>
              <w:widowControl/>
              <w:spacing w:before="40" w:after="40"/>
              <w:rPr>
                <w:rFonts w:eastAsia="Calibri"/>
                <w:noProof/>
                <w:sz w:val="22"/>
                <w:szCs w:val="22"/>
                <w:lang w:eastAsia="en-US"/>
              </w:rPr>
            </w:pPr>
          </w:p>
        </w:tc>
        <w:tc>
          <w:tcPr>
            <w:tcW w:w="970" w:type="dxa"/>
            <w:tcMar>
              <w:left w:w="28" w:type="dxa"/>
              <w:right w:w="28" w:type="dxa"/>
            </w:tcMar>
          </w:tcPr>
          <w:p w14:paraId="4F846DAD"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X</w:t>
            </w:r>
          </w:p>
        </w:tc>
      </w:tr>
      <w:tr w:rsidR="004C1CED" w:rsidRPr="00434E9D" w14:paraId="75D25DB7" w14:textId="77777777" w:rsidTr="00B12A07">
        <w:trPr>
          <w:gridBefore w:val="1"/>
          <w:wBefore w:w="17" w:type="dxa"/>
          <w:cantSplit/>
          <w:tblHeader/>
          <w:jc w:val="center"/>
        </w:trPr>
        <w:tc>
          <w:tcPr>
            <w:tcW w:w="651" w:type="dxa"/>
            <w:gridSpan w:val="3"/>
            <w:tcMar>
              <w:left w:w="28" w:type="dxa"/>
              <w:right w:w="28" w:type="dxa"/>
            </w:tcMar>
          </w:tcPr>
          <w:p w14:paraId="41F69EE2" w14:textId="77777777" w:rsidR="004C1CED" w:rsidRPr="00434E9D" w:rsidRDefault="004C1CED" w:rsidP="004C1CED">
            <w:pPr>
              <w:widowControl/>
              <w:spacing w:before="40" w:after="40"/>
              <w:jc w:val="both"/>
              <w:rPr>
                <w:rFonts w:eastAsia="Calibri"/>
                <w:noProof/>
                <w:sz w:val="22"/>
                <w:szCs w:val="22"/>
                <w:lang w:eastAsia="en-US"/>
              </w:rPr>
            </w:pPr>
            <w:r w:rsidRPr="00434E9D">
              <w:rPr>
                <w:rFonts w:eastAsia="Calibri"/>
                <w:noProof/>
                <w:sz w:val="22"/>
                <w:szCs w:val="22"/>
                <w:lang w:eastAsia="en-US"/>
              </w:rPr>
              <w:t>(50)</w:t>
            </w:r>
          </w:p>
        </w:tc>
        <w:tc>
          <w:tcPr>
            <w:tcW w:w="2286" w:type="dxa"/>
            <w:gridSpan w:val="3"/>
            <w:shd w:val="clear" w:color="auto" w:fill="auto"/>
            <w:tcMar>
              <w:left w:w="28" w:type="dxa"/>
              <w:right w:w="28" w:type="dxa"/>
            </w:tcMar>
          </w:tcPr>
          <w:p w14:paraId="2D3A1BB2"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Bifenthrine</w:t>
            </w:r>
          </w:p>
        </w:tc>
        <w:tc>
          <w:tcPr>
            <w:tcW w:w="1329" w:type="dxa"/>
            <w:gridSpan w:val="3"/>
            <w:shd w:val="clear" w:color="auto" w:fill="auto"/>
            <w:tcMar>
              <w:left w:w="28" w:type="dxa"/>
              <w:right w:w="28" w:type="dxa"/>
            </w:tcMar>
          </w:tcPr>
          <w:p w14:paraId="29453C1B"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Pesticides pyréthrinoïdes</w:t>
            </w:r>
          </w:p>
        </w:tc>
        <w:tc>
          <w:tcPr>
            <w:tcW w:w="992" w:type="dxa"/>
            <w:gridSpan w:val="2"/>
            <w:shd w:val="clear" w:color="auto" w:fill="auto"/>
            <w:tcMar>
              <w:left w:w="28" w:type="dxa"/>
              <w:right w:w="28" w:type="dxa"/>
            </w:tcMar>
          </w:tcPr>
          <w:p w14:paraId="601F9360"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82657-04-3</w:t>
            </w:r>
          </w:p>
        </w:tc>
        <w:tc>
          <w:tcPr>
            <w:tcW w:w="1134" w:type="dxa"/>
          </w:tcPr>
          <w:p w14:paraId="3665B33A"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617-373-6</w:t>
            </w:r>
          </w:p>
        </w:tc>
        <w:tc>
          <w:tcPr>
            <w:tcW w:w="1279" w:type="dxa"/>
            <w:gridSpan w:val="2"/>
            <w:shd w:val="clear" w:color="auto" w:fill="auto"/>
            <w:tcMar>
              <w:left w:w="28" w:type="dxa"/>
              <w:right w:w="28" w:type="dxa"/>
            </w:tcMar>
          </w:tcPr>
          <w:p w14:paraId="76997A61"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9,5 × 10</w:t>
            </w:r>
            <w:r w:rsidRPr="00434E9D">
              <w:rPr>
                <w:rFonts w:eastAsia="Calibri"/>
                <w:noProof/>
                <w:sz w:val="22"/>
                <w:szCs w:val="22"/>
                <w:vertAlign w:val="superscript"/>
                <w:lang w:eastAsia="en-US"/>
              </w:rPr>
              <w:t>-5</w:t>
            </w:r>
          </w:p>
        </w:tc>
        <w:tc>
          <w:tcPr>
            <w:tcW w:w="1279" w:type="dxa"/>
            <w:gridSpan w:val="2"/>
            <w:shd w:val="clear" w:color="auto" w:fill="auto"/>
            <w:tcMar>
              <w:left w:w="28" w:type="dxa"/>
              <w:right w:w="28" w:type="dxa"/>
            </w:tcMar>
          </w:tcPr>
          <w:p w14:paraId="78F8D1EC"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9,5 × 10</w:t>
            </w:r>
            <w:r w:rsidRPr="00434E9D">
              <w:rPr>
                <w:rFonts w:eastAsia="Calibri"/>
                <w:noProof/>
                <w:sz w:val="22"/>
                <w:szCs w:val="22"/>
                <w:vertAlign w:val="superscript"/>
                <w:lang w:eastAsia="en-US"/>
              </w:rPr>
              <w:t>-6</w:t>
            </w:r>
          </w:p>
        </w:tc>
        <w:tc>
          <w:tcPr>
            <w:tcW w:w="1278" w:type="dxa"/>
            <w:gridSpan w:val="2"/>
            <w:shd w:val="clear" w:color="auto" w:fill="auto"/>
            <w:tcMar>
              <w:left w:w="28" w:type="dxa"/>
              <w:right w:w="28" w:type="dxa"/>
            </w:tcMar>
          </w:tcPr>
          <w:p w14:paraId="7C9A4025"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0,011</w:t>
            </w:r>
          </w:p>
        </w:tc>
        <w:tc>
          <w:tcPr>
            <w:tcW w:w="1277" w:type="dxa"/>
            <w:gridSpan w:val="2"/>
            <w:shd w:val="clear" w:color="auto" w:fill="auto"/>
            <w:tcMar>
              <w:left w:w="28" w:type="dxa"/>
              <w:right w:w="28" w:type="dxa"/>
            </w:tcMar>
          </w:tcPr>
          <w:p w14:paraId="449BBD8F"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0,001</w:t>
            </w:r>
          </w:p>
        </w:tc>
        <w:tc>
          <w:tcPr>
            <w:tcW w:w="1136" w:type="dxa"/>
            <w:gridSpan w:val="2"/>
            <w:shd w:val="clear" w:color="auto" w:fill="auto"/>
            <w:tcMar>
              <w:left w:w="28" w:type="dxa"/>
              <w:right w:w="28" w:type="dxa"/>
            </w:tcMar>
          </w:tcPr>
          <w:p w14:paraId="25C3E301" w14:textId="77777777" w:rsidR="004C1CED" w:rsidRPr="00434E9D" w:rsidRDefault="004C1CED" w:rsidP="004C1CED">
            <w:pPr>
              <w:widowControl/>
              <w:spacing w:before="40" w:after="40"/>
              <w:rPr>
                <w:rFonts w:eastAsia="Calibri"/>
                <w:noProof/>
                <w:sz w:val="22"/>
                <w:szCs w:val="22"/>
                <w:lang w:eastAsia="en-US"/>
              </w:rPr>
            </w:pPr>
          </w:p>
        </w:tc>
        <w:tc>
          <w:tcPr>
            <w:tcW w:w="1262" w:type="dxa"/>
            <w:gridSpan w:val="2"/>
            <w:tcMar>
              <w:left w:w="28" w:type="dxa"/>
              <w:right w:w="28" w:type="dxa"/>
            </w:tcMar>
          </w:tcPr>
          <w:p w14:paraId="66E85ED9" w14:textId="77777777" w:rsidR="004C1CED" w:rsidRPr="00434E9D" w:rsidRDefault="004C1CED" w:rsidP="004C1CED">
            <w:pPr>
              <w:widowControl/>
              <w:spacing w:before="40" w:after="40"/>
              <w:rPr>
                <w:rFonts w:eastAsia="Calibri"/>
                <w:noProof/>
                <w:sz w:val="22"/>
                <w:szCs w:val="22"/>
                <w:lang w:eastAsia="en-US"/>
              </w:rPr>
            </w:pPr>
          </w:p>
        </w:tc>
        <w:tc>
          <w:tcPr>
            <w:tcW w:w="1153" w:type="dxa"/>
            <w:gridSpan w:val="2"/>
            <w:tcMar>
              <w:left w:w="28" w:type="dxa"/>
              <w:right w:w="28" w:type="dxa"/>
            </w:tcMar>
          </w:tcPr>
          <w:p w14:paraId="7B8BA197" w14:textId="77777777" w:rsidR="004C1CED" w:rsidRPr="00434E9D" w:rsidRDefault="004C1CED" w:rsidP="004C1CED">
            <w:pPr>
              <w:widowControl/>
              <w:spacing w:before="40" w:after="40"/>
              <w:rPr>
                <w:rFonts w:eastAsia="Calibri"/>
                <w:noProof/>
                <w:sz w:val="22"/>
                <w:szCs w:val="22"/>
                <w:lang w:eastAsia="en-US"/>
              </w:rPr>
            </w:pPr>
          </w:p>
        </w:tc>
        <w:tc>
          <w:tcPr>
            <w:tcW w:w="970" w:type="dxa"/>
            <w:tcMar>
              <w:left w:w="28" w:type="dxa"/>
              <w:right w:w="28" w:type="dxa"/>
            </w:tcMar>
          </w:tcPr>
          <w:p w14:paraId="36C31A3D"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X</w:t>
            </w:r>
          </w:p>
        </w:tc>
      </w:tr>
      <w:tr w:rsidR="004C1CED" w:rsidRPr="00434E9D" w14:paraId="4D21C482" w14:textId="77777777" w:rsidTr="00B12A07">
        <w:trPr>
          <w:gridBefore w:val="1"/>
          <w:wBefore w:w="17" w:type="dxa"/>
          <w:cantSplit/>
          <w:tblHeader/>
          <w:jc w:val="center"/>
        </w:trPr>
        <w:tc>
          <w:tcPr>
            <w:tcW w:w="651" w:type="dxa"/>
            <w:gridSpan w:val="3"/>
            <w:tcMar>
              <w:left w:w="28" w:type="dxa"/>
              <w:right w:w="28" w:type="dxa"/>
            </w:tcMar>
          </w:tcPr>
          <w:p w14:paraId="2262213B" w14:textId="77777777" w:rsidR="004C1CED" w:rsidRPr="00434E9D" w:rsidRDefault="004C1CED" w:rsidP="004C1CED">
            <w:pPr>
              <w:keepNext/>
              <w:widowControl/>
              <w:spacing w:before="40" w:after="40"/>
              <w:jc w:val="both"/>
              <w:rPr>
                <w:rFonts w:eastAsia="Calibri"/>
                <w:noProof/>
                <w:sz w:val="22"/>
                <w:szCs w:val="22"/>
                <w:lang w:eastAsia="en-US"/>
              </w:rPr>
            </w:pPr>
            <w:r w:rsidRPr="00434E9D">
              <w:rPr>
                <w:rFonts w:eastAsia="Calibri"/>
                <w:noProof/>
                <w:sz w:val="22"/>
                <w:szCs w:val="22"/>
                <w:lang w:eastAsia="en-US"/>
              </w:rPr>
              <w:t>(51)</w:t>
            </w:r>
          </w:p>
        </w:tc>
        <w:tc>
          <w:tcPr>
            <w:tcW w:w="2286" w:type="dxa"/>
            <w:gridSpan w:val="3"/>
            <w:shd w:val="clear" w:color="auto" w:fill="auto"/>
            <w:tcMar>
              <w:left w:w="28" w:type="dxa"/>
              <w:right w:w="28" w:type="dxa"/>
            </w:tcMar>
          </w:tcPr>
          <w:p w14:paraId="29A18FB4" w14:textId="77777777" w:rsidR="004C1CED" w:rsidRPr="00434E9D" w:rsidRDefault="004C1CED" w:rsidP="004C1CED">
            <w:pPr>
              <w:keepNext/>
              <w:widowControl/>
              <w:spacing w:before="40" w:after="40"/>
              <w:rPr>
                <w:rFonts w:eastAsia="Calibri"/>
                <w:noProof/>
                <w:sz w:val="22"/>
                <w:szCs w:val="22"/>
                <w:lang w:eastAsia="en-US"/>
              </w:rPr>
            </w:pPr>
            <w:r w:rsidRPr="00434E9D">
              <w:rPr>
                <w:rFonts w:eastAsia="Calibri"/>
                <w:noProof/>
                <w:sz w:val="22"/>
                <w:szCs w:val="22"/>
                <w:lang w:eastAsia="en-US"/>
              </w:rPr>
              <w:t>Bisphénol A (BPA)</w:t>
            </w:r>
          </w:p>
        </w:tc>
        <w:tc>
          <w:tcPr>
            <w:tcW w:w="1329" w:type="dxa"/>
            <w:gridSpan w:val="3"/>
            <w:shd w:val="clear" w:color="auto" w:fill="auto"/>
            <w:tcMar>
              <w:left w:w="28" w:type="dxa"/>
              <w:right w:w="28" w:type="dxa"/>
            </w:tcMar>
          </w:tcPr>
          <w:p w14:paraId="3612B9DE" w14:textId="77777777" w:rsidR="004C1CED" w:rsidRPr="00434E9D" w:rsidRDefault="004C1CED" w:rsidP="004C1CED">
            <w:pPr>
              <w:keepNext/>
              <w:widowControl/>
              <w:spacing w:before="40" w:after="40"/>
              <w:rPr>
                <w:rFonts w:eastAsia="Calibri"/>
                <w:noProof/>
                <w:sz w:val="22"/>
                <w:szCs w:val="22"/>
                <w:lang w:eastAsia="en-US"/>
              </w:rPr>
            </w:pPr>
            <w:r w:rsidRPr="00434E9D">
              <w:rPr>
                <w:rFonts w:eastAsia="Calibri"/>
                <w:noProof/>
                <w:sz w:val="22"/>
                <w:szCs w:val="22"/>
                <w:lang w:eastAsia="en-US"/>
              </w:rPr>
              <w:t>Substances industrielles</w:t>
            </w:r>
          </w:p>
        </w:tc>
        <w:tc>
          <w:tcPr>
            <w:tcW w:w="992" w:type="dxa"/>
            <w:gridSpan w:val="2"/>
            <w:shd w:val="clear" w:color="auto" w:fill="auto"/>
            <w:tcMar>
              <w:left w:w="28" w:type="dxa"/>
              <w:right w:w="28" w:type="dxa"/>
            </w:tcMar>
          </w:tcPr>
          <w:p w14:paraId="07714C73" w14:textId="77777777" w:rsidR="004C1CED" w:rsidRPr="00434E9D" w:rsidRDefault="004C1CED" w:rsidP="004C1CED">
            <w:pPr>
              <w:keepNext/>
              <w:widowControl/>
              <w:spacing w:before="40" w:after="40"/>
              <w:rPr>
                <w:rFonts w:eastAsia="Calibri"/>
                <w:noProof/>
                <w:sz w:val="22"/>
                <w:szCs w:val="22"/>
                <w:lang w:eastAsia="en-US"/>
              </w:rPr>
            </w:pPr>
            <w:r w:rsidRPr="00434E9D">
              <w:rPr>
                <w:rFonts w:eastAsia="Calibri"/>
                <w:noProof/>
                <w:sz w:val="22"/>
                <w:szCs w:val="22"/>
                <w:lang w:eastAsia="en-US"/>
              </w:rPr>
              <w:t>80-05-7</w:t>
            </w:r>
          </w:p>
        </w:tc>
        <w:tc>
          <w:tcPr>
            <w:tcW w:w="1134" w:type="dxa"/>
          </w:tcPr>
          <w:p w14:paraId="208E803E" w14:textId="77777777" w:rsidR="004C1CED" w:rsidRPr="00434E9D" w:rsidDel="00E110E0" w:rsidRDefault="004C1CED" w:rsidP="004C1CED">
            <w:pPr>
              <w:keepNext/>
              <w:widowControl/>
              <w:spacing w:before="40" w:after="40"/>
              <w:rPr>
                <w:rFonts w:eastAsia="Calibri"/>
                <w:noProof/>
                <w:sz w:val="22"/>
                <w:szCs w:val="22"/>
                <w:lang w:eastAsia="en-US"/>
              </w:rPr>
            </w:pPr>
            <w:r w:rsidRPr="00434E9D">
              <w:rPr>
                <w:rFonts w:eastAsia="Calibri"/>
                <w:noProof/>
                <w:sz w:val="22"/>
                <w:szCs w:val="22"/>
                <w:lang w:eastAsia="en-US"/>
              </w:rPr>
              <w:t>201-245-8</w:t>
            </w:r>
          </w:p>
        </w:tc>
        <w:tc>
          <w:tcPr>
            <w:tcW w:w="1279" w:type="dxa"/>
            <w:gridSpan w:val="2"/>
            <w:shd w:val="clear" w:color="auto" w:fill="auto"/>
            <w:tcMar>
              <w:left w:w="28" w:type="dxa"/>
              <w:right w:w="28" w:type="dxa"/>
            </w:tcMar>
          </w:tcPr>
          <w:p w14:paraId="15DA814D" w14:textId="77777777" w:rsidR="004C1CED" w:rsidRPr="00434E9D" w:rsidRDefault="004C1CED" w:rsidP="004C1CED">
            <w:pPr>
              <w:keepNext/>
              <w:widowControl/>
              <w:spacing w:before="40" w:after="40"/>
              <w:rPr>
                <w:rFonts w:eastAsia="Calibri"/>
                <w:noProof/>
                <w:sz w:val="22"/>
                <w:szCs w:val="22"/>
                <w:lang w:eastAsia="en-US"/>
              </w:rPr>
            </w:pPr>
            <w:r w:rsidRPr="00434E9D">
              <w:rPr>
                <w:rFonts w:eastAsia="Calibri"/>
                <w:noProof/>
                <w:sz w:val="22"/>
                <w:szCs w:val="22"/>
                <w:lang w:eastAsia="en-US"/>
              </w:rPr>
              <w:t>3,4 × 10</w:t>
            </w:r>
            <w:r w:rsidRPr="00434E9D">
              <w:rPr>
                <w:rFonts w:eastAsia="Calibri"/>
                <w:noProof/>
                <w:sz w:val="22"/>
                <w:szCs w:val="22"/>
                <w:vertAlign w:val="superscript"/>
                <w:lang w:eastAsia="en-US"/>
              </w:rPr>
              <w:t>-5</w:t>
            </w:r>
            <w:r w:rsidRPr="00434E9D">
              <w:rPr>
                <w:rFonts w:eastAsia="Calibri"/>
                <w:noProof/>
                <w:sz w:val="22"/>
                <w:szCs w:val="22"/>
                <w:lang w:eastAsia="en-US"/>
              </w:rPr>
              <w:t xml:space="preserve"> </w:t>
            </w:r>
          </w:p>
        </w:tc>
        <w:tc>
          <w:tcPr>
            <w:tcW w:w="1279" w:type="dxa"/>
            <w:gridSpan w:val="2"/>
            <w:shd w:val="clear" w:color="auto" w:fill="auto"/>
            <w:tcMar>
              <w:left w:w="28" w:type="dxa"/>
              <w:right w:w="28" w:type="dxa"/>
            </w:tcMar>
          </w:tcPr>
          <w:p w14:paraId="7A9F11FA" w14:textId="77777777" w:rsidR="004C1CED" w:rsidRPr="00434E9D" w:rsidRDefault="004C1CED" w:rsidP="004C1CED">
            <w:pPr>
              <w:keepNext/>
              <w:widowControl/>
              <w:spacing w:before="40" w:after="40"/>
              <w:rPr>
                <w:rFonts w:eastAsia="Calibri"/>
                <w:noProof/>
                <w:sz w:val="22"/>
                <w:szCs w:val="22"/>
                <w:lang w:eastAsia="en-US"/>
              </w:rPr>
            </w:pPr>
            <w:r w:rsidRPr="00434E9D">
              <w:rPr>
                <w:rFonts w:eastAsia="Calibri"/>
                <w:noProof/>
                <w:sz w:val="22"/>
                <w:szCs w:val="22"/>
                <w:lang w:eastAsia="en-US"/>
              </w:rPr>
              <w:t>3,4 × 10</w:t>
            </w:r>
            <w:r w:rsidRPr="00434E9D">
              <w:rPr>
                <w:rFonts w:eastAsia="Calibri"/>
                <w:noProof/>
                <w:sz w:val="22"/>
                <w:szCs w:val="22"/>
                <w:vertAlign w:val="superscript"/>
                <w:lang w:eastAsia="en-US"/>
              </w:rPr>
              <w:t>-5</w:t>
            </w:r>
            <w:r w:rsidRPr="00434E9D">
              <w:rPr>
                <w:rFonts w:eastAsia="Calibri"/>
                <w:noProof/>
                <w:sz w:val="22"/>
                <w:szCs w:val="22"/>
                <w:lang w:eastAsia="en-US"/>
              </w:rPr>
              <w:t xml:space="preserve"> </w:t>
            </w:r>
          </w:p>
        </w:tc>
        <w:tc>
          <w:tcPr>
            <w:tcW w:w="1278" w:type="dxa"/>
            <w:gridSpan w:val="2"/>
            <w:shd w:val="clear" w:color="auto" w:fill="auto"/>
            <w:tcMar>
              <w:left w:w="28" w:type="dxa"/>
              <w:right w:w="28" w:type="dxa"/>
            </w:tcMar>
          </w:tcPr>
          <w:p w14:paraId="4381AE10" w14:textId="77777777" w:rsidR="004C1CED" w:rsidRPr="00434E9D" w:rsidRDefault="004C1CED" w:rsidP="004C1CED">
            <w:pPr>
              <w:keepNext/>
              <w:widowControl/>
              <w:spacing w:before="40" w:after="40"/>
              <w:rPr>
                <w:rFonts w:eastAsia="Calibri"/>
                <w:noProof/>
                <w:sz w:val="22"/>
                <w:szCs w:val="22"/>
                <w:lang w:eastAsia="en-US"/>
              </w:rPr>
            </w:pPr>
            <w:r w:rsidRPr="00434E9D">
              <w:rPr>
                <w:rFonts w:eastAsia="Calibri"/>
                <w:noProof/>
                <w:sz w:val="22"/>
                <w:szCs w:val="22"/>
                <w:lang w:eastAsia="en-US"/>
              </w:rPr>
              <w:t>130</w:t>
            </w:r>
          </w:p>
        </w:tc>
        <w:tc>
          <w:tcPr>
            <w:tcW w:w="1277" w:type="dxa"/>
            <w:gridSpan w:val="2"/>
            <w:shd w:val="clear" w:color="auto" w:fill="auto"/>
            <w:tcMar>
              <w:left w:w="28" w:type="dxa"/>
              <w:right w:w="28" w:type="dxa"/>
            </w:tcMar>
          </w:tcPr>
          <w:p w14:paraId="60FF7A98" w14:textId="77777777" w:rsidR="004C1CED" w:rsidRPr="00434E9D" w:rsidRDefault="004C1CED" w:rsidP="004C1CED">
            <w:pPr>
              <w:keepNext/>
              <w:widowControl/>
              <w:spacing w:before="40" w:after="40"/>
              <w:rPr>
                <w:rFonts w:eastAsia="Calibri"/>
                <w:noProof/>
                <w:sz w:val="22"/>
                <w:szCs w:val="22"/>
                <w:lang w:eastAsia="en-US"/>
              </w:rPr>
            </w:pPr>
            <w:r w:rsidRPr="00434E9D">
              <w:rPr>
                <w:rFonts w:eastAsia="Calibri"/>
                <w:noProof/>
                <w:sz w:val="22"/>
                <w:szCs w:val="22"/>
                <w:lang w:eastAsia="en-US"/>
              </w:rPr>
              <w:t>51</w:t>
            </w:r>
          </w:p>
        </w:tc>
        <w:tc>
          <w:tcPr>
            <w:tcW w:w="1136" w:type="dxa"/>
            <w:gridSpan w:val="2"/>
            <w:shd w:val="clear" w:color="auto" w:fill="auto"/>
            <w:tcMar>
              <w:left w:w="28" w:type="dxa"/>
              <w:right w:w="28" w:type="dxa"/>
            </w:tcMar>
          </w:tcPr>
          <w:p w14:paraId="440F10CE" w14:textId="77777777" w:rsidR="004C1CED" w:rsidRPr="00434E9D" w:rsidRDefault="004C1CED" w:rsidP="004C1CED">
            <w:pPr>
              <w:keepNext/>
              <w:widowControl/>
              <w:spacing w:before="40" w:after="40"/>
              <w:rPr>
                <w:rFonts w:eastAsia="Calibri"/>
                <w:noProof/>
                <w:sz w:val="22"/>
                <w:szCs w:val="22"/>
                <w:lang w:eastAsia="en-US"/>
              </w:rPr>
            </w:pPr>
            <w:r w:rsidRPr="00434E9D">
              <w:rPr>
                <w:rFonts w:eastAsia="Calibri"/>
                <w:noProof/>
                <w:sz w:val="22"/>
                <w:szCs w:val="22"/>
                <w:lang w:eastAsia="en-US"/>
              </w:rPr>
              <w:t>0,005</w:t>
            </w:r>
          </w:p>
        </w:tc>
        <w:tc>
          <w:tcPr>
            <w:tcW w:w="1262" w:type="dxa"/>
            <w:gridSpan w:val="2"/>
            <w:tcMar>
              <w:left w:w="28" w:type="dxa"/>
              <w:right w:w="28" w:type="dxa"/>
            </w:tcMar>
          </w:tcPr>
          <w:p w14:paraId="110484C8" w14:textId="77777777" w:rsidR="004C1CED" w:rsidRPr="00434E9D" w:rsidRDefault="004C1CED" w:rsidP="004C1CED">
            <w:pPr>
              <w:keepNext/>
              <w:widowControl/>
              <w:spacing w:before="40" w:after="40"/>
              <w:rPr>
                <w:rFonts w:eastAsia="Calibri"/>
                <w:noProof/>
                <w:sz w:val="22"/>
                <w:szCs w:val="22"/>
                <w:lang w:eastAsia="en-US"/>
              </w:rPr>
            </w:pPr>
            <w:r w:rsidRPr="00434E9D">
              <w:rPr>
                <w:rFonts w:eastAsia="Calibri"/>
                <w:noProof/>
                <w:sz w:val="22"/>
                <w:szCs w:val="22"/>
                <w:lang w:eastAsia="en-US"/>
              </w:rPr>
              <w:t>X</w:t>
            </w:r>
          </w:p>
        </w:tc>
        <w:tc>
          <w:tcPr>
            <w:tcW w:w="1153" w:type="dxa"/>
            <w:gridSpan w:val="2"/>
            <w:tcMar>
              <w:left w:w="28" w:type="dxa"/>
              <w:right w:w="28" w:type="dxa"/>
            </w:tcMar>
          </w:tcPr>
          <w:p w14:paraId="7566AD3E" w14:textId="77777777" w:rsidR="004C1CED" w:rsidRPr="00434E9D" w:rsidRDefault="004C1CED" w:rsidP="004C1CED">
            <w:pPr>
              <w:keepNext/>
              <w:widowControl/>
              <w:spacing w:before="40" w:after="40"/>
              <w:rPr>
                <w:rFonts w:eastAsia="Calibri"/>
                <w:noProof/>
                <w:sz w:val="22"/>
                <w:szCs w:val="22"/>
                <w:lang w:eastAsia="en-US"/>
              </w:rPr>
            </w:pPr>
          </w:p>
        </w:tc>
        <w:tc>
          <w:tcPr>
            <w:tcW w:w="970" w:type="dxa"/>
            <w:tcMar>
              <w:left w:w="28" w:type="dxa"/>
              <w:right w:w="28" w:type="dxa"/>
            </w:tcMar>
          </w:tcPr>
          <w:p w14:paraId="7F111363" w14:textId="77777777" w:rsidR="004C1CED" w:rsidRPr="00434E9D" w:rsidRDefault="004C1CED" w:rsidP="004C1CED">
            <w:pPr>
              <w:keepNext/>
              <w:widowControl/>
              <w:spacing w:before="40" w:after="40"/>
              <w:rPr>
                <w:rFonts w:eastAsia="Calibri"/>
                <w:noProof/>
                <w:sz w:val="22"/>
                <w:szCs w:val="22"/>
                <w:lang w:eastAsia="en-US"/>
              </w:rPr>
            </w:pPr>
          </w:p>
        </w:tc>
      </w:tr>
      <w:tr w:rsidR="004C1CED" w:rsidRPr="00434E9D" w14:paraId="35AAA256" w14:textId="77777777" w:rsidTr="00B12A07">
        <w:trPr>
          <w:gridBefore w:val="1"/>
          <w:wBefore w:w="17" w:type="dxa"/>
          <w:cantSplit/>
          <w:tblHeader/>
          <w:jc w:val="center"/>
        </w:trPr>
        <w:tc>
          <w:tcPr>
            <w:tcW w:w="651" w:type="dxa"/>
            <w:gridSpan w:val="3"/>
            <w:tcMar>
              <w:left w:w="28" w:type="dxa"/>
              <w:right w:w="28" w:type="dxa"/>
            </w:tcMar>
          </w:tcPr>
          <w:p w14:paraId="237C9FB2" w14:textId="77777777" w:rsidR="004C1CED" w:rsidRPr="00434E9D" w:rsidRDefault="004C1CED" w:rsidP="004C1CED">
            <w:pPr>
              <w:widowControl/>
              <w:spacing w:before="40" w:after="40"/>
              <w:jc w:val="both"/>
              <w:rPr>
                <w:rFonts w:eastAsia="Calibri"/>
                <w:noProof/>
                <w:sz w:val="22"/>
                <w:szCs w:val="22"/>
                <w:lang w:eastAsia="en-US"/>
              </w:rPr>
            </w:pPr>
            <w:r w:rsidRPr="00434E9D">
              <w:rPr>
                <w:rFonts w:eastAsia="Calibri"/>
                <w:noProof/>
                <w:sz w:val="22"/>
                <w:szCs w:val="22"/>
                <w:lang w:eastAsia="en-US"/>
              </w:rPr>
              <w:t>(52)</w:t>
            </w:r>
          </w:p>
        </w:tc>
        <w:tc>
          <w:tcPr>
            <w:tcW w:w="2286" w:type="dxa"/>
            <w:gridSpan w:val="3"/>
            <w:shd w:val="clear" w:color="auto" w:fill="auto"/>
            <w:tcMar>
              <w:left w:w="28" w:type="dxa"/>
              <w:right w:w="28" w:type="dxa"/>
            </w:tcMar>
          </w:tcPr>
          <w:p w14:paraId="7F073BCA"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Carbamazépine</w:t>
            </w:r>
          </w:p>
        </w:tc>
        <w:tc>
          <w:tcPr>
            <w:tcW w:w="1329" w:type="dxa"/>
            <w:gridSpan w:val="3"/>
            <w:shd w:val="clear" w:color="auto" w:fill="auto"/>
            <w:tcMar>
              <w:left w:w="28" w:type="dxa"/>
              <w:right w:w="28" w:type="dxa"/>
            </w:tcMar>
          </w:tcPr>
          <w:p w14:paraId="538DA333"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Produits pharmaceutiques</w:t>
            </w:r>
          </w:p>
        </w:tc>
        <w:tc>
          <w:tcPr>
            <w:tcW w:w="992" w:type="dxa"/>
            <w:gridSpan w:val="2"/>
            <w:shd w:val="clear" w:color="auto" w:fill="auto"/>
            <w:tcMar>
              <w:left w:w="28" w:type="dxa"/>
              <w:right w:w="28" w:type="dxa"/>
            </w:tcMar>
          </w:tcPr>
          <w:p w14:paraId="7BBACE3D"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298-46-4</w:t>
            </w:r>
          </w:p>
        </w:tc>
        <w:tc>
          <w:tcPr>
            <w:tcW w:w="1134" w:type="dxa"/>
          </w:tcPr>
          <w:p w14:paraId="4886FDE2" w14:textId="77777777" w:rsidR="004C1CED" w:rsidRPr="00434E9D" w:rsidDel="00F376D5"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206-062-7</w:t>
            </w:r>
          </w:p>
        </w:tc>
        <w:tc>
          <w:tcPr>
            <w:tcW w:w="1279" w:type="dxa"/>
            <w:gridSpan w:val="2"/>
            <w:shd w:val="clear" w:color="auto" w:fill="auto"/>
            <w:tcMar>
              <w:left w:w="28" w:type="dxa"/>
              <w:right w:w="28" w:type="dxa"/>
            </w:tcMar>
          </w:tcPr>
          <w:p w14:paraId="7DC6AD86"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2,5</w:t>
            </w:r>
          </w:p>
        </w:tc>
        <w:tc>
          <w:tcPr>
            <w:tcW w:w="1279" w:type="dxa"/>
            <w:gridSpan w:val="2"/>
            <w:shd w:val="clear" w:color="auto" w:fill="auto"/>
            <w:tcMar>
              <w:left w:w="28" w:type="dxa"/>
              <w:right w:w="28" w:type="dxa"/>
            </w:tcMar>
          </w:tcPr>
          <w:p w14:paraId="49FBF97F"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0,25</w:t>
            </w:r>
          </w:p>
        </w:tc>
        <w:tc>
          <w:tcPr>
            <w:tcW w:w="1278" w:type="dxa"/>
            <w:gridSpan w:val="2"/>
            <w:shd w:val="clear" w:color="auto" w:fill="auto"/>
            <w:tcMar>
              <w:left w:w="28" w:type="dxa"/>
              <w:right w:w="28" w:type="dxa"/>
            </w:tcMar>
          </w:tcPr>
          <w:p w14:paraId="629F54E0"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1,6 × 10</w:t>
            </w:r>
            <w:r w:rsidRPr="00434E9D">
              <w:rPr>
                <w:rFonts w:eastAsia="Calibri"/>
                <w:noProof/>
                <w:sz w:val="22"/>
                <w:szCs w:val="22"/>
                <w:vertAlign w:val="superscript"/>
                <w:lang w:eastAsia="en-US"/>
              </w:rPr>
              <w:t>3</w:t>
            </w:r>
          </w:p>
        </w:tc>
        <w:tc>
          <w:tcPr>
            <w:tcW w:w="1277" w:type="dxa"/>
            <w:gridSpan w:val="2"/>
            <w:shd w:val="clear" w:color="auto" w:fill="auto"/>
            <w:tcMar>
              <w:left w:w="28" w:type="dxa"/>
              <w:right w:w="28" w:type="dxa"/>
            </w:tcMar>
          </w:tcPr>
          <w:p w14:paraId="15880A1E"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160</w:t>
            </w:r>
          </w:p>
        </w:tc>
        <w:tc>
          <w:tcPr>
            <w:tcW w:w="1136" w:type="dxa"/>
            <w:gridSpan w:val="2"/>
            <w:shd w:val="clear" w:color="auto" w:fill="auto"/>
            <w:tcMar>
              <w:left w:w="28" w:type="dxa"/>
              <w:right w:w="28" w:type="dxa"/>
            </w:tcMar>
          </w:tcPr>
          <w:p w14:paraId="1EF8D43A" w14:textId="77777777" w:rsidR="004C1CED" w:rsidRPr="00434E9D" w:rsidRDefault="004C1CED" w:rsidP="004C1CED">
            <w:pPr>
              <w:widowControl/>
              <w:spacing w:before="40" w:after="40"/>
              <w:rPr>
                <w:rFonts w:eastAsia="Calibri"/>
                <w:noProof/>
                <w:sz w:val="22"/>
                <w:szCs w:val="22"/>
                <w:lang w:eastAsia="en-US"/>
              </w:rPr>
            </w:pPr>
          </w:p>
        </w:tc>
        <w:tc>
          <w:tcPr>
            <w:tcW w:w="1262" w:type="dxa"/>
            <w:gridSpan w:val="2"/>
            <w:tcMar>
              <w:left w:w="28" w:type="dxa"/>
              <w:right w:w="28" w:type="dxa"/>
            </w:tcMar>
          </w:tcPr>
          <w:p w14:paraId="4AF278CE" w14:textId="77777777" w:rsidR="004C1CED" w:rsidRPr="00434E9D" w:rsidRDefault="004C1CED" w:rsidP="004C1CED">
            <w:pPr>
              <w:widowControl/>
              <w:spacing w:before="40" w:after="40"/>
              <w:rPr>
                <w:rFonts w:eastAsia="Calibri"/>
                <w:noProof/>
                <w:sz w:val="22"/>
                <w:szCs w:val="22"/>
                <w:lang w:eastAsia="en-US"/>
              </w:rPr>
            </w:pPr>
          </w:p>
        </w:tc>
        <w:tc>
          <w:tcPr>
            <w:tcW w:w="1153" w:type="dxa"/>
            <w:gridSpan w:val="2"/>
            <w:tcMar>
              <w:left w:w="28" w:type="dxa"/>
              <w:right w:w="28" w:type="dxa"/>
            </w:tcMar>
          </w:tcPr>
          <w:p w14:paraId="53115877" w14:textId="77777777" w:rsidR="004C1CED" w:rsidRPr="00434E9D" w:rsidRDefault="004C1CED" w:rsidP="004C1CED">
            <w:pPr>
              <w:widowControl/>
              <w:spacing w:before="40" w:after="40"/>
              <w:rPr>
                <w:rFonts w:eastAsia="Calibri"/>
                <w:noProof/>
                <w:sz w:val="22"/>
                <w:szCs w:val="22"/>
                <w:lang w:eastAsia="en-US"/>
              </w:rPr>
            </w:pPr>
          </w:p>
        </w:tc>
        <w:tc>
          <w:tcPr>
            <w:tcW w:w="970" w:type="dxa"/>
            <w:tcMar>
              <w:left w:w="28" w:type="dxa"/>
              <w:right w:w="28" w:type="dxa"/>
            </w:tcMar>
          </w:tcPr>
          <w:p w14:paraId="5B7BC111" w14:textId="77777777" w:rsidR="004C1CED" w:rsidRPr="00434E9D" w:rsidRDefault="004C1CED" w:rsidP="004C1CED">
            <w:pPr>
              <w:widowControl/>
              <w:spacing w:before="40" w:after="40"/>
              <w:rPr>
                <w:rFonts w:eastAsia="Calibri"/>
                <w:noProof/>
                <w:sz w:val="22"/>
                <w:szCs w:val="22"/>
                <w:lang w:eastAsia="en-US"/>
              </w:rPr>
            </w:pPr>
          </w:p>
        </w:tc>
      </w:tr>
      <w:tr w:rsidR="004C1CED" w:rsidRPr="00434E9D" w14:paraId="32317934" w14:textId="77777777" w:rsidTr="00B12A07">
        <w:trPr>
          <w:gridBefore w:val="1"/>
          <w:wBefore w:w="17" w:type="dxa"/>
          <w:cantSplit/>
          <w:tblHeader/>
          <w:jc w:val="center"/>
        </w:trPr>
        <w:tc>
          <w:tcPr>
            <w:tcW w:w="651" w:type="dxa"/>
            <w:gridSpan w:val="3"/>
            <w:tcMar>
              <w:left w:w="28" w:type="dxa"/>
              <w:right w:w="28" w:type="dxa"/>
            </w:tcMar>
          </w:tcPr>
          <w:p w14:paraId="6E228C10" w14:textId="77777777" w:rsidR="004C1CED" w:rsidRPr="00434E9D" w:rsidRDefault="004C1CED" w:rsidP="004C1CED">
            <w:pPr>
              <w:widowControl/>
              <w:spacing w:before="40" w:after="40"/>
              <w:jc w:val="both"/>
              <w:rPr>
                <w:rFonts w:eastAsia="Calibri"/>
                <w:noProof/>
                <w:sz w:val="22"/>
                <w:szCs w:val="22"/>
                <w:lang w:eastAsia="en-US"/>
              </w:rPr>
            </w:pPr>
            <w:r w:rsidRPr="00434E9D">
              <w:rPr>
                <w:rFonts w:eastAsia="Calibri"/>
                <w:noProof/>
                <w:sz w:val="22"/>
                <w:szCs w:val="22"/>
                <w:lang w:eastAsia="en-US"/>
              </w:rPr>
              <w:lastRenderedPageBreak/>
              <w:t>(53)</w:t>
            </w:r>
          </w:p>
        </w:tc>
        <w:tc>
          <w:tcPr>
            <w:tcW w:w="2286" w:type="dxa"/>
            <w:gridSpan w:val="3"/>
            <w:shd w:val="clear" w:color="auto" w:fill="auto"/>
            <w:tcMar>
              <w:left w:w="28" w:type="dxa"/>
              <w:right w:w="28" w:type="dxa"/>
            </w:tcMar>
          </w:tcPr>
          <w:p w14:paraId="3E644550"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Clarithromycine</w:t>
            </w:r>
          </w:p>
        </w:tc>
        <w:tc>
          <w:tcPr>
            <w:tcW w:w="1329" w:type="dxa"/>
            <w:gridSpan w:val="3"/>
            <w:shd w:val="clear" w:color="auto" w:fill="auto"/>
            <w:tcMar>
              <w:left w:w="28" w:type="dxa"/>
              <w:right w:w="28" w:type="dxa"/>
            </w:tcMar>
          </w:tcPr>
          <w:p w14:paraId="27C3DF83"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Produits pharmaceutiques (antibiotiques macrolides)</w:t>
            </w:r>
          </w:p>
        </w:tc>
        <w:tc>
          <w:tcPr>
            <w:tcW w:w="992" w:type="dxa"/>
            <w:gridSpan w:val="2"/>
            <w:shd w:val="clear" w:color="auto" w:fill="auto"/>
            <w:tcMar>
              <w:left w:w="28" w:type="dxa"/>
              <w:right w:w="28" w:type="dxa"/>
            </w:tcMar>
          </w:tcPr>
          <w:p w14:paraId="20626914"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81103-11-9</w:t>
            </w:r>
          </w:p>
        </w:tc>
        <w:tc>
          <w:tcPr>
            <w:tcW w:w="1134" w:type="dxa"/>
          </w:tcPr>
          <w:p w14:paraId="7A65D87D"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658-034-2</w:t>
            </w:r>
          </w:p>
        </w:tc>
        <w:tc>
          <w:tcPr>
            <w:tcW w:w="1279" w:type="dxa"/>
            <w:gridSpan w:val="2"/>
            <w:shd w:val="clear" w:color="auto" w:fill="auto"/>
            <w:tcMar>
              <w:left w:w="28" w:type="dxa"/>
              <w:right w:w="28" w:type="dxa"/>
            </w:tcMar>
          </w:tcPr>
          <w:p w14:paraId="302F2467"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0,13</w:t>
            </w:r>
          </w:p>
        </w:tc>
        <w:tc>
          <w:tcPr>
            <w:tcW w:w="1279" w:type="dxa"/>
            <w:gridSpan w:val="2"/>
            <w:shd w:val="clear" w:color="auto" w:fill="auto"/>
            <w:tcMar>
              <w:left w:w="28" w:type="dxa"/>
              <w:right w:w="28" w:type="dxa"/>
            </w:tcMar>
          </w:tcPr>
          <w:p w14:paraId="1B9459F6"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0,013</w:t>
            </w:r>
          </w:p>
        </w:tc>
        <w:tc>
          <w:tcPr>
            <w:tcW w:w="1278" w:type="dxa"/>
            <w:gridSpan w:val="2"/>
            <w:shd w:val="clear" w:color="auto" w:fill="auto"/>
            <w:tcMar>
              <w:left w:w="28" w:type="dxa"/>
              <w:right w:w="28" w:type="dxa"/>
            </w:tcMar>
          </w:tcPr>
          <w:p w14:paraId="254C0457"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0,13</w:t>
            </w:r>
          </w:p>
        </w:tc>
        <w:tc>
          <w:tcPr>
            <w:tcW w:w="1277" w:type="dxa"/>
            <w:gridSpan w:val="2"/>
            <w:shd w:val="clear" w:color="auto" w:fill="auto"/>
            <w:tcMar>
              <w:left w:w="28" w:type="dxa"/>
              <w:right w:w="28" w:type="dxa"/>
            </w:tcMar>
          </w:tcPr>
          <w:p w14:paraId="704F4C81"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0,013</w:t>
            </w:r>
          </w:p>
        </w:tc>
        <w:tc>
          <w:tcPr>
            <w:tcW w:w="1136" w:type="dxa"/>
            <w:gridSpan w:val="2"/>
            <w:shd w:val="clear" w:color="auto" w:fill="auto"/>
            <w:tcMar>
              <w:left w:w="28" w:type="dxa"/>
              <w:right w:w="28" w:type="dxa"/>
            </w:tcMar>
          </w:tcPr>
          <w:p w14:paraId="2D36D4F8" w14:textId="77777777" w:rsidR="004C1CED" w:rsidRPr="00434E9D" w:rsidRDefault="004C1CED" w:rsidP="004C1CED">
            <w:pPr>
              <w:widowControl/>
              <w:spacing w:before="40" w:after="40"/>
              <w:rPr>
                <w:rFonts w:eastAsia="Calibri"/>
                <w:noProof/>
                <w:sz w:val="22"/>
                <w:szCs w:val="22"/>
                <w:lang w:eastAsia="en-US"/>
              </w:rPr>
            </w:pPr>
          </w:p>
        </w:tc>
        <w:tc>
          <w:tcPr>
            <w:tcW w:w="1262" w:type="dxa"/>
            <w:gridSpan w:val="2"/>
            <w:tcMar>
              <w:left w:w="28" w:type="dxa"/>
              <w:right w:w="28" w:type="dxa"/>
            </w:tcMar>
          </w:tcPr>
          <w:p w14:paraId="2B94FB59" w14:textId="77777777" w:rsidR="004C1CED" w:rsidRPr="00434E9D" w:rsidRDefault="004C1CED" w:rsidP="004C1CED">
            <w:pPr>
              <w:widowControl/>
              <w:spacing w:before="40" w:after="40"/>
              <w:rPr>
                <w:rFonts w:eastAsia="Calibri"/>
                <w:noProof/>
                <w:sz w:val="22"/>
                <w:szCs w:val="22"/>
                <w:lang w:eastAsia="en-US"/>
              </w:rPr>
            </w:pPr>
          </w:p>
        </w:tc>
        <w:tc>
          <w:tcPr>
            <w:tcW w:w="1153" w:type="dxa"/>
            <w:gridSpan w:val="2"/>
            <w:tcMar>
              <w:left w:w="28" w:type="dxa"/>
              <w:right w:w="28" w:type="dxa"/>
            </w:tcMar>
          </w:tcPr>
          <w:p w14:paraId="0D7B433A" w14:textId="77777777" w:rsidR="004C1CED" w:rsidRPr="00434E9D" w:rsidRDefault="004C1CED" w:rsidP="004C1CED">
            <w:pPr>
              <w:widowControl/>
              <w:spacing w:before="40" w:after="40"/>
              <w:rPr>
                <w:rFonts w:eastAsia="Calibri"/>
                <w:noProof/>
                <w:sz w:val="22"/>
                <w:szCs w:val="22"/>
                <w:lang w:eastAsia="en-US"/>
              </w:rPr>
            </w:pPr>
          </w:p>
        </w:tc>
        <w:tc>
          <w:tcPr>
            <w:tcW w:w="970" w:type="dxa"/>
            <w:tcMar>
              <w:left w:w="28" w:type="dxa"/>
              <w:right w:w="28" w:type="dxa"/>
            </w:tcMar>
          </w:tcPr>
          <w:p w14:paraId="4CCEBCE5"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X</w:t>
            </w:r>
          </w:p>
        </w:tc>
      </w:tr>
      <w:tr w:rsidR="004C1CED" w:rsidRPr="00434E9D" w14:paraId="2D4A36A4" w14:textId="77777777" w:rsidTr="00B12A07">
        <w:trPr>
          <w:gridBefore w:val="1"/>
          <w:wBefore w:w="17" w:type="dxa"/>
          <w:cantSplit/>
          <w:tblHeader/>
          <w:jc w:val="center"/>
        </w:trPr>
        <w:tc>
          <w:tcPr>
            <w:tcW w:w="651" w:type="dxa"/>
            <w:gridSpan w:val="3"/>
            <w:tcMar>
              <w:left w:w="28" w:type="dxa"/>
              <w:right w:w="28" w:type="dxa"/>
            </w:tcMar>
          </w:tcPr>
          <w:p w14:paraId="2F039BD4" w14:textId="77777777" w:rsidR="004C1CED" w:rsidRPr="00434E9D" w:rsidRDefault="004C1CED" w:rsidP="004C1CED">
            <w:pPr>
              <w:widowControl/>
              <w:spacing w:before="40" w:after="40"/>
              <w:jc w:val="both"/>
              <w:rPr>
                <w:rFonts w:eastAsia="Calibri"/>
                <w:noProof/>
                <w:sz w:val="22"/>
                <w:szCs w:val="22"/>
                <w:lang w:eastAsia="en-US"/>
              </w:rPr>
            </w:pPr>
            <w:r w:rsidRPr="00434E9D">
              <w:rPr>
                <w:rFonts w:eastAsia="Calibri"/>
                <w:noProof/>
                <w:sz w:val="22"/>
                <w:szCs w:val="22"/>
                <w:lang w:eastAsia="en-US"/>
              </w:rPr>
              <w:t>(54)</w:t>
            </w:r>
          </w:p>
        </w:tc>
        <w:tc>
          <w:tcPr>
            <w:tcW w:w="2286" w:type="dxa"/>
            <w:gridSpan w:val="3"/>
            <w:shd w:val="clear" w:color="auto" w:fill="auto"/>
            <w:tcMar>
              <w:left w:w="28" w:type="dxa"/>
              <w:right w:w="28" w:type="dxa"/>
            </w:tcMar>
          </w:tcPr>
          <w:p w14:paraId="387DE8FC"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Clothianidine</w:t>
            </w:r>
          </w:p>
        </w:tc>
        <w:tc>
          <w:tcPr>
            <w:tcW w:w="1329" w:type="dxa"/>
            <w:gridSpan w:val="3"/>
            <w:shd w:val="clear" w:color="auto" w:fill="auto"/>
            <w:tcMar>
              <w:left w:w="28" w:type="dxa"/>
              <w:right w:w="28" w:type="dxa"/>
            </w:tcMar>
          </w:tcPr>
          <w:p w14:paraId="515FE4A3"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Pesticides néonicotinoïdes</w:t>
            </w:r>
          </w:p>
        </w:tc>
        <w:tc>
          <w:tcPr>
            <w:tcW w:w="992" w:type="dxa"/>
            <w:gridSpan w:val="2"/>
            <w:shd w:val="clear" w:color="auto" w:fill="auto"/>
            <w:tcMar>
              <w:left w:w="28" w:type="dxa"/>
              <w:right w:w="28" w:type="dxa"/>
            </w:tcMar>
          </w:tcPr>
          <w:p w14:paraId="66D319EE"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210880-92-5</w:t>
            </w:r>
          </w:p>
        </w:tc>
        <w:tc>
          <w:tcPr>
            <w:tcW w:w="1134" w:type="dxa"/>
          </w:tcPr>
          <w:p w14:paraId="4B969BB3"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433-460-1</w:t>
            </w:r>
          </w:p>
        </w:tc>
        <w:tc>
          <w:tcPr>
            <w:tcW w:w="1279" w:type="dxa"/>
            <w:gridSpan w:val="2"/>
            <w:shd w:val="clear" w:color="auto" w:fill="auto"/>
            <w:tcMar>
              <w:left w:w="28" w:type="dxa"/>
              <w:right w:w="28" w:type="dxa"/>
            </w:tcMar>
          </w:tcPr>
          <w:p w14:paraId="6BDFEC81"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0,01</w:t>
            </w:r>
          </w:p>
        </w:tc>
        <w:tc>
          <w:tcPr>
            <w:tcW w:w="1279" w:type="dxa"/>
            <w:gridSpan w:val="2"/>
            <w:shd w:val="clear" w:color="auto" w:fill="auto"/>
            <w:tcMar>
              <w:left w:w="28" w:type="dxa"/>
              <w:right w:w="28" w:type="dxa"/>
            </w:tcMar>
          </w:tcPr>
          <w:p w14:paraId="0880FFD6"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0,001</w:t>
            </w:r>
          </w:p>
        </w:tc>
        <w:tc>
          <w:tcPr>
            <w:tcW w:w="1278" w:type="dxa"/>
            <w:gridSpan w:val="2"/>
            <w:shd w:val="clear" w:color="auto" w:fill="auto"/>
            <w:tcMar>
              <w:left w:w="28" w:type="dxa"/>
              <w:right w:w="28" w:type="dxa"/>
            </w:tcMar>
          </w:tcPr>
          <w:p w14:paraId="57E368AB"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0,34</w:t>
            </w:r>
          </w:p>
        </w:tc>
        <w:tc>
          <w:tcPr>
            <w:tcW w:w="1277" w:type="dxa"/>
            <w:gridSpan w:val="2"/>
            <w:shd w:val="clear" w:color="auto" w:fill="auto"/>
            <w:tcMar>
              <w:left w:w="28" w:type="dxa"/>
              <w:right w:w="28" w:type="dxa"/>
            </w:tcMar>
          </w:tcPr>
          <w:p w14:paraId="4A333D3D"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0,034</w:t>
            </w:r>
          </w:p>
        </w:tc>
        <w:tc>
          <w:tcPr>
            <w:tcW w:w="1136" w:type="dxa"/>
            <w:gridSpan w:val="2"/>
            <w:shd w:val="clear" w:color="auto" w:fill="auto"/>
            <w:tcMar>
              <w:left w:w="28" w:type="dxa"/>
              <w:right w:w="28" w:type="dxa"/>
            </w:tcMar>
          </w:tcPr>
          <w:p w14:paraId="2AC13430" w14:textId="77777777" w:rsidR="004C1CED" w:rsidRPr="00434E9D" w:rsidRDefault="004C1CED" w:rsidP="004C1CED">
            <w:pPr>
              <w:widowControl/>
              <w:spacing w:before="40" w:after="40"/>
              <w:rPr>
                <w:rFonts w:eastAsia="Calibri"/>
                <w:noProof/>
                <w:sz w:val="22"/>
                <w:szCs w:val="22"/>
                <w:lang w:eastAsia="en-US"/>
              </w:rPr>
            </w:pPr>
          </w:p>
        </w:tc>
        <w:tc>
          <w:tcPr>
            <w:tcW w:w="1262" w:type="dxa"/>
            <w:gridSpan w:val="2"/>
            <w:tcMar>
              <w:left w:w="28" w:type="dxa"/>
              <w:right w:w="28" w:type="dxa"/>
            </w:tcMar>
          </w:tcPr>
          <w:p w14:paraId="50FBE5E9" w14:textId="77777777" w:rsidR="004C1CED" w:rsidRPr="00434E9D" w:rsidRDefault="004C1CED" w:rsidP="004C1CED">
            <w:pPr>
              <w:widowControl/>
              <w:spacing w:before="40" w:after="40"/>
              <w:rPr>
                <w:rFonts w:eastAsia="Calibri"/>
                <w:noProof/>
                <w:sz w:val="22"/>
                <w:szCs w:val="22"/>
                <w:lang w:eastAsia="en-US"/>
              </w:rPr>
            </w:pPr>
          </w:p>
        </w:tc>
        <w:tc>
          <w:tcPr>
            <w:tcW w:w="1153" w:type="dxa"/>
            <w:gridSpan w:val="2"/>
            <w:tcMar>
              <w:left w:w="28" w:type="dxa"/>
              <w:right w:w="28" w:type="dxa"/>
            </w:tcMar>
          </w:tcPr>
          <w:p w14:paraId="6AAFF8A1" w14:textId="77777777" w:rsidR="004C1CED" w:rsidRPr="00434E9D" w:rsidRDefault="004C1CED" w:rsidP="004C1CED">
            <w:pPr>
              <w:widowControl/>
              <w:spacing w:before="40" w:after="40"/>
              <w:rPr>
                <w:rFonts w:eastAsia="Calibri"/>
                <w:noProof/>
                <w:sz w:val="22"/>
                <w:szCs w:val="22"/>
                <w:lang w:eastAsia="en-US"/>
              </w:rPr>
            </w:pPr>
          </w:p>
        </w:tc>
        <w:tc>
          <w:tcPr>
            <w:tcW w:w="970" w:type="dxa"/>
            <w:tcMar>
              <w:left w:w="28" w:type="dxa"/>
              <w:right w:w="28" w:type="dxa"/>
            </w:tcMar>
          </w:tcPr>
          <w:p w14:paraId="7BE22249" w14:textId="77777777" w:rsidR="004C1CED" w:rsidRPr="00434E9D" w:rsidRDefault="004C1CED" w:rsidP="004C1CED">
            <w:pPr>
              <w:widowControl/>
              <w:spacing w:before="40" w:after="40"/>
              <w:rPr>
                <w:rFonts w:eastAsia="Calibri"/>
                <w:noProof/>
                <w:sz w:val="22"/>
                <w:szCs w:val="22"/>
                <w:lang w:eastAsia="en-US"/>
              </w:rPr>
            </w:pPr>
          </w:p>
        </w:tc>
      </w:tr>
      <w:tr w:rsidR="004C1CED" w:rsidRPr="00434E9D" w14:paraId="3D356FF9" w14:textId="77777777" w:rsidTr="00B12A07">
        <w:trPr>
          <w:gridBefore w:val="1"/>
          <w:wBefore w:w="17" w:type="dxa"/>
          <w:cantSplit/>
          <w:tblHeader/>
          <w:jc w:val="center"/>
        </w:trPr>
        <w:tc>
          <w:tcPr>
            <w:tcW w:w="651" w:type="dxa"/>
            <w:gridSpan w:val="3"/>
            <w:tcMar>
              <w:left w:w="28" w:type="dxa"/>
              <w:right w:w="28" w:type="dxa"/>
            </w:tcMar>
          </w:tcPr>
          <w:p w14:paraId="131F0F9E" w14:textId="77777777" w:rsidR="004C1CED" w:rsidRPr="00434E9D" w:rsidRDefault="004C1CED" w:rsidP="004C1CED">
            <w:pPr>
              <w:widowControl/>
              <w:spacing w:before="40" w:after="40"/>
              <w:jc w:val="both"/>
              <w:rPr>
                <w:rFonts w:eastAsia="Calibri"/>
                <w:noProof/>
                <w:sz w:val="22"/>
                <w:szCs w:val="22"/>
                <w:lang w:eastAsia="en-US"/>
              </w:rPr>
            </w:pPr>
            <w:r w:rsidRPr="00434E9D">
              <w:rPr>
                <w:rFonts w:eastAsia="Calibri"/>
                <w:noProof/>
                <w:sz w:val="22"/>
                <w:szCs w:val="22"/>
                <w:lang w:eastAsia="en-US"/>
              </w:rPr>
              <w:t>(55)</w:t>
            </w:r>
          </w:p>
        </w:tc>
        <w:tc>
          <w:tcPr>
            <w:tcW w:w="2286" w:type="dxa"/>
            <w:gridSpan w:val="3"/>
            <w:shd w:val="clear" w:color="auto" w:fill="auto"/>
            <w:tcMar>
              <w:left w:w="28" w:type="dxa"/>
              <w:right w:w="28" w:type="dxa"/>
            </w:tcMar>
          </w:tcPr>
          <w:p w14:paraId="29A6D24D"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Deltaméthrine</w:t>
            </w:r>
          </w:p>
        </w:tc>
        <w:tc>
          <w:tcPr>
            <w:tcW w:w="1329" w:type="dxa"/>
            <w:gridSpan w:val="3"/>
            <w:shd w:val="clear" w:color="auto" w:fill="auto"/>
            <w:tcMar>
              <w:left w:w="28" w:type="dxa"/>
              <w:right w:w="28" w:type="dxa"/>
            </w:tcMar>
          </w:tcPr>
          <w:p w14:paraId="7FDEACC2"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Pesticides pyréthrinoïdes</w:t>
            </w:r>
          </w:p>
        </w:tc>
        <w:tc>
          <w:tcPr>
            <w:tcW w:w="992" w:type="dxa"/>
            <w:gridSpan w:val="2"/>
            <w:shd w:val="clear" w:color="auto" w:fill="auto"/>
            <w:tcMar>
              <w:left w:w="28" w:type="dxa"/>
              <w:right w:w="28" w:type="dxa"/>
            </w:tcMar>
          </w:tcPr>
          <w:p w14:paraId="1C96980C"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52918-63-5</w:t>
            </w:r>
          </w:p>
        </w:tc>
        <w:tc>
          <w:tcPr>
            <w:tcW w:w="1134" w:type="dxa"/>
          </w:tcPr>
          <w:p w14:paraId="5853CAB7"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258-256-6</w:t>
            </w:r>
          </w:p>
        </w:tc>
        <w:tc>
          <w:tcPr>
            <w:tcW w:w="1279" w:type="dxa"/>
            <w:gridSpan w:val="2"/>
            <w:shd w:val="clear" w:color="auto" w:fill="auto"/>
            <w:tcMar>
              <w:left w:w="28" w:type="dxa"/>
              <w:right w:w="28" w:type="dxa"/>
            </w:tcMar>
          </w:tcPr>
          <w:p w14:paraId="2194BDD3"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1,7 × 10</w:t>
            </w:r>
            <w:r w:rsidRPr="00434E9D">
              <w:rPr>
                <w:rFonts w:eastAsia="Calibri"/>
                <w:noProof/>
                <w:sz w:val="22"/>
                <w:szCs w:val="22"/>
                <w:vertAlign w:val="superscript"/>
                <w:lang w:eastAsia="en-US"/>
              </w:rPr>
              <w:t>-6</w:t>
            </w:r>
          </w:p>
        </w:tc>
        <w:tc>
          <w:tcPr>
            <w:tcW w:w="1279" w:type="dxa"/>
            <w:gridSpan w:val="2"/>
            <w:shd w:val="clear" w:color="auto" w:fill="auto"/>
            <w:tcMar>
              <w:left w:w="28" w:type="dxa"/>
              <w:right w:w="28" w:type="dxa"/>
            </w:tcMar>
          </w:tcPr>
          <w:p w14:paraId="62431E58"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1,7 × 10</w:t>
            </w:r>
            <w:r w:rsidRPr="00434E9D">
              <w:rPr>
                <w:rFonts w:eastAsia="Calibri"/>
                <w:noProof/>
                <w:sz w:val="22"/>
                <w:szCs w:val="22"/>
                <w:vertAlign w:val="superscript"/>
                <w:lang w:eastAsia="en-US"/>
              </w:rPr>
              <w:t>-7</w:t>
            </w:r>
          </w:p>
        </w:tc>
        <w:tc>
          <w:tcPr>
            <w:tcW w:w="1278" w:type="dxa"/>
            <w:gridSpan w:val="2"/>
            <w:shd w:val="clear" w:color="auto" w:fill="auto"/>
            <w:tcMar>
              <w:left w:w="28" w:type="dxa"/>
              <w:right w:w="28" w:type="dxa"/>
            </w:tcMar>
          </w:tcPr>
          <w:p w14:paraId="43EFF5E1"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1,7 × 10</w:t>
            </w:r>
            <w:r w:rsidRPr="00434E9D">
              <w:rPr>
                <w:rFonts w:eastAsia="Calibri"/>
                <w:noProof/>
                <w:sz w:val="22"/>
                <w:szCs w:val="22"/>
                <w:vertAlign w:val="superscript"/>
                <w:lang w:eastAsia="en-US"/>
              </w:rPr>
              <w:t>-5</w:t>
            </w:r>
          </w:p>
        </w:tc>
        <w:tc>
          <w:tcPr>
            <w:tcW w:w="1277" w:type="dxa"/>
            <w:gridSpan w:val="2"/>
            <w:shd w:val="clear" w:color="auto" w:fill="auto"/>
            <w:tcMar>
              <w:left w:w="28" w:type="dxa"/>
              <w:right w:w="28" w:type="dxa"/>
            </w:tcMar>
          </w:tcPr>
          <w:p w14:paraId="67B87F65"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3,4 × 10</w:t>
            </w:r>
            <w:r w:rsidRPr="00434E9D">
              <w:rPr>
                <w:rFonts w:eastAsia="Calibri"/>
                <w:noProof/>
                <w:sz w:val="22"/>
                <w:szCs w:val="22"/>
                <w:vertAlign w:val="superscript"/>
                <w:lang w:eastAsia="en-US"/>
              </w:rPr>
              <w:t>-6</w:t>
            </w:r>
          </w:p>
        </w:tc>
        <w:tc>
          <w:tcPr>
            <w:tcW w:w="1136" w:type="dxa"/>
            <w:gridSpan w:val="2"/>
            <w:shd w:val="clear" w:color="auto" w:fill="auto"/>
            <w:tcMar>
              <w:left w:w="28" w:type="dxa"/>
              <w:right w:w="28" w:type="dxa"/>
            </w:tcMar>
          </w:tcPr>
          <w:p w14:paraId="2BFC2A8C" w14:textId="77777777" w:rsidR="004C1CED" w:rsidRPr="00434E9D" w:rsidRDefault="004C1CED" w:rsidP="004C1CED">
            <w:pPr>
              <w:widowControl/>
              <w:spacing w:before="40" w:after="40"/>
              <w:rPr>
                <w:rFonts w:eastAsia="Calibri"/>
                <w:noProof/>
                <w:sz w:val="22"/>
                <w:szCs w:val="22"/>
                <w:lang w:eastAsia="en-US"/>
              </w:rPr>
            </w:pPr>
          </w:p>
        </w:tc>
        <w:tc>
          <w:tcPr>
            <w:tcW w:w="1262" w:type="dxa"/>
            <w:gridSpan w:val="2"/>
            <w:tcMar>
              <w:left w:w="28" w:type="dxa"/>
              <w:right w:w="28" w:type="dxa"/>
            </w:tcMar>
          </w:tcPr>
          <w:p w14:paraId="03F90312" w14:textId="77777777" w:rsidR="004C1CED" w:rsidRPr="00434E9D" w:rsidRDefault="004C1CED" w:rsidP="004C1CED">
            <w:pPr>
              <w:widowControl/>
              <w:spacing w:before="40" w:after="40"/>
              <w:rPr>
                <w:rFonts w:eastAsia="Calibri"/>
                <w:noProof/>
                <w:sz w:val="22"/>
                <w:szCs w:val="22"/>
                <w:lang w:eastAsia="en-US"/>
              </w:rPr>
            </w:pPr>
          </w:p>
        </w:tc>
        <w:tc>
          <w:tcPr>
            <w:tcW w:w="1153" w:type="dxa"/>
            <w:gridSpan w:val="2"/>
            <w:shd w:val="clear" w:color="auto" w:fill="auto"/>
            <w:tcMar>
              <w:left w:w="28" w:type="dxa"/>
              <w:right w:w="28" w:type="dxa"/>
            </w:tcMar>
          </w:tcPr>
          <w:p w14:paraId="02F78496" w14:textId="77777777" w:rsidR="004C1CED" w:rsidRPr="00434E9D" w:rsidRDefault="004C1CED" w:rsidP="004C1CED">
            <w:pPr>
              <w:widowControl/>
              <w:spacing w:before="40" w:after="40"/>
              <w:rPr>
                <w:rFonts w:eastAsia="Calibri"/>
                <w:noProof/>
                <w:sz w:val="22"/>
                <w:szCs w:val="22"/>
                <w:lang w:eastAsia="en-US"/>
              </w:rPr>
            </w:pPr>
          </w:p>
        </w:tc>
        <w:tc>
          <w:tcPr>
            <w:tcW w:w="970" w:type="dxa"/>
            <w:shd w:val="clear" w:color="auto" w:fill="auto"/>
            <w:tcMar>
              <w:left w:w="28" w:type="dxa"/>
              <w:right w:w="28" w:type="dxa"/>
            </w:tcMar>
          </w:tcPr>
          <w:p w14:paraId="6CA62710"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X</w:t>
            </w:r>
          </w:p>
        </w:tc>
      </w:tr>
      <w:tr w:rsidR="004C1CED" w:rsidRPr="00434E9D" w14:paraId="4A6235F1" w14:textId="77777777" w:rsidTr="00B12A07">
        <w:trPr>
          <w:gridBefore w:val="1"/>
          <w:wBefore w:w="17" w:type="dxa"/>
          <w:cantSplit/>
          <w:tblHeader/>
          <w:jc w:val="center"/>
        </w:trPr>
        <w:tc>
          <w:tcPr>
            <w:tcW w:w="651" w:type="dxa"/>
            <w:gridSpan w:val="3"/>
            <w:tcMar>
              <w:left w:w="28" w:type="dxa"/>
              <w:right w:w="28" w:type="dxa"/>
            </w:tcMar>
          </w:tcPr>
          <w:p w14:paraId="4615883C" w14:textId="77777777" w:rsidR="004C1CED" w:rsidRPr="00434E9D" w:rsidRDefault="004C1CED" w:rsidP="004C1CED">
            <w:pPr>
              <w:widowControl/>
              <w:spacing w:before="40" w:after="40"/>
              <w:jc w:val="both"/>
              <w:rPr>
                <w:rFonts w:eastAsia="Calibri"/>
                <w:noProof/>
                <w:sz w:val="22"/>
                <w:szCs w:val="22"/>
                <w:lang w:eastAsia="en-US"/>
              </w:rPr>
            </w:pPr>
            <w:r w:rsidRPr="00434E9D">
              <w:rPr>
                <w:rFonts w:eastAsia="Calibri"/>
                <w:noProof/>
                <w:sz w:val="22"/>
                <w:szCs w:val="22"/>
                <w:lang w:eastAsia="en-US"/>
              </w:rPr>
              <w:t>(56)</w:t>
            </w:r>
          </w:p>
        </w:tc>
        <w:tc>
          <w:tcPr>
            <w:tcW w:w="2286" w:type="dxa"/>
            <w:gridSpan w:val="3"/>
            <w:shd w:val="clear" w:color="auto" w:fill="auto"/>
            <w:tcMar>
              <w:left w:w="28" w:type="dxa"/>
              <w:right w:w="28" w:type="dxa"/>
            </w:tcMar>
          </w:tcPr>
          <w:p w14:paraId="43184B66"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Diclofénac</w:t>
            </w:r>
          </w:p>
        </w:tc>
        <w:tc>
          <w:tcPr>
            <w:tcW w:w="1329" w:type="dxa"/>
            <w:gridSpan w:val="3"/>
            <w:shd w:val="clear" w:color="auto" w:fill="auto"/>
            <w:tcMar>
              <w:left w:w="28" w:type="dxa"/>
              <w:right w:w="28" w:type="dxa"/>
            </w:tcMar>
          </w:tcPr>
          <w:p w14:paraId="16116D96"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Produits pharmaceutiques</w:t>
            </w:r>
          </w:p>
        </w:tc>
        <w:tc>
          <w:tcPr>
            <w:tcW w:w="992" w:type="dxa"/>
            <w:gridSpan w:val="2"/>
            <w:shd w:val="clear" w:color="auto" w:fill="auto"/>
            <w:tcMar>
              <w:left w:w="28" w:type="dxa"/>
              <w:right w:w="28" w:type="dxa"/>
            </w:tcMar>
          </w:tcPr>
          <w:p w14:paraId="35A5CBB0"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 xml:space="preserve">15307-86-5/15307-79-6 </w:t>
            </w:r>
          </w:p>
        </w:tc>
        <w:tc>
          <w:tcPr>
            <w:tcW w:w="1134" w:type="dxa"/>
          </w:tcPr>
          <w:p w14:paraId="3484019E"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239-348-5/239-346-4</w:t>
            </w:r>
          </w:p>
        </w:tc>
        <w:tc>
          <w:tcPr>
            <w:tcW w:w="1279" w:type="dxa"/>
            <w:gridSpan w:val="2"/>
            <w:shd w:val="clear" w:color="auto" w:fill="auto"/>
            <w:tcMar>
              <w:left w:w="28" w:type="dxa"/>
              <w:right w:w="28" w:type="dxa"/>
            </w:tcMar>
          </w:tcPr>
          <w:p w14:paraId="473EECB4"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0,04</w:t>
            </w:r>
          </w:p>
        </w:tc>
        <w:tc>
          <w:tcPr>
            <w:tcW w:w="1279" w:type="dxa"/>
            <w:gridSpan w:val="2"/>
            <w:shd w:val="clear" w:color="auto" w:fill="auto"/>
            <w:tcMar>
              <w:left w:w="28" w:type="dxa"/>
              <w:right w:w="28" w:type="dxa"/>
            </w:tcMar>
          </w:tcPr>
          <w:p w14:paraId="540B9B38"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0,004</w:t>
            </w:r>
          </w:p>
        </w:tc>
        <w:tc>
          <w:tcPr>
            <w:tcW w:w="1278" w:type="dxa"/>
            <w:gridSpan w:val="2"/>
            <w:shd w:val="clear" w:color="auto" w:fill="auto"/>
            <w:tcMar>
              <w:left w:w="28" w:type="dxa"/>
              <w:right w:w="28" w:type="dxa"/>
            </w:tcMar>
          </w:tcPr>
          <w:p w14:paraId="5C4E8769"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250</w:t>
            </w:r>
          </w:p>
        </w:tc>
        <w:tc>
          <w:tcPr>
            <w:tcW w:w="1277" w:type="dxa"/>
            <w:gridSpan w:val="2"/>
            <w:shd w:val="clear" w:color="auto" w:fill="auto"/>
            <w:tcMar>
              <w:left w:w="28" w:type="dxa"/>
              <w:right w:w="28" w:type="dxa"/>
            </w:tcMar>
          </w:tcPr>
          <w:p w14:paraId="4BADBFB4"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25</w:t>
            </w:r>
          </w:p>
        </w:tc>
        <w:tc>
          <w:tcPr>
            <w:tcW w:w="1136" w:type="dxa"/>
            <w:gridSpan w:val="2"/>
            <w:shd w:val="clear" w:color="auto" w:fill="auto"/>
            <w:tcMar>
              <w:left w:w="28" w:type="dxa"/>
              <w:right w:w="28" w:type="dxa"/>
            </w:tcMar>
          </w:tcPr>
          <w:p w14:paraId="63A04031" w14:textId="77777777" w:rsidR="004C1CED" w:rsidRPr="00434E9D" w:rsidRDefault="004C1CED" w:rsidP="004C1CED">
            <w:pPr>
              <w:widowControl/>
              <w:spacing w:before="40" w:after="40"/>
              <w:rPr>
                <w:rFonts w:eastAsia="Calibri"/>
                <w:noProof/>
                <w:sz w:val="22"/>
                <w:szCs w:val="22"/>
                <w:lang w:eastAsia="en-US"/>
              </w:rPr>
            </w:pPr>
          </w:p>
        </w:tc>
        <w:tc>
          <w:tcPr>
            <w:tcW w:w="1262" w:type="dxa"/>
            <w:gridSpan w:val="2"/>
            <w:tcMar>
              <w:left w:w="28" w:type="dxa"/>
              <w:right w:w="28" w:type="dxa"/>
            </w:tcMar>
          </w:tcPr>
          <w:p w14:paraId="15CB95E8" w14:textId="77777777" w:rsidR="004C1CED" w:rsidRPr="00434E9D" w:rsidRDefault="004C1CED" w:rsidP="004C1CED">
            <w:pPr>
              <w:widowControl/>
              <w:spacing w:before="40" w:after="40"/>
              <w:rPr>
                <w:rFonts w:eastAsia="Calibri"/>
                <w:noProof/>
                <w:sz w:val="22"/>
                <w:szCs w:val="22"/>
                <w:lang w:eastAsia="en-US"/>
              </w:rPr>
            </w:pPr>
          </w:p>
        </w:tc>
        <w:tc>
          <w:tcPr>
            <w:tcW w:w="1153" w:type="dxa"/>
            <w:gridSpan w:val="2"/>
            <w:shd w:val="clear" w:color="auto" w:fill="auto"/>
            <w:tcMar>
              <w:left w:w="28" w:type="dxa"/>
              <w:right w:w="28" w:type="dxa"/>
            </w:tcMar>
          </w:tcPr>
          <w:p w14:paraId="3E42B3A8" w14:textId="77777777" w:rsidR="004C1CED" w:rsidRPr="00434E9D" w:rsidRDefault="004C1CED" w:rsidP="004C1CED">
            <w:pPr>
              <w:widowControl/>
              <w:spacing w:before="40" w:after="40"/>
              <w:rPr>
                <w:rFonts w:eastAsia="Calibri"/>
                <w:noProof/>
                <w:sz w:val="22"/>
                <w:szCs w:val="22"/>
                <w:lang w:eastAsia="en-US"/>
              </w:rPr>
            </w:pPr>
          </w:p>
        </w:tc>
        <w:tc>
          <w:tcPr>
            <w:tcW w:w="970" w:type="dxa"/>
            <w:shd w:val="clear" w:color="auto" w:fill="auto"/>
            <w:tcMar>
              <w:left w:w="28" w:type="dxa"/>
              <w:right w:w="28" w:type="dxa"/>
            </w:tcMar>
          </w:tcPr>
          <w:p w14:paraId="1FF30DB9"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X</w:t>
            </w:r>
          </w:p>
        </w:tc>
      </w:tr>
      <w:tr w:rsidR="004C1CED" w:rsidRPr="00434E9D" w14:paraId="2FB86EA4" w14:textId="77777777" w:rsidTr="00B12A07">
        <w:trPr>
          <w:gridBefore w:val="1"/>
          <w:wBefore w:w="17" w:type="dxa"/>
          <w:cantSplit/>
          <w:tblHeader/>
          <w:jc w:val="center"/>
        </w:trPr>
        <w:tc>
          <w:tcPr>
            <w:tcW w:w="651" w:type="dxa"/>
            <w:gridSpan w:val="3"/>
            <w:tcMar>
              <w:left w:w="28" w:type="dxa"/>
              <w:right w:w="28" w:type="dxa"/>
            </w:tcMar>
          </w:tcPr>
          <w:p w14:paraId="34BC402F" w14:textId="77777777" w:rsidR="004C1CED" w:rsidRPr="00434E9D" w:rsidRDefault="004C1CED" w:rsidP="004C1CED">
            <w:pPr>
              <w:widowControl/>
              <w:spacing w:before="40" w:after="40"/>
              <w:jc w:val="both"/>
              <w:rPr>
                <w:rFonts w:eastAsia="Calibri"/>
                <w:noProof/>
                <w:sz w:val="22"/>
                <w:szCs w:val="22"/>
                <w:lang w:eastAsia="en-US"/>
              </w:rPr>
            </w:pPr>
            <w:r w:rsidRPr="00434E9D">
              <w:rPr>
                <w:rFonts w:eastAsia="Calibri"/>
                <w:noProof/>
                <w:sz w:val="22"/>
                <w:szCs w:val="22"/>
                <w:lang w:eastAsia="en-US"/>
              </w:rPr>
              <w:t>(57)</w:t>
            </w:r>
          </w:p>
        </w:tc>
        <w:tc>
          <w:tcPr>
            <w:tcW w:w="2286" w:type="dxa"/>
            <w:gridSpan w:val="3"/>
            <w:shd w:val="clear" w:color="auto" w:fill="auto"/>
            <w:tcMar>
              <w:left w:w="28" w:type="dxa"/>
              <w:right w:w="28" w:type="dxa"/>
            </w:tcMar>
          </w:tcPr>
          <w:p w14:paraId="34F7188D"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Érythromycine</w:t>
            </w:r>
          </w:p>
        </w:tc>
        <w:tc>
          <w:tcPr>
            <w:tcW w:w="1329" w:type="dxa"/>
            <w:gridSpan w:val="3"/>
            <w:shd w:val="clear" w:color="auto" w:fill="auto"/>
            <w:tcMar>
              <w:left w:w="28" w:type="dxa"/>
              <w:right w:w="28" w:type="dxa"/>
            </w:tcMar>
          </w:tcPr>
          <w:p w14:paraId="0675AC06"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Produits pharmaceutiques (antibiotiques macrolides)</w:t>
            </w:r>
          </w:p>
        </w:tc>
        <w:tc>
          <w:tcPr>
            <w:tcW w:w="992" w:type="dxa"/>
            <w:gridSpan w:val="2"/>
            <w:shd w:val="clear" w:color="auto" w:fill="auto"/>
            <w:tcMar>
              <w:left w:w="28" w:type="dxa"/>
              <w:right w:w="28" w:type="dxa"/>
            </w:tcMar>
          </w:tcPr>
          <w:p w14:paraId="6B550AA3"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114-07-8</w:t>
            </w:r>
          </w:p>
        </w:tc>
        <w:tc>
          <w:tcPr>
            <w:tcW w:w="1134" w:type="dxa"/>
          </w:tcPr>
          <w:p w14:paraId="388612B7"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204-040-1</w:t>
            </w:r>
          </w:p>
        </w:tc>
        <w:tc>
          <w:tcPr>
            <w:tcW w:w="1279" w:type="dxa"/>
            <w:gridSpan w:val="2"/>
            <w:shd w:val="clear" w:color="auto" w:fill="auto"/>
            <w:tcMar>
              <w:left w:w="28" w:type="dxa"/>
              <w:right w:w="28" w:type="dxa"/>
            </w:tcMar>
          </w:tcPr>
          <w:p w14:paraId="0A88C7EE"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0,5</w:t>
            </w:r>
          </w:p>
        </w:tc>
        <w:tc>
          <w:tcPr>
            <w:tcW w:w="1279" w:type="dxa"/>
            <w:gridSpan w:val="2"/>
            <w:shd w:val="clear" w:color="auto" w:fill="auto"/>
            <w:tcMar>
              <w:left w:w="28" w:type="dxa"/>
              <w:right w:w="28" w:type="dxa"/>
            </w:tcMar>
          </w:tcPr>
          <w:p w14:paraId="3C6AB9F2"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0,05</w:t>
            </w:r>
          </w:p>
        </w:tc>
        <w:tc>
          <w:tcPr>
            <w:tcW w:w="1278" w:type="dxa"/>
            <w:gridSpan w:val="2"/>
            <w:shd w:val="clear" w:color="auto" w:fill="auto"/>
            <w:tcMar>
              <w:left w:w="28" w:type="dxa"/>
              <w:right w:w="28" w:type="dxa"/>
            </w:tcMar>
          </w:tcPr>
          <w:p w14:paraId="656C5380"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1</w:t>
            </w:r>
          </w:p>
        </w:tc>
        <w:tc>
          <w:tcPr>
            <w:tcW w:w="1277" w:type="dxa"/>
            <w:gridSpan w:val="2"/>
            <w:shd w:val="clear" w:color="auto" w:fill="auto"/>
            <w:tcMar>
              <w:left w:w="28" w:type="dxa"/>
              <w:right w:w="28" w:type="dxa"/>
            </w:tcMar>
          </w:tcPr>
          <w:p w14:paraId="07CC467F"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0,1</w:t>
            </w:r>
          </w:p>
        </w:tc>
        <w:tc>
          <w:tcPr>
            <w:tcW w:w="1136" w:type="dxa"/>
            <w:gridSpan w:val="2"/>
            <w:shd w:val="clear" w:color="auto" w:fill="auto"/>
            <w:tcMar>
              <w:left w:w="28" w:type="dxa"/>
              <w:right w:w="28" w:type="dxa"/>
            </w:tcMar>
          </w:tcPr>
          <w:p w14:paraId="42B92651" w14:textId="77777777" w:rsidR="004C1CED" w:rsidRPr="00434E9D" w:rsidRDefault="004C1CED" w:rsidP="004C1CED">
            <w:pPr>
              <w:widowControl/>
              <w:spacing w:before="40" w:after="40"/>
              <w:rPr>
                <w:rFonts w:eastAsia="Calibri"/>
                <w:noProof/>
                <w:sz w:val="22"/>
                <w:szCs w:val="22"/>
                <w:lang w:eastAsia="en-US"/>
              </w:rPr>
            </w:pPr>
          </w:p>
        </w:tc>
        <w:tc>
          <w:tcPr>
            <w:tcW w:w="1262" w:type="dxa"/>
            <w:gridSpan w:val="2"/>
            <w:tcMar>
              <w:left w:w="28" w:type="dxa"/>
              <w:right w:w="28" w:type="dxa"/>
            </w:tcMar>
          </w:tcPr>
          <w:p w14:paraId="53FFC365" w14:textId="77777777" w:rsidR="004C1CED" w:rsidRPr="00434E9D" w:rsidRDefault="004C1CED" w:rsidP="004C1CED">
            <w:pPr>
              <w:widowControl/>
              <w:spacing w:before="40" w:after="40"/>
              <w:rPr>
                <w:rFonts w:eastAsia="Calibri"/>
                <w:noProof/>
                <w:sz w:val="22"/>
                <w:szCs w:val="22"/>
                <w:lang w:eastAsia="en-US"/>
              </w:rPr>
            </w:pPr>
          </w:p>
        </w:tc>
        <w:tc>
          <w:tcPr>
            <w:tcW w:w="1153" w:type="dxa"/>
            <w:gridSpan w:val="2"/>
            <w:shd w:val="clear" w:color="auto" w:fill="auto"/>
            <w:tcMar>
              <w:left w:w="28" w:type="dxa"/>
              <w:right w:w="28" w:type="dxa"/>
            </w:tcMar>
          </w:tcPr>
          <w:p w14:paraId="15F7EEF5" w14:textId="77777777" w:rsidR="004C1CED" w:rsidRPr="00434E9D" w:rsidRDefault="004C1CED" w:rsidP="004C1CED">
            <w:pPr>
              <w:widowControl/>
              <w:spacing w:before="40" w:after="40"/>
              <w:rPr>
                <w:rFonts w:eastAsia="Calibri"/>
                <w:noProof/>
                <w:sz w:val="22"/>
                <w:szCs w:val="22"/>
                <w:lang w:eastAsia="en-US"/>
              </w:rPr>
            </w:pPr>
          </w:p>
        </w:tc>
        <w:tc>
          <w:tcPr>
            <w:tcW w:w="970" w:type="dxa"/>
            <w:shd w:val="clear" w:color="auto" w:fill="auto"/>
            <w:tcMar>
              <w:left w:w="28" w:type="dxa"/>
              <w:right w:w="28" w:type="dxa"/>
            </w:tcMar>
          </w:tcPr>
          <w:p w14:paraId="6396EABE"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X</w:t>
            </w:r>
          </w:p>
        </w:tc>
      </w:tr>
      <w:tr w:rsidR="004C1CED" w:rsidRPr="00434E9D" w14:paraId="71BA7BD9" w14:textId="77777777" w:rsidTr="00B12A07">
        <w:trPr>
          <w:gridBefore w:val="1"/>
          <w:wBefore w:w="17" w:type="dxa"/>
          <w:cantSplit/>
          <w:tblHeader/>
          <w:jc w:val="center"/>
        </w:trPr>
        <w:tc>
          <w:tcPr>
            <w:tcW w:w="651" w:type="dxa"/>
            <w:gridSpan w:val="3"/>
            <w:tcMar>
              <w:left w:w="28" w:type="dxa"/>
              <w:right w:w="28" w:type="dxa"/>
            </w:tcMar>
          </w:tcPr>
          <w:p w14:paraId="51794778" w14:textId="77777777" w:rsidR="004C1CED" w:rsidRPr="00434E9D" w:rsidRDefault="004C1CED" w:rsidP="004C1CED">
            <w:pPr>
              <w:widowControl/>
              <w:spacing w:before="40" w:after="40"/>
              <w:jc w:val="both"/>
              <w:rPr>
                <w:rFonts w:eastAsia="Calibri"/>
                <w:noProof/>
                <w:sz w:val="22"/>
                <w:szCs w:val="22"/>
                <w:lang w:eastAsia="en-US"/>
              </w:rPr>
            </w:pPr>
            <w:r w:rsidRPr="00434E9D">
              <w:rPr>
                <w:rFonts w:eastAsia="Calibri"/>
                <w:noProof/>
                <w:sz w:val="22"/>
                <w:szCs w:val="22"/>
                <w:lang w:eastAsia="en-US"/>
              </w:rPr>
              <w:t>(58)</w:t>
            </w:r>
          </w:p>
        </w:tc>
        <w:tc>
          <w:tcPr>
            <w:tcW w:w="2286" w:type="dxa"/>
            <w:gridSpan w:val="3"/>
            <w:shd w:val="clear" w:color="auto" w:fill="auto"/>
            <w:tcMar>
              <w:left w:w="28" w:type="dxa"/>
              <w:right w:w="28" w:type="dxa"/>
            </w:tcMar>
          </w:tcPr>
          <w:p w14:paraId="34B7A1C8"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Esfenvalérate</w:t>
            </w:r>
          </w:p>
        </w:tc>
        <w:tc>
          <w:tcPr>
            <w:tcW w:w="1329" w:type="dxa"/>
            <w:gridSpan w:val="3"/>
            <w:shd w:val="clear" w:color="auto" w:fill="auto"/>
            <w:tcMar>
              <w:left w:w="28" w:type="dxa"/>
              <w:right w:w="28" w:type="dxa"/>
            </w:tcMar>
          </w:tcPr>
          <w:p w14:paraId="03C651AC"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Pesticides pyréthrinoïdes</w:t>
            </w:r>
          </w:p>
        </w:tc>
        <w:tc>
          <w:tcPr>
            <w:tcW w:w="992" w:type="dxa"/>
            <w:gridSpan w:val="2"/>
            <w:shd w:val="clear" w:color="auto" w:fill="auto"/>
            <w:tcMar>
              <w:left w:w="28" w:type="dxa"/>
              <w:right w:w="28" w:type="dxa"/>
            </w:tcMar>
          </w:tcPr>
          <w:p w14:paraId="6A37E90E"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66230-04-4</w:t>
            </w:r>
          </w:p>
        </w:tc>
        <w:tc>
          <w:tcPr>
            <w:tcW w:w="1134" w:type="dxa"/>
          </w:tcPr>
          <w:p w14:paraId="7DF4B96A"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613-911-9</w:t>
            </w:r>
          </w:p>
        </w:tc>
        <w:tc>
          <w:tcPr>
            <w:tcW w:w="1279" w:type="dxa"/>
            <w:gridSpan w:val="2"/>
            <w:shd w:val="clear" w:color="auto" w:fill="auto"/>
            <w:tcMar>
              <w:left w:w="28" w:type="dxa"/>
              <w:right w:w="28" w:type="dxa"/>
            </w:tcMar>
          </w:tcPr>
          <w:p w14:paraId="307A16F6"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1,7 × 10</w:t>
            </w:r>
            <w:r w:rsidRPr="00434E9D">
              <w:rPr>
                <w:rFonts w:eastAsia="Calibri"/>
                <w:noProof/>
                <w:sz w:val="22"/>
                <w:szCs w:val="22"/>
                <w:vertAlign w:val="superscript"/>
                <w:lang w:eastAsia="en-US"/>
              </w:rPr>
              <w:t>-5</w:t>
            </w:r>
          </w:p>
        </w:tc>
        <w:tc>
          <w:tcPr>
            <w:tcW w:w="1279" w:type="dxa"/>
            <w:gridSpan w:val="2"/>
            <w:shd w:val="clear" w:color="auto" w:fill="auto"/>
            <w:tcMar>
              <w:left w:w="28" w:type="dxa"/>
              <w:right w:w="28" w:type="dxa"/>
            </w:tcMar>
          </w:tcPr>
          <w:p w14:paraId="56CFB428"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1,7 × 10</w:t>
            </w:r>
            <w:r w:rsidRPr="00434E9D">
              <w:rPr>
                <w:rFonts w:eastAsia="Calibri"/>
                <w:noProof/>
                <w:sz w:val="22"/>
                <w:szCs w:val="22"/>
                <w:vertAlign w:val="superscript"/>
                <w:lang w:eastAsia="en-US"/>
              </w:rPr>
              <w:t>-6</w:t>
            </w:r>
          </w:p>
        </w:tc>
        <w:tc>
          <w:tcPr>
            <w:tcW w:w="1278" w:type="dxa"/>
            <w:gridSpan w:val="2"/>
            <w:shd w:val="clear" w:color="auto" w:fill="auto"/>
            <w:tcMar>
              <w:left w:w="28" w:type="dxa"/>
              <w:right w:w="28" w:type="dxa"/>
            </w:tcMar>
          </w:tcPr>
          <w:p w14:paraId="793F45BC"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0,0085</w:t>
            </w:r>
          </w:p>
        </w:tc>
        <w:tc>
          <w:tcPr>
            <w:tcW w:w="1277" w:type="dxa"/>
            <w:gridSpan w:val="2"/>
            <w:shd w:val="clear" w:color="auto" w:fill="auto"/>
            <w:tcMar>
              <w:left w:w="28" w:type="dxa"/>
              <w:right w:w="28" w:type="dxa"/>
            </w:tcMar>
          </w:tcPr>
          <w:p w14:paraId="0B632A05"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0,00085</w:t>
            </w:r>
          </w:p>
        </w:tc>
        <w:tc>
          <w:tcPr>
            <w:tcW w:w="1136" w:type="dxa"/>
            <w:gridSpan w:val="2"/>
            <w:shd w:val="clear" w:color="auto" w:fill="auto"/>
            <w:tcMar>
              <w:left w:w="28" w:type="dxa"/>
              <w:right w:w="28" w:type="dxa"/>
            </w:tcMar>
          </w:tcPr>
          <w:p w14:paraId="764FCADE" w14:textId="77777777" w:rsidR="004C1CED" w:rsidRPr="00434E9D" w:rsidRDefault="004C1CED" w:rsidP="004C1CED">
            <w:pPr>
              <w:widowControl/>
              <w:spacing w:before="40" w:after="40"/>
              <w:rPr>
                <w:rFonts w:eastAsia="Calibri"/>
                <w:noProof/>
                <w:sz w:val="22"/>
                <w:szCs w:val="22"/>
                <w:lang w:eastAsia="en-US"/>
              </w:rPr>
            </w:pPr>
          </w:p>
        </w:tc>
        <w:tc>
          <w:tcPr>
            <w:tcW w:w="1262" w:type="dxa"/>
            <w:gridSpan w:val="2"/>
            <w:tcMar>
              <w:left w:w="28" w:type="dxa"/>
              <w:right w:w="28" w:type="dxa"/>
            </w:tcMar>
          </w:tcPr>
          <w:p w14:paraId="6E26AAAB" w14:textId="77777777" w:rsidR="004C1CED" w:rsidRPr="00434E9D" w:rsidRDefault="004C1CED" w:rsidP="004C1CED">
            <w:pPr>
              <w:widowControl/>
              <w:spacing w:before="40" w:after="40"/>
              <w:rPr>
                <w:rFonts w:eastAsia="Calibri"/>
                <w:noProof/>
                <w:sz w:val="22"/>
                <w:szCs w:val="22"/>
                <w:lang w:eastAsia="en-US"/>
              </w:rPr>
            </w:pPr>
          </w:p>
        </w:tc>
        <w:tc>
          <w:tcPr>
            <w:tcW w:w="1153" w:type="dxa"/>
            <w:gridSpan w:val="2"/>
            <w:shd w:val="clear" w:color="auto" w:fill="auto"/>
            <w:tcMar>
              <w:left w:w="28" w:type="dxa"/>
              <w:right w:w="28" w:type="dxa"/>
            </w:tcMar>
          </w:tcPr>
          <w:p w14:paraId="5C6E646C" w14:textId="77777777" w:rsidR="004C1CED" w:rsidRPr="00434E9D" w:rsidRDefault="004C1CED" w:rsidP="004C1CED">
            <w:pPr>
              <w:widowControl/>
              <w:spacing w:before="40" w:after="40"/>
              <w:rPr>
                <w:rFonts w:eastAsia="Calibri"/>
                <w:noProof/>
                <w:sz w:val="22"/>
                <w:szCs w:val="22"/>
                <w:lang w:eastAsia="en-US"/>
              </w:rPr>
            </w:pPr>
          </w:p>
        </w:tc>
        <w:tc>
          <w:tcPr>
            <w:tcW w:w="970" w:type="dxa"/>
            <w:shd w:val="clear" w:color="auto" w:fill="auto"/>
            <w:tcMar>
              <w:left w:w="28" w:type="dxa"/>
              <w:right w:w="28" w:type="dxa"/>
            </w:tcMar>
          </w:tcPr>
          <w:p w14:paraId="120F5848"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X</w:t>
            </w:r>
          </w:p>
        </w:tc>
      </w:tr>
      <w:tr w:rsidR="004C1CED" w:rsidRPr="00434E9D" w14:paraId="5D3856EC" w14:textId="77777777" w:rsidTr="00B12A07">
        <w:trPr>
          <w:gridBefore w:val="1"/>
          <w:wBefore w:w="17" w:type="dxa"/>
          <w:cantSplit/>
          <w:tblHeader/>
          <w:jc w:val="center"/>
        </w:trPr>
        <w:tc>
          <w:tcPr>
            <w:tcW w:w="651" w:type="dxa"/>
            <w:gridSpan w:val="3"/>
            <w:tcMar>
              <w:left w:w="28" w:type="dxa"/>
              <w:right w:w="28" w:type="dxa"/>
            </w:tcMar>
          </w:tcPr>
          <w:p w14:paraId="1A2E2ECB" w14:textId="77777777" w:rsidR="004C1CED" w:rsidRPr="00434E9D" w:rsidRDefault="004C1CED" w:rsidP="004C1CED">
            <w:pPr>
              <w:widowControl/>
              <w:spacing w:before="40" w:after="40"/>
              <w:jc w:val="both"/>
              <w:rPr>
                <w:rFonts w:eastAsia="Calibri"/>
                <w:noProof/>
                <w:sz w:val="22"/>
                <w:szCs w:val="22"/>
                <w:lang w:eastAsia="en-US"/>
              </w:rPr>
            </w:pPr>
            <w:r w:rsidRPr="00434E9D">
              <w:rPr>
                <w:rFonts w:eastAsia="Calibri"/>
                <w:noProof/>
                <w:sz w:val="22"/>
                <w:szCs w:val="22"/>
                <w:lang w:eastAsia="en-US"/>
              </w:rPr>
              <w:t>(59)</w:t>
            </w:r>
          </w:p>
        </w:tc>
        <w:tc>
          <w:tcPr>
            <w:tcW w:w="2286" w:type="dxa"/>
            <w:gridSpan w:val="3"/>
            <w:shd w:val="clear" w:color="auto" w:fill="auto"/>
            <w:tcMar>
              <w:left w:w="28" w:type="dxa"/>
              <w:right w:w="28" w:type="dxa"/>
            </w:tcMar>
          </w:tcPr>
          <w:p w14:paraId="78C5D811"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Estrone (E1)</w:t>
            </w:r>
          </w:p>
        </w:tc>
        <w:tc>
          <w:tcPr>
            <w:tcW w:w="1329" w:type="dxa"/>
            <w:gridSpan w:val="3"/>
            <w:shd w:val="clear" w:color="auto" w:fill="auto"/>
            <w:tcMar>
              <w:left w:w="28" w:type="dxa"/>
              <w:right w:w="28" w:type="dxa"/>
            </w:tcMar>
          </w:tcPr>
          <w:p w14:paraId="58FEF877"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Produits pharmaceutiques (hormones œstrogéniques)</w:t>
            </w:r>
          </w:p>
        </w:tc>
        <w:tc>
          <w:tcPr>
            <w:tcW w:w="992" w:type="dxa"/>
            <w:gridSpan w:val="2"/>
            <w:shd w:val="clear" w:color="auto" w:fill="auto"/>
            <w:tcMar>
              <w:left w:w="28" w:type="dxa"/>
              <w:right w:w="28" w:type="dxa"/>
            </w:tcMar>
          </w:tcPr>
          <w:p w14:paraId="488EC379"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53-16-7</w:t>
            </w:r>
          </w:p>
        </w:tc>
        <w:tc>
          <w:tcPr>
            <w:tcW w:w="1134" w:type="dxa"/>
          </w:tcPr>
          <w:p w14:paraId="27EDD56C"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200-164-5</w:t>
            </w:r>
          </w:p>
        </w:tc>
        <w:tc>
          <w:tcPr>
            <w:tcW w:w="1279" w:type="dxa"/>
            <w:gridSpan w:val="2"/>
            <w:shd w:val="clear" w:color="auto" w:fill="auto"/>
            <w:tcMar>
              <w:left w:w="28" w:type="dxa"/>
              <w:right w:w="28" w:type="dxa"/>
            </w:tcMar>
          </w:tcPr>
          <w:p w14:paraId="6A214941"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3,6 × 10</w:t>
            </w:r>
            <w:r w:rsidRPr="00434E9D">
              <w:rPr>
                <w:rFonts w:eastAsia="Calibri"/>
                <w:noProof/>
                <w:sz w:val="22"/>
                <w:szCs w:val="22"/>
                <w:vertAlign w:val="superscript"/>
                <w:lang w:eastAsia="en-US"/>
              </w:rPr>
              <w:t>-4</w:t>
            </w:r>
          </w:p>
        </w:tc>
        <w:tc>
          <w:tcPr>
            <w:tcW w:w="1279" w:type="dxa"/>
            <w:gridSpan w:val="2"/>
            <w:shd w:val="clear" w:color="auto" w:fill="auto"/>
            <w:tcMar>
              <w:left w:w="28" w:type="dxa"/>
              <w:right w:w="28" w:type="dxa"/>
            </w:tcMar>
          </w:tcPr>
          <w:p w14:paraId="1A042539"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1,8 × 10</w:t>
            </w:r>
            <w:r w:rsidRPr="00434E9D">
              <w:rPr>
                <w:rFonts w:eastAsia="Calibri"/>
                <w:noProof/>
                <w:sz w:val="22"/>
                <w:szCs w:val="22"/>
                <w:vertAlign w:val="superscript"/>
                <w:lang w:eastAsia="en-US"/>
              </w:rPr>
              <w:t>-5</w:t>
            </w:r>
          </w:p>
        </w:tc>
        <w:tc>
          <w:tcPr>
            <w:tcW w:w="1278" w:type="dxa"/>
            <w:gridSpan w:val="2"/>
            <w:shd w:val="clear" w:color="auto" w:fill="auto"/>
            <w:tcMar>
              <w:left w:w="28" w:type="dxa"/>
              <w:right w:w="28" w:type="dxa"/>
            </w:tcMar>
          </w:tcPr>
          <w:p w14:paraId="2C14B0AF"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non établi</w:t>
            </w:r>
          </w:p>
        </w:tc>
        <w:tc>
          <w:tcPr>
            <w:tcW w:w="1277" w:type="dxa"/>
            <w:gridSpan w:val="2"/>
            <w:shd w:val="clear" w:color="auto" w:fill="auto"/>
            <w:tcMar>
              <w:left w:w="28" w:type="dxa"/>
              <w:right w:w="28" w:type="dxa"/>
            </w:tcMar>
          </w:tcPr>
          <w:p w14:paraId="30CAED29"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non établi</w:t>
            </w:r>
          </w:p>
        </w:tc>
        <w:tc>
          <w:tcPr>
            <w:tcW w:w="1136" w:type="dxa"/>
            <w:gridSpan w:val="2"/>
            <w:shd w:val="clear" w:color="auto" w:fill="auto"/>
            <w:tcMar>
              <w:left w:w="28" w:type="dxa"/>
              <w:right w:w="28" w:type="dxa"/>
            </w:tcMar>
          </w:tcPr>
          <w:p w14:paraId="73F91196" w14:textId="77777777" w:rsidR="004C1CED" w:rsidRPr="00434E9D" w:rsidRDefault="004C1CED" w:rsidP="004C1CED">
            <w:pPr>
              <w:widowControl/>
              <w:spacing w:before="40" w:after="40"/>
              <w:rPr>
                <w:rFonts w:eastAsia="Calibri"/>
                <w:noProof/>
                <w:sz w:val="22"/>
                <w:szCs w:val="22"/>
                <w:lang w:eastAsia="en-US"/>
              </w:rPr>
            </w:pPr>
          </w:p>
        </w:tc>
        <w:tc>
          <w:tcPr>
            <w:tcW w:w="1262" w:type="dxa"/>
            <w:gridSpan w:val="2"/>
            <w:tcMar>
              <w:left w:w="28" w:type="dxa"/>
              <w:right w:w="28" w:type="dxa"/>
            </w:tcMar>
          </w:tcPr>
          <w:p w14:paraId="3524A393" w14:textId="77777777" w:rsidR="004C1CED" w:rsidRPr="00434E9D" w:rsidRDefault="004C1CED" w:rsidP="004C1CED">
            <w:pPr>
              <w:widowControl/>
              <w:spacing w:before="40" w:after="40"/>
              <w:rPr>
                <w:rFonts w:eastAsia="Calibri"/>
                <w:noProof/>
                <w:sz w:val="22"/>
                <w:szCs w:val="22"/>
                <w:lang w:eastAsia="en-US"/>
              </w:rPr>
            </w:pPr>
          </w:p>
        </w:tc>
        <w:tc>
          <w:tcPr>
            <w:tcW w:w="1153" w:type="dxa"/>
            <w:gridSpan w:val="2"/>
            <w:tcMar>
              <w:left w:w="28" w:type="dxa"/>
              <w:right w:w="28" w:type="dxa"/>
            </w:tcMar>
          </w:tcPr>
          <w:p w14:paraId="59A41073" w14:textId="77777777" w:rsidR="004C1CED" w:rsidRPr="00434E9D" w:rsidRDefault="004C1CED" w:rsidP="004C1CED">
            <w:pPr>
              <w:widowControl/>
              <w:spacing w:before="40" w:after="40"/>
              <w:rPr>
                <w:rFonts w:eastAsia="Calibri"/>
                <w:noProof/>
                <w:sz w:val="22"/>
                <w:szCs w:val="22"/>
                <w:lang w:eastAsia="en-US"/>
              </w:rPr>
            </w:pPr>
          </w:p>
        </w:tc>
        <w:tc>
          <w:tcPr>
            <w:tcW w:w="970" w:type="dxa"/>
            <w:tcMar>
              <w:left w:w="28" w:type="dxa"/>
              <w:right w:w="28" w:type="dxa"/>
            </w:tcMar>
          </w:tcPr>
          <w:p w14:paraId="0617E1A6" w14:textId="77777777" w:rsidR="004C1CED" w:rsidRPr="00434E9D" w:rsidRDefault="004C1CED" w:rsidP="004C1CED">
            <w:pPr>
              <w:widowControl/>
              <w:spacing w:before="40" w:after="40"/>
              <w:rPr>
                <w:rFonts w:eastAsia="Calibri"/>
                <w:noProof/>
                <w:sz w:val="22"/>
                <w:szCs w:val="22"/>
                <w:lang w:eastAsia="en-US"/>
              </w:rPr>
            </w:pPr>
          </w:p>
        </w:tc>
      </w:tr>
      <w:tr w:rsidR="004C1CED" w:rsidRPr="00434E9D" w14:paraId="4978CE91" w14:textId="77777777" w:rsidTr="00B12A07">
        <w:trPr>
          <w:gridBefore w:val="1"/>
          <w:wBefore w:w="17" w:type="dxa"/>
          <w:cantSplit/>
          <w:tblHeader/>
          <w:jc w:val="center"/>
        </w:trPr>
        <w:tc>
          <w:tcPr>
            <w:tcW w:w="651" w:type="dxa"/>
            <w:gridSpan w:val="3"/>
            <w:tcMar>
              <w:left w:w="28" w:type="dxa"/>
              <w:right w:w="28" w:type="dxa"/>
            </w:tcMar>
          </w:tcPr>
          <w:p w14:paraId="556B8FB9" w14:textId="77777777" w:rsidR="004C1CED" w:rsidRPr="00434E9D" w:rsidRDefault="004C1CED" w:rsidP="004C1CED">
            <w:pPr>
              <w:widowControl/>
              <w:spacing w:before="40" w:after="40"/>
              <w:jc w:val="both"/>
              <w:rPr>
                <w:rFonts w:eastAsia="Calibri"/>
                <w:b/>
                <w:noProof/>
                <w:sz w:val="22"/>
                <w:szCs w:val="22"/>
                <w:lang w:eastAsia="en-US"/>
              </w:rPr>
            </w:pPr>
            <w:r w:rsidRPr="00434E9D">
              <w:rPr>
                <w:rFonts w:eastAsia="Calibri"/>
                <w:noProof/>
                <w:sz w:val="22"/>
                <w:szCs w:val="22"/>
                <w:lang w:eastAsia="en-US"/>
              </w:rPr>
              <w:t>(60)</w:t>
            </w:r>
            <w:r w:rsidR="00B12A07" w:rsidRPr="00434E9D">
              <w:rPr>
                <w:rFonts w:eastAsia="Calibri"/>
                <w:noProof/>
                <w:sz w:val="22"/>
                <w:szCs w:val="22"/>
                <w:lang w:eastAsia="en-US"/>
              </w:rPr>
              <w:t xml:space="preserve"> </w:t>
            </w:r>
            <w:r w:rsidR="00B12A07" w:rsidRPr="00434E9D">
              <w:rPr>
                <w:rFonts w:eastAsia="Calibri"/>
                <w:b/>
                <w:noProof/>
                <w:sz w:val="22"/>
                <w:szCs w:val="22"/>
                <w:lang w:eastAsia="en-US"/>
              </w:rPr>
              <w:t xml:space="preserve"> [Am. 151]</w:t>
            </w:r>
          </w:p>
        </w:tc>
        <w:tc>
          <w:tcPr>
            <w:tcW w:w="2286" w:type="dxa"/>
            <w:gridSpan w:val="3"/>
            <w:shd w:val="clear" w:color="auto" w:fill="auto"/>
            <w:tcMar>
              <w:left w:w="28" w:type="dxa"/>
              <w:right w:w="28" w:type="dxa"/>
            </w:tcMar>
          </w:tcPr>
          <w:p w14:paraId="1A758CF1"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Glyphosate</w:t>
            </w:r>
          </w:p>
        </w:tc>
        <w:tc>
          <w:tcPr>
            <w:tcW w:w="1329" w:type="dxa"/>
            <w:gridSpan w:val="3"/>
            <w:shd w:val="clear" w:color="auto" w:fill="auto"/>
            <w:tcMar>
              <w:left w:w="28" w:type="dxa"/>
              <w:right w:w="28" w:type="dxa"/>
            </w:tcMar>
          </w:tcPr>
          <w:p w14:paraId="2AACC023"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Herbicides</w:t>
            </w:r>
          </w:p>
        </w:tc>
        <w:tc>
          <w:tcPr>
            <w:tcW w:w="992" w:type="dxa"/>
            <w:gridSpan w:val="2"/>
            <w:shd w:val="clear" w:color="auto" w:fill="auto"/>
            <w:tcMar>
              <w:left w:w="28" w:type="dxa"/>
              <w:right w:w="28" w:type="dxa"/>
            </w:tcMar>
          </w:tcPr>
          <w:p w14:paraId="4053B63D"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1071-83-6</w:t>
            </w:r>
          </w:p>
        </w:tc>
        <w:tc>
          <w:tcPr>
            <w:tcW w:w="1134" w:type="dxa"/>
          </w:tcPr>
          <w:p w14:paraId="66830C7D"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213-997-4</w:t>
            </w:r>
          </w:p>
        </w:tc>
        <w:tc>
          <w:tcPr>
            <w:tcW w:w="1279" w:type="dxa"/>
            <w:gridSpan w:val="2"/>
            <w:shd w:val="clear" w:color="auto" w:fill="auto"/>
            <w:tcMar>
              <w:left w:w="28" w:type="dxa"/>
              <w:right w:w="28" w:type="dxa"/>
            </w:tcMar>
          </w:tcPr>
          <w:p w14:paraId="4C82F871" w14:textId="77777777" w:rsidR="00B12A07" w:rsidRPr="00434E9D" w:rsidRDefault="00B12A07" w:rsidP="00B12A07">
            <w:pPr>
              <w:widowControl/>
              <w:spacing w:before="40" w:after="40"/>
              <w:rPr>
                <w:rFonts w:eastAsia="Calibri"/>
                <w:strike/>
                <w:noProof/>
                <w:color w:val="000000"/>
                <w:sz w:val="22"/>
                <w:szCs w:val="22"/>
                <w:lang w:val="en-GB"/>
              </w:rPr>
            </w:pPr>
            <w:r w:rsidRPr="00434E9D">
              <w:rPr>
                <w:rFonts w:eastAsia="Calibri"/>
                <w:noProof/>
                <w:color w:val="000000"/>
                <w:sz w:val="22"/>
                <w:szCs w:val="22"/>
              </w:rPr>
              <w:t xml:space="preserve">0,1 </w:t>
            </w:r>
            <w:r w:rsidRPr="00434E9D">
              <w:rPr>
                <w:rFonts w:eastAsia="Calibri"/>
                <w:strike/>
                <w:noProof/>
                <w:color w:val="000000"/>
                <w:sz w:val="22"/>
                <w:szCs w:val="22"/>
              </w:rPr>
              <w:t>(</w:t>
            </w:r>
            <w:r w:rsidRPr="00434E9D">
              <w:rPr>
                <w:rFonts w:eastAsia="Calibri"/>
                <w:strike/>
                <w:noProof/>
                <w:color w:val="000000"/>
                <w:sz w:val="22"/>
                <w:szCs w:val="22"/>
                <w:vertAlign w:val="superscript"/>
              </w:rPr>
              <w:t>25</w:t>
            </w:r>
            <w:r w:rsidRPr="00434E9D">
              <w:rPr>
                <w:rFonts w:eastAsia="Calibri"/>
                <w:strike/>
                <w:noProof/>
                <w:color w:val="000000"/>
                <w:sz w:val="22"/>
                <w:szCs w:val="22"/>
              </w:rPr>
              <w:t>)</w:t>
            </w:r>
          </w:p>
          <w:p w14:paraId="5781E981" w14:textId="77777777" w:rsidR="004C1CED" w:rsidRPr="00434E9D" w:rsidRDefault="00B12A07" w:rsidP="00B12A07">
            <w:pPr>
              <w:widowControl/>
              <w:spacing w:before="40" w:after="40"/>
              <w:rPr>
                <w:rFonts w:eastAsia="Calibri"/>
                <w:noProof/>
                <w:sz w:val="22"/>
                <w:szCs w:val="22"/>
                <w:lang w:eastAsia="en-US"/>
              </w:rPr>
            </w:pPr>
            <w:r w:rsidRPr="00434E9D">
              <w:rPr>
                <w:rFonts w:eastAsia="Calibri"/>
                <w:strike/>
                <w:noProof/>
                <w:color w:val="000000"/>
                <w:sz w:val="22"/>
                <w:szCs w:val="22"/>
              </w:rPr>
              <w:t>86,7 (</w:t>
            </w:r>
            <w:r w:rsidRPr="00434E9D">
              <w:rPr>
                <w:rFonts w:eastAsia="Calibri"/>
                <w:strike/>
                <w:noProof/>
                <w:color w:val="000000"/>
                <w:sz w:val="22"/>
                <w:szCs w:val="22"/>
                <w:vertAlign w:val="superscript"/>
              </w:rPr>
              <w:t>26</w:t>
            </w:r>
            <w:r w:rsidRPr="00434E9D">
              <w:rPr>
                <w:rFonts w:eastAsia="Calibri"/>
                <w:strike/>
                <w:noProof/>
                <w:color w:val="000000"/>
                <w:sz w:val="22"/>
                <w:szCs w:val="22"/>
              </w:rPr>
              <w:t>)</w:t>
            </w:r>
          </w:p>
        </w:tc>
        <w:tc>
          <w:tcPr>
            <w:tcW w:w="1279" w:type="dxa"/>
            <w:gridSpan w:val="2"/>
            <w:shd w:val="clear" w:color="auto" w:fill="auto"/>
            <w:tcMar>
              <w:left w:w="28" w:type="dxa"/>
              <w:right w:w="28" w:type="dxa"/>
            </w:tcMar>
          </w:tcPr>
          <w:p w14:paraId="2DE7EDA1" w14:textId="77777777" w:rsidR="004C1CED" w:rsidRPr="00434E9D" w:rsidRDefault="00B12A07" w:rsidP="004C1CED">
            <w:pPr>
              <w:widowControl/>
              <w:spacing w:before="40" w:after="40"/>
              <w:rPr>
                <w:rFonts w:eastAsia="Calibri"/>
                <w:noProof/>
                <w:sz w:val="22"/>
                <w:szCs w:val="22"/>
                <w:lang w:eastAsia="en-US"/>
              </w:rPr>
            </w:pPr>
            <w:r w:rsidRPr="00434E9D">
              <w:rPr>
                <w:rFonts w:eastAsia="Calibri"/>
                <w:strike/>
                <w:noProof/>
                <w:color w:val="000000"/>
                <w:sz w:val="22"/>
                <w:szCs w:val="22"/>
              </w:rPr>
              <w:t>8,67</w:t>
            </w:r>
            <w:r w:rsidRPr="00434E9D">
              <w:rPr>
                <w:rFonts w:eastAsia="Calibri"/>
                <w:noProof/>
                <w:color w:val="000000"/>
                <w:sz w:val="22"/>
                <w:szCs w:val="22"/>
              </w:rPr>
              <w:t xml:space="preserve"> </w:t>
            </w:r>
            <w:r w:rsidRPr="00434E9D">
              <w:rPr>
                <w:rFonts w:eastAsia="Calibri"/>
                <w:b/>
                <w:i/>
                <w:noProof/>
                <w:color w:val="000000"/>
                <w:sz w:val="22"/>
                <w:szCs w:val="22"/>
              </w:rPr>
              <w:t>0,01</w:t>
            </w:r>
          </w:p>
        </w:tc>
        <w:tc>
          <w:tcPr>
            <w:tcW w:w="1278" w:type="dxa"/>
            <w:gridSpan w:val="2"/>
            <w:shd w:val="clear" w:color="auto" w:fill="auto"/>
            <w:tcMar>
              <w:left w:w="28" w:type="dxa"/>
              <w:right w:w="28" w:type="dxa"/>
            </w:tcMar>
          </w:tcPr>
          <w:p w14:paraId="35940551"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398,6</w:t>
            </w:r>
          </w:p>
        </w:tc>
        <w:tc>
          <w:tcPr>
            <w:tcW w:w="1277" w:type="dxa"/>
            <w:gridSpan w:val="2"/>
            <w:shd w:val="clear" w:color="auto" w:fill="auto"/>
            <w:tcMar>
              <w:left w:w="28" w:type="dxa"/>
              <w:right w:w="28" w:type="dxa"/>
            </w:tcMar>
          </w:tcPr>
          <w:p w14:paraId="0A9CC760"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39,86</w:t>
            </w:r>
          </w:p>
        </w:tc>
        <w:tc>
          <w:tcPr>
            <w:tcW w:w="1136" w:type="dxa"/>
            <w:gridSpan w:val="2"/>
            <w:shd w:val="clear" w:color="auto" w:fill="auto"/>
            <w:tcMar>
              <w:left w:w="28" w:type="dxa"/>
              <w:right w:w="28" w:type="dxa"/>
            </w:tcMar>
          </w:tcPr>
          <w:p w14:paraId="3B996446" w14:textId="77777777" w:rsidR="004C1CED" w:rsidRPr="00434E9D" w:rsidRDefault="004C1CED" w:rsidP="004C1CED">
            <w:pPr>
              <w:widowControl/>
              <w:spacing w:before="40" w:after="40"/>
              <w:rPr>
                <w:rFonts w:eastAsia="Calibri"/>
                <w:noProof/>
                <w:sz w:val="22"/>
                <w:szCs w:val="22"/>
                <w:lang w:eastAsia="en-US"/>
              </w:rPr>
            </w:pPr>
          </w:p>
        </w:tc>
        <w:tc>
          <w:tcPr>
            <w:tcW w:w="1262" w:type="dxa"/>
            <w:gridSpan w:val="2"/>
            <w:tcMar>
              <w:left w:w="28" w:type="dxa"/>
              <w:right w:w="28" w:type="dxa"/>
            </w:tcMar>
          </w:tcPr>
          <w:p w14:paraId="06A8A654" w14:textId="77777777" w:rsidR="004C1CED" w:rsidRPr="00434E9D" w:rsidRDefault="004C1CED" w:rsidP="004C1CED">
            <w:pPr>
              <w:widowControl/>
              <w:spacing w:before="40" w:after="40"/>
              <w:rPr>
                <w:rFonts w:eastAsia="Calibri"/>
                <w:noProof/>
                <w:sz w:val="22"/>
                <w:szCs w:val="22"/>
                <w:lang w:eastAsia="en-US"/>
              </w:rPr>
            </w:pPr>
          </w:p>
        </w:tc>
        <w:tc>
          <w:tcPr>
            <w:tcW w:w="1153" w:type="dxa"/>
            <w:gridSpan w:val="2"/>
            <w:tcMar>
              <w:left w:w="28" w:type="dxa"/>
              <w:right w:w="28" w:type="dxa"/>
            </w:tcMar>
          </w:tcPr>
          <w:p w14:paraId="0F019047" w14:textId="77777777" w:rsidR="004C1CED" w:rsidRPr="00434E9D" w:rsidRDefault="004C1CED" w:rsidP="004C1CED">
            <w:pPr>
              <w:widowControl/>
              <w:spacing w:before="40" w:after="40"/>
              <w:rPr>
                <w:rFonts w:eastAsia="Calibri"/>
                <w:noProof/>
                <w:sz w:val="22"/>
                <w:szCs w:val="22"/>
                <w:lang w:eastAsia="en-US"/>
              </w:rPr>
            </w:pPr>
          </w:p>
        </w:tc>
        <w:tc>
          <w:tcPr>
            <w:tcW w:w="970" w:type="dxa"/>
            <w:tcMar>
              <w:left w:w="28" w:type="dxa"/>
              <w:right w:w="28" w:type="dxa"/>
            </w:tcMar>
          </w:tcPr>
          <w:p w14:paraId="4A08AA44" w14:textId="77777777" w:rsidR="004C1CED" w:rsidRPr="00434E9D" w:rsidRDefault="004C1CED" w:rsidP="004C1CED">
            <w:pPr>
              <w:widowControl/>
              <w:spacing w:before="40" w:after="40"/>
              <w:rPr>
                <w:rFonts w:eastAsia="Calibri"/>
                <w:noProof/>
                <w:sz w:val="22"/>
                <w:szCs w:val="22"/>
                <w:lang w:eastAsia="en-US"/>
              </w:rPr>
            </w:pPr>
          </w:p>
        </w:tc>
      </w:tr>
      <w:tr w:rsidR="004C1CED" w:rsidRPr="00434E9D" w14:paraId="77472AFA" w14:textId="77777777" w:rsidTr="00B12A07">
        <w:trPr>
          <w:gridBefore w:val="2"/>
          <w:wBefore w:w="51" w:type="dxa"/>
          <w:cantSplit/>
          <w:tblHeader/>
          <w:jc w:val="center"/>
        </w:trPr>
        <w:tc>
          <w:tcPr>
            <w:tcW w:w="617" w:type="dxa"/>
            <w:gridSpan w:val="2"/>
            <w:tcMar>
              <w:left w:w="28" w:type="dxa"/>
              <w:right w:w="28" w:type="dxa"/>
            </w:tcMar>
          </w:tcPr>
          <w:p w14:paraId="3A995EAD" w14:textId="77777777" w:rsidR="004C1CED" w:rsidRPr="00434E9D" w:rsidRDefault="004C1CED" w:rsidP="004C1CED">
            <w:pPr>
              <w:widowControl/>
              <w:spacing w:before="40" w:after="40"/>
              <w:jc w:val="both"/>
              <w:rPr>
                <w:rFonts w:eastAsia="Calibri"/>
                <w:noProof/>
                <w:sz w:val="22"/>
                <w:szCs w:val="22"/>
                <w:lang w:eastAsia="en-US"/>
              </w:rPr>
            </w:pPr>
            <w:r w:rsidRPr="00434E9D">
              <w:rPr>
                <w:rFonts w:eastAsia="Calibri"/>
                <w:noProof/>
                <w:sz w:val="22"/>
                <w:szCs w:val="22"/>
                <w:lang w:eastAsia="en-US"/>
              </w:rPr>
              <w:t>(61)</w:t>
            </w:r>
          </w:p>
        </w:tc>
        <w:tc>
          <w:tcPr>
            <w:tcW w:w="2303" w:type="dxa"/>
            <w:gridSpan w:val="4"/>
            <w:shd w:val="clear" w:color="auto" w:fill="auto"/>
            <w:tcMar>
              <w:left w:w="28" w:type="dxa"/>
              <w:right w:w="28" w:type="dxa"/>
            </w:tcMar>
          </w:tcPr>
          <w:p w14:paraId="28D1F00F"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Ibuprofène</w:t>
            </w:r>
          </w:p>
        </w:tc>
        <w:tc>
          <w:tcPr>
            <w:tcW w:w="1312" w:type="dxa"/>
            <w:gridSpan w:val="2"/>
            <w:shd w:val="clear" w:color="auto" w:fill="auto"/>
            <w:tcMar>
              <w:left w:w="28" w:type="dxa"/>
              <w:right w:w="28" w:type="dxa"/>
            </w:tcMar>
          </w:tcPr>
          <w:p w14:paraId="18F347CB"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Produits pharmaceutiques</w:t>
            </w:r>
          </w:p>
        </w:tc>
        <w:tc>
          <w:tcPr>
            <w:tcW w:w="992" w:type="dxa"/>
            <w:gridSpan w:val="2"/>
            <w:shd w:val="clear" w:color="auto" w:fill="auto"/>
            <w:tcMar>
              <w:left w:w="28" w:type="dxa"/>
              <w:right w:w="28" w:type="dxa"/>
            </w:tcMar>
          </w:tcPr>
          <w:p w14:paraId="4815F024"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15687-27-1</w:t>
            </w:r>
          </w:p>
        </w:tc>
        <w:tc>
          <w:tcPr>
            <w:tcW w:w="1134" w:type="dxa"/>
          </w:tcPr>
          <w:p w14:paraId="0CAA742A"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239-784-6</w:t>
            </w:r>
          </w:p>
        </w:tc>
        <w:tc>
          <w:tcPr>
            <w:tcW w:w="1279" w:type="dxa"/>
            <w:gridSpan w:val="2"/>
            <w:shd w:val="clear" w:color="auto" w:fill="auto"/>
            <w:tcMar>
              <w:left w:w="28" w:type="dxa"/>
              <w:right w:w="28" w:type="dxa"/>
            </w:tcMar>
          </w:tcPr>
          <w:p w14:paraId="023735FF"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0,22</w:t>
            </w:r>
          </w:p>
        </w:tc>
        <w:tc>
          <w:tcPr>
            <w:tcW w:w="1279" w:type="dxa"/>
            <w:gridSpan w:val="2"/>
            <w:shd w:val="clear" w:color="auto" w:fill="auto"/>
            <w:tcMar>
              <w:left w:w="28" w:type="dxa"/>
              <w:right w:w="28" w:type="dxa"/>
            </w:tcMar>
          </w:tcPr>
          <w:p w14:paraId="1B1F16BC"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0,022</w:t>
            </w:r>
          </w:p>
        </w:tc>
        <w:tc>
          <w:tcPr>
            <w:tcW w:w="1278" w:type="dxa"/>
            <w:gridSpan w:val="2"/>
            <w:shd w:val="clear" w:color="auto" w:fill="auto"/>
            <w:tcMar>
              <w:left w:w="28" w:type="dxa"/>
              <w:right w:w="28" w:type="dxa"/>
            </w:tcMar>
          </w:tcPr>
          <w:p w14:paraId="12B7EC64" w14:textId="77777777" w:rsidR="004C1CED" w:rsidRPr="00434E9D" w:rsidRDefault="004C1CED" w:rsidP="004C1CED">
            <w:pPr>
              <w:widowControl/>
              <w:spacing w:before="40" w:after="40"/>
              <w:rPr>
                <w:rFonts w:eastAsia="Calibri"/>
                <w:noProof/>
                <w:sz w:val="22"/>
                <w:szCs w:val="22"/>
                <w:lang w:eastAsia="en-US"/>
              </w:rPr>
            </w:pPr>
          </w:p>
        </w:tc>
        <w:tc>
          <w:tcPr>
            <w:tcW w:w="1277" w:type="dxa"/>
            <w:gridSpan w:val="2"/>
            <w:shd w:val="clear" w:color="auto" w:fill="auto"/>
            <w:tcMar>
              <w:left w:w="28" w:type="dxa"/>
              <w:right w:w="28" w:type="dxa"/>
            </w:tcMar>
          </w:tcPr>
          <w:p w14:paraId="34F46463" w14:textId="77777777" w:rsidR="004C1CED" w:rsidRPr="00434E9D" w:rsidRDefault="004C1CED" w:rsidP="004C1CED">
            <w:pPr>
              <w:widowControl/>
              <w:spacing w:before="40" w:after="40"/>
              <w:rPr>
                <w:rFonts w:eastAsia="Calibri"/>
                <w:noProof/>
                <w:sz w:val="22"/>
                <w:szCs w:val="22"/>
                <w:lang w:eastAsia="en-US"/>
              </w:rPr>
            </w:pPr>
          </w:p>
        </w:tc>
        <w:tc>
          <w:tcPr>
            <w:tcW w:w="1136" w:type="dxa"/>
            <w:gridSpan w:val="2"/>
            <w:shd w:val="clear" w:color="auto" w:fill="auto"/>
            <w:tcMar>
              <w:left w:w="28" w:type="dxa"/>
              <w:right w:w="28" w:type="dxa"/>
            </w:tcMar>
          </w:tcPr>
          <w:p w14:paraId="1EBBFC50" w14:textId="77777777" w:rsidR="004C1CED" w:rsidRPr="00434E9D" w:rsidRDefault="004C1CED" w:rsidP="004C1CED">
            <w:pPr>
              <w:widowControl/>
              <w:spacing w:before="40" w:after="40"/>
              <w:rPr>
                <w:rFonts w:eastAsia="Calibri"/>
                <w:noProof/>
                <w:sz w:val="22"/>
                <w:szCs w:val="22"/>
                <w:lang w:eastAsia="en-US"/>
              </w:rPr>
            </w:pPr>
          </w:p>
        </w:tc>
        <w:tc>
          <w:tcPr>
            <w:tcW w:w="1279" w:type="dxa"/>
            <w:gridSpan w:val="3"/>
            <w:tcMar>
              <w:left w:w="28" w:type="dxa"/>
              <w:right w:w="28" w:type="dxa"/>
            </w:tcMar>
          </w:tcPr>
          <w:p w14:paraId="2CCB5471" w14:textId="77777777" w:rsidR="004C1CED" w:rsidRPr="00434E9D" w:rsidRDefault="004C1CED" w:rsidP="004C1CED">
            <w:pPr>
              <w:widowControl/>
              <w:spacing w:before="40" w:after="40"/>
              <w:rPr>
                <w:rFonts w:eastAsia="Calibri"/>
                <w:noProof/>
                <w:sz w:val="22"/>
                <w:szCs w:val="22"/>
                <w:lang w:eastAsia="en-US"/>
              </w:rPr>
            </w:pPr>
          </w:p>
        </w:tc>
        <w:tc>
          <w:tcPr>
            <w:tcW w:w="1136" w:type="dxa"/>
            <w:tcMar>
              <w:left w:w="28" w:type="dxa"/>
              <w:right w:w="28" w:type="dxa"/>
            </w:tcMar>
          </w:tcPr>
          <w:p w14:paraId="0F73428E" w14:textId="77777777" w:rsidR="004C1CED" w:rsidRPr="00434E9D" w:rsidRDefault="004C1CED" w:rsidP="004C1CED">
            <w:pPr>
              <w:widowControl/>
              <w:spacing w:before="40" w:after="40"/>
              <w:rPr>
                <w:rFonts w:eastAsia="Calibri"/>
                <w:noProof/>
                <w:sz w:val="22"/>
                <w:szCs w:val="22"/>
                <w:lang w:eastAsia="en-US"/>
              </w:rPr>
            </w:pPr>
          </w:p>
        </w:tc>
        <w:tc>
          <w:tcPr>
            <w:tcW w:w="970" w:type="dxa"/>
            <w:tcMar>
              <w:left w:w="28" w:type="dxa"/>
              <w:right w:w="28" w:type="dxa"/>
            </w:tcMar>
          </w:tcPr>
          <w:p w14:paraId="53CCEA59"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X</w:t>
            </w:r>
          </w:p>
        </w:tc>
      </w:tr>
      <w:tr w:rsidR="004C1CED" w:rsidRPr="00434E9D" w14:paraId="330ED62B" w14:textId="77777777" w:rsidTr="00B12A07">
        <w:trPr>
          <w:gridBefore w:val="1"/>
          <w:wBefore w:w="17" w:type="dxa"/>
          <w:cantSplit/>
          <w:tblHeader/>
          <w:jc w:val="center"/>
        </w:trPr>
        <w:tc>
          <w:tcPr>
            <w:tcW w:w="651" w:type="dxa"/>
            <w:gridSpan w:val="3"/>
            <w:tcMar>
              <w:left w:w="28" w:type="dxa"/>
              <w:right w:w="28" w:type="dxa"/>
            </w:tcMar>
          </w:tcPr>
          <w:p w14:paraId="0048A013" w14:textId="77777777" w:rsidR="004C1CED" w:rsidRPr="00434E9D" w:rsidRDefault="004C1CED" w:rsidP="004C1CED">
            <w:pPr>
              <w:widowControl/>
              <w:spacing w:before="40" w:after="40"/>
              <w:jc w:val="both"/>
              <w:rPr>
                <w:rFonts w:eastAsia="Calibri"/>
                <w:noProof/>
                <w:sz w:val="22"/>
                <w:szCs w:val="22"/>
                <w:lang w:eastAsia="en-US"/>
              </w:rPr>
            </w:pPr>
            <w:r w:rsidRPr="00434E9D">
              <w:rPr>
                <w:rFonts w:eastAsia="Calibri"/>
                <w:noProof/>
                <w:sz w:val="22"/>
                <w:szCs w:val="22"/>
                <w:lang w:eastAsia="en-US"/>
              </w:rPr>
              <w:lastRenderedPageBreak/>
              <w:t>(62)</w:t>
            </w:r>
          </w:p>
        </w:tc>
        <w:tc>
          <w:tcPr>
            <w:tcW w:w="2286" w:type="dxa"/>
            <w:gridSpan w:val="3"/>
            <w:shd w:val="clear" w:color="auto" w:fill="auto"/>
            <w:tcMar>
              <w:left w:w="28" w:type="dxa"/>
              <w:right w:w="28" w:type="dxa"/>
            </w:tcMar>
          </w:tcPr>
          <w:p w14:paraId="7D31B810"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Imidaclopride</w:t>
            </w:r>
          </w:p>
        </w:tc>
        <w:tc>
          <w:tcPr>
            <w:tcW w:w="1329" w:type="dxa"/>
            <w:gridSpan w:val="3"/>
            <w:shd w:val="clear" w:color="auto" w:fill="auto"/>
            <w:tcMar>
              <w:left w:w="28" w:type="dxa"/>
              <w:right w:w="28" w:type="dxa"/>
            </w:tcMar>
          </w:tcPr>
          <w:p w14:paraId="776F42BC"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Pesticides néonicotinoïdes</w:t>
            </w:r>
          </w:p>
        </w:tc>
        <w:tc>
          <w:tcPr>
            <w:tcW w:w="992" w:type="dxa"/>
            <w:gridSpan w:val="2"/>
            <w:shd w:val="clear" w:color="auto" w:fill="auto"/>
            <w:tcMar>
              <w:left w:w="28" w:type="dxa"/>
              <w:right w:w="28" w:type="dxa"/>
            </w:tcMar>
          </w:tcPr>
          <w:p w14:paraId="0260175E"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138261-41-3/105827-78-9</w:t>
            </w:r>
          </w:p>
        </w:tc>
        <w:tc>
          <w:tcPr>
            <w:tcW w:w="1134" w:type="dxa"/>
          </w:tcPr>
          <w:p w14:paraId="3B6D285F"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428-040-8</w:t>
            </w:r>
          </w:p>
        </w:tc>
        <w:tc>
          <w:tcPr>
            <w:tcW w:w="1279" w:type="dxa"/>
            <w:gridSpan w:val="2"/>
            <w:shd w:val="clear" w:color="auto" w:fill="auto"/>
            <w:tcMar>
              <w:left w:w="28" w:type="dxa"/>
              <w:right w:w="28" w:type="dxa"/>
            </w:tcMar>
          </w:tcPr>
          <w:p w14:paraId="65B29955"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0,0068</w:t>
            </w:r>
          </w:p>
        </w:tc>
        <w:tc>
          <w:tcPr>
            <w:tcW w:w="1279" w:type="dxa"/>
            <w:gridSpan w:val="2"/>
            <w:shd w:val="clear" w:color="auto" w:fill="auto"/>
            <w:tcMar>
              <w:left w:w="28" w:type="dxa"/>
              <w:right w:w="28" w:type="dxa"/>
            </w:tcMar>
          </w:tcPr>
          <w:p w14:paraId="0FB1340A"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6,8 × 10</w:t>
            </w:r>
            <w:r w:rsidRPr="00434E9D">
              <w:rPr>
                <w:rFonts w:eastAsia="Calibri"/>
                <w:noProof/>
                <w:sz w:val="22"/>
                <w:szCs w:val="22"/>
                <w:vertAlign w:val="superscript"/>
                <w:lang w:eastAsia="en-US"/>
              </w:rPr>
              <w:t>-4</w:t>
            </w:r>
          </w:p>
        </w:tc>
        <w:tc>
          <w:tcPr>
            <w:tcW w:w="1278" w:type="dxa"/>
            <w:gridSpan w:val="2"/>
            <w:shd w:val="clear" w:color="auto" w:fill="auto"/>
            <w:tcMar>
              <w:left w:w="28" w:type="dxa"/>
              <w:right w:w="28" w:type="dxa"/>
            </w:tcMar>
          </w:tcPr>
          <w:p w14:paraId="1C26152A"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0,057</w:t>
            </w:r>
          </w:p>
        </w:tc>
        <w:tc>
          <w:tcPr>
            <w:tcW w:w="1277" w:type="dxa"/>
            <w:gridSpan w:val="2"/>
            <w:shd w:val="clear" w:color="auto" w:fill="auto"/>
            <w:tcMar>
              <w:left w:w="28" w:type="dxa"/>
              <w:right w:w="28" w:type="dxa"/>
            </w:tcMar>
          </w:tcPr>
          <w:p w14:paraId="7C06A234"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0,0057</w:t>
            </w:r>
          </w:p>
        </w:tc>
        <w:tc>
          <w:tcPr>
            <w:tcW w:w="1136" w:type="dxa"/>
            <w:gridSpan w:val="2"/>
            <w:shd w:val="clear" w:color="auto" w:fill="auto"/>
            <w:tcMar>
              <w:left w:w="28" w:type="dxa"/>
              <w:right w:w="28" w:type="dxa"/>
            </w:tcMar>
          </w:tcPr>
          <w:p w14:paraId="25899CB4" w14:textId="77777777" w:rsidR="004C1CED" w:rsidRPr="00434E9D" w:rsidRDefault="004C1CED" w:rsidP="004C1CED">
            <w:pPr>
              <w:widowControl/>
              <w:spacing w:before="40" w:after="40"/>
              <w:rPr>
                <w:rFonts w:eastAsia="Calibri"/>
                <w:noProof/>
                <w:sz w:val="22"/>
                <w:szCs w:val="22"/>
                <w:lang w:eastAsia="en-US"/>
              </w:rPr>
            </w:pPr>
          </w:p>
        </w:tc>
        <w:tc>
          <w:tcPr>
            <w:tcW w:w="1262" w:type="dxa"/>
            <w:gridSpan w:val="2"/>
            <w:tcMar>
              <w:left w:w="28" w:type="dxa"/>
              <w:right w:w="28" w:type="dxa"/>
            </w:tcMar>
          </w:tcPr>
          <w:p w14:paraId="2B4D69F4" w14:textId="77777777" w:rsidR="004C1CED" w:rsidRPr="00434E9D" w:rsidRDefault="004C1CED" w:rsidP="004C1CED">
            <w:pPr>
              <w:widowControl/>
              <w:spacing w:before="40" w:after="40"/>
              <w:rPr>
                <w:rFonts w:eastAsia="Calibri"/>
                <w:noProof/>
                <w:sz w:val="22"/>
                <w:szCs w:val="22"/>
                <w:lang w:eastAsia="en-US"/>
              </w:rPr>
            </w:pPr>
          </w:p>
        </w:tc>
        <w:tc>
          <w:tcPr>
            <w:tcW w:w="1153" w:type="dxa"/>
            <w:gridSpan w:val="2"/>
            <w:tcMar>
              <w:left w:w="28" w:type="dxa"/>
              <w:right w:w="28" w:type="dxa"/>
            </w:tcMar>
          </w:tcPr>
          <w:p w14:paraId="53E670D5" w14:textId="77777777" w:rsidR="004C1CED" w:rsidRPr="00434E9D" w:rsidRDefault="004C1CED" w:rsidP="004C1CED">
            <w:pPr>
              <w:widowControl/>
              <w:spacing w:before="40" w:after="40"/>
              <w:rPr>
                <w:rFonts w:eastAsia="Calibri"/>
                <w:noProof/>
                <w:sz w:val="22"/>
                <w:szCs w:val="22"/>
                <w:lang w:eastAsia="en-US"/>
              </w:rPr>
            </w:pPr>
          </w:p>
        </w:tc>
        <w:tc>
          <w:tcPr>
            <w:tcW w:w="970" w:type="dxa"/>
            <w:tcMar>
              <w:left w:w="28" w:type="dxa"/>
              <w:right w:w="28" w:type="dxa"/>
            </w:tcMar>
          </w:tcPr>
          <w:p w14:paraId="4A838840" w14:textId="77777777" w:rsidR="004C1CED" w:rsidRPr="00434E9D" w:rsidRDefault="004C1CED" w:rsidP="004C1CED">
            <w:pPr>
              <w:widowControl/>
              <w:spacing w:before="40" w:after="40"/>
              <w:rPr>
                <w:rFonts w:eastAsia="Calibri"/>
                <w:noProof/>
                <w:sz w:val="22"/>
                <w:szCs w:val="22"/>
                <w:lang w:eastAsia="en-US"/>
              </w:rPr>
            </w:pPr>
          </w:p>
        </w:tc>
      </w:tr>
      <w:tr w:rsidR="004C1CED" w:rsidRPr="00434E9D" w14:paraId="77E74E2E" w14:textId="77777777" w:rsidTr="00B12A07">
        <w:trPr>
          <w:gridBefore w:val="1"/>
          <w:wBefore w:w="17" w:type="dxa"/>
          <w:cantSplit/>
          <w:tblHeader/>
          <w:jc w:val="center"/>
        </w:trPr>
        <w:tc>
          <w:tcPr>
            <w:tcW w:w="651" w:type="dxa"/>
            <w:gridSpan w:val="3"/>
            <w:tcMar>
              <w:left w:w="28" w:type="dxa"/>
              <w:right w:w="28" w:type="dxa"/>
            </w:tcMar>
          </w:tcPr>
          <w:p w14:paraId="5B3AFE12" w14:textId="77777777" w:rsidR="004C1CED" w:rsidRPr="00434E9D" w:rsidRDefault="004C1CED" w:rsidP="004C1CED">
            <w:pPr>
              <w:widowControl/>
              <w:spacing w:before="40" w:after="40"/>
              <w:jc w:val="both"/>
              <w:rPr>
                <w:rFonts w:eastAsia="Calibri"/>
                <w:noProof/>
                <w:sz w:val="22"/>
                <w:szCs w:val="22"/>
                <w:lang w:eastAsia="en-US"/>
              </w:rPr>
            </w:pPr>
            <w:r w:rsidRPr="00434E9D">
              <w:rPr>
                <w:rFonts w:eastAsia="Calibri"/>
                <w:noProof/>
                <w:sz w:val="22"/>
                <w:szCs w:val="22"/>
                <w:lang w:eastAsia="en-US"/>
              </w:rPr>
              <w:t>(63)</w:t>
            </w:r>
          </w:p>
        </w:tc>
        <w:tc>
          <w:tcPr>
            <w:tcW w:w="2286" w:type="dxa"/>
            <w:gridSpan w:val="3"/>
            <w:shd w:val="clear" w:color="auto" w:fill="auto"/>
            <w:tcMar>
              <w:left w:w="28" w:type="dxa"/>
              <w:right w:w="28" w:type="dxa"/>
            </w:tcMar>
          </w:tcPr>
          <w:p w14:paraId="0131D933"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Nicosulfuron</w:t>
            </w:r>
          </w:p>
        </w:tc>
        <w:tc>
          <w:tcPr>
            <w:tcW w:w="1329" w:type="dxa"/>
            <w:gridSpan w:val="3"/>
            <w:shd w:val="clear" w:color="auto" w:fill="auto"/>
            <w:tcMar>
              <w:left w:w="28" w:type="dxa"/>
              <w:right w:w="28" w:type="dxa"/>
            </w:tcMar>
          </w:tcPr>
          <w:p w14:paraId="70663924"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Herbicides</w:t>
            </w:r>
          </w:p>
        </w:tc>
        <w:tc>
          <w:tcPr>
            <w:tcW w:w="992" w:type="dxa"/>
            <w:gridSpan w:val="2"/>
            <w:shd w:val="clear" w:color="auto" w:fill="auto"/>
            <w:tcMar>
              <w:left w:w="28" w:type="dxa"/>
              <w:right w:w="28" w:type="dxa"/>
            </w:tcMar>
          </w:tcPr>
          <w:p w14:paraId="1CAAFC17"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111991-09-4</w:t>
            </w:r>
          </w:p>
        </w:tc>
        <w:tc>
          <w:tcPr>
            <w:tcW w:w="1134" w:type="dxa"/>
          </w:tcPr>
          <w:p w14:paraId="6695AD7C"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601-148-4</w:t>
            </w:r>
          </w:p>
        </w:tc>
        <w:tc>
          <w:tcPr>
            <w:tcW w:w="1279" w:type="dxa"/>
            <w:gridSpan w:val="2"/>
            <w:shd w:val="clear" w:color="auto" w:fill="auto"/>
            <w:tcMar>
              <w:left w:w="28" w:type="dxa"/>
              <w:right w:w="28" w:type="dxa"/>
            </w:tcMar>
          </w:tcPr>
          <w:p w14:paraId="172D518E"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0,0087</w:t>
            </w:r>
          </w:p>
        </w:tc>
        <w:tc>
          <w:tcPr>
            <w:tcW w:w="1279" w:type="dxa"/>
            <w:gridSpan w:val="2"/>
            <w:shd w:val="clear" w:color="auto" w:fill="auto"/>
            <w:tcMar>
              <w:left w:w="28" w:type="dxa"/>
              <w:right w:w="28" w:type="dxa"/>
            </w:tcMar>
          </w:tcPr>
          <w:p w14:paraId="409E7074"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8,7 × 10</w:t>
            </w:r>
            <w:r w:rsidRPr="00434E9D">
              <w:rPr>
                <w:rFonts w:eastAsia="Calibri"/>
                <w:noProof/>
                <w:sz w:val="22"/>
                <w:szCs w:val="22"/>
                <w:vertAlign w:val="superscript"/>
                <w:lang w:eastAsia="en-US"/>
              </w:rPr>
              <w:t>-4</w:t>
            </w:r>
          </w:p>
        </w:tc>
        <w:tc>
          <w:tcPr>
            <w:tcW w:w="1278" w:type="dxa"/>
            <w:gridSpan w:val="2"/>
            <w:shd w:val="clear" w:color="auto" w:fill="auto"/>
            <w:tcMar>
              <w:left w:w="28" w:type="dxa"/>
              <w:right w:w="28" w:type="dxa"/>
            </w:tcMar>
          </w:tcPr>
          <w:p w14:paraId="194CF101"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0,23</w:t>
            </w:r>
          </w:p>
        </w:tc>
        <w:tc>
          <w:tcPr>
            <w:tcW w:w="1277" w:type="dxa"/>
            <w:gridSpan w:val="2"/>
            <w:shd w:val="clear" w:color="auto" w:fill="auto"/>
            <w:tcMar>
              <w:left w:w="28" w:type="dxa"/>
              <w:right w:w="28" w:type="dxa"/>
            </w:tcMar>
          </w:tcPr>
          <w:p w14:paraId="37C66531"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0,023</w:t>
            </w:r>
          </w:p>
        </w:tc>
        <w:tc>
          <w:tcPr>
            <w:tcW w:w="1136" w:type="dxa"/>
            <w:gridSpan w:val="2"/>
            <w:shd w:val="clear" w:color="auto" w:fill="auto"/>
            <w:tcMar>
              <w:left w:w="28" w:type="dxa"/>
              <w:right w:w="28" w:type="dxa"/>
            </w:tcMar>
          </w:tcPr>
          <w:p w14:paraId="5124DA9F" w14:textId="77777777" w:rsidR="004C1CED" w:rsidRPr="00434E9D" w:rsidRDefault="004C1CED" w:rsidP="004C1CED">
            <w:pPr>
              <w:widowControl/>
              <w:spacing w:before="40" w:after="40"/>
              <w:rPr>
                <w:rFonts w:eastAsia="Calibri"/>
                <w:noProof/>
                <w:sz w:val="22"/>
                <w:szCs w:val="22"/>
                <w:lang w:eastAsia="en-US"/>
              </w:rPr>
            </w:pPr>
          </w:p>
        </w:tc>
        <w:tc>
          <w:tcPr>
            <w:tcW w:w="1262" w:type="dxa"/>
            <w:gridSpan w:val="2"/>
            <w:tcMar>
              <w:left w:w="28" w:type="dxa"/>
              <w:right w:w="28" w:type="dxa"/>
            </w:tcMar>
          </w:tcPr>
          <w:p w14:paraId="0DE3ED17" w14:textId="77777777" w:rsidR="004C1CED" w:rsidRPr="00434E9D" w:rsidRDefault="004C1CED" w:rsidP="004C1CED">
            <w:pPr>
              <w:widowControl/>
              <w:spacing w:before="40" w:after="40"/>
              <w:rPr>
                <w:rFonts w:eastAsia="Calibri"/>
                <w:noProof/>
                <w:sz w:val="22"/>
                <w:szCs w:val="22"/>
                <w:lang w:eastAsia="en-US"/>
              </w:rPr>
            </w:pPr>
          </w:p>
        </w:tc>
        <w:tc>
          <w:tcPr>
            <w:tcW w:w="1153" w:type="dxa"/>
            <w:gridSpan w:val="2"/>
            <w:tcMar>
              <w:left w:w="28" w:type="dxa"/>
              <w:right w:w="28" w:type="dxa"/>
            </w:tcMar>
          </w:tcPr>
          <w:p w14:paraId="7C0B5156" w14:textId="77777777" w:rsidR="004C1CED" w:rsidRPr="00434E9D" w:rsidRDefault="004C1CED" w:rsidP="004C1CED">
            <w:pPr>
              <w:widowControl/>
              <w:spacing w:before="40" w:after="40"/>
              <w:rPr>
                <w:rFonts w:eastAsia="Calibri"/>
                <w:noProof/>
                <w:sz w:val="22"/>
                <w:szCs w:val="22"/>
                <w:lang w:eastAsia="en-US"/>
              </w:rPr>
            </w:pPr>
          </w:p>
        </w:tc>
        <w:tc>
          <w:tcPr>
            <w:tcW w:w="970" w:type="dxa"/>
            <w:tcMar>
              <w:left w:w="28" w:type="dxa"/>
              <w:right w:w="28" w:type="dxa"/>
            </w:tcMar>
          </w:tcPr>
          <w:p w14:paraId="593C431B" w14:textId="77777777" w:rsidR="004C1CED" w:rsidRPr="00434E9D" w:rsidRDefault="004C1CED" w:rsidP="004C1CED">
            <w:pPr>
              <w:widowControl/>
              <w:spacing w:before="40" w:after="40"/>
              <w:rPr>
                <w:rFonts w:eastAsia="Calibri"/>
                <w:noProof/>
                <w:sz w:val="22"/>
                <w:szCs w:val="22"/>
                <w:lang w:eastAsia="en-US"/>
              </w:rPr>
            </w:pPr>
          </w:p>
        </w:tc>
      </w:tr>
      <w:tr w:rsidR="004C1CED" w:rsidRPr="00434E9D" w14:paraId="45CDFC85" w14:textId="77777777" w:rsidTr="00B12A07">
        <w:trPr>
          <w:gridBefore w:val="1"/>
          <w:wBefore w:w="17" w:type="dxa"/>
          <w:cantSplit/>
          <w:tblHeader/>
          <w:jc w:val="center"/>
        </w:trPr>
        <w:tc>
          <w:tcPr>
            <w:tcW w:w="651" w:type="dxa"/>
            <w:gridSpan w:val="3"/>
            <w:tcMar>
              <w:left w:w="28" w:type="dxa"/>
              <w:right w:w="28" w:type="dxa"/>
            </w:tcMar>
          </w:tcPr>
          <w:p w14:paraId="7FAF1FB6" w14:textId="77777777" w:rsidR="004C1CED" w:rsidRPr="00434E9D" w:rsidRDefault="004C1CED" w:rsidP="004C1CED">
            <w:pPr>
              <w:widowControl/>
              <w:spacing w:before="40" w:after="40"/>
              <w:jc w:val="both"/>
              <w:rPr>
                <w:rFonts w:eastAsia="Calibri"/>
                <w:noProof/>
                <w:sz w:val="22"/>
                <w:szCs w:val="22"/>
                <w:lang w:eastAsia="en-US"/>
              </w:rPr>
            </w:pPr>
            <w:r w:rsidRPr="00434E9D">
              <w:rPr>
                <w:rFonts w:eastAsia="Calibri"/>
                <w:noProof/>
                <w:sz w:val="22"/>
                <w:szCs w:val="22"/>
                <w:lang w:eastAsia="en-US"/>
              </w:rPr>
              <w:t>(64)</w:t>
            </w:r>
          </w:p>
        </w:tc>
        <w:tc>
          <w:tcPr>
            <w:tcW w:w="2286" w:type="dxa"/>
            <w:gridSpan w:val="3"/>
            <w:shd w:val="clear" w:color="auto" w:fill="auto"/>
            <w:tcMar>
              <w:left w:w="28" w:type="dxa"/>
              <w:right w:w="28" w:type="dxa"/>
            </w:tcMar>
          </w:tcPr>
          <w:p w14:paraId="7C60839F"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Perméthrine</w:t>
            </w:r>
          </w:p>
        </w:tc>
        <w:tc>
          <w:tcPr>
            <w:tcW w:w="1329" w:type="dxa"/>
            <w:gridSpan w:val="3"/>
            <w:shd w:val="clear" w:color="auto" w:fill="auto"/>
            <w:tcMar>
              <w:left w:w="28" w:type="dxa"/>
              <w:right w:w="28" w:type="dxa"/>
            </w:tcMar>
          </w:tcPr>
          <w:p w14:paraId="1DA66A5E"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Pesticides pyréthrinoïdes</w:t>
            </w:r>
          </w:p>
        </w:tc>
        <w:tc>
          <w:tcPr>
            <w:tcW w:w="992" w:type="dxa"/>
            <w:gridSpan w:val="2"/>
            <w:shd w:val="clear" w:color="auto" w:fill="auto"/>
            <w:tcMar>
              <w:left w:w="28" w:type="dxa"/>
              <w:right w:w="28" w:type="dxa"/>
            </w:tcMar>
          </w:tcPr>
          <w:p w14:paraId="144B5884"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52645-53-1</w:t>
            </w:r>
          </w:p>
        </w:tc>
        <w:tc>
          <w:tcPr>
            <w:tcW w:w="1134" w:type="dxa"/>
          </w:tcPr>
          <w:p w14:paraId="298F748E"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258-067-9</w:t>
            </w:r>
          </w:p>
        </w:tc>
        <w:tc>
          <w:tcPr>
            <w:tcW w:w="1279" w:type="dxa"/>
            <w:gridSpan w:val="2"/>
            <w:shd w:val="clear" w:color="auto" w:fill="auto"/>
            <w:tcMar>
              <w:left w:w="28" w:type="dxa"/>
              <w:right w:w="28" w:type="dxa"/>
            </w:tcMar>
          </w:tcPr>
          <w:p w14:paraId="7F7732B0"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2,7 × 10</w:t>
            </w:r>
            <w:r w:rsidRPr="00434E9D">
              <w:rPr>
                <w:rFonts w:eastAsia="Calibri"/>
                <w:noProof/>
                <w:sz w:val="22"/>
                <w:szCs w:val="22"/>
                <w:vertAlign w:val="superscript"/>
                <w:lang w:eastAsia="en-US"/>
              </w:rPr>
              <w:t>-4</w:t>
            </w:r>
          </w:p>
        </w:tc>
        <w:tc>
          <w:tcPr>
            <w:tcW w:w="1279" w:type="dxa"/>
            <w:gridSpan w:val="2"/>
            <w:shd w:val="clear" w:color="auto" w:fill="auto"/>
            <w:tcMar>
              <w:left w:w="28" w:type="dxa"/>
              <w:right w:w="28" w:type="dxa"/>
            </w:tcMar>
          </w:tcPr>
          <w:p w14:paraId="1AE0989B"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2,7 × 10</w:t>
            </w:r>
            <w:r w:rsidRPr="00434E9D">
              <w:rPr>
                <w:rFonts w:eastAsia="Calibri"/>
                <w:noProof/>
                <w:sz w:val="22"/>
                <w:szCs w:val="22"/>
                <w:vertAlign w:val="superscript"/>
                <w:lang w:eastAsia="en-US"/>
              </w:rPr>
              <w:t>-5</w:t>
            </w:r>
          </w:p>
        </w:tc>
        <w:tc>
          <w:tcPr>
            <w:tcW w:w="1278" w:type="dxa"/>
            <w:gridSpan w:val="2"/>
            <w:shd w:val="clear" w:color="auto" w:fill="auto"/>
            <w:tcMar>
              <w:left w:w="28" w:type="dxa"/>
              <w:right w:w="28" w:type="dxa"/>
            </w:tcMar>
          </w:tcPr>
          <w:p w14:paraId="354B1FCB"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0,0025</w:t>
            </w:r>
          </w:p>
        </w:tc>
        <w:tc>
          <w:tcPr>
            <w:tcW w:w="1277" w:type="dxa"/>
            <w:gridSpan w:val="2"/>
            <w:shd w:val="clear" w:color="auto" w:fill="auto"/>
            <w:tcMar>
              <w:left w:w="28" w:type="dxa"/>
              <w:right w:w="28" w:type="dxa"/>
            </w:tcMar>
          </w:tcPr>
          <w:p w14:paraId="1E0F6C0A"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2,5 × 10</w:t>
            </w:r>
            <w:r w:rsidRPr="00434E9D">
              <w:rPr>
                <w:rFonts w:eastAsia="Calibri"/>
                <w:noProof/>
                <w:sz w:val="22"/>
                <w:szCs w:val="22"/>
                <w:vertAlign w:val="superscript"/>
                <w:lang w:eastAsia="en-US"/>
              </w:rPr>
              <w:t>-4</w:t>
            </w:r>
          </w:p>
        </w:tc>
        <w:tc>
          <w:tcPr>
            <w:tcW w:w="1136" w:type="dxa"/>
            <w:gridSpan w:val="2"/>
            <w:shd w:val="clear" w:color="auto" w:fill="auto"/>
            <w:tcMar>
              <w:left w:w="28" w:type="dxa"/>
              <w:right w:w="28" w:type="dxa"/>
            </w:tcMar>
          </w:tcPr>
          <w:p w14:paraId="50B08570" w14:textId="77777777" w:rsidR="004C1CED" w:rsidRPr="00434E9D" w:rsidRDefault="004C1CED" w:rsidP="004C1CED">
            <w:pPr>
              <w:widowControl/>
              <w:spacing w:before="40" w:after="40"/>
              <w:rPr>
                <w:rFonts w:eastAsia="Calibri"/>
                <w:noProof/>
                <w:sz w:val="22"/>
                <w:szCs w:val="22"/>
                <w:lang w:eastAsia="en-US"/>
              </w:rPr>
            </w:pPr>
          </w:p>
        </w:tc>
        <w:tc>
          <w:tcPr>
            <w:tcW w:w="1262" w:type="dxa"/>
            <w:gridSpan w:val="2"/>
            <w:tcMar>
              <w:left w:w="28" w:type="dxa"/>
              <w:right w:w="28" w:type="dxa"/>
            </w:tcMar>
          </w:tcPr>
          <w:p w14:paraId="1EFBF04F" w14:textId="77777777" w:rsidR="004C1CED" w:rsidRPr="00434E9D" w:rsidRDefault="004C1CED" w:rsidP="004C1CED">
            <w:pPr>
              <w:widowControl/>
              <w:spacing w:before="40" w:after="40"/>
              <w:rPr>
                <w:rFonts w:eastAsia="Calibri"/>
                <w:noProof/>
                <w:sz w:val="22"/>
                <w:szCs w:val="22"/>
                <w:lang w:eastAsia="en-US"/>
              </w:rPr>
            </w:pPr>
          </w:p>
        </w:tc>
        <w:tc>
          <w:tcPr>
            <w:tcW w:w="1153" w:type="dxa"/>
            <w:gridSpan w:val="2"/>
            <w:tcMar>
              <w:left w:w="28" w:type="dxa"/>
              <w:right w:w="28" w:type="dxa"/>
            </w:tcMar>
          </w:tcPr>
          <w:p w14:paraId="423EB947" w14:textId="77777777" w:rsidR="004C1CED" w:rsidRPr="00434E9D" w:rsidRDefault="004C1CED" w:rsidP="004C1CED">
            <w:pPr>
              <w:widowControl/>
              <w:spacing w:before="40" w:after="40"/>
              <w:rPr>
                <w:rFonts w:eastAsia="Calibri"/>
                <w:noProof/>
                <w:sz w:val="22"/>
                <w:szCs w:val="22"/>
                <w:lang w:eastAsia="en-US"/>
              </w:rPr>
            </w:pPr>
          </w:p>
        </w:tc>
        <w:tc>
          <w:tcPr>
            <w:tcW w:w="970" w:type="dxa"/>
            <w:tcMar>
              <w:left w:w="28" w:type="dxa"/>
              <w:right w:w="28" w:type="dxa"/>
            </w:tcMar>
          </w:tcPr>
          <w:p w14:paraId="7B56A391"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X</w:t>
            </w:r>
          </w:p>
        </w:tc>
      </w:tr>
      <w:tr w:rsidR="004C1CED" w:rsidRPr="00434E9D" w14:paraId="508A1BA8" w14:textId="77777777" w:rsidTr="00B12A07">
        <w:trPr>
          <w:gridBefore w:val="1"/>
          <w:wBefore w:w="17" w:type="dxa"/>
          <w:cantSplit/>
          <w:tblHeader/>
          <w:jc w:val="center"/>
        </w:trPr>
        <w:tc>
          <w:tcPr>
            <w:tcW w:w="651" w:type="dxa"/>
            <w:gridSpan w:val="3"/>
            <w:tcMar>
              <w:left w:w="28" w:type="dxa"/>
              <w:right w:w="28" w:type="dxa"/>
            </w:tcMar>
          </w:tcPr>
          <w:p w14:paraId="0A5D4420" w14:textId="77777777" w:rsidR="004C1CED" w:rsidRPr="00434E9D" w:rsidRDefault="004C1CED" w:rsidP="004C1CED">
            <w:pPr>
              <w:keepNext/>
              <w:widowControl/>
              <w:spacing w:before="40" w:after="40"/>
              <w:jc w:val="both"/>
              <w:rPr>
                <w:rFonts w:eastAsia="Calibri"/>
                <w:noProof/>
                <w:sz w:val="22"/>
                <w:szCs w:val="22"/>
                <w:lang w:eastAsia="en-US"/>
              </w:rPr>
            </w:pPr>
            <w:r w:rsidRPr="00434E9D">
              <w:rPr>
                <w:rFonts w:eastAsia="Calibri"/>
                <w:noProof/>
                <w:sz w:val="22"/>
                <w:szCs w:val="22"/>
                <w:lang w:eastAsia="en-US"/>
              </w:rPr>
              <w:t>(65)</w:t>
            </w:r>
          </w:p>
        </w:tc>
        <w:tc>
          <w:tcPr>
            <w:tcW w:w="2286" w:type="dxa"/>
            <w:gridSpan w:val="3"/>
            <w:shd w:val="clear" w:color="auto" w:fill="auto"/>
            <w:tcMar>
              <w:left w:w="28" w:type="dxa"/>
              <w:right w:w="28" w:type="dxa"/>
            </w:tcMar>
          </w:tcPr>
          <w:p w14:paraId="370B2FE1" w14:textId="77777777" w:rsidR="004C1CED" w:rsidRPr="00434E9D" w:rsidRDefault="004C1CED" w:rsidP="004C1CED">
            <w:pPr>
              <w:keepNext/>
              <w:widowControl/>
              <w:spacing w:before="40" w:after="40"/>
              <w:rPr>
                <w:rFonts w:eastAsia="Calibri"/>
                <w:noProof/>
                <w:sz w:val="22"/>
                <w:szCs w:val="22"/>
                <w:lang w:eastAsia="en-US"/>
              </w:rPr>
            </w:pPr>
            <w:r w:rsidRPr="00434E9D">
              <w:rPr>
                <w:rFonts w:eastAsia="Calibri"/>
                <w:noProof/>
                <w:sz w:val="22"/>
                <w:szCs w:val="22"/>
                <w:lang w:eastAsia="en-US"/>
              </w:rPr>
              <w:t xml:space="preserve">Substances per- et polyfluoroalkylées (PFAS) – somme des 24 </w:t>
            </w:r>
            <w:bookmarkStart w:id="41" w:name="_Ref101448197"/>
            <w:r w:rsidRPr="00434E9D">
              <w:rPr>
                <w:rFonts w:eastAsia="Calibri"/>
                <w:noProof/>
                <w:sz w:val="22"/>
                <w:szCs w:val="22"/>
                <w:lang w:eastAsia="en-US"/>
              </w:rPr>
              <w:t>(</w:t>
            </w:r>
            <w:r w:rsidRPr="00434E9D">
              <w:rPr>
                <w:rFonts w:eastAsia="Calibri"/>
                <w:noProof/>
                <w:sz w:val="22"/>
                <w:szCs w:val="22"/>
                <w:vertAlign w:val="superscript"/>
                <w:lang w:eastAsia="en-US"/>
              </w:rPr>
              <w:t>27</w:t>
            </w:r>
            <w:r w:rsidRPr="00434E9D">
              <w:rPr>
                <w:rFonts w:eastAsia="Calibri"/>
                <w:noProof/>
                <w:sz w:val="22"/>
                <w:szCs w:val="22"/>
                <w:lang w:eastAsia="en-US"/>
              </w:rPr>
              <w:t>)</w:t>
            </w:r>
            <w:bookmarkEnd w:id="41"/>
          </w:p>
        </w:tc>
        <w:tc>
          <w:tcPr>
            <w:tcW w:w="1329" w:type="dxa"/>
            <w:gridSpan w:val="3"/>
            <w:shd w:val="clear" w:color="auto" w:fill="auto"/>
            <w:tcMar>
              <w:left w:w="28" w:type="dxa"/>
              <w:right w:w="28" w:type="dxa"/>
            </w:tcMar>
          </w:tcPr>
          <w:p w14:paraId="4338A3AE" w14:textId="77777777" w:rsidR="004C1CED" w:rsidRPr="00434E9D" w:rsidRDefault="004C1CED" w:rsidP="004C1CED">
            <w:pPr>
              <w:keepNext/>
              <w:widowControl/>
              <w:spacing w:before="40" w:after="40"/>
              <w:rPr>
                <w:rFonts w:eastAsia="Calibri"/>
                <w:noProof/>
                <w:sz w:val="22"/>
                <w:szCs w:val="22"/>
                <w:lang w:eastAsia="en-US"/>
              </w:rPr>
            </w:pPr>
            <w:r w:rsidRPr="00434E9D">
              <w:rPr>
                <w:rFonts w:eastAsia="Calibri"/>
                <w:noProof/>
                <w:sz w:val="22"/>
                <w:szCs w:val="22"/>
                <w:lang w:eastAsia="en-US"/>
              </w:rPr>
              <w:t>Substances industrielles</w:t>
            </w:r>
          </w:p>
        </w:tc>
        <w:tc>
          <w:tcPr>
            <w:tcW w:w="992" w:type="dxa"/>
            <w:gridSpan w:val="2"/>
            <w:shd w:val="clear" w:color="auto" w:fill="auto"/>
            <w:tcMar>
              <w:left w:w="28" w:type="dxa"/>
              <w:right w:w="28" w:type="dxa"/>
            </w:tcMar>
          </w:tcPr>
          <w:p w14:paraId="6EEC14FD" w14:textId="77777777" w:rsidR="004C1CED" w:rsidRPr="00434E9D" w:rsidRDefault="004C1CED" w:rsidP="004C1CED">
            <w:pPr>
              <w:keepNext/>
              <w:widowControl/>
              <w:spacing w:before="40" w:after="40"/>
              <w:rPr>
                <w:rFonts w:eastAsia="Calibri"/>
                <w:noProof/>
                <w:sz w:val="22"/>
                <w:szCs w:val="22"/>
                <w:lang w:eastAsia="en-US"/>
              </w:rPr>
            </w:pPr>
            <w:r w:rsidRPr="00434E9D">
              <w:rPr>
                <w:rFonts w:eastAsia="Calibri"/>
                <w:noProof/>
                <w:sz w:val="22"/>
                <w:szCs w:val="22"/>
                <w:lang w:eastAsia="en-US"/>
              </w:rPr>
              <w:t>sans objet</w:t>
            </w:r>
          </w:p>
        </w:tc>
        <w:tc>
          <w:tcPr>
            <w:tcW w:w="1134" w:type="dxa"/>
          </w:tcPr>
          <w:p w14:paraId="71EE1263" w14:textId="77777777" w:rsidR="004C1CED" w:rsidRPr="00434E9D" w:rsidRDefault="004C1CED" w:rsidP="004C1CED">
            <w:pPr>
              <w:keepNext/>
              <w:widowControl/>
              <w:spacing w:before="40" w:after="40"/>
              <w:rPr>
                <w:rFonts w:eastAsia="Calibri"/>
                <w:noProof/>
                <w:sz w:val="22"/>
                <w:szCs w:val="22"/>
                <w:lang w:eastAsia="en-US"/>
              </w:rPr>
            </w:pPr>
            <w:r w:rsidRPr="00434E9D">
              <w:rPr>
                <w:rFonts w:eastAsia="Calibri"/>
                <w:noProof/>
                <w:sz w:val="22"/>
                <w:szCs w:val="22"/>
                <w:lang w:eastAsia="en-US"/>
              </w:rPr>
              <w:t>sans objet</w:t>
            </w:r>
          </w:p>
        </w:tc>
        <w:tc>
          <w:tcPr>
            <w:tcW w:w="1279" w:type="dxa"/>
            <w:gridSpan w:val="2"/>
            <w:shd w:val="clear" w:color="auto" w:fill="auto"/>
            <w:tcMar>
              <w:left w:w="28" w:type="dxa"/>
              <w:right w:w="28" w:type="dxa"/>
            </w:tcMar>
          </w:tcPr>
          <w:p w14:paraId="55445022" w14:textId="77777777" w:rsidR="004C1CED" w:rsidRPr="00434E9D" w:rsidRDefault="004C1CED" w:rsidP="004C1CED">
            <w:pPr>
              <w:keepNext/>
              <w:widowControl/>
              <w:spacing w:before="40" w:after="40"/>
              <w:rPr>
                <w:rFonts w:eastAsia="Calibri"/>
                <w:noProof/>
                <w:sz w:val="22"/>
                <w:szCs w:val="22"/>
                <w:lang w:eastAsia="en-US"/>
              </w:rPr>
            </w:pPr>
            <w:r w:rsidRPr="00434E9D">
              <w:rPr>
                <w:rFonts w:eastAsia="Calibri"/>
                <w:noProof/>
                <w:sz w:val="22"/>
                <w:szCs w:val="22"/>
                <w:lang w:eastAsia="en-US"/>
              </w:rPr>
              <w:t xml:space="preserve">Somme des équivalents PFOA 0,0044 </w:t>
            </w:r>
            <w:bookmarkStart w:id="42" w:name="_Ref101448285"/>
            <w:r w:rsidRPr="00434E9D">
              <w:rPr>
                <w:rFonts w:eastAsia="Calibri"/>
                <w:noProof/>
                <w:sz w:val="22"/>
                <w:szCs w:val="22"/>
                <w:lang w:eastAsia="en-US"/>
              </w:rPr>
              <w:t>(</w:t>
            </w:r>
            <w:r w:rsidRPr="00434E9D">
              <w:rPr>
                <w:rFonts w:eastAsia="Calibri"/>
                <w:noProof/>
                <w:sz w:val="22"/>
                <w:szCs w:val="22"/>
                <w:vertAlign w:val="superscript"/>
                <w:lang w:eastAsia="en-US"/>
              </w:rPr>
              <w:t>28</w:t>
            </w:r>
            <w:r w:rsidRPr="00434E9D">
              <w:rPr>
                <w:rFonts w:eastAsia="Calibri"/>
                <w:noProof/>
                <w:sz w:val="22"/>
                <w:szCs w:val="22"/>
                <w:lang w:eastAsia="en-US"/>
              </w:rPr>
              <w:t>)</w:t>
            </w:r>
            <w:bookmarkEnd w:id="42"/>
          </w:p>
        </w:tc>
        <w:tc>
          <w:tcPr>
            <w:tcW w:w="1279" w:type="dxa"/>
            <w:gridSpan w:val="2"/>
            <w:shd w:val="clear" w:color="auto" w:fill="auto"/>
            <w:tcMar>
              <w:left w:w="28" w:type="dxa"/>
              <w:right w:w="28" w:type="dxa"/>
            </w:tcMar>
          </w:tcPr>
          <w:p w14:paraId="38C2FF0B" w14:textId="77777777" w:rsidR="004C1CED" w:rsidRPr="00434E9D" w:rsidRDefault="004C1CED" w:rsidP="004C1CED">
            <w:pPr>
              <w:keepNext/>
              <w:widowControl/>
              <w:spacing w:before="40" w:after="40"/>
              <w:rPr>
                <w:rFonts w:eastAsia="Calibri"/>
                <w:noProof/>
                <w:sz w:val="22"/>
                <w:szCs w:val="22"/>
                <w:lang w:eastAsia="en-US"/>
              </w:rPr>
            </w:pPr>
            <w:r w:rsidRPr="00434E9D">
              <w:rPr>
                <w:rFonts w:eastAsia="Calibri"/>
                <w:noProof/>
                <w:sz w:val="22"/>
                <w:szCs w:val="22"/>
                <w:lang w:eastAsia="en-US"/>
              </w:rPr>
              <w:t>Somme des équivalents PFOA 0,0044 (</w:t>
            </w:r>
            <w:r w:rsidRPr="00434E9D">
              <w:rPr>
                <w:rFonts w:eastAsia="Calibri"/>
                <w:noProof/>
                <w:sz w:val="22"/>
                <w:szCs w:val="22"/>
                <w:vertAlign w:val="superscript"/>
                <w:lang w:eastAsia="en-US"/>
              </w:rPr>
              <w:t>28</w:t>
            </w:r>
            <w:r w:rsidRPr="00434E9D">
              <w:rPr>
                <w:rFonts w:eastAsia="Calibri"/>
                <w:noProof/>
                <w:sz w:val="22"/>
                <w:szCs w:val="22"/>
                <w:lang w:eastAsia="en-US"/>
              </w:rPr>
              <w:t>)</w:t>
            </w:r>
          </w:p>
        </w:tc>
        <w:tc>
          <w:tcPr>
            <w:tcW w:w="1278" w:type="dxa"/>
            <w:gridSpan w:val="2"/>
            <w:shd w:val="clear" w:color="auto" w:fill="auto"/>
            <w:tcMar>
              <w:left w:w="28" w:type="dxa"/>
              <w:right w:w="28" w:type="dxa"/>
            </w:tcMar>
          </w:tcPr>
          <w:p w14:paraId="2BBF28E8" w14:textId="77777777" w:rsidR="004C1CED" w:rsidRPr="00434E9D" w:rsidRDefault="004C1CED" w:rsidP="004C1CED">
            <w:pPr>
              <w:keepNext/>
              <w:widowControl/>
              <w:spacing w:before="40" w:after="40"/>
              <w:rPr>
                <w:rFonts w:eastAsia="Calibri"/>
                <w:noProof/>
                <w:sz w:val="22"/>
                <w:szCs w:val="22"/>
                <w:lang w:eastAsia="en-US"/>
              </w:rPr>
            </w:pPr>
            <w:r w:rsidRPr="00434E9D">
              <w:rPr>
                <w:rFonts w:eastAsia="Calibri"/>
                <w:noProof/>
                <w:sz w:val="22"/>
                <w:szCs w:val="22"/>
                <w:lang w:eastAsia="en-US"/>
              </w:rPr>
              <w:t>sans objet</w:t>
            </w:r>
          </w:p>
        </w:tc>
        <w:tc>
          <w:tcPr>
            <w:tcW w:w="1277" w:type="dxa"/>
            <w:gridSpan w:val="2"/>
            <w:shd w:val="clear" w:color="auto" w:fill="auto"/>
            <w:tcMar>
              <w:left w:w="28" w:type="dxa"/>
              <w:right w:w="28" w:type="dxa"/>
            </w:tcMar>
          </w:tcPr>
          <w:p w14:paraId="5F9112F0" w14:textId="77777777" w:rsidR="004C1CED" w:rsidRPr="00434E9D" w:rsidRDefault="004C1CED" w:rsidP="004C1CED">
            <w:pPr>
              <w:keepNext/>
              <w:widowControl/>
              <w:spacing w:before="40" w:after="40"/>
              <w:rPr>
                <w:rFonts w:eastAsia="Calibri"/>
                <w:noProof/>
                <w:sz w:val="22"/>
                <w:szCs w:val="22"/>
                <w:lang w:eastAsia="en-US"/>
              </w:rPr>
            </w:pPr>
            <w:r w:rsidRPr="00434E9D">
              <w:rPr>
                <w:rFonts w:eastAsia="Calibri"/>
                <w:noProof/>
                <w:sz w:val="22"/>
                <w:szCs w:val="22"/>
                <w:lang w:eastAsia="en-US"/>
              </w:rPr>
              <w:t>sans objet</w:t>
            </w:r>
          </w:p>
        </w:tc>
        <w:tc>
          <w:tcPr>
            <w:tcW w:w="1136" w:type="dxa"/>
            <w:gridSpan w:val="2"/>
            <w:shd w:val="clear" w:color="auto" w:fill="auto"/>
            <w:tcMar>
              <w:left w:w="28" w:type="dxa"/>
              <w:right w:w="28" w:type="dxa"/>
            </w:tcMar>
          </w:tcPr>
          <w:p w14:paraId="5B90660A" w14:textId="77777777" w:rsidR="004C1CED" w:rsidRPr="00434E9D" w:rsidRDefault="004C1CED" w:rsidP="004C1CED">
            <w:pPr>
              <w:keepNext/>
              <w:widowControl/>
              <w:spacing w:before="40" w:after="40"/>
              <w:rPr>
                <w:rFonts w:eastAsia="Calibri"/>
                <w:noProof/>
                <w:sz w:val="22"/>
                <w:szCs w:val="22"/>
                <w:lang w:eastAsia="en-US"/>
              </w:rPr>
            </w:pPr>
            <w:r w:rsidRPr="00434E9D">
              <w:rPr>
                <w:rFonts w:eastAsia="Calibri"/>
                <w:noProof/>
                <w:sz w:val="22"/>
                <w:szCs w:val="22"/>
                <w:lang w:eastAsia="en-US"/>
              </w:rPr>
              <w:t>Somme des équivalents PFOA 0,077 (</w:t>
            </w:r>
            <w:r w:rsidRPr="00434E9D">
              <w:rPr>
                <w:rFonts w:eastAsia="Calibri"/>
                <w:noProof/>
                <w:sz w:val="22"/>
                <w:szCs w:val="22"/>
                <w:vertAlign w:val="superscript"/>
                <w:lang w:eastAsia="en-US"/>
              </w:rPr>
              <w:t>28</w:t>
            </w:r>
            <w:r w:rsidRPr="00434E9D">
              <w:rPr>
                <w:rFonts w:eastAsia="Calibri"/>
                <w:noProof/>
                <w:sz w:val="22"/>
                <w:szCs w:val="22"/>
                <w:lang w:eastAsia="en-US"/>
              </w:rPr>
              <w:t xml:space="preserve">) </w:t>
            </w:r>
          </w:p>
        </w:tc>
        <w:tc>
          <w:tcPr>
            <w:tcW w:w="1262" w:type="dxa"/>
            <w:gridSpan w:val="2"/>
            <w:tcMar>
              <w:left w:w="28" w:type="dxa"/>
              <w:right w:w="28" w:type="dxa"/>
            </w:tcMar>
          </w:tcPr>
          <w:p w14:paraId="4DA77A34" w14:textId="77777777" w:rsidR="004C1CED" w:rsidRPr="00434E9D" w:rsidRDefault="004C1CED" w:rsidP="004C1CED">
            <w:pPr>
              <w:keepNext/>
              <w:widowControl/>
              <w:spacing w:before="40" w:after="40"/>
              <w:rPr>
                <w:rFonts w:eastAsia="Calibri"/>
                <w:noProof/>
                <w:sz w:val="22"/>
                <w:szCs w:val="22"/>
                <w:lang w:eastAsia="en-US"/>
              </w:rPr>
            </w:pPr>
            <w:r w:rsidRPr="00434E9D">
              <w:rPr>
                <w:rFonts w:eastAsia="Calibri"/>
                <w:noProof/>
                <w:sz w:val="22"/>
                <w:szCs w:val="22"/>
                <w:lang w:eastAsia="en-US"/>
              </w:rPr>
              <w:t>X</w:t>
            </w:r>
          </w:p>
        </w:tc>
        <w:tc>
          <w:tcPr>
            <w:tcW w:w="1153" w:type="dxa"/>
            <w:gridSpan w:val="2"/>
            <w:tcMar>
              <w:left w:w="28" w:type="dxa"/>
              <w:right w:w="28" w:type="dxa"/>
            </w:tcMar>
          </w:tcPr>
          <w:p w14:paraId="2D07FE4D" w14:textId="77777777" w:rsidR="004C1CED" w:rsidRPr="00434E9D" w:rsidRDefault="004C1CED" w:rsidP="004C1CED">
            <w:pPr>
              <w:keepNext/>
              <w:widowControl/>
              <w:spacing w:before="40" w:after="40"/>
              <w:rPr>
                <w:rFonts w:eastAsia="Calibri"/>
                <w:noProof/>
                <w:sz w:val="22"/>
                <w:szCs w:val="22"/>
                <w:lang w:eastAsia="en-US"/>
              </w:rPr>
            </w:pPr>
            <w:r w:rsidRPr="00434E9D">
              <w:rPr>
                <w:rFonts w:eastAsia="Calibri"/>
                <w:noProof/>
                <w:sz w:val="22"/>
                <w:szCs w:val="22"/>
                <w:lang w:eastAsia="en-US"/>
              </w:rPr>
              <w:t>X</w:t>
            </w:r>
          </w:p>
        </w:tc>
        <w:tc>
          <w:tcPr>
            <w:tcW w:w="970" w:type="dxa"/>
            <w:tcMar>
              <w:left w:w="28" w:type="dxa"/>
              <w:right w:w="28" w:type="dxa"/>
            </w:tcMar>
          </w:tcPr>
          <w:p w14:paraId="26B3888C" w14:textId="77777777" w:rsidR="004C1CED" w:rsidRPr="00434E9D" w:rsidRDefault="004C1CED" w:rsidP="004C1CED">
            <w:pPr>
              <w:keepNext/>
              <w:widowControl/>
              <w:spacing w:before="40" w:after="40"/>
              <w:rPr>
                <w:rFonts w:eastAsia="Calibri"/>
                <w:noProof/>
                <w:sz w:val="22"/>
                <w:szCs w:val="22"/>
                <w:lang w:eastAsia="en-US"/>
              </w:rPr>
            </w:pPr>
            <w:r w:rsidRPr="00434E9D">
              <w:rPr>
                <w:rFonts w:eastAsia="Calibri"/>
                <w:noProof/>
                <w:sz w:val="22"/>
                <w:szCs w:val="22"/>
                <w:lang w:eastAsia="en-US"/>
              </w:rPr>
              <w:t>X</w:t>
            </w:r>
          </w:p>
        </w:tc>
      </w:tr>
      <w:tr w:rsidR="004C1CED" w:rsidRPr="00434E9D" w14:paraId="7493FB9E" w14:textId="77777777" w:rsidTr="00B12A07">
        <w:trPr>
          <w:gridBefore w:val="1"/>
          <w:wBefore w:w="17" w:type="dxa"/>
          <w:cantSplit/>
          <w:tblHeader/>
          <w:jc w:val="center"/>
        </w:trPr>
        <w:tc>
          <w:tcPr>
            <w:tcW w:w="651" w:type="dxa"/>
            <w:gridSpan w:val="3"/>
            <w:tcMar>
              <w:left w:w="28" w:type="dxa"/>
              <w:right w:w="28" w:type="dxa"/>
            </w:tcMar>
          </w:tcPr>
          <w:p w14:paraId="5D53C9BB" w14:textId="77777777" w:rsidR="004C1CED" w:rsidRPr="00434E9D" w:rsidRDefault="004C1CED" w:rsidP="004C1CED">
            <w:pPr>
              <w:widowControl/>
              <w:spacing w:before="40" w:after="40"/>
              <w:jc w:val="both"/>
              <w:rPr>
                <w:rFonts w:eastAsia="Calibri"/>
                <w:noProof/>
                <w:sz w:val="22"/>
                <w:szCs w:val="22"/>
                <w:lang w:eastAsia="en-US"/>
              </w:rPr>
            </w:pPr>
            <w:r w:rsidRPr="00434E9D">
              <w:rPr>
                <w:rFonts w:eastAsia="Calibri"/>
                <w:noProof/>
                <w:sz w:val="22"/>
                <w:szCs w:val="22"/>
                <w:lang w:eastAsia="en-US"/>
              </w:rPr>
              <w:t>(66)</w:t>
            </w:r>
          </w:p>
        </w:tc>
        <w:tc>
          <w:tcPr>
            <w:tcW w:w="2286" w:type="dxa"/>
            <w:gridSpan w:val="3"/>
            <w:shd w:val="clear" w:color="auto" w:fill="auto"/>
            <w:tcMar>
              <w:left w:w="28" w:type="dxa"/>
              <w:right w:w="28" w:type="dxa"/>
            </w:tcMar>
          </w:tcPr>
          <w:p w14:paraId="726EF2A2"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Argent</w:t>
            </w:r>
          </w:p>
        </w:tc>
        <w:tc>
          <w:tcPr>
            <w:tcW w:w="1329" w:type="dxa"/>
            <w:gridSpan w:val="3"/>
            <w:shd w:val="clear" w:color="auto" w:fill="auto"/>
            <w:tcMar>
              <w:left w:w="28" w:type="dxa"/>
              <w:right w:w="28" w:type="dxa"/>
            </w:tcMar>
          </w:tcPr>
          <w:p w14:paraId="255F19AE"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Métaux</w:t>
            </w:r>
          </w:p>
        </w:tc>
        <w:tc>
          <w:tcPr>
            <w:tcW w:w="992" w:type="dxa"/>
            <w:gridSpan w:val="2"/>
            <w:shd w:val="clear" w:color="auto" w:fill="auto"/>
            <w:tcMar>
              <w:left w:w="28" w:type="dxa"/>
              <w:right w:w="28" w:type="dxa"/>
            </w:tcMar>
          </w:tcPr>
          <w:p w14:paraId="4C68E02F"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7440-22-4</w:t>
            </w:r>
          </w:p>
        </w:tc>
        <w:tc>
          <w:tcPr>
            <w:tcW w:w="1134" w:type="dxa"/>
          </w:tcPr>
          <w:p w14:paraId="6E6D38D9"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231-131-3</w:t>
            </w:r>
          </w:p>
        </w:tc>
        <w:tc>
          <w:tcPr>
            <w:tcW w:w="1279" w:type="dxa"/>
            <w:gridSpan w:val="2"/>
            <w:shd w:val="clear" w:color="auto" w:fill="auto"/>
            <w:tcMar>
              <w:left w:w="28" w:type="dxa"/>
              <w:right w:w="28" w:type="dxa"/>
            </w:tcMar>
          </w:tcPr>
          <w:p w14:paraId="6F2ACB80"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0,01</w:t>
            </w:r>
          </w:p>
        </w:tc>
        <w:tc>
          <w:tcPr>
            <w:tcW w:w="1279" w:type="dxa"/>
            <w:gridSpan w:val="2"/>
            <w:shd w:val="clear" w:color="auto" w:fill="auto"/>
            <w:tcMar>
              <w:left w:w="28" w:type="dxa"/>
              <w:right w:w="28" w:type="dxa"/>
            </w:tcMar>
          </w:tcPr>
          <w:p w14:paraId="57CDD247"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0,006 (salinité 10 %)</w:t>
            </w:r>
            <w:r w:rsidRPr="00434E9D">
              <w:rPr>
                <w:rFonts w:eastAsia="Calibri"/>
                <w:noProof/>
                <w:szCs w:val="22"/>
                <w:lang w:eastAsia="en-US"/>
              </w:rPr>
              <w:t xml:space="preserve"> </w:t>
            </w:r>
            <w:r w:rsidRPr="00434E9D">
              <w:rPr>
                <w:rFonts w:eastAsia="Calibri"/>
                <w:noProof/>
                <w:szCs w:val="22"/>
                <w:lang w:eastAsia="en-US"/>
              </w:rPr>
              <w:cr/>
            </w:r>
            <w:r w:rsidRPr="00434E9D">
              <w:rPr>
                <w:rFonts w:eastAsia="Calibri"/>
                <w:noProof/>
                <w:szCs w:val="22"/>
                <w:lang w:eastAsia="en-US"/>
              </w:rPr>
              <w:br/>
            </w:r>
            <w:r w:rsidRPr="00434E9D">
              <w:rPr>
                <w:rFonts w:eastAsia="Calibri"/>
                <w:noProof/>
                <w:sz w:val="22"/>
                <w:szCs w:val="22"/>
                <w:lang w:eastAsia="en-US"/>
              </w:rPr>
              <w:t>0,17 (salinité 30 %)</w:t>
            </w:r>
          </w:p>
        </w:tc>
        <w:tc>
          <w:tcPr>
            <w:tcW w:w="1278" w:type="dxa"/>
            <w:gridSpan w:val="2"/>
            <w:shd w:val="clear" w:color="auto" w:fill="auto"/>
            <w:tcMar>
              <w:left w:w="28" w:type="dxa"/>
              <w:right w:w="28" w:type="dxa"/>
            </w:tcMar>
          </w:tcPr>
          <w:p w14:paraId="0E08D379"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0,022</w:t>
            </w:r>
          </w:p>
        </w:tc>
        <w:tc>
          <w:tcPr>
            <w:tcW w:w="1277" w:type="dxa"/>
            <w:gridSpan w:val="2"/>
            <w:shd w:val="clear" w:color="auto" w:fill="auto"/>
            <w:tcMar>
              <w:left w:w="28" w:type="dxa"/>
              <w:right w:w="28" w:type="dxa"/>
            </w:tcMar>
          </w:tcPr>
          <w:p w14:paraId="03A58F18"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non établi</w:t>
            </w:r>
          </w:p>
        </w:tc>
        <w:tc>
          <w:tcPr>
            <w:tcW w:w="1136" w:type="dxa"/>
            <w:gridSpan w:val="2"/>
            <w:shd w:val="clear" w:color="auto" w:fill="auto"/>
            <w:tcMar>
              <w:left w:w="28" w:type="dxa"/>
              <w:right w:w="28" w:type="dxa"/>
            </w:tcMar>
          </w:tcPr>
          <w:p w14:paraId="016F3FCC" w14:textId="77777777" w:rsidR="004C1CED" w:rsidRPr="00434E9D" w:rsidDel="00974569" w:rsidRDefault="004C1CED" w:rsidP="004C1CED">
            <w:pPr>
              <w:widowControl/>
              <w:spacing w:before="40" w:after="40"/>
              <w:rPr>
                <w:rFonts w:eastAsia="Calibri"/>
                <w:noProof/>
                <w:sz w:val="22"/>
                <w:szCs w:val="22"/>
                <w:lang w:eastAsia="en-US"/>
              </w:rPr>
            </w:pPr>
          </w:p>
        </w:tc>
        <w:tc>
          <w:tcPr>
            <w:tcW w:w="1262" w:type="dxa"/>
            <w:gridSpan w:val="2"/>
            <w:tcMar>
              <w:left w:w="28" w:type="dxa"/>
              <w:right w:w="28" w:type="dxa"/>
            </w:tcMar>
          </w:tcPr>
          <w:p w14:paraId="23EF31CE" w14:textId="77777777" w:rsidR="004C1CED" w:rsidRPr="00434E9D" w:rsidRDefault="004C1CED" w:rsidP="004C1CED">
            <w:pPr>
              <w:widowControl/>
              <w:spacing w:before="40" w:after="40"/>
              <w:rPr>
                <w:rFonts w:eastAsia="Calibri"/>
                <w:noProof/>
                <w:sz w:val="22"/>
                <w:szCs w:val="22"/>
                <w:lang w:eastAsia="en-US"/>
              </w:rPr>
            </w:pPr>
          </w:p>
        </w:tc>
        <w:tc>
          <w:tcPr>
            <w:tcW w:w="1153" w:type="dxa"/>
            <w:gridSpan w:val="2"/>
            <w:tcMar>
              <w:left w:w="28" w:type="dxa"/>
              <w:right w:w="28" w:type="dxa"/>
            </w:tcMar>
          </w:tcPr>
          <w:p w14:paraId="2A566442" w14:textId="77777777" w:rsidR="004C1CED" w:rsidRPr="00434E9D" w:rsidRDefault="004C1CED" w:rsidP="004C1CED">
            <w:pPr>
              <w:widowControl/>
              <w:spacing w:before="40" w:after="40"/>
              <w:rPr>
                <w:rFonts w:eastAsia="Calibri"/>
                <w:noProof/>
                <w:sz w:val="22"/>
                <w:szCs w:val="22"/>
                <w:lang w:eastAsia="en-US"/>
              </w:rPr>
            </w:pPr>
          </w:p>
        </w:tc>
        <w:tc>
          <w:tcPr>
            <w:tcW w:w="970" w:type="dxa"/>
            <w:tcMar>
              <w:left w:w="28" w:type="dxa"/>
              <w:right w:w="28" w:type="dxa"/>
            </w:tcMar>
          </w:tcPr>
          <w:p w14:paraId="4F5114B3" w14:textId="77777777" w:rsidR="004C1CED" w:rsidRPr="00434E9D" w:rsidRDefault="004C1CED" w:rsidP="004C1CED">
            <w:pPr>
              <w:widowControl/>
              <w:spacing w:before="40" w:after="40"/>
              <w:rPr>
                <w:rFonts w:eastAsia="Calibri"/>
                <w:noProof/>
                <w:sz w:val="22"/>
                <w:szCs w:val="22"/>
                <w:lang w:eastAsia="en-US"/>
              </w:rPr>
            </w:pPr>
          </w:p>
        </w:tc>
      </w:tr>
      <w:tr w:rsidR="004C1CED" w:rsidRPr="00434E9D" w14:paraId="04F10E6B" w14:textId="77777777" w:rsidTr="00B12A07">
        <w:trPr>
          <w:gridBefore w:val="1"/>
          <w:wBefore w:w="17" w:type="dxa"/>
          <w:cantSplit/>
          <w:tblHeader/>
          <w:jc w:val="center"/>
        </w:trPr>
        <w:tc>
          <w:tcPr>
            <w:tcW w:w="651" w:type="dxa"/>
            <w:gridSpan w:val="3"/>
            <w:tcMar>
              <w:left w:w="28" w:type="dxa"/>
              <w:right w:w="28" w:type="dxa"/>
            </w:tcMar>
          </w:tcPr>
          <w:p w14:paraId="6C28C3CC" w14:textId="77777777" w:rsidR="004C1CED" w:rsidRPr="00434E9D" w:rsidRDefault="004C1CED" w:rsidP="004C1CED">
            <w:pPr>
              <w:widowControl/>
              <w:spacing w:before="40" w:after="40"/>
              <w:jc w:val="both"/>
              <w:rPr>
                <w:rFonts w:eastAsia="Calibri"/>
                <w:noProof/>
                <w:sz w:val="22"/>
                <w:szCs w:val="22"/>
                <w:lang w:eastAsia="en-US"/>
              </w:rPr>
            </w:pPr>
            <w:r w:rsidRPr="00434E9D">
              <w:rPr>
                <w:rFonts w:eastAsia="Calibri"/>
                <w:noProof/>
                <w:sz w:val="22"/>
                <w:szCs w:val="22"/>
                <w:lang w:eastAsia="en-US"/>
              </w:rPr>
              <w:t>(67)</w:t>
            </w:r>
          </w:p>
        </w:tc>
        <w:tc>
          <w:tcPr>
            <w:tcW w:w="2286" w:type="dxa"/>
            <w:gridSpan w:val="3"/>
            <w:shd w:val="clear" w:color="auto" w:fill="auto"/>
            <w:tcMar>
              <w:left w:w="28" w:type="dxa"/>
              <w:right w:w="28" w:type="dxa"/>
            </w:tcMar>
          </w:tcPr>
          <w:p w14:paraId="72EC5C6C"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Thiaclopride</w:t>
            </w:r>
          </w:p>
        </w:tc>
        <w:tc>
          <w:tcPr>
            <w:tcW w:w="1329" w:type="dxa"/>
            <w:gridSpan w:val="3"/>
            <w:shd w:val="clear" w:color="auto" w:fill="auto"/>
            <w:tcMar>
              <w:left w:w="28" w:type="dxa"/>
              <w:right w:w="28" w:type="dxa"/>
            </w:tcMar>
          </w:tcPr>
          <w:p w14:paraId="70A28A0D"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Pesticides néonicotinoïdes</w:t>
            </w:r>
          </w:p>
        </w:tc>
        <w:tc>
          <w:tcPr>
            <w:tcW w:w="992" w:type="dxa"/>
            <w:gridSpan w:val="2"/>
            <w:shd w:val="clear" w:color="auto" w:fill="auto"/>
            <w:tcMar>
              <w:left w:w="28" w:type="dxa"/>
              <w:right w:w="28" w:type="dxa"/>
            </w:tcMar>
          </w:tcPr>
          <w:p w14:paraId="26970771"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111988-49-9</w:t>
            </w:r>
          </w:p>
        </w:tc>
        <w:tc>
          <w:tcPr>
            <w:tcW w:w="1134" w:type="dxa"/>
          </w:tcPr>
          <w:p w14:paraId="0B053120"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601-147-9</w:t>
            </w:r>
          </w:p>
        </w:tc>
        <w:tc>
          <w:tcPr>
            <w:tcW w:w="1279" w:type="dxa"/>
            <w:gridSpan w:val="2"/>
            <w:shd w:val="clear" w:color="auto" w:fill="auto"/>
            <w:tcMar>
              <w:left w:w="28" w:type="dxa"/>
              <w:right w:w="28" w:type="dxa"/>
            </w:tcMar>
          </w:tcPr>
          <w:p w14:paraId="613A5F81"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0,01</w:t>
            </w:r>
          </w:p>
        </w:tc>
        <w:tc>
          <w:tcPr>
            <w:tcW w:w="1279" w:type="dxa"/>
            <w:gridSpan w:val="2"/>
            <w:shd w:val="clear" w:color="auto" w:fill="auto"/>
            <w:tcMar>
              <w:left w:w="28" w:type="dxa"/>
              <w:right w:w="28" w:type="dxa"/>
            </w:tcMar>
          </w:tcPr>
          <w:p w14:paraId="176ED1A0"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0,001</w:t>
            </w:r>
          </w:p>
        </w:tc>
        <w:tc>
          <w:tcPr>
            <w:tcW w:w="1278" w:type="dxa"/>
            <w:gridSpan w:val="2"/>
            <w:shd w:val="clear" w:color="auto" w:fill="auto"/>
            <w:tcMar>
              <w:left w:w="28" w:type="dxa"/>
              <w:right w:w="28" w:type="dxa"/>
            </w:tcMar>
          </w:tcPr>
          <w:p w14:paraId="116CA0F9"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0,05</w:t>
            </w:r>
          </w:p>
        </w:tc>
        <w:tc>
          <w:tcPr>
            <w:tcW w:w="1277" w:type="dxa"/>
            <w:gridSpan w:val="2"/>
            <w:shd w:val="clear" w:color="auto" w:fill="auto"/>
            <w:tcMar>
              <w:left w:w="28" w:type="dxa"/>
              <w:right w:w="28" w:type="dxa"/>
            </w:tcMar>
          </w:tcPr>
          <w:p w14:paraId="0F682CA1"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0,005</w:t>
            </w:r>
          </w:p>
        </w:tc>
        <w:tc>
          <w:tcPr>
            <w:tcW w:w="1136" w:type="dxa"/>
            <w:gridSpan w:val="2"/>
            <w:shd w:val="clear" w:color="auto" w:fill="auto"/>
            <w:tcMar>
              <w:left w:w="28" w:type="dxa"/>
              <w:right w:w="28" w:type="dxa"/>
            </w:tcMar>
          </w:tcPr>
          <w:p w14:paraId="2A84CA7F" w14:textId="77777777" w:rsidR="004C1CED" w:rsidRPr="00434E9D" w:rsidRDefault="004C1CED" w:rsidP="004C1CED">
            <w:pPr>
              <w:widowControl/>
              <w:spacing w:before="40" w:after="40"/>
              <w:rPr>
                <w:rFonts w:eastAsia="Calibri"/>
                <w:noProof/>
                <w:sz w:val="22"/>
                <w:szCs w:val="22"/>
                <w:lang w:eastAsia="en-US"/>
              </w:rPr>
            </w:pPr>
          </w:p>
        </w:tc>
        <w:tc>
          <w:tcPr>
            <w:tcW w:w="1262" w:type="dxa"/>
            <w:gridSpan w:val="2"/>
            <w:tcMar>
              <w:left w:w="28" w:type="dxa"/>
              <w:right w:w="28" w:type="dxa"/>
            </w:tcMar>
          </w:tcPr>
          <w:p w14:paraId="435931D8" w14:textId="77777777" w:rsidR="004C1CED" w:rsidRPr="00434E9D" w:rsidRDefault="004C1CED" w:rsidP="004C1CED">
            <w:pPr>
              <w:widowControl/>
              <w:spacing w:before="40" w:after="40"/>
              <w:rPr>
                <w:rFonts w:eastAsia="Calibri"/>
                <w:noProof/>
                <w:sz w:val="22"/>
                <w:szCs w:val="22"/>
                <w:lang w:eastAsia="en-US"/>
              </w:rPr>
            </w:pPr>
          </w:p>
        </w:tc>
        <w:tc>
          <w:tcPr>
            <w:tcW w:w="1153" w:type="dxa"/>
            <w:gridSpan w:val="2"/>
            <w:tcMar>
              <w:left w:w="28" w:type="dxa"/>
              <w:right w:w="28" w:type="dxa"/>
            </w:tcMar>
          </w:tcPr>
          <w:p w14:paraId="4FD9FECA" w14:textId="77777777" w:rsidR="004C1CED" w:rsidRPr="00434E9D" w:rsidRDefault="004C1CED" w:rsidP="004C1CED">
            <w:pPr>
              <w:widowControl/>
              <w:spacing w:before="40" w:after="40"/>
              <w:rPr>
                <w:rFonts w:eastAsia="Calibri"/>
                <w:noProof/>
                <w:sz w:val="22"/>
                <w:szCs w:val="22"/>
                <w:lang w:eastAsia="en-US"/>
              </w:rPr>
            </w:pPr>
          </w:p>
        </w:tc>
        <w:tc>
          <w:tcPr>
            <w:tcW w:w="970" w:type="dxa"/>
            <w:tcMar>
              <w:left w:w="28" w:type="dxa"/>
              <w:right w:w="28" w:type="dxa"/>
            </w:tcMar>
          </w:tcPr>
          <w:p w14:paraId="7910649F" w14:textId="77777777" w:rsidR="004C1CED" w:rsidRPr="00434E9D" w:rsidRDefault="004C1CED" w:rsidP="004C1CED">
            <w:pPr>
              <w:widowControl/>
              <w:spacing w:before="40" w:after="40"/>
              <w:rPr>
                <w:rFonts w:eastAsia="Calibri"/>
                <w:noProof/>
                <w:sz w:val="22"/>
                <w:szCs w:val="22"/>
                <w:lang w:eastAsia="en-US"/>
              </w:rPr>
            </w:pPr>
          </w:p>
        </w:tc>
      </w:tr>
      <w:tr w:rsidR="004C1CED" w:rsidRPr="00434E9D" w14:paraId="55DDF0F0" w14:textId="77777777" w:rsidTr="00B12A07">
        <w:trPr>
          <w:gridBefore w:val="1"/>
          <w:wBefore w:w="17" w:type="dxa"/>
          <w:cantSplit/>
          <w:tblHeader/>
          <w:jc w:val="center"/>
        </w:trPr>
        <w:tc>
          <w:tcPr>
            <w:tcW w:w="651" w:type="dxa"/>
            <w:gridSpan w:val="3"/>
            <w:tcMar>
              <w:left w:w="28" w:type="dxa"/>
              <w:right w:w="28" w:type="dxa"/>
            </w:tcMar>
          </w:tcPr>
          <w:p w14:paraId="2EC2CCA7"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(68)</w:t>
            </w:r>
          </w:p>
        </w:tc>
        <w:tc>
          <w:tcPr>
            <w:tcW w:w="2286" w:type="dxa"/>
            <w:gridSpan w:val="3"/>
            <w:shd w:val="clear" w:color="auto" w:fill="auto"/>
            <w:tcMar>
              <w:left w:w="28" w:type="dxa"/>
              <w:right w:w="28" w:type="dxa"/>
            </w:tcMar>
          </w:tcPr>
          <w:p w14:paraId="0231FBD6"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Thiaméthoxame</w:t>
            </w:r>
          </w:p>
        </w:tc>
        <w:tc>
          <w:tcPr>
            <w:tcW w:w="1329" w:type="dxa"/>
            <w:gridSpan w:val="3"/>
            <w:shd w:val="clear" w:color="auto" w:fill="auto"/>
            <w:tcMar>
              <w:left w:w="28" w:type="dxa"/>
              <w:right w:w="28" w:type="dxa"/>
            </w:tcMar>
          </w:tcPr>
          <w:p w14:paraId="5296FA10"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Pesticides néonicotinoïdes</w:t>
            </w:r>
          </w:p>
        </w:tc>
        <w:tc>
          <w:tcPr>
            <w:tcW w:w="992" w:type="dxa"/>
            <w:gridSpan w:val="2"/>
            <w:shd w:val="clear" w:color="auto" w:fill="auto"/>
            <w:tcMar>
              <w:left w:w="28" w:type="dxa"/>
              <w:right w:w="28" w:type="dxa"/>
            </w:tcMar>
          </w:tcPr>
          <w:p w14:paraId="05040FEF"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153719-23-4</w:t>
            </w:r>
          </w:p>
        </w:tc>
        <w:tc>
          <w:tcPr>
            <w:tcW w:w="1134" w:type="dxa"/>
          </w:tcPr>
          <w:p w14:paraId="07E3FF52"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428-650-4</w:t>
            </w:r>
          </w:p>
        </w:tc>
        <w:tc>
          <w:tcPr>
            <w:tcW w:w="1279" w:type="dxa"/>
            <w:gridSpan w:val="2"/>
            <w:shd w:val="clear" w:color="auto" w:fill="auto"/>
            <w:tcMar>
              <w:left w:w="28" w:type="dxa"/>
              <w:right w:w="28" w:type="dxa"/>
            </w:tcMar>
          </w:tcPr>
          <w:p w14:paraId="50C6A8CE"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0,04</w:t>
            </w:r>
          </w:p>
        </w:tc>
        <w:tc>
          <w:tcPr>
            <w:tcW w:w="1279" w:type="dxa"/>
            <w:gridSpan w:val="2"/>
            <w:shd w:val="clear" w:color="auto" w:fill="auto"/>
            <w:tcMar>
              <w:left w:w="28" w:type="dxa"/>
              <w:right w:w="28" w:type="dxa"/>
            </w:tcMar>
          </w:tcPr>
          <w:p w14:paraId="7046D3A1"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0,004</w:t>
            </w:r>
          </w:p>
        </w:tc>
        <w:tc>
          <w:tcPr>
            <w:tcW w:w="1278" w:type="dxa"/>
            <w:gridSpan w:val="2"/>
            <w:shd w:val="clear" w:color="auto" w:fill="auto"/>
            <w:tcMar>
              <w:left w:w="28" w:type="dxa"/>
              <w:right w:w="28" w:type="dxa"/>
            </w:tcMar>
          </w:tcPr>
          <w:p w14:paraId="6831BDCC"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0,77</w:t>
            </w:r>
          </w:p>
        </w:tc>
        <w:tc>
          <w:tcPr>
            <w:tcW w:w="1277" w:type="dxa"/>
            <w:gridSpan w:val="2"/>
            <w:shd w:val="clear" w:color="auto" w:fill="auto"/>
            <w:tcMar>
              <w:left w:w="28" w:type="dxa"/>
              <w:right w:w="28" w:type="dxa"/>
            </w:tcMar>
          </w:tcPr>
          <w:p w14:paraId="574B341E"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0,077</w:t>
            </w:r>
          </w:p>
        </w:tc>
        <w:tc>
          <w:tcPr>
            <w:tcW w:w="1136" w:type="dxa"/>
            <w:gridSpan w:val="2"/>
            <w:shd w:val="clear" w:color="auto" w:fill="auto"/>
            <w:tcMar>
              <w:left w:w="28" w:type="dxa"/>
              <w:right w:w="28" w:type="dxa"/>
            </w:tcMar>
          </w:tcPr>
          <w:p w14:paraId="7B1B4A25" w14:textId="77777777" w:rsidR="004C1CED" w:rsidRPr="00434E9D" w:rsidRDefault="004C1CED" w:rsidP="004C1CED">
            <w:pPr>
              <w:widowControl/>
              <w:spacing w:before="40" w:after="40"/>
              <w:rPr>
                <w:rFonts w:eastAsia="Calibri"/>
                <w:noProof/>
                <w:sz w:val="22"/>
                <w:szCs w:val="22"/>
                <w:lang w:eastAsia="en-US"/>
              </w:rPr>
            </w:pPr>
          </w:p>
        </w:tc>
        <w:tc>
          <w:tcPr>
            <w:tcW w:w="1262" w:type="dxa"/>
            <w:gridSpan w:val="2"/>
            <w:tcMar>
              <w:left w:w="28" w:type="dxa"/>
              <w:right w:w="28" w:type="dxa"/>
            </w:tcMar>
          </w:tcPr>
          <w:p w14:paraId="60F8792E" w14:textId="77777777" w:rsidR="004C1CED" w:rsidRPr="00434E9D" w:rsidRDefault="004C1CED" w:rsidP="004C1CED">
            <w:pPr>
              <w:widowControl/>
              <w:spacing w:before="40" w:after="40"/>
              <w:rPr>
                <w:rFonts w:eastAsia="Calibri"/>
                <w:noProof/>
                <w:sz w:val="22"/>
                <w:szCs w:val="22"/>
                <w:lang w:eastAsia="en-US"/>
              </w:rPr>
            </w:pPr>
          </w:p>
        </w:tc>
        <w:tc>
          <w:tcPr>
            <w:tcW w:w="1153" w:type="dxa"/>
            <w:gridSpan w:val="2"/>
            <w:tcMar>
              <w:left w:w="28" w:type="dxa"/>
              <w:right w:w="28" w:type="dxa"/>
            </w:tcMar>
          </w:tcPr>
          <w:p w14:paraId="374DD0C6" w14:textId="77777777" w:rsidR="004C1CED" w:rsidRPr="00434E9D" w:rsidRDefault="004C1CED" w:rsidP="004C1CED">
            <w:pPr>
              <w:widowControl/>
              <w:spacing w:before="40" w:after="40"/>
              <w:rPr>
                <w:rFonts w:eastAsia="Calibri"/>
                <w:noProof/>
                <w:sz w:val="22"/>
                <w:szCs w:val="22"/>
                <w:lang w:eastAsia="en-US"/>
              </w:rPr>
            </w:pPr>
          </w:p>
        </w:tc>
        <w:tc>
          <w:tcPr>
            <w:tcW w:w="970" w:type="dxa"/>
            <w:tcMar>
              <w:left w:w="28" w:type="dxa"/>
              <w:right w:w="28" w:type="dxa"/>
            </w:tcMar>
          </w:tcPr>
          <w:p w14:paraId="3F4F0775" w14:textId="77777777" w:rsidR="004C1CED" w:rsidRPr="00434E9D" w:rsidRDefault="004C1CED" w:rsidP="004C1CED">
            <w:pPr>
              <w:widowControl/>
              <w:spacing w:before="40" w:after="40"/>
              <w:rPr>
                <w:rFonts w:eastAsia="Calibri"/>
                <w:noProof/>
                <w:sz w:val="22"/>
                <w:szCs w:val="22"/>
                <w:lang w:eastAsia="en-US"/>
              </w:rPr>
            </w:pPr>
          </w:p>
        </w:tc>
      </w:tr>
      <w:tr w:rsidR="004C1CED" w:rsidRPr="00434E9D" w14:paraId="5F231822" w14:textId="77777777" w:rsidTr="00B12A07">
        <w:trPr>
          <w:gridBefore w:val="1"/>
          <w:wBefore w:w="17" w:type="dxa"/>
          <w:cantSplit/>
          <w:tblHeader/>
          <w:jc w:val="center"/>
        </w:trPr>
        <w:tc>
          <w:tcPr>
            <w:tcW w:w="651" w:type="dxa"/>
            <w:gridSpan w:val="3"/>
            <w:tcMar>
              <w:left w:w="28" w:type="dxa"/>
              <w:right w:w="28" w:type="dxa"/>
            </w:tcMar>
          </w:tcPr>
          <w:p w14:paraId="3E71146F" w14:textId="77777777" w:rsidR="004C1CED" w:rsidRPr="00434E9D" w:rsidRDefault="004C1CED" w:rsidP="004C1CED">
            <w:pPr>
              <w:widowControl/>
              <w:spacing w:before="40" w:after="40"/>
              <w:jc w:val="both"/>
              <w:rPr>
                <w:rFonts w:eastAsia="Calibri"/>
                <w:noProof/>
                <w:sz w:val="22"/>
                <w:szCs w:val="22"/>
                <w:lang w:eastAsia="en-US"/>
              </w:rPr>
            </w:pPr>
            <w:r w:rsidRPr="00434E9D">
              <w:rPr>
                <w:rFonts w:eastAsia="Calibri"/>
                <w:noProof/>
                <w:sz w:val="22"/>
                <w:szCs w:val="22"/>
                <w:lang w:eastAsia="en-US"/>
              </w:rPr>
              <w:t>(69)</w:t>
            </w:r>
          </w:p>
        </w:tc>
        <w:tc>
          <w:tcPr>
            <w:tcW w:w="2286" w:type="dxa"/>
            <w:gridSpan w:val="3"/>
            <w:shd w:val="clear" w:color="auto" w:fill="auto"/>
            <w:tcMar>
              <w:left w:w="28" w:type="dxa"/>
              <w:right w:w="28" w:type="dxa"/>
            </w:tcMar>
          </w:tcPr>
          <w:p w14:paraId="1329B9B9"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Triclosan</w:t>
            </w:r>
          </w:p>
        </w:tc>
        <w:tc>
          <w:tcPr>
            <w:tcW w:w="1329" w:type="dxa"/>
            <w:gridSpan w:val="3"/>
            <w:shd w:val="clear" w:color="auto" w:fill="auto"/>
            <w:tcMar>
              <w:left w:w="28" w:type="dxa"/>
              <w:right w:w="28" w:type="dxa"/>
            </w:tcMar>
          </w:tcPr>
          <w:p w14:paraId="42C6A80D"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Biocides</w:t>
            </w:r>
          </w:p>
        </w:tc>
        <w:tc>
          <w:tcPr>
            <w:tcW w:w="992" w:type="dxa"/>
            <w:gridSpan w:val="2"/>
            <w:shd w:val="clear" w:color="auto" w:fill="auto"/>
            <w:tcMar>
              <w:left w:w="28" w:type="dxa"/>
              <w:right w:w="28" w:type="dxa"/>
            </w:tcMar>
          </w:tcPr>
          <w:p w14:paraId="5A29DD41"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3380-34-5</w:t>
            </w:r>
          </w:p>
        </w:tc>
        <w:tc>
          <w:tcPr>
            <w:tcW w:w="1134" w:type="dxa"/>
          </w:tcPr>
          <w:p w14:paraId="1319DAFC"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222-182-2</w:t>
            </w:r>
          </w:p>
        </w:tc>
        <w:tc>
          <w:tcPr>
            <w:tcW w:w="1279" w:type="dxa"/>
            <w:gridSpan w:val="2"/>
            <w:shd w:val="clear" w:color="auto" w:fill="auto"/>
            <w:tcMar>
              <w:left w:w="28" w:type="dxa"/>
              <w:right w:w="28" w:type="dxa"/>
            </w:tcMar>
          </w:tcPr>
          <w:p w14:paraId="61F2BD40"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0,02</w:t>
            </w:r>
          </w:p>
        </w:tc>
        <w:tc>
          <w:tcPr>
            <w:tcW w:w="1279" w:type="dxa"/>
            <w:gridSpan w:val="2"/>
            <w:shd w:val="clear" w:color="auto" w:fill="auto"/>
            <w:tcMar>
              <w:left w:w="28" w:type="dxa"/>
              <w:right w:w="28" w:type="dxa"/>
            </w:tcMar>
          </w:tcPr>
          <w:p w14:paraId="385339EF"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0,002</w:t>
            </w:r>
          </w:p>
        </w:tc>
        <w:tc>
          <w:tcPr>
            <w:tcW w:w="1278" w:type="dxa"/>
            <w:gridSpan w:val="2"/>
            <w:shd w:val="clear" w:color="auto" w:fill="auto"/>
            <w:tcMar>
              <w:left w:w="28" w:type="dxa"/>
              <w:right w:w="28" w:type="dxa"/>
            </w:tcMar>
          </w:tcPr>
          <w:p w14:paraId="6BE25F10"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0,02</w:t>
            </w:r>
          </w:p>
        </w:tc>
        <w:tc>
          <w:tcPr>
            <w:tcW w:w="1277" w:type="dxa"/>
            <w:gridSpan w:val="2"/>
            <w:shd w:val="clear" w:color="auto" w:fill="auto"/>
            <w:tcMar>
              <w:left w:w="28" w:type="dxa"/>
              <w:right w:w="28" w:type="dxa"/>
            </w:tcMar>
          </w:tcPr>
          <w:p w14:paraId="6665CF76"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0,002</w:t>
            </w:r>
          </w:p>
        </w:tc>
        <w:tc>
          <w:tcPr>
            <w:tcW w:w="1136" w:type="dxa"/>
            <w:gridSpan w:val="2"/>
            <w:shd w:val="clear" w:color="auto" w:fill="auto"/>
            <w:tcMar>
              <w:left w:w="28" w:type="dxa"/>
              <w:right w:w="28" w:type="dxa"/>
            </w:tcMar>
          </w:tcPr>
          <w:p w14:paraId="6AD4DC5F" w14:textId="77777777" w:rsidR="004C1CED" w:rsidRPr="00434E9D" w:rsidRDefault="004C1CED" w:rsidP="004C1CED">
            <w:pPr>
              <w:widowControl/>
              <w:spacing w:before="40" w:after="40"/>
              <w:rPr>
                <w:rFonts w:eastAsia="Calibri"/>
                <w:noProof/>
                <w:sz w:val="22"/>
                <w:szCs w:val="22"/>
                <w:lang w:eastAsia="en-US"/>
              </w:rPr>
            </w:pPr>
          </w:p>
        </w:tc>
        <w:tc>
          <w:tcPr>
            <w:tcW w:w="1262" w:type="dxa"/>
            <w:gridSpan w:val="2"/>
            <w:tcMar>
              <w:left w:w="28" w:type="dxa"/>
              <w:right w:w="28" w:type="dxa"/>
            </w:tcMar>
          </w:tcPr>
          <w:p w14:paraId="0317280B" w14:textId="77777777" w:rsidR="004C1CED" w:rsidRPr="00434E9D" w:rsidRDefault="004C1CED" w:rsidP="004C1CED">
            <w:pPr>
              <w:widowControl/>
              <w:spacing w:before="40" w:after="40"/>
              <w:rPr>
                <w:rFonts w:eastAsia="Calibri"/>
                <w:noProof/>
                <w:sz w:val="22"/>
                <w:szCs w:val="22"/>
                <w:lang w:eastAsia="en-US"/>
              </w:rPr>
            </w:pPr>
          </w:p>
        </w:tc>
        <w:tc>
          <w:tcPr>
            <w:tcW w:w="1153" w:type="dxa"/>
            <w:gridSpan w:val="2"/>
            <w:tcMar>
              <w:left w:w="28" w:type="dxa"/>
              <w:right w:w="28" w:type="dxa"/>
            </w:tcMar>
          </w:tcPr>
          <w:p w14:paraId="2A67E778" w14:textId="77777777" w:rsidR="004C1CED" w:rsidRPr="00434E9D" w:rsidRDefault="004C1CED" w:rsidP="004C1CED">
            <w:pPr>
              <w:widowControl/>
              <w:spacing w:before="40" w:after="40"/>
              <w:rPr>
                <w:rFonts w:eastAsia="Calibri"/>
                <w:noProof/>
                <w:sz w:val="22"/>
                <w:szCs w:val="22"/>
                <w:lang w:eastAsia="en-US"/>
              </w:rPr>
            </w:pPr>
          </w:p>
        </w:tc>
        <w:tc>
          <w:tcPr>
            <w:tcW w:w="970" w:type="dxa"/>
            <w:tcMar>
              <w:left w:w="28" w:type="dxa"/>
              <w:right w:w="28" w:type="dxa"/>
            </w:tcMar>
          </w:tcPr>
          <w:p w14:paraId="6F27A648" w14:textId="77777777" w:rsidR="004C1CED" w:rsidRPr="00434E9D" w:rsidRDefault="004C1CED" w:rsidP="004C1CED">
            <w:pPr>
              <w:widowControl/>
              <w:spacing w:before="40" w:after="40"/>
              <w:rPr>
                <w:rFonts w:eastAsia="Calibri"/>
                <w:noProof/>
                <w:sz w:val="22"/>
                <w:szCs w:val="22"/>
                <w:lang w:eastAsia="en-US"/>
              </w:rPr>
            </w:pPr>
          </w:p>
        </w:tc>
      </w:tr>
      <w:tr w:rsidR="004C1CED" w:rsidRPr="00434E9D" w14:paraId="77C9FA66" w14:textId="77777777" w:rsidTr="00B12A07">
        <w:trPr>
          <w:gridBefore w:val="1"/>
          <w:wBefore w:w="17" w:type="dxa"/>
          <w:cantSplit/>
          <w:tblHeader/>
          <w:jc w:val="center"/>
        </w:trPr>
        <w:tc>
          <w:tcPr>
            <w:tcW w:w="651" w:type="dxa"/>
            <w:gridSpan w:val="3"/>
            <w:tcMar>
              <w:left w:w="28" w:type="dxa"/>
              <w:right w:w="28" w:type="dxa"/>
            </w:tcMar>
          </w:tcPr>
          <w:p w14:paraId="6061B37B" w14:textId="77777777" w:rsidR="004C1CED" w:rsidRPr="00434E9D" w:rsidRDefault="004C1CED" w:rsidP="004C1CED">
            <w:pPr>
              <w:widowControl/>
              <w:spacing w:before="40" w:after="40"/>
              <w:jc w:val="both"/>
              <w:rPr>
                <w:rFonts w:eastAsia="Calibri"/>
                <w:noProof/>
                <w:sz w:val="22"/>
                <w:szCs w:val="22"/>
                <w:lang w:eastAsia="en-US"/>
              </w:rPr>
            </w:pPr>
            <w:r w:rsidRPr="00434E9D">
              <w:rPr>
                <w:rFonts w:eastAsia="Calibri"/>
                <w:noProof/>
                <w:sz w:val="22"/>
                <w:szCs w:val="22"/>
                <w:lang w:eastAsia="en-US"/>
              </w:rPr>
              <w:t>(70)</w:t>
            </w:r>
          </w:p>
        </w:tc>
        <w:tc>
          <w:tcPr>
            <w:tcW w:w="2286" w:type="dxa"/>
            <w:gridSpan w:val="3"/>
            <w:shd w:val="clear" w:color="auto" w:fill="auto"/>
            <w:tcMar>
              <w:left w:w="28" w:type="dxa"/>
              <w:right w:w="28" w:type="dxa"/>
            </w:tcMar>
          </w:tcPr>
          <w:p w14:paraId="1F2F5B70"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Total des substances actives des pesticides, ainsi que les métabolites et produits de dégradation et de réaction pertinents (</w:t>
            </w:r>
            <w:r w:rsidRPr="00434E9D">
              <w:rPr>
                <w:rFonts w:eastAsia="Calibri"/>
                <w:noProof/>
                <w:sz w:val="22"/>
                <w:szCs w:val="22"/>
                <w:vertAlign w:val="superscript"/>
                <w:lang w:eastAsia="en-US"/>
              </w:rPr>
              <w:t>29</w:t>
            </w:r>
            <w:r w:rsidRPr="00434E9D">
              <w:rPr>
                <w:rFonts w:eastAsia="Calibri"/>
                <w:noProof/>
                <w:sz w:val="22"/>
                <w:szCs w:val="22"/>
                <w:lang w:eastAsia="en-US"/>
              </w:rPr>
              <w:t>)</w:t>
            </w:r>
          </w:p>
        </w:tc>
        <w:tc>
          <w:tcPr>
            <w:tcW w:w="1329" w:type="dxa"/>
            <w:gridSpan w:val="3"/>
            <w:shd w:val="clear" w:color="auto" w:fill="auto"/>
            <w:tcMar>
              <w:left w:w="28" w:type="dxa"/>
              <w:right w:w="28" w:type="dxa"/>
            </w:tcMar>
          </w:tcPr>
          <w:p w14:paraId="76D3A4C9"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Produits phytopharmaceutiques et biocides</w:t>
            </w:r>
          </w:p>
        </w:tc>
        <w:tc>
          <w:tcPr>
            <w:tcW w:w="992" w:type="dxa"/>
            <w:gridSpan w:val="2"/>
            <w:shd w:val="clear" w:color="auto" w:fill="auto"/>
            <w:tcMar>
              <w:left w:w="28" w:type="dxa"/>
              <w:right w:w="28" w:type="dxa"/>
            </w:tcMar>
          </w:tcPr>
          <w:p w14:paraId="3065AFB4" w14:textId="77777777" w:rsidR="004C1CED" w:rsidRPr="00434E9D" w:rsidRDefault="004C1CED" w:rsidP="004C1CED">
            <w:pPr>
              <w:widowControl/>
              <w:spacing w:before="40" w:after="40"/>
              <w:rPr>
                <w:rFonts w:eastAsia="Calibri"/>
                <w:noProof/>
                <w:sz w:val="22"/>
                <w:szCs w:val="22"/>
                <w:lang w:eastAsia="en-US"/>
              </w:rPr>
            </w:pPr>
          </w:p>
        </w:tc>
        <w:tc>
          <w:tcPr>
            <w:tcW w:w="1134" w:type="dxa"/>
          </w:tcPr>
          <w:p w14:paraId="48124975" w14:textId="77777777" w:rsidR="004C1CED" w:rsidRPr="00434E9D" w:rsidRDefault="004C1CED" w:rsidP="004C1CED">
            <w:pPr>
              <w:widowControl/>
              <w:spacing w:before="40" w:after="40"/>
              <w:rPr>
                <w:rFonts w:eastAsia="Calibri"/>
                <w:noProof/>
                <w:sz w:val="22"/>
                <w:szCs w:val="22"/>
                <w:lang w:eastAsia="en-US"/>
              </w:rPr>
            </w:pPr>
          </w:p>
        </w:tc>
        <w:tc>
          <w:tcPr>
            <w:tcW w:w="1279" w:type="dxa"/>
            <w:gridSpan w:val="2"/>
            <w:shd w:val="clear" w:color="auto" w:fill="auto"/>
            <w:tcMar>
              <w:left w:w="28" w:type="dxa"/>
              <w:right w:w="28" w:type="dxa"/>
            </w:tcMar>
          </w:tcPr>
          <w:p w14:paraId="0098E8C5"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0,5 (</w:t>
            </w:r>
            <w:r w:rsidRPr="00434E9D">
              <w:rPr>
                <w:rFonts w:eastAsia="Calibri"/>
                <w:noProof/>
                <w:sz w:val="22"/>
                <w:szCs w:val="22"/>
                <w:vertAlign w:val="superscript"/>
                <w:lang w:eastAsia="en-US"/>
              </w:rPr>
              <w:t>30</w:t>
            </w:r>
            <w:r w:rsidRPr="00434E9D">
              <w:rPr>
                <w:rFonts w:eastAsia="Calibri"/>
                <w:noProof/>
                <w:sz w:val="22"/>
                <w:szCs w:val="22"/>
                <w:lang w:eastAsia="en-US"/>
              </w:rPr>
              <w:t>)</w:t>
            </w:r>
          </w:p>
        </w:tc>
        <w:tc>
          <w:tcPr>
            <w:tcW w:w="1279" w:type="dxa"/>
            <w:gridSpan w:val="2"/>
            <w:shd w:val="clear" w:color="auto" w:fill="auto"/>
            <w:tcMar>
              <w:left w:w="28" w:type="dxa"/>
              <w:right w:w="28" w:type="dxa"/>
            </w:tcMar>
          </w:tcPr>
          <w:p w14:paraId="05268A30" w14:textId="77777777" w:rsidR="004C1CED" w:rsidRPr="00434E9D" w:rsidRDefault="004C1CED" w:rsidP="004C1CED">
            <w:pPr>
              <w:widowControl/>
              <w:spacing w:before="40" w:after="40"/>
              <w:rPr>
                <w:rFonts w:eastAsia="Calibri"/>
                <w:noProof/>
                <w:sz w:val="22"/>
                <w:szCs w:val="22"/>
                <w:lang w:eastAsia="en-US"/>
              </w:rPr>
            </w:pPr>
            <w:r w:rsidRPr="00434E9D">
              <w:rPr>
                <w:rFonts w:eastAsia="Calibri"/>
                <w:noProof/>
                <w:sz w:val="22"/>
                <w:szCs w:val="22"/>
                <w:lang w:eastAsia="en-US"/>
              </w:rPr>
              <w:t>0,5 (</w:t>
            </w:r>
            <w:r w:rsidRPr="00434E9D">
              <w:rPr>
                <w:rFonts w:eastAsia="Calibri"/>
                <w:noProof/>
                <w:sz w:val="22"/>
                <w:szCs w:val="22"/>
                <w:vertAlign w:val="superscript"/>
                <w:lang w:eastAsia="en-US"/>
              </w:rPr>
              <w:t>30</w:t>
            </w:r>
            <w:r w:rsidRPr="00434E9D">
              <w:rPr>
                <w:rFonts w:eastAsia="Calibri"/>
                <w:noProof/>
                <w:sz w:val="22"/>
                <w:szCs w:val="22"/>
                <w:lang w:eastAsia="en-US"/>
              </w:rPr>
              <w:t>)</w:t>
            </w:r>
          </w:p>
        </w:tc>
        <w:tc>
          <w:tcPr>
            <w:tcW w:w="1278" w:type="dxa"/>
            <w:gridSpan w:val="2"/>
            <w:shd w:val="clear" w:color="auto" w:fill="auto"/>
            <w:tcMar>
              <w:left w:w="28" w:type="dxa"/>
              <w:right w:w="28" w:type="dxa"/>
            </w:tcMar>
          </w:tcPr>
          <w:p w14:paraId="329004E4" w14:textId="77777777" w:rsidR="004C1CED" w:rsidRPr="00434E9D" w:rsidRDefault="004C1CED" w:rsidP="004C1CED">
            <w:pPr>
              <w:widowControl/>
              <w:spacing w:before="40" w:after="40"/>
              <w:rPr>
                <w:rFonts w:eastAsia="Calibri"/>
                <w:noProof/>
                <w:sz w:val="22"/>
                <w:szCs w:val="22"/>
                <w:lang w:eastAsia="en-US"/>
              </w:rPr>
            </w:pPr>
          </w:p>
        </w:tc>
        <w:tc>
          <w:tcPr>
            <w:tcW w:w="1277" w:type="dxa"/>
            <w:gridSpan w:val="2"/>
            <w:shd w:val="clear" w:color="auto" w:fill="auto"/>
            <w:tcMar>
              <w:left w:w="28" w:type="dxa"/>
              <w:right w:w="28" w:type="dxa"/>
            </w:tcMar>
          </w:tcPr>
          <w:p w14:paraId="5A187FAB" w14:textId="77777777" w:rsidR="004C1CED" w:rsidRPr="00434E9D" w:rsidRDefault="004C1CED" w:rsidP="004C1CED">
            <w:pPr>
              <w:widowControl/>
              <w:spacing w:before="40" w:after="40"/>
              <w:rPr>
                <w:rFonts w:eastAsia="Calibri"/>
                <w:noProof/>
                <w:sz w:val="22"/>
                <w:szCs w:val="22"/>
                <w:lang w:eastAsia="en-US"/>
              </w:rPr>
            </w:pPr>
          </w:p>
        </w:tc>
        <w:tc>
          <w:tcPr>
            <w:tcW w:w="1136" w:type="dxa"/>
            <w:gridSpan w:val="2"/>
            <w:shd w:val="clear" w:color="auto" w:fill="auto"/>
            <w:tcMar>
              <w:left w:w="28" w:type="dxa"/>
              <w:right w:w="28" w:type="dxa"/>
            </w:tcMar>
          </w:tcPr>
          <w:p w14:paraId="78E69FB1" w14:textId="77777777" w:rsidR="004C1CED" w:rsidRPr="00434E9D" w:rsidRDefault="004C1CED" w:rsidP="004C1CED">
            <w:pPr>
              <w:widowControl/>
              <w:spacing w:before="40" w:after="40"/>
              <w:rPr>
                <w:rFonts w:eastAsia="Calibri"/>
                <w:noProof/>
                <w:sz w:val="22"/>
                <w:szCs w:val="22"/>
                <w:lang w:eastAsia="en-US"/>
              </w:rPr>
            </w:pPr>
          </w:p>
        </w:tc>
        <w:tc>
          <w:tcPr>
            <w:tcW w:w="1262" w:type="dxa"/>
            <w:gridSpan w:val="2"/>
            <w:tcMar>
              <w:left w:w="28" w:type="dxa"/>
              <w:right w:w="28" w:type="dxa"/>
            </w:tcMar>
          </w:tcPr>
          <w:p w14:paraId="42894648" w14:textId="77777777" w:rsidR="004C1CED" w:rsidRPr="00434E9D" w:rsidRDefault="004C1CED" w:rsidP="004C1CED">
            <w:pPr>
              <w:widowControl/>
              <w:spacing w:before="40" w:after="40"/>
              <w:rPr>
                <w:rFonts w:eastAsia="Calibri"/>
                <w:noProof/>
                <w:sz w:val="22"/>
                <w:szCs w:val="22"/>
                <w:lang w:eastAsia="en-US"/>
              </w:rPr>
            </w:pPr>
          </w:p>
        </w:tc>
        <w:tc>
          <w:tcPr>
            <w:tcW w:w="1153" w:type="dxa"/>
            <w:gridSpan w:val="2"/>
            <w:tcMar>
              <w:left w:w="28" w:type="dxa"/>
              <w:right w:w="28" w:type="dxa"/>
            </w:tcMar>
          </w:tcPr>
          <w:p w14:paraId="275A1119" w14:textId="77777777" w:rsidR="004C1CED" w:rsidRPr="00434E9D" w:rsidRDefault="004C1CED" w:rsidP="004C1CED">
            <w:pPr>
              <w:widowControl/>
              <w:spacing w:before="40" w:after="40"/>
              <w:rPr>
                <w:rFonts w:eastAsia="Calibri"/>
                <w:noProof/>
                <w:sz w:val="22"/>
                <w:szCs w:val="22"/>
                <w:lang w:eastAsia="en-US"/>
              </w:rPr>
            </w:pPr>
          </w:p>
        </w:tc>
        <w:tc>
          <w:tcPr>
            <w:tcW w:w="970" w:type="dxa"/>
            <w:tcMar>
              <w:left w:w="28" w:type="dxa"/>
              <w:right w:w="28" w:type="dxa"/>
            </w:tcMar>
          </w:tcPr>
          <w:p w14:paraId="454EB6DC" w14:textId="77777777" w:rsidR="004C1CED" w:rsidRPr="00434E9D" w:rsidRDefault="004C1CED" w:rsidP="004C1CED">
            <w:pPr>
              <w:widowControl/>
              <w:spacing w:before="40" w:after="40"/>
              <w:rPr>
                <w:rFonts w:eastAsia="Calibri"/>
                <w:noProof/>
                <w:sz w:val="22"/>
                <w:szCs w:val="22"/>
                <w:lang w:eastAsia="en-US"/>
              </w:rPr>
            </w:pPr>
          </w:p>
        </w:tc>
      </w:tr>
      <w:tr w:rsidR="00B12A07" w:rsidRPr="00434E9D" w14:paraId="54ABD673" w14:textId="77777777" w:rsidTr="00B12A07">
        <w:trPr>
          <w:gridBefore w:val="1"/>
          <w:wBefore w:w="17" w:type="dxa"/>
          <w:cantSplit/>
          <w:tblHeader/>
          <w:jc w:val="center"/>
        </w:trPr>
        <w:tc>
          <w:tcPr>
            <w:tcW w:w="651" w:type="dxa"/>
            <w:gridSpan w:val="3"/>
            <w:tcMar>
              <w:left w:w="28" w:type="dxa"/>
              <w:right w:w="28" w:type="dxa"/>
            </w:tcMar>
          </w:tcPr>
          <w:p w14:paraId="1A980B26" w14:textId="77777777" w:rsidR="00B12A07" w:rsidRPr="00434E9D" w:rsidRDefault="00B12A07" w:rsidP="004C1CED">
            <w:pPr>
              <w:widowControl/>
              <w:spacing w:before="40" w:after="40"/>
              <w:jc w:val="both"/>
              <w:rPr>
                <w:rFonts w:eastAsia="Calibri"/>
                <w:b/>
                <w:noProof/>
                <w:sz w:val="22"/>
                <w:szCs w:val="22"/>
                <w:lang w:eastAsia="en-US"/>
              </w:rPr>
            </w:pPr>
            <w:r w:rsidRPr="00434E9D">
              <w:rPr>
                <w:rFonts w:eastAsia="Calibri"/>
                <w:b/>
                <w:noProof/>
                <w:sz w:val="22"/>
                <w:szCs w:val="22"/>
                <w:lang w:eastAsia="en-US"/>
              </w:rPr>
              <w:lastRenderedPageBreak/>
              <w:t>70 bis  [Am. 152]</w:t>
            </w:r>
          </w:p>
        </w:tc>
        <w:tc>
          <w:tcPr>
            <w:tcW w:w="2286" w:type="dxa"/>
            <w:gridSpan w:val="3"/>
            <w:shd w:val="clear" w:color="auto" w:fill="auto"/>
            <w:tcMar>
              <w:left w:w="28" w:type="dxa"/>
              <w:right w:w="28" w:type="dxa"/>
            </w:tcMar>
          </w:tcPr>
          <w:p w14:paraId="55F08074" w14:textId="77777777" w:rsidR="00B12A07" w:rsidRPr="00434E9D" w:rsidRDefault="00B12A07" w:rsidP="004C1CED">
            <w:pPr>
              <w:widowControl/>
              <w:spacing w:before="40" w:after="40"/>
              <w:rPr>
                <w:rFonts w:eastAsia="Calibri"/>
                <w:noProof/>
                <w:sz w:val="22"/>
                <w:szCs w:val="22"/>
                <w:lang w:eastAsia="en-US"/>
              </w:rPr>
            </w:pPr>
            <w:r w:rsidRPr="00434E9D">
              <w:rPr>
                <w:b/>
                <w:i/>
                <w:sz w:val="16"/>
              </w:rPr>
              <w:t>Bisphénols</w:t>
            </w:r>
          </w:p>
        </w:tc>
        <w:tc>
          <w:tcPr>
            <w:tcW w:w="1329" w:type="dxa"/>
            <w:gridSpan w:val="3"/>
            <w:shd w:val="clear" w:color="auto" w:fill="auto"/>
            <w:tcMar>
              <w:left w:w="28" w:type="dxa"/>
              <w:right w:w="28" w:type="dxa"/>
            </w:tcMar>
          </w:tcPr>
          <w:p w14:paraId="067CBF35" w14:textId="77777777" w:rsidR="00B12A07" w:rsidRPr="00434E9D" w:rsidRDefault="00B12A07" w:rsidP="004C1CED">
            <w:pPr>
              <w:widowControl/>
              <w:spacing w:before="40" w:after="40"/>
              <w:rPr>
                <w:rFonts w:eastAsia="Calibri"/>
                <w:noProof/>
                <w:sz w:val="22"/>
                <w:szCs w:val="22"/>
                <w:lang w:eastAsia="en-US"/>
              </w:rPr>
            </w:pPr>
            <w:r w:rsidRPr="00434E9D">
              <w:rPr>
                <w:b/>
                <w:i/>
                <w:sz w:val="16"/>
              </w:rPr>
              <w:t>Produits chimiques industriels</w:t>
            </w:r>
          </w:p>
        </w:tc>
        <w:tc>
          <w:tcPr>
            <w:tcW w:w="992" w:type="dxa"/>
            <w:gridSpan w:val="2"/>
            <w:shd w:val="clear" w:color="auto" w:fill="auto"/>
            <w:tcMar>
              <w:left w:w="28" w:type="dxa"/>
              <w:right w:w="28" w:type="dxa"/>
            </w:tcMar>
          </w:tcPr>
          <w:p w14:paraId="7ABFF84B" w14:textId="77777777" w:rsidR="00B12A07" w:rsidRPr="00434E9D" w:rsidRDefault="00B12A07" w:rsidP="004C1CED">
            <w:pPr>
              <w:widowControl/>
              <w:spacing w:before="40" w:after="40"/>
              <w:rPr>
                <w:rFonts w:eastAsia="Calibri"/>
                <w:noProof/>
                <w:sz w:val="22"/>
                <w:szCs w:val="22"/>
                <w:lang w:eastAsia="en-US"/>
              </w:rPr>
            </w:pPr>
            <w:r w:rsidRPr="00434E9D">
              <w:rPr>
                <w:b/>
                <w:i/>
                <w:sz w:val="16"/>
              </w:rPr>
              <w:t>sans objet</w:t>
            </w:r>
          </w:p>
        </w:tc>
        <w:tc>
          <w:tcPr>
            <w:tcW w:w="1134" w:type="dxa"/>
          </w:tcPr>
          <w:p w14:paraId="31A53D3F" w14:textId="77777777" w:rsidR="00B12A07" w:rsidRPr="00434E9D" w:rsidRDefault="00B12A07" w:rsidP="004C1CED">
            <w:pPr>
              <w:widowControl/>
              <w:spacing w:before="40" w:after="40"/>
              <w:rPr>
                <w:rFonts w:eastAsia="Calibri"/>
                <w:noProof/>
                <w:sz w:val="22"/>
                <w:szCs w:val="22"/>
                <w:lang w:eastAsia="en-US"/>
              </w:rPr>
            </w:pPr>
            <w:r w:rsidRPr="00434E9D">
              <w:rPr>
                <w:b/>
                <w:i/>
                <w:sz w:val="16"/>
              </w:rPr>
              <w:t>sans objet</w:t>
            </w:r>
          </w:p>
        </w:tc>
        <w:tc>
          <w:tcPr>
            <w:tcW w:w="1279" w:type="dxa"/>
            <w:gridSpan w:val="2"/>
            <w:shd w:val="clear" w:color="auto" w:fill="auto"/>
            <w:tcMar>
              <w:left w:w="28" w:type="dxa"/>
              <w:right w:w="28" w:type="dxa"/>
            </w:tcMar>
          </w:tcPr>
          <w:p w14:paraId="2B2B7839" w14:textId="77777777" w:rsidR="00B12A07" w:rsidRPr="00434E9D" w:rsidRDefault="00B12A07" w:rsidP="004C1CED">
            <w:pPr>
              <w:widowControl/>
              <w:spacing w:before="40" w:after="40"/>
              <w:rPr>
                <w:rFonts w:eastAsia="Calibri"/>
                <w:noProof/>
                <w:sz w:val="22"/>
                <w:szCs w:val="22"/>
                <w:lang w:eastAsia="en-US"/>
              </w:rPr>
            </w:pPr>
            <w:r w:rsidRPr="00434E9D">
              <w:rPr>
                <w:rFonts w:eastAsia="Calibri"/>
                <w:noProof/>
                <w:sz w:val="22"/>
                <w:szCs w:val="22"/>
                <w:lang w:eastAsia="en-US"/>
              </w:rPr>
              <w:t>*</w:t>
            </w:r>
          </w:p>
        </w:tc>
        <w:tc>
          <w:tcPr>
            <w:tcW w:w="1279" w:type="dxa"/>
            <w:gridSpan w:val="2"/>
            <w:shd w:val="clear" w:color="auto" w:fill="auto"/>
            <w:tcMar>
              <w:left w:w="28" w:type="dxa"/>
              <w:right w:w="28" w:type="dxa"/>
            </w:tcMar>
          </w:tcPr>
          <w:p w14:paraId="3DAFF07C" w14:textId="77777777" w:rsidR="00B12A07" w:rsidRPr="00434E9D" w:rsidRDefault="00B12A07" w:rsidP="004C1CED">
            <w:pPr>
              <w:widowControl/>
              <w:spacing w:before="40" w:after="40"/>
              <w:rPr>
                <w:rFonts w:eastAsia="Calibri"/>
                <w:noProof/>
                <w:sz w:val="22"/>
                <w:szCs w:val="22"/>
                <w:lang w:eastAsia="en-US"/>
              </w:rPr>
            </w:pPr>
            <w:r w:rsidRPr="00434E9D">
              <w:rPr>
                <w:rFonts w:eastAsia="Calibri"/>
                <w:noProof/>
                <w:sz w:val="22"/>
                <w:szCs w:val="22"/>
                <w:lang w:eastAsia="en-US"/>
              </w:rPr>
              <w:t>*</w:t>
            </w:r>
          </w:p>
        </w:tc>
        <w:tc>
          <w:tcPr>
            <w:tcW w:w="1278" w:type="dxa"/>
            <w:gridSpan w:val="2"/>
            <w:shd w:val="clear" w:color="auto" w:fill="auto"/>
            <w:tcMar>
              <w:left w:w="28" w:type="dxa"/>
              <w:right w:w="28" w:type="dxa"/>
            </w:tcMar>
          </w:tcPr>
          <w:p w14:paraId="21A98D5B" w14:textId="77777777" w:rsidR="00B12A07" w:rsidRPr="00434E9D" w:rsidRDefault="00B12A07" w:rsidP="004C1CED">
            <w:pPr>
              <w:widowControl/>
              <w:spacing w:before="40" w:after="40"/>
              <w:rPr>
                <w:rFonts w:eastAsia="Calibri"/>
                <w:noProof/>
                <w:sz w:val="22"/>
                <w:szCs w:val="22"/>
                <w:lang w:eastAsia="en-US"/>
              </w:rPr>
            </w:pPr>
            <w:r w:rsidRPr="00434E9D">
              <w:rPr>
                <w:rFonts w:eastAsia="Calibri"/>
                <w:noProof/>
                <w:sz w:val="22"/>
                <w:szCs w:val="22"/>
                <w:lang w:eastAsia="en-US"/>
              </w:rPr>
              <w:t>*</w:t>
            </w:r>
          </w:p>
        </w:tc>
        <w:tc>
          <w:tcPr>
            <w:tcW w:w="1277" w:type="dxa"/>
            <w:gridSpan w:val="2"/>
            <w:shd w:val="clear" w:color="auto" w:fill="auto"/>
            <w:tcMar>
              <w:left w:w="28" w:type="dxa"/>
              <w:right w:w="28" w:type="dxa"/>
            </w:tcMar>
          </w:tcPr>
          <w:p w14:paraId="00A09A67" w14:textId="77777777" w:rsidR="00B12A07" w:rsidRPr="00434E9D" w:rsidRDefault="00B12A07" w:rsidP="004C1CED">
            <w:pPr>
              <w:widowControl/>
              <w:spacing w:before="40" w:after="40"/>
              <w:rPr>
                <w:rFonts w:eastAsia="Calibri"/>
                <w:noProof/>
                <w:sz w:val="22"/>
                <w:szCs w:val="22"/>
                <w:lang w:eastAsia="en-US"/>
              </w:rPr>
            </w:pPr>
            <w:r w:rsidRPr="00434E9D">
              <w:rPr>
                <w:rFonts w:eastAsia="Calibri"/>
                <w:noProof/>
                <w:sz w:val="22"/>
                <w:szCs w:val="22"/>
                <w:lang w:eastAsia="en-US"/>
              </w:rPr>
              <w:t>*</w:t>
            </w:r>
          </w:p>
        </w:tc>
        <w:tc>
          <w:tcPr>
            <w:tcW w:w="1136" w:type="dxa"/>
            <w:gridSpan w:val="2"/>
            <w:shd w:val="clear" w:color="auto" w:fill="auto"/>
            <w:tcMar>
              <w:left w:w="28" w:type="dxa"/>
              <w:right w:w="28" w:type="dxa"/>
            </w:tcMar>
          </w:tcPr>
          <w:p w14:paraId="2C5019B1" w14:textId="77777777" w:rsidR="00B12A07" w:rsidRPr="00434E9D" w:rsidRDefault="00B12A07" w:rsidP="004C1CED">
            <w:pPr>
              <w:widowControl/>
              <w:spacing w:before="40" w:after="40"/>
              <w:rPr>
                <w:rFonts w:eastAsia="Calibri"/>
                <w:noProof/>
                <w:sz w:val="22"/>
                <w:szCs w:val="22"/>
                <w:lang w:eastAsia="en-US"/>
              </w:rPr>
            </w:pPr>
          </w:p>
        </w:tc>
        <w:tc>
          <w:tcPr>
            <w:tcW w:w="1262" w:type="dxa"/>
            <w:gridSpan w:val="2"/>
            <w:tcMar>
              <w:left w:w="28" w:type="dxa"/>
              <w:right w:w="28" w:type="dxa"/>
            </w:tcMar>
          </w:tcPr>
          <w:p w14:paraId="17F65E97" w14:textId="77777777" w:rsidR="00B12A07" w:rsidRPr="00434E9D" w:rsidRDefault="00B12A07" w:rsidP="004C1CED">
            <w:pPr>
              <w:widowControl/>
              <w:spacing w:before="40" w:after="40"/>
              <w:rPr>
                <w:rFonts w:eastAsia="Calibri"/>
                <w:noProof/>
                <w:sz w:val="22"/>
                <w:szCs w:val="22"/>
                <w:lang w:eastAsia="en-US"/>
              </w:rPr>
            </w:pPr>
          </w:p>
        </w:tc>
        <w:tc>
          <w:tcPr>
            <w:tcW w:w="1153" w:type="dxa"/>
            <w:gridSpan w:val="2"/>
            <w:tcMar>
              <w:left w:w="28" w:type="dxa"/>
              <w:right w:w="28" w:type="dxa"/>
            </w:tcMar>
          </w:tcPr>
          <w:p w14:paraId="61978A2D" w14:textId="77777777" w:rsidR="00B12A07" w:rsidRPr="00434E9D" w:rsidRDefault="00B12A07" w:rsidP="004C1CED">
            <w:pPr>
              <w:widowControl/>
              <w:spacing w:before="40" w:after="40"/>
              <w:rPr>
                <w:rFonts w:eastAsia="Calibri"/>
                <w:noProof/>
                <w:sz w:val="22"/>
                <w:szCs w:val="22"/>
                <w:lang w:eastAsia="en-US"/>
              </w:rPr>
            </w:pPr>
          </w:p>
        </w:tc>
        <w:tc>
          <w:tcPr>
            <w:tcW w:w="970" w:type="dxa"/>
            <w:tcMar>
              <w:left w:w="28" w:type="dxa"/>
              <w:right w:w="28" w:type="dxa"/>
            </w:tcMar>
          </w:tcPr>
          <w:p w14:paraId="0D9CD534" w14:textId="77777777" w:rsidR="00B12A07" w:rsidRPr="00434E9D" w:rsidRDefault="00B12A07" w:rsidP="004C1CED">
            <w:pPr>
              <w:widowControl/>
              <w:spacing w:before="40" w:after="40"/>
              <w:rPr>
                <w:rFonts w:eastAsia="Calibri"/>
                <w:noProof/>
                <w:sz w:val="22"/>
                <w:szCs w:val="22"/>
                <w:lang w:eastAsia="en-US"/>
              </w:rPr>
            </w:pPr>
          </w:p>
        </w:tc>
      </w:tr>
      <w:tr w:rsidR="00B12A07" w:rsidRPr="00434E9D" w14:paraId="73C78D0C" w14:textId="77777777" w:rsidTr="00B12A07">
        <w:trPr>
          <w:gridBefore w:val="1"/>
          <w:wBefore w:w="17" w:type="dxa"/>
          <w:cantSplit/>
          <w:tblHeader/>
          <w:jc w:val="center"/>
        </w:trPr>
        <w:tc>
          <w:tcPr>
            <w:tcW w:w="651" w:type="dxa"/>
            <w:gridSpan w:val="3"/>
            <w:tcMar>
              <w:left w:w="28" w:type="dxa"/>
              <w:right w:w="28" w:type="dxa"/>
            </w:tcMar>
          </w:tcPr>
          <w:p w14:paraId="5F4EDA35" w14:textId="77777777" w:rsidR="00B12A07" w:rsidRPr="00434E9D" w:rsidRDefault="00B12A07" w:rsidP="004C1CED">
            <w:pPr>
              <w:widowControl/>
              <w:spacing w:before="40" w:after="40"/>
              <w:jc w:val="both"/>
              <w:rPr>
                <w:rFonts w:eastAsia="Calibri"/>
                <w:b/>
                <w:noProof/>
                <w:sz w:val="22"/>
                <w:szCs w:val="22"/>
                <w:lang w:eastAsia="en-US"/>
              </w:rPr>
            </w:pPr>
            <w:r w:rsidRPr="00434E9D">
              <w:rPr>
                <w:rFonts w:eastAsia="Calibri"/>
                <w:b/>
                <w:noProof/>
                <w:sz w:val="22"/>
                <w:szCs w:val="22"/>
                <w:lang w:eastAsia="en-US"/>
              </w:rPr>
              <w:t>70 ter  [Am. 153]</w:t>
            </w:r>
          </w:p>
        </w:tc>
        <w:tc>
          <w:tcPr>
            <w:tcW w:w="2286" w:type="dxa"/>
            <w:gridSpan w:val="3"/>
            <w:shd w:val="clear" w:color="auto" w:fill="auto"/>
            <w:tcMar>
              <w:left w:w="28" w:type="dxa"/>
              <w:right w:w="28" w:type="dxa"/>
            </w:tcMar>
          </w:tcPr>
          <w:p w14:paraId="6F161AB0" w14:textId="77777777" w:rsidR="00B12A07" w:rsidRPr="00434E9D" w:rsidRDefault="00B12A07" w:rsidP="004C1CED">
            <w:pPr>
              <w:widowControl/>
              <w:spacing w:before="40" w:after="40"/>
              <w:rPr>
                <w:rFonts w:eastAsia="Calibri"/>
                <w:noProof/>
                <w:sz w:val="22"/>
                <w:szCs w:val="22"/>
                <w:lang w:eastAsia="en-US"/>
              </w:rPr>
            </w:pPr>
            <w:r w:rsidRPr="00434E9D">
              <w:rPr>
                <w:b/>
                <w:i/>
                <w:sz w:val="16"/>
              </w:rPr>
              <w:t>PFAS – total</w:t>
            </w:r>
          </w:p>
        </w:tc>
        <w:tc>
          <w:tcPr>
            <w:tcW w:w="1329" w:type="dxa"/>
            <w:gridSpan w:val="3"/>
            <w:shd w:val="clear" w:color="auto" w:fill="auto"/>
            <w:tcMar>
              <w:left w:w="28" w:type="dxa"/>
              <w:right w:w="28" w:type="dxa"/>
            </w:tcMar>
          </w:tcPr>
          <w:p w14:paraId="3E0AC04F" w14:textId="77777777" w:rsidR="00B12A07" w:rsidRPr="00434E9D" w:rsidRDefault="00B12A07" w:rsidP="004C1CED">
            <w:pPr>
              <w:widowControl/>
              <w:spacing w:before="40" w:after="40"/>
              <w:rPr>
                <w:rFonts w:eastAsia="Calibri"/>
                <w:noProof/>
                <w:sz w:val="22"/>
                <w:szCs w:val="22"/>
                <w:lang w:eastAsia="en-US"/>
              </w:rPr>
            </w:pPr>
            <w:r w:rsidRPr="00434E9D">
              <w:rPr>
                <w:b/>
                <w:i/>
                <w:sz w:val="16"/>
              </w:rPr>
              <w:t>Produits chimiques industriels</w:t>
            </w:r>
          </w:p>
        </w:tc>
        <w:tc>
          <w:tcPr>
            <w:tcW w:w="992" w:type="dxa"/>
            <w:gridSpan w:val="2"/>
            <w:shd w:val="clear" w:color="auto" w:fill="auto"/>
            <w:tcMar>
              <w:left w:w="28" w:type="dxa"/>
              <w:right w:w="28" w:type="dxa"/>
            </w:tcMar>
          </w:tcPr>
          <w:p w14:paraId="3D805F9B" w14:textId="77777777" w:rsidR="00B12A07" w:rsidRPr="00434E9D" w:rsidRDefault="00B12A07" w:rsidP="004C1CED">
            <w:pPr>
              <w:widowControl/>
              <w:spacing w:before="40" w:after="40"/>
              <w:rPr>
                <w:rFonts w:eastAsia="Calibri"/>
                <w:noProof/>
                <w:sz w:val="22"/>
                <w:szCs w:val="22"/>
                <w:lang w:eastAsia="en-US"/>
              </w:rPr>
            </w:pPr>
            <w:r w:rsidRPr="00434E9D">
              <w:rPr>
                <w:b/>
                <w:i/>
                <w:sz w:val="16"/>
              </w:rPr>
              <w:t>sans objet</w:t>
            </w:r>
          </w:p>
        </w:tc>
        <w:tc>
          <w:tcPr>
            <w:tcW w:w="1134" w:type="dxa"/>
          </w:tcPr>
          <w:p w14:paraId="00E08D09" w14:textId="77777777" w:rsidR="00B12A07" w:rsidRPr="00434E9D" w:rsidRDefault="00B12A07" w:rsidP="004C1CED">
            <w:pPr>
              <w:widowControl/>
              <w:spacing w:before="40" w:after="40"/>
              <w:rPr>
                <w:rFonts w:eastAsia="Calibri"/>
                <w:b/>
                <w:noProof/>
                <w:sz w:val="22"/>
                <w:szCs w:val="22"/>
                <w:lang w:eastAsia="en-US"/>
              </w:rPr>
            </w:pPr>
            <w:r w:rsidRPr="00434E9D">
              <w:rPr>
                <w:b/>
                <w:i/>
                <w:sz w:val="16"/>
              </w:rPr>
              <w:t>sans objet</w:t>
            </w:r>
          </w:p>
        </w:tc>
        <w:tc>
          <w:tcPr>
            <w:tcW w:w="1279" w:type="dxa"/>
            <w:gridSpan w:val="2"/>
            <w:shd w:val="clear" w:color="auto" w:fill="auto"/>
            <w:tcMar>
              <w:left w:w="28" w:type="dxa"/>
              <w:right w:w="28" w:type="dxa"/>
            </w:tcMar>
          </w:tcPr>
          <w:p w14:paraId="418F4FF0" w14:textId="77777777" w:rsidR="00B12A07" w:rsidRPr="00434E9D" w:rsidRDefault="00B12A07" w:rsidP="004C1CED">
            <w:pPr>
              <w:widowControl/>
              <w:spacing w:before="40" w:after="40"/>
              <w:rPr>
                <w:rFonts w:eastAsia="Calibri"/>
                <w:noProof/>
                <w:sz w:val="22"/>
                <w:szCs w:val="22"/>
                <w:lang w:eastAsia="en-US"/>
              </w:rPr>
            </w:pPr>
            <w:r w:rsidRPr="00434E9D">
              <w:rPr>
                <w:rFonts w:eastAsia="Calibri"/>
                <w:noProof/>
                <w:sz w:val="22"/>
                <w:szCs w:val="22"/>
                <w:lang w:eastAsia="en-US"/>
              </w:rPr>
              <w:t>*</w:t>
            </w:r>
          </w:p>
        </w:tc>
        <w:tc>
          <w:tcPr>
            <w:tcW w:w="1279" w:type="dxa"/>
            <w:gridSpan w:val="2"/>
            <w:shd w:val="clear" w:color="auto" w:fill="auto"/>
            <w:tcMar>
              <w:left w:w="28" w:type="dxa"/>
              <w:right w:w="28" w:type="dxa"/>
            </w:tcMar>
          </w:tcPr>
          <w:p w14:paraId="31FA7079" w14:textId="77777777" w:rsidR="00B12A07" w:rsidRPr="00434E9D" w:rsidRDefault="00B12A07" w:rsidP="004C1CED">
            <w:pPr>
              <w:widowControl/>
              <w:spacing w:before="40" w:after="40"/>
              <w:rPr>
                <w:rFonts w:eastAsia="Calibri"/>
                <w:noProof/>
                <w:sz w:val="22"/>
                <w:szCs w:val="22"/>
                <w:lang w:eastAsia="en-US"/>
              </w:rPr>
            </w:pPr>
            <w:r w:rsidRPr="00434E9D">
              <w:rPr>
                <w:rFonts w:eastAsia="Calibri"/>
                <w:noProof/>
                <w:sz w:val="22"/>
                <w:szCs w:val="22"/>
                <w:lang w:eastAsia="en-US"/>
              </w:rPr>
              <w:t>*</w:t>
            </w:r>
          </w:p>
        </w:tc>
        <w:tc>
          <w:tcPr>
            <w:tcW w:w="1278" w:type="dxa"/>
            <w:gridSpan w:val="2"/>
            <w:shd w:val="clear" w:color="auto" w:fill="auto"/>
            <w:tcMar>
              <w:left w:w="28" w:type="dxa"/>
              <w:right w:w="28" w:type="dxa"/>
            </w:tcMar>
          </w:tcPr>
          <w:p w14:paraId="6FB99F6E" w14:textId="77777777" w:rsidR="00B12A07" w:rsidRPr="00434E9D" w:rsidRDefault="00B12A07" w:rsidP="004C1CED">
            <w:pPr>
              <w:widowControl/>
              <w:spacing w:before="40" w:after="40"/>
              <w:rPr>
                <w:rFonts w:eastAsia="Calibri"/>
                <w:noProof/>
                <w:sz w:val="22"/>
                <w:szCs w:val="22"/>
                <w:lang w:eastAsia="en-US"/>
              </w:rPr>
            </w:pPr>
            <w:r w:rsidRPr="00434E9D">
              <w:rPr>
                <w:rFonts w:eastAsia="Calibri"/>
                <w:noProof/>
                <w:sz w:val="22"/>
                <w:szCs w:val="22"/>
                <w:lang w:eastAsia="en-US"/>
              </w:rPr>
              <w:t>*</w:t>
            </w:r>
          </w:p>
        </w:tc>
        <w:tc>
          <w:tcPr>
            <w:tcW w:w="1277" w:type="dxa"/>
            <w:gridSpan w:val="2"/>
            <w:shd w:val="clear" w:color="auto" w:fill="auto"/>
            <w:tcMar>
              <w:left w:w="28" w:type="dxa"/>
              <w:right w:w="28" w:type="dxa"/>
            </w:tcMar>
          </w:tcPr>
          <w:p w14:paraId="3F26381F" w14:textId="77777777" w:rsidR="00B12A07" w:rsidRPr="00434E9D" w:rsidRDefault="00B12A07" w:rsidP="004C1CED">
            <w:pPr>
              <w:widowControl/>
              <w:spacing w:before="40" w:after="40"/>
              <w:rPr>
                <w:rFonts w:eastAsia="Calibri"/>
                <w:noProof/>
                <w:sz w:val="22"/>
                <w:szCs w:val="22"/>
                <w:lang w:eastAsia="en-US"/>
              </w:rPr>
            </w:pPr>
            <w:r w:rsidRPr="00434E9D">
              <w:rPr>
                <w:rFonts w:eastAsia="Calibri"/>
                <w:noProof/>
                <w:sz w:val="22"/>
                <w:szCs w:val="22"/>
                <w:lang w:eastAsia="en-US"/>
              </w:rPr>
              <w:t>*</w:t>
            </w:r>
          </w:p>
        </w:tc>
        <w:tc>
          <w:tcPr>
            <w:tcW w:w="1136" w:type="dxa"/>
            <w:gridSpan w:val="2"/>
            <w:shd w:val="clear" w:color="auto" w:fill="auto"/>
            <w:tcMar>
              <w:left w:w="28" w:type="dxa"/>
              <w:right w:w="28" w:type="dxa"/>
            </w:tcMar>
          </w:tcPr>
          <w:p w14:paraId="3843CC29" w14:textId="77777777" w:rsidR="00B12A07" w:rsidRPr="00434E9D" w:rsidRDefault="00B12A07" w:rsidP="004C1CED">
            <w:pPr>
              <w:widowControl/>
              <w:spacing w:before="40" w:after="40"/>
              <w:rPr>
                <w:rFonts w:eastAsia="Calibri"/>
                <w:noProof/>
                <w:sz w:val="22"/>
                <w:szCs w:val="22"/>
                <w:lang w:eastAsia="en-US"/>
              </w:rPr>
            </w:pPr>
          </w:p>
        </w:tc>
        <w:tc>
          <w:tcPr>
            <w:tcW w:w="1262" w:type="dxa"/>
            <w:gridSpan w:val="2"/>
            <w:tcMar>
              <w:left w:w="28" w:type="dxa"/>
              <w:right w:w="28" w:type="dxa"/>
            </w:tcMar>
          </w:tcPr>
          <w:p w14:paraId="1BFC2500" w14:textId="77777777" w:rsidR="00B12A07" w:rsidRPr="00434E9D" w:rsidRDefault="00B12A07" w:rsidP="004C1CED">
            <w:pPr>
              <w:widowControl/>
              <w:spacing w:before="40" w:after="40"/>
              <w:rPr>
                <w:rFonts w:eastAsia="Calibri"/>
                <w:noProof/>
                <w:sz w:val="22"/>
                <w:szCs w:val="22"/>
                <w:lang w:eastAsia="en-US"/>
              </w:rPr>
            </w:pPr>
          </w:p>
        </w:tc>
        <w:tc>
          <w:tcPr>
            <w:tcW w:w="1153" w:type="dxa"/>
            <w:gridSpan w:val="2"/>
            <w:tcMar>
              <w:left w:w="28" w:type="dxa"/>
              <w:right w:w="28" w:type="dxa"/>
            </w:tcMar>
          </w:tcPr>
          <w:p w14:paraId="33243E41" w14:textId="77777777" w:rsidR="00B12A07" w:rsidRPr="00434E9D" w:rsidRDefault="00B12A07" w:rsidP="004C1CED">
            <w:pPr>
              <w:widowControl/>
              <w:spacing w:before="40" w:after="40"/>
              <w:rPr>
                <w:rFonts w:eastAsia="Calibri"/>
                <w:noProof/>
                <w:sz w:val="22"/>
                <w:szCs w:val="22"/>
                <w:lang w:eastAsia="en-US"/>
              </w:rPr>
            </w:pPr>
          </w:p>
        </w:tc>
        <w:tc>
          <w:tcPr>
            <w:tcW w:w="970" w:type="dxa"/>
            <w:tcMar>
              <w:left w:w="28" w:type="dxa"/>
              <w:right w:w="28" w:type="dxa"/>
            </w:tcMar>
          </w:tcPr>
          <w:p w14:paraId="10750182" w14:textId="77777777" w:rsidR="00B12A07" w:rsidRPr="00434E9D" w:rsidRDefault="00B12A07" w:rsidP="004C1CED">
            <w:pPr>
              <w:widowControl/>
              <w:spacing w:before="40" w:after="40"/>
              <w:rPr>
                <w:rFonts w:eastAsia="Calibri"/>
                <w:noProof/>
                <w:sz w:val="22"/>
                <w:szCs w:val="22"/>
                <w:lang w:eastAsia="en-US"/>
              </w:rPr>
            </w:pPr>
          </w:p>
        </w:tc>
      </w:tr>
      <w:tr w:rsidR="00B12A07" w:rsidRPr="00434E9D" w14:paraId="272BC429" w14:textId="77777777" w:rsidTr="00B12A07">
        <w:trPr>
          <w:gridBefore w:val="1"/>
          <w:wBefore w:w="17" w:type="dxa"/>
          <w:cantSplit/>
          <w:tblHeader/>
          <w:jc w:val="center"/>
        </w:trPr>
        <w:tc>
          <w:tcPr>
            <w:tcW w:w="651" w:type="dxa"/>
            <w:gridSpan w:val="3"/>
            <w:tcMar>
              <w:left w:w="28" w:type="dxa"/>
              <w:right w:w="28" w:type="dxa"/>
            </w:tcMar>
          </w:tcPr>
          <w:p w14:paraId="497B07BC" w14:textId="77777777" w:rsidR="00B12A07" w:rsidRPr="00434E9D" w:rsidRDefault="00B12A07" w:rsidP="004C1CED">
            <w:pPr>
              <w:widowControl/>
              <w:spacing w:before="40" w:after="40"/>
              <w:jc w:val="both"/>
              <w:rPr>
                <w:rFonts w:eastAsia="Calibri"/>
                <w:b/>
                <w:noProof/>
                <w:sz w:val="22"/>
                <w:szCs w:val="22"/>
                <w:lang w:eastAsia="en-US"/>
              </w:rPr>
            </w:pPr>
            <w:r w:rsidRPr="00434E9D">
              <w:rPr>
                <w:rFonts w:eastAsia="Calibri"/>
                <w:b/>
                <w:noProof/>
                <w:sz w:val="22"/>
                <w:szCs w:val="22"/>
                <w:lang w:eastAsia="en-US"/>
              </w:rPr>
              <w:t>70 quater  [Am. 154]</w:t>
            </w:r>
          </w:p>
        </w:tc>
        <w:tc>
          <w:tcPr>
            <w:tcW w:w="2286" w:type="dxa"/>
            <w:gridSpan w:val="3"/>
            <w:shd w:val="clear" w:color="auto" w:fill="auto"/>
            <w:tcMar>
              <w:left w:w="28" w:type="dxa"/>
              <w:right w:w="28" w:type="dxa"/>
            </w:tcMar>
          </w:tcPr>
          <w:p w14:paraId="0FE4933D" w14:textId="77777777" w:rsidR="00B12A07" w:rsidRPr="00434E9D" w:rsidRDefault="00B12A07" w:rsidP="004C1CED">
            <w:pPr>
              <w:widowControl/>
              <w:spacing w:before="40" w:after="40"/>
              <w:rPr>
                <w:rFonts w:eastAsia="Calibri"/>
                <w:noProof/>
                <w:sz w:val="22"/>
                <w:szCs w:val="22"/>
                <w:lang w:eastAsia="en-US"/>
              </w:rPr>
            </w:pPr>
            <w:r w:rsidRPr="00434E9D">
              <w:rPr>
                <w:b/>
                <w:i/>
                <w:sz w:val="16"/>
              </w:rPr>
              <w:t>Substances pharmaceutiques actives – total</w:t>
            </w:r>
          </w:p>
        </w:tc>
        <w:tc>
          <w:tcPr>
            <w:tcW w:w="1329" w:type="dxa"/>
            <w:gridSpan w:val="3"/>
            <w:shd w:val="clear" w:color="auto" w:fill="auto"/>
            <w:tcMar>
              <w:left w:w="28" w:type="dxa"/>
              <w:right w:w="28" w:type="dxa"/>
            </w:tcMar>
          </w:tcPr>
          <w:p w14:paraId="4EF139C4" w14:textId="77777777" w:rsidR="00B12A07" w:rsidRPr="00434E9D" w:rsidRDefault="00B12A07" w:rsidP="004C1CED">
            <w:pPr>
              <w:widowControl/>
              <w:spacing w:before="40" w:after="40"/>
              <w:rPr>
                <w:rFonts w:eastAsia="Calibri"/>
                <w:noProof/>
                <w:sz w:val="22"/>
                <w:szCs w:val="22"/>
                <w:lang w:eastAsia="en-US"/>
              </w:rPr>
            </w:pPr>
            <w:r w:rsidRPr="00434E9D">
              <w:rPr>
                <w:b/>
                <w:i/>
                <w:sz w:val="16"/>
              </w:rPr>
              <w:t>Produits pharmaceutiques</w:t>
            </w:r>
          </w:p>
        </w:tc>
        <w:tc>
          <w:tcPr>
            <w:tcW w:w="992" w:type="dxa"/>
            <w:gridSpan w:val="2"/>
            <w:shd w:val="clear" w:color="auto" w:fill="auto"/>
            <w:tcMar>
              <w:left w:w="28" w:type="dxa"/>
              <w:right w:w="28" w:type="dxa"/>
            </w:tcMar>
          </w:tcPr>
          <w:p w14:paraId="1741ED4C" w14:textId="77777777" w:rsidR="00B12A07" w:rsidRPr="00434E9D" w:rsidRDefault="00B12A07" w:rsidP="004C1CED">
            <w:pPr>
              <w:widowControl/>
              <w:spacing w:before="40" w:after="40"/>
              <w:rPr>
                <w:rFonts w:eastAsia="Calibri"/>
                <w:noProof/>
                <w:sz w:val="22"/>
                <w:szCs w:val="22"/>
                <w:lang w:eastAsia="en-US"/>
              </w:rPr>
            </w:pPr>
            <w:r w:rsidRPr="00434E9D">
              <w:rPr>
                <w:b/>
                <w:i/>
                <w:sz w:val="16"/>
              </w:rPr>
              <w:t>sans objet</w:t>
            </w:r>
          </w:p>
        </w:tc>
        <w:tc>
          <w:tcPr>
            <w:tcW w:w="1134" w:type="dxa"/>
          </w:tcPr>
          <w:p w14:paraId="57392EF6" w14:textId="77777777" w:rsidR="00B12A07" w:rsidRPr="00434E9D" w:rsidRDefault="00B12A07" w:rsidP="004C1CED">
            <w:pPr>
              <w:widowControl/>
              <w:spacing w:before="40" w:after="40"/>
              <w:rPr>
                <w:rFonts w:eastAsia="Calibri"/>
                <w:noProof/>
                <w:sz w:val="22"/>
                <w:szCs w:val="22"/>
                <w:lang w:eastAsia="en-US"/>
              </w:rPr>
            </w:pPr>
            <w:r w:rsidRPr="00434E9D">
              <w:rPr>
                <w:b/>
                <w:i/>
                <w:sz w:val="16"/>
              </w:rPr>
              <w:t>sans objet</w:t>
            </w:r>
          </w:p>
        </w:tc>
        <w:tc>
          <w:tcPr>
            <w:tcW w:w="1279" w:type="dxa"/>
            <w:gridSpan w:val="2"/>
            <w:shd w:val="clear" w:color="auto" w:fill="auto"/>
            <w:tcMar>
              <w:left w:w="28" w:type="dxa"/>
              <w:right w:w="28" w:type="dxa"/>
            </w:tcMar>
          </w:tcPr>
          <w:p w14:paraId="47CB6F9B" w14:textId="77777777" w:rsidR="00B12A07" w:rsidRPr="00434E9D" w:rsidRDefault="00B12A07" w:rsidP="004C1CED">
            <w:pPr>
              <w:widowControl/>
              <w:spacing w:before="40" w:after="40"/>
              <w:rPr>
                <w:rFonts w:eastAsia="Calibri"/>
                <w:noProof/>
                <w:sz w:val="22"/>
                <w:szCs w:val="22"/>
                <w:lang w:eastAsia="en-US"/>
              </w:rPr>
            </w:pPr>
            <w:r w:rsidRPr="00434E9D">
              <w:rPr>
                <w:b/>
                <w:i/>
                <w:sz w:val="16"/>
              </w:rPr>
              <w:t>0,25</w:t>
            </w:r>
          </w:p>
        </w:tc>
        <w:tc>
          <w:tcPr>
            <w:tcW w:w="1279" w:type="dxa"/>
            <w:gridSpan w:val="2"/>
            <w:shd w:val="clear" w:color="auto" w:fill="auto"/>
            <w:tcMar>
              <w:left w:w="28" w:type="dxa"/>
              <w:right w:w="28" w:type="dxa"/>
            </w:tcMar>
          </w:tcPr>
          <w:p w14:paraId="628557C9" w14:textId="77777777" w:rsidR="00B12A07" w:rsidRPr="00434E9D" w:rsidRDefault="00B12A07" w:rsidP="004C1CED">
            <w:pPr>
              <w:widowControl/>
              <w:spacing w:before="40" w:after="40"/>
              <w:rPr>
                <w:rFonts w:eastAsia="Calibri"/>
                <w:noProof/>
                <w:sz w:val="22"/>
                <w:szCs w:val="22"/>
                <w:lang w:eastAsia="en-US"/>
              </w:rPr>
            </w:pPr>
            <w:r w:rsidRPr="00434E9D">
              <w:rPr>
                <w:b/>
                <w:i/>
                <w:sz w:val="16"/>
              </w:rPr>
              <w:t>0,025</w:t>
            </w:r>
          </w:p>
        </w:tc>
        <w:tc>
          <w:tcPr>
            <w:tcW w:w="1278" w:type="dxa"/>
            <w:gridSpan w:val="2"/>
            <w:shd w:val="clear" w:color="auto" w:fill="auto"/>
            <w:tcMar>
              <w:left w:w="28" w:type="dxa"/>
              <w:right w:w="28" w:type="dxa"/>
            </w:tcMar>
          </w:tcPr>
          <w:p w14:paraId="3085A8FD" w14:textId="77777777" w:rsidR="00B12A07" w:rsidRPr="00434E9D" w:rsidRDefault="00B12A07" w:rsidP="004C1CED">
            <w:pPr>
              <w:widowControl/>
              <w:spacing w:before="40" w:after="40"/>
              <w:rPr>
                <w:rFonts w:eastAsia="Calibri"/>
                <w:noProof/>
                <w:sz w:val="22"/>
                <w:szCs w:val="22"/>
                <w:lang w:eastAsia="en-US"/>
              </w:rPr>
            </w:pPr>
          </w:p>
        </w:tc>
        <w:tc>
          <w:tcPr>
            <w:tcW w:w="1277" w:type="dxa"/>
            <w:gridSpan w:val="2"/>
            <w:shd w:val="clear" w:color="auto" w:fill="auto"/>
            <w:tcMar>
              <w:left w:w="28" w:type="dxa"/>
              <w:right w:w="28" w:type="dxa"/>
            </w:tcMar>
          </w:tcPr>
          <w:p w14:paraId="12B0CC20" w14:textId="77777777" w:rsidR="00B12A07" w:rsidRPr="00434E9D" w:rsidRDefault="00B12A07" w:rsidP="004C1CED">
            <w:pPr>
              <w:widowControl/>
              <w:spacing w:before="40" w:after="40"/>
              <w:rPr>
                <w:rFonts w:eastAsia="Calibri"/>
                <w:noProof/>
                <w:sz w:val="22"/>
                <w:szCs w:val="22"/>
                <w:lang w:eastAsia="en-US"/>
              </w:rPr>
            </w:pPr>
          </w:p>
        </w:tc>
        <w:tc>
          <w:tcPr>
            <w:tcW w:w="1136" w:type="dxa"/>
            <w:gridSpan w:val="2"/>
            <w:shd w:val="clear" w:color="auto" w:fill="auto"/>
            <w:tcMar>
              <w:left w:w="28" w:type="dxa"/>
              <w:right w:w="28" w:type="dxa"/>
            </w:tcMar>
          </w:tcPr>
          <w:p w14:paraId="2393B5C7" w14:textId="77777777" w:rsidR="00B12A07" w:rsidRPr="00434E9D" w:rsidRDefault="00B12A07" w:rsidP="004C1CED">
            <w:pPr>
              <w:widowControl/>
              <w:spacing w:before="40" w:after="40"/>
              <w:rPr>
                <w:rFonts w:eastAsia="Calibri"/>
                <w:noProof/>
                <w:sz w:val="22"/>
                <w:szCs w:val="22"/>
                <w:lang w:eastAsia="en-US"/>
              </w:rPr>
            </w:pPr>
          </w:p>
        </w:tc>
        <w:tc>
          <w:tcPr>
            <w:tcW w:w="1262" w:type="dxa"/>
            <w:gridSpan w:val="2"/>
            <w:tcMar>
              <w:left w:w="28" w:type="dxa"/>
              <w:right w:w="28" w:type="dxa"/>
            </w:tcMar>
          </w:tcPr>
          <w:p w14:paraId="74B15813" w14:textId="77777777" w:rsidR="00B12A07" w:rsidRPr="00434E9D" w:rsidRDefault="00B12A07" w:rsidP="004C1CED">
            <w:pPr>
              <w:widowControl/>
              <w:spacing w:before="40" w:after="40"/>
              <w:rPr>
                <w:rFonts w:eastAsia="Calibri"/>
                <w:noProof/>
                <w:sz w:val="22"/>
                <w:szCs w:val="22"/>
                <w:lang w:eastAsia="en-US"/>
              </w:rPr>
            </w:pPr>
          </w:p>
        </w:tc>
        <w:tc>
          <w:tcPr>
            <w:tcW w:w="1153" w:type="dxa"/>
            <w:gridSpan w:val="2"/>
            <w:tcMar>
              <w:left w:w="28" w:type="dxa"/>
              <w:right w:w="28" w:type="dxa"/>
            </w:tcMar>
          </w:tcPr>
          <w:p w14:paraId="528CC75D" w14:textId="77777777" w:rsidR="00B12A07" w:rsidRPr="00434E9D" w:rsidRDefault="00B12A07" w:rsidP="004C1CED">
            <w:pPr>
              <w:widowControl/>
              <w:spacing w:before="40" w:after="40"/>
              <w:rPr>
                <w:rFonts w:eastAsia="Calibri"/>
                <w:noProof/>
                <w:sz w:val="22"/>
                <w:szCs w:val="22"/>
                <w:lang w:eastAsia="en-US"/>
              </w:rPr>
            </w:pPr>
          </w:p>
        </w:tc>
        <w:tc>
          <w:tcPr>
            <w:tcW w:w="970" w:type="dxa"/>
            <w:tcMar>
              <w:left w:w="28" w:type="dxa"/>
              <w:right w:w="28" w:type="dxa"/>
            </w:tcMar>
          </w:tcPr>
          <w:p w14:paraId="7DC91B5D" w14:textId="77777777" w:rsidR="00B12A07" w:rsidRPr="00434E9D" w:rsidRDefault="00B12A07" w:rsidP="004C1CED">
            <w:pPr>
              <w:widowControl/>
              <w:spacing w:before="40" w:after="40"/>
              <w:rPr>
                <w:rFonts w:eastAsia="Calibri"/>
                <w:noProof/>
                <w:sz w:val="22"/>
                <w:szCs w:val="22"/>
                <w:lang w:eastAsia="en-US"/>
              </w:rPr>
            </w:pPr>
          </w:p>
        </w:tc>
      </w:tr>
      <w:tr w:rsidR="00B12A07" w:rsidRPr="00434E9D" w14:paraId="0BEBD4FA" w14:textId="77777777" w:rsidTr="00B12A07">
        <w:tblPrEx>
          <w:tblCellMar>
            <w:left w:w="340" w:type="dxa"/>
            <w:right w:w="340" w:type="dxa"/>
          </w:tblCellMar>
          <w:tblLook w:val="04A0" w:firstRow="1" w:lastRow="0" w:firstColumn="1" w:lastColumn="0" w:noHBand="0" w:noVBand="1"/>
        </w:tblPrEx>
        <w:trPr>
          <w:gridAfter w:val="4"/>
          <w:wAfter w:w="3022" w:type="dxa"/>
          <w:trHeight w:val="261"/>
          <w:jc w:val="center"/>
        </w:trPr>
        <w:tc>
          <w:tcPr>
            <w:tcW w:w="13021" w:type="dxa"/>
            <w:gridSpan w:val="24"/>
            <w:tcBorders>
              <w:top w:val="single" w:sz="4" w:space="0" w:color="auto"/>
              <w:left w:val="nil"/>
              <w:bottom w:val="nil"/>
              <w:right w:val="nil"/>
            </w:tcBorders>
            <w:hideMark/>
          </w:tcPr>
          <w:p w14:paraId="551118A8" w14:textId="77777777" w:rsidR="00B12A07" w:rsidRPr="00434E9D" w:rsidRDefault="00B12A07" w:rsidP="00885B4C">
            <w:pPr>
              <w:pStyle w:val="Point1number"/>
              <w:numPr>
                <w:ilvl w:val="0"/>
                <w:numId w:val="0"/>
              </w:numPr>
              <w:tabs>
                <w:tab w:val="left" w:pos="720"/>
              </w:tabs>
              <w:rPr>
                <w:noProof/>
                <w:sz w:val="22"/>
                <w:vertAlign w:val="superscript"/>
              </w:rPr>
            </w:pPr>
            <w:r w:rsidRPr="00434E9D">
              <w:t>______________________</w:t>
            </w:r>
          </w:p>
        </w:tc>
      </w:tr>
      <w:tr w:rsidR="00B12A07" w:rsidRPr="00434E9D" w14:paraId="145D12B6" w14:textId="77777777" w:rsidTr="00B12A07">
        <w:tblPrEx>
          <w:tblCellMar>
            <w:left w:w="340" w:type="dxa"/>
            <w:right w:w="340" w:type="dxa"/>
          </w:tblCellMar>
          <w:tblLook w:val="04A0" w:firstRow="1" w:lastRow="0" w:firstColumn="1" w:lastColumn="0" w:noHBand="0" w:noVBand="1"/>
        </w:tblPrEx>
        <w:trPr>
          <w:gridAfter w:val="4"/>
          <w:wAfter w:w="3022" w:type="dxa"/>
          <w:trHeight w:val="261"/>
          <w:jc w:val="center"/>
        </w:trPr>
        <w:tc>
          <w:tcPr>
            <w:tcW w:w="13021" w:type="dxa"/>
            <w:gridSpan w:val="24"/>
            <w:tcBorders>
              <w:top w:val="nil"/>
              <w:left w:val="nil"/>
              <w:bottom w:val="nil"/>
              <w:right w:val="nil"/>
            </w:tcBorders>
            <w:hideMark/>
          </w:tcPr>
          <w:p w14:paraId="71563C88" w14:textId="77777777" w:rsidR="00B12A07" w:rsidRPr="00434E9D" w:rsidRDefault="00B12A07" w:rsidP="00885B4C">
            <w:pPr>
              <w:pStyle w:val="Point1number"/>
              <w:numPr>
                <w:ilvl w:val="0"/>
                <w:numId w:val="0"/>
              </w:numPr>
              <w:tabs>
                <w:tab w:val="left" w:pos="720"/>
              </w:tabs>
              <w:rPr>
                <w:noProof/>
                <w:sz w:val="22"/>
                <w:vertAlign w:val="superscript"/>
              </w:rPr>
            </w:pPr>
            <w:r w:rsidRPr="00434E9D">
              <w:rPr>
                <w:sz w:val="22"/>
                <w:vertAlign w:val="superscript"/>
              </w:rPr>
              <w:t>*</w:t>
            </w:r>
            <w:r w:rsidRPr="00434E9D">
              <w:rPr>
                <w:b/>
                <w:i/>
              </w:rPr>
              <w:t>Les normes de qualité seront fixées par la Commission par voie d’acte délégué.</w:t>
            </w:r>
          </w:p>
        </w:tc>
      </w:tr>
    </w:tbl>
    <w:p w14:paraId="51A399C5" w14:textId="77777777" w:rsidR="00B12A07" w:rsidRPr="00434E9D" w:rsidRDefault="00B12A07" w:rsidP="008C3DE0">
      <w:pPr>
        <w:ind w:left="1416" w:hanging="566"/>
        <w:sectPr w:rsidR="00B12A07" w:rsidRPr="00434E9D" w:rsidSect="004C1CED">
          <w:footnotePr>
            <w:numRestart w:val="eachSect"/>
          </w:footnotePr>
          <w:pgSz w:w="16834" w:h="11909" w:orient="landscape"/>
          <w:pgMar w:top="1417" w:right="1134" w:bottom="1417" w:left="1417" w:header="1134" w:footer="567" w:gutter="0"/>
          <w:cols w:space="720"/>
          <w:docGrid w:linePitch="326"/>
        </w:sectPr>
      </w:pPr>
    </w:p>
    <w:p w14:paraId="0C4F099D" w14:textId="77777777" w:rsidR="008C3DE0" w:rsidRPr="00434E9D" w:rsidRDefault="008C3DE0" w:rsidP="00B12A07">
      <w:pPr>
        <w:spacing w:line="360" w:lineRule="auto"/>
        <w:ind w:left="284" w:hanging="284"/>
        <w:rPr>
          <w:sz w:val="20"/>
        </w:rPr>
      </w:pPr>
      <w:r w:rsidRPr="00434E9D">
        <w:rPr>
          <w:sz w:val="20"/>
          <w:vertAlign w:val="superscript"/>
        </w:rPr>
        <w:lastRenderedPageBreak/>
        <w:t>(1)</w:t>
      </w:r>
      <w:r w:rsidRPr="00434E9D">
        <w:rPr>
          <w:sz w:val="20"/>
        </w:rPr>
        <w:tab/>
        <w:t>CAS: Chemical Abstracts Service</w:t>
      </w:r>
    </w:p>
    <w:p w14:paraId="4F3086DA" w14:textId="77777777" w:rsidR="008C3DE0" w:rsidRPr="00434E9D" w:rsidRDefault="008C3DE0" w:rsidP="00B12A07">
      <w:pPr>
        <w:spacing w:line="360" w:lineRule="auto"/>
        <w:ind w:left="284" w:hanging="284"/>
        <w:rPr>
          <w:sz w:val="20"/>
        </w:rPr>
      </w:pPr>
      <w:r w:rsidRPr="00434E9D">
        <w:rPr>
          <w:sz w:val="20"/>
          <w:vertAlign w:val="superscript"/>
        </w:rPr>
        <w:t>(2)</w:t>
      </w:r>
      <w:r w:rsidRPr="00434E9D">
        <w:rPr>
          <w:sz w:val="20"/>
        </w:rPr>
        <w:tab/>
        <w:t>Numéro UE: Inventaire européen des produits chimiques commercialisés (EINECS) ou Liste européenne des substances chimiques notifiées (ELINCS).</w:t>
      </w:r>
    </w:p>
    <w:p w14:paraId="13B24997" w14:textId="77777777" w:rsidR="008C3DE0" w:rsidRPr="00434E9D" w:rsidRDefault="008C3DE0" w:rsidP="00B12A07">
      <w:pPr>
        <w:spacing w:line="360" w:lineRule="auto"/>
        <w:ind w:left="284" w:hanging="284"/>
        <w:rPr>
          <w:sz w:val="20"/>
        </w:rPr>
      </w:pPr>
      <w:r w:rsidRPr="00434E9D">
        <w:rPr>
          <w:sz w:val="20"/>
          <w:vertAlign w:val="superscript"/>
        </w:rPr>
        <w:t>(3)</w:t>
      </w:r>
      <w:r w:rsidRPr="00434E9D">
        <w:rPr>
          <w:sz w:val="20"/>
        </w:rPr>
        <w:tab/>
        <w:t>Ce paramètre est la NQE exprimée en valeur moyenne annuelle (NQE-MA). Sauf indication contraire, il s’applique à la concentration totale de toutes les substances et tous les isomères.</w:t>
      </w:r>
    </w:p>
    <w:p w14:paraId="39BDEB04" w14:textId="77777777" w:rsidR="008C3DE0" w:rsidRPr="00434E9D" w:rsidRDefault="008C3DE0" w:rsidP="00B12A07">
      <w:pPr>
        <w:spacing w:line="360" w:lineRule="auto"/>
        <w:ind w:left="284" w:hanging="284"/>
        <w:rPr>
          <w:sz w:val="20"/>
        </w:rPr>
      </w:pPr>
      <w:r w:rsidRPr="00434E9D">
        <w:rPr>
          <w:sz w:val="20"/>
          <w:vertAlign w:val="superscript"/>
        </w:rPr>
        <w:t>(4)</w:t>
      </w:r>
      <w:r w:rsidRPr="00434E9D">
        <w:rPr>
          <w:sz w:val="20"/>
        </w:rPr>
        <w:tab/>
        <w:t>Les eaux de surface intérieures comprennent les rivières et les lacs et les masses d’eau artificielles ou fortement modifiées qui y sont reliées.</w:t>
      </w:r>
    </w:p>
    <w:p w14:paraId="45EDC508" w14:textId="77777777" w:rsidR="008C3DE0" w:rsidRPr="00434E9D" w:rsidRDefault="008C3DE0" w:rsidP="00B12A07">
      <w:pPr>
        <w:spacing w:line="360" w:lineRule="auto"/>
        <w:ind w:left="284" w:hanging="284"/>
        <w:rPr>
          <w:sz w:val="20"/>
        </w:rPr>
      </w:pPr>
      <w:r w:rsidRPr="00434E9D">
        <w:rPr>
          <w:sz w:val="20"/>
          <w:vertAlign w:val="superscript"/>
        </w:rPr>
        <w:t>(5)</w:t>
      </w:r>
      <w:r w:rsidRPr="00434E9D">
        <w:rPr>
          <w:sz w:val="20"/>
        </w:rPr>
        <w:tab/>
        <w:t>Ce paramètre est la NQE exprimée en concentration maximale admissible (NQE-CMA). Lorsque les NQE-CMA sont indiquées comme étant «sans objet», les valeurs retenues pour les NQE-MA sont considérées comme assurant une protection contre les pics de pollution à court terme dans les rejets continus, dans la mesure où elles sont nettement inférieures à celles définies sur la base de la toxicité aiguë.</w:t>
      </w:r>
    </w:p>
    <w:p w14:paraId="4DAC8FCF" w14:textId="77777777" w:rsidR="00B12A07" w:rsidRPr="00434E9D" w:rsidRDefault="00B12A07">
      <w:pPr>
        <w:widowControl/>
        <w:rPr>
          <w:sz w:val="20"/>
        </w:rPr>
      </w:pPr>
      <w:r w:rsidRPr="00434E9D">
        <w:rPr>
          <w:sz w:val="20"/>
        </w:rPr>
        <w:br w:type="page"/>
      </w:r>
    </w:p>
    <w:p w14:paraId="7015D21C" w14:textId="77777777" w:rsidR="008C3DE0" w:rsidRPr="00434E9D" w:rsidRDefault="008C3DE0" w:rsidP="00B12A07">
      <w:pPr>
        <w:spacing w:line="360" w:lineRule="auto"/>
        <w:ind w:left="284" w:hanging="284"/>
        <w:rPr>
          <w:sz w:val="20"/>
        </w:rPr>
      </w:pPr>
      <w:r w:rsidRPr="00434E9D">
        <w:rPr>
          <w:sz w:val="20"/>
          <w:vertAlign w:val="superscript"/>
        </w:rPr>
        <w:lastRenderedPageBreak/>
        <w:t>(6)</w:t>
      </w:r>
      <w:r w:rsidRPr="00434E9D">
        <w:rPr>
          <w:sz w:val="20"/>
        </w:rPr>
        <w:tab/>
        <w:t>Si une NQE pour le biote est donnée, cette dernière est appliquée, plutôt que la NQE pour l’eau, sans préjudice de la disposition de l’article 3, paragraphe 3, de la présente directive autorisant qu’un autre taxon de biote, ou une autre matrice, soit surveillé à la place, pour autant que la NQE appliquée offre un niveau de protection équivalent. Sauf indication contraire, la NQE pour le biote se rapporte aux poissons. Pour les substances numérotées 15 (fluoranthène), 28 (HAP), et 51 (bisphénol A), la NQE pour le biote se rapporte aux crustacés et mollusques. Aux fins de l’évaluation de l’état chimique, la surveillance du fluoranthène et des HAP, et du bisphénol A chez les poissons n’est pas appropriée. Pour la substance numérotée 37 (dioxines et composés de type dioxine), la NQE pour le biote se rapporte aux poissons, aux crustacés et aux mollusques, conformément à l’annexe, point 5.3, du règlement (UE) nº 1259/2011 de la Commission*.</w:t>
      </w:r>
    </w:p>
    <w:p w14:paraId="102A7B2E" w14:textId="77777777" w:rsidR="008C3DE0" w:rsidRPr="00434E9D" w:rsidRDefault="008C3DE0" w:rsidP="00B12A07">
      <w:pPr>
        <w:spacing w:line="360" w:lineRule="auto"/>
        <w:ind w:left="284" w:hanging="284"/>
        <w:rPr>
          <w:sz w:val="20"/>
        </w:rPr>
      </w:pPr>
      <w:r w:rsidRPr="00434E9D">
        <w:rPr>
          <w:sz w:val="20"/>
          <w:vertAlign w:val="superscript"/>
        </w:rPr>
        <w:t>(7)</w:t>
      </w:r>
      <w:r w:rsidRPr="00434E9D">
        <w:rPr>
          <w:sz w:val="20"/>
        </w:rPr>
        <w:tab/>
        <w:t>Pour le groupe de substances prioritaires dénommé «</w:t>
      </w:r>
      <w:proofErr w:type="spellStart"/>
      <w:r w:rsidRPr="00434E9D">
        <w:rPr>
          <w:sz w:val="20"/>
        </w:rPr>
        <w:t>Diphényléthers</w:t>
      </w:r>
      <w:proofErr w:type="spellEnd"/>
      <w:r w:rsidRPr="00434E9D">
        <w:rPr>
          <w:sz w:val="20"/>
        </w:rPr>
        <w:t xml:space="preserve"> bromés» (nº 5), les NQE se rapportent à la somme des concentrations des congénères portant les numéros 28, 47, 99, 100, 153 et 154.</w:t>
      </w:r>
    </w:p>
    <w:p w14:paraId="48C442B1" w14:textId="77777777" w:rsidR="00B12A07" w:rsidRPr="00434E9D" w:rsidRDefault="00B12A07">
      <w:pPr>
        <w:widowControl/>
        <w:rPr>
          <w:sz w:val="20"/>
        </w:rPr>
      </w:pPr>
      <w:r w:rsidRPr="00434E9D">
        <w:rPr>
          <w:sz w:val="20"/>
        </w:rPr>
        <w:br w:type="page"/>
      </w:r>
    </w:p>
    <w:p w14:paraId="2C3F55DF" w14:textId="77777777" w:rsidR="008C3DE0" w:rsidRPr="00434E9D" w:rsidRDefault="008C3DE0" w:rsidP="00B12A07">
      <w:pPr>
        <w:spacing w:line="360" w:lineRule="auto"/>
        <w:ind w:left="284" w:hanging="284"/>
        <w:rPr>
          <w:sz w:val="20"/>
        </w:rPr>
      </w:pPr>
      <w:r w:rsidRPr="00434E9D">
        <w:rPr>
          <w:sz w:val="20"/>
          <w:vertAlign w:val="superscript"/>
        </w:rPr>
        <w:lastRenderedPageBreak/>
        <w:t>(8)</w:t>
      </w:r>
      <w:r w:rsidRPr="00434E9D">
        <w:rPr>
          <w:sz w:val="20"/>
        </w:rPr>
        <w:tab/>
        <w:t xml:space="preserve">Tétra-, penta-, hexa-, </w:t>
      </w:r>
      <w:proofErr w:type="spellStart"/>
      <w:r w:rsidRPr="00434E9D">
        <w:rPr>
          <w:sz w:val="20"/>
        </w:rPr>
        <w:t>hepta</w:t>
      </w:r>
      <w:proofErr w:type="spellEnd"/>
      <w:r w:rsidRPr="00434E9D">
        <w:rPr>
          <w:sz w:val="20"/>
        </w:rPr>
        <w:t xml:space="preserve">-, octa- et </w:t>
      </w:r>
      <w:proofErr w:type="spellStart"/>
      <w:r w:rsidRPr="00434E9D">
        <w:rPr>
          <w:sz w:val="20"/>
        </w:rPr>
        <w:t>décabromodiphényléther</w:t>
      </w:r>
      <w:proofErr w:type="spellEnd"/>
      <w:r w:rsidRPr="00434E9D">
        <w:rPr>
          <w:sz w:val="20"/>
        </w:rPr>
        <w:t xml:space="preserve"> (numéros CAS 40088-47-9, 32534-81-9, 36483-60-0, 68928-80-3, 32536-52-0, 1163-19-5, respectivement).</w:t>
      </w:r>
    </w:p>
    <w:p w14:paraId="14CE1020" w14:textId="77777777" w:rsidR="008C3DE0" w:rsidRPr="00434E9D" w:rsidRDefault="008C3DE0" w:rsidP="00B12A07">
      <w:pPr>
        <w:spacing w:line="360" w:lineRule="auto"/>
        <w:ind w:left="284" w:hanging="284"/>
        <w:rPr>
          <w:sz w:val="20"/>
        </w:rPr>
      </w:pPr>
      <w:r w:rsidRPr="00434E9D">
        <w:rPr>
          <w:sz w:val="20"/>
          <w:vertAlign w:val="superscript"/>
        </w:rPr>
        <w:t>(9)</w:t>
      </w:r>
      <w:r w:rsidRPr="00434E9D">
        <w:rPr>
          <w:sz w:val="20"/>
        </w:rPr>
        <w:tab/>
        <w:t>Pour le cadmium et ses composés (nº 6), les valeurs retenues pour les NQE varient en fonction de la dureté de l’eau telle que définie suivant les cinq classes suivantes: classe 1: &lt; 40 mg CaCO3/l, classe 2: 40 à &lt; 50 mg CaCO3/l, classe 3: 50 à &lt; 100 mg CaCO3/l, classe 4: 100 à &lt; 200 mg CaCO3/l et classe 5: ≥ 200 mg CaCO3/l).</w:t>
      </w:r>
    </w:p>
    <w:p w14:paraId="404D535F" w14:textId="77777777" w:rsidR="008C3DE0" w:rsidRPr="00434E9D" w:rsidRDefault="008C3DE0" w:rsidP="00B12A07">
      <w:pPr>
        <w:spacing w:line="360" w:lineRule="auto"/>
        <w:ind w:left="284" w:hanging="284"/>
        <w:rPr>
          <w:sz w:val="20"/>
        </w:rPr>
      </w:pPr>
      <w:r w:rsidRPr="00434E9D">
        <w:rPr>
          <w:sz w:val="20"/>
          <w:vertAlign w:val="superscript"/>
        </w:rPr>
        <w:t>(10)</w:t>
      </w:r>
      <w:r w:rsidRPr="00434E9D">
        <w:rPr>
          <w:sz w:val="20"/>
        </w:rPr>
        <w:tab/>
        <w:t>Aucun paramètre indicatif n’est prévu pour ce groupe de substances. Le ou les paramètres indicatifs doivent être déterminés par la méthode d’analyse.</w:t>
      </w:r>
    </w:p>
    <w:p w14:paraId="718442BE" w14:textId="77777777" w:rsidR="008C3DE0" w:rsidRPr="00434E9D" w:rsidRDefault="008C3DE0" w:rsidP="00B12A07">
      <w:pPr>
        <w:spacing w:line="360" w:lineRule="auto"/>
        <w:ind w:left="284" w:hanging="284"/>
        <w:rPr>
          <w:sz w:val="20"/>
        </w:rPr>
      </w:pPr>
      <w:r w:rsidRPr="00434E9D">
        <w:rPr>
          <w:sz w:val="20"/>
          <w:vertAlign w:val="superscript"/>
        </w:rPr>
        <w:t>(11)</w:t>
      </w:r>
      <w:r w:rsidRPr="00434E9D">
        <w:rPr>
          <w:sz w:val="20"/>
        </w:rPr>
        <w:tab/>
        <w:t xml:space="preserve">Le DDT total comprend la somme des isomères suivants: 1,1,1-trichloro 2,2 bis (p </w:t>
      </w:r>
      <w:proofErr w:type="spellStart"/>
      <w:r w:rsidRPr="00434E9D">
        <w:rPr>
          <w:sz w:val="20"/>
        </w:rPr>
        <w:t>chlorophényl</w:t>
      </w:r>
      <w:proofErr w:type="spellEnd"/>
      <w:r w:rsidRPr="00434E9D">
        <w:rPr>
          <w:sz w:val="20"/>
        </w:rPr>
        <w:t>) éthane (CAS 50 29 3, UE 200 024 3); 1,1,1-Trichloro-2-(o-</w:t>
      </w:r>
      <w:proofErr w:type="spellStart"/>
      <w:r w:rsidRPr="00434E9D">
        <w:rPr>
          <w:sz w:val="20"/>
        </w:rPr>
        <w:t>chlorophenyl</w:t>
      </w:r>
      <w:proofErr w:type="spellEnd"/>
      <w:r w:rsidRPr="00434E9D">
        <w:rPr>
          <w:sz w:val="20"/>
        </w:rPr>
        <w:t>)-2-(p-</w:t>
      </w:r>
      <w:proofErr w:type="spellStart"/>
      <w:r w:rsidRPr="00434E9D">
        <w:rPr>
          <w:sz w:val="20"/>
        </w:rPr>
        <w:t>chlorophenyl</w:t>
      </w:r>
      <w:proofErr w:type="spellEnd"/>
      <w:r w:rsidRPr="00434E9D">
        <w:rPr>
          <w:sz w:val="20"/>
        </w:rPr>
        <w:t>)éthane (CAS 789-02-6, UE 212-332-5); 1,1-dichloro-2,2-bis-(p-</w:t>
      </w:r>
      <w:proofErr w:type="spellStart"/>
      <w:r w:rsidRPr="00434E9D">
        <w:rPr>
          <w:sz w:val="20"/>
        </w:rPr>
        <w:t>chlorophényl</w:t>
      </w:r>
      <w:proofErr w:type="spellEnd"/>
      <w:r w:rsidRPr="00434E9D">
        <w:rPr>
          <w:sz w:val="20"/>
        </w:rPr>
        <w:t>)-éthylène (CAS 72-55-9, UE 200-784-6); et 1,1-dichloro-2,2-bis-(p-</w:t>
      </w:r>
      <w:proofErr w:type="spellStart"/>
      <w:r w:rsidRPr="00434E9D">
        <w:rPr>
          <w:sz w:val="20"/>
        </w:rPr>
        <w:t>chlorophényl</w:t>
      </w:r>
      <w:proofErr w:type="spellEnd"/>
      <w:r w:rsidRPr="00434E9D">
        <w:rPr>
          <w:sz w:val="20"/>
        </w:rPr>
        <w:t>)-éthane (CAS 72-54-8, UE 200-783-0).</w:t>
      </w:r>
    </w:p>
    <w:p w14:paraId="7A016E0D" w14:textId="77777777" w:rsidR="008C3DE0" w:rsidRPr="00434E9D" w:rsidRDefault="008C3DE0" w:rsidP="00B12A07">
      <w:pPr>
        <w:spacing w:line="360" w:lineRule="auto"/>
        <w:ind w:left="284" w:hanging="284"/>
        <w:rPr>
          <w:sz w:val="20"/>
        </w:rPr>
      </w:pPr>
      <w:r w:rsidRPr="00434E9D">
        <w:rPr>
          <w:sz w:val="20"/>
          <w:vertAlign w:val="superscript"/>
        </w:rPr>
        <w:t>(12)</w:t>
      </w:r>
      <w:r w:rsidRPr="00434E9D">
        <w:rPr>
          <w:sz w:val="20"/>
        </w:rPr>
        <w:tab/>
        <w:t>Ces NQE se rapportent aux concentrations biodisponibles des substances.</w:t>
      </w:r>
    </w:p>
    <w:p w14:paraId="23E7F2D1" w14:textId="77777777" w:rsidR="00B12A07" w:rsidRPr="00434E9D" w:rsidRDefault="00B12A07">
      <w:pPr>
        <w:widowControl/>
        <w:rPr>
          <w:sz w:val="20"/>
        </w:rPr>
      </w:pPr>
      <w:r w:rsidRPr="00434E9D">
        <w:rPr>
          <w:sz w:val="20"/>
        </w:rPr>
        <w:br w:type="page"/>
      </w:r>
    </w:p>
    <w:p w14:paraId="145B0CC7" w14:textId="77777777" w:rsidR="008C3DE0" w:rsidRPr="00434E9D" w:rsidRDefault="008C3DE0" w:rsidP="00B12A07">
      <w:pPr>
        <w:spacing w:line="360" w:lineRule="auto"/>
        <w:ind w:left="284" w:hanging="284"/>
        <w:rPr>
          <w:sz w:val="20"/>
        </w:rPr>
      </w:pPr>
      <w:r w:rsidRPr="00434E9D">
        <w:rPr>
          <w:sz w:val="20"/>
          <w:vertAlign w:val="superscript"/>
        </w:rPr>
        <w:lastRenderedPageBreak/>
        <w:t>(13)</w:t>
      </w:r>
      <w:r w:rsidRPr="00434E9D">
        <w:rPr>
          <w:sz w:val="20"/>
        </w:rPr>
        <w:tab/>
        <w:t xml:space="preserve">La NQE pour le biote se rapporte au </w:t>
      </w:r>
      <w:proofErr w:type="spellStart"/>
      <w:r w:rsidRPr="00434E9D">
        <w:rPr>
          <w:sz w:val="20"/>
        </w:rPr>
        <w:t>méthylmercure</w:t>
      </w:r>
      <w:proofErr w:type="spellEnd"/>
      <w:r w:rsidRPr="00434E9D">
        <w:rPr>
          <w:sz w:val="20"/>
        </w:rPr>
        <w:t>.</w:t>
      </w:r>
    </w:p>
    <w:p w14:paraId="0405E166" w14:textId="77777777" w:rsidR="008C3DE0" w:rsidRPr="00434E9D" w:rsidRDefault="008C3DE0" w:rsidP="00B12A07">
      <w:pPr>
        <w:spacing w:line="360" w:lineRule="auto"/>
        <w:ind w:left="284" w:hanging="284"/>
        <w:rPr>
          <w:sz w:val="20"/>
        </w:rPr>
      </w:pPr>
      <w:r w:rsidRPr="00434E9D">
        <w:rPr>
          <w:sz w:val="20"/>
          <w:vertAlign w:val="superscript"/>
        </w:rPr>
        <w:t>(14)</w:t>
      </w:r>
      <w:r w:rsidRPr="00434E9D">
        <w:rPr>
          <w:sz w:val="20"/>
        </w:rPr>
        <w:tab/>
      </w:r>
      <w:proofErr w:type="spellStart"/>
      <w:r w:rsidRPr="00434E9D">
        <w:rPr>
          <w:sz w:val="20"/>
        </w:rPr>
        <w:t>Nonylphénol</w:t>
      </w:r>
      <w:proofErr w:type="spellEnd"/>
      <w:r w:rsidRPr="00434E9D">
        <w:rPr>
          <w:sz w:val="20"/>
        </w:rPr>
        <w:t xml:space="preserve"> (CAS 25154-52-3, UE 246-672-0), y compris les isomères 4-nonylphénol (CAS 104-40-5, UE 203-199-4) et 4-nonylphénol (ramifié) (CAS 84852-15-3, UE 284-325-5).</w:t>
      </w:r>
    </w:p>
    <w:p w14:paraId="70A4B4E2" w14:textId="77777777" w:rsidR="008C3DE0" w:rsidRPr="00434E9D" w:rsidRDefault="008C3DE0" w:rsidP="00B12A07">
      <w:pPr>
        <w:spacing w:line="360" w:lineRule="auto"/>
        <w:ind w:left="284" w:hanging="284"/>
        <w:rPr>
          <w:sz w:val="20"/>
        </w:rPr>
      </w:pPr>
      <w:r w:rsidRPr="00434E9D">
        <w:rPr>
          <w:sz w:val="20"/>
          <w:vertAlign w:val="superscript"/>
        </w:rPr>
        <w:t>(15)</w:t>
      </w:r>
      <w:r w:rsidRPr="00434E9D">
        <w:rPr>
          <w:sz w:val="20"/>
        </w:rPr>
        <w:tab/>
      </w:r>
      <w:proofErr w:type="spellStart"/>
      <w:r w:rsidRPr="00434E9D">
        <w:rPr>
          <w:sz w:val="20"/>
        </w:rPr>
        <w:t>Octylphénol</w:t>
      </w:r>
      <w:proofErr w:type="spellEnd"/>
      <w:r w:rsidRPr="00434E9D">
        <w:rPr>
          <w:sz w:val="20"/>
        </w:rPr>
        <w:t xml:space="preserve"> (CAS 1806-26-4, UE 217-302-5), y compris l’isomère 4-(1,1’,3,3’- </w:t>
      </w:r>
      <w:proofErr w:type="spellStart"/>
      <w:r w:rsidRPr="00434E9D">
        <w:rPr>
          <w:sz w:val="20"/>
        </w:rPr>
        <w:t>tétraméthylbutyl</w:t>
      </w:r>
      <w:proofErr w:type="spellEnd"/>
      <w:r w:rsidRPr="00434E9D">
        <w:rPr>
          <w:sz w:val="20"/>
        </w:rPr>
        <w:t>)-phénol (CAS 140-66-9, UE 205-426-2).</w:t>
      </w:r>
    </w:p>
    <w:p w14:paraId="79BC3018" w14:textId="77777777" w:rsidR="008C3DE0" w:rsidRPr="00434E9D" w:rsidRDefault="008C3DE0" w:rsidP="00B12A07">
      <w:pPr>
        <w:spacing w:line="360" w:lineRule="auto"/>
        <w:ind w:left="284" w:hanging="284"/>
        <w:rPr>
          <w:sz w:val="20"/>
        </w:rPr>
      </w:pPr>
      <w:r w:rsidRPr="00434E9D">
        <w:rPr>
          <w:sz w:val="20"/>
          <w:vertAlign w:val="superscript"/>
        </w:rPr>
        <w:t>(16)</w:t>
      </w:r>
      <w:r w:rsidRPr="00434E9D">
        <w:rPr>
          <w:sz w:val="20"/>
        </w:rPr>
        <w:tab/>
      </w:r>
      <w:proofErr w:type="spellStart"/>
      <w:r w:rsidRPr="00434E9D">
        <w:rPr>
          <w:sz w:val="20"/>
        </w:rPr>
        <w:t>Benzo</w:t>
      </w:r>
      <w:proofErr w:type="spellEnd"/>
      <w:r w:rsidRPr="00434E9D">
        <w:rPr>
          <w:sz w:val="20"/>
        </w:rPr>
        <w:t xml:space="preserve">(a)pyrène (CAS 50-32-8) (RPF 1), </w:t>
      </w:r>
      <w:proofErr w:type="spellStart"/>
      <w:r w:rsidRPr="00434E9D">
        <w:rPr>
          <w:sz w:val="20"/>
        </w:rPr>
        <w:t>benzo</w:t>
      </w:r>
      <w:proofErr w:type="spellEnd"/>
      <w:r w:rsidRPr="00434E9D">
        <w:rPr>
          <w:sz w:val="20"/>
        </w:rPr>
        <w:t xml:space="preserve">(b)fluoranthène (CAS 205-99-2) (RPF 0,1), </w:t>
      </w:r>
      <w:proofErr w:type="spellStart"/>
      <w:r w:rsidRPr="00434E9D">
        <w:rPr>
          <w:sz w:val="20"/>
        </w:rPr>
        <w:t>benzo</w:t>
      </w:r>
      <w:proofErr w:type="spellEnd"/>
      <w:r w:rsidRPr="00434E9D">
        <w:rPr>
          <w:sz w:val="20"/>
        </w:rPr>
        <w:t xml:space="preserve">(k)fluoranthène (CAS 207-08-9) (RPF 0,1), </w:t>
      </w:r>
      <w:proofErr w:type="spellStart"/>
      <w:r w:rsidRPr="00434E9D">
        <w:rPr>
          <w:sz w:val="20"/>
        </w:rPr>
        <w:t>benzo</w:t>
      </w:r>
      <w:proofErr w:type="spellEnd"/>
      <w:r w:rsidRPr="00434E9D">
        <w:rPr>
          <w:sz w:val="20"/>
        </w:rPr>
        <w:t>(</w:t>
      </w:r>
      <w:proofErr w:type="spellStart"/>
      <w:r w:rsidRPr="00434E9D">
        <w:rPr>
          <w:sz w:val="20"/>
        </w:rPr>
        <w:t>g,h,i</w:t>
      </w:r>
      <w:proofErr w:type="spellEnd"/>
      <w:r w:rsidRPr="00434E9D">
        <w:rPr>
          <w:sz w:val="20"/>
        </w:rPr>
        <w:t>)</w:t>
      </w:r>
      <w:proofErr w:type="spellStart"/>
      <w:r w:rsidRPr="00434E9D">
        <w:rPr>
          <w:sz w:val="20"/>
        </w:rPr>
        <w:t>pérylène</w:t>
      </w:r>
      <w:proofErr w:type="spellEnd"/>
      <w:r w:rsidRPr="00434E9D">
        <w:rPr>
          <w:sz w:val="20"/>
        </w:rPr>
        <w:t xml:space="preserve"> (CAS 191-24-2) (RPF 0), </w:t>
      </w:r>
      <w:proofErr w:type="spellStart"/>
      <w:r w:rsidRPr="00434E9D">
        <w:rPr>
          <w:sz w:val="20"/>
        </w:rPr>
        <w:t>indéno</w:t>
      </w:r>
      <w:proofErr w:type="spellEnd"/>
      <w:r w:rsidRPr="00434E9D">
        <w:rPr>
          <w:sz w:val="20"/>
        </w:rPr>
        <w:t xml:space="preserve">(1,2,3-cd)pyrène (CAS 193-39-5) (RPF 0,1), </w:t>
      </w:r>
      <w:proofErr w:type="spellStart"/>
      <w:r w:rsidRPr="00434E9D">
        <w:rPr>
          <w:sz w:val="20"/>
        </w:rPr>
        <w:t>chrysène</w:t>
      </w:r>
      <w:proofErr w:type="spellEnd"/>
      <w:r w:rsidRPr="00434E9D">
        <w:rPr>
          <w:sz w:val="20"/>
        </w:rPr>
        <w:t xml:space="preserve"> (CAS 218-01-9) (RPF 0,01), </w:t>
      </w:r>
      <w:proofErr w:type="spellStart"/>
      <w:r w:rsidRPr="00434E9D">
        <w:rPr>
          <w:sz w:val="20"/>
        </w:rPr>
        <w:t>benzo</w:t>
      </w:r>
      <w:proofErr w:type="spellEnd"/>
      <w:r w:rsidRPr="00434E9D">
        <w:rPr>
          <w:sz w:val="20"/>
        </w:rPr>
        <w:t xml:space="preserve">(a)anthracène (CAS 56-55-3) (RPF 0,1), et </w:t>
      </w:r>
      <w:proofErr w:type="spellStart"/>
      <w:r w:rsidRPr="00434E9D">
        <w:rPr>
          <w:sz w:val="20"/>
        </w:rPr>
        <w:t>dibenz</w:t>
      </w:r>
      <w:proofErr w:type="spellEnd"/>
      <w:r w:rsidRPr="00434E9D">
        <w:rPr>
          <w:sz w:val="20"/>
        </w:rPr>
        <w:t>(</w:t>
      </w:r>
      <w:proofErr w:type="spellStart"/>
      <w:r w:rsidRPr="00434E9D">
        <w:rPr>
          <w:sz w:val="20"/>
        </w:rPr>
        <w:t>a,h</w:t>
      </w:r>
      <w:proofErr w:type="spellEnd"/>
      <w:r w:rsidRPr="00434E9D">
        <w:rPr>
          <w:sz w:val="20"/>
        </w:rPr>
        <w:t>)anthracène (CAS 53-70-3) (RPF 1). Les HAP anthracène, fluoranthène et naphtalène sont répertoriés séparément.</w:t>
      </w:r>
    </w:p>
    <w:p w14:paraId="438DFB6F" w14:textId="77777777" w:rsidR="00B12A07" w:rsidRPr="00434E9D" w:rsidRDefault="00B12A07">
      <w:pPr>
        <w:widowControl/>
        <w:rPr>
          <w:sz w:val="20"/>
        </w:rPr>
      </w:pPr>
      <w:r w:rsidRPr="00434E9D">
        <w:rPr>
          <w:sz w:val="20"/>
        </w:rPr>
        <w:br w:type="page"/>
      </w:r>
    </w:p>
    <w:p w14:paraId="38F3AEC3" w14:textId="77777777" w:rsidR="008C3DE0" w:rsidRPr="00434E9D" w:rsidRDefault="008C3DE0" w:rsidP="00B12A07">
      <w:pPr>
        <w:spacing w:line="360" w:lineRule="auto"/>
        <w:ind w:left="284" w:hanging="284"/>
        <w:rPr>
          <w:sz w:val="20"/>
        </w:rPr>
      </w:pPr>
      <w:r w:rsidRPr="00434E9D">
        <w:rPr>
          <w:sz w:val="20"/>
          <w:vertAlign w:val="superscript"/>
        </w:rPr>
        <w:lastRenderedPageBreak/>
        <w:t>(17)</w:t>
      </w:r>
      <w:r w:rsidRPr="00434E9D">
        <w:rPr>
          <w:sz w:val="20"/>
        </w:rPr>
        <w:tab/>
        <w:t xml:space="preserve">Pour le groupe des hydrocarbures aromatiques polycycliques (HAP) (nº 28), la NQE pour le biote se rapporte à la somme des concentrations de sept des huit HAP mentionnés dans la note 17 exprimée en équivalents </w:t>
      </w:r>
      <w:proofErr w:type="spellStart"/>
      <w:r w:rsidRPr="00434E9D">
        <w:rPr>
          <w:sz w:val="20"/>
        </w:rPr>
        <w:t>benzo</w:t>
      </w:r>
      <w:proofErr w:type="spellEnd"/>
      <w:r w:rsidRPr="00434E9D">
        <w:rPr>
          <w:sz w:val="20"/>
        </w:rPr>
        <w:t xml:space="preserve">(a)pyrène sur la base des activités cancérigènes des substances par rapport à celle du </w:t>
      </w:r>
      <w:proofErr w:type="spellStart"/>
      <w:r w:rsidRPr="00434E9D">
        <w:rPr>
          <w:sz w:val="20"/>
        </w:rPr>
        <w:t>benzo</w:t>
      </w:r>
      <w:proofErr w:type="spellEnd"/>
      <w:r w:rsidRPr="00434E9D">
        <w:rPr>
          <w:sz w:val="20"/>
        </w:rPr>
        <w:t xml:space="preserve">(a)pyrène, autrement dit les RPF figurant dans la note 16. Il n’est pas nécessaire de mesurer le </w:t>
      </w:r>
      <w:proofErr w:type="spellStart"/>
      <w:r w:rsidRPr="00434E9D">
        <w:rPr>
          <w:sz w:val="20"/>
        </w:rPr>
        <w:t>benzo</w:t>
      </w:r>
      <w:proofErr w:type="spellEnd"/>
      <w:r w:rsidRPr="00434E9D">
        <w:rPr>
          <w:sz w:val="20"/>
        </w:rPr>
        <w:t>(</w:t>
      </w:r>
      <w:proofErr w:type="spellStart"/>
      <w:r w:rsidRPr="00434E9D">
        <w:rPr>
          <w:sz w:val="20"/>
        </w:rPr>
        <w:t>g,h,i</w:t>
      </w:r>
      <w:proofErr w:type="spellEnd"/>
      <w:r w:rsidRPr="00434E9D">
        <w:rPr>
          <w:sz w:val="20"/>
        </w:rPr>
        <w:t>)</w:t>
      </w:r>
      <w:proofErr w:type="spellStart"/>
      <w:r w:rsidRPr="00434E9D">
        <w:rPr>
          <w:sz w:val="20"/>
        </w:rPr>
        <w:t>pérylène</w:t>
      </w:r>
      <w:proofErr w:type="spellEnd"/>
      <w:r w:rsidRPr="00434E9D">
        <w:rPr>
          <w:sz w:val="20"/>
        </w:rPr>
        <w:t xml:space="preserve"> dans le biote aux fins de déterminer si la NQE globale pour le biote est respectée.</w:t>
      </w:r>
    </w:p>
    <w:p w14:paraId="778435B8" w14:textId="77777777" w:rsidR="008C3DE0" w:rsidRPr="00434E9D" w:rsidRDefault="008C3DE0" w:rsidP="00B12A07">
      <w:pPr>
        <w:spacing w:line="360" w:lineRule="auto"/>
        <w:ind w:left="284" w:hanging="284"/>
        <w:rPr>
          <w:sz w:val="20"/>
        </w:rPr>
      </w:pPr>
      <w:r w:rsidRPr="00434E9D">
        <w:rPr>
          <w:sz w:val="20"/>
          <w:vertAlign w:val="superscript"/>
        </w:rPr>
        <w:t>(18)</w:t>
      </w:r>
      <w:r w:rsidRPr="00434E9D">
        <w:rPr>
          <w:sz w:val="20"/>
        </w:rPr>
        <w:tab/>
        <w:t>Composés du tributylétain y compris le tributylétain-cation (CAS 36643-28-4).</w:t>
      </w:r>
    </w:p>
    <w:p w14:paraId="260DCD9B" w14:textId="77777777" w:rsidR="008C3DE0" w:rsidRPr="00434E9D" w:rsidRDefault="008C3DE0" w:rsidP="00B12A07">
      <w:pPr>
        <w:spacing w:line="360" w:lineRule="auto"/>
        <w:ind w:left="284" w:hanging="284"/>
        <w:rPr>
          <w:sz w:val="20"/>
        </w:rPr>
      </w:pPr>
      <w:r w:rsidRPr="00434E9D">
        <w:rPr>
          <w:sz w:val="20"/>
          <w:vertAlign w:val="superscript"/>
        </w:rPr>
        <w:t>(19)</w:t>
      </w:r>
      <w:r w:rsidRPr="00434E9D">
        <w:rPr>
          <w:sz w:val="20"/>
        </w:rPr>
        <w:tab/>
        <w:t>NQE pour les sédiments</w:t>
      </w:r>
    </w:p>
    <w:p w14:paraId="7A956D3A" w14:textId="77777777" w:rsidR="008C3DE0" w:rsidRPr="00434E9D" w:rsidRDefault="008C3DE0" w:rsidP="00B12A07">
      <w:pPr>
        <w:spacing w:line="360" w:lineRule="auto"/>
        <w:ind w:left="284" w:hanging="284"/>
        <w:rPr>
          <w:sz w:val="20"/>
        </w:rPr>
      </w:pPr>
      <w:r w:rsidRPr="00434E9D">
        <w:rPr>
          <w:sz w:val="20"/>
          <w:vertAlign w:val="superscript"/>
        </w:rPr>
        <w:t>(20)</w:t>
      </w:r>
      <w:r w:rsidRPr="00434E9D">
        <w:rPr>
          <w:sz w:val="20"/>
        </w:rPr>
        <w:tab/>
        <w:t>Les informations disponibles ne sont pas suffisantes pour établir une NQE-CMA pour ces substances.</w:t>
      </w:r>
    </w:p>
    <w:p w14:paraId="518C3392" w14:textId="77777777" w:rsidR="008C3DE0" w:rsidRPr="00434E9D" w:rsidRDefault="008C3DE0" w:rsidP="00B12A07">
      <w:pPr>
        <w:spacing w:line="360" w:lineRule="auto"/>
        <w:ind w:left="284" w:hanging="284"/>
        <w:rPr>
          <w:sz w:val="20"/>
        </w:rPr>
      </w:pPr>
      <w:r w:rsidRPr="00434E9D">
        <w:rPr>
          <w:sz w:val="20"/>
          <w:vertAlign w:val="superscript"/>
        </w:rPr>
        <w:t>(21)</w:t>
      </w:r>
      <w:r w:rsidRPr="00434E9D">
        <w:rPr>
          <w:sz w:val="20"/>
        </w:rPr>
        <w:tab/>
        <w:t>Se rapporte aux composés suivants:</w:t>
      </w:r>
    </w:p>
    <w:p w14:paraId="0AA3384A" w14:textId="77777777" w:rsidR="008C3DE0" w:rsidRPr="00434E9D" w:rsidRDefault="008C3DE0" w:rsidP="00B12A07">
      <w:pPr>
        <w:spacing w:line="360" w:lineRule="auto"/>
        <w:ind w:left="284" w:hanging="284"/>
        <w:rPr>
          <w:sz w:val="20"/>
        </w:rPr>
      </w:pPr>
      <w:r w:rsidRPr="00434E9D">
        <w:rPr>
          <w:sz w:val="20"/>
        </w:rPr>
        <w:tab/>
        <w:t xml:space="preserve">7 </w:t>
      </w:r>
      <w:proofErr w:type="spellStart"/>
      <w:r w:rsidRPr="00434E9D">
        <w:rPr>
          <w:sz w:val="20"/>
        </w:rPr>
        <w:t>dibenzo</w:t>
      </w:r>
      <w:proofErr w:type="spellEnd"/>
      <w:r w:rsidRPr="00434E9D">
        <w:rPr>
          <w:sz w:val="20"/>
        </w:rPr>
        <w:t xml:space="preserve">-p-dioxines </w:t>
      </w:r>
      <w:proofErr w:type="spellStart"/>
      <w:r w:rsidRPr="00434E9D">
        <w:rPr>
          <w:sz w:val="20"/>
        </w:rPr>
        <w:t>polychlorées</w:t>
      </w:r>
      <w:proofErr w:type="spellEnd"/>
      <w:r w:rsidRPr="00434E9D">
        <w:rPr>
          <w:sz w:val="20"/>
        </w:rPr>
        <w:t xml:space="preserve"> (PCDD): 2,3,7,8-T4CDD (CAS 1746-01-6, UE 217-122-7), 1,2,3,7,8-P5CDD (CAS 40321-76-4), 1,2,3,4,7,8-H6CDD (CAS 39227-28-6), 1,2,3,6,7,8-H6CDD (CAS 57653-85-7), 1,2,3,7,8,9-H6CDD (CAS 19408-74-3), 1,2,3,4,6,7,8-H7CDD (CAS 35822-46-9), 1,2,3,4,6,7,8,9-O8CDD (CAS 3268-87-9)</w:t>
      </w:r>
    </w:p>
    <w:p w14:paraId="32B336F7" w14:textId="77777777" w:rsidR="00B12A07" w:rsidRPr="00434E9D" w:rsidRDefault="008C3DE0" w:rsidP="00B12A07">
      <w:pPr>
        <w:spacing w:line="360" w:lineRule="auto"/>
        <w:ind w:left="284" w:hanging="284"/>
        <w:rPr>
          <w:sz w:val="20"/>
        </w:rPr>
      </w:pPr>
      <w:r w:rsidRPr="00434E9D">
        <w:rPr>
          <w:sz w:val="20"/>
        </w:rPr>
        <w:tab/>
      </w:r>
    </w:p>
    <w:p w14:paraId="20507188" w14:textId="77777777" w:rsidR="00B12A07" w:rsidRPr="00434E9D" w:rsidRDefault="00B12A07">
      <w:pPr>
        <w:widowControl/>
        <w:rPr>
          <w:sz w:val="20"/>
        </w:rPr>
      </w:pPr>
      <w:r w:rsidRPr="00434E9D">
        <w:rPr>
          <w:sz w:val="20"/>
        </w:rPr>
        <w:br w:type="page"/>
      </w:r>
    </w:p>
    <w:p w14:paraId="4920330A" w14:textId="77777777" w:rsidR="008C3DE0" w:rsidRPr="00434E9D" w:rsidRDefault="008C3DE0" w:rsidP="00B12A07">
      <w:pPr>
        <w:spacing w:line="360" w:lineRule="auto"/>
        <w:ind w:left="284"/>
        <w:rPr>
          <w:sz w:val="20"/>
        </w:rPr>
      </w:pPr>
      <w:r w:rsidRPr="00434E9D">
        <w:rPr>
          <w:sz w:val="20"/>
        </w:rPr>
        <w:lastRenderedPageBreak/>
        <w:t xml:space="preserve">10 </w:t>
      </w:r>
      <w:proofErr w:type="spellStart"/>
      <w:r w:rsidRPr="00434E9D">
        <w:rPr>
          <w:sz w:val="20"/>
        </w:rPr>
        <w:t>dibenzofurannes</w:t>
      </w:r>
      <w:proofErr w:type="spellEnd"/>
      <w:r w:rsidRPr="00434E9D">
        <w:rPr>
          <w:sz w:val="20"/>
        </w:rPr>
        <w:t xml:space="preserve"> </w:t>
      </w:r>
      <w:proofErr w:type="spellStart"/>
      <w:r w:rsidRPr="00434E9D">
        <w:rPr>
          <w:sz w:val="20"/>
        </w:rPr>
        <w:t>polychlorés</w:t>
      </w:r>
      <w:proofErr w:type="spellEnd"/>
      <w:r w:rsidRPr="00434E9D">
        <w:rPr>
          <w:sz w:val="20"/>
        </w:rPr>
        <w:t xml:space="preserve"> (PCDF): 2,3,7,8-T4CDF (CAS 51207-31-9), 1,2,3,7,8-P5CDF (CAS 57117-41-6), 2,3,4,7,8-P5CDF (CAS 57117-31-4), 1,2,3,4,7,8-H6CDF (CAS 70648-26-9), 1,2,3,6,7,8-H6CDF (CAS 57117-44-9), 1,2,3,7,8,9-H6CDF (CAS 72918-21-9), 2,3,4,6,7,8-H6CDF (CAS 60851-34-5), 1,2,3,4,6,7,8-H7CDF (CAS 67562-39-4), 1,2,3,4,7,8,9-H7CDF (CAS 55673-89-7), 1,2,3,4,6,7,8,9-O8CDF (CAS 39001-02-0)</w:t>
      </w:r>
    </w:p>
    <w:p w14:paraId="7352EF28" w14:textId="77777777" w:rsidR="008C3DE0" w:rsidRPr="00434E9D" w:rsidRDefault="008C3DE0" w:rsidP="00B12A07">
      <w:pPr>
        <w:spacing w:line="360" w:lineRule="auto"/>
        <w:ind w:left="284" w:hanging="284"/>
        <w:rPr>
          <w:sz w:val="20"/>
        </w:rPr>
      </w:pPr>
      <w:r w:rsidRPr="00434E9D">
        <w:rPr>
          <w:sz w:val="20"/>
        </w:rPr>
        <w:tab/>
        <w:t xml:space="preserve">12 </w:t>
      </w:r>
      <w:proofErr w:type="spellStart"/>
      <w:r w:rsidRPr="00434E9D">
        <w:rPr>
          <w:sz w:val="20"/>
        </w:rPr>
        <w:t>biphényles</w:t>
      </w:r>
      <w:proofErr w:type="spellEnd"/>
      <w:r w:rsidRPr="00434E9D">
        <w:rPr>
          <w:sz w:val="20"/>
        </w:rPr>
        <w:t xml:space="preserve"> </w:t>
      </w:r>
      <w:proofErr w:type="spellStart"/>
      <w:r w:rsidRPr="00434E9D">
        <w:rPr>
          <w:sz w:val="20"/>
        </w:rPr>
        <w:t>polychlorés</w:t>
      </w:r>
      <w:proofErr w:type="spellEnd"/>
      <w:r w:rsidRPr="00434E9D">
        <w:rPr>
          <w:sz w:val="20"/>
        </w:rPr>
        <w:t xml:space="preserve"> de type dioxine (PCB-TD): 3,3’,4,4’-T4CB (PCB 77, CAS 32598-13-3), 3,3’,4’,5-T4CB (PCB 81, CAS 70362-50-4), 2,3,3’,4,4’-P5CB (PCB 105, CAS 32598-14-4), 2,3,4,4’,5-P5CB (PCB 114, CAS 74472-37-0), 2,3’,4,4’,5-P5CB (PCB 118, CAS 31508-00-6), 2,3’,4,4’,5’-P5CB (PCB 123, CAS 65510-44-3), 3,3’,4,4’,5-P5CB (PCB 126, CAS 57465-28-8), 2,3,3’,4,4’,5-H6CB (PCB 156, CAS 38380-08-4), 2,3,3’,4,4’,5’-H6CB (PCB 157, CAS 69782-90-7), 2,3’,4,4’,5,5’-H6CB (PCB 167, CAS 52663-72-6), 3,3’,4,4’,5,5’-H6CB (PCB 169, CAS 32774-16-6), 2,3,3’,4,4’,5,5’-H7CB (PCB 189, CAS 39635-31-9).</w:t>
      </w:r>
    </w:p>
    <w:p w14:paraId="4FADBA48" w14:textId="77777777" w:rsidR="00B12A07" w:rsidRPr="00434E9D" w:rsidRDefault="00B12A07">
      <w:pPr>
        <w:widowControl/>
        <w:rPr>
          <w:sz w:val="20"/>
        </w:rPr>
      </w:pPr>
      <w:r w:rsidRPr="00434E9D">
        <w:rPr>
          <w:sz w:val="20"/>
        </w:rPr>
        <w:br w:type="page"/>
      </w:r>
    </w:p>
    <w:p w14:paraId="56D03399" w14:textId="77777777" w:rsidR="008C3DE0" w:rsidRPr="00434E9D" w:rsidRDefault="008C3DE0" w:rsidP="00B12A07">
      <w:pPr>
        <w:spacing w:line="360" w:lineRule="auto"/>
        <w:ind w:left="284" w:hanging="284"/>
        <w:rPr>
          <w:sz w:val="20"/>
        </w:rPr>
      </w:pPr>
      <w:r w:rsidRPr="00434E9D">
        <w:rPr>
          <w:sz w:val="20"/>
          <w:vertAlign w:val="superscript"/>
        </w:rPr>
        <w:t>(22)</w:t>
      </w:r>
      <w:r w:rsidRPr="00434E9D">
        <w:rPr>
          <w:sz w:val="20"/>
        </w:rPr>
        <w:tab/>
        <w:t>Pour le groupe des dioxines et composés de type dioxine (nº 37), la NQE pour le biote se rapporte à la somme des concentrations des substances répertoriées dans la note 20 exprimée en équivalents toxiques sur la base des facteurs d’équivalence toxique 2005 de l’Organisation mondiale de la santé.</w:t>
      </w:r>
    </w:p>
    <w:p w14:paraId="0C584D73" w14:textId="77777777" w:rsidR="008C3DE0" w:rsidRPr="00434E9D" w:rsidRDefault="008C3DE0" w:rsidP="00B12A07">
      <w:pPr>
        <w:spacing w:line="360" w:lineRule="auto"/>
        <w:ind w:left="284" w:hanging="284"/>
        <w:rPr>
          <w:sz w:val="20"/>
        </w:rPr>
      </w:pPr>
      <w:r w:rsidRPr="00434E9D">
        <w:rPr>
          <w:sz w:val="20"/>
          <w:vertAlign w:val="superscript"/>
        </w:rPr>
        <w:t>(23)</w:t>
      </w:r>
      <w:r w:rsidRPr="00434E9D">
        <w:rPr>
          <w:sz w:val="20"/>
        </w:rPr>
        <w:tab/>
        <w:t>Le CAS 52315-07-8 se rapporte à un mélange d’isomères de cyperméthrine, d’alpha-cyperméthrine (CAS 67375-30-8, UE 257-842-9), de bêta-cyperméthrine (CAS 65731-84-2, UE 265-898-0), de thêta-cyperméthrine (CAS 71691-59-1) et de zêta-cyperméthrine (CAS 52315-07-8, UE 257-842-9).</w:t>
      </w:r>
    </w:p>
    <w:p w14:paraId="329FF897" w14:textId="77777777" w:rsidR="008C3DE0" w:rsidRPr="00434E9D" w:rsidRDefault="008C3DE0" w:rsidP="00B12A07">
      <w:pPr>
        <w:spacing w:line="360" w:lineRule="auto"/>
        <w:ind w:left="284" w:hanging="284"/>
        <w:rPr>
          <w:sz w:val="20"/>
        </w:rPr>
      </w:pPr>
      <w:r w:rsidRPr="00434E9D">
        <w:rPr>
          <w:sz w:val="20"/>
          <w:vertAlign w:val="superscript"/>
        </w:rPr>
        <w:t>(24)</w:t>
      </w:r>
      <w:r w:rsidRPr="00434E9D">
        <w:rPr>
          <w:sz w:val="20"/>
        </w:rPr>
        <w:tab/>
        <w:t>Se rapporte au 1,3,5,7,9,11-hexabromocyclododécane (CAS 25637-99-4, UE 247-148-4), au 1,2,5,6,9,10-hexabromocyclododécane (CAS 3194-55-6, UE 221-695-9), à l’α-</w:t>
      </w:r>
      <w:proofErr w:type="spellStart"/>
      <w:r w:rsidRPr="00434E9D">
        <w:rPr>
          <w:sz w:val="20"/>
        </w:rPr>
        <w:t>hexabromocyclododécane</w:t>
      </w:r>
      <w:proofErr w:type="spellEnd"/>
      <w:r w:rsidRPr="00434E9D">
        <w:rPr>
          <w:sz w:val="20"/>
        </w:rPr>
        <w:t xml:space="preserve"> (CAS 134237-50-6), au β-</w:t>
      </w:r>
      <w:proofErr w:type="spellStart"/>
      <w:r w:rsidRPr="00434E9D">
        <w:rPr>
          <w:sz w:val="20"/>
        </w:rPr>
        <w:t>Hexabromocyclododécane</w:t>
      </w:r>
      <w:proofErr w:type="spellEnd"/>
      <w:r w:rsidRPr="00434E9D">
        <w:rPr>
          <w:sz w:val="20"/>
        </w:rPr>
        <w:t xml:space="preserve"> (CAS 134237-51-7) et au γ-</w:t>
      </w:r>
      <w:proofErr w:type="spellStart"/>
      <w:r w:rsidRPr="00434E9D">
        <w:rPr>
          <w:sz w:val="20"/>
        </w:rPr>
        <w:t>hexabromocyclododécane</w:t>
      </w:r>
      <w:proofErr w:type="spellEnd"/>
      <w:r w:rsidRPr="00434E9D">
        <w:rPr>
          <w:sz w:val="20"/>
        </w:rPr>
        <w:t xml:space="preserve"> (CAS 134237-52-8).</w:t>
      </w:r>
    </w:p>
    <w:p w14:paraId="3E107B18" w14:textId="77777777" w:rsidR="008C3DE0" w:rsidRPr="00434E9D" w:rsidRDefault="008C3DE0" w:rsidP="00B12A07">
      <w:pPr>
        <w:spacing w:line="360" w:lineRule="auto"/>
        <w:ind w:left="284" w:hanging="284"/>
        <w:rPr>
          <w:sz w:val="20"/>
        </w:rPr>
      </w:pPr>
      <w:r w:rsidRPr="00434E9D">
        <w:rPr>
          <w:strike/>
          <w:sz w:val="20"/>
        </w:rPr>
        <w:t>(25)</w:t>
      </w:r>
      <w:r w:rsidRPr="00434E9D">
        <w:rPr>
          <w:sz w:val="20"/>
        </w:rPr>
        <w:tab/>
      </w:r>
      <w:r w:rsidRPr="00434E9D">
        <w:rPr>
          <w:strike/>
          <w:sz w:val="20"/>
        </w:rPr>
        <w:t>Pour l’eau douce qui est utilisée à des fins de captage et de préparation d’eau potable.</w:t>
      </w:r>
    </w:p>
    <w:p w14:paraId="194F1114" w14:textId="77777777" w:rsidR="008C3DE0" w:rsidRPr="00434E9D" w:rsidRDefault="008C3DE0" w:rsidP="00B12A07">
      <w:pPr>
        <w:spacing w:line="360" w:lineRule="auto"/>
        <w:ind w:left="284" w:hanging="284"/>
        <w:rPr>
          <w:sz w:val="20"/>
        </w:rPr>
      </w:pPr>
      <w:r w:rsidRPr="00434E9D">
        <w:rPr>
          <w:strike/>
          <w:sz w:val="20"/>
        </w:rPr>
        <w:t>(26)</w:t>
      </w:r>
      <w:r w:rsidRPr="00434E9D">
        <w:rPr>
          <w:sz w:val="20"/>
        </w:rPr>
        <w:tab/>
      </w:r>
      <w:r w:rsidRPr="00434E9D">
        <w:rPr>
          <w:strike/>
          <w:sz w:val="20"/>
        </w:rPr>
        <w:t>Pour l’eau douce qui n’est pas utilisée à des fins de captage et de préparation d’eau potable.</w:t>
      </w:r>
    </w:p>
    <w:p w14:paraId="094ED914" w14:textId="77777777" w:rsidR="00B12A07" w:rsidRPr="00434E9D" w:rsidRDefault="00B12A07">
      <w:pPr>
        <w:widowControl/>
        <w:rPr>
          <w:sz w:val="20"/>
        </w:rPr>
      </w:pPr>
      <w:r w:rsidRPr="00434E9D">
        <w:rPr>
          <w:sz w:val="20"/>
        </w:rPr>
        <w:br w:type="page"/>
      </w:r>
    </w:p>
    <w:p w14:paraId="30EA7935" w14:textId="77777777" w:rsidR="008C3DE0" w:rsidRPr="00434E9D" w:rsidRDefault="008C3DE0" w:rsidP="00B12A07">
      <w:pPr>
        <w:spacing w:line="360" w:lineRule="auto"/>
        <w:ind w:left="284" w:hanging="284"/>
        <w:rPr>
          <w:sz w:val="20"/>
        </w:rPr>
      </w:pPr>
      <w:r w:rsidRPr="00434E9D">
        <w:rPr>
          <w:sz w:val="20"/>
          <w:vertAlign w:val="superscript"/>
        </w:rPr>
        <w:t>(27)</w:t>
      </w:r>
      <w:r w:rsidRPr="00434E9D">
        <w:rPr>
          <w:sz w:val="20"/>
        </w:rPr>
        <w:tab/>
        <w:t>Se rapporte aux composés suivants, assortis de leur numéro CAS, de leur numéro UE, et de leur facteur de puissance relative (RPF):</w:t>
      </w:r>
    </w:p>
    <w:p w14:paraId="2E38AEC9" w14:textId="77777777" w:rsidR="008C3DE0" w:rsidRPr="00434E9D" w:rsidRDefault="008C3DE0" w:rsidP="00B12A07">
      <w:pPr>
        <w:spacing w:line="360" w:lineRule="auto"/>
        <w:ind w:left="284" w:hanging="284"/>
        <w:rPr>
          <w:sz w:val="20"/>
        </w:rPr>
      </w:pPr>
      <w:r w:rsidRPr="00434E9D">
        <w:rPr>
          <w:sz w:val="20"/>
        </w:rPr>
        <w:tab/>
        <w:t xml:space="preserve">acide </w:t>
      </w:r>
      <w:proofErr w:type="spellStart"/>
      <w:r w:rsidRPr="00434E9D">
        <w:rPr>
          <w:sz w:val="20"/>
        </w:rPr>
        <w:t>perfluoroctanoïque</w:t>
      </w:r>
      <w:proofErr w:type="spellEnd"/>
      <w:r w:rsidRPr="00434E9D">
        <w:rPr>
          <w:sz w:val="20"/>
        </w:rPr>
        <w:t xml:space="preserve"> (PFOA) (CAS 335-67-1, UE 206-397-9) (RPF 1), acide </w:t>
      </w:r>
      <w:proofErr w:type="spellStart"/>
      <w:r w:rsidRPr="00434E9D">
        <w:rPr>
          <w:sz w:val="20"/>
        </w:rPr>
        <w:t>perfluorooctane</w:t>
      </w:r>
      <w:proofErr w:type="spellEnd"/>
      <w:r w:rsidRPr="00434E9D">
        <w:rPr>
          <w:sz w:val="20"/>
        </w:rPr>
        <w:t xml:space="preserve"> sulfonique (PFOS) (CAS 1763-23-1, UE 217-179-8) (RPF 2), acide </w:t>
      </w:r>
      <w:proofErr w:type="spellStart"/>
      <w:r w:rsidRPr="00434E9D">
        <w:rPr>
          <w:sz w:val="20"/>
        </w:rPr>
        <w:t>perfluorohexane</w:t>
      </w:r>
      <w:proofErr w:type="spellEnd"/>
      <w:r w:rsidRPr="00434E9D">
        <w:rPr>
          <w:sz w:val="20"/>
        </w:rPr>
        <w:t xml:space="preserve"> sulfonique (</w:t>
      </w:r>
      <w:proofErr w:type="spellStart"/>
      <w:r w:rsidRPr="00434E9D">
        <w:rPr>
          <w:sz w:val="20"/>
        </w:rPr>
        <w:t>PFHxS</w:t>
      </w:r>
      <w:proofErr w:type="spellEnd"/>
      <w:r w:rsidRPr="00434E9D">
        <w:rPr>
          <w:sz w:val="20"/>
        </w:rPr>
        <w:t xml:space="preserve">) (CAS 355-46-4, UE 206-587-1) (RPF 0,6)), acide </w:t>
      </w:r>
      <w:proofErr w:type="spellStart"/>
      <w:r w:rsidRPr="00434E9D">
        <w:rPr>
          <w:sz w:val="20"/>
        </w:rPr>
        <w:t>perfluorononanoïque</w:t>
      </w:r>
      <w:proofErr w:type="spellEnd"/>
      <w:r w:rsidRPr="00434E9D">
        <w:rPr>
          <w:sz w:val="20"/>
        </w:rPr>
        <w:t xml:space="preserve"> (PFNA) (CAS 375-95-1, UE 206-801-3) (RPF 10), acide </w:t>
      </w:r>
      <w:proofErr w:type="spellStart"/>
      <w:r w:rsidRPr="00434E9D">
        <w:rPr>
          <w:sz w:val="20"/>
        </w:rPr>
        <w:t>perfluorobutanesulfonique</w:t>
      </w:r>
      <w:proofErr w:type="spellEnd"/>
      <w:r w:rsidRPr="00434E9D">
        <w:rPr>
          <w:sz w:val="20"/>
        </w:rPr>
        <w:t xml:space="preserve"> (PFBS) (CAS 375-73-5, UE 206-793-1) (RPF 0,001), acide </w:t>
      </w:r>
      <w:proofErr w:type="spellStart"/>
      <w:r w:rsidRPr="00434E9D">
        <w:rPr>
          <w:sz w:val="20"/>
        </w:rPr>
        <w:t>perfluorohexanoïque</w:t>
      </w:r>
      <w:proofErr w:type="spellEnd"/>
      <w:r w:rsidRPr="00434E9D">
        <w:rPr>
          <w:sz w:val="20"/>
        </w:rPr>
        <w:t xml:space="preserve"> (</w:t>
      </w:r>
      <w:proofErr w:type="spellStart"/>
      <w:r w:rsidRPr="00434E9D">
        <w:rPr>
          <w:sz w:val="20"/>
        </w:rPr>
        <w:t>PFHxA</w:t>
      </w:r>
      <w:proofErr w:type="spellEnd"/>
      <w:r w:rsidRPr="00434E9D">
        <w:rPr>
          <w:sz w:val="20"/>
        </w:rPr>
        <w:t xml:space="preserve">) (CAS 307-24-4, UE 206-196-6) (RPF 0,01), acide </w:t>
      </w:r>
      <w:proofErr w:type="spellStart"/>
      <w:r w:rsidRPr="00434E9D">
        <w:rPr>
          <w:sz w:val="20"/>
        </w:rPr>
        <w:t>perfluorobutanoïque</w:t>
      </w:r>
      <w:proofErr w:type="spellEnd"/>
      <w:r w:rsidRPr="00434E9D">
        <w:rPr>
          <w:sz w:val="20"/>
        </w:rPr>
        <w:t xml:space="preserve"> (PFBA) (CAS 375-22-4, UE 206-786-3) (RPF 0,05), acide </w:t>
      </w:r>
      <w:proofErr w:type="spellStart"/>
      <w:r w:rsidRPr="00434E9D">
        <w:rPr>
          <w:sz w:val="20"/>
        </w:rPr>
        <w:t>perfluoropentanoïque</w:t>
      </w:r>
      <w:proofErr w:type="spellEnd"/>
      <w:r w:rsidRPr="00434E9D">
        <w:rPr>
          <w:sz w:val="20"/>
        </w:rPr>
        <w:t xml:space="preserve"> (</w:t>
      </w:r>
      <w:proofErr w:type="spellStart"/>
      <w:r w:rsidRPr="00434E9D">
        <w:rPr>
          <w:sz w:val="20"/>
        </w:rPr>
        <w:t>PFPeA</w:t>
      </w:r>
      <w:proofErr w:type="spellEnd"/>
      <w:r w:rsidRPr="00434E9D">
        <w:rPr>
          <w:sz w:val="20"/>
        </w:rPr>
        <w:t xml:space="preserve">) (CAS 2706-90-3, UE 220-300-7) (RPF 0,03), acide </w:t>
      </w:r>
      <w:proofErr w:type="spellStart"/>
      <w:r w:rsidRPr="00434E9D">
        <w:rPr>
          <w:sz w:val="20"/>
        </w:rPr>
        <w:t>perfluoropentanesulfonique</w:t>
      </w:r>
      <w:proofErr w:type="spellEnd"/>
      <w:r w:rsidRPr="00434E9D">
        <w:rPr>
          <w:sz w:val="20"/>
        </w:rPr>
        <w:t xml:space="preserve"> (</w:t>
      </w:r>
      <w:proofErr w:type="spellStart"/>
      <w:r w:rsidRPr="00434E9D">
        <w:rPr>
          <w:sz w:val="20"/>
        </w:rPr>
        <w:t>PFPeS</w:t>
      </w:r>
      <w:proofErr w:type="spellEnd"/>
      <w:r w:rsidRPr="00434E9D">
        <w:rPr>
          <w:sz w:val="20"/>
        </w:rPr>
        <w:t xml:space="preserve">) (CAS 2706-91-4, UE 220-301-2) (RPF 0,3005), acide </w:t>
      </w:r>
      <w:proofErr w:type="spellStart"/>
      <w:r w:rsidRPr="00434E9D">
        <w:rPr>
          <w:sz w:val="20"/>
        </w:rPr>
        <w:t>perfluorodécanoïque</w:t>
      </w:r>
      <w:proofErr w:type="spellEnd"/>
      <w:r w:rsidRPr="00434E9D">
        <w:rPr>
          <w:sz w:val="20"/>
        </w:rPr>
        <w:t xml:space="preserve"> (PFDA) (CAS 335-76-2, UE 206-400-3) (RPF 7), acide </w:t>
      </w:r>
      <w:proofErr w:type="spellStart"/>
      <w:r w:rsidRPr="00434E9D">
        <w:rPr>
          <w:sz w:val="20"/>
        </w:rPr>
        <w:t>perfluorododécanoïque</w:t>
      </w:r>
      <w:proofErr w:type="spellEnd"/>
      <w:r w:rsidRPr="00434E9D">
        <w:rPr>
          <w:sz w:val="20"/>
        </w:rPr>
        <w:t xml:space="preserve"> (</w:t>
      </w:r>
      <w:proofErr w:type="spellStart"/>
      <w:r w:rsidRPr="00434E9D">
        <w:rPr>
          <w:sz w:val="20"/>
        </w:rPr>
        <w:t>PFDoDA</w:t>
      </w:r>
      <w:proofErr w:type="spellEnd"/>
      <w:r w:rsidRPr="00434E9D">
        <w:rPr>
          <w:sz w:val="20"/>
        </w:rPr>
        <w:t xml:space="preserve"> or </w:t>
      </w:r>
      <w:proofErr w:type="spellStart"/>
      <w:r w:rsidRPr="00434E9D">
        <w:rPr>
          <w:sz w:val="20"/>
        </w:rPr>
        <w:t>PFDoA</w:t>
      </w:r>
      <w:proofErr w:type="spellEnd"/>
      <w:r w:rsidRPr="00434E9D">
        <w:rPr>
          <w:sz w:val="20"/>
        </w:rPr>
        <w:t xml:space="preserve">) (CAS 307-55-1, UE 206-203-2) (RPF 3), acide </w:t>
      </w:r>
      <w:proofErr w:type="spellStart"/>
      <w:r w:rsidRPr="00434E9D">
        <w:rPr>
          <w:sz w:val="20"/>
        </w:rPr>
        <w:t>perfluoroundécanoïque</w:t>
      </w:r>
      <w:proofErr w:type="spellEnd"/>
      <w:r w:rsidRPr="00434E9D">
        <w:rPr>
          <w:sz w:val="20"/>
        </w:rPr>
        <w:t xml:space="preserve"> (</w:t>
      </w:r>
      <w:proofErr w:type="spellStart"/>
      <w:r w:rsidRPr="00434E9D">
        <w:rPr>
          <w:sz w:val="20"/>
        </w:rPr>
        <w:t>PFUnDA</w:t>
      </w:r>
      <w:proofErr w:type="spellEnd"/>
      <w:r w:rsidRPr="00434E9D">
        <w:rPr>
          <w:sz w:val="20"/>
        </w:rPr>
        <w:t xml:space="preserve"> ou </w:t>
      </w:r>
      <w:proofErr w:type="spellStart"/>
      <w:r w:rsidRPr="00434E9D">
        <w:rPr>
          <w:sz w:val="20"/>
        </w:rPr>
        <w:t>PFUnA</w:t>
      </w:r>
      <w:proofErr w:type="spellEnd"/>
      <w:r w:rsidRPr="00434E9D">
        <w:rPr>
          <w:sz w:val="20"/>
        </w:rPr>
        <w:t xml:space="preserve">) (CAS 2058-94-8, UE 218-165-4) (RPF 4), acide </w:t>
      </w:r>
      <w:proofErr w:type="spellStart"/>
      <w:r w:rsidRPr="00434E9D">
        <w:rPr>
          <w:sz w:val="20"/>
        </w:rPr>
        <w:t>perfluoroheptanoïque</w:t>
      </w:r>
      <w:proofErr w:type="spellEnd"/>
      <w:r w:rsidRPr="00434E9D">
        <w:rPr>
          <w:sz w:val="20"/>
        </w:rPr>
        <w:t xml:space="preserve"> (</w:t>
      </w:r>
      <w:proofErr w:type="spellStart"/>
      <w:r w:rsidRPr="00434E9D">
        <w:rPr>
          <w:sz w:val="20"/>
        </w:rPr>
        <w:t>PFHpA</w:t>
      </w:r>
      <w:proofErr w:type="spellEnd"/>
      <w:r w:rsidRPr="00434E9D">
        <w:rPr>
          <w:sz w:val="20"/>
        </w:rPr>
        <w:t xml:space="preserve">) (CAS 375-85-9, UE 206-798-9) (RPF 0,505), acide </w:t>
      </w:r>
      <w:proofErr w:type="spellStart"/>
      <w:r w:rsidRPr="00434E9D">
        <w:rPr>
          <w:sz w:val="20"/>
        </w:rPr>
        <w:t>perfluorotridécanoïque</w:t>
      </w:r>
      <w:proofErr w:type="spellEnd"/>
      <w:r w:rsidRPr="00434E9D">
        <w:rPr>
          <w:sz w:val="20"/>
        </w:rPr>
        <w:t xml:space="preserve"> (</w:t>
      </w:r>
      <w:proofErr w:type="spellStart"/>
      <w:r w:rsidRPr="00434E9D">
        <w:rPr>
          <w:sz w:val="20"/>
        </w:rPr>
        <w:t>PFTrDA</w:t>
      </w:r>
      <w:proofErr w:type="spellEnd"/>
      <w:r w:rsidRPr="00434E9D">
        <w:rPr>
          <w:sz w:val="20"/>
        </w:rPr>
        <w:t xml:space="preserve">) (CAS 72629-94-8, UE 276-745-2) (RPF 1,65), acide </w:t>
      </w:r>
      <w:proofErr w:type="spellStart"/>
      <w:r w:rsidRPr="00434E9D">
        <w:rPr>
          <w:sz w:val="20"/>
        </w:rPr>
        <w:t>perfluoroheptane</w:t>
      </w:r>
      <w:proofErr w:type="spellEnd"/>
      <w:r w:rsidRPr="00434E9D">
        <w:rPr>
          <w:sz w:val="20"/>
        </w:rPr>
        <w:t xml:space="preserve"> sulfonique (</w:t>
      </w:r>
      <w:proofErr w:type="spellStart"/>
      <w:r w:rsidRPr="00434E9D">
        <w:rPr>
          <w:sz w:val="20"/>
        </w:rPr>
        <w:t>PFHpS</w:t>
      </w:r>
      <w:proofErr w:type="spellEnd"/>
      <w:r w:rsidRPr="00434E9D">
        <w:rPr>
          <w:sz w:val="20"/>
        </w:rPr>
        <w:t xml:space="preserve">) (CAS 375-92-8, UE 206-800-8) (RPF 1,3), acide </w:t>
      </w:r>
      <w:proofErr w:type="spellStart"/>
      <w:r w:rsidRPr="00434E9D">
        <w:rPr>
          <w:sz w:val="20"/>
        </w:rPr>
        <w:t>perfluorodécane</w:t>
      </w:r>
      <w:proofErr w:type="spellEnd"/>
      <w:r w:rsidRPr="00434E9D">
        <w:rPr>
          <w:sz w:val="20"/>
        </w:rPr>
        <w:t xml:space="preserve"> sulfonique (PFDS) (CAS 335-77-3, UE 206-401-9) (RPF 2), acide </w:t>
      </w:r>
      <w:proofErr w:type="spellStart"/>
      <w:r w:rsidRPr="00434E9D">
        <w:rPr>
          <w:sz w:val="20"/>
        </w:rPr>
        <w:t>perfluorotétradécanoïque</w:t>
      </w:r>
      <w:proofErr w:type="spellEnd"/>
      <w:r w:rsidRPr="00434E9D">
        <w:rPr>
          <w:sz w:val="20"/>
        </w:rPr>
        <w:t xml:space="preserve"> (</w:t>
      </w:r>
      <w:proofErr w:type="spellStart"/>
      <w:r w:rsidRPr="00434E9D">
        <w:rPr>
          <w:sz w:val="20"/>
        </w:rPr>
        <w:t>PFTeDA</w:t>
      </w:r>
      <w:proofErr w:type="spellEnd"/>
      <w:r w:rsidRPr="00434E9D">
        <w:rPr>
          <w:sz w:val="20"/>
        </w:rPr>
        <w:t xml:space="preserve">) (CAS 376-06-7, UE 206-803-4) (RPF 0,3), acide </w:t>
      </w:r>
      <w:proofErr w:type="spellStart"/>
      <w:r w:rsidRPr="00434E9D">
        <w:rPr>
          <w:sz w:val="20"/>
        </w:rPr>
        <w:t>perfluorohexanoïque</w:t>
      </w:r>
      <w:proofErr w:type="spellEnd"/>
      <w:r w:rsidRPr="00434E9D">
        <w:rPr>
          <w:sz w:val="20"/>
        </w:rPr>
        <w:t xml:space="preserve"> (</w:t>
      </w:r>
      <w:proofErr w:type="spellStart"/>
      <w:r w:rsidRPr="00434E9D">
        <w:rPr>
          <w:sz w:val="20"/>
        </w:rPr>
        <w:t>PFHxDA</w:t>
      </w:r>
      <w:proofErr w:type="spellEnd"/>
      <w:r w:rsidRPr="00434E9D">
        <w:rPr>
          <w:sz w:val="20"/>
        </w:rPr>
        <w:t xml:space="preserve">) (CAS 67905-19-5, UE 267-638-1) (RPF 0,02), acide </w:t>
      </w:r>
      <w:proofErr w:type="spellStart"/>
      <w:r w:rsidRPr="00434E9D">
        <w:rPr>
          <w:sz w:val="20"/>
        </w:rPr>
        <w:t>perfluorooctadécanoïque</w:t>
      </w:r>
      <w:proofErr w:type="spellEnd"/>
      <w:r w:rsidRPr="00434E9D">
        <w:rPr>
          <w:sz w:val="20"/>
        </w:rPr>
        <w:t xml:space="preserve"> (PFODA) (CAS 16517-11-6, UE 240-582-5) (RPF 0,02), </w:t>
      </w:r>
      <w:proofErr w:type="spellStart"/>
      <w:r w:rsidRPr="00434E9D">
        <w:rPr>
          <w:sz w:val="20"/>
        </w:rPr>
        <w:t>perfluoro</w:t>
      </w:r>
      <w:proofErr w:type="spellEnd"/>
      <w:r w:rsidRPr="00434E9D">
        <w:rPr>
          <w:sz w:val="20"/>
        </w:rPr>
        <w:t xml:space="preserve">(2-méthyl-3-oxahexanoate) d’ammonium (HFPO-DA ou </w:t>
      </w:r>
      <w:proofErr w:type="spellStart"/>
      <w:r w:rsidRPr="00434E9D">
        <w:rPr>
          <w:sz w:val="20"/>
        </w:rPr>
        <w:t>Gen</w:t>
      </w:r>
      <w:proofErr w:type="spellEnd"/>
      <w:r w:rsidRPr="00434E9D">
        <w:rPr>
          <w:sz w:val="20"/>
        </w:rPr>
        <w:t xml:space="preserve"> X) (CAS 62037-80-3) (RPF 0,06), acide propionique/2,2,3-trifluoro-3-(1,1,2,2,3,3-hexafluoro-3-(trifluorométhoxy)propoxy)propanoate d’ammonium(ADONA) (CAS 958445-44-8) (RPF 0,03), 2- (</w:t>
      </w:r>
      <w:proofErr w:type="spellStart"/>
      <w:r w:rsidRPr="00434E9D">
        <w:rPr>
          <w:sz w:val="20"/>
        </w:rPr>
        <w:t>perfluorohexyl</w:t>
      </w:r>
      <w:proofErr w:type="spellEnd"/>
      <w:r w:rsidRPr="00434E9D">
        <w:rPr>
          <w:sz w:val="20"/>
        </w:rPr>
        <w:t>)éthanol (6:2 FTOH) (CAS 647-42-7, UE 211-477-1) (RPF 0,02), 2-(</w:t>
      </w:r>
      <w:proofErr w:type="spellStart"/>
      <w:r w:rsidRPr="00434E9D">
        <w:rPr>
          <w:sz w:val="20"/>
        </w:rPr>
        <w:t>perfluorooctyl</w:t>
      </w:r>
      <w:proofErr w:type="spellEnd"/>
      <w:r w:rsidRPr="00434E9D">
        <w:rPr>
          <w:sz w:val="20"/>
        </w:rPr>
        <w:t>)éthanol (8:2 FTOH) (CAS 678-39-7, UE 211-648-0) (RPF 0,04) et acide acétique/2,2-difluoro-2-((2,2,4,5-tétrafluoro-5-(trifluorométhoxy)-1,3-dioxolan-4-yl)oxy)- (C6O4) (CAS 1190931-41-9) (RPF 0,06).</w:t>
      </w:r>
    </w:p>
    <w:p w14:paraId="4F962844" w14:textId="77777777" w:rsidR="00B12A07" w:rsidRPr="00434E9D" w:rsidRDefault="00B12A07">
      <w:pPr>
        <w:widowControl/>
        <w:rPr>
          <w:sz w:val="20"/>
        </w:rPr>
      </w:pPr>
      <w:r w:rsidRPr="00434E9D">
        <w:rPr>
          <w:sz w:val="20"/>
        </w:rPr>
        <w:br w:type="page"/>
      </w:r>
    </w:p>
    <w:p w14:paraId="4E938AF9" w14:textId="77777777" w:rsidR="008C3DE0" w:rsidRPr="00434E9D" w:rsidRDefault="008C3DE0" w:rsidP="00B12A07">
      <w:pPr>
        <w:spacing w:line="360" w:lineRule="auto"/>
        <w:ind w:left="284" w:hanging="284"/>
        <w:rPr>
          <w:sz w:val="20"/>
        </w:rPr>
      </w:pPr>
      <w:r w:rsidRPr="00434E9D">
        <w:rPr>
          <w:sz w:val="20"/>
          <w:vertAlign w:val="superscript"/>
        </w:rPr>
        <w:t>(28)</w:t>
      </w:r>
      <w:r w:rsidRPr="00434E9D">
        <w:rPr>
          <w:sz w:val="20"/>
        </w:rPr>
        <w:tab/>
        <w:t xml:space="preserve">Pour le groupe des PFAS (nº 65), la NQE se rapporte à la somme des concentrations des 24 PFAS mentionnés dans la note 27 exprimée en équivalents PFOA en fonction de la puissance des substances par rapport à celle du PFOA, à savoir les RPF figurant dans la note en </w:t>
      </w:r>
      <w:proofErr w:type="spellStart"/>
      <w:r w:rsidRPr="00434E9D">
        <w:rPr>
          <w:sz w:val="20"/>
        </w:rPr>
        <w:t>base</w:t>
      </w:r>
      <w:proofErr w:type="spellEnd"/>
      <w:r w:rsidRPr="00434E9D">
        <w:rPr>
          <w:sz w:val="20"/>
        </w:rPr>
        <w:t xml:space="preserve"> de page 27.</w:t>
      </w:r>
    </w:p>
    <w:p w14:paraId="0D475D3C" w14:textId="77777777" w:rsidR="008C3DE0" w:rsidRPr="00434E9D" w:rsidRDefault="008C3DE0" w:rsidP="00B12A07">
      <w:pPr>
        <w:spacing w:line="360" w:lineRule="auto"/>
        <w:ind w:left="284" w:hanging="284"/>
        <w:rPr>
          <w:sz w:val="20"/>
        </w:rPr>
      </w:pPr>
      <w:r w:rsidRPr="00434E9D">
        <w:rPr>
          <w:sz w:val="20"/>
          <w:vertAlign w:val="superscript"/>
        </w:rPr>
        <w:t>(29)</w:t>
      </w:r>
      <w:r w:rsidRPr="00434E9D">
        <w:rPr>
          <w:sz w:val="20"/>
        </w:rPr>
        <w:tab/>
        <w:t>On entend par «pesticides» les produits phytopharmaceutiques visés à l’article 2 du règlement (CE) nº 1107/2009 et les produits biocides définis à l’article 3 du règlement (UE) nº 528/2012.</w:t>
      </w:r>
    </w:p>
    <w:p w14:paraId="05D0740F" w14:textId="77777777" w:rsidR="008C3DE0" w:rsidRPr="00434E9D" w:rsidRDefault="008C3DE0" w:rsidP="00B12A07">
      <w:pPr>
        <w:spacing w:line="360" w:lineRule="auto"/>
        <w:ind w:left="284" w:hanging="284"/>
        <w:rPr>
          <w:sz w:val="20"/>
        </w:rPr>
      </w:pPr>
      <w:r w:rsidRPr="00434E9D">
        <w:rPr>
          <w:sz w:val="20"/>
          <w:vertAlign w:val="superscript"/>
        </w:rPr>
        <w:t>(30)</w:t>
      </w:r>
      <w:r w:rsidRPr="00434E9D">
        <w:rPr>
          <w:sz w:val="20"/>
        </w:rPr>
        <w:tab/>
        <w:t>On entend par «total», la somme de tous les pesticides individuels détectés et quantifiés dans le cadre de la procédure de surveillance, en ce compris leurs métabolites, les produits de dégradation et les produits de réaction pertinents..»</w:t>
      </w:r>
    </w:p>
    <w:p w14:paraId="29010BD6" w14:textId="77777777" w:rsidR="004C1CED" w:rsidRPr="00434E9D" w:rsidRDefault="004C1CED" w:rsidP="00B12A07">
      <w:pPr>
        <w:spacing w:line="360" w:lineRule="auto"/>
        <w:ind w:left="850" w:hanging="850"/>
      </w:pPr>
    </w:p>
    <w:p w14:paraId="282FE6E9" w14:textId="77777777" w:rsidR="00B12A07" w:rsidRPr="00434E9D" w:rsidRDefault="00B12A07">
      <w:pPr>
        <w:widowControl/>
      </w:pPr>
      <w:r w:rsidRPr="00434E9D">
        <w:br w:type="page"/>
      </w:r>
    </w:p>
    <w:p w14:paraId="50BA4E23" w14:textId="77777777" w:rsidR="008C3DE0" w:rsidRPr="00434E9D" w:rsidRDefault="008C3DE0" w:rsidP="00B12A07">
      <w:pPr>
        <w:spacing w:line="360" w:lineRule="auto"/>
        <w:ind w:left="850" w:hanging="850"/>
      </w:pPr>
      <w:r w:rsidRPr="00434E9D">
        <w:t>(3)</w:t>
      </w:r>
      <w:r w:rsidRPr="00434E9D">
        <w:tab/>
        <w:t>La partie B est modifiée comme suit:</w:t>
      </w:r>
    </w:p>
    <w:p w14:paraId="16547839" w14:textId="77777777" w:rsidR="008C3DE0" w:rsidRPr="00434E9D" w:rsidRDefault="008C3DE0" w:rsidP="00B12A07">
      <w:pPr>
        <w:spacing w:line="360" w:lineRule="auto"/>
        <w:ind w:left="1416" w:hanging="566"/>
      </w:pPr>
      <w:r w:rsidRPr="00434E9D">
        <w:t>(a)</w:t>
      </w:r>
      <w:r w:rsidRPr="00434E9D">
        <w:tab/>
        <w:t>au point 1, le premier paragraphe est remplacé par le texte suivant:</w:t>
      </w:r>
    </w:p>
    <w:p w14:paraId="4194DE93" w14:textId="77777777" w:rsidR="008C3DE0" w:rsidRPr="00434E9D" w:rsidRDefault="008C3DE0" w:rsidP="00B12A07">
      <w:pPr>
        <w:spacing w:line="360" w:lineRule="auto"/>
        <w:ind w:left="1416"/>
      </w:pPr>
      <w:r w:rsidRPr="00434E9D">
        <w:t>«pour toute masse d’eau de surface donnée, l’application des NQE-MA a pour effet que, pour tout point de surveillance représentatif de cette masse d’eau, la moyenne arithmétique des concentrations mesurées à différentes périodes de l’année ne dépasse pas la valeur fixée dans la norme.;»</w:t>
      </w:r>
    </w:p>
    <w:p w14:paraId="072B8C44" w14:textId="77777777" w:rsidR="008C3DE0" w:rsidRPr="00434E9D" w:rsidRDefault="008C3DE0" w:rsidP="00B12A07">
      <w:pPr>
        <w:spacing w:line="360" w:lineRule="auto"/>
        <w:ind w:left="1416" w:hanging="566"/>
      </w:pPr>
      <w:r w:rsidRPr="00434E9D">
        <w:t>(b)</w:t>
      </w:r>
      <w:r w:rsidRPr="00434E9D">
        <w:tab/>
        <w:t>au point 2, le premier paragraphe est remplacé par le texte suivant:</w:t>
      </w:r>
    </w:p>
    <w:p w14:paraId="2CB0BE88" w14:textId="77777777" w:rsidR="008C3DE0" w:rsidRPr="00434E9D" w:rsidRDefault="008C3DE0" w:rsidP="00B12A07">
      <w:pPr>
        <w:spacing w:line="360" w:lineRule="auto"/>
        <w:ind w:left="1416"/>
      </w:pPr>
      <w:r w:rsidRPr="00434E9D">
        <w:t>«Pour toute masse d’eau de surface donnée, l’application des NQE-CMA a pour effet que, pour tout point de surveillance représentatif de cette masse d’eau, la concentration mesurée ne dépasse pas la norme..»</w:t>
      </w:r>
    </w:p>
    <w:p w14:paraId="138A393B" w14:textId="77777777" w:rsidR="008C3DE0" w:rsidRPr="00434E9D" w:rsidRDefault="008C3DE0" w:rsidP="008C3DE0">
      <w:pPr>
        <w:sectPr w:rsidR="008C3DE0" w:rsidRPr="00434E9D" w:rsidSect="00B12A07">
          <w:footnotePr>
            <w:numRestart w:val="eachSect"/>
          </w:footnotePr>
          <w:pgSz w:w="11909" w:h="16834"/>
          <w:pgMar w:top="1134" w:right="1417" w:bottom="1417" w:left="1417" w:header="1134" w:footer="567" w:gutter="0"/>
          <w:cols w:space="720"/>
          <w:docGrid w:linePitch="326"/>
        </w:sectPr>
      </w:pPr>
    </w:p>
    <w:p w14:paraId="38C24D66" w14:textId="77777777" w:rsidR="008C3DE0" w:rsidRPr="00434E9D" w:rsidRDefault="008C3DE0" w:rsidP="008C3DE0"/>
    <w:p w14:paraId="1120080A" w14:textId="77777777" w:rsidR="008C3DE0" w:rsidRPr="00434E9D" w:rsidRDefault="004C1CED" w:rsidP="008C3DE0">
      <w:pPr>
        <w:pStyle w:val="Normale"/>
        <w:jc w:val="center"/>
        <w:rPr>
          <w:lang w:val="fr-FR"/>
        </w:rPr>
      </w:pPr>
      <w:r w:rsidRPr="00434E9D">
        <w:rPr>
          <w:lang w:val="fr-FR"/>
        </w:rPr>
        <w:t>Annexe</w:t>
      </w:r>
      <w:r w:rsidR="008C3DE0" w:rsidRPr="00434E9D">
        <w:rPr>
          <w:lang w:val="fr-FR"/>
        </w:rPr>
        <w:t xml:space="preserve"> VI</w:t>
      </w:r>
    </w:p>
    <w:p w14:paraId="14E13423" w14:textId="77777777" w:rsidR="004C1CED" w:rsidRPr="00434E9D" w:rsidRDefault="004C1CED" w:rsidP="00B12A07">
      <w:pPr>
        <w:ind w:left="851"/>
        <w:rPr>
          <w:rFonts w:eastAsia="Calibri"/>
          <w:noProof/>
          <w:szCs w:val="22"/>
          <w:lang w:eastAsia="en-US"/>
        </w:rPr>
      </w:pPr>
      <w:r w:rsidRPr="00434E9D">
        <w:t xml:space="preserve"> </w:t>
      </w:r>
      <w:r w:rsidRPr="00434E9D">
        <w:rPr>
          <w:rFonts w:eastAsia="Calibri"/>
          <w:noProof/>
          <w:szCs w:val="22"/>
          <w:lang w:eastAsia="en-US"/>
        </w:rPr>
        <w:t>«ANNEXE II</w:t>
      </w:r>
    </w:p>
    <w:p w14:paraId="1E99E7A7" w14:textId="77777777" w:rsidR="004C1CED" w:rsidRPr="00434E9D" w:rsidRDefault="004C1CED" w:rsidP="00B12A07">
      <w:pPr>
        <w:widowControl/>
        <w:spacing w:before="120" w:after="120"/>
        <w:ind w:left="851"/>
        <w:jc w:val="center"/>
        <w:rPr>
          <w:rFonts w:eastAsia="Calibri"/>
          <w:noProof/>
          <w:szCs w:val="22"/>
          <w:lang w:eastAsia="en-US"/>
        </w:rPr>
      </w:pPr>
      <w:r w:rsidRPr="00434E9D">
        <w:rPr>
          <w:rFonts w:eastAsia="Calibri"/>
          <w:noProof/>
          <w:szCs w:val="22"/>
          <w:lang w:eastAsia="en-US"/>
        </w:rPr>
        <w:t>NORMES DE QUALITÉ ENVI</w:t>
      </w:r>
      <w:r w:rsidR="00B12A07" w:rsidRPr="00434E9D">
        <w:rPr>
          <w:rFonts w:eastAsia="Calibri"/>
          <w:noProof/>
          <w:szCs w:val="22"/>
          <w:lang w:eastAsia="en-US"/>
        </w:rPr>
        <w:t xml:space="preserve">RONNEMENTALE POUR LES POLLUANTS </w:t>
      </w:r>
      <w:r w:rsidRPr="00434E9D">
        <w:rPr>
          <w:rFonts w:eastAsia="Calibri"/>
          <w:noProof/>
          <w:szCs w:val="22"/>
          <w:lang w:eastAsia="en-US"/>
        </w:rPr>
        <w:t>SPÉCIFIQUES À UN BASSIN HYDROGRAPHIQUE</w:t>
      </w:r>
    </w:p>
    <w:p w14:paraId="1158A958" w14:textId="77777777" w:rsidR="004C1CED" w:rsidRPr="00434E9D" w:rsidRDefault="004C1CED" w:rsidP="00B12A07">
      <w:pPr>
        <w:keepNext/>
        <w:widowControl/>
        <w:tabs>
          <w:tab w:val="left" w:pos="850"/>
        </w:tabs>
        <w:spacing w:before="360" w:after="120" w:line="360" w:lineRule="auto"/>
        <w:ind w:left="850" w:hanging="850"/>
        <w:jc w:val="both"/>
        <w:outlineLvl w:val="0"/>
        <w:rPr>
          <w:rFonts w:eastAsia="Calibri"/>
          <w:smallCaps/>
          <w:noProof/>
          <w:szCs w:val="22"/>
          <w:lang w:eastAsia="en-US"/>
        </w:rPr>
      </w:pPr>
      <w:r w:rsidRPr="00434E9D">
        <w:rPr>
          <w:rFonts w:eastAsia="Calibri"/>
          <w:smallCaps/>
          <w:noProof/>
          <w:szCs w:val="22"/>
          <w:lang w:eastAsia="en-US"/>
        </w:rPr>
        <w:t xml:space="preserve">Partie A:  LISTE DES CATÉGORIES DE POLLUANTS SPÉCIFIQUES À UN BASSIN HYDROGRAPHIQUE </w:t>
      </w:r>
    </w:p>
    <w:p w14:paraId="116546E0" w14:textId="77777777" w:rsidR="004C1CED" w:rsidRPr="00434E9D" w:rsidRDefault="004C1CED" w:rsidP="00B12A07">
      <w:pPr>
        <w:widowControl/>
        <w:spacing w:before="120" w:after="120" w:line="360" w:lineRule="auto"/>
        <w:ind w:left="1069"/>
        <w:jc w:val="both"/>
        <w:rPr>
          <w:rFonts w:eastAsia="Calibri"/>
          <w:noProof/>
          <w:szCs w:val="22"/>
          <w:lang w:eastAsia="en-US"/>
        </w:rPr>
      </w:pPr>
      <w:r w:rsidRPr="00434E9D">
        <w:rPr>
          <w:rFonts w:eastAsia="Calibri"/>
          <w:noProof/>
          <w:szCs w:val="22"/>
          <w:lang w:eastAsia="en-US"/>
        </w:rPr>
        <w:t>1. Composés organohalogénés et substances susceptibles de former de tels composés dans le milieu aquatique</w:t>
      </w:r>
    </w:p>
    <w:p w14:paraId="755CB1CC" w14:textId="77777777" w:rsidR="004C1CED" w:rsidRPr="00434E9D" w:rsidRDefault="004C1CED" w:rsidP="00B12A07">
      <w:pPr>
        <w:widowControl/>
        <w:spacing w:before="120" w:after="120" w:line="360" w:lineRule="auto"/>
        <w:ind w:left="1069"/>
        <w:jc w:val="both"/>
        <w:rPr>
          <w:rFonts w:eastAsia="Calibri"/>
          <w:noProof/>
          <w:szCs w:val="22"/>
          <w:lang w:eastAsia="en-US"/>
        </w:rPr>
      </w:pPr>
      <w:r w:rsidRPr="00434E9D">
        <w:rPr>
          <w:rFonts w:eastAsia="Calibri"/>
          <w:noProof/>
          <w:szCs w:val="22"/>
          <w:lang w:eastAsia="en-US"/>
        </w:rPr>
        <w:t>2. Composés organophosphorés.</w:t>
      </w:r>
    </w:p>
    <w:p w14:paraId="001DE8AF" w14:textId="77777777" w:rsidR="004C1CED" w:rsidRPr="00434E9D" w:rsidRDefault="004C1CED" w:rsidP="00B12A07">
      <w:pPr>
        <w:widowControl/>
        <w:spacing w:before="120" w:after="120" w:line="360" w:lineRule="auto"/>
        <w:ind w:left="1069"/>
        <w:jc w:val="both"/>
        <w:rPr>
          <w:rFonts w:eastAsia="Calibri"/>
          <w:noProof/>
          <w:szCs w:val="22"/>
          <w:lang w:eastAsia="en-US"/>
        </w:rPr>
      </w:pPr>
      <w:r w:rsidRPr="00434E9D">
        <w:rPr>
          <w:rFonts w:eastAsia="Calibri"/>
          <w:noProof/>
          <w:szCs w:val="22"/>
          <w:lang w:eastAsia="en-US"/>
        </w:rPr>
        <w:t>3. Composés organostanniques.</w:t>
      </w:r>
    </w:p>
    <w:p w14:paraId="16742192" w14:textId="77777777" w:rsidR="004C1CED" w:rsidRPr="00434E9D" w:rsidRDefault="004C1CED" w:rsidP="00B12A07">
      <w:pPr>
        <w:widowControl/>
        <w:spacing w:before="120" w:after="120" w:line="360" w:lineRule="auto"/>
        <w:ind w:left="1069"/>
        <w:jc w:val="both"/>
        <w:rPr>
          <w:rFonts w:eastAsia="Calibri"/>
          <w:noProof/>
          <w:szCs w:val="22"/>
          <w:lang w:eastAsia="en-US"/>
        </w:rPr>
      </w:pPr>
      <w:r w:rsidRPr="00434E9D">
        <w:rPr>
          <w:rFonts w:eastAsia="Calibri"/>
          <w:noProof/>
          <w:szCs w:val="22"/>
          <w:lang w:eastAsia="en-US"/>
        </w:rPr>
        <w:t xml:space="preserve">4. Substances et préparations, ou leurs produits de décomposition, dont le caractère cancérigène ou mutagène ou les propriétés pouvant affecter les fonctions stéroïdogénique, thyroïdienne ou reproductive ou d'autres fonctions endocriniennes dans ou via le milieu aquatique ont été démontrés. </w:t>
      </w:r>
    </w:p>
    <w:p w14:paraId="0038A706" w14:textId="77777777" w:rsidR="00B12A07" w:rsidRPr="00434E9D" w:rsidRDefault="00B12A07">
      <w:pPr>
        <w:widowControl/>
        <w:rPr>
          <w:rFonts w:eastAsia="Calibri"/>
          <w:noProof/>
          <w:szCs w:val="22"/>
          <w:lang w:eastAsia="en-US"/>
        </w:rPr>
      </w:pPr>
      <w:r w:rsidRPr="00434E9D">
        <w:rPr>
          <w:rFonts w:eastAsia="Calibri"/>
          <w:noProof/>
          <w:szCs w:val="22"/>
          <w:lang w:eastAsia="en-US"/>
        </w:rPr>
        <w:br w:type="page"/>
      </w:r>
    </w:p>
    <w:p w14:paraId="186C4FE1" w14:textId="77777777" w:rsidR="004C1CED" w:rsidRPr="00434E9D" w:rsidRDefault="004C1CED" w:rsidP="00B12A07">
      <w:pPr>
        <w:widowControl/>
        <w:spacing w:before="120" w:after="120" w:line="360" w:lineRule="auto"/>
        <w:ind w:left="1069"/>
        <w:jc w:val="both"/>
        <w:rPr>
          <w:rFonts w:eastAsia="Calibri"/>
          <w:noProof/>
          <w:szCs w:val="22"/>
          <w:lang w:eastAsia="en-US"/>
        </w:rPr>
      </w:pPr>
      <w:r w:rsidRPr="00434E9D">
        <w:rPr>
          <w:rFonts w:eastAsia="Calibri"/>
          <w:noProof/>
          <w:szCs w:val="22"/>
          <w:lang w:eastAsia="en-US"/>
        </w:rPr>
        <w:t xml:space="preserve">5. Hydrocarbures persistants et substances organiques toxiques persistantes et bio-accumulables. </w:t>
      </w:r>
    </w:p>
    <w:p w14:paraId="0E412757" w14:textId="77777777" w:rsidR="004C1CED" w:rsidRPr="00434E9D" w:rsidRDefault="004C1CED" w:rsidP="00B12A07">
      <w:pPr>
        <w:widowControl/>
        <w:spacing w:before="120" w:after="120" w:line="360" w:lineRule="auto"/>
        <w:ind w:left="1069"/>
        <w:jc w:val="both"/>
        <w:rPr>
          <w:rFonts w:eastAsia="Calibri"/>
          <w:noProof/>
          <w:szCs w:val="22"/>
          <w:lang w:eastAsia="en-US"/>
        </w:rPr>
      </w:pPr>
      <w:r w:rsidRPr="00434E9D">
        <w:rPr>
          <w:rFonts w:eastAsia="Calibri"/>
          <w:noProof/>
          <w:szCs w:val="22"/>
          <w:lang w:eastAsia="en-US"/>
        </w:rPr>
        <w:t>6. Cyanures.</w:t>
      </w:r>
    </w:p>
    <w:p w14:paraId="748EFC46" w14:textId="77777777" w:rsidR="004C1CED" w:rsidRPr="00434E9D" w:rsidRDefault="004C1CED" w:rsidP="00B12A07">
      <w:pPr>
        <w:widowControl/>
        <w:spacing w:before="120" w:after="120" w:line="360" w:lineRule="auto"/>
        <w:ind w:left="1069"/>
        <w:jc w:val="both"/>
        <w:rPr>
          <w:rFonts w:eastAsia="Calibri"/>
          <w:noProof/>
          <w:szCs w:val="22"/>
          <w:lang w:eastAsia="en-US"/>
        </w:rPr>
      </w:pPr>
      <w:r w:rsidRPr="00434E9D">
        <w:rPr>
          <w:rFonts w:eastAsia="Calibri"/>
          <w:noProof/>
          <w:szCs w:val="22"/>
          <w:lang w:eastAsia="en-US"/>
        </w:rPr>
        <w:t>7. Métaux et leurs composés.</w:t>
      </w:r>
    </w:p>
    <w:p w14:paraId="2C70EC73" w14:textId="77777777" w:rsidR="004C1CED" w:rsidRPr="00434E9D" w:rsidRDefault="004C1CED" w:rsidP="00B12A07">
      <w:pPr>
        <w:widowControl/>
        <w:spacing w:before="120" w:after="120" w:line="360" w:lineRule="auto"/>
        <w:ind w:left="1069"/>
        <w:jc w:val="both"/>
        <w:rPr>
          <w:rFonts w:eastAsia="Calibri"/>
          <w:noProof/>
          <w:szCs w:val="22"/>
          <w:lang w:eastAsia="en-US"/>
        </w:rPr>
      </w:pPr>
      <w:r w:rsidRPr="00434E9D">
        <w:rPr>
          <w:rFonts w:eastAsia="Calibri"/>
          <w:noProof/>
          <w:szCs w:val="22"/>
          <w:lang w:eastAsia="en-US"/>
        </w:rPr>
        <w:t>8. Arsenic et ses composés.</w:t>
      </w:r>
    </w:p>
    <w:p w14:paraId="032BBFF0" w14:textId="77777777" w:rsidR="004C1CED" w:rsidRPr="00434E9D" w:rsidRDefault="004C1CED" w:rsidP="00B12A07">
      <w:pPr>
        <w:widowControl/>
        <w:spacing w:before="120" w:after="120" w:line="360" w:lineRule="auto"/>
        <w:ind w:left="1069"/>
        <w:jc w:val="both"/>
        <w:rPr>
          <w:rFonts w:eastAsia="Calibri"/>
          <w:noProof/>
          <w:szCs w:val="22"/>
          <w:lang w:eastAsia="en-US"/>
        </w:rPr>
      </w:pPr>
      <w:r w:rsidRPr="00434E9D">
        <w:rPr>
          <w:rFonts w:eastAsia="Calibri"/>
          <w:noProof/>
          <w:szCs w:val="22"/>
          <w:lang w:eastAsia="en-US"/>
        </w:rPr>
        <w:t>9. Produits biocides et phytopharmaceutiques.</w:t>
      </w:r>
    </w:p>
    <w:p w14:paraId="406F0A97" w14:textId="77777777" w:rsidR="004C1CED" w:rsidRPr="00434E9D" w:rsidRDefault="004C1CED" w:rsidP="00B12A07">
      <w:pPr>
        <w:widowControl/>
        <w:spacing w:before="120" w:after="120" w:line="360" w:lineRule="auto"/>
        <w:ind w:left="1069"/>
        <w:jc w:val="both"/>
        <w:rPr>
          <w:rFonts w:eastAsia="Calibri"/>
          <w:b/>
          <w:noProof/>
          <w:szCs w:val="22"/>
          <w:lang w:eastAsia="en-US"/>
        </w:rPr>
      </w:pPr>
      <w:r w:rsidRPr="00434E9D">
        <w:rPr>
          <w:rFonts w:eastAsia="Calibri"/>
          <w:noProof/>
          <w:szCs w:val="22"/>
          <w:lang w:eastAsia="en-US"/>
        </w:rPr>
        <w:t>10. Matières en suspen</w:t>
      </w:r>
      <w:r w:rsidR="00BF1A15" w:rsidRPr="00434E9D">
        <w:rPr>
          <w:rFonts w:eastAsia="Calibri"/>
          <w:noProof/>
          <w:szCs w:val="22"/>
          <w:lang w:eastAsia="en-US"/>
        </w:rPr>
        <w:t>sion, dont micro/nanoplastiques</w:t>
      </w:r>
      <w:r w:rsidR="00BF1A15" w:rsidRPr="00434E9D">
        <w:rPr>
          <w:b/>
          <w:i/>
        </w:rPr>
        <w:t xml:space="preserve">, et matières connues comme donnant lieu à des microplastiques ou des </w:t>
      </w:r>
      <w:proofErr w:type="spellStart"/>
      <w:r w:rsidR="00BF1A15" w:rsidRPr="00434E9D">
        <w:rPr>
          <w:b/>
          <w:i/>
        </w:rPr>
        <w:t>nanoplastiques</w:t>
      </w:r>
      <w:proofErr w:type="spellEnd"/>
      <w:r w:rsidR="00BF1A15" w:rsidRPr="00434E9D">
        <w:rPr>
          <w:b/>
          <w:i/>
        </w:rPr>
        <w:t xml:space="preserve">. </w:t>
      </w:r>
      <w:r w:rsidR="00BF1A15" w:rsidRPr="00434E9D">
        <w:rPr>
          <w:b/>
        </w:rPr>
        <w:t xml:space="preserve"> [Am. 155]</w:t>
      </w:r>
    </w:p>
    <w:p w14:paraId="7EF629BB" w14:textId="77777777" w:rsidR="004C1CED" w:rsidRPr="00434E9D" w:rsidRDefault="004C1CED" w:rsidP="00B12A07">
      <w:pPr>
        <w:widowControl/>
        <w:spacing w:before="120" w:after="120" w:line="360" w:lineRule="auto"/>
        <w:ind w:left="1069"/>
        <w:jc w:val="both"/>
        <w:rPr>
          <w:rFonts w:eastAsia="Calibri"/>
          <w:noProof/>
          <w:szCs w:val="22"/>
          <w:lang w:eastAsia="en-US"/>
        </w:rPr>
      </w:pPr>
      <w:r w:rsidRPr="00434E9D">
        <w:rPr>
          <w:rFonts w:eastAsia="Calibri"/>
          <w:noProof/>
          <w:szCs w:val="22"/>
          <w:lang w:eastAsia="en-US"/>
        </w:rPr>
        <w:t>11. Substances contribuant à l’eutrophisation (en particulier nitrates et phosphates).</w:t>
      </w:r>
    </w:p>
    <w:p w14:paraId="44ABEAD6" w14:textId="77777777" w:rsidR="004C1CED" w:rsidRPr="00434E9D" w:rsidRDefault="004C1CED" w:rsidP="00B12A07">
      <w:pPr>
        <w:widowControl/>
        <w:spacing w:before="120" w:after="120" w:line="360" w:lineRule="auto"/>
        <w:ind w:left="1069"/>
        <w:jc w:val="both"/>
        <w:rPr>
          <w:rFonts w:eastAsia="Calibri"/>
          <w:noProof/>
          <w:szCs w:val="22"/>
          <w:lang w:eastAsia="en-US"/>
        </w:rPr>
      </w:pPr>
      <w:r w:rsidRPr="00434E9D">
        <w:rPr>
          <w:rFonts w:eastAsia="Calibri"/>
          <w:noProof/>
          <w:szCs w:val="22"/>
          <w:lang w:eastAsia="en-US"/>
        </w:rPr>
        <w:t>12. Substances exerçant une influence défavorable sur le bilan d’oxygène, mesurables par des paramètres, tels que DBO, DCO, etc.</w:t>
      </w:r>
    </w:p>
    <w:p w14:paraId="125CEFFB" w14:textId="77777777" w:rsidR="00B12A07" w:rsidRPr="00434E9D" w:rsidRDefault="00B12A07">
      <w:pPr>
        <w:widowControl/>
        <w:rPr>
          <w:rFonts w:eastAsia="Calibri"/>
          <w:noProof/>
          <w:szCs w:val="22"/>
          <w:lang w:eastAsia="en-US"/>
        </w:rPr>
      </w:pPr>
      <w:r w:rsidRPr="00434E9D">
        <w:rPr>
          <w:rFonts w:eastAsia="Calibri"/>
          <w:noProof/>
          <w:szCs w:val="22"/>
          <w:lang w:eastAsia="en-US"/>
        </w:rPr>
        <w:br w:type="page"/>
      </w:r>
    </w:p>
    <w:p w14:paraId="126F3AAA" w14:textId="77777777" w:rsidR="004C1CED" w:rsidRPr="00434E9D" w:rsidRDefault="004C1CED" w:rsidP="00B12A07">
      <w:pPr>
        <w:widowControl/>
        <w:spacing w:before="120" w:after="120" w:line="360" w:lineRule="auto"/>
        <w:ind w:left="1069"/>
        <w:jc w:val="both"/>
        <w:rPr>
          <w:rFonts w:eastAsia="Calibri"/>
          <w:noProof/>
          <w:szCs w:val="22"/>
          <w:lang w:eastAsia="en-US"/>
        </w:rPr>
      </w:pPr>
      <w:r w:rsidRPr="00434E9D">
        <w:rPr>
          <w:rFonts w:eastAsia="Calibri"/>
          <w:noProof/>
          <w:szCs w:val="22"/>
          <w:lang w:eastAsia="en-US"/>
        </w:rPr>
        <w:t>13. Microorganismes, gènes ou matériel génétique reflétant la présence de microorganismes résistants aux agents antimicrobiens, en particulier les microorganismes pathogènes pour l’homme ou les animaux.</w:t>
      </w:r>
    </w:p>
    <w:p w14:paraId="502A545D" w14:textId="77777777" w:rsidR="004C1CED" w:rsidRPr="00434E9D" w:rsidRDefault="004C1CED" w:rsidP="00B12A07">
      <w:pPr>
        <w:keepNext/>
        <w:widowControl/>
        <w:tabs>
          <w:tab w:val="left" w:pos="850"/>
        </w:tabs>
        <w:spacing w:before="360" w:after="120" w:line="360" w:lineRule="auto"/>
        <w:ind w:left="850" w:hanging="850"/>
        <w:jc w:val="both"/>
        <w:outlineLvl w:val="0"/>
        <w:rPr>
          <w:rFonts w:eastAsia="Calibri"/>
          <w:smallCaps/>
          <w:noProof/>
          <w:szCs w:val="22"/>
          <w:lang w:eastAsia="en-US"/>
        </w:rPr>
      </w:pPr>
      <w:r w:rsidRPr="00434E9D">
        <w:rPr>
          <w:rFonts w:eastAsia="Calibri"/>
          <w:smallCaps/>
          <w:noProof/>
          <w:szCs w:val="22"/>
          <w:lang w:eastAsia="en-US"/>
        </w:rPr>
        <w:t>PARTIE B: PROCÉDURE D’ÉTABLISSEMENT DES NORMES DE QUALITÉ ENVIRONNEMENTALE POUR LES POLLUANTS SPÉCIFIQUES À UN BASSIN HYDROGRAPHIQUE</w:t>
      </w:r>
    </w:p>
    <w:p w14:paraId="02F34E01" w14:textId="77777777" w:rsidR="004C1CED" w:rsidRPr="00434E9D" w:rsidRDefault="004C1CED" w:rsidP="00B12A07">
      <w:pPr>
        <w:widowControl/>
        <w:spacing w:before="120" w:after="120" w:line="360" w:lineRule="auto"/>
        <w:jc w:val="both"/>
        <w:rPr>
          <w:rFonts w:eastAsia="Calibri"/>
          <w:noProof/>
          <w:szCs w:val="22"/>
          <w:lang w:eastAsia="en-US"/>
        </w:rPr>
      </w:pPr>
      <w:r w:rsidRPr="00434E9D">
        <w:rPr>
          <w:rFonts w:eastAsia="Calibri"/>
          <w:noProof/>
          <w:szCs w:val="22"/>
          <w:lang w:eastAsia="en-US"/>
        </w:rPr>
        <w:t>Les méthodes utilisées pour établir les NQE</w:t>
      </w:r>
      <w:r w:rsidRPr="00434E9D">
        <w:rPr>
          <w:rFonts w:eastAsia="Calibri"/>
          <w:noProof/>
          <w:sz w:val="22"/>
          <w:szCs w:val="22"/>
          <w:lang w:eastAsia="en-US"/>
        </w:rPr>
        <w:t xml:space="preserve"> </w:t>
      </w:r>
      <w:r w:rsidRPr="00434E9D">
        <w:rPr>
          <w:rFonts w:eastAsia="Calibri"/>
          <w:noProof/>
          <w:szCs w:val="22"/>
          <w:lang w:eastAsia="en-US"/>
        </w:rPr>
        <w:t>pour les polluants spécifiques à un bassin hydrographique comprennent les étapes suivantes:</w:t>
      </w:r>
    </w:p>
    <w:p w14:paraId="4B042426" w14:textId="77777777" w:rsidR="004C1CED" w:rsidRPr="00434E9D" w:rsidRDefault="004C1CED" w:rsidP="002E6A76">
      <w:pPr>
        <w:widowControl/>
        <w:numPr>
          <w:ilvl w:val="5"/>
          <w:numId w:val="4"/>
        </w:numPr>
        <w:spacing w:before="120" w:after="120" w:line="360" w:lineRule="auto"/>
        <w:jc w:val="both"/>
        <w:rPr>
          <w:rFonts w:eastAsia="Calibri"/>
          <w:noProof/>
          <w:szCs w:val="22"/>
          <w:lang w:eastAsia="en-US"/>
        </w:rPr>
      </w:pPr>
      <w:r w:rsidRPr="00434E9D">
        <w:rPr>
          <w:rFonts w:eastAsia="Calibri"/>
          <w:noProof/>
          <w:szCs w:val="22"/>
          <w:lang w:eastAsia="en-US"/>
        </w:rPr>
        <w:t>détermination des récepteurs et des milieux ou matrices courant un risque en raison de la substance préoccupante;</w:t>
      </w:r>
    </w:p>
    <w:p w14:paraId="78EBB0F4" w14:textId="77777777" w:rsidR="004C1CED" w:rsidRPr="00434E9D" w:rsidRDefault="004C1CED" w:rsidP="002E6A76">
      <w:pPr>
        <w:widowControl/>
        <w:numPr>
          <w:ilvl w:val="5"/>
          <w:numId w:val="4"/>
        </w:numPr>
        <w:spacing w:before="120" w:after="120" w:line="360" w:lineRule="auto"/>
        <w:jc w:val="both"/>
        <w:rPr>
          <w:rFonts w:eastAsia="Calibri"/>
          <w:noProof/>
          <w:szCs w:val="22"/>
          <w:lang w:eastAsia="en-US"/>
        </w:rPr>
      </w:pPr>
      <w:r w:rsidRPr="00434E9D">
        <w:rPr>
          <w:rFonts w:eastAsia="Calibri"/>
          <w:noProof/>
          <w:szCs w:val="22"/>
          <w:lang w:eastAsia="en-US"/>
        </w:rPr>
        <w:t>collation et évaluation de la qualité des données sur les propriétés de la substance préoccupante, y compris sa toxicité et son écotoxicité, en particulier des données issues des rapports sur les études réalisées en laboratoire, en mésocosme et sur le terrain qui couvrent les effets chroniques et aigus en eau douce et en eau salée;</w:t>
      </w:r>
    </w:p>
    <w:p w14:paraId="04F067BF" w14:textId="77777777" w:rsidR="002E6A76" w:rsidRPr="00434E9D" w:rsidRDefault="002E6A76">
      <w:pPr>
        <w:widowControl/>
        <w:rPr>
          <w:rFonts w:eastAsia="Calibri"/>
          <w:noProof/>
          <w:szCs w:val="22"/>
          <w:lang w:eastAsia="en-US"/>
        </w:rPr>
      </w:pPr>
      <w:r w:rsidRPr="00434E9D">
        <w:rPr>
          <w:rFonts w:eastAsia="Calibri"/>
          <w:noProof/>
          <w:szCs w:val="22"/>
          <w:lang w:eastAsia="en-US"/>
        </w:rPr>
        <w:br w:type="page"/>
      </w:r>
    </w:p>
    <w:p w14:paraId="15C8BB78" w14:textId="77777777" w:rsidR="004C1CED" w:rsidRPr="00434E9D" w:rsidRDefault="004C1CED" w:rsidP="002E6A76">
      <w:pPr>
        <w:widowControl/>
        <w:numPr>
          <w:ilvl w:val="5"/>
          <w:numId w:val="4"/>
        </w:numPr>
        <w:spacing w:before="120" w:after="120" w:line="360" w:lineRule="auto"/>
        <w:jc w:val="both"/>
        <w:rPr>
          <w:rFonts w:eastAsia="Calibri"/>
          <w:noProof/>
          <w:szCs w:val="22"/>
          <w:lang w:eastAsia="en-US"/>
        </w:rPr>
      </w:pPr>
      <w:r w:rsidRPr="00434E9D">
        <w:rPr>
          <w:rFonts w:eastAsia="Calibri"/>
          <w:noProof/>
          <w:szCs w:val="22"/>
          <w:lang w:eastAsia="en-US"/>
        </w:rPr>
        <w:t xml:space="preserve">extrapolation des données de toxicité (ou d’écotoxicité) à des concentrations sans effet ou similaires à l’aide de méthodes déterministes ou probabilistes, et sélection et application des facteurs d’évaluation appropriés pour remédier aux incertitudes et établir la NQE; </w:t>
      </w:r>
    </w:p>
    <w:p w14:paraId="50CC9D18" w14:textId="77777777" w:rsidR="004C1CED" w:rsidRPr="00434E9D" w:rsidRDefault="004C1CED" w:rsidP="002E6A76">
      <w:pPr>
        <w:widowControl/>
        <w:numPr>
          <w:ilvl w:val="5"/>
          <w:numId w:val="4"/>
        </w:numPr>
        <w:spacing w:before="120" w:after="120" w:line="360" w:lineRule="auto"/>
        <w:jc w:val="both"/>
        <w:rPr>
          <w:rFonts w:eastAsia="Calibri"/>
          <w:noProof/>
          <w:szCs w:val="22"/>
          <w:lang w:eastAsia="en-US"/>
        </w:rPr>
      </w:pPr>
      <w:r w:rsidRPr="00434E9D">
        <w:rPr>
          <w:rFonts w:eastAsia="Calibri"/>
          <w:noProof/>
          <w:szCs w:val="22"/>
          <w:lang w:eastAsia="en-US"/>
        </w:rPr>
        <w:t>comparaison de la NQE pour différents récepteurs et milieux, et sélection de la NQE critique, autrement dit la NQE qui offre une protection au récepteur le plus sensible dans le milieu le plus pertinent ou la matrice la plus pertinente.</w:t>
      </w:r>
    </w:p>
    <w:p w14:paraId="54B38BE4" w14:textId="77777777" w:rsidR="002E6A76" w:rsidRPr="00434E9D" w:rsidRDefault="002E6A76" w:rsidP="002E6A76">
      <w:pPr>
        <w:widowControl/>
        <w:spacing w:before="120" w:after="120" w:line="360" w:lineRule="auto"/>
        <w:ind w:left="1417"/>
        <w:jc w:val="both"/>
        <w:rPr>
          <w:b/>
        </w:rPr>
        <w:sectPr w:rsidR="002E6A76" w:rsidRPr="00434E9D" w:rsidSect="00195F2C">
          <w:footnotePr>
            <w:numRestart w:val="eachSect"/>
          </w:footnotePr>
          <w:pgSz w:w="11906" w:h="16838" w:code="9"/>
          <w:pgMar w:top="1134" w:right="1418" w:bottom="1418" w:left="1418" w:header="1134" w:footer="567" w:gutter="0"/>
          <w:cols w:space="720"/>
          <w:noEndnote/>
          <w:docGrid w:linePitch="326"/>
        </w:sectPr>
      </w:pPr>
      <w:r w:rsidRPr="00434E9D">
        <w:rPr>
          <w:b/>
          <w:i/>
        </w:rPr>
        <w:t>(d bis)</w:t>
      </w:r>
      <w:r w:rsidRPr="00434E9D">
        <w:tab/>
      </w:r>
      <w:r w:rsidRPr="00434E9D">
        <w:rPr>
          <w:b/>
          <w:i/>
        </w:rPr>
        <w:t xml:space="preserve">lors de l’établissement des NQE pour les métaux, des modèles de biodisponibilité doivent être envisagés pour tenir compte des divers paramètres de qualité de l’eau qui influent sur la biodisponibilité des métaux. </w:t>
      </w:r>
      <w:r w:rsidRPr="00434E9D">
        <w:rPr>
          <w:b/>
        </w:rPr>
        <w:t xml:space="preserve"> [Am. 156]</w:t>
      </w:r>
    </w:p>
    <w:p w14:paraId="070A926F" w14:textId="77777777" w:rsidR="004C1CED" w:rsidRPr="00434E9D" w:rsidRDefault="004C1CED" w:rsidP="004C1CED">
      <w:pPr>
        <w:keepNext/>
        <w:widowControl/>
        <w:tabs>
          <w:tab w:val="left" w:pos="850"/>
        </w:tabs>
        <w:spacing w:before="360" w:after="120"/>
        <w:ind w:left="850" w:hanging="850"/>
        <w:jc w:val="both"/>
        <w:outlineLvl w:val="0"/>
        <w:rPr>
          <w:rFonts w:eastAsia="Calibri"/>
          <w:smallCaps/>
          <w:noProof/>
          <w:szCs w:val="22"/>
          <w:lang w:eastAsia="en-US"/>
        </w:rPr>
      </w:pPr>
      <w:r w:rsidRPr="00434E9D">
        <w:rPr>
          <w:rFonts w:eastAsia="Calibri"/>
          <w:smallCaps/>
          <w:noProof/>
          <w:szCs w:val="22"/>
          <w:lang w:eastAsia="en-US"/>
        </w:rPr>
        <w:t xml:space="preserve">PARTIE C: RÉFÉRENTIEL DES NORMES DE QUALITÉ ENVIRONNEMENTALE HARMONISÉES POUR LES POLLUANTS SPÉCIFIQUES À UN BASSIN HYDROGRAPHIQUE </w:t>
      </w:r>
    </w:p>
    <w:p w14:paraId="3BA04F51" w14:textId="77777777" w:rsidR="004C1CED" w:rsidRPr="00434E9D" w:rsidRDefault="004C1CED" w:rsidP="004C1CED">
      <w:pPr>
        <w:widowControl/>
        <w:spacing w:before="120" w:after="120"/>
        <w:ind w:left="850"/>
        <w:jc w:val="both"/>
        <w:rPr>
          <w:rFonts w:eastAsia="Calibri"/>
          <w:noProof/>
          <w:szCs w:val="22"/>
          <w:lang w:eastAsia="en-US"/>
        </w:rPr>
      </w:pPr>
    </w:p>
    <w:tbl>
      <w:tblPr>
        <w:tblStyle w:val="TableGrid5"/>
        <w:tblW w:w="14312" w:type="dxa"/>
        <w:tblLayout w:type="fixed"/>
        <w:tblLook w:val="04A0" w:firstRow="1" w:lastRow="0" w:firstColumn="1" w:lastColumn="0" w:noHBand="0" w:noVBand="1"/>
      </w:tblPr>
      <w:tblGrid>
        <w:gridCol w:w="534"/>
        <w:gridCol w:w="1134"/>
        <w:gridCol w:w="1275"/>
        <w:gridCol w:w="993"/>
        <w:gridCol w:w="992"/>
        <w:gridCol w:w="709"/>
        <w:gridCol w:w="708"/>
        <w:gridCol w:w="851"/>
        <w:gridCol w:w="850"/>
        <w:gridCol w:w="993"/>
        <w:gridCol w:w="5273"/>
      </w:tblGrid>
      <w:tr w:rsidR="004C1CED" w:rsidRPr="00434E9D" w14:paraId="5F5D03D3" w14:textId="77777777" w:rsidTr="002E6A76">
        <w:tc>
          <w:tcPr>
            <w:tcW w:w="534" w:type="dxa"/>
          </w:tcPr>
          <w:p w14:paraId="100FA999" w14:textId="77777777" w:rsidR="004C1CED" w:rsidRPr="00434E9D" w:rsidRDefault="004C1CED" w:rsidP="004C1CED">
            <w:pPr>
              <w:widowControl/>
              <w:spacing w:before="120" w:after="120"/>
              <w:jc w:val="both"/>
              <w:rPr>
                <w:rFonts w:ascii="Times New Roman" w:hAnsi="Times New Roman"/>
                <w:noProof/>
                <w:sz w:val="22"/>
              </w:rPr>
            </w:pPr>
            <w:r w:rsidRPr="00434E9D">
              <w:rPr>
                <w:rFonts w:ascii="Times New Roman" w:hAnsi="Times New Roman"/>
                <w:noProof/>
                <w:sz w:val="22"/>
              </w:rPr>
              <w:t>[Entrée] Nº</w:t>
            </w:r>
          </w:p>
        </w:tc>
        <w:tc>
          <w:tcPr>
            <w:tcW w:w="1134" w:type="dxa"/>
          </w:tcPr>
          <w:p w14:paraId="43EA1DE3" w14:textId="77777777" w:rsidR="004C1CED" w:rsidRPr="00434E9D" w:rsidRDefault="004C1CED" w:rsidP="004C1CED">
            <w:pPr>
              <w:widowControl/>
              <w:spacing w:before="120" w:after="120"/>
              <w:rPr>
                <w:rFonts w:ascii="Times New Roman" w:hAnsi="Times New Roman"/>
                <w:noProof/>
                <w:sz w:val="22"/>
              </w:rPr>
            </w:pPr>
            <w:r w:rsidRPr="00434E9D">
              <w:rPr>
                <w:rFonts w:ascii="Times New Roman" w:hAnsi="Times New Roman"/>
                <w:noProof/>
                <w:sz w:val="22"/>
              </w:rPr>
              <w:t>Nom de la substance</w:t>
            </w:r>
          </w:p>
        </w:tc>
        <w:tc>
          <w:tcPr>
            <w:tcW w:w="1275" w:type="dxa"/>
          </w:tcPr>
          <w:p w14:paraId="07895600" w14:textId="77777777" w:rsidR="004C1CED" w:rsidRPr="00434E9D" w:rsidRDefault="004C1CED" w:rsidP="004C1CED">
            <w:pPr>
              <w:widowControl/>
              <w:spacing w:before="120" w:after="120"/>
              <w:jc w:val="both"/>
              <w:rPr>
                <w:rFonts w:ascii="Times New Roman" w:hAnsi="Times New Roman"/>
                <w:noProof/>
                <w:sz w:val="22"/>
              </w:rPr>
            </w:pPr>
            <w:r w:rsidRPr="00434E9D">
              <w:rPr>
                <w:rFonts w:ascii="Times New Roman" w:hAnsi="Times New Roman"/>
                <w:noProof/>
                <w:sz w:val="22"/>
              </w:rPr>
              <w:t>Catégorie de substances</w:t>
            </w:r>
          </w:p>
        </w:tc>
        <w:tc>
          <w:tcPr>
            <w:tcW w:w="993" w:type="dxa"/>
          </w:tcPr>
          <w:p w14:paraId="3AB4EAE2" w14:textId="77777777" w:rsidR="004C1CED" w:rsidRPr="00434E9D" w:rsidRDefault="004C1CED" w:rsidP="004C1CED">
            <w:pPr>
              <w:widowControl/>
              <w:spacing w:before="120" w:after="120"/>
              <w:jc w:val="both"/>
              <w:rPr>
                <w:rFonts w:ascii="Times New Roman" w:hAnsi="Times New Roman"/>
                <w:noProof/>
                <w:sz w:val="22"/>
              </w:rPr>
            </w:pPr>
            <w:r w:rsidRPr="00434E9D">
              <w:rPr>
                <w:rFonts w:ascii="Times New Roman" w:hAnsi="Times New Roman"/>
                <w:noProof/>
                <w:sz w:val="22"/>
              </w:rPr>
              <w:t>Numéro CAS (</w:t>
            </w:r>
            <w:r w:rsidRPr="00434E9D">
              <w:rPr>
                <w:rFonts w:ascii="Times New Roman" w:hAnsi="Times New Roman"/>
                <w:noProof/>
                <w:sz w:val="22"/>
                <w:vertAlign w:val="superscript"/>
              </w:rPr>
              <w:t>1</w:t>
            </w:r>
            <w:r w:rsidRPr="00434E9D">
              <w:rPr>
                <w:rFonts w:ascii="Times New Roman" w:hAnsi="Times New Roman"/>
                <w:noProof/>
                <w:sz w:val="22"/>
              </w:rPr>
              <w:t>)</w:t>
            </w:r>
          </w:p>
        </w:tc>
        <w:tc>
          <w:tcPr>
            <w:tcW w:w="992" w:type="dxa"/>
          </w:tcPr>
          <w:p w14:paraId="49A3B25F" w14:textId="77777777" w:rsidR="004C1CED" w:rsidRPr="00434E9D" w:rsidRDefault="004C1CED" w:rsidP="004C1CED">
            <w:pPr>
              <w:widowControl/>
              <w:spacing w:before="40" w:after="40"/>
              <w:rPr>
                <w:rFonts w:ascii="Times New Roman" w:hAnsi="Times New Roman"/>
                <w:noProof/>
                <w:sz w:val="22"/>
              </w:rPr>
            </w:pPr>
            <w:r w:rsidRPr="00434E9D">
              <w:rPr>
                <w:rFonts w:ascii="Times New Roman" w:hAnsi="Times New Roman"/>
                <w:noProof/>
                <w:sz w:val="22"/>
              </w:rPr>
              <w:t>Numéro UE (</w:t>
            </w:r>
            <w:r w:rsidRPr="00434E9D">
              <w:rPr>
                <w:rFonts w:ascii="Times New Roman" w:hAnsi="Times New Roman"/>
                <w:noProof/>
                <w:sz w:val="22"/>
                <w:vertAlign w:val="superscript"/>
              </w:rPr>
              <w:t>2</w:t>
            </w:r>
            <w:r w:rsidRPr="00434E9D">
              <w:rPr>
                <w:rFonts w:ascii="Times New Roman" w:hAnsi="Times New Roman"/>
                <w:noProof/>
                <w:sz w:val="22"/>
              </w:rPr>
              <w:t>)</w:t>
            </w:r>
          </w:p>
        </w:tc>
        <w:tc>
          <w:tcPr>
            <w:tcW w:w="709" w:type="dxa"/>
          </w:tcPr>
          <w:p w14:paraId="27FED149" w14:textId="77777777" w:rsidR="004C1CED" w:rsidRPr="00434E9D" w:rsidRDefault="004C1CED" w:rsidP="004C1CED">
            <w:pPr>
              <w:widowControl/>
              <w:spacing w:before="40" w:after="40"/>
              <w:rPr>
                <w:rFonts w:ascii="Times New Roman" w:hAnsi="Times New Roman"/>
                <w:noProof/>
                <w:sz w:val="22"/>
              </w:rPr>
            </w:pPr>
            <w:r w:rsidRPr="00434E9D">
              <w:rPr>
                <w:rFonts w:ascii="Times New Roman" w:hAnsi="Times New Roman"/>
                <w:noProof/>
                <w:sz w:val="22"/>
              </w:rPr>
              <w:t>NQE-MA (</w:t>
            </w:r>
            <w:r w:rsidRPr="00434E9D">
              <w:rPr>
                <w:rFonts w:ascii="Times New Roman" w:hAnsi="Times New Roman"/>
                <w:noProof/>
                <w:sz w:val="22"/>
                <w:vertAlign w:val="superscript"/>
              </w:rPr>
              <w:t>3</w:t>
            </w:r>
            <w:r w:rsidRPr="00434E9D">
              <w:rPr>
                <w:rFonts w:ascii="Times New Roman" w:hAnsi="Times New Roman"/>
                <w:noProof/>
                <w:sz w:val="22"/>
              </w:rPr>
              <w:t xml:space="preserve">) </w:t>
            </w:r>
          </w:p>
          <w:p w14:paraId="75AFB123" w14:textId="77777777" w:rsidR="004C1CED" w:rsidRPr="00434E9D" w:rsidRDefault="004C1CED" w:rsidP="004C1CED">
            <w:pPr>
              <w:widowControl/>
              <w:spacing w:before="40" w:after="40"/>
              <w:rPr>
                <w:rFonts w:ascii="Times New Roman" w:hAnsi="Times New Roman"/>
                <w:noProof/>
                <w:sz w:val="22"/>
              </w:rPr>
            </w:pPr>
            <w:r w:rsidRPr="00434E9D">
              <w:rPr>
                <w:rFonts w:ascii="Times New Roman" w:hAnsi="Times New Roman"/>
                <w:noProof/>
                <w:sz w:val="22"/>
              </w:rPr>
              <w:t>Eaux de surface intérieures (</w:t>
            </w:r>
            <w:r w:rsidRPr="00434E9D">
              <w:rPr>
                <w:rFonts w:ascii="Times New Roman" w:hAnsi="Times New Roman"/>
                <w:noProof/>
                <w:sz w:val="22"/>
                <w:vertAlign w:val="superscript"/>
              </w:rPr>
              <w:t>4</w:t>
            </w:r>
            <w:r w:rsidRPr="00434E9D">
              <w:rPr>
                <w:rFonts w:ascii="Times New Roman" w:hAnsi="Times New Roman"/>
                <w:noProof/>
                <w:sz w:val="22"/>
              </w:rPr>
              <w:t>)</w:t>
            </w:r>
          </w:p>
          <w:p w14:paraId="702B80D3" w14:textId="77777777" w:rsidR="004C1CED" w:rsidRPr="00434E9D" w:rsidRDefault="004C1CED" w:rsidP="004C1CED">
            <w:pPr>
              <w:widowControl/>
              <w:spacing w:before="120" w:after="120"/>
              <w:jc w:val="both"/>
              <w:rPr>
                <w:rFonts w:ascii="Times New Roman" w:hAnsi="Times New Roman"/>
                <w:noProof/>
                <w:sz w:val="22"/>
              </w:rPr>
            </w:pPr>
            <w:r w:rsidRPr="00434E9D">
              <w:rPr>
                <w:rFonts w:ascii="Times New Roman" w:hAnsi="Times New Roman"/>
                <w:noProof/>
                <w:sz w:val="22"/>
              </w:rPr>
              <w:t>[µg/l]</w:t>
            </w:r>
          </w:p>
        </w:tc>
        <w:tc>
          <w:tcPr>
            <w:tcW w:w="708" w:type="dxa"/>
          </w:tcPr>
          <w:p w14:paraId="4FFA1B42" w14:textId="77777777" w:rsidR="004C1CED" w:rsidRPr="00434E9D" w:rsidRDefault="004C1CED" w:rsidP="004C1CED">
            <w:pPr>
              <w:widowControl/>
              <w:spacing w:before="40" w:after="40"/>
              <w:rPr>
                <w:rFonts w:ascii="Times New Roman" w:hAnsi="Times New Roman"/>
                <w:noProof/>
                <w:sz w:val="22"/>
                <w:vertAlign w:val="superscript"/>
              </w:rPr>
            </w:pPr>
            <w:r w:rsidRPr="00434E9D">
              <w:rPr>
                <w:rFonts w:ascii="Times New Roman" w:hAnsi="Times New Roman"/>
                <w:noProof/>
                <w:sz w:val="22"/>
              </w:rPr>
              <w:t>NQE-MA (</w:t>
            </w:r>
            <w:r w:rsidRPr="00434E9D">
              <w:rPr>
                <w:rFonts w:ascii="Times New Roman" w:hAnsi="Times New Roman"/>
                <w:noProof/>
                <w:sz w:val="22"/>
                <w:vertAlign w:val="superscript"/>
              </w:rPr>
              <w:t>3</w:t>
            </w:r>
            <w:r w:rsidRPr="00434E9D">
              <w:rPr>
                <w:rFonts w:ascii="Times New Roman" w:hAnsi="Times New Roman"/>
                <w:noProof/>
                <w:sz w:val="22"/>
              </w:rPr>
              <w:t>)</w:t>
            </w:r>
          </w:p>
          <w:p w14:paraId="48F48F83" w14:textId="77777777" w:rsidR="004C1CED" w:rsidRPr="00434E9D" w:rsidRDefault="004C1CED" w:rsidP="004C1CED">
            <w:pPr>
              <w:widowControl/>
              <w:spacing w:before="40" w:after="40"/>
              <w:rPr>
                <w:rFonts w:ascii="Times New Roman" w:hAnsi="Times New Roman"/>
                <w:noProof/>
                <w:sz w:val="22"/>
              </w:rPr>
            </w:pPr>
            <w:r w:rsidRPr="00434E9D">
              <w:rPr>
                <w:rFonts w:ascii="Times New Roman" w:hAnsi="Times New Roman"/>
                <w:noProof/>
                <w:sz w:val="22"/>
              </w:rPr>
              <w:t xml:space="preserve">Autres eaux de surface </w:t>
            </w:r>
          </w:p>
          <w:p w14:paraId="69327AF1" w14:textId="77777777" w:rsidR="004C1CED" w:rsidRPr="00434E9D" w:rsidRDefault="004C1CED" w:rsidP="004C1CED">
            <w:pPr>
              <w:widowControl/>
              <w:spacing w:before="120" w:after="120"/>
              <w:jc w:val="both"/>
              <w:rPr>
                <w:rFonts w:ascii="Times New Roman" w:hAnsi="Times New Roman"/>
                <w:noProof/>
                <w:sz w:val="22"/>
              </w:rPr>
            </w:pPr>
            <w:r w:rsidRPr="00434E9D">
              <w:rPr>
                <w:rFonts w:ascii="Times New Roman" w:hAnsi="Times New Roman"/>
                <w:noProof/>
                <w:sz w:val="22"/>
              </w:rPr>
              <w:t>[µg/l]</w:t>
            </w:r>
          </w:p>
        </w:tc>
        <w:tc>
          <w:tcPr>
            <w:tcW w:w="851" w:type="dxa"/>
          </w:tcPr>
          <w:p w14:paraId="50A34E09" w14:textId="77777777" w:rsidR="004C1CED" w:rsidRPr="00434E9D" w:rsidRDefault="004C1CED" w:rsidP="004C1CED">
            <w:pPr>
              <w:widowControl/>
              <w:spacing w:before="40" w:after="40"/>
              <w:rPr>
                <w:rFonts w:ascii="Times New Roman" w:hAnsi="Times New Roman"/>
                <w:noProof/>
                <w:sz w:val="22"/>
              </w:rPr>
            </w:pPr>
            <w:r w:rsidRPr="00434E9D">
              <w:rPr>
                <w:rFonts w:ascii="Times New Roman" w:hAnsi="Times New Roman"/>
                <w:noProof/>
                <w:sz w:val="22"/>
              </w:rPr>
              <w:t>NQE-CMA (</w:t>
            </w:r>
            <w:r w:rsidRPr="00434E9D">
              <w:rPr>
                <w:rFonts w:ascii="Times New Roman" w:hAnsi="Times New Roman"/>
                <w:noProof/>
                <w:sz w:val="22"/>
                <w:vertAlign w:val="superscript"/>
              </w:rPr>
              <w:t>5</w:t>
            </w:r>
            <w:r w:rsidRPr="00434E9D">
              <w:rPr>
                <w:rFonts w:ascii="Times New Roman" w:hAnsi="Times New Roman"/>
                <w:noProof/>
                <w:sz w:val="22"/>
              </w:rPr>
              <w:t xml:space="preserve">) </w:t>
            </w:r>
          </w:p>
          <w:p w14:paraId="23F58AFC" w14:textId="77777777" w:rsidR="004C1CED" w:rsidRPr="00434E9D" w:rsidRDefault="004C1CED" w:rsidP="004C1CED">
            <w:pPr>
              <w:widowControl/>
              <w:spacing w:before="40" w:after="40"/>
              <w:rPr>
                <w:rFonts w:ascii="Times New Roman" w:hAnsi="Times New Roman"/>
                <w:noProof/>
                <w:sz w:val="22"/>
                <w:vertAlign w:val="superscript"/>
              </w:rPr>
            </w:pPr>
            <w:r w:rsidRPr="00434E9D">
              <w:rPr>
                <w:rFonts w:ascii="Times New Roman" w:hAnsi="Times New Roman"/>
                <w:noProof/>
                <w:sz w:val="22"/>
              </w:rPr>
              <w:t>Eaux de surface intérieures (</w:t>
            </w:r>
            <w:r w:rsidRPr="00434E9D">
              <w:rPr>
                <w:rFonts w:ascii="Times New Roman" w:hAnsi="Times New Roman"/>
                <w:noProof/>
                <w:sz w:val="22"/>
                <w:vertAlign w:val="superscript"/>
              </w:rPr>
              <w:t>4</w:t>
            </w:r>
            <w:r w:rsidRPr="00434E9D">
              <w:rPr>
                <w:rFonts w:ascii="Times New Roman" w:hAnsi="Times New Roman"/>
                <w:noProof/>
                <w:sz w:val="22"/>
              </w:rPr>
              <w:t>)</w:t>
            </w:r>
          </w:p>
          <w:p w14:paraId="1DE1A59D" w14:textId="77777777" w:rsidR="004C1CED" w:rsidRPr="00434E9D" w:rsidRDefault="004C1CED" w:rsidP="004C1CED">
            <w:pPr>
              <w:widowControl/>
              <w:spacing w:before="40" w:after="40"/>
              <w:rPr>
                <w:rFonts w:ascii="Times New Roman" w:hAnsi="Times New Roman"/>
                <w:noProof/>
                <w:sz w:val="22"/>
                <w:vertAlign w:val="superscript"/>
              </w:rPr>
            </w:pPr>
            <w:r w:rsidRPr="00434E9D">
              <w:rPr>
                <w:rFonts w:ascii="Times New Roman" w:hAnsi="Times New Roman"/>
                <w:noProof/>
                <w:sz w:val="22"/>
              </w:rPr>
              <w:t xml:space="preserve"> </w:t>
            </w:r>
          </w:p>
          <w:p w14:paraId="749B371F" w14:textId="77777777" w:rsidR="004C1CED" w:rsidRPr="00434E9D" w:rsidRDefault="004C1CED" w:rsidP="004C1CED">
            <w:pPr>
              <w:widowControl/>
              <w:spacing w:before="120" w:after="120"/>
              <w:jc w:val="both"/>
              <w:rPr>
                <w:rFonts w:ascii="Times New Roman" w:hAnsi="Times New Roman"/>
                <w:noProof/>
                <w:sz w:val="22"/>
              </w:rPr>
            </w:pPr>
            <w:r w:rsidRPr="00434E9D">
              <w:rPr>
                <w:rFonts w:ascii="Times New Roman" w:hAnsi="Times New Roman"/>
                <w:noProof/>
                <w:sz w:val="22"/>
              </w:rPr>
              <w:t>[µg/l]</w:t>
            </w:r>
          </w:p>
        </w:tc>
        <w:tc>
          <w:tcPr>
            <w:tcW w:w="850" w:type="dxa"/>
          </w:tcPr>
          <w:p w14:paraId="019E9E38" w14:textId="77777777" w:rsidR="004C1CED" w:rsidRPr="00434E9D" w:rsidRDefault="004C1CED" w:rsidP="004C1CED">
            <w:pPr>
              <w:widowControl/>
              <w:spacing w:before="40" w:after="40"/>
              <w:rPr>
                <w:rFonts w:ascii="Times New Roman" w:hAnsi="Times New Roman"/>
                <w:noProof/>
                <w:sz w:val="22"/>
              </w:rPr>
            </w:pPr>
            <w:r w:rsidRPr="00434E9D">
              <w:rPr>
                <w:rFonts w:ascii="Times New Roman" w:hAnsi="Times New Roman"/>
                <w:noProof/>
                <w:sz w:val="22"/>
              </w:rPr>
              <w:t>NQE-CMA (</w:t>
            </w:r>
            <w:r w:rsidRPr="00434E9D">
              <w:rPr>
                <w:rFonts w:ascii="Times New Roman" w:hAnsi="Times New Roman"/>
                <w:noProof/>
                <w:sz w:val="22"/>
                <w:vertAlign w:val="superscript"/>
              </w:rPr>
              <w:t>5</w:t>
            </w:r>
            <w:r w:rsidRPr="00434E9D">
              <w:rPr>
                <w:rFonts w:ascii="Times New Roman" w:hAnsi="Times New Roman"/>
                <w:noProof/>
                <w:sz w:val="22"/>
              </w:rPr>
              <w:t>)</w:t>
            </w:r>
          </w:p>
          <w:p w14:paraId="3D288ADC" w14:textId="77777777" w:rsidR="004C1CED" w:rsidRPr="00434E9D" w:rsidRDefault="004C1CED" w:rsidP="004C1CED">
            <w:pPr>
              <w:widowControl/>
              <w:spacing w:before="40" w:after="40"/>
              <w:rPr>
                <w:rFonts w:ascii="Times New Roman" w:hAnsi="Times New Roman"/>
                <w:noProof/>
                <w:sz w:val="22"/>
              </w:rPr>
            </w:pPr>
            <w:r w:rsidRPr="00434E9D">
              <w:rPr>
                <w:rFonts w:ascii="Times New Roman" w:hAnsi="Times New Roman"/>
                <w:noProof/>
                <w:sz w:val="22"/>
              </w:rPr>
              <w:t>Autres eaux de surface</w:t>
            </w:r>
          </w:p>
          <w:p w14:paraId="5763DC75" w14:textId="77777777" w:rsidR="004C1CED" w:rsidRPr="00434E9D" w:rsidRDefault="004C1CED" w:rsidP="004C1CED">
            <w:pPr>
              <w:widowControl/>
              <w:spacing w:before="120" w:after="120"/>
              <w:jc w:val="both"/>
              <w:rPr>
                <w:rFonts w:ascii="Times New Roman" w:hAnsi="Times New Roman"/>
                <w:noProof/>
                <w:sz w:val="22"/>
              </w:rPr>
            </w:pPr>
            <w:r w:rsidRPr="00434E9D">
              <w:rPr>
                <w:rFonts w:ascii="Times New Roman" w:hAnsi="Times New Roman"/>
                <w:noProof/>
                <w:sz w:val="22"/>
              </w:rPr>
              <w:t>[µg/l]</w:t>
            </w:r>
          </w:p>
        </w:tc>
        <w:tc>
          <w:tcPr>
            <w:tcW w:w="993" w:type="dxa"/>
            <w:tcBorders>
              <w:right w:val="single" w:sz="4" w:space="0" w:color="auto"/>
            </w:tcBorders>
          </w:tcPr>
          <w:p w14:paraId="2D0D6533" w14:textId="77777777" w:rsidR="004C1CED" w:rsidRPr="00434E9D" w:rsidRDefault="004C1CED" w:rsidP="004C1CED">
            <w:pPr>
              <w:widowControl/>
              <w:spacing w:before="40" w:after="40"/>
              <w:rPr>
                <w:rFonts w:ascii="Times New Roman" w:hAnsi="Times New Roman"/>
                <w:noProof/>
                <w:sz w:val="22"/>
              </w:rPr>
            </w:pPr>
            <w:r w:rsidRPr="00434E9D">
              <w:rPr>
                <w:rFonts w:ascii="Times New Roman" w:hAnsi="Times New Roman"/>
                <w:noProof/>
                <w:sz w:val="22"/>
              </w:rPr>
              <w:t>NQE</w:t>
            </w:r>
          </w:p>
          <w:p w14:paraId="75F01031" w14:textId="77777777" w:rsidR="004C1CED" w:rsidRPr="00434E9D" w:rsidRDefault="004C1CED" w:rsidP="004C1CED">
            <w:pPr>
              <w:widowControl/>
              <w:spacing w:before="40" w:after="40"/>
              <w:rPr>
                <w:rFonts w:ascii="Times New Roman" w:hAnsi="Times New Roman"/>
                <w:noProof/>
                <w:sz w:val="22"/>
              </w:rPr>
            </w:pPr>
            <w:r w:rsidRPr="00434E9D">
              <w:rPr>
                <w:rFonts w:ascii="Times New Roman" w:hAnsi="Times New Roman"/>
                <w:noProof/>
                <w:sz w:val="22"/>
              </w:rPr>
              <w:t>Biote (</w:t>
            </w:r>
            <w:r w:rsidRPr="00434E9D">
              <w:rPr>
                <w:rFonts w:ascii="Times New Roman" w:hAnsi="Times New Roman"/>
                <w:noProof/>
                <w:sz w:val="22"/>
                <w:vertAlign w:val="superscript"/>
              </w:rPr>
              <w:t>6</w:t>
            </w:r>
            <w:r w:rsidRPr="00434E9D">
              <w:rPr>
                <w:rFonts w:ascii="Times New Roman" w:hAnsi="Times New Roman"/>
                <w:noProof/>
                <w:sz w:val="22"/>
              </w:rPr>
              <w:t>)</w:t>
            </w:r>
          </w:p>
          <w:p w14:paraId="15AA309F" w14:textId="77777777" w:rsidR="004C1CED" w:rsidRPr="00434E9D" w:rsidRDefault="004C1CED" w:rsidP="004C1CED">
            <w:pPr>
              <w:widowControl/>
              <w:spacing w:before="120" w:after="120"/>
              <w:jc w:val="both"/>
              <w:rPr>
                <w:rFonts w:ascii="Times New Roman" w:hAnsi="Times New Roman"/>
                <w:noProof/>
                <w:sz w:val="22"/>
              </w:rPr>
            </w:pPr>
            <w:r w:rsidRPr="00434E9D">
              <w:rPr>
                <w:rFonts w:ascii="Times New Roman" w:hAnsi="Times New Roman"/>
                <w:noProof/>
                <w:sz w:val="22"/>
              </w:rPr>
              <w:t>[µg/kg de poids humide] ou NQE pour les sédiments dans les cas indiqués [µg/kg de poids sec]</w:t>
            </w:r>
          </w:p>
        </w:tc>
        <w:tc>
          <w:tcPr>
            <w:tcW w:w="5273" w:type="dxa"/>
            <w:tcBorders>
              <w:right w:val="single" w:sz="4" w:space="0" w:color="auto"/>
            </w:tcBorders>
          </w:tcPr>
          <w:p w14:paraId="3D181150" w14:textId="77777777" w:rsidR="004C1CED" w:rsidRPr="00434E9D" w:rsidRDefault="004C1CED" w:rsidP="004C1CED">
            <w:pPr>
              <w:widowControl/>
              <w:spacing w:before="40" w:after="40"/>
              <w:rPr>
                <w:rFonts w:ascii="Times New Roman" w:hAnsi="Times New Roman"/>
                <w:noProof/>
                <w:sz w:val="22"/>
              </w:rPr>
            </w:pPr>
          </w:p>
        </w:tc>
      </w:tr>
      <w:tr w:rsidR="004C1CED" w:rsidRPr="00434E9D" w14:paraId="7FAB05F9" w14:textId="77777777" w:rsidTr="002E6A76">
        <w:tc>
          <w:tcPr>
            <w:tcW w:w="534" w:type="dxa"/>
          </w:tcPr>
          <w:p w14:paraId="0E68A6B9" w14:textId="77777777" w:rsidR="004C1CED" w:rsidRPr="00434E9D" w:rsidRDefault="004C1CED" w:rsidP="004C1CED">
            <w:pPr>
              <w:widowControl/>
              <w:spacing w:before="120" w:after="120"/>
              <w:jc w:val="both"/>
              <w:rPr>
                <w:rFonts w:ascii="Times New Roman" w:hAnsi="Times New Roman"/>
                <w:noProof/>
                <w:sz w:val="22"/>
              </w:rPr>
            </w:pPr>
            <w:r w:rsidRPr="00434E9D">
              <w:rPr>
                <w:rFonts w:ascii="Times New Roman" w:hAnsi="Times New Roman"/>
                <w:noProof/>
                <w:sz w:val="22"/>
              </w:rPr>
              <w:t>1</w:t>
            </w:r>
          </w:p>
        </w:tc>
        <w:tc>
          <w:tcPr>
            <w:tcW w:w="1134" w:type="dxa"/>
            <w:tcMar>
              <w:left w:w="57" w:type="dxa"/>
              <w:right w:w="57" w:type="dxa"/>
            </w:tcMar>
          </w:tcPr>
          <w:p w14:paraId="5FD0BE5A" w14:textId="77777777" w:rsidR="004C1CED" w:rsidRPr="00434E9D" w:rsidRDefault="004C1CED" w:rsidP="004C1CED">
            <w:pPr>
              <w:widowControl/>
              <w:spacing w:before="120" w:after="120"/>
              <w:rPr>
                <w:rFonts w:ascii="Times New Roman" w:hAnsi="Times New Roman"/>
                <w:noProof/>
                <w:sz w:val="22"/>
              </w:rPr>
            </w:pPr>
            <w:r w:rsidRPr="00434E9D">
              <w:rPr>
                <w:rFonts w:ascii="Times New Roman" w:hAnsi="Times New Roman"/>
                <w:noProof/>
                <w:sz w:val="22"/>
              </w:rPr>
              <w:t>Alachlore (</w:t>
            </w:r>
            <w:r w:rsidRPr="00434E9D">
              <w:rPr>
                <w:rFonts w:ascii="Times New Roman" w:hAnsi="Times New Roman"/>
                <w:noProof/>
                <w:sz w:val="22"/>
                <w:vertAlign w:val="superscript"/>
              </w:rPr>
              <w:t>7</w:t>
            </w:r>
            <w:r w:rsidRPr="00434E9D">
              <w:rPr>
                <w:rFonts w:ascii="Times New Roman" w:hAnsi="Times New Roman"/>
                <w:noProof/>
                <w:sz w:val="22"/>
              </w:rPr>
              <w:t>)</w:t>
            </w:r>
          </w:p>
        </w:tc>
        <w:tc>
          <w:tcPr>
            <w:tcW w:w="1275" w:type="dxa"/>
          </w:tcPr>
          <w:p w14:paraId="662376E8" w14:textId="77777777" w:rsidR="004C1CED" w:rsidRPr="00434E9D" w:rsidRDefault="004C1CED" w:rsidP="004C1CED">
            <w:pPr>
              <w:widowControl/>
              <w:spacing w:before="120" w:after="120"/>
              <w:jc w:val="both"/>
              <w:rPr>
                <w:rFonts w:ascii="Times New Roman" w:hAnsi="Times New Roman"/>
                <w:noProof/>
                <w:sz w:val="22"/>
              </w:rPr>
            </w:pPr>
            <w:r w:rsidRPr="00434E9D">
              <w:rPr>
                <w:rFonts w:ascii="Times New Roman" w:hAnsi="Times New Roman"/>
                <w:noProof/>
                <w:sz w:val="22"/>
              </w:rPr>
              <w:t>Pesticides</w:t>
            </w:r>
          </w:p>
        </w:tc>
        <w:tc>
          <w:tcPr>
            <w:tcW w:w="993" w:type="dxa"/>
            <w:tcMar>
              <w:left w:w="28" w:type="dxa"/>
              <w:right w:w="28" w:type="dxa"/>
            </w:tcMar>
          </w:tcPr>
          <w:p w14:paraId="799597EA" w14:textId="77777777" w:rsidR="004C1CED" w:rsidRPr="00434E9D" w:rsidRDefault="004C1CED" w:rsidP="004C1CED">
            <w:pPr>
              <w:widowControl/>
              <w:spacing w:before="120" w:after="120"/>
              <w:jc w:val="both"/>
              <w:rPr>
                <w:rFonts w:ascii="Times New Roman" w:hAnsi="Times New Roman"/>
                <w:noProof/>
                <w:sz w:val="22"/>
              </w:rPr>
            </w:pPr>
            <w:r w:rsidRPr="00434E9D">
              <w:rPr>
                <w:rFonts w:ascii="Times New Roman" w:hAnsi="Times New Roman"/>
                <w:noProof/>
                <w:sz w:val="22"/>
              </w:rPr>
              <w:t>15972-60-8</w:t>
            </w:r>
          </w:p>
        </w:tc>
        <w:tc>
          <w:tcPr>
            <w:tcW w:w="992" w:type="dxa"/>
          </w:tcPr>
          <w:p w14:paraId="7AF1F2F3" w14:textId="77777777" w:rsidR="004C1CED" w:rsidRPr="00434E9D" w:rsidRDefault="004C1CED" w:rsidP="004C1CED">
            <w:pPr>
              <w:widowControl/>
              <w:spacing w:before="120" w:after="120"/>
              <w:jc w:val="both"/>
              <w:rPr>
                <w:rFonts w:ascii="Times New Roman" w:hAnsi="Times New Roman"/>
                <w:noProof/>
                <w:sz w:val="22"/>
              </w:rPr>
            </w:pPr>
            <w:r w:rsidRPr="00434E9D">
              <w:rPr>
                <w:rFonts w:ascii="Times New Roman" w:hAnsi="Times New Roman"/>
                <w:noProof/>
                <w:sz w:val="22"/>
              </w:rPr>
              <w:t>240-110-8</w:t>
            </w:r>
          </w:p>
        </w:tc>
        <w:tc>
          <w:tcPr>
            <w:tcW w:w="709" w:type="dxa"/>
          </w:tcPr>
          <w:p w14:paraId="2F0259BA" w14:textId="77777777" w:rsidR="004C1CED" w:rsidRPr="00434E9D" w:rsidRDefault="004C1CED" w:rsidP="004C1CED">
            <w:pPr>
              <w:widowControl/>
              <w:spacing w:before="120" w:after="120"/>
              <w:jc w:val="both"/>
              <w:rPr>
                <w:rFonts w:ascii="Times New Roman" w:hAnsi="Times New Roman"/>
                <w:noProof/>
                <w:sz w:val="22"/>
              </w:rPr>
            </w:pPr>
            <w:r w:rsidRPr="00434E9D">
              <w:rPr>
                <w:rFonts w:ascii="Times New Roman" w:hAnsi="Times New Roman"/>
                <w:noProof/>
                <w:sz w:val="22"/>
              </w:rPr>
              <w:t>0,3</w:t>
            </w:r>
          </w:p>
        </w:tc>
        <w:tc>
          <w:tcPr>
            <w:tcW w:w="708" w:type="dxa"/>
          </w:tcPr>
          <w:p w14:paraId="0838FB62" w14:textId="77777777" w:rsidR="004C1CED" w:rsidRPr="00434E9D" w:rsidRDefault="004C1CED" w:rsidP="004C1CED">
            <w:pPr>
              <w:widowControl/>
              <w:spacing w:before="120" w:after="120"/>
              <w:jc w:val="both"/>
              <w:rPr>
                <w:rFonts w:ascii="Times New Roman" w:hAnsi="Times New Roman"/>
                <w:noProof/>
                <w:sz w:val="22"/>
              </w:rPr>
            </w:pPr>
            <w:r w:rsidRPr="00434E9D">
              <w:rPr>
                <w:rFonts w:ascii="Times New Roman" w:hAnsi="Times New Roman"/>
                <w:noProof/>
                <w:sz w:val="22"/>
              </w:rPr>
              <w:t>0,3</w:t>
            </w:r>
          </w:p>
        </w:tc>
        <w:tc>
          <w:tcPr>
            <w:tcW w:w="851" w:type="dxa"/>
          </w:tcPr>
          <w:p w14:paraId="0D1084AB" w14:textId="77777777" w:rsidR="004C1CED" w:rsidRPr="00434E9D" w:rsidRDefault="004C1CED" w:rsidP="004C1CED">
            <w:pPr>
              <w:widowControl/>
              <w:spacing w:before="120" w:after="120"/>
              <w:jc w:val="both"/>
              <w:rPr>
                <w:rFonts w:ascii="Times New Roman" w:hAnsi="Times New Roman"/>
                <w:noProof/>
                <w:sz w:val="22"/>
              </w:rPr>
            </w:pPr>
            <w:r w:rsidRPr="00434E9D">
              <w:rPr>
                <w:rFonts w:ascii="Times New Roman" w:hAnsi="Times New Roman"/>
                <w:noProof/>
                <w:sz w:val="22"/>
              </w:rPr>
              <w:t>0,7</w:t>
            </w:r>
          </w:p>
        </w:tc>
        <w:tc>
          <w:tcPr>
            <w:tcW w:w="850" w:type="dxa"/>
          </w:tcPr>
          <w:p w14:paraId="4DBE5216" w14:textId="77777777" w:rsidR="004C1CED" w:rsidRPr="00434E9D" w:rsidRDefault="004C1CED" w:rsidP="004C1CED">
            <w:pPr>
              <w:widowControl/>
              <w:spacing w:before="120" w:after="120"/>
              <w:jc w:val="both"/>
              <w:rPr>
                <w:rFonts w:ascii="Times New Roman" w:hAnsi="Times New Roman"/>
                <w:noProof/>
                <w:sz w:val="22"/>
              </w:rPr>
            </w:pPr>
            <w:r w:rsidRPr="00434E9D">
              <w:rPr>
                <w:rFonts w:ascii="Times New Roman" w:hAnsi="Times New Roman"/>
                <w:noProof/>
                <w:sz w:val="22"/>
              </w:rPr>
              <w:t>0,7</w:t>
            </w:r>
          </w:p>
        </w:tc>
        <w:tc>
          <w:tcPr>
            <w:tcW w:w="993" w:type="dxa"/>
          </w:tcPr>
          <w:p w14:paraId="195FF827" w14:textId="77777777" w:rsidR="004C1CED" w:rsidRPr="00434E9D" w:rsidRDefault="004C1CED" w:rsidP="004C1CED">
            <w:pPr>
              <w:widowControl/>
              <w:spacing w:before="120" w:after="120"/>
              <w:jc w:val="both"/>
              <w:rPr>
                <w:rFonts w:ascii="Times New Roman" w:hAnsi="Times New Roman"/>
                <w:noProof/>
                <w:sz w:val="22"/>
              </w:rPr>
            </w:pPr>
          </w:p>
        </w:tc>
        <w:tc>
          <w:tcPr>
            <w:tcW w:w="5273" w:type="dxa"/>
          </w:tcPr>
          <w:p w14:paraId="11BFA1B3" w14:textId="77777777" w:rsidR="004C1CED" w:rsidRPr="00434E9D" w:rsidRDefault="004C1CED" w:rsidP="004C1CED">
            <w:pPr>
              <w:widowControl/>
              <w:spacing w:before="120" w:after="120"/>
              <w:jc w:val="both"/>
              <w:rPr>
                <w:rFonts w:ascii="Times New Roman" w:hAnsi="Times New Roman"/>
                <w:noProof/>
                <w:sz w:val="22"/>
              </w:rPr>
            </w:pPr>
          </w:p>
        </w:tc>
      </w:tr>
      <w:tr w:rsidR="004C1CED" w:rsidRPr="00434E9D" w14:paraId="25B50B4A" w14:textId="77777777" w:rsidTr="002E6A76">
        <w:tc>
          <w:tcPr>
            <w:tcW w:w="534" w:type="dxa"/>
          </w:tcPr>
          <w:p w14:paraId="5F111944" w14:textId="77777777" w:rsidR="004C1CED" w:rsidRPr="00434E9D" w:rsidRDefault="004C1CED" w:rsidP="004C1CED">
            <w:pPr>
              <w:widowControl/>
              <w:spacing w:before="120" w:after="120"/>
              <w:jc w:val="both"/>
              <w:rPr>
                <w:rFonts w:ascii="Times New Roman" w:hAnsi="Times New Roman"/>
                <w:noProof/>
                <w:sz w:val="22"/>
              </w:rPr>
            </w:pPr>
            <w:r w:rsidRPr="00434E9D">
              <w:rPr>
                <w:rFonts w:ascii="Times New Roman" w:hAnsi="Times New Roman"/>
                <w:noProof/>
                <w:sz w:val="22"/>
              </w:rPr>
              <w:t>2</w:t>
            </w:r>
          </w:p>
        </w:tc>
        <w:tc>
          <w:tcPr>
            <w:tcW w:w="1134" w:type="dxa"/>
            <w:tcMar>
              <w:left w:w="57" w:type="dxa"/>
              <w:right w:w="57" w:type="dxa"/>
            </w:tcMar>
          </w:tcPr>
          <w:p w14:paraId="2E0330A1" w14:textId="77777777" w:rsidR="004C1CED" w:rsidRPr="00434E9D" w:rsidRDefault="004C1CED" w:rsidP="004C1CED">
            <w:pPr>
              <w:widowControl/>
              <w:spacing w:before="120" w:after="120"/>
              <w:rPr>
                <w:rFonts w:ascii="Times New Roman" w:hAnsi="Times New Roman"/>
                <w:noProof/>
                <w:sz w:val="22"/>
              </w:rPr>
            </w:pPr>
            <w:r w:rsidRPr="00434E9D">
              <w:rPr>
                <w:rFonts w:ascii="Times New Roman" w:hAnsi="Times New Roman"/>
                <w:noProof/>
                <w:sz w:val="22"/>
              </w:rPr>
              <w:t>Tétrachlorure de carbone (</w:t>
            </w:r>
            <w:r w:rsidRPr="00434E9D">
              <w:rPr>
                <w:rFonts w:ascii="Times New Roman" w:hAnsi="Times New Roman"/>
                <w:noProof/>
                <w:sz w:val="22"/>
                <w:vertAlign w:val="superscript"/>
              </w:rPr>
              <w:t>7</w:t>
            </w:r>
            <w:r w:rsidRPr="00434E9D">
              <w:rPr>
                <w:rFonts w:ascii="Times New Roman" w:hAnsi="Times New Roman"/>
                <w:noProof/>
                <w:sz w:val="22"/>
              </w:rPr>
              <w:t>)</w:t>
            </w:r>
          </w:p>
        </w:tc>
        <w:tc>
          <w:tcPr>
            <w:tcW w:w="1275" w:type="dxa"/>
          </w:tcPr>
          <w:p w14:paraId="4B6D4BAE" w14:textId="77777777" w:rsidR="004C1CED" w:rsidRPr="00434E9D" w:rsidRDefault="004C1CED" w:rsidP="004C1CED">
            <w:pPr>
              <w:widowControl/>
              <w:spacing w:before="120" w:after="120"/>
              <w:jc w:val="both"/>
              <w:rPr>
                <w:rFonts w:ascii="Times New Roman" w:hAnsi="Times New Roman"/>
                <w:noProof/>
                <w:sz w:val="22"/>
              </w:rPr>
            </w:pPr>
            <w:r w:rsidRPr="00434E9D">
              <w:rPr>
                <w:rFonts w:ascii="Times New Roman" w:hAnsi="Times New Roman"/>
                <w:noProof/>
                <w:sz w:val="22"/>
              </w:rPr>
              <w:t>Substances industrielles</w:t>
            </w:r>
          </w:p>
        </w:tc>
        <w:tc>
          <w:tcPr>
            <w:tcW w:w="993" w:type="dxa"/>
            <w:tcMar>
              <w:left w:w="28" w:type="dxa"/>
              <w:right w:w="28" w:type="dxa"/>
            </w:tcMar>
          </w:tcPr>
          <w:p w14:paraId="3AFD3F15" w14:textId="77777777" w:rsidR="004C1CED" w:rsidRPr="00434E9D" w:rsidRDefault="004C1CED" w:rsidP="004C1CED">
            <w:pPr>
              <w:widowControl/>
              <w:spacing w:before="120" w:after="120"/>
              <w:jc w:val="both"/>
              <w:rPr>
                <w:rFonts w:ascii="Times New Roman" w:hAnsi="Times New Roman"/>
                <w:noProof/>
                <w:sz w:val="22"/>
              </w:rPr>
            </w:pPr>
            <w:r w:rsidRPr="00434E9D">
              <w:rPr>
                <w:rFonts w:ascii="Times New Roman" w:hAnsi="Times New Roman"/>
                <w:noProof/>
                <w:sz w:val="22"/>
              </w:rPr>
              <w:t>56-23-5</w:t>
            </w:r>
          </w:p>
        </w:tc>
        <w:tc>
          <w:tcPr>
            <w:tcW w:w="992" w:type="dxa"/>
          </w:tcPr>
          <w:p w14:paraId="2069DF8C" w14:textId="77777777" w:rsidR="004C1CED" w:rsidRPr="00434E9D" w:rsidRDefault="004C1CED" w:rsidP="004C1CED">
            <w:pPr>
              <w:widowControl/>
              <w:spacing w:before="120" w:after="120"/>
              <w:jc w:val="both"/>
              <w:rPr>
                <w:rFonts w:ascii="Times New Roman" w:hAnsi="Times New Roman"/>
                <w:noProof/>
                <w:sz w:val="22"/>
              </w:rPr>
            </w:pPr>
            <w:r w:rsidRPr="00434E9D">
              <w:rPr>
                <w:rFonts w:ascii="Times New Roman" w:hAnsi="Times New Roman"/>
                <w:noProof/>
                <w:sz w:val="22"/>
              </w:rPr>
              <w:t>200-262-8</w:t>
            </w:r>
          </w:p>
        </w:tc>
        <w:tc>
          <w:tcPr>
            <w:tcW w:w="709" w:type="dxa"/>
          </w:tcPr>
          <w:p w14:paraId="18B1CC50" w14:textId="77777777" w:rsidR="004C1CED" w:rsidRPr="00434E9D" w:rsidRDefault="004C1CED" w:rsidP="004C1CED">
            <w:pPr>
              <w:widowControl/>
              <w:spacing w:before="120" w:after="120"/>
              <w:jc w:val="both"/>
              <w:rPr>
                <w:rFonts w:ascii="Times New Roman" w:hAnsi="Times New Roman"/>
                <w:noProof/>
                <w:sz w:val="22"/>
              </w:rPr>
            </w:pPr>
            <w:r w:rsidRPr="00434E9D">
              <w:rPr>
                <w:rFonts w:ascii="Times New Roman" w:hAnsi="Times New Roman"/>
                <w:noProof/>
                <w:sz w:val="22"/>
              </w:rPr>
              <w:t xml:space="preserve">12 </w:t>
            </w:r>
          </w:p>
        </w:tc>
        <w:tc>
          <w:tcPr>
            <w:tcW w:w="708" w:type="dxa"/>
          </w:tcPr>
          <w:p w14:paraId="77F7D35B" w14:textId="77777777" w:rsidR="004C1CED" w:rsidRPr="00434E9D" w:rsidRDefault="004C1CED" w:rsidP="004C1CED">
            <w:pPr>
              <w:widowControl/>
              <w:spacing w:before="120" w:after="120"/>
              <w:jc w:val="both"/>
              <w:rPr>
                <w:rFonts w:ascii="Times New Roman" w:hAnsi="Times New Roman"/>
                <w:noProof/>
                <w:sz w:val="22"/>
              </w:rPr>
            </w:pPr>
            <w:r w:rsidRPr="00434E9D">
              <w:rPr>
                <w:rFonts w:ascii="Times New Roman" w:hAnsi="Times New Roman"/>
                <w:noProof/>
                <w:sz w:val="22"/>
              </w:rPr>
              <w:t>12</w:t>
            </w:r>
          </w:p>
        </w:tc>
        <w:tc>
          <w:tcPr>
            <w:tcW w:w="851" w:type="dxa"/>
          </w:tcPr>
          <w:p w14:paraId="79743008" w14:textId="77777777" w:rsidR="004C1CED" w:rsidRPr="00434E9D" w:rsidRDefault="004C1CED" w:rsidP="004C1CED">
            <w:pPr>
              <w:widowControl/>
              <w:spacing w:before="120" w:after="120"/>
              <w:jc w:val="both"/>
              <w:rPr>
                <w:rFonts w:ascii="Times New Roman" w:hAnsi="Times New Roman"/>
                <w:noProof/>
                <w:sz w:val="22"/>
              </w:rPr>
            </w:pPr>
            <w:r w:rsidRPr="00434E9D">
              <w:rPr>
                <w:rFonts w:ascii="Times New Roman" w:hAnsi="Times New Roman"/>
                <w:noProof/>
                <w:sz w:val="22"/>
              </w:rPr>
              <w:t>sans objet</w:t>
            </w:r>
          </w:p>
        </w:tc>
        <w:tc>
          <w:tcPr>
            <w:tcW w:w="850" w:type="dxa"/>
          </w:tcPr>
          <w:p w14:paraId="7963AB59" w14:textId="77777777" w:rsidR="004C1CED" w:rsidRPr="00434E9D" w:rsidRDefault="004C1CED" w:rsidP="004C1CED">
            <w:pPr>
              <w:widowControl/>
              <w:spacing w:before="120" w:after="120"/>
              <w:jc w:val="both"/>
              <w:rPr>
                <w:rFonts w:ascii="Times New Roman" w:hAnsi="Times New Roman"/>
                <w:noProof/>
                <w:sz w:val="22"/>
              </w:rPr>
            </w:pPr>
            <w:r w:rsidRPr="00434E9D">
              <w:rPr>
                <w:rFonts w:ascii="Times New Roman" w:hAnsi="Times New Roman"/>
                <w:noProof/>
                <w:sz w:val="22"/>
              </w:rPr>
              <w:t>sans objet</w:t>
            </w:r>
          </w:p>
        </w:tc>
        <w:tc>
          <w:tcPr>
            <w:tcW w:w="993" w:type="dxa"/>
          </w:tcPr>
          <w:p w14:paraId="7FB16CB0" w14:textId="77777777" w:rsidR="004C1CED" w:rsidRPr="00434E9D" w:rsidRDefault="004C1CED" w:rsidP="004C1CED">
            <w:pPr>
              <w:widowControl/>
              <w:spacing w:before="120" w:after="120"/>
              <w:jc w:val="both"/>
              <w:rPr>
                <w:rFonts w:ascii="Times New Roman" w:hAnsi="Times New Roman"/>
                <w:noProof/>
                <w:sz w:val="22"/>
              </w:rPr>
            </w:pPr>
          </w:p>
        </w:tc>
        <w:tc>
          <w:tcPr>
            <w:tcW w:w="5273" w:type="dxa"/>
          </w:tcPr>
          <w:p w14:paraId="54A3A9C7" w14:textId="77777777" w:rsidR="004C1CED" w:rsidRPr="00434E9D" w:rsidRDefault="004C1CED" w:rsidP="004C1CED">
            <w:pPr>
              <w:widowControl/>
              <w:spacing w:before="120" w:after="120"/>
              <w:jc w:val="both"/>
              <w:rPr>
                <w:rFonts w:ascii="Times New Roman" w:hAnsi="Times New Roman"/>
                <w:noProof/>
                <w:sz w:val="22"/>
              </w:rPr>
            </w:pPr>
          </w:p>
        </w:tc>
      </w:tr>
      <w:tr w:rsidR="004C1CED" w:rsidRPr="00434E9D" w14:paraId="309F01BA" w14:textId="77777777" w:rsidTr="002E6A76">
        <w:tc>
          <w:tcPr>
            <w:tcW w:w="534" w:type="dxa"/>
          </w:tcPr>
          <w:p w14:paraId="2D7EE11D" w14:textId="77777777" w:rsidR="004C1CED" w:rsidRPr="00434E9D" w:rsidRDefault="004C1CED" w:rsidP="004C1CED">
            <w:pPr>
              <w:widowControl/>
              <w:spacing w:before="120" w:after="120"/>
              <w:jc w:val="both"/>
              <w:rPr>
                <w:rFonts w:ascii="Times New Roman" w:hAnsi="Times New Roman"/>
                <w:noProof/>
                <w:sz w:val="22"/>
              </w:rPr>
            </w:pPr>
            <w:r w:rsidRPr="00434E9D">
              <w:rPr>
                <w:rFonts w:ascii="Times New Roman" w:hAnsi="Times New Roman"/>
                <w:noProof/>
                <w:sz w:val="22"/>
              </w:rPr>
              <w:t>3</w:t>
            </w:r>
          </w:p>
        </w:tc>
        <w:tc>
          <w:tcPr>
            <w:tcW w:w="1134" w:type="dxa"/>
            <w:tcMar>
              <w:left w:w="57" w:type="dxa"/>
              <w:right w:w="57" w:type="dxa"/>
            </w:tcMar>
          </w:tcPr>
          <w:p w14:paraId="778ED718" w14:textId="77777777" w:rsidR="004C1CED" w:rsidRPr="00434E9D" w:rsidRDefault="004C1CED" w:rsidP="004C1CED">
            <w:pPr>
              <w:widowControl/>
              <w:spacing w:before="120" w:after="120"/>
              <w:rPr>
                <w:rFonts w:ascii="Times New Roman" w:hAnsi="Times New Roman"/>
                <w:noProof/>
                <w:sz w:val="22"/>
              </w:rPr>
            </w:pPr>
            <w:r w:rsidRPr="00434E9D">
              <w:rPr>
                <w:rFonts w:ascii="Times New Roman" w:hAnsi="Times New Roman"/>
                <w:noProof/>
                <w:sz w:val="22"/>
              </w:rPr>
              <w:t>Chlorfenvinphos (</w:t>
            </w:r>
            <w:r w:rsidRPr="00434E9D">
              <w:rPr>
                <w:rFonts w:ascii="Times New Roman" w:hAnsi="Times New Roman"/>
                <w:noProof/>
                <w:sz w:val="22"/>
                <w:vertAlign w:val="superscript"/>
              </w:rPr>
              <w:t>7</w:t>
            </w:r>
            <w:r w:rsidRPr="00434E9D">
              <w:rPr>
                <w:rFonts w:ascii="Times New Roman" w:hAnsi="Times New Roman"/>
                <w:noProof/>
                <w:sz w:val="22"/>
              </w:rPr>
              <w:t>)</w:t>
            </w:r>
          </w:p>
        </w:tc>
        <w:tc>
          <w:tcPr>
            <w:tcW w:w="1275" w:type="dxa"/>
          </w:tcPr>
          <w:p w14:paraId="3DDEB173" w14:textId="77777777" w:rsidR="004C1CED" w:rsidRPr="00434E9D" w:rsidRDefault="004C1CED" w:rsidP="004C1CED">
            <w:pPr>
              <w:widowControl/>
              <w:spacing w:before="120" w:after="120"/>
              <w:jc w:val="both"/>
              <w:rPr>
                <w:rFonts w:ascii="Times New Roman" w:hAnsi="Times New Roman"/>
                <w:noProof/>
                <w:sz w:val="22"/>
              </w:rPr>
            </w:pPr>
            <w:r w:rsidRPr="00434E9D">
              <w:rPr>
                <w:rFonts w:ascii="Times New Roman" w:hAnsi="Times New Roman"/>
                <w:noProof/>
                <w:sz w:val="22"/>
              </w:rPr>
              <w:t>Pesticide</w:t>
            </w:r>
          </w:p>
        </w:tc>
        <w:tc>
          <w:tcPr>
            <w:tcW w:w="993" w:type="dxa"/>
            <w:tcMar>
              <w:left w:w="28" w:type="dxa"/>
              <w:right w:w="28" w:type="dxa"/>
            </w:tcMar>
          </w:tcPr>
          <w:p w14:paraId="234A5AD3" w14:textId="77777777" w:rsidR="004C1CED" w:rsidRPr="00434E9D" w:rsidRDefault="004C1CED" w:rsidP="004C1CED">
            <w:pPr>
              <w:widowControl/>
              <w:spacing w:before="120" w:after="120"/>
              <w:jc w:val="both"/>
              <w:rPr>
                <w:rFonts w:ascii="Times New Roman" w:hAnsi="Times New Roman"/>
                <w:noProof/>
                <w:sz w:val="22"/>
              </w:rPr>
            </w:pPr>
            <w:r w:rsidRPr="00434E9D">
              <w:rPr>
                <w:rFonts w:ascii="Times New Roman" w:hAnsi="Times New Roman"/>
                <w:noProof/>
                <w:sz w:val="22"/>
              </w:rPr>
              <w:t>470-90-6</w:t>
            </w:r>
          </w:p>
        </w:tc>
        <w:tc>
          <w:tcPr>
            <w:tcW w:w="992" w:type="dxa"/>
          </w:tcPr>
          <w:p w14:paraId="768B2684" w14:textId="77777777" w:rsidR="004C1CED" w:rsidRPr="00434E9D" w:rsidRDefault="004C1CED" w:rsidP="004C1CED">
            <w:pPr>
              <w:widowControl/>
              <w:spacing w:before="120" w:after="120"/>
              <w:jc w:val="both"/>
              <w:rPr>
                <w:rFonts w:ascii="Times New Roman" w:hAnsi="Times New Roman"/>
                <w:noProof/>
                <w:sz w:val="22"/>
              </w:rPr>
            </w:pPr>
            <w:r w:rsidRPr="00434E9D">
              <w:rPr>
                <w:rFonts w:ascii="Times New Roman" w:hAnsi="Times New Roman"/>
                <w:noProof/>
                <w:sz w:val="22"/>
              </w:rPr>
              <w:t>207-432-0</w:t>
            </w:r>
          </w:p>
        </w:tc>
        <w:tc>
          <w:tcPr>
            <w:tcW w:w="709" w:type="dxa"/>
          </w:tcPr>
          <w:p w14:paraId="53519C4C" w14:textId="77777777" w:rsidR="004C1CED" w:rsidRPr="00434E9D" w:rsidRDefault="004C1CED" w:rsidP="004C1CED">
            <w:pPr>
              <w:widowControl/>
              <w:spacing w:before="120" w:after="120"/>
              <w:jc w:val="both"/>
              <w:rPr>
                <w:rFonts w:ascii="Times New Roman" w:hAnsi="Times New Roman"/>
                <w:noProof/>
                <w:sz w:val="22"/>
              </w:rPr>
            </w:pPr>
            <w:r w:rsidRPr="00434E9D">
              <w:rPr>
                <w:rFonts w:ascii="Times New Roman" w:hAnsi="Times New Roman"/>
                <w:noProof/>
                <w:sz w:val="22"/>
              </w:rPr>
              <w:t>0,1</w:t>
            </w:r>
          </w:p>
        </w:tc>
        <w:tc>
          <w:tcPr>
            <w:tcW w:w="708" w:type="dxa"/>
          </w:tcPr>
          <w:p w14:paraId="7CE603AB" w14:textId="77777777" w:rsidR="004C1CED" w:rsidRPr="00434E9D" w:rsidRDefault="004C1CED" w:rsidP="004C1CED">
            <w:pPr>
              <w:widowControl/>
              <w:spacing w:before="120" w:after="120"/>
              <w:jc w:val="both"/>
              <w:rPr>
                <w:rFonts w:ascii="Times New Roman" w:hAnsi="Times New Roman"/>
                <w:noProof/>
                <w:sz w:val="22"/>
              </w:rPr>
            </w:pPr>
            <w:r w:rsidRPr="00434E9D">
              <w:rPr>
                <w:rFonts w:ascii="Times New Roman" w:hAnsi="Times New Roman"/>
                <w:noProof/>
                <w:sz w:val="22"/>
              </w:rPr>
              <w:t>0,1</w:t>
            </w:r>
          </w:p>
        </w:tc>
        <w:tc>
          <w:tcPr>
            <w:tcW w:w="851" w:type="dxa"/>
          </w:tcPr>
          <w:p w14:paraId="1F27C530" w14:textId="77777777" w:rsidR="004C1CED" w:rsidRPr="00434E9D" w:rsidRDefault="004C1CED" w:rsidP="004C1CED">
            <w:pPr>
              <w:widowControl/>
              <w:spacing w:before="120" w:after="120"/>
              <w:jc w:val="both"/>
              <w:rPr>
                <w:rFonts w:ascii="Times New Roman" w:hAnsi="Times New Roman"/>
                <w:noProof/>
                <w:sz w:val="22"/>
              </w:rPr>
            </w:pPr>
            <w:r w:rsidRPr="00434E9D">
              <w:rPr>
                <w:rFonts w:ascii="Times New Roman" w:hAnsi="Times New Roman"/>
                <w:noProof/>
                <w:sz w:val="22"/>
              </w:rPr>
              <w:t>0,3</w:t>
            </w:r>
          </w:p>
        </w:tc>
        <w:tc>
          <w:tcPr>
            <w:tcW w:w="850" w:type="dxa"/>
          </w:tcPr>
          <w:p w14:paraId="53C484E6" w14:textId="77777777" w:rsidR="004C1CED" w:rsidRPr="00434E9D" w:rsidRDefault="004C1CED" w:rsidP="004C1CED">
            <w:pPr>
              <w:widowControl/>
              <w:spacing w:before="120" w:after="120"/>
              <w:jc w:val="both"/>
              <w:rPr>
                <w:rFonts w:ascii="Times New Roman" w:hAnsi="Times New Roman"/>
                <w:noProof/>
                <w:sz w:val="22"/>
              </w:rPr>
            </w:pPr>
            <w:r w:rsidRPr="00434E9D">
              <w:rPr>
                <w:rFonts w:ascii="Times New Roman" w:hAnsi="Times New Roman"/>
                <w:noProof/>
                <w:sz w:val="22"/>
              </w:rPr>
              <w:t>0,3</w:t>
            </w:r>
          </w:p>
        </w:tc>
        <w:tc>
          <w:tcPr>
            <w:tcW w:w="993" w:type="dxa"/>
          </w:tcPr>
          <w:p w14:paraId="352B49D1" w14:textId="77777777" w:rsidR="004C1CED" w:rsidRPr="00434E9D" w:rsidRDefault="004C1CED" w:rsidP="004C1CED">
            <w:pPr>
              <w:widowControl/>
              <w:spacing w:before="120" w:after="120"/>
              <w:jc w:val="both"/>
              <w:rPr>
                <w:rFonts w:ascii="Times New Roman" w:hAnsi="Times New Roman"/>
                <w:noProof/>
                <w:sz w:val="22"/>
              </w:rPr>
            </w:pPr>
          </w:p>
        </w:tc>
        <w:tc>
          <w:tcPr>
            <w:tcW w:w="5273" w:type="dxa"/>
          </w:tcPr>
          <w:p w14:paraId="58BB9DBB" w14:textId="77777777" w:rsidR="004C1CED" w:rsidRPr="00434E9D" w:rsidRDefault="004C1CED" w:rsidP="004C1CED">
            <w:pPr>
              <w:widowControl/>
              <w:spacing w:before="120" w:after="120"/>
              <w:jc w:val="both"/>
              <w:rPr>
                <w:rFonts w:ascii="Times New Roman" w:hAnsi="Times New Roman"/>
                <w:noProof/>
                <w:sz w:val="22"/>
              </w:rPr>
            </w:pPr>
          </w:p>
        </w:tc>
      </w:tr>
      <w:tr w:rsidR="004C1CED" w:rsidRPr="00434E9D" w14:paraId="677AE1A8" w14:textId="77777777" w:rsidTr="002E6A76">
        <w:tc>
          <w:tcPr>
            <w:tcW w:w="534" w:type="dxa"/>
          </w:tcPr>
          <w:p w14:paraId="5F11FA89" w14:textId="77777777" w:rsidR="004C1CED" w:rsidRPr="00434E9D" w:rsidRDefault="004C1CED" w:rsidP="004C1CED">
            <w:pPr>
              <w:widowControl/>
              <w:spacing w:before="120" w:after="120"/>
              <w:jc w:val="both"/>
              <w:rPr>
                <w:rFonts w:ascii="Times New Roman" w:hAnsi="Times New Roman"/>
                <w:noProof/>
                <w:sz w:val="22"/>
              </w:rPr>
            </w:pPr>
            <w:r w:rsidRPr="00434E9D">
              <w:rPr>
                <w:rFonts w:ascii="Times New Roman" w:hAnsi="Times New Roman"/>
                <w:noProof/>
                <w:sz w:val="22"/>
              </w:rPr>
              <w:t>4</w:t>
            </w:r>
          </w:p>
        </w:tc>
        <w:tc>
          <w:tcPr>
            <w:tcW w:w="1134" w:type="dxa"/>
            <w:tcMar>
              <w:left w:w="57" w:type="dxa"/>
              <w:right w:w="57" w:type="dxa"/>
            </w:tcMar>
          </w:tcPr>
          <w:p w14:paraId="4FC53BED" w14:textId="77777777" w:rsidR="004C1CED" w:rsidRPr="00434E9D" w:rsidRDefault="004C1CED" w:rsidP="004C1CED">
            <w:pPr>
              <w:widowControl/>
              <w:spacing w:before="120" w:after="120"/>
              <w:rPr>
                <w:rFonts w:ascii="Times New Roman" w:hAnsi="Times New Roman"/>
                <w:noProof/>
                <w:sz w:val="22"/>
              </w:rPr>
            </w:pPr>
            <w:r w:rsidRPr="00434E9D">
              <w:rPr>
                <w:rFonts w:ascii="Times New Roman" w:hAnsi="Times New Roman"/>
                <w:noProof/>
                <w:sz w:val="22"/>
              </w:rPr>
              <w:t>Simazine (</w:t>
            </w:r>
            <w:r w:rsidRPr="00434E9D">
              <w:rPr>
                <w:rFonts w:ascii="Times New Roman" w:hAnsi="Times New Roman"/>
                <w:noProof/>
                <w:sz w:val="22"/>
                <w:vertAlign w:val="superscript"/>
              </w:rPr>
              <w:t>7</w:t>
            </w:r>
            <w:r w:rsidRPr="00434E9D">
              <w:rPr>
                <w:rFonts w:ascii="Times New Roman" w:hAnsi="Times New Roman"/>
                <w:noProof/>
                <w:sz w:val="22"/>
              </w:rPr>
              <w:t>)</w:t>
            </w:r>
          </w:p>
        </w:tc>
        <w:tc>
          <w:tcPr>
            <w:tcW w:w="1275" w:type="dxa"/>
          </w:tcPr>
          <w:p w14:paraId="5C98CAFD" w14:textId="77777777" w:rsidR="004C1CED" w:rsidRPr="00434E9D" w:rsidRDefault="004C1CED" w:rsidP="004C1CED">
            <w:pPr>
              <w:widowControl/>
              <w:spacing w:before="120" w:after="120"/>
              <w:jc w:val="both"/>
              <w:rPr>
                <w:rFonts w:ascii="Times New Roman" w:hAnsi="Times New Roman"/>
                <w:noProof/>
                <w:sz w:val="22"/>
              </w:rPr>
            </w:pPr>
            <w:r w:rsidRPr="00434E9D">
              <w:rPr>
                <w:rFonts w:ascii="Times New Roman" w:hAnsi="Times New Roman"/>
                <w:noProof/>
                <w:sz w:val="22"/>
              </w:rPr>
              <w:t>Pesticide</w:t>
            </w:r>
          </w:p>
        </w:tc>
        <w:tc>
          <w:tcPr>
            <w:tcW w:w="993" w:type="dxa"/>
            <w:tcMar>
              <w:left w:w="28" w:type="dxa"/>
              <w:right w:w="28" w:type="dxa"/>
            </w:tcMar>
          </w:tcPr>
          <w:p w14:paraId="6CB02838" w14:textId="77777777" w:rsidR="004C1CED" w:rsidRPr="00434E9D" w:rsidRDefault="004C1CED" w:rsidP="004C1CED">
            <w:pPr>
              <w:widowControl/>
              <w:spacing w:before="120" w:after="120"/>
              <w:jc w:val="both"/>
              <w:rPr>
                <w:rFonts w:ascii="Times New Roman" w:hAnsi="Times New Roman"/>
                <w:noProof/>
                <w:sz w:val="22"/>
              </w:rPr>
            </w:pPr>
            <w:r w:rsidRPr="00434E9D">
              <w:rPr>
                <w:rFonts w:ascii="Times New Roman" w:hAnsi="Times New Roman"/>
                <w:noProof/>
                <w:sz w:val="22"/>
              </w:rPr>
              <w:t>122-34-9</w:t>
            </w:r>
          </w:p>
        </w:tc>
        <w:tc>
          <w:tcPr>
            <w:tcW w:w="992" w:type="dxa"/>
          </w:tcPr>
          <w:p w14:paraId="3D03E428" w14:textId="77777777" w:rsidR="004C1CED" w:rsidRPr="00434E9D" w:rsidRDefault="004C1CED" w:rsidP="004C1CED">
            <w:pPr>
              <w:widowControl/>
              <w:spacing w:before="120" w:after="120"/>
              <w:jc w:val="both"/>
              <w:rPr>
                <w:rFonts w:ascii="Times New Roman" w:hAnsi="Times New Roman"/>
                <w:noProof/>
                <w:sz w:val="22"/>
              </w:rPr>
            </w:pPr>
            <w:r w:rsidRPr="00434E9D">
              <w:rPr>
                <w:rFonts w:ascii="Times New Roman" w:hAnsi="Times New Roman"/>
                <w:noProof/>
                <w:sz w:val="22"/>
              </w:rPr>
              <w:t>204-535-2</w:t>
            </w:r>
          </w:p>
        </w:tc>
        <w:tc>
          <w:tcPr>
            <w:tcW w:w="709" w:type="dxa"/>
          </w:tcPr>
          <w:p w14:paraId="59549717" w14:textId="77777777" w:rsidR="004C1CED" w:rsidRPr="00434E9D" w:rsidRDefault="004C1CED" w:rsidP="004C1CED">
            <w:pPr>
              <w:widowControl/>
              <w:spacing w:before="120" w:after="120"/>
              <w:jc w:val="both"/>
              <w:rPr>
                <w:rFonts w:ascii="Times New Roman" w:hAnsi="Times New Roman"/>
                <w:noProof/>
                <w:sz w:val="22"/>
              </w:rPr>
            </w:pPr>
            <w:r w:rsidRPr="00434E9D">
              <w:rPr>
                <w:rFonts w:ascii="Times New Roman" w:hAnsi="Times New Roman"/>
                <w:noProof/>
                <w:sz w:val="22"/>
              </w:rPr>
              <w:t>1</w:t>
            </w:r>
          </w:p>
        </w:tc>
        <w:tc>
          <w:tcPr>
            <w:tcW w:w="708" w:type="dxa"/>
          </w:tcPr>
          <w:p w14:paraId="1D352EEA" w14:textId="77777777" w:rsidR="004C1CED" w:rsidRPr="00434E9D" w:rsidRDefault="004C1CED" w:rsidP="004C1CED">
            <w:pPr>
              <w:widowControl/>
              <w:spacing w:before="120" w:after="120"/>
              <w:jc w:val="both"/>
              <w:rPr>
                <w:rFonts w:ascii="Times New Roman" w:hAnsi="Times New Roman"/>
                <w:noProof/>
                <w:sz w:val="22"/>
              </w:rPr>
            </w:pPr>
            <w:r w:rsidRPr="00434E9D">
              <w:rPr>
                <w:rFonts w:ascii="Times New Roman" w:hAnsi="Times New Roman"/>
                <w:noProof/>
                <w:sz w:val="22"/>
              </w:rPr>
              <w:t>1</w:t>
            </w:r>
          </w:p>
        </w:tc>
        <w:tc>
          <w:tcPr>
            <w:tcW w:w="851" w:type="dxa"/>
          </w:tcPr>
          <w:p w14:paraId="1C558D85" w14:textId="77777777" w:rsidR="004C1CED" w:rsidRPr="00434E9D" w:rsidRDefault="004C1CED" w:rsidP="004C1CED">
            <w:pPr>
              <w:widowControl/>
              <w:spacing w:before="120" w:after="120"/>
              <w:jc w:val="both"/>
              <w:rPr>
                <w:rFonts w:ascii="Times New Roman" w:hAnsi="Times New Roman"/>
                <w:noProof/>
                <w:sz w:val="22"/>
              </w:rPr>
            </w:pPr>
            <w:r w:rsidRPr="00434E9D">
              <w:rPr>
                <w:rFonts w:ascii="Times New Roman" w:hAnsi="Times New Roman"/>
                <w:noProof/>
                <w:sz w:val="22"/>
              </w:rPr>
              <w:t>4</w:t>
            </w:r>
          </w:p>
        </w:tc>
        <w:tc>
          <w:tcPr>
            <w:tcW w:w="850" w:type="dxa"/>
          </w:tcPr>
          <w:p w14:paraId="1922D7DF" w14:textId="77777777" w:rsidR="004C1CED" w:rsidRPr="00434E9D" w:rsidRDefault="004C1CED" w:rsidP="004C1CED">
            <w:pPr>
              <w:widowControl/>
              <w:spacing w:before="120" w:after="120"/>
              <w:jc w:val="both"/>
              <w:rPr>
                <w:rFonts w:ascii="Times New Roman" w:hAnsi="Times New Roman"/>
                <w:noProof/>
                <w:sz w:val="22"/>
              </w:rPr>
            </w:pPr>
            <w:r w:rsidRPr="00434E9D">
              <w:rPr>
                <w:rFonts w:ascii="Times New Roman" w:hAnsi="Times New Roman"/>
                <w:noProof/>
                <w:sz w:val="22"/>
              </w:rPr>
              <w:t>4</w:t>
            </w:r>
          </w:p>
        </w:tc>
        <w:tc>
          <w:tcPr>
            <w:tcW w:w="993" w:type="dxa"/>
          </w:tcPr>
          <w:p w14:paraId="68C05476" w14:textId="77777777" w:rsidR="004C1CED" w:rsidRPr="00434E9D" w:rsidRDefault="004C1CED" w:rsidP="004C1CED">
            <w:pPr>
              <w:widowControl/>
              <w:spacing w:before="120" w:after="120"/>
              <w:jc w:val="both"/>
              <w:rPr>
                <w:rFonts w:ascii="Times New Roman" w:hAnsi="Times New Roman"/>
                <w:noProof/>
                <w:sz w:val="22"/>
              </w:rPr>
            </w:pPr>
          </w:p>
        </w:tc>
        <w:tc>
          <w:tcPr>
            <w:tcW w:w="5273" w:type="dxa"/>
          </w:tcPr>
          <w:p w14:paraId="35751387" w14:textId="77777777" w:rsidR="004C1CED" w:rsidRPr="00434E9D" w:rsidRDefault="004C1CED" w:rsidP="004C1CED">
            <w:pPr>
              <w:widowControl/>
              <w:spacing w:before="120" w:after="120"/>
              <w:jc w:val="both"/>
              <w:rPr>
                <w:rFonts w:ascii="Times New Roman" w:hAnsi="Times New Roman"/>
                <w:noProof/>
                <w:sz w:val="22"/>
              </w:rPr>
            </w:pPr>
          </w:p>
        </w:tc>
      </w:tr>
    </w:tbl>
    <w:p w14:paraId="702FCC09" w14:textId="77777777" w:rsidR="002E6A76" w:rsidRPr="00434E9D" w:rsidRDefault="002E6A76" w:rsidP="004C1CED">
      <w:pPr>
        <w:widowControl/>
        <w:spacing w:before="120" w:after="120"/>
        <w:jc w:val="both"/>
        <w:rPr>
          <w:rFonts w:eastAsia="Calibri"/>
          <w:noProof/>
          <w:szCs w:val="22"/>
          <w:lang w:eastAsia="en-US"/>
        </w:rPr>
        <w:sectPr w:rsidR="002E6A76" w:rsidRPr="00434E9D" w:rsidSect="002E6A76">
          <w:footnotePr>
            <w:numRestart w:val="eachSect"/>
          </w:footnotePr>
          <w:pgSz w:w="16838" w:h="11906" w:orient="landscape" w:code="9"/>
          <w:pgMar w:top="1418" w:right="1134" w:bottom="1418" w:left="1418" w:header="1134" w:footer="567" w:gutter="0"/>
          <w:cols w:space="720"/>
          <w:noEndnote/>
          <w:docGrid w:linePitch="326"/>
        </w:sectPr>
      </w:pPr>
    </w:p>
    <w:p w14:paraId="74B36596" w14:textId="77777777" w:rsidR="004C1CED" w:rsidRPr="00434E9D" w:rsidRDefault="004C1CED" w:rsidP="002E6A76">
      <w:pPr>
        <w:widowControl/>
        <w:tabs>
          <w:tab w:val="left" w:pos="14570"/>
        </w:tabs>
        <w:spacing w:line="360" w:lineRule="auto"/>
        <w:ind w:left="1418" w:hanging="567"/>
        <w:jc w:val="both"/>
        <w:rPr>
          <w:rFonts w:eastAsia="Calibri"/>
          <w:noProof/>
          <w:sz w:val="20"/>
          <w:lang w:eastAsia="en-US"/>
        </w:rPr>
      </w:pPr>
      <w:r w:rsidRPr="00434E9D">
        <w:rPr>
          <w:rFonts w:eastAsia="Calibri"/>
          <w:noProof/>
          <w:sz w:val="20"/>
          <w:lang w:eastAsia="en-US"/>
        </w:rPr>
        <w:t>(</w:t>
      </w:r>
      <w:r w:rsidRPr="00434E9D">
        <w:rPr>
          <w:rFonts w:eastAsia="Calibri"/>
          <w:noProof/>
          <w:sz w:val="20"/>
          <w:vertAlign w:val="superscript"/>
          <w:lang w:eastAsia="en-US"/>
        </w:rPr>
        <w:t>1</w:t>
      </w:r>
      <w:r w:rsidRPr="00434E9D">
        <w:rPr>
          <w:rFonts w:eastAsia="Calibri"/>
          <w:noProof/>
          <w:sz w:val="20"/>
          <w:lang w:eastAsia="en-US"/>
        </w:rPr>
        <w:t>)</w:t>
      </w:r>
      <w:r w:rsidRPr="00434E9D">
        <w:rPr>
          <w:rFonts w:eastAsia="Calibri"/>
          <w:noProof/>
          <w:sz w:val="20"/>
          <w:lang w:eastAsia="en-US"/>
        </w:rPr>
        <w:tab/>
        <w:t>CAS: Chemical Abstracts Service</w:t>
      </w:r>
    </w:p>
    <w:p w14:paraId="214D1020" w14:textId="77777777" w:rsidR="004C1CED" w:rsidRPr="00434E9D" w:rsidRDefault="004C1CED" w:rsidP="002E6A76">
      <w:pPr>
        <w:widowControl/>
        <w:tabs>
          <w:tab w:val="left" w:pos="14570"/>
        </w:tabs>
        <w:spacing w:line="360" w:lineRule="auto"/>
        <w:ind w:left="1418" w:hanging="567"/>
        <w:jc w:val="both"/>
        <w:rPr>
          <w:rFonts w:eastAsia="Calibri"/>
          <w:noProof/>
          <w:sz w:val="20"/>
          <w:lang w:eastAsia="en-US"/>
        </w:rPr>
      </w:pPr>
      <w:r w:rsidRPr="00434E9D">
        <w:rPr>
          <w:rFonts w:eastAsia="Calibri"/>
          <w:noProof/>
          <w:sz w:val="20"/>
          <w:lang w:eastAsia="en-US"/>
        </w:rPr>
        <w:t>(</w:t>
      </w:r>
      <w:r w:rsidRPr="00434E9D">
        <w:rPr>
          <w:rFonts w:eastAsia="Calibri"/>
          <w:noProof/>
          <w:sz w:val="20"/>
          <w:vertAlign w:val="superscript"/>
          <w:lang w:eastAsia="en-US"/>
        </w:rPr>
        <w:t>2</w:t>
      </w:r>
      <w:r w:rsidRPr="00434E9D">
        <w:rPr>
          <w:rFonts w:eastAsia="Calibri"/>
          <w:noProof/>
          <w:sz w:val="20"/>
          <w:lang w:eastAsia="en-US"/>
        </w:rPr>
        <w:t>)</w:t>
      </w:r>
      <w:r w:rsidRPr="00434E9D">
        <w:rPr>
          <w:rFonts w:eastAsia="Calibri"/>
          <w:noProof/>
          <w:sz w:val="20"/>
          <w:lang w:eastAsia="en-US"/>
        </w:rPr>
        <w:tab/>
        <w:t>Numéro UE: Inventaire européen des produits chimiques commercialisés (EINECS) ou Liste européenne des substances chimiques notifiées (ELINCS).</w:t>
      </w:r>
    </w:p>
    <w:p w14:paraId="24704D01" w14:textId="77777777" w:rsidR="004C1CED" w:rsidRPr="00434E9D" w:rsidRDefault="004C1CED" w:rsidP="002E6A76">
      <w:pPr>
        <w:widowControl/>
        <w:tabs>
          <w:tab w:val="left" w:pos="14570"/>
        </w:tabs>
        <w:spacing w:line="360" w:lineRule="auto"/>
        <w:ind w:left="1418" w:hanging="567"/>
        <w:jc w:val="both"/>
        <w:rPr>
          <w:rFonts w:eastAsia="Calibri"/>
          <w:noProof/>
          <w:sz w:val="20"/>
          <w:lang w:eastAsia="en-US"/>
        </w:rPr>
      </w:pPr>
      <w:r w:rsidRPr="00434E9D">
        <w:rPr>
          <w:rFonts w:eastAsia="Calibri"/>
          <w:noProof/>
          <w:sz w:val="20"/>
          <w:lang w:eastAsia="en-US"/>
        </w:rPr>
        <w:t>(</w:t>
      </w:r>
      <w:r w:rsidRPr="00434E9D">
        <w:rPr>
          <w:rFonts w:eastAsia="Calibri"/>
          <w:noProof/>
          <w:sz w:val="20"/>
          <w:vertAlign w:val="superscript"/>
          <w:lang w:eastAsia="en-US"/>
        </w:rPr>
        <w:t>3</w:t>
      </w:r>
      <w:r w:rsidRPr="00434E9D">
        <w:rPr>
          <w:rFonts w:eastAsia="Calibri"/>
          <w:noProof/>
          <w:sz w:val="20"/>
          <w:lang w:eastAsia="en-US"/>
        </w:rPr>
        <w:t>)</w:t>
      </w:r>
      <w:r w:rsidRPr="00434E9D">
        <w:rPr>
          <w:rFonts w:eastAsia="Calibri"/>
          <w:noProof/>
          <w:sz w:val="20"/>
          <w:lang w:eastAsia="en-US"/>
        </w:rPr>
        <w:tab/>
        <w:t>Ce paramètre est la NQE exprimée en valeur moyenne annuelle (NQE-MA). Sauf indication contraire, il s’applique à la concentration totale de toutes les substances et tous les isomères.</w:t>
      </w:r>
    </w:p>
    <w:p w14:paraId="0346EDBE" w14:textId="77777777" w:rsidR="004C1CED" w:rsidRPr="00434E9D" w:rsidRDefault="004C1CED" w:rsidP="002E6A76">
      <w:pPr>
        <w:widowControl/>
        <w:tabs>
          <w:tab w:val="left" w:pos="14570"/>
        </w:tabs>
        <w:spacing w:line="360" w:lineRule="auto"/>
        <w:ind w:left="1418" w:hanging="567"/>
        <w:jc w:val="both"/>
        <w:rPr>
          <w:rFonts w:eastAsia="Calibri"/>
          <w:noProof/>
          <w:sz w:val="20"/>
          <w:lang w:eastAsia="en-US"/>
        </w:rPr>
      </w:pPr>
      <w:r w:rsidRPr="00434E9D">
        <w:rPr>
          <w:rFonts w:eastAsia="Calibri"/>
          <w:noProof/>
          <w:sz w:val="20"/>
          <w:lang w:eastAsia="en-US"/>
        </w:rPr>
        <w:t>(</w:t>
      </w:r>
      <w:r w:rsidRPr="00434E9D">
        <w:rPr>
          <w:rFonts w:eastAsia="Calibri"/>
          <w:noProof/>
          <w:sz w:val="20"/>
          <w:vertAlign w:val="superscript"/>
          <w:lang w:eastAsia="en-US"/>
        </w:rPr>
        <w:t>4</w:t>
      </w:r>
      <w:r w:rsidRPr="00434E9D">
        <w:rPr>
          <w:rFonts w:eastAsia="Calibri"/>
          <w:noProof/>
          <w:sz w:val="20"/>
          <w:lang w:eastAsia="en-US"/>
        </w:rPr>
        <w:t>)</w:t>
      </w:r>
      <w:r w:rsidRPr="00434E9D">
        <w:rPr>
          <w:rFonts w:eastAsia="Calibri"/>
          <w:noProof/>
          <w:sz w:val="20"/>
          <w:lang w:eastAsia="en-US"/>
        </w:rPr>
        <w:tab/>
        <w:t>Les eaux de surface intérieures comprennent les rivières et les lacs et les masses d’eau artificielles ou fortement modifiées qui y sont reliées.</w:t>
      </w:r>
    </w:p>
    <w:p w14:paraId="531B4559" w14:textId="77777777" w:rsidR="002E6A76" w:rsidRPr="00434E9D" w:rsidRDefault="004C1CED" w:rsidP="002E6A76">
      <w:pPr>
        <w:widowControl/>
        <w:tabs>
          <w:tab w:val="left" w:pos="14570"/>
        </w:tabs>
        <w:spacing w:line="360" w:lineRule="auto"/>
        <w:ind w:left="1418" w:hanging="567"/>
        <w:jc w:val="both"/>
        <w:rPr>
          <w:rFonts w:eastAsia="Calibri"/>
          <w:noProof/>
          <w:sz w:val="20"/>
          <w:lang w:eastAsia="en-US"/>
        </w:rPr>
      </w:pPr>
      <w:r w:rsidRPr="00434E9D">
        <w:rPr>
          <w:rFonts w:eastAsia="Calibri"/>
          <w:noProof/>
          <w:sz w:val="20"/>
          <w:lang w:eastAsia="en-US"/>
        </w:rPr>
        <w:t>(</w:t>
      </w:r>
      <w:r w:rsidRPr="00434E9D">
        <w:rPr>
          <w:rFonts w:eastAsia="Calibri"/>
          <w:noProof/>
          <w:sz w:val="20"/>
          <w:vertAlign w:val="superscript"/>
          <w:lang w:eastAsia="en-US"/>
        </w:rPr>
        <w:t>5</w:t>
      </w:r>
      <w:r w:rsidRPr="00434E9D">
        <w:rPr>
          <w:rFonts w:eastAsia="Calibri"/>
          <w:noProof/>
          <w:sz w:val="20"/>
          <w:lang w:eastAsia="en-US"/>
        </w:rPr>
        <w:t>)</w:t>
      </w:r>
      <w:r w:rsidRPr="00434E9D">
        <w:rPr>
          <w:rFonts w:eastAsia="Calibri"/>
          <w:noProof/>
          <w:sz w:val="20"/>
          <w:lang w:eastAsia="en-US"/>
        </w:rPr>
        <w:tab/>
        <w:t>Ce paramètre est la NQE exprimée en concentration maximale admissible (NQE-CMA). Lorsque les NQE-CMA sont indiquées comme étant «sans objet», les valeurs retenues pour les NQE-MA sont considérées comme assurant une protection contre les pics de pollution à court terme dans les rejets continus, dans la mesure où elles sont nettement inférieures à celles définies sur la base de la toxicité aiguë.</w:t>
      </w:r>
    </w:p>
    <w:p w14:paraId="5840516F" w14:textId="77777777" w:rsidR="002E6A76" w:rsidRPr="00434E9D" w:rsidRDefault="002E6A76">
      <w:pPr>
        <w:widowControl/>
        <w:rPr>
          <w:rFonts w:eastAsia="Calibri"/>
          <w:noProof/>
          <w:sz w:val="20"/>
          <w:lang w:eastAsia="en-US"/>
        </w:rPr>
      </w:pPr>
      <w:r w:rsidRPr="00434E9D">
        <w:rPr>
          <w:rFonts w:eastAsia="Calibri"/>
          <w:noProof/>
          <w:sz w:val="20"/>
          <w:lang w:eastAsia="en-US"/>
        </w:rPr>
        <w:br w:type="page"/>
      </w:r>
    </w:p>
    <w:p w14:paraId="3680E199" w14:textId="77777777" w:rsidR="004C1CED" w:rsidRPr="00434E9D" w:rsidRDefault="004C1CED" w:rsidP="002E6A76">
      <w:pPr>
        <w:widowControl/>
        <w:tabs>
          <w:tab w:val="left" w:pos="14570"/>
        </w:tabs>
        <w:spacing w:line="360" w:lineRule="auto"/>
        <w:ind w:left="1418" w:hanging="567"/>
        <w:jc w:val="both"/>
        <w:rPr>
          <w:rFonts w:eastAsia="Calibri"/>
          <w:noProof/>
          <w:sz w:val="20"/>
          <w:lang w:eastAsia="en-US"/>
        </w:rPr>
      </w:pPr>
      <w:r w:rsidRPr="00434E9D">
        <w:rPr>
          <w:rFonts w:eastAsia="Calibri"/>
          <w:noProof/>
          <w:sz w:val="20"/>
          <w:lang w:eastAsia="en-US"/>
        </w:rPr>
        <w:t>(</w:t>
      </w:r>
      <w:r w:rsidRPr="00434E9D">
        <w:rPr>
          <w:rFonts w:eastAsia="Calibri"/>
          <w:noProof/>
          <w:sz w:val="20"/>
          <w:vertAlign w:val="superscript"/>
          <w:lang w:eastAsia="en-US"/>
        </w:rPr>
        <w:t>6</w:t>
      </w:r>
      <w:r w:rsidRPr="00434E9D">
        <w:rPr>
          <w:rFonts w:eastAsia="Calibri"/>
          <w:noProof/>
          <w:sz w:val="20"/>
          <w:lang w:eastAsia="en-US"/>
        </w:rPr>
        <w:t>)</w:t>
      </w:r>
      <w:r w:rsidRPr="00434E9D">
        <w:rPr>
          <w:rFonts w:eastAsia="Calibri"/>
          <w:noProof/>
          <w:sz w:val="20"/>
          <w:lang w:eastAsia="en-US"/>
        </w:rPr>
        <w:tab/>
        <w:t>Si une NQE pour le biote est donnée, cette dernière est appliquée, plutôt que la NQE pour l’eau, sans préjudice de la disposition de l’article 3, paragraphe 3, de la présente directive autorisant qu’un autre taxon de biote, ou une autre matrice, soit surveillé à la place, pour autant que la NQE appliquée offre un niveau de protection équivalent. Sauf indication contraire, la NQE pour le biote se rapporte aux poissons.</w:t>
      </w:r>
    </w:p>
    <w:p w14:paraId="095B6EFF" w14:textId="77777777" w:rsidR="004C1CED" w:rsidRPr="004C1CED" w:rsidRDefault="004C1CED" w:rsidP="002E6A76">
      <w:pPr>
        <w:widowControl/>
        <w:tabs>
          <w:tab w:val="left" w:pos="14570"/>
        </w:tabs>
        <w:spacing w:line="360" w:lineRule="auto"/>
        <w:ind w:left="1418" w:hanging="567"/>
        <w:jc w:val="both"/>
        <w:rPr>
          <w:rFonts w:eastAsia="Calibri"/>
          <w:noProof/>
          <w:sz w:val="20"/>
          <w:lang w:eastAsia="en-US"/>
        </w:rPr>
      </w:pPr>
      <w:r w:rsidRPr="00434E9D">
        <w:rPr>
          <w:rFonts w:eastAsia="Calibri"/>
          <w:noProof/>
          <w:sz w:val="20"/>
          <w:lang w:eastAsia="en-US"/>
        </w:rPr>
        <w:t>(</w:t>
      </w:r>
      <w:r w:rsidRPr="00434E9D">
        <w:rPr>
          <w:rFonts w:eastAsia="Calibri"/>
          <w:noProof/>
          <w:sz w:val="20"/>
          <w:vertAlign w:val="superscript"/>
          <w:lang w:eastAsia="en-US"/>
        </w:rPr>
        <w:t>7</w:t>
      </w:r>
      <w:r w:rsidRPr="00434E9D">
        <w:rPr>
          <w:rFonts w:eastAsia="Calibri"/>
          <w:noProof/>
          <w:sz w:val="20"/>
          <w:lang w:eastAsia="en-US"/>
        </w:rPr>
        <w:t>)</w:t>
      </w:r>
      <w:r w:rsidRPr="00434E9D">
        <w:rPr>
          <w:rFonts w:eastAsia="Calibri"/>
          <w:noProof/>
          <w:sz w:val="20"/>
          <w:lang w:eastAsia="en-US"/>
        </w:rPr>
        <w:tab/>
        <w:t>Substance auparavant répertoriée en tant que substance prioritaire à l’annexe X de la directive 2000/60/CE ou à l’annexe I de la directive 2008/105/CE.».</w:t>
      </w:r>
      <w:r w:rsidRPr="004C1CED">
        <w:rPr>
          <w:rFonts w:eastAsia="Calibri"/>
          <w:noProof/>
          <w:sz w:val="20"/>
          <w:lang w:eastAsia="en-US"/>
        </w:rPr>
        <w:t xml:space="preserve"> </w:t>
      </w:r>
      <w:bookmarkStart w:id="43" w:name="_InMacro_"/>
      <w:bookmarkEnd w:id="43"/>
    </w:p>
    <w:p w14:paraId="13BDD9E5" w14:textId="77777777" w:rsidR="008C3DE0" w:rsidRDefault="008C3DE0" w:rsidP="008C3DE0">
      <w:pPr>
        <w:ind w:left="850"/>
      </w:pPr>
    </w:p>
    <w:sectPr w:rsidR="008C3DE0" w:rsidSect="002E6A76">
      <w:footnotePr>
        <w:numRestart w:val="eachSect"/>
      </w:foot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503342" w14:textId="77777777" w:rsidR="00885B4C" w:rsidRPr="009321EB" w:rsidRDefault="00885B4C">
      <w:r w:rsidRPr="009321EB">
        <w:separator/>
      </w:r>
    </w:p>
  </w:endnote>
  <w:endnote w:type="continuationSeparator" w:id="0">
    <w:p w14:paraId="5DF6FBCF" w14:textId="77777777" w:rsidR="00885B4C" w:rsidRPr="009321EB" w:rsidRDefault="00885B4C">
      <w:r w:rsidRPr="009321E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___WRD_EMBED_SUB_178">
    <w:altName w:val="MS Gothic"/>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radeGothic">
    <w:altName w:val="Courier New"/>
    <w:panose1 w:val="00000000000000000000"/>
    <w:charset w:val="00"/>
    <w:family w:val="auto"/>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EUAlbertina">
    <w:charset w:val="00"/>
    <w:family w:val="auto"/>
    <w:pitch w:val="variable"/>
    <w:sig w:usb0="800002EF" w:usb1="1000E0F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B422E8" w14:textId="77777777" w:rsidR="00885B4C" w:rsidRDefault="00885B4C">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48F8B0" w14:textId="77777777" w:rsidR="00885B4C" w:rsidRDefault="00885B4C">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83DD7D" w14:textId="77777777" w:rsidR="00885B4C" w:rsidRPr="009321EB" w:rsidRDefault="00885B4C">
      <w:r w:rsidRPr="009321EB">
        <w:separator/>
      </w:r>
    </w:p>
  </w:footnote>
  <w:footnote w:type="continuationSeparator" w:id="0">
    <w:p w14:paraId="0964CEAB" w14:textId="77777777" w:rsidR="00885B4C" w:rsidRPr="009321EB" w:rsidRDefault="00885B4C">
      <w:r w:rsidRPr="009321EB">
        <w:continuationSeparator/>
      </w:r>
    </w:p>
  </w:footnote>
  <w:footnote w:id="1">
    <w:p w14:paraId="728BE041" w14:textId="77777777" w:rsidR="00885B4C" w:rsidRPr="009321EB" w:rsidRDefault="00885B4C" w:rsidP="009321EB">
      <w:pPr>
        <w:pStyle w:val="FootnoteText"/>
        <w:ind w:left="567" w:hanging="567"/>
        <w:rPr>
          <w:sz w:val="24"/>
        </w:rPr>
      </w:pPr>
      <w:r w:rsidRPr="009321EB">
        <w:rPr>
          <w:rStyle w:val="FootnoteReference"/>
          <w:sz w:val="24"/>
        </w:rPr>
        <w:footnoteRef/>
      </w:r>
      <w:r w:rsidRPr="009321EB">
        <w:rPr>
          <w:sz w:val="24"/>
        </w:rPr>
        <w:t xml:space="preserve"> </w:t>
      </w:r>
      <w:r w:rsidRPr="009321EB">
        <w:rPr>
          <w:sz w:val="24"/>
        </w:rPr>
        <w:tab/>
        <w:t>JO C 146 du 27.4.2023, p. 41.</w:t>
      </w:r>
    </w:p>
  </w:footnote>
  <w:footnote w:id="2">
    <w:p w14:paraId="7B270204" w14:textId="77777777" w:rsidR="00885B4C" w:rsidRPr="000F6CCF" w:rsidRDefault="00885B4C" w:rsidP="000F6CCF">
      <w:pPr>
        <w:pStyle w:val="FootnoteText"/>
        <w:ind w:left="567" w:hanging="567"/>
        <w:rPr>
          <w:sz w:val="24"/>
          <w:szCs w:val="24"/>
        </w:rPr>
      </w:pPr>
      <w:r w:rsidRPr="000F6CCF">
        <w:rPr>
          <w:rStyle w:val="FootnoteReference"/>
          <w:sz w:val="24"/>
          <w:szCs w:val="24"/>
        </w:rPr>
        <w:footnoteRef/>
      </w:r>
      <w:r w:rsidRPr="000F6CCF">
        <w:rPr>
          <w:sz w:val="24"/>
          <w:szCs w:val="24"/>
        </w:rPr>
        <w:t xml:space="preserve"> </w:t>
      </w:r>
      <w:r w:rsidRPr="000F6CCF">
        <w:rPr>
          <w:sz w:val="24"/>
          <w:szCs w:val="24"/>
        </w:rPr>
        <w:tab/>
      </w:r>
      <w:r>
        <w:rPr>
          <w:sz w:val="24"/>
          <w:szCs w:val="24"/>
        </w:rPr>
        <w:t xml:space="preserve">La présente position correspond aux amendements adoptés le 12 septembre 2023 (JO C, </w:t>
      </w:r>
      <w:r w:rsidRPr="000F6CCF">
        <w:rPr>
          <w:iCs/>
          <w:sz w:val="24"/>
          <w:szCs w:val="24"/>
        </w:rPr>
        <w:t>C/2024/1777, 22.3.2024,</w:t>
      </w:r>
      <w:r>
        <w:rPr>
          <w:iCs/>
          <w:sz w:val="24"/>
          <w:szCs w:val="24"/>
        </w:rPr>
        <w:t xml:space="preserve"> </w:t>
      </w:r>
      <w:r w:rsidRPr="000F6CCF">
        <w:rPr>
          <w:sz w:val="24"/>
          <w:szCs w:val="24"/>
        </w:rPr>
        <w:t xml:space="preserve">ELI: </w:t>
      </w:r>
      <w:r w:rsidRPr="000944B7">
        <w:rPr>
          <w:rFonts w:ascii="Roboto" w:hAnsi="Roboto"/>
          <w:color w:val="333333"/>
          <w:sz w:val="21"/>
          <w:szCs w:val="21"/>
          <w:shd w:val="clear" w:color="auto" w:fill="FFFFFF"/>
          <w:lang w:eastAsia="en-GB"/>
        </w:rPr>
        <w:t> </w:t>
      </w:r>
      <w:hyperlink r:id="rId1" w:tooltip="Gives access to this document through its ELI URI." w:history="1">
        <w:r w:rsidRPr="000F6CCF">
          <w:rPr>
            <w:color w:val="23527C"/>
            <w:sz w:val="24"/>
            <w:szCs w:val="24"/>
            <w:u w:val="single"/>
            <w:shd w:val="clear" w:color="auto" w:fill="FFFFFF"/>
            <w:lang w:eastAsia="en-GB"/>
          </w:rPr>
          <w:t>http://data.europa.eu/eli/C/2024/1777/oj</w:t>
        </w:r>
      </w:hyperlink>
      <w:r w:rsidRPr="000F6CCF">
        <w:rPr>
          <w:sz w:val="24"/>
          <w:szCs w:val="24"/>
        </w:rPr>
        <w:t>).</w:t>
      </w:r>
    </w:p>
  </w:footnote>
  <w:footnote w:id="3">
    <w:p w14:paraId="22853C94" w14:textId="77777777" w:rsidR="00885B4C" w:rsidRPr="008C3DE0" w:rsidRDefault="00885B4C" w:rsidP="008C3DE0">
      <w:pPr>
        <w:pStyle w:val="FootnoteTextForceStyle"/>
        <w:rPr>
          <w:lang w:val="da-DK"/>
        </w:rPr>
      </w:pPr>
      <w:r>
        <w:rPr>
          <w:vertAlign w:val="superscript"/>
        </w:rPr>
        <w:footnoteRef/>
      </w:r>
      <w:r w:rsidRPr="008C3DE0">
        <w:rPr>
          <w:lang w:val="da-DK"/>
        </w:rPr>
        <w:tab/>
        <w:t>JO C  du , p. .</w:t>
      </w:r>
    </w:p>
  </w:footnote>
  <w:footnote w:id="4">
    <w:p w14:paraId="6C71CD9C" w14:textId="77777777" w:rsidR="00885B4C" w:rsidRPr="008C3DE0" w:rsidRDefault="00885B4C" w:rsidP="008C3DE0">
      <w:pPr>
        <w:pStyle w:val="FootnoteTextForceStyle"/>
        <w:rPr>
          <w:lang w:val="da-DK"/>
        </w:rPr>
      </w:pPr>
      <w:r>
        <w:rPr>
          <w:vertAlign w:val="superscript"/>
        </w:rPr>
        <w:footnoteRef/>
      </w:r>
      <w:r w:rsidRPr="008C3DE0">
        <w:rPr>
          <w:lang w:val="da-DK"/>
        </w:rPr>
        <w:tab/>
        <w:t>JO C  du , p. .</w:t>
      </w:r>
    </w:p>
  </w:footnote>
  <w:footnote w:id="5">
    <w:p w14:paraId="64E9BD53" w14:textId="77777777" w:rsidR="00885B4C" w:rsidRPr="008C3DE0" w:rsidRDefault="00885B4C" w:rsidP="008C3DE0">
      <w:pPr>
        <w:pStyle w:val="FootnoteTextForceStyle"/>
        <w:rPr>
          <w:lang w:val="fr-FR"/>
        </w:rPr>
      </w:pPr>
      <w:r>
        <w:rPr>
          <w:vertAlign w:val="superscript"/>
        </w:rPr>
        <w:footnoteRef/>
      </w:r>
      <w:r w:rsidRPr="008C3DE0">
        <w:rPr>
          <w:lang w:val="fr-FR"/>
        </w:rPr>
        <w:tab/>
      </w:r>
      <w:r w:rsidRPr="008C3DE0">
        <w:rPr>
          <w:b/>
          <w:i/>
          <w:lang w:val="fr-FR"/>
        </w:rPr>
        <w:t xml:space="preserve">Décision (UE) 2022/591 du Parlement européen et du Conseil du 6 avril 2022 relative à un programme d’action général de l’Union pour l’environnement à l’horizon 2030. </w:t>
      </w:r>
    </w:p>
  </w:footnote>
  <w:footnote w:id="6">
    <w:p w14:paraId="76110978" w14:textId="77777777" w:rsidR="00885B4C" w:rsidRDefault="00885B4C" w:rsidP="008C3DE0">
      <w:pPr>
        <w:pStyle w:val="FootnoteTextForceStyle"/>
      </w:pPr>
      <w:r>
        <w:rPr>
          <w:vertAlign w:val="superscript"/>
        </w:rPr>
        <w:footnoteRef/>
      </w:r>
      <w:r>
        <w:tab/>
      </w:r>
      <w:r>
        <w:rPr>
          <w:b/>
          <w:i/>
        </w:rPr>
        <w:t xml:space="preserve">Agence européenne pour l’environnement (AEE), rapport nº 9/2021, Drivers of and pressures arising from selected key water management challenges:A European overview. </w:t>
      </w:r>
    </w:p>
  </w:footnote>
  <w:footnote w:id="7">
    <w:p w14:paraId="06A52527" w14:textId="77777777" w:rsidR="00885B4C" w:rsidRDefault="00885B4C" w:rsidP="008C3DE0">
      <w:pPr>
        <w:pStyle w:val="FootnoteTextForceStyle"/>
      </w:pPr>
      <w:r>
        <w:rPr>
          <w:vertAlign w:val="superscript"/>
        </w:rPr>
        <w:footnoteRef/>
      </w:r>
      <w:r>
        <w:tab/>
      </w:r>
      <w:r>
        <w:rPr>
          <w:b/>
          <w:i/>
        </w:rPr>
        <w:t xml:space="preserve">https://www.oecd.org/fr/agriculture/sujets/eau-et-agriculture/ </w:t>
      </w:r>
    </w:p>
  </w:footnote>
  <w:footnote w:id="8">
    <w:p w14:paraId="088EF3A8" w14:textId="77777777" w:rsidR="00885B4C" w:rsidRDefault="00885B4C" w:rsidP="008C3DE0">
      <w:pPr>
        <w:pStyle w:val="FootnoteTextForceStyle"/>
      </w:pPr>
      <w:r>
        <w:rPr>
          <w:vertAlign w:val="superscript"/>
        </w:rPr>
        <w:footnoteRef/>
      </w:r>
      <w:r>
        <w:tab/>
      </w:r>
      <w:r>
        <w:rPr>
          <w:b/>
          <w:i/>
        </w:rPr>
        <w:t xml:space="preserve">https://www.eea.europa.eu/publications/state-of-water </w:t>
      </w:r>
    </w:p>
  </w:footnote>
  <w:footnote w:id="9">
    <w:p w14:paraId="6F262721" w14:textId="77777777" w:rsidR="00885B4C" w:rsidRDefault="00885B4C" w:rsidP="008C3DE0">
      <w:pPr>
        <w:pStyle w:val="FootnoteTextForceStyle"/>
      </w:pPr>
      <w:r>
        <w:rPr>
          <w:vertAlign w:val="superscript"/>
        </w:rPr>
        <w:footnoteRef/>
      </w:r>
      <w:r>
        <w:tab/>
      </w:r>
      <w:r>
        <w:rPr>
          <w:b/>
          <w:i/>
        </w:rPr>
        <w:t xml:space="preserve">https://food.ec.europa.eu/plants/pesticides/sustainable-use-pesticides/farm-fork-targets-progress/eu-trends_en  </w:t>
      </w:r>
    </w:p>
  </w:footnote>
  <w:footnote w:id="10">
    <w:p w14:paraId="25B8188C" w14:textId="77777777" w:rsidR="00885B4C" w:rsidRPr="008C3DE0" w:rsidRDefault="00885B4C" w:rsidP="008C3DE0">
      <w:pPr>
        <w:pStyle w:val="FootnoteTextForceStyle"/>
        <w:rPr>
          <w:lang w:val="fr-FR"/>
        </w:rPr>
      </w:pPr>
      <w:r>
        <w:rPr>
          <w:vertAlign w:val="superscript"/>
        </w:rPr>
        <w:footnoteRef/>
      </w:r>
      <w:r w:rsidRPr="008C3DE0">
        <w:rPr>
          <w:lang w:val="fr-FR"/>
        </w:rPr>
        <w:tab/>
        <w:t>Communication de la Commission au Parlement européen, au Conseil européen, au Conseil, au Comité économique et social européen et au Comité des régions, Le pacte vert pour l’Europe [COM(2019) 640 final].</w:t>
      </w:r>
    </w:p>
  </w:footnote>
  <w:footnote w:id="11">
    <w:p w14:paraId="22927A91" w14:textId="77777777" w:rsidR="00885B4C" w:rsidRPr="008C3DE0" w:rsidRDefault="00885B4C" w:rsidP="008C3DE0">
      <w:pPr>
        <w:pStyle w:val="FootnoteTextForceStyle"/>
        <w:rPr>
          <w:lang w:val="fr-FR"/>
        </w:rPr>
      </w:pPr>
      <w:r>
        <w:rPr>
          <w:vertAlign w:val="superscript"/>
        </w:rPr>
        <w:footnoteRef/>
      </w:r>
      <w:r w:rsidRPr="008C3DE0">
        <w:rPr>
          <w:lang w:val="fr-FR"/>
        </w:rPr>
        <w:tab/>
        <w:t>Communication de la Commission au Parlement européen, au Conseil, au Comité économique et social européen et au Comité des régions, Stratégie pour la durabilité dans le domaine des produits chimiques – Vers un environnement exempt de substances toxiques [COM(2020) 667 final].</w:t>
      </w:r>
    </w:p>
  </w:footnote>
  <w:footnote w:id="12">
    <w:p w14:paraId="6874DFFE" w14:textId="77777777" w:rsidR="00885B4C" w:rsidRPr="008C3DE0" w:rsidRDefault="00885B4C" w:rsidP="008C3DE0">
      <w:pPr>
        <w:pStyle w:val="FootnoteTextForceStyle"/>
        <w:rPr>
          <w:lang w:val="fr-FR"/>
        </w:rPr>
      </w:pPr>
      <w:r>
        <w:rPr>
          <w:vertAlign w:val="superscript"/>
        </w:rPr>
        <w:footnoteRef/>
      </w:r>
      <w:r w:rsidRPr="008C3DE0">
        <w:rPr>
          <w:lang w:val="fr-FR"/>
        </w:rPr>
        <w:tab/>
        <w:t>Communication de la Commission au Parlement européen, au Conseil, au Comité économique et social européen et au Comité des régions, Cap sur une planète en bonne santé pour tous – Plan d’action de l’UE: «Vers une pollution zéro dans l’air, l’eau et les sols» [COM(2021) 400 final].</w:t>
      </w:r>
    </w:p>
  </w:footnote>
  <w:footnote w:id="13">
    <w:p w14:paraId="66C212E0" w14:textId="77777777" w:rsidR="00885B4C" w:rsidRPr="008C3DE0" w:rsidRDefault="00885B4C" w:rsidP="008C3DE0">
      <w:pPr>
        <w:pStyle w:val="FootnoteTextForceStyle"/>
        <w:rPr>
          <w:lang w:val="fr-FR"/>
        </w:rPr>
      </w:pPr>
      <w:r>
        <w:rPr>
          <w:vertAlign w:val="superscript"/>
        </w:rPr>
        <w:footnoteRef/>
      </w:r>
      <w:r w:rsidRPr="008C3DE0">
        <w:rPr>
          <w:lang w:val="fr-FR"/>
        </w:rPr>
        <w:tab/>
        <w:t>Communication de la Commission au Parlement européen, au Conseil, au Comité économique et social européen et au Comité des régions, Une stratégie européenne sur les matières plastiques dans une économie circulaire (COM/2018/028 final).</w:t>
      </w:r>
    </w:p>
  </w:footnote>
  <w:footnote w:id="14">
    <w:p w14:paraId="3E5B0207" w14:textId="77777777" w:rsidR="00885B4C" w:rsidRPr="008C3DE0" w:rsidRDefault="00885B4C" w:rsidP="008C3DE0">
      <w:pPr>
        <w:pStyle w:val="FootnoteTextForceStyle"/>
        <w:rPr>
          <w:lang w:val="fr-FR"/>
        </w:rPr>
      </w:pPr>
      <w:r>
        <w:rPr>
          <w:vertAlign w:val="superscript"/>
        </w:rPr>
        <w:footnoteRef/>
      </w:r>
      <w:r w:rsidRPr="008C3DE0">
        <w:rPr>
          <w:lang w:val="fr-FR"/>
        </w:rPr>
        <w:tab/>
        <w:t>Communication de la Commission au Parlement européen, au Conseil, au Comité économique et social européen et au Comité des régions, Stratégie pharmaceutique pour l’Europe (COM/2020/761 final).</w:t>
      </w:r>
    </w:p>
  </w:footnote>
  <w:footnote w:id="15">
    <w:p w14:paraId="44699A8A" w14:textId="77777777" w:rsidR="00885B4C" w:rsidRPr="008C3DE0" w:rsidRDefault="00885B4C" w:rsidP="008C3DE0">
      <w:pPr>
        <w:pStyle w:val="FootnoteTextForceStyle"/>
        <w:rPr>
          <w:lang w:val="fr-FR"/>
        </w:rPr>
      </w:pPr>
      <w:r>
        <w:rPr>
          <w:vertAlign w:val="superscript"/>
        </w:rPr>
        <w:footnoteRef/>
      </w:r>
      <w:r w:rsidRPr="008C3DE0">
        <w:rPr>
          <w:lang w:val="fr-FR"/>
        </w:rPr>
        <w:tab/>
        <w:t>Communication de la Commission au Parlement européen, au Conseil, au Comité économique et social européen et au Comité des régions, Stratégie de l’UE en faveur de la biodiversité à l’horizon 2030 – Ramener la nature dans nos vies [COM(2020) 380 final].</w:t>
      </w:r>
    </w:p>
  </w:footnote>
  <w:footnote w:id="16">
    <w:p w14:paraId="225A6B5D" w14:textId="77777777" w:rsidR="00885B4C" w:rsidRPr="008C3DE0" w:rsidRDefault="00885B4C" w:rsidP="008C3DE0">
      <w:pPr>
        <w:pStyle w:val="FootnoteTextForceStyle"/>
        <w:rPr>
          <w:lang w:val="fr-FR"/>
        </w:rPr>
      </w:pPr>
      <w:r>
        <w:rPr>
          <w:vertAlign w:val="superscript"/>
        </w:rPr>
        <w:footnoteRef/>
      </w:r>
      <w:r w:rsidRPr="008C3DE0">
        <w:rPr>
          <w:lang w:val="fr-FR"/>
        </w:rPr>
        <w:tab/>
        <w:t>Communication de la Commission au Parlement européen, au Conseil, au Comité économique et social européen et au Comité des régions, Une stratégie «De la ferme à la table» pour un système alimentaire équitable, sain et respectueux de l’environnement [COM(2020) 381 final].</w:t>
      </w:r>
    </w:p>
  </w:footnote>
  <w:footnote w:id="17">
    <w:p w14:paraId="01D5905A" w14:textId="77777777" w:rsidR="00885B4C" w:rsidRPr="008C3DE0" w:rsidRDefault="00885B4C" w:rsidP="008C3DE0">
      <w:pPr>
        <w:pStyle w:val="FootnoteTextForceStyle"/>
        <w:rPr>
          <w:lang w:val="fr-FR"/>
        </w:rPr>
      </w:pPr>
      <w:r>
        <w:rPr>
          <w:vertAlign w:val="superscript"/>
        </w:rPr>
        <w:footnoteRef/>
      </w:r>
      <w:r w:rsidRPr="008C3DE0">
        <w:rPr>
          <w:lang w:val="fr-FR"/>
        </w:rPr>
        <w:tab/>
        <w:t>Communication de la Commission au Parlement européen, au Conseil, au Comité économique et social européen et au Comité des régions, Stratégie de l’UE pour la protection des sols à l’horizon 2030 – Récolter les fruits de sols en bonne santé pour les êtres humains, l’alimentation, la nature et le climat (COM/2021/699 final).</w:t>
      </w:r>
    </w:p>
  </w:footnote>
  <w:footnote w:id="18">
    <w:p w14:paraId="790F7DB2" w14:textId="77777777" w:rsidR="00885B4C" w:rsidRPr="008C3DE0" w:rsidRDefault="00885B4C" w:rsidP="008C3DE0">
      <w:pPr>
        <w:pStyle w:val="FootnoteTextForceStyle"/>
        <w:rPr>
          <w:lang w:val="fr-FR"/>
        </w:rPr>
      </w:pPr>
      <w:r>
        <w:rPr>
          <w:vertAlign w:val="superscript"/>
        </w:rPr>
        <w:footnoteRef/>
      </w:r>
      <w:r w:rsidRPr="008C3DE0">
        <w:rPr>
          <w:lang w:val="fr-FR"/>
        </w:rPr>
        <w:tab/>
        <w:t>Communication de la Commission au Parlement européen, au Conseil, au Comité économique et social européen et au Comité des régions, Façonner l’avenir numérique de l’Europe (COM/2020/67 final).</w:t>
      </w:r>
    </w:p>
  </w:footnote>
  <w:footnote w:id="19">
    <w:p w14:paraId="62560DED" w14:textId="77777777" w:rsidR="00885B4C" w:rsidRPr="008C3DE0" w:rsidRDefault="00885B4C" w:rsidP="008C3DE0">
      <w:pPr>
        <w:pStyle w:val="FootnoteTextForceStyle"/>
        <w:rPr>
          <w:lang w:val="fr-FR"/>
        </w:rPr>
      </w:pPr>
      <w:r>
        <w:rPr>
          <w:vertAlign w:val="superscript"/>
        </w:rPr>
        <w:footnoteRef/>
      </w:r>
      <w:r w:rsidRPr="008C3DE0">
        <w:rPr>
          <w:lang w:val="fr-FR"/>
        </w:rPr>
        <w:tab/>
        <w:t>Communication de la Commission au Parlement européen, au Conseil, au Comité économique et social européen et au Comité des régions, Une stratégie européenne pour les données [COM(2020) 66 final].</w:t>
      </w:r>
    </w:p>
  </w:footnote>
  <w:footnote w:id="20">
    <w:p w14:paraId="1A611C09" w14:textId="77777777" w:rsidR="00885B4C" w:rsidRPr="008C3DE0" w:rsidRDefault="00885B4C" w:rsidP="008C3DE0">
      <w:pPr>
        <w:pStyle w:val="FootnoteTextForceStyle"/>
        <w:rPr>
          <w:lang w:val="fr-FR"/>
        </w:rPr>
      </w:pPr>
      <w:r>
        <w:rPr>
          <w:vertAlign w:val="superscript"/>
        </w:rPr>
        <w:footnoteRef/>
      </w:r>
      <w:r w:rsidRPr="008C3DE0">
        <w:rPr>
          <w:lang w:val="fr-FR"/>
        </w:rPr>
        <w:tab/>
        <w:t>Directive 2000/60/CE du Parlement européen et du Conseil du 23 octobre 2000 établissant un cadre pour une politique communautaire dans le domaine de l’eau (JO L 327 du 22.12.2000, p. 1).</w:t>
      </w:r>
    </w:p>
  </w:footnote>
  <w:footnote w:id="21">
    <w:p w14:paraId="1A7D3E11" w14:textId="77777777" w:rsidR="00885B4C" w:rsidRPr="008C3DE0" w:rsidRDefault="00885B4C" w:rsidP="008C3DE0">
      <w:pPr>
        <w:pStyle w:val="FootnoteTextForceStyle"/>
        <w:rPr>
          <w:lang w:val="fr-FR"/>
        </w:rPr>
      </w:pPr>
      <w:r>
        <w:rPr>
          <w:vertAlign w:val="superscript"/>
        </w:rPr>
        <w:footnoteRef/>
      </w:r>
      <w:r w:rsidRPr="008C3DE0">
        <w:rPr>
          <w:lang w:val="fr-FR"/>
        </w:rPr>
        <w:tab/>
        <w:t>Directive 2008/105/CE du Parlement européen et du Conseil du 16 décembre 2008 établissant des normes de qualité environnementale dans le domaine de l’eau, modifiant et abrogeant les directives du Conseil 82/176/CEE, 83/513/CEE, 84/156/CEE, 84/491/CEE, 86/280/CEE et modifiant la directive 2000/60/CE (JO L 348 du 24.12.2008, p. 84).</w:t>
      </w:r>
    </w:p>
  </w:footnote>
  <w:footnote w:id="22">
    <w:p w14:paraId="51C2DFE0" w14:textId="77777777" w:rsidR="00885B4C" w:rsidRPr="008C3DE0" w:rsidRDefault="00885B4C" w:rsidP="008C3DE0">
      <w:pPr>
        <w:pStyle w:val="FootnoteTextForceStyle"/>
        <w:rPr>
          <w:lang w:val="fr-FR"/>
        </w:rPr>
      </w:pPr>
      <w:r>
        <w:rPr>
          <w:vertAlign w:val="superscript"/>
        </w:rPr>
        <w:footnoteRef/>
      </w:r>
      <w:r w:rsidRPr="008C3DE0">
        <w:rPr>
          <w:lang w:val="fr-FR"/>
        </w:rPr>
        <w:tab/>
        <w:t>Décision nº 2455/2001/CE du Parlement européen et du Conseil du 20 novembre 2001 établissant la liste des substances prioritaires dans le domaine de l’eau et modifiant la directive 2000/60/CE (JO L 331 du 15.12.2001, p. 1).</w:t>
      </w:r>
    </w:p>
  </w:footnote>
  <w:footnote w:id="23">
    <w:p w14:paraId="3C137C14" w14:textId="77777777" w:rsidR="00885B4C" w:rsidRPr="008C3DE0" w:rsidRDefault="00885B4C" w:rsidP="008C3DE0">
      <w:pPr>
        <w:pStyle w:val="FootnoteTextForceStyle"/>
        <w:rPr>
          <w:lang w:val="fr-FR"/>
        </w:rPr>
      </w:pPr>
      <w:r>
        <w:rPr>
          <w:vertAlign w:val="superscript"/>
        </w:rPr>
        <w:footnoteRef/>
      </w:r>
      <w:r w:rsidRPr="008C3DE0">
        <w:rPr>
          <w:lang w:val="fr-FR"/>
        </w:rPr>
        <w:tab/>
        <w:t>Directive 2006/118/CE du Parlement européen et du Conseil du 12 décembre 2006 sur la protection des eaux souterraines contre la pollution et la détérioration (JO L 372 du 27.12.2006, p. 19).</w:t>
      </w:r>
    </w:p>
  </w:footnote>
  <w:footnote w:id="24">
    <w:p w14:paraId="528BCDBA" w14:textId="77777777" w:rsidR="00885B4C" w:rsidRPr="008C3DE0" w:rsidRDefault="00885B4C" w:rsidP="008C3DE0">
      <w:pPr>
        <w:pStyle w:val="FootnoteTextForceStyle"/>
        <w:rPr>
          <w:lang w:val="fr-FR"/>
        </w:rPr>
      </w:pPr>
      <w:r>
        <w:rPr>
          <w:vertAlign w:val="superscript"/>
        </w:rPr>
        <w:footnoteRef/>
      </w:r>
      <w:r w:rsidRPr="008C3DE0">
        <w:rPr>
          <w:lang w:val="fr-FR"/>
        </w:rPr>
        <w:tab/>
        <w:t>Règlement (CE) nº 1907/2006 du Parlement européen et du Conseil du 18 décembre 2006 concernant l’enregistrement, l’évaluation et l’autorisation des substances chimiques, ainsi que les restrictions applicables à ces substances (REACH), instituant une agence européenne des produits chimiques (JO L 396 du 30.12.2006, p. 1).</w:t>
      </w:r>
    </w:p>
  </w:footnote>
  <w:footnote w:id="25">
    <w:p w14:paraId="586036D4" w14:textId="77777777" w:rsidR="00885B4C" w:rsidRPr="008C3DE0" w:rsidRDefault="00885B4C" w:rsidP="008C3DE0">
      <w:pPr>
        <w:pStyle w:val="FootnoteTextForceStyle"/>
        <w:rPr>
          <w:lang w:val="fr-FR"/>
        </w:rPr>
      </w:pPr>
      <w:r>
        <w:rPr>
          <w:vertAlign w:val="superscript"/>
        </w:rPr>
        <w:footnoteRef/>
      </w:r>
      <w:r w:rsidRPr="008C3DE0">
        <w:rPr>
          <w:lang w:val="fr-FR"/>
        </w:rPr>
        <w:tab/>
        <w:t>Règlement (CE) nº 1107/2009 du Parlement européen et du Conseil du 21 octobre 2009 concernant la mise sur le marché des produits phytopharmaceutiques et abrogeant les directives 79/117/CEE et 91/414/CEE du Conseil (JO L 309 du 24.11.2009, p. 1).</w:t>
      </w:r>
    </w:p>
  </w:footnote>
  <w:footnote w:id="26">
    <w:p w14:paraId="7E24502F" w14:textId="77777777" w:rsidR="00885B4C" w:rsidRPr="008C3DE0" w:rsidRDefault="00885B4C" w:rsidP="008C3DE0">
      <w:pPr>
        <w:pStyle w:val="FootnoteTextForceStyle"/>
        <w:rPr>
          <w:lang w:val="fr-FR"/>
        </w:rPr>
      </w:pPr>
      <w:r>
        <w:rPr>
          <w:vertAlign w:val="superscript"/>
        </w:rPr>
        <w:footnoteRef/>
      </w:r>
      <w:r w:rsidRPr="008C3DE0">
        <w:rPr>
          <w:lang w:val="fr-FR"/>
        </w:rPr>
        <w:tab/>
        <w:t>Règlement (UE) nº 528/2012 du Parlement européen et du Conseil du 22 mai 2012 concernant la mise à disposition sur le marché et l’utilisation des produits biocides (JO L 167 du 27.6.2012, p. 1).</w:t>
      </w:r>
    </w:p>
  </w:footnote>
  <w:footnote w:id="27">
    <w:p w14:paraId="52250DDD" w14:textId="77777777" w:rsidR="00885B4C" w:rsidRPr="008C3DE0" w:rsidRDefault="00885B4C" w:rsidP="008C3DE0">
      <w:pPr>
        <w:pStyle w:val="FootnoteTextForceStyle"/>
        <w:rPr>
          <w:lang w:val="fr-FR"/>
        </w:rPr>
      </w:pPr>
      <w:r>
        <w:rPr>
          <w:vertAlign w:val="superscript"/>
        </w:rPr>
        <w:footnoteRef/>
      </w:r>
      <w:r w:rsidRPr="008C3DE0">
        <w:rPr>
          <w:lang w:val="fr-FR"/>
        </w:rPr>
        <w:tab/>
        <w:t>Règlement (UE) 2019/6 du Parlement européen et du Conseil du 11 décembre 2018 relatif aux médicaments vétérinaires et abrogeant la directive 2001/82/CE (JO L 4 du 7.1.2019, p. 43).</w:t>
      </w:r>
    </w:p>
  </w:footnote>
  <w:footnote w:id="28">
    <w:p w14:paraId="7291BB9D" w14:textId="77777777" w:rsidR="00885B4C" w:rsidRPr="008C3DE0" w:rsidRDefault="00885B4C" w:rsidP="008C3DE0">
      <w:pPr>
        <w:pStyle w:val="FootnoteTextForceStyle"/>
        <w:rPr>
          <w:lang w:val="fr-FR"/>
        </w:rPr>
      </w:pPr>
      <w:r>
        <w:rPr>
          <w:vertAlign w:val="superscript"/>
        </w:rPr>
        <w:footnoteRef/>
      </w:r>
      <w:r w:rsidRPr="008C3DE0">
        <w:rPr>
          <w:lang w:val="fr-FR"/>
        </w:rPr>
        <w:tab/>
        <w:t>Directive 2001/83/CE du Parlement européen et du Conseil du 6 novembre 2001 instituant un code communautaire relatif aux médicaments à usage humain (JO L 311 du 28.11.2001, p. 67).</w:t>
      </w:r>
    </w:p>
  </w:footnote>
  <w:footnote w:id="29">
    <w:p w14:paraId="5BD75831" w14:textId="77777777" w:rsidR="00885B4C" w:rsidRPr="008C3DE0" w:rsidRDefault="00885B4C" w:rsidP="008C3DE0">
      <w:pPr>
        <w:pStyle w:val="FootnoteTextForceStyle"/>
        <w:rPr>
          <w:lang w:val="fr-FR"/>
        </w:rPr>
      </w:pPr>
      <w:r>
        <w:rPr>
          <w:vertAlign w:val="superscript"/>
        </w:rPr>
        <w:footnoteRef/>
      </w:r>
      <w:r w:rsidRPr="008C3DE0">
        <w:rPr>
          <w:lang w:val="fr-FR"/>
        </w:rPr>
        <w:tab/>
        <w:t>Directive 2009/128/CE du Parlement européen et du Conseil du 21 octobre 2009 instaurant un cadre d’action communautaire pour parvenir à une utilisation des pesticides compatible avec le développement durable (JO L 309 du 24.11.2009, p. 71).</w:t>
      </w:r>
    </w:p>
  </w:footnote>
  <w:footnote w:id="30">
    <w:p w14:paraId="6F5F27D7" w14:textId="77777777" w:rsidR="00885B4C" w:rsidRPr="008C3DE0" w:rsidRDefault="00885B4C" w:rsidP="008C3DE0">
      <w:pPr>
        <w:pStyle w:val="FootnoteTextForceStyle"/>
        <w:rPr>
          <w:lang w:val="fr-FR"/>
        </w:rPr>
      </w:pPr>
      <w:r>
        <w:rPr>
          <w:vertAlign w:val="superscript"/>
        </w:rPr>
        <w:footnoteRef/>
      </w:r>
      <w:r w:rsidRPr="008C3DE0">
        <w:rPr>
          <w:lang w:val="fr-FR"/>
        </w:rPr>
        <w:tab/>
        <w:t>Directive 2010/75/CE du Parlement européen et du Conseil du 24 novembre 2010 relative aux émissions industrielles (prévention et réduction intégrées de la pollution) (JO L 334 du 17.12.2010, p. 17).</w:t>
      </w:r>
    </w:p>
  </w:footnote>
  <w:footnote w:id="31">
    <w:p w14:paraId="30884D5B" w14:textId="77777777" w:rsidR="00885B4C" w:rsidRPr="008C3DE0" w:rsidRDefault="00885B4C" w:rsidP="008C3DE0">
      <w:pPr>
        <w:pStyle w:val="FootnoteTextForceStyle"/>
        <w:rPr>
          <w:lang w:val="fr-FR"/>
        </w:rPr>
      </w:pPr>
      <w:r>
        <w:rPr>
          <w:vertAlign w:val="superscript"/>
        </w:rPr>
        <w:footnoteRef/>
      </w:r>
      <w:r w:rsidRPr="008C3DE0">
        <w:rPr>
          <w:lang w:val="fr-FR"/>
        </w:rPr>
        <w:tab/>
        <w:t>Directive 91/271/CEE du Conseil du 21 mai 1991 relative au traitement des eaux urbaines résiduaires (JO L 135 du 30.5.1991, p. 40).</w:t>
      </w:r>
    </w:p>
  </w:footnote>
  <w:footnote w:id="32">
    <w:p w14:paraId="780C6569" w14:textId="77777777" w:rsidR="00885B4C" w:rsidRDefault="00885B4C" w:rsidP="008C3DE0">
      <w:pPr>
        <w:pStyle w:val="FootnoteTextForceStyle"/>
      </w:pPr>
      <w:r>
        <w:rPr>
          <w:vertAlign w:val="superscript"/>
        </w:rPr>
        <w:footnoteRef/>
      </w:r>
      <w:r>
        <w:tab/>
      </w:r>
      <w:r>
        <w:rPr>
          <w:b/>
          <w:i/>
        </w:rPr>
        <w:t xml:space="preserve">«Transcriptomic signalling in zebrafish embryos exposed to environmental concentrations of glyphosate», 2022. «Effects of low-concentration glyphosate and </w:t>
      </w:r>
      <w:r>
        <w:rPr>
          <w:b/>
          <w:i/>
        </w:rPr>
        <w:t xml:space="preserve">aminomethyl phosphonic acid on zebrafish embryo development», 2021. «Global transcriptomic profiling demonstrates induction of oxidative stress and compensatory cellular stress responses in brown trout exposed to glyphosate and Roundup», 2018. </w:t>
      </w:r>
    </w:p>
  </w:footnote>
  <w:footnote w:id="33">
    <w:p w14:paraId="0E9B66AE" w14:textId="77777777" w:rsidR="00885B4C" w:rsidRPr="008C3DE0" w:rsidRDefault="00885B4C" w:rsidP="008C3DE0">
      <w:pPr>
        <w:pStyle w:val="FootnoteTextForceStyle"/>
        <w:rPr>
          <w:lang w:val="fr-FR"/>
        </w:rPr>
      </w:pPr>
      <w:r>
        <w:rPr>
          <w:vertAlign w:val="superscript"/>
        </w:rPr>
        <w:footnoteRef/>
      </w:r>
      <w:r w:rsidRPr="008C3DE0">
        <w:rPr>
          <w:lang w:val="fr-FR"/>
        </w:rPr>
        <w:tab/>
      </w:r>
      <w:r w:rsidRPr="008C3DE0">
        <w:rPr>
          <w:b/>
          <w:i/>
          <w:lang w:val="fr-FR"/>
        </w:rPr>
        <w:t>Décision de la Commission du 10 mars 2004 concernant la non-inscription de l’atrazine à l’annexe I de la directive 91/414/CEE du Conseil et le retrait des autorisations accordées aux produits phytopharmaceutiques contenant cette substance active</w:t>
      </w:r>
      <w:r>
        <w:rPr>
          <w:b/>
          <w:i/>
          <w:lang w:val="fr-FR"/>
        </w:rPr>
        <w:t xml:space="preserve"> (</w:t>
      </w:r>
      <w:r w:rsidRPr="008C3DE0">
        <w:rPr>
          <w:b/>
          <w:i/>
          <w:lang w:val="fr-FR"/>
        </w:rPr>
        <w:t>JO L 78 du 16.3.2004</w:t>
      </w:r>
      <w:r>
        <w:rPr>
          <w:b/>
          <w:i/>
          <w:lang w:val="fr-FR"/>
        </w:rPr>
        <w:t>, p. 53)</w:t>
      </w:r>
      <w:r w:rsidRPr="008C3DE0">
        <w:rPr>
          <w:b/>
          <w:i/>
          <w:lang w:val="fr-FR"/>
        </w:rPr>
        <w:t>.</w:t>
      </w:r>
    </w:p>
  </w:footnote>
  <w:footnote w:id="34">
    <w:p w14:paraId="7ABEECA9" w14:textId="77777777" w:rsidR="00885B4C" w:rsidRPr="008C3DE0" w:rsidRDefault="00885B4C" w:rsidP="008C3DE0">
      <w:pPr>
        <w:pStyle w:val="FootnoteTextForceStyle"/>
        <w:rPr>
          <w:lang w:val="fr-FR"/>
        </w:rPr>
      </w:pPr>
      <w:r>
        <w:rPr>
          <w:vertAlign w:val="superscript"/>
        </w:rPr>
        <w:footnoteRef/>
      </w:r>
      <w:r w:rsidRPr="008C3DE0">
        <w:rPr>
          <w:lang w:val="fr-FR"/>
        </w:rPr>
        <w:tab/>
      </w:r>
      <w:r w:rsidRPr="008C3DE0">
        <w:rPr>
          <w:b/>
          <w:i/>
          <w:lang w:val="fr-FR"/>
        </w:rPr>
        <w:t>Directive (UE) 2020/2184 du Parlement européen et du Conseil du 16 décembre 2020 relative à la qualité des eaux destinées à la consommation humaine (refonte)</w:t>
      </w:r>
      <w:r w:rsidRPr="001A31A5">
        <w:rPr>
          <w:b/>
          <w:i/>
          <w:szCs w:val="24"/>
          <w:lang w:val="fr-FR"/>
        </w:rPr>
        <w:t xml:space="preserve"> </w:t>
      </w:r>
      <w:r>
        <w:rPr>
          <w:b/>
          <w:i/>
          <w:szCs w:val="24"/>
          <w:lang w:val="fr-FR"/>
        </w:rPr>
        <w:t>(J</w:t>
      </w:r>
      <w:r w:rsidRPr="001A31A5">
        <w:rPr>
          <w:b/>
          <w:i/>
          <w:szCs w:val="24"/>
          <w:lang w:val="fr-FR"/>
        </w:rPr>
        <w:t>O L 435</w:t>
      </w:r>
      <w:r>
        <w:rPr>
          <w:b/>
          <w:i/>
          <w:szCs w:val="24"/>
          <w:lang w:val="fr-FR"/>
        </w:rPr>
        <w:t xml:space="preserve"> du</w:t>
      </w:r>
      <w:r w:rsidRPr="001A31A5">
        <w:rPr>
          <w:b/>
          <w:i/>
          <w:szCs w:val="24"/>
          <w:lang w:val="fr-FR"/>
        </w:rPr>
        <w:t xml:space="preserve"> 23.12.2020, p. 1</w:t>
      </w:r>
      <w:r>
        <w:rPr>
          <w:b/>
          <w:i/>
          <w:szCs w:val="24"/>
          <w:lang w:val="fr-FR"/>
        </w:rPr>
        <w:t>)</w:t>
      </w:r>
      <w:r w:rsidRPr="008C3DE0">
        <w:rPr>
          <w:b/>
          <w:i/>
          <w:lang w:val="fr-FR"/>
        </w:rPr>
        <w:t xml:space="preserve">. </w:t>
      </w:r>
    </w:p>
  </w:footnote>
  <w:footnote w:id="35">
    <w:p w14:paraId="098A0C3B" w14:textId="77777777" w:rsidR="00885B4C" w:rsidRDefault="00885B4C" w:rsidP="008C3DE0">
      <w:pPr>
        <w:pStyle w:val="FootnoteTextForceStyle"/>
      </w:pPr>
      <w:r>
        <w:rPr>
          <w:vertAlign w:val="superscript"/>
        </w:rPr>
        <w:footnoteRef/>
      </w:r>
      <w:r>
        <w:tab/>
      </w:r>
      <w:r>
        <w:rPr>
          <w:b/>
          <w:i/>
        </w:rPr>
        <w:t xml:space="preserve">CSRSEE, Contribution to ENV consultation: Comments on the Commission’s proposal for amending the WFD/GWD/EQSD, mars 2023. CSRSEE, Groundwater quality standards for proposed additional pollutants in the annexes to the Groundwater Directive (2006/118/EC), </w:t>
      </w:r>
      <w:r>
        <w:rPr>
          <w:b/>
          <w:i/>
        </w:rPr>
        <w:t>juillet 2022.</w:t>
      </w:r>
    </w:p>
  </w:footnote>
  <w:footnote w:id="36">
    <w:p w14:paraId="1003D83A" w14:textId="77777777" w:rsidR="00885B4C" w:rsidRDefault="00885B4C" w:rsidP="008C3DE0">
      <w:pPr>
        <w:pStyle w:val="FootnoteTextForceStyle"/>
      </w:pPr>
      <w:r>
        <w:rPr>
          <w:vertAlign w:val="superscript"/>
        </w:rPr>
        <w:footnoteRef/>
      </w:r>
      <w:r>
        <w:tab/>
      </w:r>
      <w:r>
        <w:rPr>
          <w:b/>
          <w:i/>
        </w:rPr>
        <w:t xml:space="preserve">EMA, Assessing the toxicological risk to human health and groundwater communities from veterinary pharmaceuticals in groundwater – Scientific guideline, </w:t>
      </w:r>
      <w:r>
        <w:rPr>
          <w:b/>
          <w:i/>
        </w:rPr>
        <w:t>avril 2018.</w:t>
      </w:r>
    </w:p>
  </w:footnote>
  <w:footnote w:id="37">
    <w:p w14:paraId="7E8AE3A9" w14:textId="77777777" w:rsidR="00885B4C" w:rsidRPr="008C3DE0" w:rsidRDefault="00885B4C" w:rsidP="008C3DE0">
      <w:pPr>
        <w:pStyle w:val="FootnoteTextForceStyle"/>
        <w:rPr>
          <w:lang w:val="fr-FR"/>
        </w:rPr>
      </w:pPr>
      <w:r>
        <w:rPr>
          <w:vertAlign w:val="superscript"/>
        </w:rPr>
        <w:footnoteRef/>
      </w:r>
      <w:r w:rsidRPr="008C3DE0">
        <w:rPr>
          <w:lang w:val="fr-FR"/>
        </w:rPr>
        <w:tab/>
      </w:r>
      <w:r w:rsidRPr="008C3DE0">
        <w:rPr>
          <w:b/>
          <w:i/>
          <w:lang w:val="fr-FR"/>
        </w:rPr>
        <w:t>Mémorandum européen sur les eaux souterraines en vue de garantir un captage d’eau de qualité et en quantité suffisante pour les générations futures, mars 2022.</w:t>
      </w:r>
    </w:p>
  </w:footnote>
  <w:footnote w:id="38">
    <w:p w14:paraId="314CCC3F" w14:textId="77777777" w:rsidR="00885B4C" w:rsidRDefault="00885B4C" w:rsidP="008C3DE0">
      <w:pPr>
        <w:pStyle w:val="FootnoteTextForceStyle"/>
      </w:pPr>
      <w:r>
        <w:rPr>
          <w:vertAlign w:val="superscript"/>
        </w:rPr>
        <w:footnoteRef/>
      </w:r>
      <w:r>
        <w:tab/>
      </w:r>
      <w:r>
        <w:rPr>
          <w:b/>
          <w:i/>
        </w:rPr>
        <w:t xml:space="preserve">EMA, Assessing the toxicological risk to human health and groundwater communities from veterinary pharmaceuticals in groundwater – Scientific guideline, </w:t>
      </w:r>
      <w:r>
        <w:rPr>
          <w:b/>
          <w:i/>
        </w:rPr>
        <w:t xml:space="preserve">avril 2018. </w:t>
      </w:r>
    </w:p>
  </w:footnote>
  <w:footnote w:id="39">
    <w:p w14:paraId="6A445E7B" w14:textId="77777777" w:rsidR="00885B4C" w:rsidRPr="008C3DE0" w:rsidRDefault="00885B4C" w:rsidP="008C3DE0">
      <w:pPr>
        <w:pStyle w:val="FootnoteTextForceStyle"/>
        <w:rPr>
          <w:lang w:val="fr-FR"/>
        </w:rPr>
      </w:pPr>
      <w:r>
        <w:rPr>
          <w:vertAlign w:val="superscript"/>
        </w:rPr>
        <w:footnoteRef/>
      </w:r>
      <w:r w:rsidRPr="008C3DE0">
        <w:rPr>
          <w:lang w:val="fr-FR"/>
        </w:rPr>
        <w:tab/>
        <w:t>Directive (UE) 2020/2184 du Parlement européen et du Conseil du 16 décembre 2020 relative à la qualité des eaux destinées à la consommation humaine (refonte) (JO L 435 du 23.12.2020, p. 1).</w:t>
      </w:r>
    </w:p>
  </w:footnote>
  <w:footnote w:id="40">
    <w:p w14:paraId="5BE98D77" w14:textId="77777777" w:rsidR="00885B4C" w:rsidRDefault="00885B4C" w:rsidP="008C3DE0">
      <w:pPr>
        <w:pStyle w:val="FootnoteTextForceStyle"/>
      </w:pPr>
      <w:r>
        <w:rPr>
          <w:vertAlign w:val="superscript"/>
        </w:rPr>
        <w:footnoteRef/>
      </w:r>
      <w:r>
        <w:tab/>
      </w:r>
      <w:r>
        <w:rPr>
          <w:b/>
          <w:i/>
        </w:rPr>
        <w:t xml:space="preserve">«Global burden of bacterial antimicrobial resistance in 2019: a systematic analysis», Lancet, 19 </w:t>
      </w:r>
      <w:r>
        <w:rPr>
          <w:b/>
          <w:i/>
        </w:rPr>
        <w:t xml:space="preserve">janvier 2022 https://www.sciencedirect.com/science/article/pii/S0140673621027240?via%3Dihub </w:t>
      </w:r>
    </w:p>
  </w:footnote>
  <w:footnote w:id="41">
    <w:p w14:paraId="29E506F1" w14:textId="77777777" w:rsidR="00885B4C" w:rsidRDefault="00885B4C" w:rsidP="008C3DE0">
      <w:pPr>
        <w:pStyle w:val="FootnoteTextForceStyle"/>
      </w:pPr>
      <w:r>
        <w:rPr>
          <w:vertAlign w:val="superscript"/>
        </w:rPr>
        <w:footnoteRef/>
      </w:r>
      <w:r>
        <w:tab/>
      </w:r>
      <w:r>
        <w:rPr>
          <w:b/>
          <w:i/>
        </w:rPr>
        <w:t xml:space="preserve">https://www.sciencedirect.com/science/article/pii/S2352186422000724 </w:t>
      </w:r>
    </w:p>
  </w:footnote>
  <w:footnote w:id="42">
    <w:p w14:paraId="524816EE" w14:textId="77777777" w:rsidR="00885B4C" w:rsidRPr="008C3DE0" w:rsidRDefault="00885B4C" w:rsidP="008C3DE0">
      <w:pPr>
        <w:pStyle w:val="FootnoteTextForceStyle"/>
        <w:rPr>
          <w:lang w:val="fr-FR"/>
        </w:rPr>
      </w:pPr>
      <w:r>
        <w:rPr>
          <w:vertAlign w:val="superscript"/>
        </w:rPr>
        <w:footnoteRef/>
      </w:r>
      <w:r w:rsidRPr="008C3DE0">
        <w:rPr>
          <w:lang w:val="fr-FR"/>
        </w:rPr>
        <w:tab/>
        <w:t>Document de travail des services de la Commission – Résumé du bilan de qualité de la directive-cadre sur l’eau, la directive sur la protection des eaux souterraines, la directive sur les normes de qualité environnementale, la directive «Inondations» [SWD(2019) 439 final].</w:t>
      </w:r>
    </w:p>
  </w:footnote>
  <w:footnote w:id="43">
    <w:p w14:paraId="32A477F6" w14:textId="77777777" w:rsidR="00885B4C" w:rsidRPr="008C3DE0" w:rsidRDefault="00885B4C" w:rsidP="008C3DE0">
      <w:pPr>
        <w:pStyle w:val="FootnoteTextForceStyle"/>
        <w:rPr>
          <w:lang w:val="fr-FR"/>
        </w:rPr>
      </w:pPr>
      <w:r>
        <w:rPr>
          <w:vertAlign w:val="superscript"/>
        </w:rPr>
        <w:footnoteRef/>
      </w:r>
      <w:r w:rsidRPr="008C3DE0">
        <w:rPr>
          <w:lang w:val="fr-FR"/>
        </w:rPr>
        <w:tab/>
      </w:r>
      <w:r w:rsidRPr="008C3DE0">
        <w:rPr>
          <w:b/>
          <w:i/>
          <w:lang w:val="fr-FR"/>
        </w:rPr>
        <w:t xml:space="preserve">https://www.igb-berlin.de/sites/default/files/media-files/download-files/IGB_Policy_Brief_WFD_2019.pdf </w:t>
      </w:r>
    </w:p>
  </w:footnote>
  <w:footnote w:id="44">
    <w:p w14:paraId="6A9AE77D" w14:textId="77777777" w:rsidR="00885B4C" w:rsidRPr="008C3DE0" w:rsidRDefault="00885B4C" w:rsidP="008C3DE0">
      <w:pPr>
        <w:pStyle w:val="FootnoteTextForceStyle"/>
        <w:rPr>
          <w:lang w:val="fr-FR"/>
        </w:rPr>
      </w:pPr>
      <w:r>
        <w:rPr>
          <w:vertAlign w:val="superscript"/>
        </w:rPr>
        <w:footnoteRef/>
      </w:r>
      <w:r w:rsidRPr="008C3DE0">
        <w:rPr>
          <w:lang w:val="fr-FR"/>
        </w:rPr>
        <w:tab/>
        <w:t>Directive 2007/2/CE du Parlement européen et du Conseil du 14 mars 2007 établissant une infrastructure d’information géographique dans la Communauté européenne (INSPIRE) (JO L 108 du 25.4.2007, p. 1).</w:t>
      </w:r>
    </w:p>
  </w:footnote>
  <w:footnote w:id="45">
    <w:p w14:paraId="53AF9F6B" w14:textId="77777777" w:rsidR="00885B4C" w:rsidRPr="008C3DE0" w:rsidRDefault="00885B4C" w:rsidP="008C3DE0">
      <w:pPr>
        <w:pStyle w:val="FootnoteTextForceStyle"/>
        <w:rPr>
          <w:lang w:val="fr-FR"/>
        </w:rPr>
      </w:pPr>
      <w:r>
        <w:rPr>
          <w:vertAlign w:val="superscript"/>
        </w:rPr>
        <w:footnoteRef/>
      </w:r>
      <w:r w:rsidRPr="008C3DE0">
        <w:rPr>
          <w:lang w:val="fr-FR"/>
        </w:rPr>
        <w:tab/>
        <w:t>Directive (UE) 2019/1024 du Parlement européen et du Conseil du 20 juin 2019 concernant les données ouvertes et la réutilisation des informations du secteur public (JO L 172 du 26.6.2019, p. 56).</w:t>
      </w:r>
    </w:p>
  </w:footnote>
  <w:footnote w:id="46">
    <w:p w14:paraId="1383B320" w14:textId="77777777" w:rsidR="00885B4C" w:rsidRPr="008C3DE0" w:rsidRDefault="00885B4C" w:rsidP="008C3DE0">
      <w:pPr>
        <w:pStyle w:val="FootnoteTextForceStyle"/>
        <w:rPr>
          <w:lang w:val="fr-FR"/>
        </w:rPr>
      </w:pPr>
      <w:r w:rsidRPr="008327D4">
        <w:rPr>
          <w:strike/>
          <w:vertAlign w:val="superscript"/>
        </w:rPr>
        <w:footnoteRef/>
      </w:r>
      <w:r w:rsidRPr="008C3DE0">
        <w:rPr>
          <w:lang w:val="fr-FR"/>
        </w:rPr>
        <w:tab/>
      </w:r>
      <w:r w:rsidRPr="008C3DE0">
        <w:rPr>
          <w:strike/>
          <w:lang w:val="fr-FR"/>
        </w:rPr>
        <w:t>Règlement (CE) nº 166/2006 du Parlement européen et du Conseil du 18 janvier 2006 concernant la création d’un registre européen des rejets et transferts de polluants, et modifiant les directives 91/689/CEE et 96/61/CE du Conseil (JO L 33 du 4.2.2006, p. 1).</w:t>
      </w:r>
    </w:p>
  </w:footnote>
  <w:footnote w:id="47">
    <w:p w14:paraId="3E7B91A4" w14:textId="77777777" w:rsidR="00885B4C" w:rsidRPr="008C3DE0" w:rsidRDefault="00885B4C" w:rsidP="008C3DE0">
      <w:pPr>
        <w:pStyle w:val="FootnoteTextForceStyle"/>
        <w:rPr>
          <w:lang w:val="fr-FR"/>
        </w:rPr>
      </w:pPr>
      <w:r>
        <w:rPr>
          <w:vertAlign w:val="superscript"/>
        </w:rPr>
        <w:footnoteRef/>
      </w:r>
      <w:r w:rsidRPr="008C3DE0">
        <w:rPr>
          <w:lang w:val="fr-FR"/>
        </w:rPr>
        <w:tab/>
        <w:t>Règlement (UE) nº 182/2011 du Parlement européen et du Conseil du 16 février 2011 établissant les règles et principes généraux relatifs aux modalités de contrôle par les États membres de l’exercice des compétences d’exécution par la Commission (JO L 55 du 28.2.2011, p. 13).</w:t>
      </w:r>
    </w:p>
  </w:footnote>
  <w:footnote w:id="48">
    <w:p w14:paraId="258F1134" w14:textId="77777777" w:rsidR="00885B4C" w:rsidRPr="008C3DE0" w:rsidRDefault="00885B4C" w:rsidP="008C3DE0">
      <w:pPr>
        <w:pStyle w:val="FootnoteTextForceStyle"/>
        <w:rPr>
          <w:lang w:val="fr-FR"/>
        </w:rPr>
      </w:pPr>
      <w:r>
        <w:rPr>
          <w:vertAlign w:val="superscript"/>
        </w:rPr>
        <w:footnoteRef/>
      </w:r>
      <w:r w:rsidRPr="008C3DE0">
        <w:rPr>
          <w:lang w:val="fr-FR"/>
        </w:rPr>
        <w:tab/>
      </w:r>
      <w:r w:rsidRPr="008C3DE0">
        <w:rPr>
          <w:vertAlign w:val="superscript"/>
          <w:lang w:val="fr-FR"/>
        </w:rPr>
        <w:t>+</w:t>
      </w:r>
      <w:r w:rsidRPr="008C3DE0">
        <w:rPr>
          <w:lang w:val="fr-FR"/>
        </w:rPr>
        <w:t>OP: veuillez insérer dans le texte le numéro du règlement figurant dans le document COM (2022) 157 et insérer le numéro, la date et la référence au JO dudit règlement dans la note de bas page.</w:t>
      </w:r>
    </w:p>
  </w:footnote>
  <w:footnote w:id="49">
    <w:p w14:paraId="7C93BC72" w14:textId="77777777" w:rsidR="00885B4C" w:rsidRPr="008C3DE0" w:rsidRDefault="00885B4C" w:rsidP="008C3DE0">
      <w:pPr>
        <w:pStyle w:val="FootnoteTextForceStyle"/>
        <w:rPr>
          <w:lang w:val="fr-FR"/>
        </w:rPr>
      </w:pPr>
      <w:r>
        <w:rPr>
          <w:vertAlign w:val="superscript"/>
        </w:rPr>
        <w:footnoteRef/>
      </w:r>
      <w:r w:rsidRPr="008C3DE0">
        <w:rPr>
          <w:lang w:val="fr-FR"/>
        </w:rPr>
        <w:tab/>
      </w:r>
      <w:r w:rsidRPr="008C3DE0">
        <w:rPr>
          <w:b/>
          <w:i/>
          <w:lang w:val="fr-FR"/>
        </w:rPr>
        <w:t xml:space="preserve">Arrêt de la Cour de justice du 28 mai 2020,  Land </w:t>
      </w:r>
      <w:r w:rsidRPr="008C3DE0">
        <w:rPr>
          <w:b/>
          <w:i/>
          <w:lang w:val="fr-FR"/>
        </w:rPr>
        <w:t xml:space="preserve">Nordrhein-Westfalen, C-535/18, EU:C:2020:391. Arrêt de la Cour de justice du 20 décembre 2017, Protect Natur-, Arten- und Landschaftschutz Umweltorganisation, C-664/15,EU:C:2017:987. </w:t>
      </w:r>
    </w:p>
  </w:footnote>
  <w:footnote w:id="50">
    <w:p w14:paraId="4AB16955" w14:textId="77777777" w:rsidR="00885B4C" w:rsidRPr="008C3DE0" w:rsidRDefault="00885B4C" w:rsidP="008C3DE0">
      <w:pPr>
        <w:pStyle w:val="FootnoteTextForceStyle"/>
        <w:rPr>
          <w:lang w:val="fr-FR"/>
        </w:rPr>
      </w:pPr>
      <w:r>
        <w:rPr>
          <w:vertAlign w:val="superscript"/>
        </w:rPr>
        <w:footnoteRef/>
      </w:r>
      <w:r w:rsidRPr="008C3DE0">
        <w:rPr>
          <w:lang w:val="fr-FR"/>
        </w:rPr>
        <w:tab/>
        <w:t>Décision nº 1313/2013/UE du Parlement européen et du Conseil du 17 décembre 2013 relative au mécanisme de protection civile de l’Union (JO L 347 du 20.12.2013, p. 924).</w:t>
      </w:r>
    </w:p>
  </w:footnote>
  <w:footnote w:id="51">
    <w:p w14:paraId="1322CEE7" w14:textId="77777777" w:rsidR="00885B4C" w:rsidRPr="008C3DE0" w:rsidRDefault="00885B4C" w:rsidP="008C3DE0">
      <w:pPr>
        <w:pStyle w:val="FootnoteTextForceStyle"/>
        <w:rPr>
          <w:lang w:val="fr-FR"/>
        </w:rPr>
      </w:pPr>
      <w:r>
        <w:rPr>
          <w:vertAlign w:val="superscript"/>
        </w:rPr>
        <w:footnoteRef/>
      </w:r>
      <w:r w:rsidRPr="008C3DE0">
        <w:rPr>
          <w:lang w:val="fr-FR"/>
        </w:rPr>
        <w:tab/>
      </w:r>
      <w:r w:rsidRPr="008C3DE0">
        <w:rPr>
          <w:b/>
          <w:i/>
          <w:lang w:val="fr-FR"/>
        </w:rPr>
        <w:t xml:space="preserve">OCDE, 6e table ronde sur le financement de l’eau. Disponible à l’adresse suivante: https://www.oecd.org/water/6th-Roundtable-on-Financing-Water-in-Europe-Summary-and-Highlights.pdf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E"/>
    <w:multiLevelType w:val="singleLevel"/>
    <w:tmpl w:val="089A813A"/>
    <w:lvl w:ilvl="0">
      <w:start w:val="1"/>
      <w:numFmt w:val="decimal"/>
      <w:pStyle w:val="ThetitleofAnnexIPoint0number"/>
      <w:lvlText w:val="%1."/>
      <w:lvlJc w:val="left"/>
      <w:pPr>
        <w:tabs>
          <w:tab w:val="num" w:pos="926"/>
        </w:tabs>
        <w:ind w:left="926" w:hanging="360"/>
      </w:pPr>
    </w:lvl>
  </w:abstractNum>
  <w:abstractNum w:abstractNumId="1"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2"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4" w15:restartNumberingAfterBreak="0">
    <w:nsid w:val="13E4330B"/>
    <w:multiLevelType w:val="multilevel"/>
    <w:tmpl w:val="643A6648"/>
    <w:name w:val="List Dash 3"/>
    <w:lvl w:ilvl="0">
      <w:start w:val="1"/>
      <w:numFmt w:val="decimal"/>
      <w:pStyle w:val="ListNumber1"/>
      <w:lvlText w:val="(%1)"/>
      <w:lvlJc w:val="left"/>
      <w:pPr>
        <w:tabs>
          <w:tab w:val="num" w:pos="1701"/>
        </w:tabs>
        <w:ind w:left="1701" w:hanging="709"/>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1"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398C015E"/>
    <w:multiLevelType w:val="multilevel"/>
    <w:tmpl w:val="4F4EEA34"/>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5"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6"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7"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8"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9"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0"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21"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6" w15:restartNumberingAfterBreak="0">
    <w:nsid w:val="64A12FA4"/>
    <w:multiLevelType w:val="multilevel"/>
    <w:tmpl w:val="428ECF3E"/>
    <w:name w:val="Heading"/>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8" w15:restartNumberingAfterBreak="0">
    <w:nsid w:val="71F06166"/>
    <w:multiLevelType w:val="multilevel"/>
    <w:tmpl w:val="538806B0"/>
    <w:name w:val="0.6719891"/>
    <w:lvl w:ilvl="0">
      <w:start w:val="1"/>
      <w:numFmt w:val="decimal"/>
      <w:lvlRestart w:val="0"/>
      <w:pStyle w:val="ListNumber"/>
      <w:lvlText w:val="(%1)"/>
      <w:lvlJc w:val="left"/>
      <w:pPr>
        <w:tabs>
          <w:tab w:val="num" w:pos="1276"/>
        </w:tabs>
        <w:ind w:left="1276" w:hanging="709"/>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7CBE4812"/>
    <w:multiLevelType w:val="singleLevel"/>
    <w:tmpl w:val="23C821E4"/>
    <w:name w:val="Considérant"/>
    <w:lvl w:ilvl="0">
      <w:start w:val="1"/>
      <w:numFmt w:val="decimal"/>
      <w:lvlRestart w:val="0"/>
      <w:lvlText w:val="(%1)"/>
      <w:lvlJc w:val="left"/>
      <w:pPr>
        <w:tabs>
          <w:tab w:val="num" w:pos="709"/>
        </w:tabs>
        <w:ind w:left="709" w:hanging="709"/>
      </w:pPr>
    </w:lvl>
  </w:abstractNum>
  <w:num w:numId="1" w16cid:durableId="590816392">
    <w:abstractNumId w:val="0"/>
  </w:num>
  <w:num w:numId="2" w16cid:durableId="1753970223">
    <w:abstractNumId w:val="2"/>
  </w:num>
  <w:num w:numId="3" w16cid:durableId="240604814">
    <w:abstractNumId w:val="13"/>
  </w:num>
  <w:num w:numId="4" w16cid:durableId="236326244">
    <w:abstractNumId w:val="5"/>
  </w:num>
  <w:num w:numId="5" w16cid:durableId="1724673399">
    <w:abstractNumId w:val="1"/>
  </w:num>
  <w:num w:numId="6" w16cid:durableId="332874123">
    <w:abstractNumId w:val="10"/>
  </w:num>
  <w:num w:numId="7" w16cid:durableId="1813058115">
    <w:abstractNumId w:val="20"/>
  </w:num>
  <w:num w:numId="8" w16cid:durableId="2109884942">
    <w:abstractNumId w:val="19"/>
  </w:num>
  <w:num w:numId="9" w16cid:durableId="1939949979">
    <w:abstractNumId w:val="28"/>
  </w:num>
  <w:num w:numId="10" w16cid:durableId="2086220788">
    <w:abstractNumId w:val="3"/>
  </w:num>
  <w:num w:numId="11" w16cid:durableId="1938512867">
    <w:abstractNumId w:val="12"/>
  </w:num>
  <w:num w:numId="12" w16cid:durableId="227225641">
    <w:abstractNumId w:val="4"/>
  </w:num>
  <w:num w:numId="13" w16cid:durableId="2070496586">
    <w:abstractNumId w:val="14"/>
  </w:num>
  <w:num w:numId="14" w16cid:durableId="1573731230">
    <w:abstractNumId w:val="11"/>
  </w:num>
  <w:num w:numId="15" w16cid:durableId="2012176116">
    <w:abstractNumId w:val="21"/>
  </w:num>
  <w:num w:numId="16" w16cid:durableId="257175192">
    <w:abstractNumId w:val="9"/>
  </w:num>
  <w:num w:numId="17" w16cid:durableId="892735936">
    <w:abstractNumId w:val="25"/>
  </w:num>
  <w:num w:numId="18" w16cid:durableId="75903038">
    <w:abstractNumId w:val="15"/>
  </w:num>
  <w:num w:numId="19" w16cid:durableId="1397123569">
    <w:abstractNumId w:val="27"/>
  </w:num>
  <w:num w:numId="20" w16cid:durableId="274679469">
    <w:abstractNumId w:val="8"/>
  </w:num>
  <w:num w:numId="21" w16cid:durableId="1929271371">
    <w:abstractNumId w:val="16"/>
  </w:num>
  <w:num w:numId="22" w16cid:durableId="93132993">
    <w:abstractNumId w:val="17"/>
  </w:num>
  <w:num w:numId="23" w16cid:durableId="1883397180">
    <w:abstractNumId w:val="6"/>
  </w:num>
  <w:num w:numId="24" w16cid:durableId="1604726461">
    <w:abstractNumId w:val="18"/>
  </w:num>
  <w:num w:numId="25" w16cid:durableId="1577589836">
    <w:abstractNumId w:val="23"/>
  </w:num>
  <w:num w:numId="26" w16cid:durableId="2099979998">
    <w:abstractNumId w:val="24"/>
  </w:num>
  <w:num w:numId="27" w16cid:durableId="225454113">
    <w:abstractNumId w:val="7"/>
  </w:num>
  <w:num w:numId="28" w16cid:durableId="1631788297">
    <w:abstractNumId w:val="22"/>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9-0238/2023"/>
    <w:docVar w:name="dvlangue" w:val="FR"/>
    <w:docVar w:name="dvnumam" w:val="228"/>
    <w:docVar w:name="dvpe" w:val="740.884"/>
    <w:docVar w:name="dvrapporteur" w:val="Rapporteur: "/>
    <w:docVar w:name="dvstar" w:val="***I"/>
    <w:docVar w:name="dvtitre" w:val="Résolution législative du Parlement européen du ... 2024 sur la proposition de directive du Parlement européen et du Conseil modifiant la directive 2000/60/CE établissant un cadre pour une politique communautaire dans le domaine de l’eau, la directive 2006/118/CE sur la protection des eaux souterraines contre la pollution et la détérioration, et la directive 2008/105/CE établissant des normes de qualité environnementale dans le domaine de l’eau.(COM(2022)0540 – C9-0361/2022 – 2022/0344(COD))"/>
  </w:docVars>
  <w:rsids>
    <w:rsidRoot w:val="00EE330D"/>
    <w:rsid w:val="00002272"/>
    <w:rsid w:val="00040481"/>
    <w:rsid w:val="00064002"/>
    <w:rsid w:val="000677B9"/>
    <w:rsid w:val="00067EED"/>
    <w:rsid w:val="000831BA"/>
    <w:rsid w:val="000944B7"/>
    <w:rsid w:val="000A42CC"/>
    <w:rsid w:val="000C5471"/>
    <w:rsid w:val="000E7DD9"/>
    <w:rsid w:val="000F6CCF"/>
    <w:rsid w:val="0010095E"/>
    <w:rsid w:val="00125B37"/>
    <w:rsid w:val="00162D54"/>
    <w:rsid w:val="00187494"/>
    <w:rsid w:val="00195F2C"/>
    <w:rsid w:val="001A31A5"/>
    <w:rsid w:val="001F32AE"/>
    <w:rsid w:val="00225568"/>
    <w:rsid w:val="00245099"/>
    <w:rsid w:val="002767FF"/>
    <w:rsid w:val="002A2088"/>
    <w:rsid w:val="002B18FE"/>
    <w:rsid w:val="002B5493"/>
    <w:rsid w:val="002C3C8B"/>
    <w:rsid w:val="002E6A76"/>
    <w:rsid w:val="00343214"/>
    <w:rsid w:val="00361C00"/>
    <w:rsid w:val="00395FA1"/>
    <w:rsid w:val="003E15D4"/>
    <w:rsid w:val="00411CCE"/>
    <w:rsid w:val="0041666E"/>
    <w:rsid w:val="00421060"/>
    <w:rsid w:val="004249F9"/>
    <w:rsid w:val="00434E9D"/>
    <w:rsid w:val="00471C19"/>
    <w:rsid w:val="004867E3"/>
    <w:rsid w:val="00494A28"/>
    <w:rsid w:val="004C0004"/>
    <w:rsid w:val="004C1CED"/>
    <w:rsid w:val="004C5D52"/>
    <w:rsid w:val="0050519A"/>
    <w:rsid w:val="005072A1"/>
    <w:rsid w:val="00514517"/>
    <w:rsid w:val="00515114"/>
    <w:rsid w:val="00545827"/>
    <w:rsid w:val="00560270"/>
    <w:rsid w:val="005B6317"/>
    <w:rsid w:val="005C2568"/>
    <w:rsid w:val="005F55D6"/>
    <w:rsid w:val="006037C0"/>
    <w:rsid w:val="006631B6"/>
    <w:rsid w:val="00680577"/>
    <w:rsid w:val="006E06C3"/>
    <w:rsid w:val="006F74FA"/>
    <w:rsid w:val="00710DD1"/>
    <w:rsid w:val="00731ADD"/>
    <w:rsid w:val="00734777"/>
    <w:rsid w:val="00747932"/>
    <w:rsid w:val="00751A4A"/>
    <w:rsid w:val="00756632"/>
    <w:rsid w:val="00762C74"/>
    <w:rsid w:val="00786EC0"/>
    <w:rsid w:val="007C37CE"/>
    <w:rsid w:val="007D1690"/>
    <w:rsid w:val="007E22AD"/>
    <w:rsid w:val="00817416"/>
    <w:rsid w:val="008327D4"/>
    <w:rsid w:val="00842779"/>
    <w:rsid w:val="00865F67"/>
    <w:rsid w:val="00881A7B"/>
    <w:rsid w:val="008828BC"/>
    <w:rsid w:val="008840E5"/>
    <w:rsid w:val="00885B4C"/>
    <w:rsid w:val="00887B3E"/>
    <w:rsid w:val="008C2AC6"/>
    <w:rsid w:val="008C3DE0"/>
    <w:rsid w:val="008E1A7B"/>
    <w:rsid w:val="00930C23"/>
    <w:rsid w:val="0093193B"/>
    <w:rsid w:val="009321EB"/>
    <w:rsid w:val="009509D8"/>
    <w:rsid w:val="00950B64"/>
    <w:rsid w:val="00981893"/>
    <w:rsid w:val="009B1B4D"/>
    <w:rsid w:val="00A15BE8"/>
    <w:rsid w:val="00A1687D"/>
    <w:rsid w:val="00A43E52"/>
    <w:rsid w:val="00A4678D"/>
    <w:rsid w:val="00A778C7"/>
    <w:rsid w:val="00AB441E"/>
    <w:rsid w:val="00AB6293"/>
    <w:rsid w:val="00AE0928"/>
    <w:rsid w:val="00AF3B82"/>
    <w:rsid w:val="00B12A07"/>
    <w:rsid w:val="00B12E95"/>
    <w:rsid w:val="00B22876"/>
    <w:rsid w:val="00B558F0"/>
    <w:rsid w:val="00BD48FE"/>
    <w:rsid w:val="00BD7BD8"/>
    <w:rsid w:val="00BE1586"/>
    <w:rsid w:val="00BE6ADC"/>
    <w:rsid w:val="00BF1A15"/>
    <w:rsid w:val="00C05BFE"/>
    <w:rsid w:val="00C23CD4"/>
    <w:rsid w:val="00C36497"/>
    <w:rsid w:val="00C61C0C"/>
    <w:rsid w:val="00C941CB"/>
    <w:rsid w:val="00CA06DC"/>
    <w:rsid w:val="00CA1700"/>
    <w:rsid w:val="00CC2357"/>
    <w:rsid w:val="00CC5573"/>
    <w:rsid w:val="00CF071A"/>
    <w:rsid w:val="00D01767"/>
    <w:rsid w:val="00D058B8"/>
    <w:rsid w:val="00D55A15"/>
    <w:rsid w:val="00D56C11"/>
    <w:rsid w:val="00D834A0"/>
    <w:rsid w:val="00D872DF"/>
    <w:rsid w:val="00D91E21"/>
    <w:rsid w:val="00DA20D4"/>
    <w:rsid w:val="00DA7FCD"/>
    <w:rsid w:val="00DD5773"/>
    <w:rsid w:val="00DE1CD3"/>
    <w:rsid w:val="00E365E1"/>
    <w:rsid w:val="00E820A4"/>
    <w:rsid w:val="00E96033"/>
    <w:rsid w:val="00EB006A"/>
    <w:rsid w:val="00EB4772"/>
    <w:rsid w:val="00ED169E"/>
    <w:rsid w:val="00ED4235"/>
    <w:rsid w:val="00EE2742"/>
    <w:rsid w:val="00EE330D"/>
    <w:rsid w:val="00F04346"/>
    <w:rsid w:val="00F075DC"/>
    <w:rsid w:val="00F149E9"/>
    <w:rsid w:val="00F45C85"/>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ADA19"/>
  <w15:chartTrackingRefBased/>
  <w15:docId w15:val="{B3ABDAA2-F222-4169-8C0E-CDF296CEAA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iPriority="35" w:unhideWhenUsed="1" w:qFormat="1"/>
    <w:lsdException w:name="table of authorities" w:uiPriority="0"/>
    <w:lsdException w:name="toa heading" w:uiPriority="0"/>
    <w:lsdException w:name="Title" w:uiPriority="10" w:qFormat="1"/>
    <w:lsdException w:name="Default Paragraph Font" w:uiPriority="0"/>
    <w:lsdException w:name="Subtitle" w:uiPriority="11" w:qFormat="1"/>
    <w:lsdException w:name="Salutation" w:uiPriority="0"/>
    <w:lsdException w:name="Date" w:uiPriority="0"/>
    <w:lsdException w:name="Note Heading" w:uiPriority="0"/>
    <w:lsdException w:name="Body Text 2" w:uiPriority="0"/>
    <w:lsdException w:name="Strong" w:uiPriority="22" w:qFormat="1"/>
    <w:lsdException w:name="Emphasis" w:uiPriority="20" w:qFormat="1"/>
    <w:lsdException w:name="HTML Top of Form" w:uiPriority="0"/>
    <w:lsdException w:name="HTML Bottom of Form" w:uiPriority="0"/>
    <w:lsdException w:name="Normal Table" w:semiHidden="1" w:uiPriority="0" w:unhideWhenUsed="1"/>
    <w:lsdException w:name="Outline List 1" w:uiPriority="0"/>
    <w:lsdException w:name="Outline List 2" w:uiPriority="0"/>
    <w:lsdException w:name="Outline List 3" w:uiPriority="0"/>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link w:val="Heading2Char"/>
    <w:uiPriority w:val="9"/>
    <w:semiHidden/>
    <w:qFormat/>
    <w:rsid w:val="00395FA1"/>
    <w:pPr>
      <w:keepNext/>
      <w:widowControl/>
      <w:numPr>
        <w:ilvl w:val="1"/>
        <w:numId w:val="2"/>
      </w:numPr>
      <w:spacing w:before="240" w:after="60"/>
      <w:outlineLvl w:val="1"/>
    </w:pPr>
    <w:rPr>
      <w:lang w:eastAsia="fr-FR"/>
    </w:rPr>
  </w:style>
  <w:style w:type="paragraph" w:styleId="Heading3">
    <w:name w:val="heading 3"/>
    <w:basedOn w:val="Normal"/>
    <w:next w:val="Normal"/>
    <w:link w:val="Heading3Char"/>
    <w:uiPriority w:val="9"/>
    <w:semiHidden/>
    <w:qFormat/>
    <w:rsid w:val="00395FA1"/>
    <w:pPr>
      <w:keepNext/>
      <w:widowControl/>
      <w:numPr>
        <w:ilvl w:val="2"/>
        <w:numId w:val="2"/>
      </w:numPr>
      <w:spacing w:before="240" w:after="60"/>
      <w:outlineLvl w:val="2"/>
    </w:pPr>
    <w:rPr>
      <w:rFonts w:ascii="Arial" w:hAnsi="Arial"/>
      <w:lang w:eastAsia="fr-FR"/>
    </w:rPr>
  </w:style>
  <w:style w:type="paragraph" w:styleId="Heading4">
    <w:name w:val="heading 4"/>
    <w:basedOn w:val="Normal"/>
    <w:next w:val="Normal"/>
    <w:link w:val="Heading4Char"/>
    <w:uiPriority w:val="9"/>
    <w:semiHidden/>
    <w:qFormat/>
    <w:rsid w:val="00395FA1"/>
    <w:pPr>
      <w:keepNext/>
      <w:widowControl/>
      <w:numPr>
        <w:ilvl w:val="3"/>
        <w:numId w:val="2"/>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3"/>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qFormat/>
    <w:pPr>
      <w:spacing w:before="240" w:after="60"/>
      <w:outlineLvl w:val="7"/>
    </w:pPr>
    <w:rPr>
      <w:rFonts w:ascii="Arial" w:hAnsi="Arial"/>
      <w:i/>
    </w:rPr>
  </w:style>
  <w:style w:type="paragraph" w:styleId="Heading9">
    <w:name w:val="heading 9"/>
    <w:basedOn w:val="Normal"/>
    <w:next w:val="Normal"/>
    <w:link w:val="Heading9Char"/>
    <w:uiPriority w:val="9"/>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uiPriority w:val="99"/>
    <w:rsid w:val="00395FA1"/>
  </w:style>
  <w:style w:type="paragraph" w:styleId="TOC2">
    <w:name w:val="toc 2"/>
    <w:basedOn w:val="Normal"/>
    <w:next w:val="Normal"/>
    <w:autoRedefine/>
    <w:uiPriority w:val="39"/>
    <w:semiHidden/>
    <w:rsid w:val="00395FA1"/>
    <w:pPr>
      <w:keepNext/>
      <w:keepLines/>
      <w:widowControl/>
    </w:pPr>
    <w:rPr>
      <w:b/>
      <w:noProof/>
      <w:lang w:eastAsia="fr-FR"/>
    </w:rPr>
  </w:style>
  <w:style w:type="paragraph" w:styleId="TOC3">
    <w:name w:val="toc 3"/>
    <w:basedOn w:val="Normal"/>
    <w:next w:val="Normal"/>
    <w:autoRedefine/>
    <w:uiPriority w:val="39"/>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515114"/>
    <w:rPr>
      <w:b/>
      <w:kern w:val="28"/>
      <w:sz w:val="28"/>
      <w:lang w:val="fr-FR" w:eastAsia="fr-FR"/>
    </w:rPr>
  </w:style>
  <w:style w:type="character" w:customStyle="1" w:styleId="Heading2Char">
    <w:name w:val="Heading 2 Char"/>
    <w:basedOn w:val="DefaultParagraphFont"/>
    <w:link w:val="Heading2"/>
    <w:uiPriority w:val="9"/>
    <w:semiHidden/>
    <w:rsid w:val="00515114"/>
    <w:rPr>
      <w:sz w:val="24"/>
      <w:lang w:val="fr-FR" w:eastAsia="fr-FR"/>
    </w:rPr>
  </w:style>
  <w:style w:type="character" w:customStyle="1" w:styleId="Heading3Char">
    <w:name w:val="Heading 3 Char"/>
    <w:basedOn w:val="DefaultParagraphFont"/>
    <w:link w:val="Heading3"/>
    <w:uiPriority w:val="9"/>
    <w:semiHidden/>
    <w:rsid w:val="00515114"/>
    <w:rPr>
      <w:rFonts w:ascii="Arial" w:hAnsi="Arial"/>
      <w:sz w:val="24"/>
      <w:lang w:val="fr-FR" w:eastAsia="fr-FR"/>
    </w:rPr>
  </w:style>
  <w:style w:type="character" w:customStyle="1" w:styleId="Heading4Char">
    <w:name w:val="Heading 4 Char"/>
    <w:basedOn w:val="DefaultParagraphFont"/>
    <w:link w:val="Heading4"/>
    <w:uiPriority w:val="9"/>
    <w:semiHidden/>
    <w:rsid w:val="00515114"/>
    <w:rPr>
      <w:sz w:val="24"/>
      <w:lang w:val="en-US" w:eastAsia="fr-FR"/>
    </w:rPr>
  </w:style>
  <w:style w:type="character" w:customStyle="1" w:styleId="Heading5Char">
    <w:name w:val="Heading 5 Char"/>
    <w:basedOn w:val="DefaultParagraphFont"/>
    <w:link w:val="Heading5"/>
    <w:uiPriority w:val="9"/>
    <w:semiHidden/>
    <w:rsid w:val="00515114"/>
    <w:rPr>
      <w:sz w:val="24"/>
      <w:lang w:val="en-US" w:eastAsia="fr-FR"/>
    </w:rPr>
  </w:style>
  <w:style w:type="character" w:customStyle="1" w:styleId="Heading6Char">
    <w:name w:val="Heading 6 Char"/>
    <w:basedOn w:val="DefaultParagraphFont"/>
    <w:link w:val="Heading6"/>
    <w:uiPriority w:val="9"/>
    <w:semiHidden/>
    <w:rsid w:val="00515114"/>
    <w:rPr>
      <w:i/>
      <w:sz w:val="22"/>
      <w:lang w:val="fr-FR"/>
    </w:rPr>
  </w:style>
  <w:style w:type="character" w:customStyle="1" w:styleId="Heading7Char">
    <w:name w:val="Heading 7 Char"/>
    <w:basedOn w:val="DefaultParagraphFont"/>
    <w:link w:val="Heading7"/>
    <w:uiPriority w:val="9"/>
    <w:semiHidden/>
    <w:rsid w:val="00515114"/>
    <w:rPr>
      <w:rFonts w:ascii="Arial" w:hAnsi="Arial"/>
      <w:sz w:val="24"/>
      <w:lang w:val="fr-FR"/>
    </w:rPr>
  </w:style>
  <w:style w:type="character" w:customStyle="1" w:styleId="Heading8Char">
    <w:name w:val="Heading 8 Char"/>
    <w:basedOn w:val="DefaultParagraphFont"/>
    <w:link w:val="Heading8"/>
    <w:uiPriority w:val="9"/>
    <w:rsid w:val="00515114"/>
    <w:rPr>
      <w:rFonts w:ascii="Arial" w:hAnsi="Arial"/>
      <w:i/>
      <w:sz w:val="24"/>
      <w:lang w:val="fr-FR"/>
    </w:rPr>
  </w:style>
  <w:style w:type="character" w:customStyle="1" w:styleId="Heading9Char">
    <w:name w:val="Heading 9 Char"/>
    <w:basedOn w:val="DefaultParagraphFont"/>
    <w:link w:val="Heading9"/>
    <w:uiPriority w:val="9"/>
    <w:rsid w:val="00515114"/>
    <w:rPr>
      <w:rFonts w:ascii="Arial" w:hAnsi="Arial"/>
      <w:b/>
      <w:i/>
      <w:sz w:val="18"/>
      <w:lang w:val="fr-FR"/>
    </w:rPr>
  </w:style>
  <w:style w:type="paragraph" w:styleId="TOCHeading">
    <w:name w:val="TOC Heading"/>
    <w:basedOn w:val="Normal"/>
    <w:next w:val="Normal"/>
    <w:uiPriority w:val="39"/>
    <w:unhideWhenUsed/>
    <w:qFormat/>
    <w:rsid w:val="00515114"/>
    <w:pPr>
      <w:widowControl/>
      <w:spacing w:after="240"/>
    </w:pPr>
    <w:rPr>
      <w:lang w:val="en-GB"/>
    </w:rPr>
  </w:style>
  <w:style w:type="paragraph" w:customStyle="1" w:styleId="EPFooter2">
    <w:name w:val="EPFooter2"/>
    <w:basedOn w:val="Normal"/>
    <w:next w:val="Normal"/>
    <w:rsid w:val="00515114"/>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515114"/>
    <w:pPr>
      <w:keepNext/>
      <w:spacing w:after="240"/>
      <w:jc w:val="right"/>
    </w:pPr>
    <w:rPr>
      <w:rFonts w:ascii="Arial" w:hAnsi="Arial"/>
      <w:b/>
    </w:rPr>
  </w:style>
  <w:style w:type="paragraph" w:customStyle="1" w:styleId="Normal6a">
    <w:name w:val="Normal6a"/>
    <w:basedOn w:val="Normal"/>
    <w:rsid w:val="00515114"/>
    <w:pPr>
      <w:spacing w:after="120"/>
    </w:pPr>
  </w:style>
  <w:style w:type="paragraph" w:customStyle="1" w:styleId="PageHeading">
    <w:name w:val="PageHeading"/>
    <w:basedOn w:val="Normal"/>
    <w:rsid w:val="00515114"/>
    <w:pPr>
      <w:keepNext/>
      <w:spacing w:after="480"/>
      <w:jc w:val="center"/>
    </w:pPr>
    <w:rPr>
      <w:rFonts w:ascii="Arial" w:hAnsi="Arial" w:cs="Arial"/>
      <w:b/>
    </w:rPr>
  </w:style>
  <w:style w:type="paragraph" w:customStyle="1" w:styleId="NormalBold">
    <w:name w:val="NormalBold"/>
    <w:basedOn w:val="Normal"/>
    <w:link w:val="NormalBoldChar"/>
    <w:rsid w:val="00515114"/>
    <w:rPr>
      <w:b/>
    </w:rPr>
  </w:style>
  <w:style w:type="paragraph" w:customStyle="1" w:styleId="NormalBold12a">
    <w:name w:val="NormalBold12a"/>
    <w:basedOn w:val="Normal"/>
    <w:rsid w:val="00515114"/>
    <w:pPr>
      <w:spacing w:after="240"/>
    </w:pPr>
    <w:rPr>
      <w:b/>
    </w:rPr>
  </w:style>
  <w:style w:type="paragraph" w:customStyle="1" w:styleId="AmJustText">
    <w:name w:val="AmJustText"/>
    <w:basedOn w:val="Normal"/>
    <w:rsid w:val="00515114"/>
    <w:pPr>
      <w:spacing w:after="240"/>
    </w:pPr>
    <w:rPr>
      <w:i/>
    </w:rPr>
  </w:style>
  <w:style w:type="paragraph" w:customStyle="1" w:styleId="NormalHanging12a">
    <w:name w:val="NormalHanging12a"/>
    <w:basedOn w:val="Normal"/>
    <w:rsid w:val="00515114"/>
    <w:pPr>
      <w:spacing w:after="240"/>
      <w:ind w:left="567" w:hanging="567"/>
    </w:pPr>
  </w:style>
  <w:style w:type="paragraph" w:customStyle="1" w:styleId="CoverNormal24a">
    <w:name w:val="CoverNormal24a"/>
    <w:basedOn w:val="Normal"/>
    <w:rsid w:val="00515114"/>
    <w:pPr>
      <w:spacing w:after="480"/>
      <w:ind w:left="1417"/>
    </w:pPr>
  </w:style>
  <w:style w:type="paragraph" w:customStyle="1" w:styleId="CoverNormal">
    <w:name w:val="CoverNormal"/>
    <w:basedOn w:val="Normal"/>
    <w:rsid w:val="00515114"/>
    <w:pPr>
      <w:ind w:left="1418"/>
    </w:pPr>
  </w:style>
  <w:style w:type="paragraph" w:customStyle="1" w:styleId="AmCrossRef">
    <w:name w:val="AmCrossRef"/>
    <w:basedOn w:val="Normal"/>
    <w:rsid w:val="00515114"/>
    <w:pPr>
      <w:spacing w:before="240" w:after="240"/>
      <w:jc w:val="center"/>
    </w:pPr>
    <w:rPr>
      <w:i/>
    </w:rPr>
  </w:style>
  <w:style w:type="paragraph" w:customStyle="1" w:styleId="AmJustTitle">
    <w:name w:val="AmJustTitle"/>
    <w:basedOn w:val="Normal"/>
    <w:next w:val="AmJustText"/>
    <w:rsid w:val="00515114"/>
    <w:pPr>
      <w:keepNext/>
      <w:spacing w:before="240" w:after="240"/>
      <w:jc w:val="center"/>
    </w:pPr>
    <w:rPr>
      <w:i/>
    </w:rPr>
  </w:style>
  <w:style w:type="paragraph" w:customStyle="1" w:styleId="CoverReference">
    <w:name w:val="CoverReference"/>
    <w:basedOn w:val="Normal"/>
    <w:rsid w:val="00515114"/>
    <w:pPr>
      <w:spacing w:before="1080"/>
      <w:jc w:val="right"/>
    </w:pPr>
    <w:rPr>
      <w:rFonts w:ascii="Arial" w:hAnsi="Arial" w:cs="Arial"/>
      <w:b/>
    </w:rPr>
  </w:style>
  <w:style w:type="paragraph" w:customStyle="1" w:styleId="CoverDocType">
    <w:name w:val="CoverDocType"/>
    <w:basedOn w:val="Normal"/>
    <w:rsid w:val="00515114"/>
    <w:pPr>
      <w:ind w:left="1418"/>
    </w:pPr>
    <w:rPr>
      <w:rFonts w:ascii="Arial" w:hAnsi="Arial"/>
      <w:b/>
      <w:sz w:val="48"/>
    </w:rPr>
  </w:style>
  <w:style w:type="paragraph" w:customStyle="1" w:styleId="CoverDocType24a">
    <w:name w:val="CoverDocType24a"/>
    <w:basedOn w:val="Normal"/>
    <w:rsid w:val="00515114"/>
    <w:pPr>
      <w:spacing w:after="480"/>
      <w:ind w:left="1418"/>
    </w:pPr>
    <w:rPr>
      <w:rFonts w:ascii="Arial" w:hAnsi="Arial"/>
      <w:b/>
      <w:sz w:val="48"/>
    </w:rPr>
  </w:style>
  <w:style w:type="paragraph" w:customStyle="1" w:styleId="CoverDate">
    <w:name w:val="CoverDate"/>
    <w:basedOn w:val="Normal"/>
    <w:rsid w:val="00515114"/>
    <w:pPr>
      <w:spacing w:before="240" w:after="1200"/>
    </w:pPr>
  </w:style>
  <w:style w:type="paragraph" w:styleId="Header">
    <w:name w:val="header"/>
    <w:basedOn w:val="Normal"/>
    <w:link w:val="HeaderChar"/>
    <w:uiPriority w:val="99"/>
    <w:rsid w:val="00515114"/>
    <w:pPr>
      <w:tabs>
        <w:tab w:val="center" w:pos="4513"/>
        <w:tab w:val="right" w:pos="9026"/>
      </w:tabs>
    </w:pPr>
  </w:style>
  <w:style w:type="character" w:customStyle="1" w:styleId="HeaderChar">
    <w:name w:val="Header Char"/>
    <w:basedOn w:val="DefaultParagraphFont"/>
    <w:link w:val="Header"/>
    <w:uiPriority w:val="99"/>
    <w:rsid w:val="00515114"/>
    <w:rPr>
      <w:sz w:val="24"/>
      <w:lang w:val="fr-FR"/>
    </w:rPr>
  </w:style>
  <w:style w:type="paragraph" w:customStyle="1" w:styleId="AmOrLang">
    <w:name w:val="AmOrLang"/>
    <w:basedOn w:val="Normal"/>
    <w:rsid w:val="00515114"/>
    <w:pPr>
      <w:spacing w:before="240" w:after="240"/>
      <w:jc w:val="right"/>
    </w:pPr>
  </w:style>
  <w:style w:type="paragraph" w:customStyle="1" w:styleId="AmColumnHeading">
    <w:name w:val="AmColumnHeading"/>
    <w:basedOn w:val="Normal"/>
    <w:rsid w:val="00515114"/>
    <w:pPr>
      <w:spacing w:after="240"/>
      <w:jc w:val="center"/>
    </w:pPr>
    <w:rPr>
      <w:i/>
    </w:rPr>
  </w:style>
  <w:style w:type="paragraph" w:customStyle="1" w:styleId="AmNumberTabs">
    <w:name w:val="AmNumberTabs"/>
    <w:basedOn w:val="Normal"/>
    <w:link w:val="AmNumberTabsChar"/>
    <w:rsid w:val="0051511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515114"/>
    <w:pPr>
      <w:spacing w:before="240"/>
    </w:pPr>
    <w:rPr>
      <w:b/>
    </w:rPr>
  </w:style>
  <w:style w:type="paragraph" w:customStyle="1" w:styleId="EPBody">
    <w:name w:val="EPBody"/>
    <w:basedOn w:val="Normal"/>
    <w:rsid w:val="00515114"/>
    <w:pPr>
      <w:jc w:val="center"/>
    </w:pPr>
    <w:rPr>
      <w:rFonts w:ascii="Arial" w:hAnsi="Arial" w:cs="Arial"/>
      <w:i/>
      <w:sz w:val="22"/>
      <w:szCs w:val="22"/>
    </w:rPr>
  </w:style>
  <w:style w:type="paragraph" w:customStyle="1" w:styleId="EPFooter">
    <w:name w:val="EPFooter"/>
    <w:basedOn w:val="Normal"/>
    <w:rsid w:val="00515114"/>
    <w:pPr>
      <w:tabs>
        <w:tab w:val="center" w:pos="4535"/>
        <w:tab w:val="right" w:pos="9071"/>
      </w:tabs>
      <w:spacing w:before="240" w:after="240"/>
    </w:pPr>
    <w:rPr>
      <w:color w:val="010000"/>
      <w:sz w:val="22"/>
    </w:rPr>
  </w:style>
  <w:style w:type="paragraph" w:customStyle="1" w:styleId="EPComma">
    <w:name w:val="EPComma"/>
    <w:basedOn w:val="Normal"/>
    <w:rsid w:val="00515114"/>
    <w:pPr>
      <w:spacing w:before="480" w:after="240"/>
    </w:pPr>
  </w:style>
  <w:style w:type="paragraph" w:customStyle="1" w:styleId="Lgendesigne">
    <w:name w:val="Légende signe"/>
    <w:basedOn w:val="Normal"/>
    <w:rsid w:val="00515114"/>
    <w:pPr>
      <w:tabs>
        <w:tab w:val="right" w:pos="454"/>
        <w:tab w:val="left" w:pos="737"/>
      </w:tabs>
      <w:ind w:left="737" w:hanging="737"/>
    </w:pPr>
    <w:rPr>
      <w:snapToGrid w:val="0"/>
      <w:sz w:val="18"/>
      <w:lang w:eastAsia="en-US"/>
    </w:rPr>
  </w:style>
  <w:style w:type="paragraph" w:customStyle="1" w:styleId="Lgendetitre">
    <w:name w:val="Légende titre"/>
    <w:basedOn w:val="Normal"/>
    <w:rsid w:val="00515114"/>
    <w:pPr>
      <w:spacing w:before="240" w:after="240"/>
    </w:pPr>
    <w:rPr>
      <w:b/>
      <w:i/>
      <w:snapToGrid w:val="0"/>
      <w:lang w:eastAsia="en-US"/>
    </w:rPr>
  </w:style>
  <w:style w:type="paragraph" w:customStyle="1" w:styleId="Lgendestandard">
    <w:name w:val="Légende standard"/>
    <w:basedOn w:val="Normal"/>
    <w:rsid w:val="00515114"/>
    <w:rPr>
      <w:sz w:val="18"/>
    </w:rPr>
  </w:style>
  <w:style w:type="paragraph" w:customStyle="1" w:styleId="EntPE">
    <w:name w:val="EntPE"/>
    <w:basedOn w:val="Normal12"/>
    <w:rsid w:val="00515114"/>
    <w:pPr>
      <w:jc w:val="center"/>
    </w:pPr>
    <w:rPr>
      <w:noProof w:val="0"/>
      <w:sz w:val="56"/>
    </w:rPr>
  </w:style>
  <w:style w:type="paragraph" w:customStyle="1" w:styleId="Normal12">
    <w:name w:val="Normal12"/>
    <w:basedOn w:val="Normal"/>
    <w:link w:val="Normal12Char"/>
    <w:rsid w:val="00515114"/>
    <w:pPr>
      <w:spacing w:after="240"/>
    </w:pPr>
    <w:rPr>
      <w:noProof/>
    </w:rPr>
  </w:style>
  <w:style w:type="paragraph" w:customStyle="1" w:styleId="CommitteeAM">
    <w:name w:val="CommitteeAM"/>
    <w:basedOn w:val="Normal"/>
    <w:rsid w:val="00515114"/>
    <w:pPr>
      <w:spacing w:before="240" w:after="600"/>
      <w:jc w:val="center"/>
    </w:pPr>
    <w:rPr>
      <w:i/>
    </w:rPr>
  </w:style>
  <w:style w:type="paragraph" w:customStyle="1" w:styleId="ZDateAM">
    <w:name w:val="ZDateAM"/>
    <w:basedOn w:val="Normal"/>
    <w:rsid w:val="00515114"/>
    <w:pPr>
      <w:tabs>
        <w:tab w:val="right" w:pos="9356"/>
      </w:tabs>
      <w:spacing w:after="480"/>
    </w:pPr>
    <w:rPr>
      <w:noProof/>
    </w:rPr>
  </w:style>
  <w:style w:type="paragraph" w:customStyle="1" w:styleId="ProjRap">
    <w:name w:val="ProjRap"/>
    <w:basedOn w:val="Normal"/>
    <w:rsid w:val="00515114"/>
    <w:pPr>
      <w:tabs>
        <w:tab w:val="right" w:pos="9356"/>
      </w:tabs>
    </w:pPr>
    <w:rPr>
      <w:b/>
      <w:noProof/>
    </w:rPr>
  </w:style>
  <w:style w:type="character" w:customStyle="1" w:styleId="Normal12Char">
    <w:name w:val="Normal12 Char"/>
    <w:basedOn w:val="DefaultParagraphFont"/>
    <w:link w:val="Normal12"/>
    <w:locked/>
    <w:rsid w:val="00515114"/>
    <w:rPr>
      <w:noProof/>
      <w:sz w:val="24"/>
      <w:lang w:val="fr-FR"/>
    </w:rPr>
  </w:style>
  <w:style w:type="paragraph" w:customStyle="1" w:styleId="PELeft">
    <w:name w:val="PELeft"/>
    <w:basedOn w:val="Normal"/>
    <w:rsid w:val="00515114"/>
    <w:pPr>
      <w:spacing w:before="40" w:after="40"/>
    </w:pPr>
    <w:rPr>
      <w:rFonts w:ascii="Arial" w:hAnsi="Arial" w:cs="Arial"/>
      <w:sz w:val="22"/>
      <w:szCs w:val="22"/>
    </w:rPr>
  </w:style>
  <w:style w:type="paragraph" w:customStyle="1" w:styleId="PERight">
    <w:name w:val="PERight"/>
    <w:basedOn w:val="Normal"/>
    <w:next w:val="Normal"/>
    <w:rsid w:val="00515114"/>
    <w:pPr>
      <w:jc w:val="right"/>
    </w:pPr>
    <w:rPr>
      <w:rFonts w:ascii="Arial" w:hAnsi="Arial" w:cs="Arial"/>
      <w:sz w:val="22"/>
      <w:szCs w:val="22"/>
    </w:rPr>
  </w:style>
  <w:style w:type="paragraph" w:customStyle="1" w:styleId="Normal6">
    <w:name w:val="Normal6"/>
    <w:basedOn w:val="Normal"/>
    <w:link w:val="Normal6Char"/>
    <w:rsid w:val="00515114"/>
    <w:pPr>
      <w:spacing w:after="120"/>
    </w:pPr>
  </w:style>
  <w:style w:type="paragraph" w:customStyle="1" w:styleId="Normal12Italic">
    <w:name w:val="Normal12Italic"/>
    <w:basedOn w:val="Normal12"/>
    <w:rsid w:val="00515114"/>
    <w:rPr>
      <w:i/>
    </w:rPr>
  </w:style>
  <w:style w:type="character" w:customStyle="1" w:styleId="NormalBoldChar">
    <w:name w:val="NormalBold Char"/>
    <w:basedOn w:val="DefaultParagraphFont"/>
    <w:link w:val="NormalBold"/>
    <w:rsid w:val="00515114"/>
    <w:rPr>
      <w:b/>
      <w:sz w:val="24"/>
      <w:lang w:val="fr-FR"/>
    </w:rPr>
  </w:style>
  <w:style w:type="paragraph" w:customStyle="1" w:styleId="JustificationTitle">
    <w:name w:val="JustificationTitle"/>
    <w:basedOn w:val="Normal"/>
    <w:next w:val="Normal12"/>
    <w:rsid w:val="00515114"/>
    <w:pPr>
      <w:keepNext/>
      <w:spacing w:before="240" w:after="240"/>
      <w:jc w:val="center"/>
    </w:pPr>
    <w:rPr>
      <w:i/>
      <w:noProof/>
    </w:rPr>
  </w:style>
  <w:style w:type="paragraph" w:customStyle="1" w:styleId="Olang">
    <w:name w:val="Olang"/>
    <w:basedOn w:val="Normal"/>
    <w:rsid w:val="00515114"/>
    <w:pPr>
      <w:spacing w:before="240" w:after="240"/>
      <w:jc w:val="right"/>
    </w:pPr>
    <w:rPr>
      <w:noProof/>
      <w:szCs w:val="24"/>
    </w:rPr>
  </w:style>
  <w:style w:type="character" w:customStyle="1" w:styleId="Normal6Char">
    <w:name w:val="Normal6 Char"/>
    <w:basedOn w:val="DefaultParagraphFont"/>
    <w:link w:val="Normal6"/>
    <w:rsid w:val="00515114"/>
    <w:rPr>
      <w:sz w:val="24"/>
      <w:lang w:val="fr-FR"/>
    </w:rPr>
  </w:style>
  <w:style w:type="paragraph" w:customStyle="1" w:styleId="ColumnHeading">
    <w:name w:val="ColumnHeading"/>
    <w:basedOn w:val="Normal"/>
    <w:rsid w:val="00515114"/>
    <w:pPr>
      <w:spacing w:after="240"/>
      <w:jc w:val="center"/>
    </w:pPr>
    <w:rPr>
      <w:i/>
    </w:rPr>
  </w:style>
  <w:style w:type="paragraph" w:customStyle="1" w:styleId="AMNumberTabs0">
    <w:name w:val="AMNumberTabs"/>
    <w:basedOn w:val="Normal"/>
    <w:rsid w:val="0051511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515114"/>
    <w:pPr>
      <w:spacing w:before="240"/>
      <w:jc w:val="center"/>
    </w:pPr>
    <w:rPr>
      <w:i/>
    </w:rPr>
  </w:style>
  <w:style w:type="paragraph" w:styleId="Footer">
    <w:name w:val="footer"/>
    <w:basedOn w:val="Normal"/>
    <w:link w:val="FooterChar"/>
    <w:uiPriority w:val="99"/>
    <w:rsid w:val="00515114"/>
    <w:pPr>
      <w:tabs>
        <w:tab w:val="center" w:pos="4513"/>
        <w:tab w:val="right" w:pos="9026"/>
      </w:tabs>
    </w:pPr>
  </w:style>
  <w:style w:type="character" w:customStyle="1" w:styleId="FooterChar">
    <w:name w:val="Footer Char"/>
    <w:basedOn w:val="DefaultParagraphFont"/>
    <w:link w:val="Footer"/>
    <w:uiPriority w:val="99"/>
    <w:rsid w:val="00515114"/>
    <w:rPr>
      <w:sz w:val="24"/>
      <w:lang w:val="fr-FR"/>
    </w:rPr>
  </w:style>
  <w:style w:type="character" w:customStyle="1" w:styleId="Footer2Middle">
    <w:name w:val="Footer2Middle"/>
    <w:rsid w:val="00515114"/>
    <w:rPr>
      <w:rFonts w:ascii="Arial" w:cs="Arial"/>
      <w:b w:val="0"/>
      <w:i/>
      <w:color w:val="C0C0C0"/>
      <w:sz w:val="22"/>
    </w:rPr>
  </w:style>
  <w:style w:type="paragraph" w:customStyle="1" w:styleId="Normal24a">
    <w:name w:val="Normal24a"/>
    <w:basedOn w:val="Normal"/>
    <w:rsid w:val="00515114"/>
    <w:pPr>
      <w:spacing w:after="480"/>
    </w:pPr>
  </w:style>
  <w:style w:type="paragraph" w:customStyle="1" w:styleId="NormalBoldCenter">
    <w:name w:val="NormalBoldCenter"/>
    <w:basedOn w:val="Normal"/>
    <w:rsid w:val="00515114"/>
    <w:pPr>
      <w:jc w:val="center"/>
    </w:pPr>
    <w:rPr>
      <w:b/>
    </w:rPr>
  </w:style>
  <w:style w:type="paragraph" w:customStyle="1" w:styleId="Point0number">
    <w:name w:val="Point 0 (number)"/>
    <w:basedOn w:val="Normal"/>
    <w:rsid w:val="00515114"/>
    <w:pPr>
      <w:widowControl/>
      <w:numPr>
        <w:numId w:val="4"/>
      </w:numPr>
      <w:spacing w:before="120" w:after="120"/>
      <w:jc w:val="both"/>
    </w:pPr>
    <w:rPr>
      <w:rFonts w:eastAsiaTheme="minorHAnsi"/>
      <w:szCs w:val="22"/>
      <w:lang w:eastAsia="en-US"/>
    </w:rPr>
  </w:style>
  <w:style w:type="paragraph" w:customStyle="1" w:styleId="Point1number">
    <w:name w:val="Point 1 (number)"/>
    <w:basedOn w:val="Normal"/>
    <w:rsid w:val="00515114"/>
    <w:pPr>
      <w:widowControl/>
      <w:numPr>
        <w:ilvl w:val="2"/>
        <w:numId w:val="4"/>
      </w:numPr>
      <w:spacing w:before="120" w:after="120"/>
      <w:jc w:val="both"/>
    </w:pPr>
    <w:rPr>
      <w:rFonts w:eastAsiaTheme="minorHAnsi"/>
      <w:szCs w:val="22"/>
      <w:lang w:eastAsia="en-US"/>
    </w:rPr>
  </w:style>
  <w:style w:type="paragraph" w:customStyle="1" w:styleId="Point2number">
    <w:name w:val="Point 2 (number)"/>
    <w:basedOn w:val="Normal"/>
    <w:rsid w:val="00515114"/>
    <w:pPr>
      <w:widowControl/>
      <w:numPr>
        <w:ilvl w:val="4"/>
        <w:numId w:val="4"/>
      </w:numPr>
      <w:spacing w:before="120" w:after="120"/>
      <w:jc w:val="both"/>
    </w:pPr>
    <w:rPr>
      <w:rFonts w:eastAsiaTheme="minorHAnsi"/>
      <w:szCs w:val="22"/>
      <w:lang w:eastAsia="en-US"/>
    </w:rPr>
  </w:style>
  <w:style w:type="paragraph" w:customStyle="1" w:styleId="Point3number">
    <w:name w:val="Point 3 (number)"/>
    <w:basedOn w:val="Normal"/>
    <w:rsid w:val="00515114"/>
    <w:pPr>
      <w:widowControl/>
      <w:numPr>
        <w:ilvl w:val="6"/>
        <w:numId w:val="4"/>
      </w:numPr>
      <w:spacing w:before="120" w:after="120"/>
      <w:jc w:val="both"/>
    </w:pPr>
    <w:rPr>
      <w:rFonts w:eastAsiaTheme="minorHAnsi"/>
      <w:szCs w:val="22"/>
      <w:lang w:eastAsia="en-US"/>
    </w:rPr>
  </w:style>
  <w:style w:type="paragraph" w:customStyle="1" w:styleId="Point0letter">
    <w:name w:val="Point 0 (letter)"/>
    <w:basedOn w:val="Normal"/>
    <w:rsid w:val="00515114"/>
    <w:pPr>
      <w:widowControl/>
      <w:numPr>
        <w:ilvl w:val="1"/>
        <w:numId w:val="4"/>
      </w:numPr>
      <w:spacing w:before="120" w:after="120"/>
      <w:jc w:val="both"/>
    </w:pPr>
    <w:rPr>
      <w:rFonts w:eastAsiaTheme="minorHAnsi"/>
      <w:szCs w:val="22"/>
      <w:lang w:eastAsia="en-US"/>
    </w:rPr>
  </w:style>
  <w:style w:type="paragraph" w:customStyle="1" w:styleId="Point1letter">
    <w:name w:val="Point 1 (letter)"/>
    <w:basedOn w:val="Normal"/>
    <w:rsid w:val="00515114"/>
    <w:pPr>
      <w:widowControl/>
      <w:numPr>
        <w:ilvl w:val="3"/>
        <w:numId w:val="4"/>
      </w:numPr>
      <w:spacing w:before="120" w:after="120"/>
      <w:jc w:val="both"/>
    </w:pPr>
    <w:rPr>
      <w:rFonts w:eastAsiaTheme="minorHAnsi"/>
      <w:szCs w:val="22"/>
      <w:lang w:eastAsia="en-US"/>
    </w:rPr>
  </w:style>
  <w:style w:type="paragraph" w:customStyle="1" w:styleId="Point2letter">
    <w:name w:val="Point 2 (letter)"/>
    <w:basedOn w:val="Normal"/>
    <w:rsid w:val="00515114"/>
    <w:pPr>
      <w:widowControl/>
      <w:numPr>
        <w:ilvl w:val="5"/>
        <w:numId w:val="4"/>
      </w:numPr>
      <w:spacing w:before="120" w:after="120"/>
      <w:jc w:val="both"/>
    </w:pPr>
    <w:rPr>
      <w:rFonts w:eastAsiaTheme="minorHAnsi"/>
      <w:szCs w:val="22"/>
      <w:lang w:eastAsia="en-US"/>
    </w:rPr>
  </w:style>
  <w:style w:type="paragraph" w:customStyle="1" w:styleId="Point3letter">
    <w:name w:val="Point 3 (letter)"/>
    <w:basedOn w:val="Normal"/>
    <w:rsid w:val="00515114"/>
    <w:pPr>
      <w:widowControl/>
      <w:numPr>
        <w:ilvl w:val="7"/>
        <w:numId w:val="4"/>
      </w:numPr>
      <w:spacing w:before="120" w:after="120"/>
      <w:jc w:val="both"/>
    </w:pPr>
    <w:rPr>
      <w:rFonts w:eastAsiaTheme="minorHAnsi"/>
      <w:szCs w:val="22"/>
      <w:lang w:eastAsia="en-US"/>
    </w:rPr>
  </w:style>
  <w:style w:type="paragraph" w:customStyle="1" w:styleId="Point4letter">
    <w:name w:val="Point 4 (letter)"/>
    <w:basedOn w:val="Normal"/>
    <w:rsid w:val="00515114"/>
    <w:pPr>
      <w:widowControl/>
      <w:numPr>
        <w:ilvl w:val="8"/>
        <w:numId w:val="4"/>
      </w:numPr>
      <w:spacing w:before="120" w:after="120"/>
      <w:jc w:val="both"/>
    </w:pPr>
    <w:rPr>
      <w:rFonts w:eastAsiaTheme="minorHAnsi"/>
      <w:szCs w:val="22"/>
      <w:lang w:eastAsia="en-US"/>
    </w:rPr>
  </w:style>
  <w:style w:type="paragraph" w:styleId="BalloonText">
    <w:name w:val="Balloon Text"/>
    <w:basedOn w:val="Normal"/>
    <w:link w:val="BalloonTextChar"/>
    <w:uiPriority w:val="99"/>
    <w:unhideWhenUsed/>
    <w:rsid w:val="00515114"/>
    <w:rPr>
      <w:rFonts w:ascii="Segoe UI" w:hAnsi="Segoe UI" w:cs="Segoe UI"/>
      <w:sz w:val="18"/>
      <w:szCs w:val="18"/>
    </w:rPr>
  </w:style>
  <w:style w:type="character" w:customStyle="1" w:styleId="BalloonTextChar">
    <w:name w:val="Balloon Text Char"/>
    <w:basedOn w:val="DefaultParagraphFont"/>
    <w:link w:val="BalloonText"/>
    <w:uiPriority w:val="99"/>
    <w:rsid w:val="00515114"/>
    <w:rPr>
      <w:rFonts w:ascii="Segoe UI" w:hAnsi="Segoe UI" w:cs="Segoe UI"/>
      <w:sz w:val="18"/>
      <w:szCs w:val="18"/>
      <w:lang w:val="fr-FR"/>
    </w:rPr>
  </w:style>
  <w:style w:type="character" w:styleId="CommentReference">
    <w:name w:val="annotation reference"/>
    <w:basedOn w:val="DefaultParagraphFont"/>
    <w:uiPriority w:val="99"/>
    <w:rsid w:val="00515114"/>
    <w:rPr>
      <w:sz w:val="16"/>
      <w:szCs w:val="16"/>
    </w:rPr>
  </w:style>
  <w:style w:type="paragraph" w:styleId="CommentText">
    <w:name w:val="annotation text"/>
    <w:basedOn w:val="Normal"/>
    <w:link w:val="CommentTextChar"/>
    <w:uiPriority w:val="99"/>
    <w:rsid w:val="00515114"/>
    <w:rPr>
      <w:sz w:val="20"/>
    </w:rPr>
  </w:style>
  <w:style w:type="character" w:customStyle="1" w:styleId="CommentTextChar">
    <w:name w:val="Comment Text Char"/>
    <w:basedOn w:val="DefaultParagraphFont"/>
    <w:link w:val="CommentText"/>
    <w:uiPriority w:val="99"/>
    <w:rsid w:val="00515114"/>
    <w:rPr>
      <w:lang w:val="fr-FR"/>
    </w:rPr>
  </w:style>
  <w:style w:type="paragraph" w:styleId="CommentSubject">
    <w:name w:val="annotation subject"/>
    <w:basedOn w:val="CommentText"/>
    <w:next w:val="CommentText"/>
    <w:link w:val="CommentSubjectChar"/>
    <w:uiPriority w:val="99"/>
    <w:unhideWhenUsed/>
    <w:rsid w:val="00515114"/>
    <w:rPr>
      <w:b/>
      <w:bCs/>
    </w:rPr>
  </w:style>
  <w:style w:type="character" w:customStyle="1" w:styleId="CommentSubjectChar">
    <w:name w:val="Comment Subject Char"/>
    <w:basedOn w:val="CommentTextChar"/>
    <w:link w:val="CommentSubject"/>
    <w:uiPriority w:val="99"/>
    <w:rsid w:val="00515114"/>
    <w:rPr>
      <w:b/>
      <w:bCs/>
      <w:lang w:val="fr-FR"/>
    </w:rPr>
  </w:style>
  <w:style w:type="paragraph" w:styleId="Revision">
    <w:name w:val="Revision"/>
    <w:hidden/>
    <w:uiPriority w:val="99"/>
    <w:semiHidden/>
    <w:rsid w:val="00515114"/>
    <w:rPr>
      <w:sz w:val="24"/>
      <w:lang w:val="fr-FR"/>
    </w:rPr>
  </w:style>
  <w:style w:type="character" w:customStyle="1" w:styleId="AmNumberTabsChar">
    <w:name w:val="AmNumberTabs Char"/>
    <w:basedOn w:val="DefaultParagraphFont"/>
    <w:link w:val="AmNumberTabs"/>
    <w:rsid w:val="00515114"/>
    <w:rPr>
      <w:b/>
      <w:sz w:val="24"/>
      <w:lang w:val="fr-FR"/>
    </w:rPr>
  </w:style>
  <w:style w:type="character" w:customStyle="1" w:styleId="NormalBold12bChar">
    <w:name w:val="NormalBold12b Char"/>
    <w:basedOn w:val="AmNumberTabsChar"/>
    <w:link w:val="NormalBold12b"/>
    <w:rsid w:val="00515114"/>
    <w:rPr>
      <w:b/>
      <w:sz w:val="24"/>
      <w:lang w:val="fr-FR"/>
    </w:rPr>
  </w:style>
  <w:style w:type="character" w:customStyle="1" w:styleId="highlight-diff">
    <w:name w:val="highlight-diff"/>
    <w:basedOn w:val="DefaultParagraphFont"/>
    <w:rsid w:val="00515114"/>
  </w:style>
  <w:style w:type="paragraph" w:customStyle="1" w:styleId="Normal12a">
    <w:name w:val="Normal12a"/>
    <w:basedOn w:val="Normal"/>
    <w:rsid w:val="00515114"/>
    <w:pPr>
      <w:spacing w:after="240"/>
    </w:pPr>
    <w:rPr>
      <w:lang w:val="en-GB"/>
    </w:rPr>
  </w:style>
  <w:style w:type="paragraph" w:customStyle="1" w:styleId="PageHeadingNotTOC">
    <w:name w:val="PageHeadingNotTOC"/>
    <w:basedOn w:val="Normal"/>
    <w:rsid w:val="00515114"/>
    <w:pPr>
      <w:keepNext/>
      <w:spacing w:after="480"/>
      <w:jc w:val="center"/>
    </w:pPr>
    <w:rPr>
      <w:rFonts w:ascii="Arial" w:hAnsi="Arial" w:cs="Arial"/>
      <w:b/>
      <w:lang w:val="en-GB"/>
    </w:rPr>
  </w:style>
  <w:style w:type="paragraph" w:customStyle="1" w:styleId="AmHeadingPA">
    <w:name w:val="AmHeadingPA"/>
    <w:basedOn w:val="Normal"/>
    <w:next w:val="Normal"/>
    <w:rsid w:val="00515114"/>
    <w:pPr>
      <w:spacing w:before="480" w:after="240"/>
      <w:jc w:val="center"/>
    </w:pPr>
    <w:rPr>
      <w:rFonts w:ascii="Arial" w:hAnsi="Arial"/>
      <w:b/>
      <w:caps/>
      <w:snapToGrid w:val="0"/>
      <w:szCs w:val="24"/>
      <w:lang w:val="en-GB" w:eastAsia="en-US"/>
    </w:rPr>
  </w:style>
  <w:style w:type="paragraph" w:customStyle="1" w:styleId="RollCallSymbols14pt">
    <w:name w:val="RollCallSymbols14pt"/>
    <w:basedOn w:val="Normal"/>
    <w:rsid w:val="00515114"/>
    <w:pPr>
      <w:spacing w:before="120" w:after="120"/>
      <w:jc w:val="center"/>
    </w:pPr>
    <w:rPr>
      <w:rFonts w:ascii="Arial" w:hAnsi="Arial"/>
      <w:b/>
      <w:bCs/>
      <w:snapToGrid w:val="0"/>
      <w:sz w:val="28"/>
      <w:lang w:val="en-GB" w:eastAsia="en-US"/>
    </w:rPr>
  </w:style>
  <w:style w:type="paragraph" w:customStyle="1" w:styleId="RollCallTabs">
    <w:name w:val="RollCallTabs"/>
    <w:basedOn w:val="Normal"/>
    <w:qFormat/>
    <w:rsid w:val="00515114"/>
    <w:pPr>
      <w:tabs>
        <w:tab w:val="center" w:pos="284"/>
        <w:tab w:val="left" w:pos="426"/>
      </w:tabs>
    </w:pPr>
    <w:rPr>
      <w:snapToGrid w:val="0"/>
      <w:lang w:val="en-GB" w:eastAsia="en-US"/>
    </w:rPr>
  </w:style>
  <w:style w:type="paragraph" w:customStyle="1" w:styleId="RollCallVotes">
    <w:name w:val="RollCallVotes"/>
    <w:basedOn w:val="Normal"/>
    <w:rsid w:val="00515114"/>
    <w:pPr>
      <w:spacing w:before="120" w:after="120"/>
      <w:jc w:val="center"/>
    </w:pPr>
    <w:rPr>
      <w:b/>
      <w:bCs/>
      <w:snapToGrid w:val="0"/>
      <w:sz w:val="16"/>
      <w:lang w:val="en-GB" w:eastAsia="en-US"/>
    </w:rPr>
  </w:style>
  <w:style w:type="paragraph" w:customStyle="1" w:styleId="RollCallTable">
    <w:name w:val="RollCallTable"/>
    <w:basedOn w:val="Normal"/>
    <w:rsid w:val="00515114"/>
    <w:pPr>
      <w:spacing w:before="120" w:after="120"/>
    </w:pPr>
    <w:rPr>
      <w:snapToGrid w:val="0"/>
      <w:sz w:val="16"/>
      <w:lang w:val="en-GB" w:eastAsia="en-US"/>
    </w:rPr>
  </w:style>
  <w:style w:type="character" w:styleId="Hyperlink">
    <w:name w:val="Hyperlink"/>
    <w:uiPriority w:val="99"/>
    <w:rsid w:val="00515114"/>
    <w:rPr>
      <w:color w:val="0000FF"/>
      <w:u w:val="single"/>
      <w:shd w:val="clear" w:color="auto" w:fill="auto"/>
    </w:rPr>
  </w:style>
  <w:style w:type="paragraph" w:customStyle="1" w:styleId="CM1">
    <w:name w:val="CM1"/>
    <w:basedOn w:val="Normal"/>
    <w:next w:val="Normal"/>
    <w:uiPriority w:val="99"/>
    <w:rsid w:val="00515114"/>
    <w:pPr>
      <w:widowControl/>
      <w:autoSpaceDE w:val="0"/>
      <w:autoSpaceDN w:val="0"/>
      <w:adjustRightInd w:val="0"/>
    </w:pPr>
    <w:rPr>
      <w:szCs w:val="24"/>
      <w:lang w:val="en-GB"/>
    </w:rPr>
  </w:style>
  <w:style w:type="paragraph" w:customStyle="1" w:styleId="CM3">
    <w:name w:val="CM3"/>
    <w:basedOn w:val="Normal"/>
    <w:next w:val="Normal"/>
    <w:uiPriority w:val="99"/>
    <w:rsid w:val="00515114"/>
    <w:pPr>
      <w:widowControl/>
      <w:autoSpaceDE w:val="0"/>
      <w:autoSpaceDN w:val="0"/>
      <w:adjustRightInd w:val="0"/>
    </w:pPr>
    <w:rPr>
      <w:szCs w:val="24"/>
      <w:lang w:val="en-GB"/>
    </w:rPr>
  </w:style>
  <w:style w:type="paragraph" w:customStyle="1" w:styleId="SignaturePersonne">
    <w:name w:val="Signature Personne"/>
    <w:basedOn w:val="Normal"/>
    <w:rsid w:val="008C3DE0"/>
    <w:pPr>
      <w:widowControl/>
      <w:tabs>
        <w:tab w:val="left" w:pos="4252"/>
      </w:tabs>
      <w:spacing w:line="360" w:lineRule="auto"/>
    </w:pPr>
    <w:rPr>
      <w:i/>
      <w:szCs w:val="24"/>
      <w:lang w:val="en-GB" w:eastAsia="en-US"/>
    </w:rPr>
  </w:style>
  <w:style w:type="paragraph" w:customStyle="1" w:styleId="Considrant">
    <w:name w:val="Considérant"/>
    <w:basedOn w:val="Normal"/>
    <w:rsid w:val="008C3DE0"/>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8C3DE0"/>
    <w:pPr>
      <w:keepNext/>
      <w:spacing w:before="600" w:after="120" w:line="360" w:lineRule="auto"/>
    </w:pPr>
    <w:rPr>
      <w:szCs w:val="24"/>
      <w:lang w:val="en-GB" w:eastAsia="en-US"/>
    </w:rPr>
  </w:style>
  <w:style w:type="paragraph" w:customStyle="1" w:styleId="Institutionquisigne">
    <w:name w:val="Institution qui signe"/>
    <w:basedOn w:val="Normal"/>
    <w:next w:val="Normal"/>
    <w:rsid w:val="008C3DE0"/>
    <w:pPr>
      <w:keepNext/>
      <w:tabs>
        <w:tab w:val="left" w:pos="4252"/>
      </w:tabs>
      <w:spacing w:before="720" w:line="360" w:lineRule="auto"/>
    </w:pPr>
    <w:rPr>
      <w:i/>
      <w:szCs w:val="24"/>
      <w:lang w:val="en-GB" w:eastAsia="en-US"/>
    </w:rPr>
  </w:style>
  <w:style w:type="paragraph" w:customStyle="1" w:styleId="Fait">
    <w:name w:val="Fait à"/>
    <w:basedOn w:val="Normal"/>
    <w:rsid w:val="008C3DE0"/>
    <w:pPr>
      <w:keepNext/>
      <w:widowControl/>
      <w:spacing w:before="120" w:line="360" w:lineRule="auto"/>
    </w:pPr>
    <w:rPr>
      <w:szCs w:val="24"/>
      <w:lang w:val="en-GB" w:eastAsia="en-US"/>
    </w:rPr>
  </w:style>
  <w:style w:type="paragraph" w:customStyle="1" w:styleId="FootnoteTextForceStyle">
    <w:name w:val="Footnote Text ForceStyle"/>
    <w:rsid w:val="008C3DE0"/>
    <w:pPr>
      <w:keepLines/>
      <w:widowControl w:val="0"/>
      <w:ind w:left="850" w:hanging="850"/>
    </w:pPr>
    <w:rPr>
      <w:sz w:val="24"/>
      <w:lang w:eastAsia="en-US"/>
    </w:rPr>
  </w:style>
  <w:style w:type="character" w:customStyle="1" w:styleId="Footer2">
    <w:name w:val="Footer2"/>
    <w:rsid w:val="008C3DE0"/>
    <w:rPr>
      <w:rFonts w:ascii="Arial" w:hAnsi="Arial"/>
      <w:b/>
      <w:sz w:val="48"/>
    </w:rPr>
  </w:style>
  <w:style w:type="paragraph" w:customStyle="1" w:styleId="Applicationdirecte">
    <w:name w:val="Application directe"/>
    <w:basedOn w:val="Normal"/>
    <w:next w:val="Normal"/>
    <w:rsid w:val="008C3DE0"/>
    <w:pPr>
      <w:spacing w:before="120" w:after="120" w:line="360" w:lineRule="auto"/>
    </w:pPr>
    <w:rPr>
      <w:szCs w:val="24"/>
      <w:lang w:val="en-GB" w:eastAsia="en-US"/>
    </w:rPr>
  </w:style>
  <w:style w:type="paragraph" w:customStyle="1" w:styleId="Normale">
    <w:name w:val="Normale"/>
    <w:rsid w:val="008C3DE0"/>
    <w:pPr>
      <w:widowControl w:val="0"/>
      <w:spacing w:before="120" w:after="120" w:line="360" w:lineRule="auto"/>
    </w:pPr>
    <w:rPr>
      <w:sz w:val="24"/>
      <w:lang w:eastAsia="en-US"/>
    </w:rPr>
  </w:style>
  <w:style w:type="paragraph" w:customStyle="1" w:styleId="Formuledadoption">
    <w:name w:val="Formule d'adoption"/>
    <w:basedOn w:val="Normal"/>
    <w:next w:val="Normal"/>
    <w:rsid w:val="008C3DE0"/>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8C3DE0"/>
    <w:pPr>
      <w:widowControl/>
      <w:spacing w:after="240" w:line="360" w:lineRule="auto"/>
      <w:ind w:left="5102"/>
    </w:pPr>
    <w:rPr>
      <w:szCs w:val="24"/>
      <w:lang w:val="en-GB" w:eastAsia="en-US"/>
    </w:rPr>
  </w:style>
  <w:style w:type="paragraph" w:customStyle="1" w:styleId="Footer1">
    <w:name w:val="Footer1"/>
    <w:basedOn w:val="Normal"/>
    <w:rsid w:val="008C3DE0"/>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8C3DE0"/>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8C3DE0"/>
    <w:pPr>
      <w:widowControl/>
      <w:spacing w:before="840" w:line="360" w:lineRule="auto"/>
      <w:jc w:val="center"/>
    </w:pPr>
    <w:rPr>
      <w:szCs w:val="24"/>
      <w:lang w:val="en-GB" w:eastAsia="en-US"/>
    </w:rPr>
  </w:style>
  <w:style w:type="paragraph" w:customStyle="1" w:styleId="Typedudocument">
    <w:name w:val="Type du document"/>
    <w:basedOn w:val="Normal"/>
    <w:next w:val="Normal"/>
    <w:rsid w:val="008C3DE0"/>
    <w:pPr>
      <w:widowControl/>
      <w:spacing w:before="360" w:line="360" w:lineRule="auto"/>
      <w:jc w:val="center"/>
    </w:pPr>
    <w:rPr>
      <w:b/>
      <w:szCs w:val="24"/>
      <w:lang w:val="en-GB" w:eastAsia="en-US"/>
    </w:rPr>
  </w:style>
  <w:style w:type="paragraph" w:customStyle="1" w:styleId="Titreobjet">
    <w:name w:val="Titre objet"/>
    <w:basedOn w:val="Normal"/>
    <w:next w:val="Normal"/>
    <w:rsid w:val="008C3DE0"/>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8C3DE0"/>
    <w:pPr>
      <w:widowControl/>
      <w:spacing w:before="360" w:after="240" w:line="360" w:lineRule="auto"/>
      <w:jc w:val="center"/>
    </w:pPr>
    <w:rPr>
      <w:szCs w:val="24"/>
      <w:lang w:val="en-GB" w:eastAsia="en-US"/>
    </w:rPr>
  </w:style>
  <w:style w:type="character" w:customStyle="1" w:styleId="CMissingStyle">
    <w:name w:val="C_MissingStyle"/>
    <w:rsid w:val="008C3DE0"/>
    <w:rPr>
      <w:color w:val="FFFFFF"/>
      <w:sz w:val="22"/>
      <w:shd w:val="clear" w:color="000000" w:fill="000000"/>
    </w:rPr>
  </w:style>
  <w:style w:type="paragraph" w:customStyle="1" w:styleId="PMissingStyle">
    <w:name w:val="P_MissingStyle"/>
    <w:basedOn w:val="Normal"/>
    <w:rsid w:val="008C3DE0"/>
    <w:pPr>
      <w:spacing w:before="120" w:after="120" w:line="360" w:lineRule="auto"/>
    </w:pPr>
    <w:rPr>
      <w:color w:val="FFFFFF"/>
      <w:szCs w:val="24"/>
      <w:shd w:val="clear" w:color="000000" w:fill="000000"/>
      <w:lang w:val="en-GB" w:eastAsia="en-US"/>
    </w:rPr>
  </w:style>
  <w:style w:type="paragraph" w:styleId="ListParagraph">
    <w:name w:val="List Paragraph"/>
    <w:basedOn w:val="Normal"/>
    <w:uiPriority w:val="34"/>
    <w:qFormat/>
    <w:rsid w:val="00040481"/>
    <w:pPr>
      <w:ind w:left="720"/>
      <w:contextualSpacing/>
    </w:pPr>
  </w:style>
  <w:style w:type="numbering" w:customStyle="1" w:styleId="NoList1">
    <w:name w:val="No List1"/>
    <w:next w:val="NoList"/>
    <w:uiPriority w:val="99"/>
    <w:semiHidden/>
    <w:unhideWhenUsed/>
    <w:rsid w:val="004C1CED"/>
  </w:style>
  <w:style w:type="paragraph" w:styleId="ListBullet">
    <w:name w:val="List Bullet"/>
    <w:basedOn w:val="Normal"/>
    <w:uiPriority w:val="99"/>
    <w:unhideWhenUsed/>
    <w:rsid w:val="004C1CED"/>
    <w:pPr>
      <w:widowControl/>
      <w:tabs>
        <w:tab w:val="num" w:pos="360"/>
      </w:tabs>
      <w:spacing w:before="120" w:after="120"/>
      <w:ind w:left="360" w:hanging="360"/>
      <w:contextualSpacing/>
      <w:jc w:val="both"/>
    </w:pPr>
    <w:rPr>
      <w:rFonts w:eastAsia="Calibri"/>
      <w:szCs w:val="22"/>
      <w:lang w:eastAsia="en-US"/>
    </w:rPr>
  </w:style>
  <w:style w:type="paragraph" w:styleId="ListBullet2">
    <w:name w:val="List Bullet 2"/>
    <w:basedOn w:val="Normal"/>
    <w:uiPriority w:val="99"/>
    <w:unhideWhenUsed/>
    <w:rsid w:val="004C1CED"/>
    <w:pPr>
      <w:widowControl/>
      <w:tabs>
        <w:tab w:val="num" w:pos="360"/>
      </w:tabs>
      <w:spacing w:before="120" w:after="120"/>
      <w:ind w:left="360" w:hanging="360"/>
      <w:contextualSpacing/>
      <w:jc w:val="both"/>
    </w:pPr>
    <w:rPr>
      <w:rFonts w:eastAsia="Calibri"/>
      <w:szCs w:val="22"/>
      <w:lang w:eastAsia="en-US"/>
    </w:rPr>
  </w:style>
  <w:style w:type="paragraph" w:styleId="ListBullet3">
    <w:name w:val="List Bullet 3"/>
    <w:basedOn w:val="Normal"/>
    <w:uiPriority w:val="99"/>
    <w:unhideWhenUsed/>
    <w:rsid w:val="004C1CED"/>
    <w:pPr>
      <w:widowControl/>
      <w:tabs>
        <w:tab w:val="num" w:pos="643"/>
      </w:tabs>
      <w:spacing w:before="120" w:after="120"/>
      <w:ind w:left="643" w:hanging="360"/>
      <w:contextualSpacing/>
      <w:jc w:val="both"/>
    </w:pPr>
    <w:rPr>
      <w:rFonts w:eastAsia="Calibri"/>
      <w:szCs w:val="22"/>
      <w:lang w:eastAsia="en-US"/>
    </w:rPr>
  </w:style>
  <w:style w:type="paragraph" w:styleId="ListBullet4">
    <w:name w:val="List Bullet 4"/>
    <w:basedOn w:val="Normal"/>
    <w:uiPriority w:val="99"/>
    <w:unhideWhenUsed/>
    <w:rsid w:val="004C1CED"/>
    <w:pPr>
      <w:widowControl/>
      <w:tabs>
        <w:tab w:val="num" w:pos="643"/>
      </w:tabs>
      <w:spacing w:before="120" w:after="120"/>
      <w:ind w:left="643" w:hanging="360"/>
      <w:contextualSpacing/>
      <w:jc w:val="both"/>
    </w:pPr>
    <w:rPr>
      <w:rFonts w:eastAsia="Calibri"/>
      <w:szCs w:val="22"/>
      <w:lang w:eastAsia="en-US"/>
    </w:rPr>
  </w:style>
  <w:style w:type="table" w:customStyle="1" w:styleId="TableGrid1">
    <w:name w:val="Table Grid1"/>
    <w:basedOn w:val="TableNormal"/>
    <w:next w:val="TableGrid"/>
    <w:uiPriority w:val="59"/>
    <w:rsid w:val="004C1CED"/>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
    <w:name w:val="Plain Table 11"/>
    <w:basedOn w:val="TableNormal"/>
    <w:next w:val="PlainTable1"/>
    <w:uiPriority w:val="41"/>
    <w:rsid w:val="004C1CED"/>
    <w:rPr>
      <w:rFonts w:ascii="Calibri" w:eastAsia="Calibri" w:hAnsi="Calibri"/>
      <w:sz w:val="22"/>
      <w:szCs w:val="22"/>
      <w:lang w:val="en-US"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rPr>
    </w:tblStylePr>
    <w:tblStylePr w:type="lastRow">
      <w:rPr>
        <w:b/>
      </w:rPr>
      <w:tblPr/>
      <w:tcPr>
        <w:tcBorders>
          <w:top w:val="doub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TableGridLight1">
    <w:name w:val="Table Grid Light1"/>
    <w:basedOn w:val="TableNormal"/>
    <w:next w:val="TableGridLight"/>
    <w:uiPriority w:val="40"/>
    <w:rsid w:val="004C1CED"/>
    <w:rPr>
      <w:rFonts w:ascii="Calibri" w:eastAsia="Calibri" w:hAnsi="Calibri"/>
      <w:sz w:val="22"/>
      <w:szCs w:val="22"/>
      <w:lang w:val="en-US"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lainTable51">
    <w:name w:val="Plain Table 51"/>
    <w:basedOn w:val="TableNormal"/>
    <w:next w:val="PlainTable5"/>
    <w:uiPriority w:val="45"/>
    <w:rsid w:val="004C1CED"/>
    <w:rPr>
      <w:rFonts w:ascii="Calibri" w:eastAsia="Calibri" w:hAnsi="Calibri"/>
      <w:sz w:val="22"/>
      <w:szCs w:val="22"/>
      <w:lang w:val="en-US" w:eastAsia="en-US"/>
    </w:rPr>
    <w:tblPr>
      <w:tblStyleRowBandSize w:val="1"/>
      <w:tblStyleColBandSize w:val="1"/>
    </w:tblPr>
    <w:tblStylePr w:type="firstRow">
      <w:rPr>
        <w:rFonts w:ascii="Cambria" w:eastAsia="Times New Roman" w:hAnsi="Cambria" w:cs="Times New Roman"/>
        <w:i/>
        <w:sz w:val="26"/>
      </w:rPr>
      <w:tblPr/>
      <w:tcPr>
        <w:tcBorders>
          <w:bottom w:val="single" w:sz="4" w:space="0" w:color="7F7F7F"/>
        </w:tcBorders>
        <w:shd w:val="clear" w:color="auto" w:fill="FFFFFF"/>
      </w:tcPr>
    </w:tblStylePr>
    <w:tblStylePr w:type="lastRow">
      <w:rPr>
        <w:rFonts w:ascii="Cambria" w:eastAsia="Times New Roman" w:hAnsi="Cambria" w:cs="Times New Roman"/>
        <w:i/>
        <w:sz w:val="26"/>
      </w:rPr>
      <w:tblPr/>
      <w:tcPr>
        <w:tcBorders>
          <w:top w:val="single" w:sz="4" w:space="0" w:color="7F7F7F"/>
        </w:tcBorders>
        <w:shd w:val="clear" w:color="auto" w:fill="FFFFFF"/>
      </w:tcPr>
    </w:tblStylePr>
    <w:tblStylePr w:type="firstCol">
      <w:pPr>
        <w:jc w:val="right"/>
      </w:pPr>
      <w:rPr>
        <w:rFonts w:ascii="Cambria" w:eastAsia="Times New Roman" w:hAnsi="Cambria" w:cs="Times New Roman"/>
        <w:i/>
        <w:sz w:val="26"/>
      </w:rPr>
      <w:tblPr/>
      <w:tcPr>
        <w:tcBorders>
          <w:right w:val="single" w:sz="4" w:space="0" w:color="7F7F7F"/>
        </w:tcBorders>
        <w:shd w:val="clear" w:color="auto" w:fill="FFFFFF"/>
      </w:tcPr>
    </w:tblStylePr>
    <w:tblStylePr w:type="lastCol">
      <w:rPr>
        <w:rFonts w:ascii="Cambria" w:eastAsia="Times New Roman" w:hAnsi="Cambria" w:cs="Times New Roman"/>
        <w:i/>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foonote">
    <w:name w:val="foonote"/>
    <w:basedOn w:val="FootnoteText"/>
    <w:link w:val="foonoteChar"/>
    <w:qFormat/>
    <w:rsid w:val="004C1CED"/>
    <w:pPr>
      <w:keepLines w:val="0"/>
      <w:spacing w:line="240" w:lineRule="auto"/>
      <w:ind w:left="0" w:firstLine="0"/>
    </w:pPr>
    <w:rPr>
      <w:rFonts w:eastAsia="Calibri"/>
      <w:sz w:val="16"/>
      <w:lang w:eastAsia="en-US"/>
    </w:rPr>
  </w:style>
  <w:style w:type="character" w:customStyle="1" w:styleId="foonoteChar">
    <w:name w:val="foonote Char"/>
    <w:basedOn w:val="DefaultParagraphFont"/>
    <w:link w:val="foonote"/>
    <w:rsid w:val="004C1CED"/>
    <w:rPr>
      <w:rFonts w:eastAsia="Calibri"/>
      <w:sz w:val="16"/>
      <w:lang w:val="fr-FR" w:eastAsia="en-US"/>
    </w:rPr>
  </w:style>
  <w:style w:type="paragraph" w:styleId="ListNumber">
    <w:name w:val="List Number"/>
    <w:basedOn w:val="Normal"/>
    <w:uiPriority w:val="99"/>
    <w:rsid w:val="004C1CED"/>
    <w:pPr>
      <w:widowControl/>
      <w:numPr>
        <w:numId w:val="9"/>
      </w:numPr>
      <w:tabs>
        <w:tab w:val="clear" w:pos="1276"/>
        <w:tab w:val="num" w:pos="1492"/>
      </w:tabs>
      <w:spacing w:before="120" w:after="120"/>
      <w:ind w:left="1492" w:hanging="360"/>
      <w:jc w:val="both"/>
    </w:pPr>
    <w:rPr>
      <w:rFonts w:eastAsia="Calibri"/>
      <w:szCs w:val="22"/>
      <w:lang w:eastAsia="en-US"/>
    </w:rPr>
  </w:style>
  <w:style w:type="paragraph" w:customStyle="1" w:styleId="ListBullet1">
    <w:name w:val="List Bullet 1"/>
    <w:basedOn w:val="Normal"/>
    <w:rsid w:val="004C1CED"/>
    <w:pPr>
      <w:widowControl/>
      <w:numPr>
        <w:numId w:val="5"/>
      </w:numPr>
      <w:tabs>
        <w:tab w:val="clear" w:pos="1134"/>
        <w:tab w:val="num" w:pos="926"/>
      </w:tabs>
      <w:spacing w:before="120" w:after="120"/>
      <w:ind w:left="926" w:hanging="360"/>
      <w:jc w:val="both"/>
    </w:pPr>
    <w:rPr>
      <w:rFonts w:eastAsia="Calibri"/>
      <w:szCs w:val="22"/>
      <w:lang w:eastAsia="en-US"/>
    </w:rPr>
  </w:style>
  <w:style w:type="paragraph" w:customStyle="1" w:styleId="ListDash">
    <w:name w:val="List Dash"/>
    <w:basedOn w:val="Normal"/>
    <w:rsid w:val="004C1CED"/>
    <w:pPr>
      <w:widowControl/>
      <w:numPr>
        <w:numId w:val="6"/>
      </w:numPr>
      <w:tabs>
        <w:tab w:val="clear" w:pos="283"/>
        <w:tab w:val="num" w:pos="926"/>
      </w:tabs>
      <w:spacing w:before="120" w:after="120"/>
      <w:ind w:left="926" w:hanging="360"/>
      <w:jc w:val="both"/>
    </w:pPr>
    <w:rPr>
      <w:rFonts w:eastAsia="Calibri"/>
      <w:szCs w:val="22"/>
      <w:lang w:eastAsia="en-US"/>
    </w:rPr>
  </w:style>
  <w:style w:type="paragraph" w:customStyle="1" w:styleId="ListDash1">
    <w:name w:val="List Dash 1"/>
    <w:basedOn w:val="Normal"/>
    <w:rsid w:val="004C1CED"/>
    <w:pPr>
      <w:widowControl/>
      <w:numPr>
        <w:numId w:val="7"/>
      </w:numPr>
      <w:tabs>
        <w:tab w:val="clear" w:pos="1134"/>
        <w:tab w:val="num" w:pos="1209"/>
      </w:tabs>
      <w:spacing w:before="120" w:after="120"/>
      <w:ind w:left="1209" w:hanging="360"/>
      <w:jc w:val="both"/>
    </w:pPr>
    <w:rPr>
      <w:rFonts w:eastAsia="Calibri"/>
      <w:szCs w:val="22"/>
      <w:lang w:eastAsia="en-US"/>
    </w:rPr>
  </w:style>
  <w:style w:type="paragraph" w:customStyle="1" w:styleId="ListDash2">
    <w:name w:val="List Dash 2"/>
    <w:basedOn w:val="Normal"/>
    <w:rsid w:val="004C1CED"/>
    <w:pPr>
      <w:widowControl/>
      <w:numPr>
        <w:numId w:val="8"/>
      </w:numPr>
      <w:tabs>
        <w:tab w:val="clear" w:pos="1134"/>
        <w:tab w:val="num" w:pos="1209"/>
      </w:tabs>
      <w:spacing w:before="120" w:after="120"/>
      <w:ind w:left="1209" w:hanging="360"/>
      <w:jc w:val="both"/>
    </w:pPr>
    <w:rPr>
      <w:rFonts w:eastAsia="Calibri"/>
      <w:szCs w:val="22"/>
      <w:lang w:eastAsia="en-US"/>
    </w:rPr>
  </w:style>
  <w:style w:type="paragraph" w:customStyle="1" w:styleId="ListNumberLevel2">
    <w:name w:val="List Number (Level 2)"/>
    <w:basedOn w:val="Normal"/>
    <w:rsid w:val="004C1CED"/>
    <w:pPr>
      <w:widowControl/>
      <w:numPr>
        <w:ilvl w:val="1"/>
        <w:numId w:val="9"/>
      </w:numPr>
      <w:tabs>
        <w:tab w:val="clear" w:pos="1417"/>
        <w:tab w:val="num" w:pos="1492"/>
      </w:tabs>
      <w:spacing w:before="120" w:after="120"/>
      <w:ind w:left="1492" w:hanging="360"/>
      <w:jc w:val="both"/>
    </w:pPr>
    <w:rPr>
      <w:rFonts w:eastAsia="Calibri"/>
      <w:szCs w:val="22"/>
      <w:lang w:eastAsia="en-US"/>
    </w:rPr>
  </w:style>
  <w:style w:type="paragraph" w:customStyle="1" w:styleId="ListNumberLevel3">
    <w:name w:val="List Number (Level 3)"/>
    <w:basedOn w:val="Normal"/>
    <w:rsid w:val="004C1CED"/>
    <w:pPr>
      <w:widowControl/>
      <w:numPr>
        <w:ilvl w:val="2"/>
        <w:numId w:val="9"/>
      </w:numPr>
      <w:tabs>
        <w:tab w:val="clear" w:pos="2126"/>
        <w:tab w:val="num" w:pos="1492"/>
      </w:tabs>
      <w:spacing w:before="120" w:after="120"/>
      <w:ind w:left="1492" w:hanging="360"/>
      <w:jc w:val="both"/>
    </w:pPr>
    <w:rPr>
      <w:rFonts w:eastAsia="Calibri"/>
      <w:szCs w:val="22"/>
      <w:lang w:eastAsia="en-US"/>
    </w:rPr>
  </w:style>
  <w:style w:type="paragraph" w:customStyle="1" w:styleId="ListNumberLevel4">
    <w:name w:val="List Number (Level 4)"/>
    <w:basedOn w:val="Normal"/>
    <w:rsid w:val="004C1CED"/>
    <w:pPr>
      <w:widowControl/>
      <w:numPr>
        <w:ilvl w:val="3"/>
        <w:numId w:val="9"/>
      </w:numPr>
      <w:tabs>
        <w:tab w:val="clear" w:pos="2835"/>
        <w:tab w:val="num" w:pos="1492"/>
      </w:tabs>
      <w:spacing w:before="120" w:after="120"/>
      <w:ind w:left="1492" w:hanging="360"/>
      <w:jc w:val="both"/>
    </w:pPr>
    <w:rPr>
      <w:rFonts w:eastAsia="Calibri"/>
      <w:szCs w:val="22"/>
      <w:lang w:eastAsia="en-US"/>
    </w:rPr>
  </w:style>
  <w:style w:type="table" w:customStyle="1" w:styleId="TableGrid11">
    <w:name w:val="Table Grid11"/>
    <w:basedOn w:val="TableNormal"/>
    <w:next w:val="TableGrid"/>
    <w:rsid w:val="004C1CED"/>
    <w:pPr>
      <w:spacing w:before="120" w:after="120"/>
      <w:jc w:val="both"/>
    </w:pPr>
    <w:rPr>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2">
    <w:name w:val="List Number 2"/>
    <w:basedOn w:val="Normal"/>
    <w:uiPriority w:val="99"/>
    <w:rsid w:val="004C1CED"/>
    <w:pPr>
      <w:widowControl/>
      <w:numPr>
        <w:numId w:val="13"/>
      </w:numPr>
      <w:tabs>
        <w:tab w:val="clear" w:pos="1560"/>
        <w:tab w:val="num" w:pos="643"/>
      </w:tabs>
      <w:spacing w:before="120" w:after="120"/>
      <w:ind w:left="643" w:hanging="360"/>
      <w:jc w:val="both"/>
    </w:pPr>
    <w:rPr>
      <w:rFonts w:eastAsia="Calibri"/>
      <w:szCs w:val="22"/>
      <w:lang w:eastAsia="en-US"/>
    </w:rPr>
  </w:style>
  <w:style w:type="paragraph" w:styleId="ListNumber3">
    <w:name w:val="List Number 3"/>
    <w:basedOn w:val="Normal"/>
    <w:uiPriority w:val="99"/>
    <w:rsid w:val="004C1CED"/>
    <w:pPr>
      <w:widowControl/>
      <w:numPr>
        <w:numId w:val="14"/>
      </w:numPr>
      <w:tabs>
        <w:tab w:val="clear" w:pos="1560"/>
        <w:tab w:val="num" w:pos="643"/>
      </w:tabs>
      <w:spacing w:before="120" w:after="120"/>
      <w:ind w:left="643" w:hanging="360"/>
      <w:jc w:val="both"/>
    </w:pPr>
    <w:rPr>
      <w:rFonts w:eastAsia="Calibri"/>
      <w:szCs w:val="22"/>
      <w:lang w:eastAsia="en-US"/>
    </w:rPr>
  </w:style>
  <w:style w:type="paragraph" w:styleId="ListNumber4">
    <w:name w:val="List Number 4"/>
    <w:basedOn w:val="Normal"/>
    <w:uiPriority w:val="99"/>
    <w:rsid w:val="004C1CED"/>
    <w:pPr>
      <w:widowControl/>
      <w:numPr>
        <w:numId w:val="15"/>
      </w:numPr>
      <w:tabs>
        <w:tab w:val="clear" w:pos="1560"/>
        <w:tab w:val="num" w:pos="926"/>
      </w:tabs>
      <w:spacing w:before="120" w:after="120"/>
      <w:ind w:left="926" w:hanging="360"/>
      <w:jc w:val="both"/>
    </w:pPr>
    <w:rPr>
      <w:rFonts w:eastAsia="Calibri"/>
      <w:szCs w:val="22"/>
      <w:lang w:eastAsia="en-US"/>
    </w:rPr>
  </w:style>
  <w:style w:type="paragraph" w:customStyle="1" w:styleId="ListDash3">
    <w:name w:val="List Dash 3"/>
    <w:basedOn w:val="Normal"/>
    <w:rsid w:val="004C1CED"/>
    <w:pPr>
      <w:widowControl/>
      <w:numPr>
        <w:numId w:val="10"/>
      </w:numPr>
      <w:tabs>
        <w:tab w:val="clear" w:pos="1134"/>
        <w:tab w:val="num" w:pos="1492"/>
      </w:tabs>
      <w:spacing w:before="120" w:after="120"/>
      <w:ind w:left="1492" w:hanging="360"/>
      <w:jc w:val="both"/>
    </w:pPr>
    <w:rPr>
      <w:rFonts w:eastAsia="Calibri"/>
      <w:szCs w:val="22"/>
      <w:lang w:eastAsia="en-US"/>
    </w:rPr>
  </w:style>
  <w:style w:type="paragraph" w:customStyle="1" w:styleId="ListDash4">
    <w:name w:val="List Dash 4"/>
    <w:basedOn w:val="Normal"/>
    <w:rsid w:val="004C1CED"/>
    <w:pPr>
      <w:widowControl/>
      <w:numPr>
        <w:numId w:val="11"/>
      </w:numPr>
      <w:tabs>
        <w:tab w:val="clear" w:pos="1134"/>
        <w:tab w:val="num" w:pos="360"/>
      </w:tabs>
      <w:spacing w:before="120" w:after="120"/>
      <w:ind w:left="360" w:hanging="360"/>
      <w:jc w:val="both"/>
    </w:pPr>
    <w:rPr>
      <w:rFonts w:eastAsia="Calibri"/>
      <w:szCs w:val="22"/>
      <w:lang w:eastAsia="en-US"/>
    </w:rPr>
  </w:style>
  <w:style w:type="paragraph" w:customStyle="1" w:styleId="ListNumber1">
    <w:name w:val="List Number 1"/>
    <w:basedOn w:val="Text1"/>
    <w:rsid w:val="004C1CED"/>
    <w:pPr>
      <w:numPr>
        <w:numId w:val="12"/>
      </w:numPr>
      <w:tabs>
        <w:tab w:val="clear" w:pos="1701"/>
        <w:tab w:val="num" w:pos="360"/>
      </w:tabs>
      <w:ind w:left="360" w:hanging="360"/>
    </w:pPr>
  </w:style>
  <w:style w:type="paragraph" w:customStyle="1" w:styleId="ListNumber1Level2">
    <w:name w:val="List Number 1 (Level 2)"/>
    <w:basedOn w:val="Text1"/>
    <w:rsid w:val="004C1CED"/>
    <w:pPr>
      <w:numPr>
        <w:ilvl w:val="1"/>
        <w:numId w:val="12"/>
      </w:numPr>
      <w:tabs>
        <w:tab w:val="clear" w:pos="2268"/>
        <w:tab w:val="num" w:pos="360"/>
      </w:tabs>
      <w:ind w:left="360" w:hanging="360"/>
    </w:pPr>
  </w:style>
  <w:style w:type="paragraph" w:customStyle="1" w:styleId="ListNumber2Level2">
    <w:name w:val="List Number 2 (Level 2)"/>
    <w:basedOn w:val="Text2"/>
    <w:rsid w:val="004C1CED"/>
    <w:pPr>
      <w:numPr>
        <w:ilvl w:val="1"/>
        <w:numId w:val="13"/>
      </w:numPr>
      <w:tabs>
        <w:tab w:val="clear" w:pos="2268"/>
        <w:tab w:val="num" w:pos="643"/>
      </w:tabs>
      <w:ind w:left="643" w:hanging="360"/>
    </w:pPr>
  </w:style>
  <w:style w:type="paragraph" w:customStyle="1" w:styleId="ListNumber3Level2">
    <w:name w:val="List Number 3 (Level 2)"/>
    <w:basedOn w:val="Text3"/>
    <w:rsid w:val="004C1CED"/>
    <w:pPr>
      <w:numPr>
        <w:ilvl w:val="1"/>
        <w:numId w:val="14"/>
      </w:numPr>
      <w:tabs>
        <w:tab w:val="clear" w:pos="2268"/>
        <w:tab w:val="num" w:pos="643"/>
      </w:tabs>
      <w:ind w:left="643" w:hanging="360"/>
    </w:pPr>
  </w:style>
  <w:style w:type="paragraph" w:customStyle="1" w:styleId="ListNumber4Level2">
    <w:name w:val="List Number 4 (Level 2)"/>
    <w:basedOn w:val="Text4"/>
    <w:rsid w:val="004C1CED"/>
    <w:pPr>
      <w:numPr>
        <w:ilvl w:val="1"/>
        <w:numId w:val="15"/>
      </w:numPr>
      <w:tabs>
        <w:tab w:val="clear" w:pos="2268"/>
        <w:tab w:val="num" w:pos="926"/>
      </w:tabs>
      <w:ind w:left="926" w:hanging="360"/>
    </w:pPr>
  </w:style>
  <w:style w:type="paragraph" w:customStyle="1" w:styleId="ListNumber1Level3">
    <w:name w:val="List Number 1 (Level 3)"/>
    <w:basedOn w:val="Text1"/>
    <w:rsid w:val="004C1CED"/>
    <w:pPr>
      <w:numPr>
        <w:ilvl w:val="2"/>
        <w:numId w:val="12"/>
      </w:numPr>
      <w:tabs>
        <w:tab w:val="clear" w:pos="2977"/>
        <w:tab w:val="num" w:pos="360"/>
      </w:tabs>
      <w:ind w:left="360" w:hanging="360"/>
    </w:pPr>
  </w:style>
  <w:style w:type="paragraph" w:customStyle="1" w:styleId="ListNumber2Level3">
    <w:name w:val="List Number 2 (Level 3)"/>
    <w:basedOn w:val="Text2"/>
    <w:rsid w:val="004C1CED"/>
    <w:pPr>
      <w:numPr>
        <w:ilvl w:val="2"/>
        <w:numId w:val="13"/>
      </w:numPr>
      <w:tabs>
        <w:tab w:val="clear" w:pos="2977"/>
        <w:tab w:val="num" w:pos="643"/>
      </w:tabs>
      <w:ind w:left="643" w:hanging="360"/>
    </w:pPr>
  </w:style>
  <w:style w:type="paragraph" w:customStyle="1" w:styleId="ListNumber3Level3">
    <w:name w:val="List Number 3 (Level 3)"/>
    <w:basedOn w:val="Text3"/>
    <w:rsid w:val="004C1CED"/>
    <w:pPr>
      <w:numPr>
        <w:ilvl w:val="2"/>
        <w:numId w:val="14"/>
      </w:numPr>
      <w:tabs>
        <w:tab w:val="clear" w:pos="2977"/>
        <w:tab w:val="num" w:pos="643"/>
      </w:tabs>
      <w:ind w:left="643" w:hanging="360"/>
    </w:pPr>
  </w:style>
  <w:style w:type="paragraph" w:customStyle="1" w:styleId="ListNumber4Level3">
    <w:name w:val="List Number 4 (Level 3)"/>
    <w:basedOn w:val="Text4"/>
    <w:rsid w:val="004C1CED"/>
    <w:pPr>
      <w:numPr>
        <w:ilvl w:val="2"/>
        <w:numId w:val="15"/>
      </w:numPr>
      <w:tabs>
        <w:tab w:val="clear" w:pos="2977"/>
        <w:tab w:val="num" w:pos="926"/>
      </w:tabs>
      <w:ind w:left="926" w:hanging="360"/>
    </w:pPr>
  </w:style>
  <w:style w:type="paragraph" w:customStyle="1" w:styleId="ListNumber1Level4">
    <w:name w:val="List Number 1 (Level 4)"/>
    <w:basedOn w:val="Text1"/>
    <w:rsid w:val="004C1CED"/>
    <w:pPr>
      <w:numPr>
        <w:ilvl w:val="3"/>
        <w:numId w:val="12"/>
      </w:numPr>
      <w:tabs>
        <w:tab w:val="clear" w:pos="3686"/>
        <w:tab w:val="num" w:pos="360"/>
      </w:tabs>
      <w:ind w:left="360" w:hanging="360"/>
    </w:pPr>
  </w:style>
  <w:style w:type="paragraph" w:customStyle="1" w:styleId="ListNumber2Level4">
    <w:name w:val="List Number 2 (Level 4)"/>
    <w:basedOn w:val="Text2"/>
    <w:rsid w:val="004C1CED"/>
    <w:pPr>
      <w:numPr>
        <w:ilvl w:val="3"/>
        <w:numId w:val="13"/>
      </w:numPr>
      <w:tabs>
        <w:tab w:val="clear" w:pos="3686"/>
        <w:tab w:val="num" w:pos="643"/>
      </w:tabs>
      <w:ind w:left="643" w:hanging="360"/>
    </w:pPr>
  </w:style>
  <w:style w:type="paragraph" w:customStyle="1" w:styleId="ListNumber3Level4">
    <w:name w:val="List Number 3 (Level 4)"/>
    <w:basedOn w:val="Text3"/>
    <w:rsid w:val="004C1CED"/>
    <w:pPr>
      <w:numPr>
        <w:ilvl w:val="3"/>
        <w:numId w:val="14"/>
      </w:numPr>
      <w:tabs>
        <w:tab w:val="clear" w:pos="3686"/>
        <w:tab w:val="num" w:pos="643"/>
      </w:tabs>
      <w:ind w:left="643" w:hanging="360"/>
    </w:pPr>
  </w:style>
  <w:style w:type="paragraph" w:customStyle="1" w:styleId="ListNumber4Level4">
    <w:name w:val="List Number 4 (Level 4)"/>
    <w:basedOn w:val="Text4"/>
    <w:rsid w:val="004C1CED"/>
    <w:pPr>
      <w:numPr>
        <w:ilvl w:val="3"/>
        <w:numId w:val="15"/>
      </w:numPr>
      <w:tabs>
        <w:tab w:val="clear" w:pos="3686"/>
        <w:tab w:val="num" w:pos="926"/>
      </w:tabs>
      <w:ind w:left="926" w:hanging="360"/>
    </w:pPr>
  </w:style>
  <w:style w:type="paragraph" w:customStyle="1" w:styleId="Annexetitreacte">
    <w:name w:val="Annexe titre (acte)"/>
    <w:basedOn w:val="Normal"/>
    <w:next w:val="Normal"/>
    <w:rsid w:val="004C1CED"/>
    <w:pPr>
      <w:widowControl/>
      <w:spacing w:before="120" w:after="120"/>
      <w:jc w:val="center"/>
    </w:pPr>
    <w:rPr>
      <w:rFonts w:eastAsia="Calibri"/>
      <w:b/>
      <w:szCs w:val="22"/>
      <w:u w:val="single"/>
      <w:lang w:eastAsia="en-US"/>
    </w:rPr>
  </w:style>
  <w:style w:type="paragraph" w:customStyle="1" w:styleId="Annexetitreexposglobal">
    <w:name w:val="Annexe titre (exposé global)"/>
    <w:basedOn w:val="Normal"/>
    <w:next w:val="Normal"/>
    <w:rsid w:val="004C1CED"/>
    <w:pPr>
      <w:widowControl/>
      <w:spacing w:before="120" w:after="120"/>
      <w:jc w:val="center"/>
    </w:pPr>
    <w:rPr>
      <w:rFonts w:eastAsia="Calibri"/>
      <w:b/>
      <w:szCs w:val="22"/>
      <w:u w:val="single"/>
      <w:lang w:eastAsia="en-US"/>
    </w:rPr>
  </w:style>
  <w:style w:type="paragraph" w:customStyle="1" w:styleId="Annexetitrefichefinacte">
    <w:name w:val="Annexe titre (fiche fin. acte)"/>
    <w:basedOn w:val="Normal"/>
    <w:next w:val="Normal"/>
    <w:rsid w:val="004C1CED"/>
    <w:pPr>
      <w:widowControl/>
      <w:spacing w:before="120" w:after="120"/>
      <w:jc w:val="center"/>
    </w:pPr>
    <w:rPr>
      <w:rFonts w:eastAsia="Calibri"/>
      <w:b/>
      <w:szCs w:val="22"/>
      <w:u w:val="single"/>
      <w:lang w:eastAsia="en-US"/>
    </w:rPr>
  </w:style>
  <w:style w:type="paragraph" w:customStyle="1" w:styleId="Annexetitrefichefinglobale">
    <w:name w:val="Annexe titre (fiche fin. globale)"/>
    <w:basedOn w:val="Normal"/>
    <w:next w:val="Normal"/>
    <w:rsid w:val="004C1CED"/>
    <w:pPr>
      <w:widowControl/>
      <w:spacing w:before="120" w:after="120"/>
      <w:jc w:val="center"/>
    </w:pPr>
    <w:rPr>
      <w:rFonts w:eastAsia="Calibri"/>
      <w:b/>
      <w:szCs w:val="22"/>
      <w:u w:val="single"/>
      <w:lang w:eastAsia="en-US"/>
    </w:rPr>
  </w:style>
  <w:style w:type="paragraph" w:customStyle="1" w:styleId="Annexetitreglobale">
    <w:name w:val="Annexe titre (globale)"/>
    <w:basedOn w:val="Normal"/>
    <w:next w:val="Normal"/>
    <w:rsid w:val="004C1CED"/>
    <w:pPr>
      <w:widowControl/>
      <w:spacing w:before="120" w:after="120"/>
      <w:jc w:val="center"/>
    </w:pPr>
    <w:rPr>
      <w:rFonts w:eastAsia="Calibri"/>
      <w:b/>
      <w:szCs w:val="22"/>
      <w:u w:val="single"/>
      <w:lang w:eastAsia="en-US"/>
    </w:rPr>
  </w:style>
  <w:style w:type="paragraph" w:customStyle="1" w:styleId="Exposdesmotifstitreglobal">
    <w:name w:val="Exposé des motifs titre (global)"/>
    <w:basedOn w:val="Normal"/>
    <w:next w:val="Normal"/>
    <w:rsid w:val="004C1CED"/>
    <w:pPr>
      <w:widowControl/>
      <w:spacing w:before="120" w:after="120"/>
      <w:jc w:val="center"/>
    </w:pPr>
    <w:rPr>
      <w:rFonts w:eastAsia="Calibri"/>
      <w:b/>
      <w:szCs w:val="22"/>
      <w:u w:val="single"/>
      <w:lang w:eastAsia="en-US"/>
    </w:rPr>
  </w:style>
  <w:style w:type="paragraph" w:customStyle="1" w:styleId="Langueoriginale">
    <w:name w:val="Langue originale"/>
    <w:basedOn w:val="Normal"/>
    <w:rsid w:val="004C1CED"/>
    <w:pPr>
      <w:widowControl/>
      <w:spacing w:before="360" w:after="120"/>
      <w:jc w:val="center"/>
    </w:pPr>
    <w:rPr>
      <w:rFonts w:eastAsia="Calibri"/>
      <w:caps/>
      <w:szCs w:val="22"/>
      <w:lang w:eastAsia="en-US"/>
    </w:rPr>
  </w:style>
  <w:style w:type="paragraph" w:customStyle="1" w:styleId="Phrasefinale">
    <w:name w:val="Phrase finale"/>
    <w:basedOn w:val="Normal"/>
    <w:next w:val="Normal"/>
    <w:rsid w:val="004C1CED"/>
    <w:pPr>
      <w:widowControl/>
      <w:spacing w:before="360"/>
      <w:jc w:val="center"/>
    </w:pPr>
    <w:rPr>
      <w:rFonts w:eastAsia="Calibri"/>
      <w:szCs w:val="22"/>
      <w:lang w:eastAsia="en-US"/>
    </w:rPr>
  </w:style>
  <w:style w:type="paragraph" w:customStyle="1" w:styleId="Prliminairetitre">
    <w:name w:val="Préliminaire titre"/>
    <w:basedOn w:val="Normal"/>
    <w:next w:val="Normal"/>
    <w:rsid w:val="004C1CED"/>
    <w:pPr>
      <w:widowControl/>
      <w:spacing w:before="360" w:after="360"/>
      <w:jc w:val="center"/>
    </w:pPr>
    <w:rPr>
      <w:rFonts w:eastAsia="Calibri"/>
      <w:b/>
      <w:szCs w:val="22"/>
      <w:lang w:eastAsia="en-US"/>
    </w:rPr>
  </w:style>
  <w:style w:type="paragraph" w:customStyle="1" w:styleId="Prliminairetype">
    <w:name w:val="Préliminaire type"/>
    <w:basedOn w:val="Normal"/>
    <w:next w:val="Normal"/>
    <w:rsid w:val="004C1CED"/>
    <w:pPr>
      <w:widowControl/>
      <w:spacing w:before="360"/>
      <w:jc w:val="center"/>
    </w:pPr>
    <w:rPr>
      <w:rFonts w:eastAsia="Calibri"/>
      <w:b/>
      <w:szCs w:val="22"/>
      <w:lang w:eastAsia="en-US"/>
    </w:rPr>
  </w:style>
  <w:style w:type="paragraph" w:customStyle="1" w:styleId="Rfrenceinstitutionelle">
    <w:name w:val="Référence institutionelle"/>
    <w:basedOn w:val="Normal"/>
    <w:next w:val="Statut"/>
    <w:rsid w:val="004C1CED"/>
    <w:pPr>
      <w:widowControl/>
      <w:spacing w:after="240"/>
      <w:ind w:left="5103"/>
    </w:pPr>
    <w:rPr>
      <w:rFonts w:eastAsia="Calibri"/>
      <w:szCs w:val="22"/>
      <w:lang w:eastAsia="en-US"/>
    </w:rPr>
  </w:style>
  <w:style w:type="paragraph" w:customStyle="1" w:styleId="Rfrenceinterinstitutionelle">
    <w:name w:val="Référence interinstitutionelle"/>
    <w:basedOn w:val="Normal"/>
    <w:next w:val="Statut"/>
    <w:rsid w:val="004C1CED"/>
    <w:pPr>
      <w:widowControl/>
      <w:ind w:left="5103"/>
    </w:pPr>
    <w:rPr>
      <w:rFonts w:eastAsia="Calibri"/>
      <w:szCs w:val="22"/>
      <w:lang w:eastAsia="en-US"/>
    </w:rPr>
  </w:style>
  <w:style w:type="paragraph" w:customStyle="1" w:styleId="Rfrenceinterinstitutionelleprliminaire">
    <w:name w:val="Référence interinstitutionelle (préliminaire)"/>
    <w:basedOn w:val="Normal"/>
    <w:next w:val="Normal"/>
    <w:rsid w:val="004C1CED"/>
    <w:pPr>
      <w:widowControl/>
      <w:ind w:left="5103"/>
    </w:pPr>
    <w:rPr>
      <w:rFonts w:eastAsia="Calibri"/>
      <w:szCs w:val="22"/>
      <w:lang w:eastAsia="en-US"/>
    </w:rPr>
  </w:style>
  <w:style w:type="paragraph" w:customStyle="1" w:styleId="Sous-titreobjetprliminaire">
    <w:name w:val="Sous-titre objet (préliminaire)"/>
    <w:basedOn w:val="Normal"/>
    <w:rsid w:val="004C1CED"/>
    <w:pPr>
      <w:widowControl/>
      <w:jc w:val="center"/>
    </w:pPr>
    <w:rPr>
      <w:rFonts w:eastAsia="Calibri"/>
      <w:b/>
      <w:szCs w:val="22"/>
      <w:lang w:eastAsia="en-US"/>
    </w:rPr>
  </w:style>
  <w:style w:type="paragraph" w:customStyle="1" w:styleId="Statutprliminaire">
    <w:name w:val="Statut (préliminaire)"/>
    <w:basedOn w:val="Normal"/>
    <w:next w:val="Normal"/>
    <w:rsid w:val="004C1CED"/>
    <w:pPr>
      <w:widowControl/>
      <w:spacing w:before="360"/>
      <w:jc w:val="center"/>
    </w:pPr>
    <w:rPr>
      <w:rFonts w:eastAsia="Calibri"/>
      <w:szCs w:val="22"/>
      <w:lang w:eastAsia="en-US"/>
    </w:rPr>
  </w:style>
  <w:style w:type="paragraph" w:customStyle="1" w:styleId="Titreobjetprliminaire">
    <w:name w:val="Titre objet (préliminaire)"/>
    <w:basedOn w:val="Normal"/>
    <w:next w:val="Normal"/>
    <w:rsid w:val="004C1CED"/>
    <w:pPr>
      <w:widowControl/>
      <w:spacing w:before="360" w:after="360"/>
      <w:jc w:val="center"/>
    </w:pPr>
    <w:rPr>
      <w:rFonts w:eastAsia="Calibri"/>
      <w:b/>
      <w:szCs w:val="22"/>
      <w:lang w:eastAsia="en-US"/>
    </w:rPr>
  </w:style>
  <w:style w:type="paragraph" w:customStyle="1" w:styleId="Typedudocumentprliminaire">
    <w:name w:val="Type du document (préliminaire)"/>
    <w:basedOn w:val="Normal"/>
    <w:next w:val="Normal"/>
    <w:rsid w:val="004C1CED"/>
    <w:pPr>
      <w:widowControl/>
      <w:spacing w:before="360"/>
      <w:jc w:val="center"/>
    </w:pPr>
    <w:rPr>
      <w:rFonts w:eastAsia="Calibri"/>
      <w:b/>
      <w:szCs w:val="22"/>
      <w:lang w:eastAsia="en-US"/>
    </w:rPr>
  </w:style>
  <w:style w:type="paragraph" w:customStyle="1" w:styleId="Fichefinancirestandardtitre">
    <w:name w:val="Fiche financière (standard) titre"/>
    <w:basedOn w:val="Normal"/>
    <w:next w:val="Normal"/>
    <w:rsid w:val="004C1CED"/>
    <w:pPr>
      <w:widowControl/>
      <w:spacing w:before="120" w:after="120"/>
      <w:jc w:val="center"/>
    </w:pPr>
    <w:rPr>
      <w:rFonts w:eastAsia="Calibri"/>
      <w:b/>
      <w:szCs w:val="22"/>
      <w:u w:val="single"/>
      <w:lang w:eastAsia="en-US"/>
    </w:rPr>
  </w:style>
  <w:style w:type="paragraph" w:customStyle="1" w:styleId="Fichefinancirestandardtitreacte">
    <w:name w:val="Fiche financière (standard) titre (acte)"/>
    <w:basedOn w:val="Normal"/>
    <w:next w:val="Normal"/>
    <w:rsid w:val="004C1CED"/>
    <w:pPr>
      <w:widowControl/>
      <w:spacing w:before="120" w:after="120"/>
      <w:jc w:val="center"/>
    </w:pPr>
    <w:rPr>
      <w:rFonts w:eastAsia="Calibri"/>
      <w:b/>
      <w:szCs w:val="22"/>
      <w:u w:val="single"/>
      <w:lang w:eastAsia="en-US"/>
    </w:rPr>
  </w:style>
  <w:style w:type="paragraph" w:customStyle="1" w:styleId="Fichefinanciretravailtitre">
    <w:name w:val="Fiche financière (travail) titre"/>
    <w:basedOn w:val="Normal"/>
    <w:next w:val="Normal"/>
    <w:rsid w:val="004C1CED"/>
    <w:pPr>
      <w:widowControl/>
      <w:spacing w:before="120" w:after="120"/>
      <w:jc w:val="center"/>
    </w:pPr>
    <w:rPr>
      <w:rFonts w:eastAsia="Calibri"/>
      <w:b/>
      <w:szCs w:val="22"/>
      <w:u w:val="single"/>
      <w:lang w:eastAsia="en-US"/>
    </w:rPr>
  </w:style>
  <w:style w:type="paragraph" w:customStyle="1" w:styleId="Fichefinanciretravailtitreacte">
    <w:name w:val="Fiche financière (travail) titre (acte)"/>
    <w:basedOn w:val="Normal"/>
    <w:next w:val="Normal"/>
    <w:rsid w:val="004C1CED"/>
    <w:pPr>
      <w:widowControl/>
      <w:spacing w:before="120" w:after="120"/>
      <w:jc w:val="center"/>
    </w:pPr>
    <w:rPr>
      <w:rFonts w:eastAsia="Calibri"/>
      <w:b/>
      <w:szCs w:val="22"/>
      <w:u w:val="single"/>
      <w:lang w:eastAsia="en-US"/>
    </w:rPr>
  </w:style>
  <w:style w:type="paragraph" w:customStyle="1" w:styleId="Fichefinancireattributiontitre">
    <w:name w:val="Fiche financière (attribution) titre"/>
    <w:basedOn w:val="Normal"/>
    <w:next w:val="Normal"/>
    <w:rsid w:val="004C1CED"/>
    <w:pPr>
      <w:widowControl/>
      <w:spacing w:before="120" w:after="120"/>
      <w:jc w:val="center"/>
    </w:pPr>
    <w:rPr>
      <w:rFonts w:eastAsia="Calibri"/>
      <w:b/>
      <w:szCs w:val="22"/>
      <w:u w:val="single"/>
      <w:lang w:eastAsia="en-US"/>
    </w:rPr>
  </w:style>
  <w:style w:type="paragraph" w:customStyle="1" w:styleId="Fichefinancireattributiontitreacte">
    <w:name w:val="Fiche financière (attribution) titre (acte)"/>
    <w:basedOn w:val="Normal"/>
    <w:next w:val="Normal"/>
    <w:rsid w:val="004C1CED"/>
    <w:pPr>
      <w:widowControl/>
      <w:spacing w:before="120" w:after="120"/>
      <w:jc w:val="center"/>
    </w:pPr>
    <w:rPr>
      <w:rFonts w:eastAsia="Calibri"/>
      <w:b/>
      <w:szCs w:val="22"/>
      <w:u w:val="single"/>
      <w:lang w:eastAsia="en-US"/>
    </w:rPr>
  </w:style>
  <w:style w:type="paragraph" w:styleId="Caption">
    <w:name w:val="caption"/>
    <w:basedOn w:val="Normal"/>
    <w:next w:val="Normal"/>
    <w:uiPriority w:val="35"/>
    <w:qFormat/>
    <w:rsid w:val="004C1CED"/>
    <w:pPr>
      <w:widowControl/>
      <w:spacing w:before="120" w:after="120"/>
      <w:jc w:val="both"/>
    </w:pPr>
    <w:rPr>
      <w:rFonts w:eastAsia="Calibri"/>
      <w:b/>
      <w:sz w:val="20"/>
      <w:szCs w:val="22"/>
      <w:lang w:eastAsia="en-US"/>
    </w:rPr>
  </w:style>
  <w:style w:type="paragraph" w:styleId="TableofFigures">
    <w:name w:val="table of figures"/>
    <w:basedOn w:val="Normal"/>
    <w:next w:val="Normal"/>
    <w:uiPriority w:val="99"/>
    <w:rsid w:val="004C1CED"/>
    <w:pPr>
      <w:widowControl/>
      <w:spacing w:before="120" w:after="120"/>
      <w:jc w:val="both"/>
    </w:pPr>
    <w:rPr>
      <w:rFonts w:eastAsia="Calibri"/>
      <w:szCs w:val="22"/>
      <w:lang w:eastAsia="en-US"/>
    </w:rPr>
  </w:style>
  <w:style w:type="character" w:customStyle="1" w:styleId="tw4winMark">
    <w:name w:val="tw4winMark"/>
    <w:rsid w:val="004C1CED"/>
    <w:rPr>
      <w:vanish/>
      <w:color w:val="800080"/>
      <w:vertAlign w:val="subscript"/>
    </w:rPr>
  </w:style>
  <w:style w:type="character" w:styleId="FollowedHyperlink">
    <w:name w:val="FollowedHyperlink"/>
    <w:uiPriority w:val="99"/>
    <w:rsid w:val="004C1CED"/>
    <w:rPr>
      <w:color w:val="800080"/>
      <w:u w:val="single"/>
    </w:rPr>
  </w:style>
  <w:style w:type="paragraph" w:customStyle="1" w:styleId="Sous-titreobjet">
    <w:name w:val="Sous-titre objet"/>
    <w:basedOn w:val="Normal"/>
    <w:rsid w:val="004C1CED"/>
    <w:pPr>
      <w:widowControl/>
      <w:jc w:val="center"/>
    </w:pPr>
    <w:rPr>
      <w:rFonts w:eastAsia="Calibri"/>
      <w:b/>
      <w:szCs w:val="22"/>
      <w:lang w:eastAsia="en-US"/>
    </w:rPr>
  </w:style>
  <w:style w:type="paragraph" w:customStyle="1" w:styleId="Sous-titreobjetPagedecouverture">
    <w:name w:val="Sous-titre objet (Page de couverture)"/>
    <w:basedOn w:val="Sous-titreobjet"/>
    <w:rsid w:val="004C1CED"/>
  </w:style>
  <w:style w:type="paragraph" w:customStyle="1" w:styleId="FooterCoverPage">
    <w:name w:val="Footer Cover Page"/>
    <w:basedOn w:val="Normal"/>
    <w:link w:val="FooterCoverPageChar"/>
    <w:rsid w:val="004C1CED"/>
    <w:pPr>
      <w:widowControl/>
      <w:tabs>
        <w:tab w:val="center" w:pos="4535"/>
        <w:tab w:val="right" w:pos="9071"/>
        <w:tab w:val="right" w:pos="9921"/>
      </w:tabs>
      <w:spacing w:before="360"/>
      <w:ind w:left="-850" w:right="-850"/>
    </w:pPr>
    <w:rPr>
      <w:rFonts w:eastAsia="Calibri"/>
      <w:szCs w:val="22"/>
      <w:lang w:eastAsia="en-US"/>
    </w:rPr>
  </w:style>
  <w:style w:type="character" w:customStyle="1" w:styleId="TOCHeadingChar">
    <w:name w:val="TOC Heading Char"/>
    <w:uiPriority w:val="39"/>
    <w:rsid w:val="004C1CED"/>
    <w:rPr>
      <w:rFonts w:ascii="Times New Roman" w:hAnsi="Times New Roman" w:cs="Times New Roman"/>
      <w:b/>
      <w:sz w:val="28"/>
    </w:rPr>
  </w:style>
  <w:style w:type="character" w:customStyle="1" w:styleId="FooterCoverPageChar">
    <w:name w:val="Footer Cover Page Char"/>
    <w:link w:val="FooterCoverPage"/>
    <w:rsid w:val="004C1CED"/>
    <w:rPr>
      <w:rFonts w:eastAsia="Calibri"/>
      <w:sz w:val="24"/>
      <w:szCs w:val="22"/>
      <w:lang w:val="fr-FR" w:eastAsia="en-US"/>
    </w:rPr>
  </w:style>
  <w:style w:type="paragraph" w:customStyle="1" w:styleId="HeaderCoverPage">
    <w:name w:val="Header Cover Page"/>
    <w:basedOn w:val="Normal"/>
    <w:link w:val="HeaderCoverPageChar"/>
    <w:rsid w:val="004C1CED"/>
    <w:pPr>
      <w:widowControl/>
      <w:tabs>
        <w:tab w:val="center" w:pos="4535"/>
        <w:tab w:val="right" w:pos="9071"/>
      </w:tabs>
      <w:spacing w:after="120"/>
      <w:jc w:val="both"/>
    </w:pPr>
    <w:rPr>
      <w:rFonts w:eastAsia="Calibri"/>
      <w:szCs w:val="22"/>
      <w:lang w:eastAsia="en-US"/>
    </w:rPr>
  </w:style>
  <w:style w:type="character" w:customStyle="1" w:styleId="HeaderCoverPageChar">
    <w:name w:val="Header Cover Page Char"/>
    <w:link w:val="HeaderCoverPage"/>
    <w:rsid w:val="004C1CED"/>
    <w:rPr>
      <w:rFonts w:eastAsia="Calibri"/>
      <w:sz w:val="24"/>
      <w:szCs w:val="22"/>
      <w:lang w:val="fr-FR" w:eastAsia="en-US"/>
    </w:rPr>
  </w:style>
  <w:style w:type="paragraph" w:customStyle="1" w:styleId="Default">
    <w:name w:val="Default"/>
    <w:rsid w:val="004C1CED"/>
    <w:pPr>
      <w:autoSpaceDE w:val="0"/>
      <w:autoSpaceDN w:val="0"/>
      <w:adjustRightInd w:val="0"/>
    </w:pPr>
    <w:rPr>
      <w:rFonts w:eastAsia="Calibri"/>
      <w:sz w:val="24"/>
      <w:szCs w:val="22"/>
      <w:lang w:val="en-US" w:eastAsia="en-US"/>
    </w:rPr>
  </w:style>
  <w:style w:type="table" w:customStyle="1" w:styleId="Table11">
    <w:name w:val="Table 11"/>
    <w:basedOn w:val="TableNormal"/>
    <w:uiPriority w:val="99"/>
    <w:rsid w:val="004C1CED"/>
    <w:pPr>
      <w:jc w:val="center"/>
    </w:pPr>
    <w:rPr>
      <w:rFonts w:ascii="Trebuchet MS" w:eastAsia="Calibri" w:hAnsi="Trebuchet MS"/>
      <w:sz w:val="16"/>
      <w:lang w:val="fr-BE" w:eastAsia="fr-BE"/>
    </w:rPr>
    <w:tblPr>
      <w:tblInd w:w="567" w:type="dxa"/>
      <w:tblBorders>
        <w:top w:val="single" w:sz="4" w:space="0" w:color="005962"/>
        <w:left w:val="single" w:sz="4" w:space="0" w:color="005962"/>
        <w:bottom w:val="single" w:sz="4" w:space="0" w:color="005962"/>
        <w:right w:val="single" w:sz="4" w:space="0" w:color="005962"/>
        <w:insideH w:val="single" w:sz="4" w:space="0" w:color="005962"/>
        <w:insideV w:val="single" w:sz="4" w:space="0" w:color="005962"/>
      </w:tblBorders>
    </w:tblPr>
    <w:tcPr>
      <w:shd w:val="clear" w:color="auto" w:fill="auto"/>
      <w:vAlign w:val="center"/>
    </w:tcPr>
    <w:tblStylePr w:type="firstRow">
      <w:pPr>
        <w:jc w:val="center"/>
      </w:pPr>
      <w:rPr>
        <w:rFonts w:ascii="___WRD_EMBED_SUB_178" w:hAnsi="___WRD_EMBED_SUB_178"/>
        <w:b/>
        <w:color w:val="FFFFFF"/>
        <w:sz w:val="16"/>
      </w:rPr>
      <w:tblPr/>
      <w:tcPr>
        <w:shd w:val="clear" w:color="auto" w:fill="005962"/>
      </w:tcPr>
    </w:tblStylePr>
    <w:tblStylePr w:type="firstCol">
      <w:pPr>
        <w:wordWrap/>
        <w:jc w:val="left"/>
        <w:outlineLvl w:val="9"/>
      </w:pPr>
    </w:tblStylePr>
  </w:style>
  <w:style w:type="paragraph" w:customStyle="1" w:styleId="TitreobjetPagedecouverture">
    <w:name w:val="Titre objet (Page de couverture)"/>
    <w:basedOn w:val="Titreobjet"/>
    <w:next w:val="IntrtEEEPagedecouverture"/>
    <w:rsid w:val="004C1CED"/>
    <w:pPr>
      <w:spacing w:line="240" w:lineRule="auto"/>
    </w:pPr>
    <w:rPr>
      <w:rFonts w:eastAsia="Calibri"/>
      <w:szCs w:val="22"/>
      <w:lang w:val="fr-FR"/>
    </w:rPr>
  </w:style>
  <w:style w:type="table" w:customStyle="1" w:styleId="TableGrid2">
    <w:name w:val="Table Grid2"/>
    <w:basedOn w:val="TableNormal"/>
    <w:next w:val="TableGrid"/>
    <w:rsid w:val="004C1CED"/>
    <w:pPr>
      <w:spacing w:before="120" w:after="120"/>
      <w:jc w:val="both"/>
    </w:pPr>
    <w:rPr>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111">
    <w:name w:val="Table 111"/>
    <w:basedOn w:val="TableNormal"/>
    <w:uiPriority w:val="99"/>
    <w:rsid w:val="004C1CED"/>
    <w:pPr>
      <w:jc w:val="center"/>
    </w:pPr>
    <w:rPr>
      <w:rFonts w:ascii="Trebuchet MS" w:eastAsia="Calibri" w:hAnsi="Trebuchet MS"/>
      <w:sz w:val="16"/>
      <w:lang w:val="fr-BE" w:eastAsia="fr-BE"/>
    </w:rPr>
    <w:tblPr>
      <w:tblInd w:w="567" w:type="dxa"/>
      <w:tblBorders>
        <w:top w:val="single" w:sz="4" w:space="0" w:color="005962"/>
        <w:left w:val="single" w:sz="4" w:space="0" w:color="005962"/>
        <w:bottom w:val="single" w:sz="4" w:space="0" w:color="005962"/>
        <w:right w:val="single" w:sz="4" w:space="0" w:color="005962"/>
        <w:insideH w:val="single" w:sz="4" w:space="0" w:color="005962"/>
        <w:insideV w:val="single" w:sz="4" w:space="0" w:color="005962"/>
      </w:tblBorders>
    </w:tblPr>
    <w:tcPr>
      <w:shd w:val="clear" w:color="auto" w:fill="auto"/>
      <w:vAlign w:val="center"/>
    </w:tcPr>
    <w:tblStylePr w:type="firstRow">
      <w:pPr>
        <w:jc w:val="center"/>
      </w:pPr>
      <w:rPr>
        <w:rFonts w:ascii="___WRD_EMBED_SUB_178" w:hAnsi="___WRD_EMBED_SUB_178"/>
        <w:b/>
        <w:color w:val="FFFFFF"/>
        <w:sz w:val="16"/>
      </w:rPr>
      <w:tblPr/>
      <w:tcPr>
        <w:shd w:val="clear" w:color="auto" w:fill="005962"/>
      </w:tcPr>
    </w:tblStylePr>
    <w:tblStylePr w:type="firstCol">
      <w:pPr>
        <w:wordWrap/>
        <w:jc w:val="left"/>
        <w:outlineLvl w:val="9"/>
      </w:pPr>
    </w:tblStylePr>
  </w:style>
  <w:style w:type="numbering" w:customStyle="1" w:styleId="NoList11">
    <w:name w:val="No List11"/>
    <w:next w:val="NoList"/>
    <w:uiPriority w:val="99"/>
    <w:semiHidden/>
    <w:unhideWhenUsed/>
    <w:rsid w:val="004C1CED"/>
  </w:style>
  <w:style w:type="table" w:customStyle="1" w:styleId="TableGrid3">
    <w:name w:val="Table Grid3"/>
    <w:basedOn w:val="TableNormal"/>
    <w:next w:val="TableGrid"/>
    <w:rsid w:val="004C1CED"/>
    <w:pPr>
      <w:spacing w:before="120" w:after="120"/>
      <w:jc w:val="both"/>
    </w:pPr>
    <w:rPr>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112">
    <w:name w:val="Table 112"/>
    <w:basedOn w:val="TableNormal"/>
    <w:uiPriority w:val="99"/>
    <w:rsid w:val="004C1CED"/>
    <w:pPr>
      <w:jc w:val="center"/>
    </w:pPr>
    <w:rPr>
      <w:rFonts w:ascii="Trebuchet MS" w:eastAsia="Calibri" w:hAnsi="Trebuchet MS"/>
      <w:sz w:val="16"/>
      <w:lang w:val="fr-BE" w:eastAsia="fr-BE"/>
    </w:rPr>
    <w:tblPr>
      <w:tblInd w:w="567" w:type="dxa"/>
      <w:tblBorders>
        <w:top w:val="single" w:sz="4" w:space="0" w:color="005962"/>
        <w:left w:val="single" w:sz="4" w:space="0" w:color="005962"/>
        <w:bottom w:val="single" w:sz="4" w:space="0" w:color="005962"/>
        <w:right w:val="single" w:sz="4" w:space="0" w:color="005962"/>
        <w:insideH w:val="single" w:sz="4" w:space="0" w:color="005962"/>
        <w:insideV w:val="single" w:sz="4" w:space="0" w:color="005962"/>
      </w:tblBorders>
    </w:tblPr>
    <w:tcPr>
      <w:shd w:val="clear" w:color="auto" w:fill="auto"/>
      <w:vAlign w:val="center"/>
    </w:tcPr>
    <w:tblStylePr w:type="firstRow">
      <w:pPr>
        <w:jc w:val="center"/>
      </w:pPr>
      <w:rPr>
        <w:rFonts w:ascii="___WRD_EMBED_SUB_178" w:hAnsi="___WRD_EMBED_SUB_178"/>
        <w:b/>
        <w:color w:val="FFFFFF"/>
        <w:sz w:val="16"/>
      </w:rPr>
      <w:tblPr/>
      <w:tcPr>
        <w:shd w:val="clear" w:color="auto" w:fill="005962"/>
      </w:tcPr>
    </w:tblStylePr>
    <w:tblStylePr w:type="firstCol">
      <w:pPr>
        <w:wordWrap/>
        <w:jc w:val="left"/>
        <w:outlineLvl w:val="9"/>
      </w:pPr>
    </w:tblStylePr>
  </w:style>
  <w:style w:type="numbering" w:customStyle="1" w:styleId="NoList2">
    <w:name w:val="No List2"/>
    <w:next w:val="NoList"/>
    <w:uiPriority w:val="99"/>
    <w:semiHidden/>
    <w:unhideWhenUsed/>
    <w:rsid w:val="004C1CED"/>
  </w:style>
  <w:style w:type="table" w:customStyle="1" w:styleId="TableGrid4">
    <w:name w:val="Table Grid4"/>
    <w:basedOn w:val="TableNormal"/>
    <w:next w:val="TableGrid"/>
    <w:rsid w:val="004C1CED"/>
    <w:pPr>
      <w:spacing w:before="120" w:after="120"/>
      <w:jc w:val="both"/>
    </w:pPr>
    <w:rPr>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113">
    <w:name w:val="Table 113"/>
    <w:basedOn w:val="TableNormal"/>
    <w:uiPriority w:val="99"/>
    <w:rsid w:val="004C1CED"/>
    <w:pPr>
      <w:jc w:val="center"/>
    </w:pPr>
    <w:rPr>
      <w:rFonts w:ascii="Trebuchet MS" w:eastAsia="Calibri" w:hAnsi="Trebuchet MS"/>
      <w:sz w:val="16"/>
      <w:lang w:val="fr-BE" w:eastAsia="fr-BE"/>
    </w:rPr>
    <w:tblPr>
      <w:tblInd w:w="567" w:type="dxa"/>
      <w:tblBorders>
        <w:top w:val="single" w:sz="4" w:space="0" w:color="005962"/>
        <w:left w:val="single" w:sz="4" w:space="0" w:color="005962"/>
        <w:bottom w:val="single" w:sz="4" w:space="0" w:color="005962"/>
        <w:right w:val="single" w:sz="4" w:space="0" w:color="005962"/>
        <w:insideH w:val="single" w:sz="4" w:space="0" w:color="005962"/>
        <w:insideV w:val="single" w:sz="4" w:space="0" w:color="005962"/>
      </w:tblBorders>
    </w:tblPr>
    <w:tcPr>
      <w:shd w:val="clear" w:color="auto" w:fill="auto"/>
      <w:vAlign w:val="center"/>
    </w:tcPr>
    <w:tblStylePr w:type="firstRow">
      <w:pPr>
        <w:jc w:val="center"/>
      </w:pPr>
      <w:rPr>
        <w:rFonts w:ascii="___WRD_EMBED_SUB_178" w:hAnsi="___WRD_EMBED_SUB_178"/>
        <w:b/>
        <w:color w:val="FFFFFF"/>
        <w:sz w:val="16"/>
      </w:rPr>
      <w:tblPr/>
      <w:tcPr>
        <w:shd w:val="clear" w:color="auto" w:fill="005962"/>
      </w:tcPr>
    </w:tblStylePr>
    <w:tblStylePr w:type="firstCol">
      <w:pPr>
        <w:wordWrap/>
        <w:jc w:val="left"/>
        <w:outlineLvl w:val="9"/>
      </w:pPr>
    </w:tblStylePr>
  </w:style>
  <w:style w:type="table" w:customStyle="1" w:styleId="TableGrid12">
    <w:name w:val="Table Grid12"/>
    <w:basedOn w:val="TableNormal"/>
    <w:next w:val="TableGrid"/>
    <w:rsid w:val="004C1CED"/>
    <w:pPr>
      <w:spacing w:before="120" w:after="120"/>
      <w:jc w:val="both"/>
    </w:pPr>
    <w:rPr>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Instit">
    <w:name w:val="EntInstit"/>
    <w:basedOn w:val="Normal"/>
    <w:rsid w:val="004C1CED"/>
    <w:pPr>
      <w:autoSpaceDE w:val="0"/>
      <w:autoSpaceDN w:val="0"/>
      <w:adjustRightInd w:val="0"/>
      <w:jc w:val="right"/>
    </w:pPr>
    <w:rPr>
      <w:rFonts w:eastAsia="Calibri"/>
      <w:b/>
      <w:szCs w:val="22"/>
      <w:lang w:eastAsia="en-US"/>
    </w:rPr>
  </w:style>
  <w:style w:type="paragraph" w:customStyle="1" w:styleId="EntRefer">
    <w:name w:val="EntRefer"/>
    <w:basedOn w:val="Normal"/>
    <w:rsid w:val="004C1CED"/>
    <w:pPr>
      <w:autoSpaceDE w:val="0"/>
      <w:autoSpaceDN w:val="0"/>
      <w:adjustRightInd w:val="0"/>
    </w:pPr>
    <w:rPr>
      <w:rFonts w:eastAsia="Calibri"/>
      <w:b/>
      <w:szCs w:val="22"/>
      <w:lang w:eastAsia="en-US"/>
    </w:rPr>
  </w:style>
  <w:style w:type="paragraph" w:customStyle="1" w:styleId="Par-number1">
    <w:name w:val="Par-number 1)"/>
    <w:basedOn w:val="Normal"/>
    <w:next w:val="Normal"/>
    <w:rsid w:val="004C1CED"/>
    <w:pPr>
      <w:tabs>
        <w:tab w:val="num" w:pos="567"/>
      </w:tabs>
      <w:autoSpaceDE w:val="0"/>
      <w:autoSpaceDN w:val="0"/>
      <w:adjustRightInd w:val="0"/>
      <w:spacing w:line="360" w:lineRule="auto"/>
      <w:ind w:left="567" w:hanging="567"/>
    </w:pPr>
    <w:rPr>
      <w:rFonts w:eastAsia="Calibri"/>
      <w:szCs w:val="22"/>
      <w:lang w:eastAsia="en-US"/>
    </w:rPr>
  </w:style>
  <w:style w:type="paragraph" w:customStyle="1" w:styleId="EntEmet">
    <w:name w:val="EntEmet"/>
    <w:basedOn w:val="Normal"/>
    <w:rsid w:val="004C1CED"/>
    <w:pPr>
      <w:tabs>
        <w:tab w:val="left" w:pos="284"/>
        <w:tab w:val="left" w:pos="567"/>
        <w:tab w:val="left" w:pos="851"/>
        <w:tab w:val="left" w:pos="1134"/>
        <w:tab w:val="left" w:pos="1418"/>
      </w:tabs>
      <w:autoSpaceDE w:val="0"/>
      <w:autoSpaceDN w:val="0"/>
      <w:adjustRightInd w:val="0"/>
      <w:spacing w:before="40"/>
    </w:pPr>
    <w:rPr>
      <w:rFonts w:eastAsia="Calibri"/>
      <w:szCs w:val="22"/>
      <w:lang w:eastAsia="en-US"/>
    </w:rPr>
  </w:style>
  <w:style w:type="paragraph" w:customStyle="1" w:styleId="Par-bullet">
    <w:name w:val="Par-bullet"/>
    <w:basedOn w:val="Normal"/>
    <w:next w:val="Normal"/>
    <w:rsid w:val="004C1CED"/>
    <w:pPr>
      <w:tabs>
        <w:tab w:val="num" w:pos="567"/>
      </w:tabs>
      <w:autoSpaceDE w:val="0"/>
      <w:autoSpaceDN w:val="0"/>
      <w:adjustRightInd w:val="0"/>
      <w:spacing w:line="360" w:lineRule="auto"/>
      <w:ind w:left="567" w:hanging="567"/>
    </w:pPr>
    <w:rPr>
      <w:rFonts w:eastAsia="Calibri"/>
      <w:szCs w:val="22"/>
      <w:lang w:eastAsia="en-US"/>
    </w:rPr>
  </w:style>
  <w:style w:type="paragraph" w:customStyle="1" w:styleId="Par-equal">
    <w:name w:val="Par-equal"/>
    <w:basedOn w:val="Normal"/>
    <w:next w:val="Normal"/>
    <w:rsid w:val="004C1CED"/>
    <w:pPr>
      <w:tabs>
        <w:tab w:val="num" w:pos="567"/>
      </w:tabs>
      <w:autoSpaceDE w:val="0"/>
      <w:autoSpaceDN w:val="0"/>
      <w:adjustRightInd w:val="0"/>
      <w:spacing w:line="360" w:lineRule="auto"/>
      <w:ind w:left="567" w:hanging="567"/>
    </w:pPr>
    <w:rPr>
      <w:rFonts w:eastAsia="Calibri"/>
      <w:szCs w:val="22"/>
      <w:lang w:eastAsia="en-US"/>
    </w:rPr>
  </w:style>
  <w:style w:type="paragraph" w:customStyle="1" w:styleId="Par-number10">
    <w:name w:val="Par-number (1)"/>
    <w:basedOn w:val="Normal"/>
    <w:next w:val="Normal"/>
    <w:rsid w:val="004C1CED"/>
    <w:pPr>
      <w:tabs>
        <w:tab w:val="num" w:pos="567"/>
      </w:tabs>
      <w:autoSpaceDE w:val="0"/>
      <w:autoSpaceDN w:val="0"/>
      <w:adjustRightInd w:val="0"/>
      <w:spacing w:line="360" w:lineRule="auto"/>
      <w:ind w:left="567" w:hanging="567"/>
    </w:pPr>
    <w:rPr>
      <w:rFonts w:eastAsia="Calibri"/>
      <w:szCs w:val="22"/>
      <w:lang w:eastAsia="en-US"/>
    </w:rPr>
  </w:style>
  <w:style w:type="paragraph" w:customStyle="1" w:styleId="Par-number11">
    <w:name w:val="Par-number 1."/>
    <w:basedOn w:val="Normal"/>
    <w:next w:val="Normal"/>
    <w:rsid w:val="004C1CED"/>
    <w:pPr>
      <w:tabs>
        <w:tab w:val="num" w:pos="567"/>
      </w:tabs>
      <w:autoSpaceDE w:val="0"/>
      <w:autoSpaceDN w:val="0"/>
      <w:adjustRightInd w:val="0"/>
      <w:spacing w:line="360" w:lineRule="auto"/>
      <w:ind w:left="567" w:hanging="567"/>
    </w:pPr>
    <w:rPr>
      <w:rFonts w:eastAsia="Calibri"/>
      <w:szCs w:val="22"/>
      <w:lang w:eastAsia="en-US"/>
    </w:rPr>
  </w:style>
  <w:style w:type="paragraph" w:customStyle="1" w:styleId="Par-numberI">
    <w:name w:val="Par-number I."/>
    <w:basedOn w:val="Normal"/>
    <w:next w:val="Normal"/>
    <w:rsid w:val="004C1CED"/>
    <w:pPr>
      <w:tabs>
        <w:tab w:val="num" w:pos="567"/>
      </w:tabs>
      <w:autoSpaceDE w:val="0"/>
      <w:autoSpaceDN w:val="0"/>
      <w:adjustRightInd w:val="0"/>
      <w:spacing w:line="360" w:lineRule="auto"/>
      <w:ind w:left="567" w:hanging="567"/>
    </w:pPr>
    <w:rPr>
      <w:rFonts w:eastAsia="Calibri"/>
      <w:szCs w:val="22"/>
      <w:lang w:eastAsia="en-US"/>
    </w:rPr>
  </w:style>
  <w:style w:type="paragraph" w:customStyle="1" w:styleId="Par-dash">
    <w:name w:val="Par-dash"/>
    <w:basedOn w:val="Normal"/>
    <w:next w:val="Normal"/>
    <w:rsid w:val="004C1CED"/>
    <w:pPr>
      <w:tabs>
        <w:tab w:val="num" w:pos="567"/>
      </w:tabs>
      <w:autoSpaceDE w:val="0"/>
      <w:autoSpaceDN w:val="0"/>
      <w:adjustRightInd w:val="0"/>
      <w:spacing w:line="360" w:lineRule="auto"/>
      <w:ind w:left="567" w:hanging="567"/>
    </w:pPr>
    <w:rPr>
      <w:rFonts w:eastAsia="Calibri"/>
      <w:szCs w:val="22"/>
      <w:lang w:eastAsia="en-US"/>
    </w:rPr>
  </w:style>
  <w:style w:type="paragraph" w:customStyle="1" w:styleId="EntLogo">
    <w:name w:val="EntLogo"/>
    <w:basedOn w:val="Normal"/>
    <w:next w:val="EntInstit"/>
    <w:rsid w:val="004C1CED"/>
    <w:pPr>
      <w:autoSpaceDE w:val="0"/>
      <w:autoSpaceDN w:val="0"/>
      <w:adjustRightInd w:val="0"/>
      <w:spacing w:line="360" w:lineRule="auto"/>
    </w:pPr>
    <w:rPr>
      <w:rFonts w:eastAsia="Calibri"/>
      <w:b/>
      <w:szCs w:val="22"/>
      <w:lang w:eastAsia="en-US"/>
    </w:rPr>
  </w:style>
  <w:style w:type="paragraph" w:customStyle="1" w:styleId="Par-numberA">
    <w:name w:val="Par-number A."/>
    <w:basedOn w:val="Normal"/>
    <w:next w:val="Normal"/>
    <w:rsid w:val="004C1CED"/>
    <w:pPr>
      <w:tabs>
        <w:tab w:val="num" w:pos="567"/>
      </w:tabs>
      <w:autoSpaceDE w:val="0"/>
      <w:autoSpaceDN w:val="0"/>
      <w:adjustRightInd w:val="0"/>
      <w:spacing w:line="360" w:lineRule="auto"/>
      <w:ind w:left="567" w:hanging="567"/>
    </w:pPr>
    <w:rPr>
      <w:rFonts w:eastAsia="Calibri"/>
      <w:szCs w:val="22"/>
      <w:lang w:eastAsia="en-US"/>
    </w:rPr>
  </w:style>
  <w:style w:type="paragraph" w:styleId="EndnoteText">
    <w:name w:val="endnote text"/>
    <w:basedOn w:val="Normal"/>
    <w:link w:val="EndnoteTextChar"/>
    <w:uiPriority w:val="99"/>
    <w:rsid w:val="004C1CED"/>
    <w:pPr>
      <w:tabs>
        <w:tab w:val="left" w:pos="567"/>
      </w:tabs>
      <w:autoSpaceDE w:val="0"/>
      <w:autoSpaceDN w:val="0"/>
      <w:adjustRightInd w:val="0"/>
      <w:ind w:left="567" w:hanging="567"/>
    </w:pPr>
    <w:rPr>
      <w:rFonts w:eastAsia="Calibri"/>
      <w:szCs w:val="22"/>
      <w:lang w:eastAsia="en-US"/>
    </w:rPr>
  </w:style>
  <w:style w:type="character" w:customStyle="1" w:styleId="EndnoteTextChar">
    <w:name w:val="Endnote Text Char"/>
    <w:basedOn w:val="DefaultParagraphFont"/>
    <w:link w:val="EndnoteText"/>
    <w:uiPriority w:val="99"/>
    <w:rsid w:val="004C1CED"/>
    <w:rPr>
      <w:rFonts w:eastAsia="Calibri"/>
      <w:sz w:val="24"/>
      <w:szCs w:val="22"/>
      <w:lang w:val="fr-FR" w:eastAsia="en-US"/>
    </w:rPr>
  </w:style>
  <w:style w:type="character" w:styleId="EndnoteReference">
    <w:name w:val="endnote reference"/>
    <w:basedOn w:val="DefaultParagraphFont"/>
    <w:uiPriority w:val="99"/>
    <w:rsid w:val="004C1CED"/>
    <w:rPr>
      <w:rFonts w:cs="Times New Roman"/>
      <w:b/>
      <w:spacing w:val="0"/>
      <w:vertAlign w:val="superscript"/>
    </w:rPr>
  </w:style>
  <w:style w:type="paragraph" w:customStyle="1" w:styleId="AC">
    <w:name w:val="AC"/>
    <w:basedOn w:val="Normal"/>
    <w:next w:val="Normal"/>
    <w:rsid w:val="004C1CED"/>
    <w:pPr>
      <w:autoSpaceDE w:val="0"/>
      <w:autoSpaceDN w:val="0"/>
      <w:adjustRightInd w:val="0"/>
      <w:spacing w:line="360" w:lineRule="auto"/>
    </w:pPr>
    <w:rPr>
      <w:rFonts w:eastAsia="Calibri"/>
      <w:b/>
      <w:sz w:val="40"/>
      <w:szCs w:val="22"/>
      <w:lang w:eastAsia="en-US"/>
    </w:rPr>
  </w:style>
  <w:style w:type="paragraph" w:customStyle="1" w:styleId="Par-numberi0">
    <w:name w:val="Par-number (i)"/>
    <w:basedOn w:val="Normal"/>
    <w:next w:val="Normal"/>
    <w:rsid w:val="004C1CED"/>
    <w:pPr>
      <w:tabs>
        <w:tab w:val="left" w:pos="567"/>
      </w:tabs>
      <w:autoSpaceDE w:val="0"/>
      <w:autoSpaceDN w:val="0"/>
      <w:adjustRightInd w:val="0"/>
      <w:spacing w:line="360" w:lineRule="auto"/>
      <w:ind w:left="567" w:hanging="567"/>
    </w:pPr>
    <w:rPr>
      <w:rFonts w:eastAsia="Calibri"/>
      <w:szCs w:val="22"/>
      <w:lang w:eastAsia="en-US"/>
    </w:rPr>
  </w:style>
  <w:style w:type="paragraph" w:customStyle="1" w:styleId="Par-numbera0">
    <w:name w:val="Par-number (a)"/>
    <w:basedOn w:val="Normal"/>
    <w:next w:val="Normal"/>
    <w:rsid w:val="004C1CED"/>
    <w:pPr>
      <w:tabs>
        <w:tab w:val="num" w:pos="567"/>
      </w:tabs>
      <w:autoSpaceDE w:val="0"/>
      <w:autoSpaceDN w:val="0"/>
      <w:adjustRightInd w:val="0"/>
      <w:spacing w:line="360" w:lineRule="auto"/>
      <w:ind w:left="567" w:hanging="567"/>
    </w:pPr>
    <w:rPr>
      <w:rFonts w:eastAsia="Calibri"/>
      <w:szCs w:val="22"/>
      <w:lang w:eastAsia="en-US"/>
    </w:rPr>
  </w:style>
  <w:style w:type="character" w:customStyle="1" w:styleId="DontTranslate">
    <w:name w:val="DontTranslate"/>
    <w:basedOn w:val="DefaultParagraphFont"/>
    <w:rsid w:val="004C1CED"/>
    <w:rPr>
      <w:rFonts w:cs="Times New Roman"/>
      <w:spacing w:val="0"/>
    </w:rPr>
  </w:style>
  <w:style w:type="paragraph" w:customStyle="1" w:styleId="AddReference">
    <w:name w:val="Add Reference"/>
    <w:basedOn w:val="Normal"/>
    <w:rsid w:val="004C1CED"/>
    <w:pPr>
      <w:pBdr>
        <w:top w:val="single" w:sz="4" w:space="1" w:color="auto"/>
        <w:left w:val="single" w:sz="4" w:space="4" w:color="auto"/>
        <w:bottom w:val="single" w:sz="4" w:space="1" w:color="auto"/>
        <w:right w:val="single" w:sz="4" w:space="4" w:color="auto"/>
      </w:pBdr>
      <w:autoSpaceDE w:val="0"/>
      <w:autoSpaceDN w:val="0"/>
      <w:adjustRightInd w:val="0"/>
      <w:ind w:left="7655" w:right="-454"/>
    </w:pPr>
    <w:rPr>
      <w:rFonts w:eastAsia="Calibri"/>
      <w:i/>
      <w:sz w:val="20"/>
      <w:szCs w:val="22"/>
      <w:lang w:eastAsia="en-US"/>
    </w:rPr>
  </w:style>
  <w:style w:type="paragraph" w:styleId="DocumentMap">
    <w:name w:val="Document Map"/>
    <w:basedOn w:val="Normal"/>
    <w:link w:val="DocumentMapChar"/>
    <w:uiPriority w:val="99"/>
    <w:rsid w:val="004C1CED"/>
    <w:pPr>
      <w:shd w:val="clear" w:color="auto" w:fill="000080"/>
      <w:autoSpaceDE w:val="0"/>
      <w:autoSpaceDN w:val="0"/>
      <w:adjustRightInd w:val="0"/>
      <w:spacing w:line="360" w:lineRule="auto"/>
    </w:pPr>
    <w:rPr>
      <w:rFonts w:ascii="Tahoma" w:hAnsi="Tahoma" w:cs="Tahoma"/>
      <w:szCs w:val="22"/>
      <w:lang w:eastAsia="en-US"/>
    </w:rPr>
  </w:style>
  <w:style w:type="character" w:customStyle="1" w:styleId="DocumentMapChar">
    <w:name w:val="Document Map Char"/>
    <w:basedOn w:val="DefaultParagraphFont"/>
    <w:link w:val="DocumentMap"/>
    <w:uiPriority w:val="99"/>
    <w:rsid w:val="004C1CED"/>
    <w:rPr>
      <w:rFonts w:ascii="Tahoma" w:hAnsi="Tahoma" w:cs="Tahoma"/>
      <w:sz w:val="24"/>
      <w:szCs w:val="22"/>
      <w:shd w:val="clear" w:color="auto" w:fill="000080"/>
      <w:lang w:val="fr-FR" w:eastAsia="en-US"/>
    </w:rPr>
  </w:style>
  <w:style w:type="paragraph" w:customStyle="1" w:styleId="RKrubrik">
    <w:name w:val="RKrubrik"/>
    <w:basedOn w:val="Normal"/>
    <w:next w:val="Normal"/>
    <w:rsid w:val="004C1CED"/>
    <w:pPr>
      <w:keepNext/>
      <w:widowControl/>
      <w:tabs>
        <w:tab w:val="left" w:pos="1134"/>
        <w:tab w:val="left" w:pos="2835"/>
      </w:tabs>
      <w:autoSpaceDE w:val="0"/>
      <w:autoSpaceDN w:val="0"/>
      <w:adjustRightInd w:val="0"/>
      <w:spacing w:before="360" w:after="120" w:line="240" w:lineRule="atLeast"/>
    </w:pPr>
    <w:rPr>
      <w:rFonts w:ascii="TradeGothic" w:hAnsi="TradeGothic" w:cs="TradeGothic"/>
      <w:b/>
      <w:sz w:val="22"/>
      <w:szCs w:val="22"/>
      <w:lang w:eastAsia="en-US"/>
    </w:rPr>
  </w:style>
  <w:style w:type="character" w:customStyle="1" w:styleId="Heading1Char1">
    <w:name w:val="Heading 1 Char1"/>
    <w:basedOn w:val="DefaultParagraphFont"/>
    <w:rsid w:val="004C1CED"/>
    <w:rPr>
      <w:rFonts w:cs="Times New Roman"/>
      <w:b/>
      <w:smallCaps/>
      <w:spacing w:val="0"/>
      <w:sz w:val="24"/>
    </w:rPr>
  </w:style>
  <w:style w:type="character" w:customStyle="1" w:styleId="Heading2Char1">
    <w:name w:val="Heading 2 Char1"/>
    <w:basedOn w:val="DefaultParagraphFont"/>
    <w:rsid w:val="004C1CED"/>
    <w:rPr>
      <w:rFonts w:cs="Times New Roman"/>
      <w:b/>
      <w:spacing w:val="0"/>
      <w:sz w:val="24"/>
    </w:rPr>
  </w:style>
  <w:style w:type="character" w:customStyle="1" w:styleId="Heading3Char1">
    <w:name w:val="Heading 3 Char1"/>
    <w:basedOn w:val="DefaultParagraphFont"/>
    <w:rsid w:val="004C1CED"/>
    <w:rPr>
      <w:rFonts w:cs="Times New Roman"/>
      <w:i/>
      <w:spacing w:val="0"/>
      <w:sz w:val="24"/>
    </w:rPr>
  </w:style>
  <w:style w:type="character" w:customStyle="1" w:styleId="Heading4Char1">
    <w:name w:val="Heading 4 Char1"/>
    <w:basedOn w:val="DefaultParagraphFont"/>
    <w:rsid w:val="004C1CED"/>
    <w:rPr>
      <w:rFonts w:cs="Times New Roman"/>
      <w:spacing w:val="0"/>
      <w:sz w:val="24"/>
    </w:rPr>
  </w:style>
  <w:style w:type="character" w:customStyle="1" w:styleId="Heading5Char1">
    <w:name w:val="Heading 5 Char1"/>
    <w:basedOn w:val="DefaultParagraphFont"/>
    <w:rsid w:val="004C1CED"/>
    <w:rPr>
      <w:rFonts w:ascii="Arial" w:hAnsi="Arial" w:cs="Arial"/>
      <w:spacing w:val="0"/>
      <w:sz w:val="24"/>
    </w:rPr>
  </w:style>
  <w:style w:type="character" w:customStyle="1" w:styleId="Heading6Char1">
    <w:name w:val="Heading 6 Char1"/>
    <w:basedOn w:val="DefaultParagraphFont"/>
    <w:rsid w:val="004C1CED"/>
    <w:rPr>
      <w:rFonts w:ascii="Arial" w:hAnsi="Arial" w:cs="Arial"/>
      <w:i/>
      <w:spacing w:val="0"/>
      <w:sz w:val="24"/>
    </w:rPr>
  </w:style>
  <w:style w:type="character" w:customStyle="1" w:styleId="Heading7Char1">
    <w:name w:val="Heading 7 Char1"/>
    <w:basedOn w:val="DefaultParagraphFont"/>
    <w:rsid w:val="004C1CED"/>
    <w:rPr>
      <w:rFonts w:ascii="Arial" w:hAnsi="Arial" w:cs="Arial"/>
      <w:spacing w:val="0"/>
      <w:sz w:val="24"/>
    </w:rPr>
  </w:style>
  <w:style w:type="character" w:customStyle="1" w:styleId="Heading8Char1">
    <w:name w:val="Heading 8 Char1"/>
    <w:basedOn w:val="DefaultParagraphFont"/>
    <w:rsid w:val="004C1CED"/>
    <w:rPr>
      <w:rFonts w:ascii="Arial" w:hAnsi="Arial" w:cs="Arial"/>
      <w:i/>
      <w:spacing w:val="0"/>
      <w:sz w:val="24"/>
    </w:rPr>
  </w:style>
  <w:style w:type="character" w:customStyle="1" w:styleId="Heading9Char1">
    <w:name w:val="Heading 9 Char1"/>
    <w:basedOn w:val="DefaultParagraphFont"/>
    <w:rsid w:val="004C1CED"/>
    <w:rPr>
      <w:rFonts w:ascii="Arial" w:hAnsi="Arial" w:cs="Arial"/>
      <w:i/>
      <w:spacing w:val="0"/>
      <w:sz w:val="24"/>
    </w:rPr>
  </w:style>
  <w:style w:type="character" w:customStyle="1" w:styleId="BalloonTextChar1">
    <w:name w:val="Balloon Text Char1"/>
    <w:basedOn w:val="DefaultParagraphFont"/>
    <w:rsid w:val="004C1CED"/>
    <w:rPr>
      <w:rFonts w:ascii="Tahoma" w:hAnsi="Tahoma" w:cs="Tahoma"/>
      <w:spacing w:val="0"/>
      <w:sz w:val="16"/>
    </w:rPr>
  </w:style>
  <w:style w:type="character" w:customStyle="1" w:styleId="HeaderChar1">
    <w:name w:val="Header Char1"/>
    <w:basedOn w:val="DefaultParagraphFont"/>
    <w:rsid w:val="004C1CED"/>
    <w:rPr>
      <w:rFonts w:cs="Times New Roman"/>
      <w:spacing w:val="0"/>
      <w:sz w:val="24"/>
    </w:rPr>
  </w:style>
  <w:style w:type="character" w:customStyle="1" w:styleId="FooterChar1">
    <w:name w:val="Footer Char1"/>
    <w:basedOn w:val="DefaultParagraphFont"/>
    <w:rsid w:val="004C1CED"/>
    <w:rPr>
      <w:rFonts w:cs="Times New Roman"/>
      <w:spacing w:val="0"/>
      <w:sz w:val="24"/>
    </w:rPr>
  </w:style>
  <w:style w:type="paragraph" w:customStyle="1" w:styleId="Overskrift1">
    <w:name w:val="Overskrift1"/>
    <w:basedOn w:val="Normal"/>
    <w:next w:val="Normal"/>
    <w:rsid w:val="004C1CED"/>
    <w:pPr>
      <w:widowControl/>
      <w:autoSpaceDE w:val="0"/>
      <w:autoSpaceDN w:val="0"/>
      <w:adjustRightInd w:val="0"/>
      <w:spacing w:before="120" w:after="240" w:line="360" w:lineRule="auto"/>
      <w:jc w:val="center"/>
    </w:pPr>
    <w:rPr>
      <w:rFonts w:eastAsia="Calibri"/>
      <w:b/>
      <w:sz w:val="28"/>
      <w:szCs w:val="22"/>
      <w:lang w:eastAsia="en-US"/>
    </w:rPr>
  </w:style>
  <w:style w:type="paragraph" w:customStyle="1" w:styleId="Lignefinal">
    <w:name w:val="Ligne final"/>
    <w:basedOn w:val="Normal"/>
    <w:next w:val="Normal"/>
    <w:rsid w:val="004C1CED"/>
    <w:pPr>
      <w:widowControl/>
      <w:pBdr>
        <w:bottom w:val="single" w:sz="4" w:space="0" w:color="000000"/>
      </w:pBdr>
      <w:autoSpaceDE w:val="0"/>
      <w:autoSpaceDN w:val="0"/>
      <w:adjustRightInd w:val="0"/>
      <w:spacing w:before="720" w:after="36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4C1CED"/>
    <w:pPr>
      <w:widowControl/>
      <w:pBdr>
        <w:bottom w:val="single" w:sz="4" w:space="0" w:color="000000"/>
      </w:pBdr>
      <w:autoSpaceDE w:val="0"/>
      <w:autoSpaceDN w:val="0"/>
      <w:adjustRightInd w:val="0"/>
      <w:spacing w:before="720" w:after="360" w:line="360" w:lineRule="auto"/>
      <w:ind w:left="5868" w:right="5868"/>
      <w:jc w:val="center"/>
    </w:pPr>
    <w:rPr>
      <w:rFonts w:eastAsia="Calibri"/>
      <w:b/>
      <w:szCs w:val="22"/>
      <w:lang w:eastAsia="en-US"/>
    </w:rPr>
  </w:style>
  <w:style w:type="paragraph" w:customStyle="1" w:styleId="EntText">
    <w:name w:val="EntText"/>
    <w:basedOn w:val="Normal"/>
    <w:rsid w:val="004C1CED"/>
    <w:pPr>
      <w:widowControl/>
      <w:autoSpaceDE w:val="0"/>
      <w:autoSpaceDN w:val="0"/>
      <w:adjustRightInd w:val="0"/>
      <w:spacing w:before="120" w:after="120" w:line="360" w:lineRule="auto"/>
    </w:pPr>
    <w:rPr>
      <w:rFonts w:eastAsia="Calibri"/>
      <w:szCs w:val="22"/>
      <w:lang w:eastAsia="en-US"/>
    </w:rPr>
  </w:style>
  <w:style w:type="paragraph" w:customStyle="1" w:styleId="EntEU">
    <w:name w:val="EntEU"/>
    <w:basedOn w:val="Normal"/>
    <w:rsid w:val="004C1CED"/>
    <w:pPr>
      <w:widowControl/>
      <w:autoSpaceDE w:val="0"/>
      <w:autoSpaceDN w:val="0"/>
      <w:adjustRightInd w:val="0"/>
      <w:spacing w:before="240" w:after="240"/>
      <w:jc w:val="center"/>
    </w:pPr>
    <w:rPr>
      <w:rFonts w:eastAsia="Calibri"/>
      <w:b/>
      <w:sz w:val="36"/>
      <w:szCs w:val="22"/>
      <w:lang w:eastAsia="en-US"/>
    </w:rPr>
  </w:style>
  <w:style w:type="paragraph" w:customStyle="1" w:styleId="EntASSOC">
    <w:name w:val="EntASSOC"/>
    <w:basedOn w:val="Normal"/>
    <w:rsid w:val="004C1CED"/>
    <w:pPr>
      <w:widowControl/>
      <w:autoSpaceDE w:val="0"/>
      <w:autoSpaceDN w:val="0"/>
      <w:adjustRightInd w:val="0"/>
      <w:jc w:val="center"/>
    </w:pPr>
    <w:rPr>
      <w:rFonts w:eastAsia="Calibri"/>
      <w:b/>
      <w:szCs w:val="22"/>
      <w:lang w:eastAsia="en-US"/>
    </w:rPr>
  </w:style>
  <w:style w:type="paragraph" w:customStyle="1" w:styleId="EntACP">
    <w:name w:val="EntACP"/>
    <w:basedOn w:val="Normal"/>
    <w:rsid w:val="004C1CED"/>
    <w:pPr>
      <w:widowControl/>
      <w:autoSpaceDE w:val="0"/>
      <w:autoSpaceDN w:val="0"/>
      <w:adjustRightInd w:val="0"/>
      <w:spacing w:after="120"/>
      <w:jc w:val="center"/>
    </w:pPr>
    <w:rPr>
      <w:rFonts w:eastAsia="Calibri"/>
      <w:b/>
      <w:spacing w:val="40"/>
      <w:sz w:val="28"/>
      <w:szCs w:val="22"/>
      <w:lang w:eastAsia="en-US"/>
    </w:rPr>
  </w:style>
  <w:style w:type="paragraph" w:customStyle="1" w:styleId="EntInstitACP">
    <w:name w:val="EntInstitACP"/>
    <w:basedOn w:val="Normal"/>
    <w:rsid w:val="004C1CED"/>
    <w:pPr>
      <w:widowControl/>
      <w:autoSpaceDE w:val="0"/>
      <w:autoSpaceDN w:val="0"/>
      <w:adjustRightInd w:val="0"/>
      <w:jc w:val="center"/>
    </w:pPr>
    <w:rPr>
      <w:rFonts w:eastAsia="Calibri"/>
      <w:b/>
      <w:szCs w:val="22"/>
      <w:lang w:eastAsia="en-US"/>
    </w:rPr>
  </w:style>
  <w:style w:type="paragraph" w:customStyle="1" w:styleId="Genredudocument">
    <w:name w:val="Genre du document"/>
    <w:basedOn w:val="EntRefer"/>
    <w:next w:val="EntRefer"/>
    <w:rsid w:val="004C1CED"/>
    <w:pPr>
      <w:widowControl/>
      <w:spacing w:before="240"/>
    </w:pPr>
  </w:style>
  <w:style w:type="paragraph" w:customStyle="1" w:styleId="Accordtitre">
    <w:name w:val="Accord titre"/>
    <w:basedOn w:val="Normal"/>
    <w:rsid w:val="004C1CED"/>
    <w:pPr>
      <w:widowControl/>
      <w:autoSpaceDE w:val="0"/>
      <w:autoSpaceDN w:val="0"/>
      <w:adjustRightInd w:val="0"/>
      <w:spacing w:line="360" w:lineRule="auto"/>
      <w:jc w:val="center"/>
    </w:pPr>
    <w:rPr>
      <w:rFonts w:eastAsia="Calibri"/>
      <w:szCs w:val="22"/>
      <w:lang w:eastAsia="en-US"/>
    </w:rPr>
  </w:style>
  <w:style w:type="paragraph" w:customStyle="1" w:styleId="FooterAccord">
    <w:name w:val="Footer Accord"/>
    <w:basedOn w:val="Normal"/>
    <w:rsid w:val="004C1CED"/>
    <w:pPr>
      <w:widowControl/>
      <w:tabs>
        <w:tab w:val="center" w:pos="4819"/>
        <w:tab w:val="center" w:pos="7370"/>
        <w:tab w:val="right" w:pos="9638"/>
      </w:tabs>
      <w:autoSpaceDE w:val="0"/>
      <w:autoSpaceDN w:val="0"/>
      <w:adjustRightInd w:val="0"/>
      <w:spacing w:before="360"/>
      <w:jc w:val="center"/>
    </w:pPr>
    <w:rPr>
      <w:rFonts w:eastAsia="Calibri"/>
      <w:szCs w:val="22"/>
      <w:lang w:eastAsia="en-US"/>
    </w:rPr>
  </w:style>
  <w:style w:type="paragraph" w:customStyle="1" w:styleId="FooterLandscapeAccord">
    <w:name w:val="FooterLandscape Accord"/>
    <w:basedOn w:val="Normal"/>
    <w:rsid w:val="004C1CED"/>
    <w:pPr>
      <w:widowControl/>
      <w:tabs>
        <w:tab w:val="center" w:pos="7285"/>
        <w:tab w:val="center" w:pos="10930"/>
        <w:tab w:val="right" w:pos="14570"/>
      </w:tabs>
      <w:autoSpaceDE w:val="0"/>
      <w:autoSpaceDN w:val="0"/>
      <w:adjustRightInd w:val="0"/>
      <w:spacing w:before="360"/>
      <w:jc w:val="center"/>
    </w:pPr>
    <w:rPr>
      <w:rFonts w:eastAsia="Calibri"/>
      <w:szCs w:val="22"/>
      <w:lang w:eastAsia="en-US"/>
    </w:rPr>
  </w:style>
  <w:style w:type="paragraph" w:styleId="BlockText">
    <w:name w:val="Block Text"/>
    <w:basedOn w:val="Normal"/>
    <w:uiPriority w:val="99"/>
    <w:rsid w:val="004C1CED"/>
    <w:pPr>
      <w:widowControl/>
      <w:autoSpaceDE w:val="0"/>
      <w:autoSpaceDN w:val="0"/>
      <w:adjustRightInd w:val="0"/>
      <w:spacing w:before="120" w:after="120" w:line="360" w:lineRule="auto"/>
      <w:ind w:left="1440" w:right="1440"/>
    </w:pPr>
    <w:rPr>
      <w:rFonts w:eastAsia="Calibri"/>
      <w:szCs w:val="22"/>
      <w:lang w:eastAsia="en-US"/>
    </w:rPr>
  </w:style>
  <w:style w:type="paragraph" w:styleId="BodyText">
    <w:name w:val="Body Text"/>
    <w:basedOn w:val="Normal"/>
    <w:link w:val="BodyTextChar"/>
    <w:uiPriority w:val="99"/>
    <w:rsid w:val="004C1CED"/>
    <w:pPr>
      <w:widowControl/>
      <w:autoSpaceDE w:val="0"/>
      <w:autoSpaceDN w:val="0"/>
      <w:adjustRightInd w:val="0"/>
      <w:spacing w:before="120" w:after="120" w:line="360" w:lineRule="auto"/>
    </w:pPr>
    <w:rPr>
      <w:rFonts w:eastAsia="Calibri"/>
      <w:szCs w:val="22"/>
      <w:lang w:eastAsia="en-US"/>
    </w:rPr>
  </w:style>
  <w:style w:type="character" w:customStyle="1" w:styleId="BodyTextChar">
    <w:name w:val="Body Text Char"/>
    <w:basedOn w:val="DefaultParagraphFont"/>
    <w:link w:val="BodyText"/>
    <w:uiPriority w:val="99"/>
    <w:rsid w:val="004C1CED"/>
    <w:rPr>
      <w:rFonts w:eastAsia="Calibri"/>
      <w:sz w:val="24"/>
      <w:szCs w:val="22"/>
      <w:lang w:val="fr-FR" w:eastAsia="en-US"/>
    </w:rPr>
  </w:style>
  <w:style w:type="character" w:customStyle="1" w:styleId="BodyTextChar1">
    <w:name w:val="Body Text Char1"/>
    <w:basedOn w:val="DefaultParagraphFont"/>
    <w:rsid w:val="004C1CED"/>
    <w:rPr>
      <w:rFonts w:cs="Times New Roman"/>
      <w:spacing w:val="0"/>
      <w:sz w:val="24"/>
    </w:rPr>
  </w:style>
  <w:style w:type="paragraph" w:styleId="BodyTextIndent">
    <w:name w:val="Body Text Indent"/>
    <w:basedOn w:val="Normal"/>
    <w:link w:val="BodyTextIndentChar"/>
    <w:uiPriority w:val="99"/>
    <w:rsid w:val="004C1CED"/>
    <w:pPr>
      <w:widowControl/>
      <w:autoSpaceDE w:val="0"/>
      <w:autoSpaceDN w:val="0"/>
      <w:adjustRightInd w:val="0"/>
      <w:spacing w:before="120" w:after="120" w:line="360" w:lineRule="auto"/>
      <w:ind w:left="283"/>
    </w:pPr>
    <w:rPr>
      <w:rFonts w:eastAsia="Calibri"/>
      <w:szCs w:val="22"/>
      <w:lang w:eastAsia="en-US"/>
    </w:rPr>
  </w:style>
  <w:style w:type="character" w:customStyle="1" w:styleId="BodyTextIndentChar">
    <w:name w:val="Body Text Indent Char"/>
    <w:basedOn w:val="DefaultParagraphFont"/>
    <w:link w:val="BodyTextIndent"/>
    <w:uiPriority w:val="99"/>
    <w:rsid w:val="004C1CED"/>
    <w:rPr>
      <w:rFonts w:eastAsia="Calibri"/>
      <w:sz w:val="24"/>
      <w:szCs w:val="22"/>
      <w:lang w:val="fr-FR" w:eastAsia="en-US"/>
    </w:rPr>
  </w:style>
  <w:style w:type="character" w:customStyle="1" w:styleId="BodyText2Char">
    <w:name w:val="Body Text 2 Char"/>
    <w:basedOn w:val="DefaultParagraphFont"/>
    <w:rsid w:val="004C1CED"/>
    <w:rPr>
      <w:rFonts w:ascii="Times New Roman" w:hAnsi="Times New Roman" w:cs="Times New Roman"/>
      <w:spacing w:val="0"/>
      <w:sz w:val="24"/>
    </w:rPr>
  </w:style>
  <w:style w:type="paragraph" w:styleId="BodyText3">
    <w:name w:val="Body Text 3"/>
    <w:basedOn w:val="Normal"/>
    <w:link w:val="BodyText3Char"/>
    <w:uiPriority w:val="99"/>
    <w:rsid w:val="004C1CED"/>
    <w:pPr>
      <w:widowControl/>
      <w:autoSpaceDE w:val="0"/>
      <w:autoSpaceDN w:val="0"/>
      <w:adjustRightInd w:val="0"/>
      <w:spacing w:before="120" w:after="120" w:line="360" w:lineRule="auto"/>
    </w:pPr>
    <w:rPr>
      <w:rFonts w:eastAsia="Calibri"/>
      <w:sz w:val="16"/>
      <w:szCs w:val="22"/>
      <w:lang w:eastAsia="en-US"/>
    </w:rPr>
  </w:style>
  <w:style w:type="character" w:customStyle="1" w:styleId="BodyText3Char">
    <w:name w:val="Body Text 3 Char"/>
    <w:basedOn w:val="DefaultParagraphFont"/>
    <w:link w:val="BodyText3"/>
    <w:uiPriority w:val="99"/>
    <w:rsid w:val="004C1CED"/>
    <w:rPr>
      <w:rFonts w:eastAsia="Calibri"/>
      <w:sz w:val="16"/>
      <w:szCs w:val="22"/>
      <w:lang w:val="fr-FR" w:eastAsia="en-US"/>
    </w:rPr>
  </w:style>
  <w:style w:type="character" w:customStyle="1" w:styleId="BodyText3Char1">
    <w:name w:val="Body Text 3 Char1"/>
    <w:basedOn w:val="DefaultParagraphFont"/>
    <w:rsid w:val="004C1CED"/>
    <w:rPr>
      <w:rFonts w:cs="Times New Roman"/>
      <w:spacing w:val="0"/>
      <w:sz w:val="16"/>
    </w:rPr>
  </w:style>
  <w:style w:type="paragraph" w:styleId="BodyTextFirstIndent">
    <w:name w:val="Body Text First Indent"/>
    <w:basedOn w:val="BodyText"/>
    <w:link w:val="BodyTextFirstIndentChar"/>
    <w:uiPriority w:val="99"/>
    <w:rsid w:val="004C1CED"/>
    <w:pPr>
      <w:ind w:firstLine="210"/>
    </w:pPr>
  </w:style>
  <w:style w:type="character" w:customStyle="1" w:styleId="BodyTextFirstIndentChar">
    <w:name w:val="Body Text First Indent Char"/>
    <w:basedOn w:val="BodyTextChar"/>
    <w:link w:val="BodyTextFirstIndent"/>
    <w:uiPriority w:val="99"/>
    <w:rsid w:val="004C1CED"/>
    <w:rPr>
      <w:rFonts w:eastAsia="Calibri"/>
      <w:sz w:val="24"/>
      <w:szCs w:val="22"/>
      <w:lang w:val="fr-FR" w:eastAsia="en-US"/>
    </w:rPr>
  </w:style>
  <w:style w:type="character" w:customStyle="1" w:styleId="BodyTextFirstIndentChar1">
    <w:name w:val="Body Text First Indent Char1"/>
    <w:basedOn w:val="BodyTextChar1"/>
    <w:rsid w:val="004C1CED"/>
    <w:rPr>
      <w:rFonts w:cs="Times New Roman"/>
      <w:spacing w:val="0"/>
      <w:sz w:val="24"/>
    </w:rPr>
  </w:style>
  <w:style w:type="character" w:customStyle="1" w:styleId="BodyTextIndentChar1">
    <w:name w:val="Body Text Indent Char1"/>
    <w:basedOn w:val="DefaultParagraphFont"/>
    <w:rsid w:val="004C1CED"/>
    <w:rPr>
      <w:rFonts w:cs="Times New Roman"/>
      <w:spacing w:val="0"/>
      <w:sz w:val="24"/>
    </w:rPr>
  </w:style>
  <w:style w:type="paragraph" w:styleId="BodyTextFirstIndent2">
    <w:name w:val="Body Text First Indent 2"/>
    <w:basedOn w:val="BodyTextIndent"/>
    <w:link w:val="BodyTextFirstIndent2Char"/>
    <w:uiPriority w:val="99"/>
    <w:rsid w:val="004C1CED"/>
    <w:pPr>
      <w:ind w:firstLine="210"/>
    </w:pPr>
  </w:style>
  <w:style w:type="character" w:customStyle="1" w:styleId="BodyTextFirstIndent2Char">
    <w:name w:val="Body Text First Indent 2 Char"/>
    <w:basedOn w:val="BodyTextIndentChar"/>
    <w:link w:val="BodyTextFirstIndent2"/>
    <w:uiPriority w:val="99"/>
    <w:rsid w:val="004C1CED"/>
    <w:rPr>
      <w:rFonts w:eastAsia="Calibri"/>
      <w:sz w:val="24"/>
      <w:szCs w:val="22"/>
      <w:lang w:val="fr-FR" w:eastAsia="en-US"/>
    </w:rPr>
  </w:style>
  <w:style w:type="character" w:customStyle="1" w:styleId="BodyTextFirstIndent2Char1">
    <w:name w:val="Body Text First Indent 2 Char1"/>
    <w:basedOn w:val="BodyTextIndentChar1"/>
    <w:rsid w:val="004C1CED"/>
    <w:rPr>
      <w:rFonts w:cs="Times New Roman"/>
      <w:spacing w:val="0"/>
      <w:sz w:val="24"/>
    </w:rPr>
  </w:style>
  <w:style w:type="paragraph" w:styleId="BodyTextIndent2">
    <w:name w:val="Body Text Indent 2"/>
    <w:basedOn w:val="Normal"/>
    <w:link w:val="BodyTextIndent2Char"/>
    <w:uiPriority w:val="99"/>
    <w:rsid w:val="004C1CED"/>
    <w:pPr>
      <w:widowControl/>
      <w:autoSpaceDE w:val="0"/>
      <w:autoSpaceDN w:val="0"/>
      <w:adjustRightInd w:val="0"/>
      <w:spacing w:before="120" w:after="120" w:line="480" w:lineRule="auto"/>
      <w:ind w:left="283"/>
    </w:pPr>
    <w:rPr>
      <w:rFonts w:eastAsia="Calibri"/>
      <w:szCs w:val="22"/>
      <w:lang w:eastAsia="en-US"/>
    </w:rPr>
  </w:style>
  <w:style w:type="character" w:customStyle="1" w:styleId="BodyTextIndent2Char">
    <w:name w:val="Body Text Indent 2 Char"/>
    <w:basedOn w:val="DefaultParagraphFont"/>
    <w:link w:val="BodyTextIndent2"/>
    <w:uiPriority w:val="99"/>
    <w:rsid w:val="004C1CED"/>
    <w:rPr>
      <w:rFonts w:eastAsia="Calibri"/>
      <w:sz w:val="24"/>
      <w:szCs w:val="22"/>
      <w:lang w:val="fr-FR" w:eastAsia="en-US"/>
    </w:rPr>
  </w:style>
  <w:style w:type="character" w:customStyle="1" w:styleId="BodyTextIndent2Char1">
    <w:name w:val="Body Text Indent 2 Char1"/>
    <w:basedOn w:val="DefaultParagraphFont"/>
    <w:rsid w:val="004C1CED"/>
    <w:rPr>
      <w:rFonts w:cs="Times New Roman"/>
      <w:spacing w:val="0"/>
      <w:sz w:val="24"/>
    </w:rPr>
  </w:style>
  <w:style w:type="paragraph" w:styleId="BodyTextIndent3">
    <w:name w:val="Body Text Indent 3"/>
    <w:basedOn w:val="Normal"/>
    <w:link w:val="BodyTextIndent3Char"/>
    <w:uiPriority w:val="99"/>
    <w:rsid w:val="004C1CED"/>
    <w:pPr>
      <w:widowControl/>
      <w:autoSpaceDE w:val="0"/>
      <w:autoSpaceDN w:val="0"/>
      <w:adjustRightInd w:val="0"/>
      <w:spacing w:before="120" w:after="120" w:line="360" w:lineRule="auto"/>
      <w:ind w:left="283"/>
    </w:pPr>
    <w:rPr>
      <w:rFonts w:eastAsia="Calibri"/>
      <w:sz w:val="16"/>
      <w:szCs w:val="22"/>
      <w:lang w:eastAsia="en-US"/>
    </w:rPr>
  </w:style>
  <w:style w:type="character" w:customStyle="1" w:styleId="BodyTextIndent3Char">
    <w:name w:val="Body Text Indent 3 Char"/>
    <w:basedOn w:val="DefaultParagraphFont"/>
    <w:link w:val="BodyTextIndent3"/>
    <w:uiPriority w:val="99"/>
    <w:rsid w:val="004C1CED"/>
    <w:rPr>
      <w:rFonts w:eastAsia="Calibri"/>
      <w:sz w:val="16"/>
      <w:szCs w:val="22"/>
      <w:lang w:val="fr-FR" w:eastAsia="en-US"/>
    </w:rPr>
  </w:style>
  <w:style w:type="character" w:customStyle="1" w:styleId="BodyTextIndent3Char1">
    <w:name w:val="Body Text Indent 3 Char1"/>
    <w:basedOn w:val="DefaultParagraphFont"/>
    <w:rsid w:val="004C1CED"/>
    <w:rPr>
      <w:rFonts w:cs="Times New Roman"/>
      <w:spacing w:val="0"/>
      <w:sz w:val="16"/>
    </w:rPr>
  </w:style>
  <w:style w:type="paragraph" w:styleId="Closing">
    <w:name w:val="Closing"/>
    <w:basedOn w:val="Normal"/>
    <w:link w:val="ClosingChar"/>
    <w:uiPriority w:val="99"/>
    <w:rsid w:val="004C1CED"/>
    <w:pPr>
      <w:widowControl/>
      <w:autoSpaceDE w:val="0"/>
      <w:autoSpaceDN w:val="0"/>
      <w:adjustRightInd w:val="0"/>
      <w:spacing w:before="120" w:after="120" w:line="360" w:lineRule="auto"/>
      <w:ind w:left="4252"/>
    </w:pPr>
    <w:rPr>
      <w:rFonts w:eastAsia="Calibri"/>
      <w:szCs w:val="22"/>
      <w:lang w:eastAsia="en-US"/>
    </w:rPr>
  </w:style>
  <w:style w:type="character" w:customStyle="1" w:styleId="ClosingChar">
    <w:name w:val="Closing Char"/>
    <w:basedOn w:val="DefaultParagraphFont"/>
    <w:link w:val="Closing"/>
    <w:uiPriority w:val="99"/>
    <w:rsid w:val="004C1CED"/>
    <w:rPr>
      <w:rFonts w:eastAsia="Calibri"/>
      <w:sz w:val="24"/>
      <w:szCs w:val="22"/>
      <w:lang w:val="fr-FR" w:eastAsia="en-US"/>
    </w:rPr>
  </w:style>
  <w:style w:type="character" w:customStyle="1" w:styleId="ClosingChar1">
    <w:name w:val="Closing Char1"/>
    <w:basedOn w:val="DefaultParagraphFont"/>
    <w:rsid w:val="004C1CED"/>
    <w:rPr>
      <w:rFonts w:cs="Times New Roman"/>
      <w:spacing w:val="0"/>
      <w:sz w:val="24"/>
    </w:rPr>
  </w:style>
  <w:style w:type="character" w:customStyle="1" w:styleId="CommentTextChar1">
    <w:name w:val="Comment Text Char1"/>
    <w:basedOn w:val="DefaultParagraphFont"/>
    <w:rsid w:val="004C1CED"/>
    <w:rPr>
      <w:rFonts w:cs="Times New Roman"/>
      <w:spacing w:val="0"/>
      <w:sz w:val="24"/>
    </w:rPr>
  </w:style>
  <w:style w:type="character" w:customStyle="1" w:styleId="CommentSubjectChar1">
    <w:name w:val="Comment Subject Char1"/>
    <w:basedOn w:val="CommentTextChar1"/>
    <w:rsid w:val="004C1CED"/>
    <w:rPr>
      <w:rFonts w:cs="Times New Roman"/>
      <w:b/>
      <w:spacing w:val="0"/>
      <w:sz w:val="24"/>
    </w:rPr>
  </w:style>
  <w:style w:type="character" w:customStyle="1" w:styleId="DocumentMapChar1">
    <w:name w:val="Document Map Char1"/>
    <w:basedOn w:val="DefaultParagraphFont"/>
    <w:rsid w:val="004C1CED"/>
    <w:rPr>
      <w:rFonts w:ascii="Tahoma" w:hAnsi="Tahoma" w:cs="Tahoma"/>
      <w:spacing w:val="0"/>
      <w:sz w:val="24"/>
    </w:rPr>
  </w:style>
  <w:style w:type="paragraph" w:styleId="E-mailSignature">
    <w:name w:val="E-mail Signature"/>
    <w:basedOn w:val="Normal"/>
    <w:link w:val="E-mailSignatureChar"/>
    <w:uiPriority w:val="99"/>
    <w:rsid w:val="004C1CED"/>
    <w:pPr>
      <w:widowControl/>
      <w:autoSpaceDE w:val="0"/>
      <w:autoSpaceDN w:val="0"/>
      <w:adjustRightInd w:val="0"/>
      <w:spacing w:before="120" w:after="120" w:line="360" w:lineRule="auto"/>
    </w:pPr>
    <w:rPr>
      <w:rFonts w:eastAsia="Calibri"/>
      <w:szCs w:val="22"/>
      <w:lang w:eastAsia="en-US"/>
    </w:rPr>
  </w:style>
  <w:style w:type="character" w:customStyle="1" w:styleId="E-mailSignatureChar">
    <w:name w:val="E-mail Signature Char"/>
    <w:basedOn w:val="DefaultParagraphFont"/>
    <w:link w:val="E-mailSignature"/>
    <w:uiPriority w:val="99"/>
    <w:rsid w:val="004C1CED"/>
    <w:rPr>
      <w:rFonts w:eastAsia="Calibri"/>
      <w:sz w:val="24"/>
      <w:szCs w:val="22"/>
      <w:lang w:val="fr-FR" w:eastAsia="en-US"/>
    </w:rPr>
  </w:style>
  <w:style w:type="character" w:customStyle="1" w:styleId="E-mailSignatureChar1">
    <w:name w:val="E-mail Signature Char1"/>
    <w:basedOn w:val="DefaultParagraphFont"/>
    <w:rsid w:val="004C1CED"/>
    <w:rPr>
      <w:rFonts w:cs="Times New Roman"/>
      <w:spacing w:val="0"/>
      <w:sz w:val="24"/>
    </w:rPr>
  </w:style>
  <w:style w:type="character" w:styleId="Emphasis">
    <w:name w:val="Emphasis"/>
    <w:basedOn w:val="DefaultParagraphFont"/>
    <w:uiPriority w:val="20"/>
    <w:qFormat/>
    <w:rsid w:val="004C1CED"/>
    <w:rPr>
      <w:rFonts w:cs="Times New Roman"/>
      <w:i/>
      <w:spacing w:val="0"/>
    </w:rPr>
  </w:style>
  <w:style w:type="character" w:customStyle="1" w:styleId="EndnoteTextChar1">
    <w:name w:val="Endnote Text Char1"/>
    <w:basedOn w:val="DefaultParagraphFont"/>
    <w:rsid w:val="004C1CED"/>
    <w:rPr>
      <w:rFonts w:cs="Times New Roman"/>
      <w:spacing w:val="0"/>
      <w:sz w:val="24"/>
    </w:rPr>
  </w:style>
  <w:style w:type="paragraph" w:styleId="EnvelopeAddress">
    <w:name w:val="envelope address"/>
    <w:basedOn w:val="Normal"/>
    <w:uiPriority w:val="99"/>
    <w:rsid w:val="004C1CED"/>
    <w:pPr>
      <w:framePr w:w="7920" w:h="1980" w:hRule="exact" w:hSpace="180" w:wrap="auto" w:hAnchor="page" w:xAlign="center" w:yAlign="bottom"/>
      <w:widowControl/>
      <w:autoSpaceDE w:val="0"/>
      <w:autoSpaceDN w:val="0"/>
      <w:adjustRightInd w:val="0"/>
      <w:spacing w:before="120" w:after="120" w:line="360" w:lineRule="auto"/>
      <w:ind w:left="2880"/>
    </w:pPr>
    <w:rPr>
      <w:rFonts w:ascii="Arial" w:hAnsi="Arial" w:cs="Arial"/>
      <w:szCs w:val="22"/>
      <w:lang w:eastAsia="en-US"/>
    </w:rPr>
  </w:style>
  <w:style w:type="paragraph" w:styleId="EnvelopeReturn">
    <w:name w:val="envelope return"/>
    <w:basedOn w:val="Normal"/>
    <w:uiPriority w:val="99"/>
    <w:rsid w:val="004C1CED"/>
    <w:pPr>
      <w:widowControl/>
      <w:autoSpaceDE w:val="0"/>
      <w:autoSpaceDN w:val="0"/>
      <w:adjustRightInd w:val="0"/>
      <w:spacing w:before="120" w:after="120" w:line="360" w:lineRule="auto"/>
    </w:pPr>
    <w:rPr>
      <w:rFonts w:ascii="Arial" w:hAnsi="Arial" w:cs="Arial"/>
      <w:sz w:val="20"/>
      <w:szCs w:val="22"/>
      <w:lang w:eastAsia="en-US"/>
    </w:rPr>
  </w:style>
  <w:style w:type="character" w:styleId="HTMLAcronym">
    <w:name w:val="HTML Acronym"/>
    <w:basedOn w:val="DefaultParagraphFont"/>
    <w:uiPriority w:val="99"/>
    <w:rsid w:val="004C1CED"/>
    <w:rPr>
      <w:rFonts w:cs="Times New Roman"/>
    </w:rPr>
  </w:style>
  <w:style w:type="paragraph" w:styleId="HTMLAddress">
    <w:name w:val="HTML Address"/>
    <w:basedOn w:val="Normal"/>
    <w:link w:val="HTMLAddressChar"/>
    <w:uiPriority w:val="99"/>
    <w:rsid w:val="004C1CED"/>
    <w:pPr>
      <w:widowControl/>
      <w:autoSpaceDE w:val="0"/>
      <w:autoSpaceDN w:val="0"/>
      <w:adjustRightInd w:val="0"/>
      <w:spacing w:before="120" w:after="120" w:line="360" w:lineRule="auto"/>
    </w:pPr>
    <w:rPr>
      <w:rFonts w:eastAsia="Calibri"/>
      <w:i/>
      <w:szCs w:val="22"/>
      <w:lang w:eastAsia="en-US"/>
    </w:rPr>
  </w:style>
  <w:style w:type="character" w:customStyle="1" w:styleId="HTMLAddressChar">
    <w:name w:val="HTML Address Char"/>
    <w:basedOn w:val="DefaultParagraphFont"/>
    <w:link w:val="HTMLAddress"/>
    <w:uiPriority w:val="99"/>
    <w:rsid w:val="004C1CED"/>
    <w:rPr>
      <w:rFonts w:eastAsia="Calibri"/>
      <w:i/>
      <w:sz w:val="24"/>
      <w:szCs w:val="22"/>
      <w:lang w:val="fr-FR" w:eastAsia="en-US"/>
    </w:rPr>
  </w:style>
  <w:style w:type="character" w:customStyle="1" w:styleId="HTMLAddressChar1">
    <w:name w:val="HTML Address Char1"/>
    <w:basedOn w:val="DefaultParagraphFont"/>
    <w:rsid w:val="004C1CED"/>
    <w:rPr>
      <w:rFonts w:cs="Times New Roman"/>
      <w:i/>
      <w:spacing w:val="0"/>
      <w:sz w:val="24"/>
    </w:rPr>
  </w:style>
  <w:style w:type="character" w:styleId="HTMLCite">
    <w:name w:val="HTML Cite"/>
    <w:basedOn w:val="DefaultParagraphFont"/>
    <w:uiPriority w:val="99"/>
    <w:rsid w:val="004C1CED"/>
    <w:rPr>
      <w:rFonts w:cs="Times New Roman"/>
      <w:i/>
      <w:spacing w:val="0"/>
    </w:rPr>
  </w:style>
  <w:style w:type="character" w:styleId="HTMLCode">
    <w:name w:val="HTML Code"/>
    <w:basedOn w:val="DefaultParagraphFont"/>
    <w:uiPriority w:val="99"/>
    <w:rsid w:val="004C1CED"/>
    <w:rPr>
      <w:rFonts w:ascii="Courier New" w:hAnsi="Courier New" w:cs="Courier New"/>
      <w:spacing w:val="0"/>
      <w:sz w:val="20"/>
    </w:rPr>
  </w:style>
  <w:style w:type="character" w:styleId="HTMLDefinition">
    <w:name w:val="HTML Definition"/>
    <w:basedOn w:val="DefaultParagraphFont"/>
    <w:uiPriority w:val="99"/>
    <w:rsid w:val="004C1CED"/>
    <w:rPr>
      <w:rFonts w:cs="Times New Roman"/>
      <w:i/>
      <w:spacing w:val="0"/>
    </w:rPr>
  </w:style>
  <w:style w:type="character" w:styleId="HTMLKeyboard">
    <w:name w:val="HTML Keyboard"/>
    <w:basedOn w:val="DefaultParagraphFont"/>
    <w:uiPriority w:val="99"/>
    <w:rsid w:val="004C1CED"/>
    <w:rPr>
      <w:rFonts w:ascii="Courier New" w:hAnsi="Courier New" w:cs="Courier New"/>
      <w:spacing w:val="0"/>
      <w:sz w:val="20"/>
    </w:rPr>
  </w:style>
  <w:style w:type="paragraph" w:styleId="HTMLPreformatted">
    <w:name w:val="HTML Preformatted"/>
    <w:basedOn w:val="Normal"/>
    <w:link w:val="HTMLPreformattedChar"/>
    <w:uiPriority w:val="99"/>
    <w:rsid w:val="004C1CED"/>
    <w:pPr>
      <w:widowControl/>
      <w:autoSpaceDE w:val="0"/>
      <w:autoSpaceDN w:val="0"/>
      <w:adjustRightInd w:val="0"/>
      <w:spacing w:before="120" w:after="120" w:line="360" w:lineRule="auto"/>
    </w:pPr>
    <w:rPr>
      <w:rFonts w:ascii="Courier New" w:hAnsi="Courier New" w:cs="Courier New"/>
      <w:szCs w:val="22"/>
      <w:lang w:eastAsia="en-US"/>
    </w:rPr>
  </w:style>
  <w:style w:type="character" w:customStyle="1" w:styleId="HTMLPreformattedChar">
    <w:name w:val="HTML Preformatted Char"/>
    <w:basedOn w:val="DefaultParagraphFont"/>
    <w:link w:val="HTMLPreformatted"/>
    <w:uiPriority w:val="99"/>
    <w:rsid w:val="004C1CED"/>
    <w:rPr>
      <w:rFonts w:ascii="Courier New" w:hAnsi="Courier New" w:cs="Courier New"/>
      <w:sz w:val="24"/>
      <w:szCs w:val="22"/>
      <w:lang w:val="fr-FR" w:eastAsia="en-US"/>
    </w:rPr>
  </w:style>
  <w:style w:type="character" w:customStyle="1" w:styleId="HTMLPreformattedChar1">
    <w:name w:val="HTML Preformatted Char1"/>
    <w:basedOn w:val="DefaultParagraphFont"/>
    <w:rsid w:val="004C1CED"/>
    <w:rPr>
      <w:rFonts w:ascii="Courier New" w:hAnsi="Courier New" w:cs="Courier New"/>
      <w:spacing w:val="0"/>
      <w:sz w:val="24"/>
    </w:rPr>
  </w:style>
  <w:style w:type="character" w:styleId="HTMLSample">
    <w:name w:val="HTML Sample"/>
    <w:basedOn w:val="DefaultParagraphFont"/>
    <w:uiPriority w:val="99"/>
    <w:rsid w:val="004C1CED"/>
    <w:rPr>
      <w:rFonts w:ascii="Courier New" w:hAnsi="Courier New" w:cs="Courier New"/>
      <w:spacing w:val="0"/>
    </w:rPr>
  </w:style>
  <w:style w:type="character" w:styleId="HTMLTypewriter">
    <w:name w:val="HTML Typewriter"/>
    <w:basedOn w:val="DefaultParagraphFont"/>
    <w:uiPriority w:val="99"/>
    <w:rsid w:val="004C1CED"/>
    <w:rPr>
      <w:rFonts w:ascii="Courier New" w:hAnsi="Courier New" w:cs="Courier New"/>
      <w:spacing w:val="0"/>
      <w:sz w:val="20"/>
    </w:rPr>
  </w:style>
  <w:style w:type="character" w:styleId="HTMLVariable">
    <w:name w:val="HTML Variable"/>
    <w:basedOn w:val="DefaultParagraphFont"/>
    <w:uiPriority w:val="99"/>
    <w:rsid w:val="004C1CED"/>
    <w:rPr>
      <w:rFonts w:cs="Times New Roman"/>
      <w:i/>
      <w:spacing w:val="0"/>
    </w:rPr>
  </w:style>
  <w:style w:type="character" w:styleId="LineNumber">
    <w:name w:val="line number"/>
    <w:basedOn w:val="DefaultParagraphFont"/>
    <w:uiPriority w:val="99"/>
    <w:rsid w:val="004C1CED"/>
    <w:rPr>
      <w:rFonts w:cs="Times New Roman"/>
    </w:rPr>
  </w:style>
  <w:style w:type="paragraph" w:styleId="List">
    <w:name w:val="List"/>
    <w:basedOn w:val="Normal"/>
    <w:uiPriority w:val="99"/>
    <w:rsid w:val="004C1CED"/>
    <w:pPr>
      <w:widowControl/>
      <w:autoSpaceDE w:val="0"/>
      <w:autoSpaceDN w:val="0"/>
      <w:adjustRightInd w:val="0"/>
      <w:spacing w:before="120" w:after="120" w:line="360" w:lineRule="auto"/>
      <w:ind w:left="283" w:hanging="283"/>
    </w:pPr>
    <w:rPr>
      <w:rFonts w:eastAsia="Calibri"/>
      <w:szCs w:val="22"/>
      <w:lang w:eastAsia="en-US"/>
    </w:rPr>
  </w:style>
  <w:style w:type="paragraph" w:styleId="List2">
    <w:name w:val="List 2"/>
    <w:basedOn w:val="Normal"/>
    <w:uiPriority w:val="99"/>
    <w:rsid w:val="004C1CED"/>
    <w:pPr>
      <w:widowControl/>
      <w:autoSpaceDE w:val="0"/>
      <w:autoSpaceDN w:val="0"/>
      <w:adjustRightInd w:val="0"/>
      <w:spacing w:before="120" w:after="120" w:line="360" w:lineRule="auto"/>
      <w:ind w:left="566" w:hanging="283"/>
    </w:pPr>
    <w:rPr>
      <w:rFonts w:eastAsia="Calibri"/>
      <w:szCs w:val="22"/>
      <w:lang w:eastAsia="en-US"/>
    </w:rPr>
  </w:style>
  <w:style w:type="paragraph" w:styleId="List3">
    <w:name w:val="List 3"/>
    <w:basedOn w:val="Normal"/>
    <w:uiPriority w:val="99"/>
    <w:rsid w:val="004C1CED"/>
    <w:pPr>
      <w:widowControl/>
      <w:autoSpaceDE w:val="0"/>
      <w:autoSpaceDN w:val="0"/>
      <w:adjustRightInd w:val="0"/>
      <w:spacing w:before="120" w:after="120" w:line="360" w:lineRule="auto"/>
      <w:ind w:left="849" w:hanging="283"/>
    </w:pPr>
    <w:rPr>
      <w:rFonts w:eastAsia="Calibri"/>
      <w:szCs w:val="22"/>
      <w:lang w:eastAsia="en-US"/>
    </w:rPr>
  </w:style>
  <w:style w:type="paragraph" w:styleId="List4">
    <w:name w:val="List 4"/>
    <w:basedOn w:val="Normal"/>
    <w:uiPriority w:val="99"/>
    <w:rsid w:val="004C1CED"/>
    <w:pPr>
      <w:widowControl/>
      <w:autoSpaceDE w:val="0"/>
      <w:autoSpaceDN w:val="0"/>
      <w:adjustRightInd w:val="0"/>
      <w:spacing w:before="120" w:after="120" w:line="360" w:lineRule="auto"/>
      <w:ind w:left="1132" w:hanging="283"/>
    </w:pPr>
    <w:rPr>
      <w:rFonts w:eastAsia="Calibri"/>
      <w:szCs w:val="22"/>
      <w:lang w:eastAsia="en-US"/>
    </w:rPr>
  </w:style>
  <w:style w:type="paragraph" w:styleId="List5">
    <w:name w:val="List 5"/>
    <w:basedOn w:val="Normal"/>
    <w:uiPriority w:val="99"/>
    <w:rsid w:val="004C1CED"/>
    <w:pPr>
      <w:widowControl/>
      <w:autoSpaceDE w:val="0"/>
      <w:autoSpaceDN w:val="0"/>
      <w:adjustRightInd w:val="0"/>
      <w:spacing w:before="120" w:after="120" w:line="360" w:lineRule="auto"/>
      <w:ind w:left="1415" w:hanging="283"/>
    </w:pPr>
    <w:rPr>
      <w:rFonts w:eastAsia="Calibri"/>
      <w:szCs w:val="22"/>
      <w:lang w:eastAsia="en-US"/>
    </w:rPr>
  </w:style>
  <w:style w:type="paragraph" w:styleId="ListBullet5">
    <w:name w:val="List Bullet 5"/>
    <w:basedOn w:val="Normal"/>
    <w:autoRedefine/>
    <w:uiPriority w:val="99"/>
    <w:rsid w:val="004C1CED"/>
    <w:pPr>
      <w:widowControl/>
      <w:tabs>
        <w:tab w:val="num" w:pos="643"/>
        <w:tab w:val="num" w:pos="1492"/>
      </w:tabs>
      <w:autoSpaceDE w:val="0"/>
      <w:autoSpaceDN w:val="0"/>
      <w:adjustRightInd w:val="0"/>
      <w:spacing w:before="120" w:after="120" w:line="360" w:lineRule="auto"/>
      <w:ind w:left="1492" w:hanging="360"/>
    </w:pPr>
    <w:rPr>
      <w:rFonts w:eastAsia="Calibri"/>
      <w:szCs w:val="22"/>
      <w:lang w:eastAsia="en-US"/>
    </w:rPr>
  </w:style>
  <w:style w:type="paragraph" w:styleId="ListContinue">
    <w:name w:val="List Continue"/>
    <w:basedOn w:val="Normal"/>
    <w:uiPriority w:val="99"/>
    <w:rsid w:val="004C1CED"/>
    <w:pPr>
      <w:widowControl/>
      <w:autoSpaceDE w:val="0"/>
      <w:autoSpaceDN w:val="0"/>
      <w:adjustRightInd w:val="0"/>
      <w:spacing w:before="120" w:after="120" w:line="360" w:lineRule="auto"/>
      <w:ind w:left="283"/>
    </w:pPr>
    <w:rPr>
      <w:rFonts w:eastAsia="Calibri"/>
      <w:szCs w:val="22"/>
      <w:lang w:eastAsia="en-US"/>
    </w:rPr>
  </w:style>
  <w:style w:type="paragraph" w:styleId="ListContinue2">
    <w:name w:val="List Continue 2"/>
    <w:basedOn w:val="Normal"/>
    <w:uiPriority w:val="99"/>
    <w:rsid w:val="004C1CED"/>
    <w:pPr>
      <w:widowControl/>
      <w:autoSpaceDE w:val="0"/>
      <w:autoSpaceDN w:val="0"/>
      <w:adjustRightInd w:val="0"/>
      <w:spacing w:before="120" w:after="120" w:line="360" w:lineRule="auto"/>
      <w:ind w:left="566"/>
    </w:pPr>
    <w:rPr>
      <w:rFonts w:eastAsia="Calibri"/>
      <w:szCs w:val="22"/>
      <w:lang w:eastAsia="en-US"/>
    </w:rPr>
  </w:style>
  <w:style w:type="paragraph" w:styleId="ListContinue3">
    <w:name w:val="List Continue 3"/>
    <w:basedOn w:val="Normal"/>
    <w:uiPriority w:val="99"/>
    <w:rsid w:val="004C1CED"/>
    <w:pPr>
      <w:widowControl/>
      <w:autoSpaceDE w:val="0"/>
      <w:autoSpaceDN w:val="0"/>
      <w:adjustRightInd w:val="0"/>
      <w:spacing w:before="120" w:after="120" w:line="360" w:lineRule="auto"/>
      <w:ind w:left="849"/>
    </w:pPr>
    <w:rPr>
      <w:rFonts w:eastAsia="Calibri"/>
      <w:szCs w:val="22"/>
      <w:lang w:eastAsia="en-US"/>
    </w:rPr>
  </w:style>
  <w:style w:type="paragraph" w:styleId="ListContinue4">
    <w:name w:val="List Continue 4"/>
    <w:basedOn w:val="Normal"/>
    <w:uiPriority w:val="99"/>
    <w:rsid w:val="004C1CED"/>
    <w:pPr>
      <w:widowControl/>
      <w:autoSpaceDE w:val="0"/>
      <w:autoSpaceDN w:val="0"/>
      <w:adjustRightInd w:val="0"/>
      <w:spacing w:before="120" w:after="120" w:line="360" w:lineRule="auto"/>
      <w:ind w:left="1132"/>
    </w:pPr>
    <w:rPr>
      <w:rFonts w:eastAsia="Calibri"/>
      <w:szCs w:val="22"/>
      <w:lang w:eastAsia="en-US"/>
    </w:rPr>
  </w:style>
  <w:style w:type="paragraph" w:styleId="ListContinue5">
    <w:name w:val="List Continue 5"/>
    <w:basedOn w:val="Normal"/>
    <w:uiPriority w:val="99"/>
    <w:rsid w:val="004C1CED"/>
    <w:pPr>
      <w:widowControl/>
      <w:autoSpaceDE w:val="0"/>
      <w:autoSpaceDN w:val="0"/>
      <w:adjustRightInd w:val="0"/>
      <w:spacing w:before="120" w:after="120" w:line="360" w:lineRule="auto"/>
      <w:ind w:left="1415"/>
    </w:pPr>
    <w:rPr>
      <w:rFonts w:eastAsia="Calibri"/>
      <w:szCs w:val="22"/>
      <w:lang w:eastAsia="en-US"/>
    </w:rPr>
  </w:style>
  <w:style w:type="paragraph" w:styleId="ListNumber5">
    <w:name w:val="List Number 5"/>
    <w:basedOn w:val="Normal"/>
    <w:uiPriority w:val="99"/>
    <w:rsid w:val="004C1CED"/>
    <w:pPr>
      <w:widowControl/>
      <w:tabs>
        <w:tab w:val="num" w:pos="360"/>
        <w:tab w:val="num" w:pos="1492"/>
      </w:tabs>
      <w:autoSpaceDE w:val="0"/>
      <w:autoSpaceDN w:val="0"/>
      <w:adjustRightInd w:val="0"/>
      <w:spacing w:before="120" w:after="120" w:line="360" w:lineRule="auto"/>
      <w:ind w:left="1492" w:hanging="360"/>
    </w:pPr>
    <w:rPr>
      <w:rFonts w:eastAsia="Calibri"/>
      <w:szCs w:val="22"/>
      <w:lang w:eastAsia="en-US"/>
    </w:rPr>
  </w:style>
  <w:style w:type="paragraph" w:styleId="MacroText">
    <w:name w:val="macro"/>
    <w:link w:val="MacroTextChar"/>
    <w:uiPriority w:val="99"/>
    <w:rsid w:val="004C1CED"/>
    <w:pPr>
      <w:tabs>
        <w:tab w:val="left" w:pos="480"/>
        <w:tab w:val="left" w:pos="960"/>
        <w:tab w:val="left" w:pos="1440"/>
        <w:tab w:val="left" w:pos="1920"/>
        <w:tab w:val="left" w:pos="2400"/>
        <w:tab w:val="left" w:pos="2880"/>
        <w:tab w:val="left" w:pos="3360"/>
        <w:tab w:val="left" w:pos="3840"/>
        <w:tab w:val="left" w:pos="4320"/>
      </w:tabs>
      <w:autoSpaceDE w:val="0"/>
      <w:autoSpaceDN w:val="0"/>
      <w:adjustRightInd w:val="0"/>
      <w:spacing w:before="120" w:after="120" w:line="360" w:lineRule="auto"/>
    </w:pPr>
    <w:rPr>
      <w:rFonts w:ascii="Courier New" w:hAnsi="Courier New" w:cs="Courier New"/>
      <w:sz w:val="24"/>
      <w:szCs w:val="22"/>
      <w:lang w:val="en-US" w:eastAsia="en-US"/>
    </w:rPr>
  </w:style>
  <w:style w:type="character" w:customStyle="1" w:styleId="MacroTextChar">
    <w:name w:val="Macro Text Char"/>
    <w:basedOn w:val="DefaultParagraphFont"/>
    <w:link w:val="MacroText"/>
    <w:uiPriority w:val="99"/>
    <w:rsid w:val="004C1CED"/>
    <w:rPr>
      <w:rFonts w:ascii="Courier New" w:hAnsi="Courier New" w:cs="Courier New"/>
      <w:sz w:val="24"/>
      <w:szCs w:val="22"/>
      <w:lang w:val="en-US" w:eastAsia="en-US"/>
    </w:rPr>
  </w:style>
  <w:style w:type="character" w:customStyle="1" w:styleId="MacroTextChar1">
    <w:name w:val="Macro Text Char1"/>
    <w:basedOn w:val="DefaultParagraphFont"/>
    <w:rsid w:val="004C1CED"/>
    <w:rPr>
      <w:rFonts w:ascii="Courier New" w:hAnsi="Courier New" w:cs="Courier New"/>
      <w:spacing w:val="0"/>
      <w:sz w:val="24"/>
    </w:rPr>
  </w:style>
  <w:style w:type="paragraph" w:styleId="MessageHeader">
    <w:name w:val="Message Header"/>
    <w:basedOn w:val="Normal"/>
    <w:link w:val="MessageHeaderChar"/>
    <w:uiPriority w:val="99"/>
    <w:rsid w:val="004C1CED"/>
    <w:pPr>
      <w:widowControl/>
      <w:pBdr>
        <w:top w:val="single" w:sz="6" w:space="1" w:color="auto"/>
        <w:left w:val="single" w:sz="6" w:space="1" w:color="auto"/>
        <w:bottom w:val="single" w:sz="6" w:space="1" w:color="auto"/>
        <w:right w:val="single" w:sz="6" w:space="1" w:color="auto"/>
      </w:pBdr>
      <w:autoSpaceDE w:val="0"/>
      <w:autoSpaceDN w:val="0"/>
      <w:adjustRightInd w:val="0"/>
      <w:spacing w:before="120" w:after="120" w:line="360" w:lineRule="auto"/>
      <w:ind w:left="1134" w:hanging="1134"/>
    </w:pPr>
    <w:rPr>
      <w:rFonts w:ascii="Arial" w:hAnsi="Arial" w:cs="Arial"/>
      <w:szCs w:val="22"/>
      <w:shd w:val="pct20" w:color="auto" w:fill="auto"/>
      <w:lang w:eastAsia="en-US"/>
    </w:rPr>
  </w:style>
  <w:style w:type="character" w:customStyle="1" w:styleId="MessageHeaderChar">
    <w:name w:val="Message Header Char"/>
    <w:basedOn w:val="DefaultParagraphFont"/>
    <w:link w:val="MessageHeader"/>
    <w:uiPriority w:val="99"/>
    <w:rsid w:val="004C1CED"/>
    <w:rPr>
      <w:rFonts w:ascii="Arial" w:hAnsi="Arial" w:cs="Arial"/>
      <w:sz w:val="24"/>
      <w:szCs w:val="22"/>
      <w:lang w:val="fr-FR" w:eastAsia="en-US"/>
    </w:rPr>
  </w:style>
  <w:style w:type="character" w:customStyle="1" w:styleId="MessageHeaderChar1">
    <w:name w:val="Message Header Char1"/>
    <w:basedOn w:val="DefaultParagraphFont"/>
    <w:rsid w:val="004C1CED"/>
    <w:rPr>
      <w:rFonts w:ascii="Arial" w:hAnsi="Arial" w:cs="Arial"/>
      <w:spacing w:val="0"/>
      <w:sz w:val="24"/>
      <w:shd w:val="pct20" w:color="auto" w:fill="auto"/>
    </w:rPr>
  </w:style>
  <w:style w:type="paragraph" w:styleId="NormalWeb">
    <w:name w:val="Normal (Web)"/>
    <w:basedOn w:val="Normal"/>
    <w:uiPriority w:val="99"/>
    <w:rsid w:val="004C1CED"/>
    <w:pPr>
      <w:widowControl/>
      <w:autoSpaceDE w:val="0"/>
      <w:autoSpaceDN w:val="0"/>
      <w:adjustRightInd w:val="0"/>
      <w:spacing w:before="120" w:after="120" w:line="360" w:lineRule="auto"/>
    </w:pPr>
    <w:rPr>
      <w:rFonts w:eastAsia="Calibri"/>
      <w:szCs w:val="22"/>
      <w:lang w:eastAsia="en-US"/>
    </w:rPr>
  </w:style>
  <w:style w:type="paragraph" w:styleId="NormalIndent">
    <w:name w:val="Normal Indent"/>
    <w:basedOn w:val="Normal"/>
    <w:uiPriority w:val="99"/>
    <w:rsid w:val="004C1CED"/>
    <w:pPr>
      <w:widowControl/>
      <w:autoSpaceDE w:val="0"/>
      <w:autoSpaceDN w:val="0"/>
      <w:adjustRightInd w:val="0"/>
      <w:spacing w:before="120" w:after="120" w:line="360" w:lineRule="auto"/>
      <w:ind w:left="720"/>
    </w:pPr>
    <w:rPr>
      <w:rFonts w:eastAsia="Calibri"/>
      <w:szCs w:val="22"/>
      <w:lang w:eastAsia="en-US"/>
    </w:rPr>
  </w:style>
  <w:style w:type="paragraph" w:styleId="PlainText">
    <w:name w:val="Plain Text"/>
    <w:basedOn w:val="Normal"/>
    <w:link w:val="PlainTextChar"/>
    <w:uiPriority w:val="99"/>
    <w:rsid w:val="004C1CED"/>
    <w:pPr>
      <w:widowControl/>
      <w:autoSpaceDE w:val="0"/>
      <w:autoSpaceDN w:val="0"/>
      <w:adjustRightInd w:val="0"/>
      <w:spacing w:before="120" w:after="120" w:line="360" w:lineRule="auto"/>
    </w:pPr>
    <w:rPr>
      <w:rFonts w:ascii="Courier New" w:hAnsi="Courier New" w:cs="Courier New"/>
      <w:szCs w:val="22"/>
      <w:lang w:eastAsia="en-US"/>
    </w:rPr>
  </w:style>
  <w:style w:type="character" w:customStyle="1" w:styleId="PlainTextChar">
    <w:name w:val="Plain Text Char"/>
    <w:basedOn w:val="DefaultParagraphFont"/>
    <w:link w:val="PlainText"/>
    <w:uiPriority w:val="99"/>
    <w:rsid w:val="004C1CED"/>
    <w:rPr>
      <w:rFonts w:ascii="Courier New" w:hAnsi="Courier New" w:cs="Courier New"/>
      <w:sz w:val="24"/>
      <w:szCs w:val="22"/>
      <w:lang w:val="fr-FR" w:eastAsia="en-US"/>
    </w:rPr>
  </w:style>
  <w:style w:type="character" w:customStyle="1" w:styleId="PlainTextChar1">
    <w:name w:val="Plain Text Char1"/>
    <w:basedOn w:val="DefaultParagraphFont"/>
    <w:rsid w:val="004C1CED"/>
    <w:rPr>
      <w:rFonts w:ascii="Courier New" w:hAnsi="Courier New" w:cs="Courier New"/>
      <w:spacing w:val="0"/>
      <w:sz w:val="24"/>
    </w:rPr>
  </w:style>
  <w:style w:type="paragraph" w:styleId="Signature">
    <w:name w:val="Signature"/>
    <w:basedOn w:val="Normal"/>
    <w:link w:val="SignatureChar"/>
    <w:uiPriority w:val="99"/>
    <w:rsid w:val="004C1CED"/>
    <w:pPr>
      <w:widowControl/>
      <w:autoSpaceDE w:val="0"/>
      <w:autoSpaceDN w:val="0"/>
      <w:adjustRightInd w:val="0"/>
      <w:spacing w:before="120" w:after="120" w:line="360" w:lineRule="auto"/>
      <w:ind w:left="4252"/>
    </w:pPr>
    <w:rPr>
      <w:rFonts w:eastAsia="Calibri"/>
      <w:szCs w:val="22"/>
      <w:lang w:eastAsia="en-US"/>
    </w:rPr>
  </w:style>
  <w:style w:type="character" w:customStyle="1" w:styleId="SignatureChar">
    <w:name w:val="Signature Char"/>
    <w:basedOn w:val="DefaultParagraphFont"/>
    <w:link w:val="Signature"/>
    <w:uiPriority w:val="99"/>
    <w:rsid w:val="004C1CED"/>
    <w:rPr>
      <w:rFonts w:eastAsia="Calibri"/>
      <w:sz w:val="24"/>
      <w:szCs w:val="22"/>
      <w:lang w:val="fr-FR" w:eastAsia="en-US"/>
    </w:rPr>
  </w:style>
  <w:style w:type="character" w:customStyle="1" w:styleId="SignatureChar1">
    <w:name w:val="Signature Char1"/>
    <w:basedOn w:val="DefaultParagraphFont"/>
    <w:rsid w:val="004C1CED"/>
    <w:rPr>
      <w:rFonts w:cs="Times New Roman"/>
      <w:spacing w:val="0"/>
      <w:sz w:val="24"/>
    </w:rPr>
  </w:style>
  <w:style w:type="character" w:styleId="Strong">
    <w:name w:val="Strong"/>
    <w:basedOn w:val="DefaultParagraphFont"/>
    <w:uiPriority w:val="22"/>
    <w:qFormat/>
    <w:rsid w:val="004C1CED"/>
    <w:rPr>
      <w:rFonts w:cs="Times New Roman"/>
      <w:b/>
      <w:spacing w:val="0"/>
    </w:rPr>
  </w:style>
  <w:style w:type="paragraph" w:styleId="Subtitle">
    <w:name w:val="Subtitle"/>
    <w:basedOn w:val="Normal"/>
    <w:link w:val="SubtitleChar"/>
    <w:uiPriority w:val="11"/>
    <w:qFormat/>
    <w:rsid w:val="004C1CED"/>
    <w:pPr>
      <w:widowControl/>
      <w:autoSpaceDE w:val="0"/>
      <w:autoSpaceDN w:val="0"/>
      <w:adjustRightInd w:val="0"/>
      <w:spacing w:before="120" w:after="60" w:line="360" w:lineRule="auto"/>
      <w:jc w:val="center"/>
      <w:outlineLvl w:val="1"/>
    </w:pPr>
    <w:rPr>
      <w:rFonts w:ascii="Arial" w:hAnsi="Arial" w:cs="Arial"/>
      <w:szCs w:val="22"/>
      <w:lang w:eastAsia="en-US"/>
    </w:rPr>
  </w:style>
  <w:style w:type="character" w:customStyle="1" w:styleId="SubtitleChar">
    <w:name w:val="Subtitle Char"/>
    <w:basedOn w:val="DefaultParagraphFont"/>
    <w:link w:val="Subtitle"/>
    <w:uiPriority w:val="11"/>
    <w:rsid w:val="004C1CED"/>
    <w:rPr>
      <w:rFonts w:ascii="Arial" w:hAnsi="Arial" w:cs="Arial"/>
      <w:sz w:val="24"/>
      <w:szCs w:val="22"/>
      <w:lang w:val="fr-FR" w:eastAsia="en-US"/>
    </w:rPr>
  </w:style>
  <w:style w:type="character" w:customStyle="1" w:styleId="SubtitleChar1">
    <w:name w:val="Subtitle Char1"/>
    <w:basedOn w:val="DefaultParagraphFont"/>
    <w:rsid w:val="004C1CED"/>
    <w:rPr>
      <w:rFonts w:ascii="Arial" w:hAnsi="Arial" w:cs="Arial"/>
      <w:spacing w:val="0"/>
      <w:sz w:val="24"/>
    </w:rPr>
  </w:style>
  <w:style w:type="paragraph" w:styleId="Title">
    <w:name w:val="Title"/>
    <w:basedOn w:val="Normal"/>
    <w:link w:val="TitleChar"/>
    <w:uiPriority w:val="10"/>
    <w:qFormat/>
    <w:rsid w:val="004C1CED"/>
    <w:pPr>
      <w:widowControl/>
      <w:autoSpaceDE w:val="0"/>
      <w:autoSpaceDN w:val="0"/>
      <w:adjustRightInd w:val="0"/>
      <w:spacing w:before="240" w:after="60" w:line="360" w:lineRule="auto"/>
      <w:jc w:val="center"/>
      <w:outlineLvl w:val="0"/>
    </w:pPr>
    <w:rPr>
      <w:rFonts w:ascii="Arial" w:hAnsi="Arial" w:cs="Arial"/>
      <w:b/>
      <w:kern w:val="28"/>
      <w:sz w:val="32"/>
      <w:szCs w:val="22"/>
      <w:lang w:eastAsia="en-US"/>
    </w:rPr>
  </w:style>
  <w:style w:type="character" w:customStyle="1" w:styleId="TitleChar">
    <w:name w:val="Title Char"/>
    <w:basedOn w:val="DefaultParagraphFont"/>
    <w:link w:val="Title"/>
    <w:uiPriority w:val="10"/>
    <w:rsid w:val="004C1CED"/>
    <w:rPr>
      <w:rFonts w:ascii="Arial" w:hAnsi="Arial" w:cs="Arial"/>
      <w:b/>
      <w:kern w:val="28"/>
      <w:sz w:val="32"/>
      <w:szCs w:val="22"/>
      <w:lang w:val="fr-FR" w:eastAsia="en-US"/>
    </w:rPr>
  </w:style>
  <w:style w:type="character" w:customStyle="1" w:styleId="TitleChar1">
    <w:name w:val="Title Char1"/>
    <w:basedOn w:val="DefaultParagraphFont"/>
    <w:rsid w:val="004C1CED"/>
    <w:rPr>
      <w:rFonts w:ascii="Arial" w:hAnsi="Arial" w:cs="Arial"/>
      <w:b/>
      <w:spacing w:val="0"/>
      <w:kern w:val="28"/>
      <w:sz w:val="32"/>
    </w:rPr>
  </w:style>
  <w:style w:type="paragraph" w:styleId="Index1">
    <w:name w:val="index 1"/>
    <w:basedOn w:val="Normal"/>
    <w:next w:val="Normal"/>
    <w:autoRedefine/>
    <w:uiPriority w:val="99"/>
    <w:rsid w:val="004C1CED"/>
    <w:pPr>
      <w:widowControl/>
      <w:autoSpaceDE w:val="0"/>
      <w:autoSpaceDN w:val="0"/>
      <w:adjustRightInd w:val="0"/>
      <w:ind w:left="200" w:hanging="200"/>
    </w:pPr>
    <w:rPr>
      <w:rFonts w:eastAsia="Calibri"/>
      <w:szCs w:val="22"/>
      <w:lang w:eastAsia="en-US"/>
    </w:rPr>
  </w:style>
  <w:style w:type="paragraph" w:styleId="IndexHeading">
    <w:name w:val="index heading"/>
    <w:basedOn w:val="Normal"/>
    <w:next w:val="Index1"/>
    <w:uiPriority w:val="99"/>
    <w:rsid w:val="004C1CED"/>
    <w:pPr>
      <w:widowControl/>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autoSpaceDE w:val="0"/>
      <w:autoSpaceDN w:val="0"/>
      <w:adjustRightInd w:val="0"/>
      <w:jc w:val="both"/>
    </w:pPr>
    <w:rPr>
      <w:rFonts w:eastAsia="Calibri"/>
      <w:szCs w:val="22"/>
      <w:lang w:eastAsia="en-US"/>
    </w:rPr>
  </w:style>
  <w:style w:type="paragraph" w:customStyle="1" w:styleId="Titre1">
    <w:name w:val="Titre1"/>
    <w:basedOn w:val="Heading6"/>
    <w:rsid w:val="004C1CED"/>
    <w:pPr>
      <w:keepNext/>
      <w:widowControl/>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autoSpaceDE w:val="0"/>
      <w:autoSpaceDN w:val="0"/>
      <w:adjustRightInd w:val="0"/>
      <w:spacing w:before="0" w:after="0"/>
      <w:jc w:val="center"/>
    </w:pPr>
    <w:rPr>
      <w:i w:val="0"/>
      <w:iCs/>
      <w:sz w:val="60"/>
      <w:szCs w:val="22"/>
      <w:lang w:eastAsia="en-US"/>
    </w:rPr>
  </w:style>
  <w:style w:type="paragraph" w:customStyle="1" w:styleId="Titre2">
    <w:name w:val="Titre2"/>
    <w:basedOn w:val="Normal"/>
    <w:rsid w:val="004C1CED"/>
    <w:pPr>
      <w:widowControl/>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autoSpaceDE w:val="0"/>
      <w:autoSpaceDN w:val="0"/>
      <w:adjustRightInd w:val="0"/>
      <w:ind w:left="1701"/>
      <w:jc w:val="both"/>
    </w:pPr>
    <w:rPr>
      <w:rFonts w:ascii="Arial" w:hAnsi="Arial" w:cs="Arial"/>
      <w:b/>
      <w:sz w:val="48"/>
      <w:szCs w:val="22"/>
      <w:lang w:eastAsia="en-US"/>
    </w:rPr>
  </w:style>
  <w:style w:type="paragraph" w:customStyle="1" w:styleId="pj">
    <w:name w:val="p.j."/>
    <w:basedOn w:val="Normal"/>
    <w:next w:val="Normal"/>
    <w:rsid w:val="004C1CED"/>
    <w:pPr>
      <w:widowControl/>
      <w:autoSpaceDE w:val="0"/>
      <w:autoSpaceDN w:val="0"/>
      <w:adjustRightInd w:val="0"/>
      <w:spacing w:before="1200" w:after="120"/>
      <w:ind w:left="1440" w:hanging="1440"/>
    </w:pPr>
    <w:rPr>
      <w:rFonts w:eastAsia="Calibri"/>
      <w:szCs w:val="22"/>
      <w:lang w:eastAsia="en-US"/>
    </w:rPr>
  </w:style>
  <w:style w:type="paragraph" w:customStyle="1" w:styleId="Text0">
    <w:name w:val="Text 0"/>
    <w:basedOn w:val="Normal"/>
    <w:rsid w:val="004C1CED"/>
    <w:pPr>
      <w:autoSpaceDE w:val="0"/>
      <w:autoSpaceDN w:val="0"/>
      <w:adjustRightInd w:val="0"/>
      <w:spacing w:before="120" w:after="120" w:line="360" w:lineRule="auto"/>
    </w:pPr>
    <w:rPr>
      <w:rFonts w:eastAsia="Calibri"/>
      <w:szCs w:val="22"/>
      <w:lang w:eastAsia="en-US"/>
    </w:rPr>
  </w:style>
  <w:style w:type="paragraph" w:customStyle="1" w:styleId="N">
    <w:name w:val="N"/>
    <w:basedOn w:val="Text0"/>
    <w:rsid w:val="004C1CED"/>
    <w:pPr>
      <w:spacing w:before="0" w:after="0"/>
    </w:pPr>
  </w:style>
  <w:style w:type="paragraph" w:customStyle="1" w:styleId="Considerant">
    <w:name w:val="Considerant"/>
    <w:basedOn w:val="Considrant"/>
    <w:rsid w:val="004C1CED"/>
    <w:pPr>
      <w:tabs>
        <w:tab w:val="num" w:pos="709"/>
      </w:tabs>
      <w:autoSpaceDE w:val="0"/>
      <w:autoSpaceDN w:val="0"/>
      <w:adjustRightInd w:val="0"/>
      <w:spacing w:before="0" w:after="0"/>
      <w:ind w:left="709" w:hanging="709"/>
    </w:pPr>
    <w:rPr>
      <w:rFonts w:eastAsia="Calibri"/>
      <w:szCs w:val="22"/>
      <w:lang w:val="fr-FR"/>
    </w:rPr>
  </w:style>
  <w:style w:type="paragraph" w:customStyle="1" w:styleId="Lginef">
    <w:name w:val="Lgine f"/>
    <w:basedOn w:val="Normal"/>
    <w:rsid w:val="004C1CED"/>
    <w:pPr>
      <w:widowControl/>
      <w:autoSpaceDE w:val="0"/>
      <w:autoSpaceDN w:val="0"/>
      <w:adjustRightInd w:val="0"/>
      <w:spacing w:before="120" w:after="120" w:line="360" w:lineRule="auto"/>
    </w:pPr>
    <w:rPr>
      <w:rFonts w:eastAsia="Calibri"/>
      <w:szCs w:val="22"/>
      <w:lang w:eastAsia="en-US"/>
    </w:rPr>
  </w:style>
  <w:style w:type="paragraph" w:customStyle="1" w:styleId="Normal12Bold">
    <w:name w:val="Normal12Bold"/>
    <w:basedOn w:val="Normal12"/>
    <w:rsid w:val="004C1CED"/>
    <w:pPr>
      <w:autoSpaceDE w:val="0"/>
      <w:autoSpaceDN w:val="0"/>
      <w:adjustRightInd w:val="0"/>
    </w:pPr>
    <w:rPr>
      <w:rFonts w:eastAsia="Calibri"/>
      <w:b/>
      <w:noProof w:val="0"/>
      <w:szCs w:val="22"/>
      <w:lang w:eastAsia="en-US"/>
    </w:rPr>
  </w:style>
  <w:style w:type="paragraph" w:customStyle="1" w:styleId="Normal12Hanging">
    <w:name w:val="Normal12Hanging"/>
    <w:basedOn w:val="Normal12"/>
    <w:rsid w:val="004C1CED"/>
    <w:pPr>
      <w:autoSpaceDE w:val="0"/>
      <w:autoSpaceDN w:val="0"/>
      <w:adjustRightInd w:val="0"/>
      <w:ind w:left="357" w:hanging="357"/>
    </w:pPr>
    <w:rPr>
      <w:rFonts w:eastAsia="Calibri"/>
      <w:noProof w:val="0"/>
      <w:szCs w:val="22"/>
      <w:lang w:eastAsia="en-US"/>
    </w:rPr>
  </w:style>
  <w:style w:type="character" w:customStyle="1" w:styleId="italic1">
    <w:name w:val="italic1"/>
    <w:basedOn w:val="DefaultParagraphFont"/>
    <w:rsid w:val="004C1CED"/>
    <w:rPr>
      <w:rFonts w:cs="Times New Roman"/>
      <w:i/>
      <w:spacing w:val="0"/>
      <w:shd w:val="clear" w:color="auto" w:fill="auto"/>
    </w:rPr>
  </w:style>
  <w:style w:type="paragraph" w:customStyle="1" w:styleId="CM4">
    <w:name w:val="CM4"/>
    <w:basedOn w:val="Default"/>
    <w:next w:val="Default"/>
    <w:uiPriority w:val="99"/>
    <w:rsid w:val="004C1CED"/>
    <w:rPr>
      <w:rFonts w:ascii="EUAlbertina" w:eastAsia="Times New Roman" w:hAnsi="EUAlbertina" w:cs="EUAlbertina"/>
    </w:rPr>
  </w:style>
  <w:style w:type="paragraph" w:customStyle="1" w:styleId="NormalConseil">
    <w:name w:val="NormalConseil"/>
    <w:basedOn w:val="Normal"/>
    <w:rsid w:val="004C1CED"/>
    <w:pPr>
      <w:widowControl/>
      <w:autoSpaceDE w:val="0"/>
      <w:autoSpaceDN w:val="0"/>
      <w:adjustRightInd w:val="0"/>
    </w:pPr>
    <w:rPr>
      <w:rFonts w:eastAsia="Calibri"/>
      <w:szCs w:val="22"/>
      <w:lang w:eastAsia="en-US"/>
    </w:rPr>
  </w:style>
  <w:style w:type="paragraph" w:customStyle="1" w:styleId="FooterConseil">
    <w:name w:val="FooterConseil"/>
    <w:basedOn w:val="NormalConseil"/>
    <w:rsid w:val="004C1CED"/>
    <w:pPr>
      <w:tabs>
        <w:tab w:val="center" w:pos="4820"/>
        <w:tab w:val="center" w:pos="7371"/>
        <w:tab w:val="right" w:pos="9639"/>
      </w:tabs>
    </w:pPr>
  </w:style>
  <w:style w:type="character" w:customStyle="1" w:styleId="st1">
    <w:name w:val="st1"/>
    <w:rsid w:val="004C1CED"/>
    <w:rPr>
      <w:spacing w:val="0"/>
      <w:sz w:val="24"/>
    </w:rPr>
  </w:style>
  <w:style w:type="character" w:customStyle="1" w:styleId="Point0Char">
    <w:name w:val="Point 0 Char"/>
    <w:rsid w:val="004C1CED"/>
    <w:rPr>
      <w:spacing w:val="0"/>
      <w:sz w:val="24"/>
    </w:rPr>
  </w:style>
  <w:style w:type="paragraph" w:customStyle="1" w:styleId="DeltaViewTableHeading">
    <w:name w:val="DeltaView Table Heading"/>
    <w:basedOn w:val="Normal"/>
    <w:rsid w:val="004C1CED"/>
    <w:pPr>
      <w:widowControl/>
      <w:autoSpaceDE w:val="0"/>
      <w:autoSpaceDN w:val="0"/>
      <w:adjustRightInd w:val="0"/>
      <w:spacing w:after="120"/>
    </w:pPr>
    <w:rPr>
      <w:rFonts w:ascii="Arial" w:hAnsi="Arial" w:cs="Arial"/>
      <w:b/>
      <w:szCs w:val="22"/>
      <w:lang w:eastAsia="en-US"/>
    </w:rPr>
  </w:style>
  <w:style w:type="paragraph" w:customStyle="1" w:styleId="DeltaViewTableBody">
    <w:name w:val="DeltaView Table Body"/>
    <w:basedOn w:val="Normal"/>
    <w:rsid w:val="004C1CED"/>
    <w:pPr>
      <w:widowControl/>
      <w:autoSpaceDE w:val="0"/>
      <w:autoSpaceDN w:val="0"/>
      <w:adjustRightInd w:val="0"/>
    </w:pPr>
    <w:rPr>
      <w:rFonts w:ascii="Arial" w:hAnsi="Arial" w:cs="Arial"/>
      <w:szCs w:val="22"/>
      <w:lang w:eastAsia="en-US"/>
    </w:rPr>
  </w:style>
  <w:style w:type="paragraph" w:customStyle="1" w:styleId="DeltaViewAnnounce">
    <w:name w:val="DeltaView Announce"/>
    <w:rsid w:val="004C1CED"/>
    <w:pPr>
      <w:autoSpaceDE w:val="0"/>
      <w:autoSpaceDN w:val="0"/>
      <w:adjustRightInd w:val="0"/>
      <w:spacing w:before="100" w:beforeAutospacing="1" w:after="100" w:afterAutospacing="1"/>
    </w:pPr>
    <w:rPr>
      <w:rFonts w:ascii="Arial" w:hAnsi="Arial" w:cs="Arial"/>
      <w:sz w:val="24"/>
      <w:szCs w:val="22"/>
      <w:lang w:val="en-US" w:eastAsia="en-US"/>
    </w:rPr>
  </w:style>
  <w:style w:type="character" w:customStyle="1" w:styleId="DeltaViewInsertion">
    <w:name w:val="DeltaView Insertion"/>
    <w:rsid w:val="004C1CED"/>
    <w:rPr>
      <w:b/>
      <w:i/>
      <w:spacing w:val="0"/>
    </w:rPr>
  </w:style>
  <w:style w:type="character" w:customStyle="1" w:styleId="DeltaViewDeletion">
    <w:name w:val="DeltaView Deletion"/>
    <w:rsid w:val="004C1CED"/>
    <w:rPr>
      <w:strike/>
      <w:spacing w:val="0"/>
    </w:rPr>
  </w:style>
  <w:style w:type="character" w:customStyle="1" w:styleId="DeltaViewMoveSource">
    <w:name w:val="DeltaView Move Source"/>
    <w:rsid w:val="004C1CED"/>
    <w:rPr>
      <w:strike/>
      <w:spacing w:val="0"/>
    </w:rPr>
  </w:style>
  <w:style w:type="character" w:customStyle="1" w:styleId="DeltaViewMoveDestination">
    <w:name w:val="DeltaView Move Destination"/>
    <w:rsid w:val="004C1CED"/>
    <w:rPr>
      <w:spacing w:val="0"/>
      <w:u w:val="double"/>
    </w:rPr>
  </w:style>
  <w:style w:type="character" w:customStyle="1" w:styleId="DeltaViewChangeNumber">
    <w:name w:val="DeltaView Change Number"/>
    <w:rsid w:val="004C1CED"/>
    <w:rPr>
      <w:spacing w:val="0"/>
      <w:vertAlign w:val="superscript"/>
    </w:rPr>
  </w:style>
  <w:style w:type="character" w:customStyle="1" w:styleId="DeltaViewDelimiter">
    <w:name w:val="DeltaView Delimiter"/>
    <w:rsid w:val="004C1CED"/>
    <w:rPr>
      <w:spacing w:val="0"/>
    </w:rPr>
  </w:style>
  <w:style w:type="character" w:customStyle="1" w:styleId="DeltaViewFormatChange">
    <w:name w:val="DeltaView Format Change"/>
    <w:rsid w:val="004C1CED"/>
    <w:rPr>
      <w:spacing w:val="0"/>
    </w:rPr>
  </w:style>
  <w:style w:type="character" w:customStyle="1" w:styleId="DeltaViewMovedDeletion">
    <w:name w:val="DeltaView Moved Deletion"/>
    <w:rsid w:val="004C1CED"/>
    <w:rPr>
      <w:strike/>
      <w:color w:val="C08080"/>
      <w:spacing w:val="0"/>
    </w:rPr>
  </w:style>
  <w:style w:type="character" w:customStyle="1" w:styleId="DeltaViewEditorComment">
    <w:name w:val="DeltaView Editor Comment"/>
    <w:basedOn w:val="DefaultParagraphFont"/>
    <w:rsid w:val="004C1CED"/>
    <w:rPr>
      <w:rFonts w:cs="Times New Roman"/>
      <w:color w:val="0000FF"/>
      <w:spacing w:val="0"/>
      <w:u w:val="double"/>
    </w:rPr>
  </w:style>
  <w:style w:type="character" w:customStyle="1" w:styleId="DeltaViewStyleChangeText">
    <w:name w:val="DeltaView Style Change Text"/>
    <w:rsid w:val="004C1CED"/>
    <w:rPr>
      <w:spacing w:val="0"/>
      <w:u w:val="double"/>
    </w:rPr>
  </w:style>
  <w:style w:type="character" w:customStyle="1" w:styleId="DeltaViewStyleChangeLabel">
    <w:name w:val="DeltaView Style Change Label"/>
    <w:rsid w:val="004C1CED"/>
    <w:rPr>
      <w:spacing w:val="0"/>
    </w:rPr>
  </w:style>
  <w:style w:type="character" w:customStyle="1" w:styleId="UnresolvedMention1">
    <w:name w:val="Unresolved Mention1"/>
    <w:basedOn w:val="DefaultParagraphFont"/>
    <w:uiPriority w:val="99"/>
    <w:semiHidden/>
    <w:unhideWhenUsed/>
    <w:rsid w:val="004C1CED"/>
    <w:rPr>
      <w:color w:val="605E5C"/>
      <w:shd w:val="clear" w:color="auto" w:fill="E1DFDD"/>
    </w:rPr>
  </w:style>
  <w:style w:type="character" w:customStyle="1" w:styleId="UnresolvedMention2">
    <w:name w:val="Unresolved Mention2"/>
    <w:basedOn w:val="DefaultParagraphFont"/>
    <w:uiPriority w:val="99"/>
    <w:semiHidden/>
    <w:unhideWhenUsed/>
    <w:rsid w:val="004C1CED"/>
    <w:rPr>
      <w:color w:val="605E5C"/>
      <w:shd w:val="clear" w:color="auto" w:fill="E1DFDD"/>
    </w:rPr>
  </w:style>
  <w:style w:type="paragraph" w:customStyle="1" w:styleId="ThetitleofAnnexIPoint0number">
    <w:name w:val="The title of Annex I Point 0 (number)"/>
    <w:basedOn w:val="Point0number"/>
    <w:rsid w:val="004C1CED"/>
    <w:pPr>
      <w:numPr>
        <w:numId w:val="1"/>
      </w:numPr>
    </w:pPr>
  </w:style>
  <w:style w:type="paragraph" w:customStyle="1" w:styleId="Part1isreplacedwiththefollowignPoint0number">
    <w:name w:val="Part 1 is replaced with the followign: Point 0 (number)"/>
    <w:basedOn w:val="Point0number"/>
    <w:rsid w:val="004C1CED"/>
    <w:pPr>
      <w:numPr>
        <w:numId w:val="0"/>
      </w:numPr>
      <w:tabs>
        <w:tab w:val="num" w:pos="926"/>
      </w:tabs>
      <w:ind w:left="926" w:hanging="360"/>
    </w:pPr>
  </w:style>
  <w:style w:type="paragraph" w:customStyle="1" w:styleId="PartPoint0number">
    <w:name w:val="PartPoint 0 (number)"/>
    <w:basedOn w:val="Point0number"/>
    <w:rsid w:val="004C1CED"/>
    <w:pPr>
      <w:numPr>
        <w:numId w:val="0"/>
      </w:numPr>
      <w:tabs>
        <w:tab w:val="num" w:pos="926"/>
      </w:tabs>
      <w:ind w:left="926" w:hanging="360"/>
    </w:pPr>
  </w:style>
  <w:style w:type="paragraph" w:customStyle="1" w:styleId="AnewPoint0number">
    <w:name w:val="A new Point 0 (number)"/>
    <w:basedOn w:val="Point0number"/>
    <w:rsid w:val="004C1CED"/>
    <w:pPr>
      <w:numPr>
        <w:numId w:val="0"/>
      </w:numPr>
      <w:tabs>
        <w:tab w:val="num" w:pos="926"/>
      </w:tabs>
      <w:ind w:left="926" w:hanging="360"/>
    </w:pPr>
  </w:style>
  <w:style w:type="paragraph" w:customStyle="1" w:styleId="LegalNumPar">
    <w:name w:val="LegalNumPar"/>
    <w:basedOn w:val="Normal"/>
    <w:rsid w:val="004C1CED"/>
    <w:pPr>
      <w:widowControl/>
      <w:numPr>
        <w:numId w:val="16"/>
      </w:numPr>
      <w:tabs>
        <w:tab w:val="num" w:pos="1209"/>
      </w:tabs>
      <w:spacing w:before="120" w:after="120" w:line="360" w:lineRule="auto"/>
      <w:ind w:left="1209" w:hanging="360"/>
      <w:jc w:val="both"/>
    </w:pPr>
    <w:rPr>
      <w:rFonts w:eastAsia="Calibri"/>
      <w:szCs w:val="22"/>
      <w:lang w:eastAsia="en-US"/>
    </w:rPr>
  </w:style>
  <w:style w:type="paragraph" w:customStyle="1" w:styleId="LegalNumPar2">
    <w:name w:val="LegalNumPar2"/>
    <w:basedOn w:val="Normal"/>
    <w:rsid w:val="004C1CED"/>
    <w:pPr>
      <w:widowControl/>
      <w:numPr>
        <w:ilvl w:val="1"/>
        <w:numId w:val="16"/>
      </w:numPr>
      <w:tabs>
        <w:tab w:val="num" w:pos="1209"/>
      </w:tabs>
      <w:spacing w:before="120" w:after="120" w:line="360" w:lineRule="auto"/>
      <w:ind w:left="1209" w:hanging="360"/>
      <w:jc w:val="both"/>
    </w:pPr>
    <w:rPr>
      <w:rFonts w:eastAsia="Calibri"/>
      <w:szCs w:val="22"/>
      <w:lang w:eastAsia="en-US"/>
    </w:rPr>
  </w:style>
  <w:style w:type="paragraph" w:customStyle="1" w:styleId="LegalNumPar3">
    <w:name w:val="LegalNumPar3"/>
    <w:basedOn w:val="Normal"/>
    <w:rsid w:val="004C1CED"/>
    <w:pPr>
      <w:widowControl/>
      <w:numPr>
        <w:ilvl w:val="2"/>
        <w:numId w:val="16"/>
      </w:numPr>
      <w:tabs>
        <w:tab w:val="num" w:pos="1209"/>
      </w:tabs>
      <w:spacing w:before="120" w:after="120"/>
      <w:ind w:left="1209" w:hanging="360"/>
      <w:jc w:val="both"/>
    </w:pPr>
    <w:rPr>
      <w:rFonts w:eastAsia="Calibri"/>
      <w:szCs w:val="22"/>
      <w:lang w:eastAsia="en-US"/>
    </w:rPr>
  </w:style>
  <w:style w:type="character" w:customStyle="1" w:styleId="UnresolvedMention3">
    <w:name w:val="Unresolved Mention3"/>
    <w:basedOn w:val="DefaultParagraphFont"/>
    <w:uiPriority w:val="99"/>
    <w:semiHidden/>
    <w:unhideWhenUsed/>
    <w:rsid w:val="004C1CED"/>
    <w:rPr>
      <w:color w:val="605E5C"/>
      <w:shd w:val="clear" w:color="auto" w:fill="E1DFDD"/>
    </w:rPr>
  </w:style>
  <w:style w:type="paragraph" w:customStyle="1" w:styleId="title-gr-seq-level-1">
    <w:name w:val="title-gr-seq-level-1"/>
    <w:basedOn w:val="Normal"/>
    <w:rsid w:val="004C1CED"/>
    <w:pPr>
      <w:widowControl/>
      <w:spacing w:before="100" w:beforeAutospacing="1" w:after="100" w:afterAutospacing="1"/>
    </w:pPr>
    <w:rPr>
      <w:rFonts w:eastAsia="Calibri"/>
      <w:szCs w:val="22"/>
      <w:lang w:eastAsia="en-US"/>
    </w:rPr>
  </w:style>
  <w:style w:type="character" w:customStyle="1" w:styleId="boldface">
    <w:name w:val="boldface"/>
    <w:basedOn w:val="DefaultParagraphFont"/>
    <w:rsid w:val="004C1CED"/>
  </w:style>
  <w:style w:type="paragraph" w:customStyle="1" w:styleId="title-gr-seq-level-4">
    <w:name w:val="title-gr-seq-level-4"/>
    <w:basedOn w:val="Normal"/>
    <w:rsid w:val="004C1CED"/>
    <w:pPr>
      <w:widowControl/>
      <w:spacing w:before="100" w:beforeAutospacing="1" w:after="100" w:afterAutospacing="1"/>
    </w:pPr>
    <w:rPr>
      <w:rFonts w:eastAsia="Calibri"/>
      <w:szCs w:val="22"/>
      <w:lang w:eastAsia="en-US"/>
    </w:rPr>
  </w:style>
  <w:style w:type="paragraph" w:customStyle="1" w:styleId="norm">
    <w:name w:val="norm"/>
    <w:basedOn w:val="Normal"/>
    <w:rsid w:val="004C1CED"/>
    <w:pPr>
      <w:widowControl/>
      <w:spacing w:before="100" w:beforeAutospacing="1" w:after="100" w:afterAutospacing="1"/>
    </w:pPr>
    <w:rPr>
      <w:rFonts w:eastAsia="Calibri"/>
      <w:szCs w:val="22"/>
      <w:lang w:eastAsia="en-US"/>
    </w:rPr>
  </w:style>
  <w:style w:type="paragraph" w:customStyle="1" w:styleId="title-table">
    <w:name w:val="title-table"/>
    <w:basedOn w:val="Normal"/>
    <w:rsid w:val="004C1CED"/>
    <w:pPr>
      <w:widowControl/>
      <w:spacing w:before="100" w:beforeAutospacing="1" w:after="100" w:afterAutospacing="1"/>
    </w:pPr>
    <w:rPr>
      <w:rFonts w:eastAsia="Calibri"/>
      <w:szCs w:val="22"/>
      <w:lang w:eastAsia="en-US"/>
    </w:rPr>
  </w:style>
  <w:style w:type="character" w:customStyle="1" w:styleId="superscript">
    <w:name w:val="superscript"/>
    <w:basedOn w:val="DefaultParagraphFont"/>
    <w:rsid w:val="004C1CED"/>
  </w:style>
  <w:style w:type="paragraph" w:customStyle="1" w:styleId="tbl-norm">
    <w:name w:val="tbl-norm"/>
    <w:basedOn w:val="Normal"/>
    <w:rsid w:val="004C1CED"/>
    <w:pPr>
      <w:widowControl/>
      <w:spacing w:before="100" w:beforeAutospacing="1" w:after="100" w:afterAutospacing="1"/>
    </w:pPr>
    <w:rPr>
      <w:rFonts w:eastAsia="Calibri"/>
      <w:szCs w:val="22"/>
      <w:lang w:eastAsia="en-US"/>
    </w:rPr>
  </w:style>
  <w:style w:type="paragraph" w:customStyle="1" w:styleId="item-none">
    <w:name w:val="item-none"/>
    <w:basedOn w:val="Normal"/>
    <w:rsid w:val="004C1CED"/>
    <w:pPr>
      <w:widowControl/>
      <w:spacing w:before="100" w:beforeAutospacing="1" w:after="100" w:afterAutospacing="1"/>
    </w:pPr>
    <w:rPr>
      <w:rFonts w:eastAsia="Calibri"/>
      <w:szCs w:val="22"/>
      <w:lang w:eastAsia="en-US"/>
    </w:rPr>
  </w:style>
  <w:style w:type="paragraph" w:styleId="TOC4">
    <w:name w:val="toc 4"/>
    <w:basedOn w:val="Normal"/>
    <w:next w:val="Normal"/>
    <w:uiPriority w:val="39"/>
    <w:unhideWhenUsed/>
    <w:rsid w:val="004C1CED"/>
    <w:pPr>
      <w:widowControl/>
      <w:tabs>
        <w:tab w:val="right" w:leader="dot" w:pos="9071"/>
      </w:tabs>
      <w:spacing w:before="60" w:after="120"/>
      <w:ind w:left="850" w:hanging="850"/>
    </w:pPr>
    <w:rPr>
      <w:rFonts w:eastAsia="Calibri"/>
      <w:szCs w:val="22"/>
      <w:lang w:eastAsia="en-US"/>
    </w:rPr>
  </w:style>
  <w:style w:type="paragraph" w:styleId="TOC5">
    <w:name w:val="toc 5"/>
    <w:basedOn w:val="Normal"/>
    <w:next w:val="Normal"/>
    <w:uiPriority w:val="39"/>
    <w:unhideWhenUsed/>
    <w:rsid w:val="004C1CED"/>
    <w:pPr>
      <w:widowControl/>
      <w:tabs>
        <w:tab w:val="right" w:leader="dot" w:pos="9071"/>
      </w:tabs>
      <w:spacing w:before="300" w:after="120"/>
    </w:pPr>
    <w:rPr>
      <w:rFonts w:eastAsia="Calibri"/>
      <w:szCs w:val="22"/>
      <w:lang w:eastAsia="en-US"/>
    </w:rPr>
  </w:style>
  <w:style w:type="paragraph" w:styleId="TOC6">
    <w:name w:val="toc 6"/>
    <w:basedOn w:val="Normal"/>
    <w:next w:val="Normal"/>
    <w:uiPriority w:val="39"/>
    <w:unhideWhenUsed/>
    <w:rsid w:val="004C1CED"/>
    <w:pPr>
      <w:widowControl/>
      <w:tabs>
        <w:tab w:val="right" w:leader="dot" w:pos="9071"/>
      </w:tabs>
      <w:spacing w:before="240" w:after="120"/>
    </w:pPr>
    <w:rPr>
      <w:rFonts w:eastAsia="Calibri"/>
      <w:szCs w:val="22"/>
      <w:lang w:eastAsia="en-US"/>
    </w:rPr>
  </w:style>
  <w:style w:type="paragraph" w:styleId="TOC7">
    <w:name w:val="toc 7"/>
    <w:basedOn w:val="Normal"/>
    <w:next w:val="Normal"/>
    <w:uiPriority w:val="39"/>
    <w:unhideWhenUsed/>
    <w:rsid w:val="004C1CED"/>
    <w:pPr>
      <w:widowControl/>
      <w:tabs>
        <w:tab w:val="right" w:leader="dot" w:pos="9071"/>
      </w:tabs>
      <w:spacing w:before="180" w:after="120"/>
    </w:pPr>
    <w:rPr>
      <w:rFonts w:eastAsia="Calibri"/>
      <w:szCs w:val="22"/>
      <w:lang w:eastAsia="en-US"/>
    </w:rPr>
  </w:style>
  <w:style w:type="paragraph" w:styleId="TOC8">
    <w:name w:val="toc 8"/>
    <w:basedOn w:val="Normal"/>
    <w:next w:val="Normal"/>
    <w:uiPriority w:val="39"/>
    <w:unhideWhenUsed/>
    <w:rsid w:val="004C1CED"/>
    <w:pPr>
      <w:widowControl/>
      <w:tabs>
        <w:tab w:val="right" w:leader="dot" w:pos="9071"/>
      </w:tabs>
      <w:spacing w:before="120" w:after="120"/>
    </w:pPr>
    <w:rPr>
      <w:rFonts w:eastAsia="Calibri"/>
      <w:szCs w:val="22"/>
      <w:lang w:eastAsia="en-US"/>
    </w:rPr>
  </w:style>
  <w:style w:type="paragraph" w:styleId="TOC9">
    <w:name w:val="toc 9"/>
    <w:basedOn w:val="Normal"/>
    <w:next w:val="Normal"/>
    <w:uiPriority w:val="39"/>
    <w:unhideWhenUsed/>
    <w:rsid w:val="004C1CED"/>
    <w:pPr>
      <w:widowControl/>
      <w:tabs>
        <w:tab w:val="right" w:leader="dot" w:pos="9071"/>
      </w:tabs>
      <w:spacing w:before="120" w:after="120"/>
      <w:ind w:left="1417" w:hanging="1417"/>
    </w:pPr>
    <w:rPr>
      <w:rFonts w:eastAsia="Calibri"/>
      <w:szCs w:val="22"/>
      <w:lang w:eastAsia="en-US"/>
    </w:rPr>
  </w:style>
  <w:style w:type="paragraph" w:customStyle="1" w:styleId="HeaderLandscape">
    <w:name w:val="HeaderLandscape"/>
    <w:basedOn w:val="Normal"/>
    <w:rsid w:val="004C1CED"/>
    <w:pPr>
      <w:widowControl/>
      <w:tabs>
        <w:tab w:val="center" w:pos="7285"/>
        <w:tab w:val="right" w:pos="14003"/>
      </w:tabs>
      <w:spacing w:after="120"/>
      <w:jc w:val="both"/>
    </w:pPr>
    <w:rPr>
      <w:rFonts w:eastAsia="Calibri"/>
      <w:szCs w:val="22"/>
      <w:lang w:eastAsia="en-US"/>
    </w:rPr>
  </w:style>
  <w:style w:type="paragraph" w:customStyle="1" w:styleId="FooterLandscape">
    <w:name w:val="FooterLandscape"/>
    <w:basedOn w:val="Normal"/>
    <w:rsid w:val="004C1CED"/>
    <w:pPr>
      <w:widowControl/>
      <w:tabs>
        <w:tab w:val="center" w:pos="7285"/>
        <w:tab w:val="center" w:pos="10913"/>
        <w:tab w:val="right" w:pos="15137"/>
      </w:tabs>
      <w:spacing w:before="360"/>
      <w:ind w:left="-567" w:right="-567"/>
    </w:pPr>
    <w:rPr>
      <w:rFonts w:eastAsia="Calibri"/>
      <w:szCs w:val="22"/>
      <w:lang w:eastAsia="en-US"/>
    </w:rPr>
  </w:style>
  <w:style w:type="paragraph" w:customStyle="1" w:styleId="HeaderSensitivity">
    <w:name w:val="Header Sensitivity"/>
    <w:basedOn w:val="Normal"/>
    <w:rsid w:val="004C1CED"/>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rsid w:val="004C1CED"/>
    <w:pPr>
      <w:widowControl/>
      <w:spacing w:after="120"/>
      <w:jc w:val="right"/>
    </w:pPr>
    <w:rPr>
      <w:rFonts w:eastAsia="Calibri"/>
      <w:sz w:val="28"/>
      <w:szCs w:val="22"/>
      <w:lang w:eastAsia="en-US"/>
    </w:rPr>
  </w:style>
  <w:style w:type="paragraph" w:customStyle="1" w:styleId="FooterSensitivity">
    <w:name w:val="Footer Sensitivity"/>
    <w:basedOn w:val="Normal"/>
    <w:rsid w:val="004C1CED"/>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Text1">
    <w:name w:val="Text 1"/>
    <w:basedOn w:val="Normal"/>
    <w:rsid w:val="004C1CED"/>
    <w:pPr>
      <w:widowControl/>
      <w:spacing w:before="120" w:after="120"/>
      <w:ind w:left="850"/>
      <w:jc w:val="both"/>
    </w:pPr>
    <w:rPr>
      <w:rFonts w:eastAsia="Calibri"/>
      <w:szCs w:val="22"/>
      <w:lang w:eastAsia="en-US"/>
    </w:rPr>
  </w:style>
  <w:style w:type="paragraph" w:customStyle="1" w:styleId="Text2">
    <w:name w:val="Text 2"/>
    <w:basedOn w:val="Normal"/>
    <w:rsid w:val="004C1CED"/>
    <w:pPr>
      <w:widowControl/>
      <w:spacing w:before="120" w:after="120"/>
      <w:ind w:left="1417"/>
      <w:jc w:val="both"/>
    </w:pPr>
    <w:rPr>
      <w:rFonts w:eastAsia="Calibri"/>
      <w:szCs w:val="22"/>
      <w:lang w:eastAsia="en-US"/>
    </w:rPr>
  </w:style>
  <w:style w:type="paragraph" w:customStyle="1" w:styleId="Text3">
    <w:name w:val="Text 3"/>
    <w:basedOn w:val="Normal"/>
    <w:rsid w:val="004C1CED"/>
    <w:pPr>
      <w:widowControl/>
      <w:spacing w:before="120" w:after="120"/>
      <w:ind w:left="1984"/>
      <w:jc w:val="both"/>
    </w:pPr>
    <w:rPr>
      <w:rFonts w:eastAsia="Calibri"/>
      <w:szCs w:val="22"/>
      <w:lang w:eastAsia="en-US"/>
    </w:rPr>
  </w:style>
  <w:style w:type="paragraph" w:customStyle="1" w:styleId="Text4">
    <w:name w:val="Text 4"/>
    <w:basedOn w:val="Normal"/>
    <w:rsid w:val="004C1CED"/>
    <w:pPr>
      <w:widowControl/>
      <w:spacing w:before="120" w:after="120"/>
      <w:ind w:left="2551"/>
      <w:jc w:val="both"/>
    </w:pPr>
    <w:rPr>
      <w:rFonts w:eastAsia="Calibri"/>
      <w:szCs w:val="22"/>
      <w:lang w:eastAsia="en-US"/>
    </w:rPr>
  </w:style>
  <w:style w:type="paragraph" w:customStyle="1" w:styleId="Text5">
    <w:name w:val="Text 5"/>
    <w:basedOn w:val="Normal"/>
    <w:rsid w:val="004C1CED"/>
    <w:pPr>
      <w:widowControl/>
      <w:spacing w:before="120" w:after="120"/>
      <w:ind w:left="3118"/>
      <w:jc w:val="both"/>
    </w:pPr>
    <w:rPr>
      <w:rFonts w:eastAsia="Calibri"/>
      <w:szCs w:val="22"/>
      <w:lang w:eastAsia="en-US"/>
    </w:rPr>
  </w:style>
  <w:style w:type="paragraph" w:customStyle="1" w:styleId="Text6">
    <w:name w:val="Text 6"/>
    <w:basedOn w:val="Normal"/>
    <w:rsid w:val="004C1CED"/>
    <w:pPr>
      <w:widowControl/>
      <w:spacing w:before="120" w:after="120"/>
      <w:ind w:left="3685"/>
      <w:jc w:val="both"/>
    </w:pPr>
    <w:rPr>
      <w:rFonts w:eastAsia="Calibri"/>
      <w:szCs w:val="22"/>
      <w:lang w:eastAsia="en-US"/>
    </w:rPr>
  </w:style>
  <w:style w:type="paragraph" w:customStyle="1" w:styleId="NormalCentered">
    <w:name w:val="Normal Centered"/>
    <w:basedOn w:val="Normal"/>
    <w:rsid w:val="004C1CED"/>
    <w:pPr>
      <w:widowControl/>
      <w:spacing w:before="120" w:after="120"/>
      <w:jc w:val="center"/>
    </w:pPr>
    <w:rPr>
      <w:rFonts w:eastAsia="Calibri"/>
      <w:szCs w:val="22"/>
      <w:lang w:eastAsia="en-US"/>
    </w:rPr>
  </w:style>
  <w:style w:type="paragraph" w:customStyle="1" w:styleId="NormalLeft">
    <w:name w:val="Normal Left"/>
    <w:basedOn w:val="Normal"/>
    <w:rsid w:val="004C1CED"/>
    <w:pPr>
      <w:widowControl/>
      <w:spacing w:before="120" w:after="120"/>
    </w:pPr>
    <w:rPr>
      <w:rFonts w:eastAsia="Calibri"/>
      <w:szCs w:val="22"/>
      <w:lang w:eastAsia="en-US"/>
    </w:rPr>
  </w:style>
  <w:style w:type="paragraph" w:customStyle="1" w:styleId="NormalRight">
    <w:name w:val="Normal Right"/>
    <w:basedOn w:val="Normal"/>
    <w:rsid w:val="004C1CED"/>
    <w:pPr>
      <w:widowControl/>
      <w:spacing w:before="120" w:after="120"/>
      <w:jc w:val="right"/>
    </w:pPr>
    <w:rPr>
      <w:rFonts w:eastAsia="Calibri"/>
      <w:szCs w:val="22"/>
      <w:lang w:eastAsia="en-US"/>
    </w:rPr>
  </w:style>
  <w:style w:type="paragraph" w:customStyle="1" w:styleId="QuotedText">
    <w:name w:val="Quoted Text"/>
    <w:basedOn w:val="Normal"/>
    <w:rsid w:val="004C1CED"/>
    <w:pPr>
      <w:widowControl/>
      <w:spacing w:before="120" w:after="120"/>
      <w:ind w:left="1417"/>
      <w:jc w:val="both"/>
    </w:pPr>
    <w:rPr>
      <w:rFonts w:eastAsia="Calibri"/>
      <w:szCs w:val="22"/>
      <w:lang w:eastAsia="en-US"/>
    </w:rPr>
  </w:style>
  <w:style w:type="paragraph" w:customStyle="1" w:styleId="Point0">
    <w:name w:val="Point 0"/>
    <w:basedOn w:val="Normal"/>
    <w:rsid w:val="004C1CED"/>
    <w:pPr>
      <w:widowControl/>
      <w:spacing w:before="120" w:after="120"/>
      <w:ind w:left="850" w:hanging="850"/>
      <w:jc w:val="both"/>
    </w:pPr>
    <w:rPr>
      <w:rFonts w:eastAsia="Calibri"/>
      <w:szCs w:val="22"/>
      <w:lang w:eastAsia="en-US"/>
    </w:rPr>
  </w:style>
  <w:style w:type="paragraph" w:customStyle="1" w:styleId="Point1">
    <w:name w:val="Point 1"/>
    <w:basedOn w:val="Normal"/>
    <w:rsid w:val="004C1CED"/>
    <w:pPr>
      <w:widowControl/>
      <w:spacing w:before="120" w:after="120"/>
      <w:ind w:left="1417" w:hanging="567"/>
      <w:jc w:val="both"/>
    </w:pPr>
    <w:rPr>
      <w:rFonts w:eastAsia="Calibri"/>
      <w:szCs w:val="22"/>
      <w:lang w:eastAsia="en-US"/>
    </w:rPr>
  </w:style>
  <w:style w:type="paragraph" w:customStyle="1" w:styleId="Point2">
    <w:name w:val="Point 2"/>
    <w:basedOn w:val="Normal"/>
    <w:rsid w:val="004C1CED"/>
    <w:pPr>
      <w:widowControl/>
      <w:spacing w:before="120" w:after="120"/>
      <w:ind w:left="1984" w:hanging="567"/>
      <w:jc w:val="both"/>
    </w:pPr>
    <w:rPr>
      <w:rFonts w:eastAsia="Calibri"/>
      <w:szCs w:val="22"/>
      <w:lang w:eastAsia="en-US"/>
    </w:rPr>
  </w:style>
  <w:style w:type="paragraph" w:customStyle="1" w:styleId="Point3">
    <w:name w:val="Point 3"/>
    <w:basedOn w:val="Normal"/>
    <w:rsid w:val="004C1CED"/>
    <w:pPr>
      <w:widowControl/>
      <w:spacing w:before="120" w:after="120"/>
      <w:ind w:left="2551" w:hanging="567"/>
      <w:jc w:val="both"/>
    </w:pPr>
    <w:rPr>
      <w:rFonts w:eastAsia="Calibri"/>
      <w:szCs w:val="22"/>
      <w:lang w:eastAsia="en-US"/>
    </w:rPr>
  </w:style>
  <w:style w:type="paragraph" w:customStyle="1" w:styleId="Point4">
    <w:name w:val="Point 4"/>
    <w:basedOn w:val="Normal"/>
    <w:rsid w:val="004C1CED"/>
    <w:pPr>
      <w:widowControl/>
      <w:spacing w:before="120" w:after="120"/>
      <w:ind w:left="3118" w:hanging="567"/>
      <w:jc w:val="both"/>
    </w:pPr>
    <w:rPr>
      <w:rFonts w:eastAsia="Calibri"/>
      <w:szCs w:val="22"/>
      <w:lang w:eastAsia="en-US"/>
    </w:rPr>
  </w:style>
  <w:style w:type="paragraph" w:customStyle="1" w:styleId="Point5">
    <w:name w:val="Point 5"/>
    <w:basedOn w:val="Normal"/>
    <w:rsid w:val="004C1CED"/>
    <w:pPr>
      <w:widowControl/>
      <w:spacing w:before="120" w:after="120"/>
      <w:ind w:left="3685" w:hanging="567"/>
      <w:jc w:val="both"/>
    </w:pPr>
    <w:rPr>
      <w:rFonts w:eastAsia="Calibri"/>
      <w:szCs w:val="22"/>
      <w:lang w:eastAsia="en-US"/>
    </w:rPr>
  </w:style>
  <w:style w:type="paragraph" w:customStyle="1" w:styleId="Tiret0">
    <w:name w:val="Tiret 0"/>
    <w:basedOn w:val="Point0"/>
    <w:rsid w:val="004C1CED"/>
    <w:pPr>
      <w:numPr>
        <w:numId w:val="17"/>
      </w:numPr>
      <w:tabs>
        <w:tab w:val="clear" w:pos="850"/>
        <w:tab w:val="num" w:pos="1492"/>
      </w:tabs>
      <w:ind w:left="1492" w:hanging="360"/>
    </w:pPr>
  </w:style>
  <w:style w:type="paragraph" w:customStyle="1" w:styleId="Tiret1">
    <w:name w:val="Tiret 1"/>
    <w:basedOn w:val="Point1"/>
    <w:rsid w:val="004C1CED"/>
    <w:pPr>
      <w:numPr>
        <w:numId w:val="18"/>
      </w:numPr>
      <w:tabs>
        <w:tab w:val="clear" w:pos="1417"/>
        <w:tab w:val="num" w:pos="360"/>
      </w:tabs>
      <w:ind w:left="360" w:hanging="360"/>
    </w:pPr>
  </w:style>
  <w:style w:type="paragraph" w:customStyle="1" w:styleId="Tiret2">
    <w:name w:val="Tiret 2"/>
    <w:basedOn w:val="Point2"/>
    <w:rsid w:val="004C1CED"/>
    <w:pPr>
      <w:numPr>
        <w:numId w:val="19"/>
      </w:numPr>
      <w:tabs>
        <w:tab w:val="clear" w:pos="1984"/>
        <w:tab w:val="num" w:pos="643"/>
      </w:tabs>
      <w:ind w:left="643" w:hanging="360"/>
    </w:pPr>
  </w:style>
  <w:style w:type="paragraph" w:customStyle="1" w:styleId="Tiret3">
    <w:name w:val="Tiret 3"/>
    <w:basedOn w:val="Point3"/>
    <w:rsid w:val="004C1CED"/>
    <w:pPr>
      <w:numPr>
        <w:numId w:val="20"/>
      </w:numPr>
      <w:tabs>
        <w:tab w:val="clear" w:pos="2551"/>
        <w:tab w:val="num" w:pos="926"/>
      </w:tabs>
      <w:ind w:left="926" w:hanging="360"/>
    </w:pPr>
  </w:style>
  <w:style w:type="paragraph" w:customStyle="1" w:styleId="Tiret4">
    <w:name w:val="Tiret 4"/>
    <w:basedOn w:val="Point4"/>
    <w:rsid w:val="004C1CED"/>
    <w:pPr>
      <w:numPr>
        <w:numId w:val="21"/>
      </w:numPr>
      <w:tabs>
        <w:tab w:val="clear" w:pos="3118"/>
        <w:tab w:val="num" w:pos="1209"/>
      </w:tabs>
      <w:ind w:left="1209" w:hanging="360"/>
    </w:pPr>
  </w:style>
  <w:style w:type="paragraph" w:customStyle="1" w:styleId="Tiret5">
    <w:name w:val="Tiret 5"/>
    <w:basedOn w:val="Point5"/>
    <w:rsid w:val="004C1CED"/>
    <w:pPr>
      <w:numPr>
        <w:numId w:val="22"/>
      </w:numPr>
      <w:tabs>
        <w:tab w:val="clear" w:pos="3685"/>
        <w:tab w:val="num" w:pos="1492"/>
      </w:tabs>
      <w:ind w:left="1492" w:hanging="360"/>
    </w:pPr>
  </w:style>
  <w:style w:type="paragraph" w:customStyle="1" w:styleId="PointDouble0">
    <w:name w:val="PointDouble 0"/>
    <w:basedOn w:val="Normal"/>
    <w:rsid w:val="004C1CED"/>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rsid w:val="004C1CED"/>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rsid w:val="004C1CED"/>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rsid w:val="004C1CED"/>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rsid w:val="004C1CED"/>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rsid w:val="004C1CED"/>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rsid w:val="004C1CED"/>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rsid w:val="004C1CED"/>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rsid w:val="004C1CED"/>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rsid w:val="004C1CED"/>
    <w:pPr>
      <w:widowControl/>
      <w:tabs>
        <w:tab w:val="left" w:pos="3118"/>
        <w:tab w:val="left" w:pos="3685"/>
      </w:tabs>
      <w:spacing w:before="120" w:after="120"/>
      <w:ind w:left="4252" w:hanging="1701"/>
      <w:jc w:val="both"/>
    </w:pPr>
    <w:rPr>
      <w:rFonts w:eastAsia="Calibri"/>
      <w:szCs w:val="22"/>
      <w:lang w:eastAsia="en-US"/>
    </w:rPr>
  </w:style>
  <w:style w:type="paragraph" w:customStyle="1" w:styleId="NumPar1">
    <w:name w:val="NumPar 1"/>
    <w:basedOn w:val="Normal"/>
    <w:next w:val="Text1"/>
    <w:rsid w:val="004C1CED"/>
    <w:pPr>
      <w:widowControl/>
      <w:numPr>
        <w:numId w:val="23"/>
      </w:numPr>
      <w:tabs>
        <w:tab w:val="clear" w:pos="850"/>
        <w:tab w:val="num" w:pos="360"/>
      </w:tabs>
      <w:spacing w:before="120" w:after="120"/>
      <w:ind w:left="360" w:hanging="360"/>
      <w:jc w:val="both"/>
    </w:pPr>
    <w:rPr>
      <w:rFonts w:eastAsia="Calibri"/>
      <w:szCs w:val="22"/>
      <w:lang w:eastAsia="en-US"/>
    </w:rPr>
  </w:style>
  <w:style w:type="paragraph" w:customStyle="1" w:styleId="NumPar2">
    <w:name w:val="NumPar 2"/>
    <w:basedOn w:val="Normal"/>
    <w:next w:val="Text1"/>
    <w:rsid w:val="004C1CED"/>
    <w:pPr>
      <w:widowControl/>
      <w:numPr>
        <w:ilvl w:val="1"/>
        <w:numId w:val="23"/>
      </w:numPr>
      <w:tabs>
        <w:tab w:val="clear" w:pos="850"/>
        <w:tab w:val="num" w:pos="360"/>
      </w:tabs>
      <w:spacing w:before="120" w:after="120"/>
      <w:ind w:left="360" w:hanging="360"/>
      <w:jc w:val="both"/>
    </w:pPr>
    <w:rPr>
      <w:rFonts w:eastAsia="Calibri"/>
      <w:szCs w:val="22"/>
      <w:lang w:eastAsia="en-US"/>
    </w:rPr>
  </w:style>
  <w:style w:type="paragraph" w:customStyle="1" w:styleId="NumPar3">
    <w:name w:val="NumPar 3"/>
    <w:basedOn w:val="Normal"/>
    <w:next w:val="Text1"/>
    <w:rsid w:val="004C1CED"/>
    <w:pPr>
      <w:widowControl/>
      <w:numPr>
        <w:ilvl w:val="2"/>
        <w:numId w:val="23"/>
      </w:numPr>
      <w:tabs>
        <w:tab w:val="clear" w:pos="850"/>
        <w:tab w:val="num" w:pos="360"/>
      </w:tabs>
      <w:spacing w:before="120" w:after="120"/>
      <w:ind w:left="360" w:hanging="360"/>
      <w:jc w:val="both"/>
    </w:pPr>
    <w:rPr>
      <w:rFonts w:eastAsia="Calibri"/>
      <w:szCs w:val="22"/>
      <w:lang w:eastAsia="en-US"/>
    </w:rPr>
  </w:style>
  <w:style w:type="paragraph" w:customStyle="1" w:styleId="NumPar4">
    <w:name w:val="NumPar 4"/>
    <w:basedOn w:val="Normal"/>
    <w:next w:val="Text1"/>
    <w:rsid w:val="004C1CED"/>
    <w:pPr>
      <w:widowControl/>
      <w:numPr>
        <w:ilvl w:val="3"/>
        <w:numId w:val="23"/>
      </w:numPr>
      <w:tabs>
        <w:tab w:val="clear" w:pos="850"/>
        <w:tab w:val="num" w:pos="360"/>
      </w:tabs>
      <w:spacing w:before="120" w:after="120"/>
      <w:ind w:left="360" w:hanging="360"/>
      <w:jc w:val="both"/>
    </w:pPr>
    <w:rPr>
      <w:rFonts w:eastAsia="Calibri"/>
      <w:szCs w:val="22"/>
      <w:lang w:eastAsia="en-US"/>
    </w:rPr>
  </w:style>
  <w:style w:type="paragraph" w:customStyle="1" w:styleId="NumPar5">
    <w:name w:val="NumPar 5"/>
    <w:basedOn w:val="Normal"/>
    <w:next w:val="Text2"/>
    <w:rsid w:val="004C1CED"/>
    <w:pPr>
      <w:widowControl/>
      <w:numPr>
        <w:ilvl w:val="4"/>
        <w:numId w:val="23"/>
      </w:numPr>
      <w:tabs>
        <w:tab w:val="clear" w:pos="1417"/>
        <w:tab w:val="num" w:pos="360"/>
      </w:tabs>
      <w:spacing w:before="120" w:after="120"/>
      <w:ind w:left="360" w:hanging="360"/>
      <w:jc w:val="both"/>
    </w:pPr>
    <w:rPr>
      <w:rFonts w:eastAsia="Calibri"/>
      <w:szCs w:val="22"/>
      <w:lang w:eastAsia="en-US"/>
    </w:rPr>
  </w:style>
  <w:style w:type="paragraph" w:customStyle="1" w:styleId="NumPar6">
    <w:name w:val="NumPar 6"/>
    <w:basedOn w:val="Normal"/>
    <w:next w:val="Text2"/>
    <w:rsid w:val="004C1CED"/>
    <w:pPr>
      <w:widowControl/>
      <w:numPr>
        <w:ilvl w:val="5"/>
        <w:numId w:val="23"/>
      </w:numPr>
      <w:tabs>
        <w:tab w:val="clear" w:pos="1417"/>
        <w:tab w:val="num" w:pos="360"/>
      </w:tabs>
      <w:spacing w:before="120" w:after="120"/>
      <w:ind w:left="360" w:hanging="360"/>
      <w:jc w:val="both"/>
    </w:pPr>
    <w:rPr>
      <w:rFonts w:eastAsia="Calibri"/>
      <w:szCs w:val="22"/>
      <w:lang w:eastAsia="en-US"/>
    </w:rPr>
  </w:style>
  <w:style w:type="paragraph" w:customStyle="1" w:styleId="NumPar7">
    <w:name w:val="NumPar 7"/>
    <w:basedOn w:val="Normal"/>
    <w:next w:val="Text2"/>
    <w:rsid w:val="004C1CED"/>
    <w:pPr>
      <w:widowControl/>
      <w:numPr>
        <w:ilvl w:val="6"/>
        <w:numId w:val="23"/>
      </w:numPr>
      <w:tabs>
        <w:tab w:val="clear" w:pos="1417"/>
        <w:tab w:val="num" w:pos="360"/>
      </w:tabs>
      <w:spacing w:before="120" w:after="120"/>
      <w:ind w:left="360" w:hanging="360"/>
      <w:jc w:val="both"/>
    </w:pPr>
    <w:rPr>
      <w:rFonts w:eastAsia="Calibri"/>
      <w:szCs w:val="22"/>
      <w:lang w:eastAsia="en-US"/>
    </w:rPr>
  </w:style>
  <w:style w:type="paragraph" w:customStyle="1" w:styleId="ManualNumPar1">
    <w:name w:val="Manual NumPar 1"/>
    <w:basedOn w:val="Normal"/>
    <w:next w:val="Text1"/>
    <w:rsid w:val="004C1CED"/>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rsid w:val="004C1CED"/>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rsid w:val="004C1CED"/>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rsid w:val="004C1CED"/>
    <w:pPr>
      <w:widowControl/>
      <w:spacing w:before="120" w:after="120"/>
      <w:ind w:left="850" w:hanging="850"/>
      <w:jc w:val="both"/>
    </w:pPr>
    <w:rPr>
      <w:rFonts w:eastAsia="Calibri"/>
      <w:szCs w:val="22"/>
      <w:lang w:eastAsia="en-US"/>
    </w:rPr>
  </w:style>
  <w:style w:type="paragraph" w:customStyle="1" w:styleId="ManualNumPar5">
    <w:name w:val="Manual NumPar 5"/>
    <w:basedOn w:val="Normal"/>
    <w:next w:val="Text2"/>
    <w:rsid w:val="004C1CED"/>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rsid w:val="004C1CED"/>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rsid w:val="004C1CED"/>
    <w:pPr>
      <w:widowControl/>
      <w:spacing w:before="120" w:after="120"/>
      <w:ind w:left="1417" w:hanging="1417"/>
      <w:jc w:val="both"/>
    </w:pPr>
    <w:rPr>
      <w:rFonts w:eastAsia="Calibri"/>
      <w:szCs w:val="22"/>
      <w:lang w:eastAsia="en-US"/>
    </w:rPr>
  </w:style>
  <w:style w:type="paragraph" w:customStyle="1" w:styleId="QuotedNumPar">
    <w:name w:val="Quoted NumPar"/>
    <w:basedOn w:val="Normal"/>
    <w:rsid w:val="004C1CED"/>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rsid w:val="004C1CED"/>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4C1CED"/>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rsid w:val="004C1CED"/>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rsid w:val="004C1CED"/>
    <w:pPr>
      <w:keepNext/>
      <w:widowControl/>
      <w:tabs>
        <w:tab w:val="left" w:pos="850"/>
      </w:tab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rsid w:val="004C1CED"/>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rsid w:val="004C1CED"/>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rsid w:val="004C1CED"/>
    <w:pPr>
      <w:keepNext/>
      <w:widowControl/>
      <w:tabs>
        <w:tab w:val="left" w:pos="1417"/>
      </w:tabs>
      <w:spacing w:before="120" w:after="120"/>
      <w:ind w:left="1417" w:hanging="1417"/>
      <w:jc w:val="both"/>
      <w:outlineLvl w:val="6"/>
    </w:pPr>
    <w:rPr>
      <w:rFonts w:eastAsia="Calibri"/>
      <w:szCs w:val="22"/>
      <w:lang w:eastAsia="en-US"/>
    </w:rPr>
  </w:style>
  <w:style w:type="paragraph" w:customStyle="1" w:styleId="ChapterTitle">
    <w:name w:val="ChapterTitle"/>
    <w:basedOn w:val="Normal"/>
    <w:next w:val="Normal"/>
    <w:rsid w:val="004C1CED"/>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rsid w:val="004C1CED"/>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rsid w:val="004C1CED"/>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rsid w:val="004C1CED"/>
    <w:pPr>
      <w:widowControl/>
      <w:spacing w:before="120" w:after="120"/>
      <w:jc w:val="center"/>
    </w:pPr>
    <w:rPr>
      <w:rFonts w:eastAsia="Calibri"/>
      <w:b/>
      <w:szCs w:val="22"/>
      <w:lang w:eastAsia="en-US"/>
    </w:rPr>
  </w:style>
  <w:style w:type="character" w:customStyle="1" w:styleId="Marker">
    <w:name w:val="Marker"/>
    <w:basedOn w:val="DefaultParagraphFont"/>
    <w:rsid w:val="004C1CED"/>
    <w:rPr>
      <w:color w:val="0000FF"/>
      <w:shd w:val="clear" w:color="auto" w:fill="auto"/>
    </w:rPr>
  </w:style>
  <w:style w:type="character" w:customStyle="1" w:styleId="Marker1">
    <w:name w:val="Marker1"/>
    <w:basedOn w:val="DefaultParagraphFont"/>
    <w:rsid w:val="004C1CED"/>
    <w:rPr>
      <w:color w:val="008000"/>
      <w:shd w:val="clear" w:color="auto" w:fill="auto"/>
    </w:rPr>
  </w:style>
  <w:style w:type="character" w:customStyle="1" w:styleId="Marker2">
    <w:name w:val="Marker2"/>
    <w:basedOn w:val="DefaultParagraphFont"/>
    <w:rsid w:val="004C1CED"/>
    <w:rPr>
      <w:color w:val="FF0000"/>
      <w:shd w:val="clear" w:color="auto" w:fill="auto"/>
    </w:rPr>
  </w:style>
  <w:style w:type="paragraph" w:customStyle="1" w:styleId="Bullet0">
    <w:name w:val="Bullet 0"/>
    <w:basedOn w:val="Normal"/>
    <w:rsid w:val="004C1CED"/>
    <w:pPr>
      <w:widowControl/>
      <w:numPr>
        <w:numId w:val="24"/>
      </w:numPr>
      <w:tabs>
        <w:tab w:val="clear" w:pos="850"/>
        <w:tab w:val="num" w:pos="1209"/>
      </w:tabs>
      <w:spacing w:before="120" w:after="120"/>
      <w:ind w:left="1209" w:hanging="360"/>
      <w:jc w:val="both"/>
    </w:pPr>
    <w:rPr>
      <w:rFonts w:eastAsia="Calibri"/>
      <w:szCs w:val="22"/>
      <w:lang w:eastAsia="en-US"/>
    </w:rPr>
  </w:style>
  <w:style w:type="paragraph" w:customStyle="1" w:styleId="Bullet1">
    <w:name w:val="Bullet 1"/>
    <w:basedOn w:val="Normal"/>
    <w:rsid w:val="004C1CED"/>
    <w:pPr>
      <w:widowControl/>
      <w:numPr>
        <w:numId w:val="25"/>
      </w:numPr>
      <w:tabs>
        <w:tab w:val="clear" w:pos="1417"/>
        <w:tab w:val="num" w:pos="1492"/>
      </w:tabs>
      <w:spacing w:before="120" w:after="120"/>
      <w:ind w:left="1492" w:hanging="360"/>
      <w:jc w:val="both"/>
    </w:pPr>
    <w:rPr>
      <w:rFonts w:eastAsia="Calibri"/>
      <w:szCs w:val="22"/>
      <w:lang w:eastAsia="en-US"/>
    </w:rPr>
  </w:style>
  <w:style w:type="paragraph" w:customStyle="1" w:styleId="Bullet2">
    <w:name w:val="Bullet 2"/>
    <w:basedOn w:val="Normal"/>
    <w:rsid w:val="004C1CED"/>
    <w:pPr>
      <w:widowControl/>
      <w:numPr>
        <w:numId w:val="26"/>
      </w:numPr>
      <w:tabs>
        <w:tab w:val="clear" w:pos="1984"/>
        <w:tab w:val="num" w:pos="360"/>
      </w:tabs>
      <w:spacing w:before="120" w:after="120"/>
      <w:ind w:left="360" w:hanging="360"/>
      <w:jc w:val="both"/>
    </w:pPr>
    <w:rPr>
      <w:rFonts w:eastAsia="Calibri"/>
      <w:szCs w:val="22"/>
      <w:lang w:eastAsia="en-US"/>
    </w:rPr>
  </w:style>
  <w:style w:type="paragraph" w:customStyle="1" w:styleId="Bullet3">
    <w:name w:val="Bullet 3"/>
    <w:basedOn w:val="Normal"/>
    <w:rsid w:val="004C1CED"/>
    <w:pPr>
      <w:widowControl/>
      <w:numPr>
        <w:numId w:val="27"/>
      </w:numPr>
      <w:tabs>
        <w:tab w:val="clear" w:pos="2551"/>
        <w:tab w:val="num" w:pos="643"/>
      </w:tabs>
      <w:spacing w:before="120" w:after="120"/>
      <w:ind w:left="643" w:hanging="360"/>
      <w:jc w:val="both"/>
    </w:pPr>
    <w:rPr>
      <w:rFonts w:eastAsia="Calibri"/>
      <w:szCs w:val="22"/>
      <w:lang w:eastAsia="en-US"/>
    </w:rPr>
  </w:style>
  <w:style w:type="paragraph" w:customStyle="1" w:styleId="Bullet4">
    <w:name w:val="Bullet 4"/>
    <w:basedOn w:val="Normal"/>
    <w:rsid w:val="004C1CED"/>
    <w:pPr>
      <w:widowControl/>
      <w:numPr>
        <w:numId w:val="28"/>
      </w:numPr>
      <w:tabs>
        <w:tab w:val="clear" w:pos="3118"/>
        <w:tab w:val="num" w:pos="926"/>
      </w:tabs>
      <w:spacing w:before="120" w:after="120"/>
      <w:ind w:left="926" w:hanging="360"/>
      <w:jc w:val="both"/>
    </w:pPr>
    <w:rPr>
      <w:rFonts w:eastAsia="Calibri"/>
      <w:szCs w:val="22"/>
      <w:lang w:eastAsia="en-US"/>
    </w:rPr>
  </w:style>
  <w:style w:type="paragraph" w:customStyle="1" w:styleId="Langue">
    <w:name w:val="Langue"/>
    <w:basedOn w:val="Normal"/>
    <w:next w:val="Rfrenceinterne"/>
    <w:rsid w:val="004C1CED"/>
    <w:pPr>
      <w:framePr w:wrap="around" w:vAnchor="page" w:hAnchor="text" w:xAlign="center" w:y="14741"/>
      <w:widowControl/>
      <w:spacing w:after="600"/>
      <w:jc w:val="center"/>
    </w:pPr>
    <w:rPr>
      <w:rFonts w:eastAsia="Calibri"/>
      <w:b/>
      <w:caps/>
      <w:szCs w:val="22"/>
      <w:lang w:eastAsia="en-US"/>
    </w:rPr>
  </w:style>
  <w:style w:type="paragraph" w:customStyle="1" w:styleId="Nomdelinstitution">
    <w:name w:val="Nom de l'institution"/>
    <w:basedOn w:val="Normal"/>
    <w:next w:val="Emission"/>
    <w:rsid w:val="004C1CED"/>
    <w:pPr>
      <w:widowControl/>
    </w:pPr>
    <w:rPr>
      <w:rFonts w:ascii="Arial" w:eastAsia="Calibri" w:hAnsi="Arial" w:cs="Arial"/>
      <w:szCs w:val="22"/>
      <w:lang w:eastAsia="en-US"/>
    </w:rPr>
  </w:style>
  <w:style w:type="paragraph" w:customStyle="1" w:styleId="Emission">
    <w:name w:val="Emission"/>
    <w:basedOn w:val="Normal"/>
    <w:next w:val="Rfrenceinstitutionnelle"/>
    <w:rsid w:val="004C1CED"/>
    <w:pPr>
      <w:widowControl/>
      <w:ind w:left="5103"/>
    </w:pPr>
    <w:rPr>
      <w:rFonts w:eastAsia="Calibri"/>
      <w:szCs w:val="22"/>
      <w:lang w:eastAsia="en-US"/>
    </w:rPr>
  </w:style>
  <w:style w:type="paragraph" w:customStyle="1" w:styleId="Pagedecouverture">
    <w:name w:val="Page de couverture"/>
    <w:basedOn w:val="Normal"/>
    <w:next w:val="Normal"/>
    <w:rsid w:val="004C1CED"/>
    <w:pPr>
      <w:widowControl/>
      <w:jc w:val="both"/>
    </w:pPr>
    <w:rPr>
      <w:rFonts w:eastAsia="Calibri"/>
      <w:szCs w:val="22"/>
      <w:lang w:eastAsia="en-US"/>
    </w:rPr>
  </w:style>
  <w:style w:type="paragraph" w:customStyle="1" w:styleId="Declassification">
    <w:name w:val="Declassification"/>
    <w:basedOn w:val="Normal"/>
    <w:next w:val="Normal"/>
    <w:rsid w:val="004C1CED"/>
    <w:pPr>
      <w:widowControl/>
      <w:jc w:val="both"/>
    </w:pPr>
    <w:rPr>
      <w:rFonts w:eastAsia="Calibri"/>
      <w:szCs w:val="22"/>
      <w:lang w:eastAsia="en-US"/>
    </w:rPr>
  </w:style>
  <w:style w:type="paragraph" w:customStyle="1" w:styleId="Disclaimer">
    <w:name w:val="Disclaimer"/>
    <w:basedOn w:val="Normal"/>
    <w:rsid w:val="004C1CED"/>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eastAsia="en-US"/>
    </w:rPr>
  </w:style>
  <w:style w:type="paragraph" w:customStyle="1" w:styleId="SecurityMarking">
    <w:name w:val="SecurityMarking"/>
    <w:basedOn w:val="Normal"/>
    <w:rsid w:val="004C1CED"/>
    <w:pPr>
      <w:widowControl/>
      <w:spacing w:line="276" w:lineRule="auto"/>
      <w:ind w:left="5103"/>
    </w:pPr>
    <w:rPr>
      <w:rFonts w:eastAsia="Calibri"/>
      <w:sz w:val="28"/>
      <w:szCs w:val="22"/>
      <w:lang w:eastAsia="en-US"/>
    </w:rPr>
  </w:style>
  <w:style w:type="paragraph" w:customStyle="1" w:styleId="DateMarking">
    <w:name w:val="DateMarking"/>
    <w:basedOn w:val="Normal"/>
    <w:rsid w:val="004C1CED"/>
    <w:pPr>
      <w:widowControl/>
      <w:spacing w:line="276" w:lineRule="auto"/>
      <w:ind w:left="5103"/>
    </w:pPr>
    <w:rPr>
      <w:rFonts w:eastAsia="Calibri"/>
      <w:i/>
      <w:sz w:val="28"/>
      <w:szCs w:val="22"/>
      <w:lang w:eastAsia="en-US"/>
    </w:rPr>
  </w:style>
  <w:style w:type="paragraph" w:customStyle="1" w:styleId="ReleasableTo">
    <w:name w:val="ReleasableTo"/>
    <w:basedOn w:val="Normal"/>
    <w:rsid w:val="004C1CED"/>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rsid w:val="004C1CED"/>
    <w:pPr>
      <w:widowControl/>
      <w:spacing w:before="120" w:after="120"/>
      <w:jc w:val="center"/>
    </w:pPr>
    <w:rPr>
      <w:rFonts w:eastAsia="Calibri"/>
      <w:b/>
      <w:szCs w:val="22"/>
      <w:u w:val="single"/>
      <w:lang w:eastAsia="en-US"/>
    </w:rPr>
  </w:style>
  <w:style w:type="paragraph" w:customStyle="1" w:styleId="Annexetitre">
    <w:name w:val="Annexe titre"/>
    <w:basedOn w:val="Normal"/>
    <w:next w:val="Normal"/>
    <w:rsid w:val="004C1CED"/>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rsid w:val="004C1CED"/>
    <w:pPr>
      <w:widowControl/>
      <w:spacing w:before="120" w:after="120"/>
      <w:jc w:val="center"/>
    </w:pPr>
    <w:rPr>
      <w:rFonts w:eastAsia="Calibri"/>
      <w:b/>
      <w:szCs w:val="22"/>
      <w:u w:val="single"/>
      <w:lang w:eastAsia="en-US"/>
    </w:rPr>
  </w:style>
  <w:style w:type="paragraph" w:customStyle="1" w:styleId="Avertissementtitre">
    <w:name w:val="Avertissement titre"/>
    <w:basedOn w:val="Normal"/>
    <w:next w:val="Normal"/>
    <w:rsid w:val="004C1CED"/>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rsid w:val="004C1CED"/>
    <w:pPr>
      <w:widowControl/>
      <w:spacing w:before="360" w:after="120"/>
      <w:jc w:val="center"/>
    </w:pPr>
    <w:rPr>
      <w:rFonts w:eastAsia="Calibri"/>
      <w:szCs w:val="22"/>
      <w:lang w:eastAsia="en-US"/>
    </w:rPr>
  </w:style>
  <w:style w:type="paragraph" w:customStyle="1" w:styleId="Confidentialit">
    <w:name w:val="Confidentialité"/>
    <w:basedOn w:val="Normal"/>
    <w:next w:val="TypedudocumentPagedecouverture"/>
    <w:rsid w:val="004C1CED"/>
    <w:pPr>
      <w:widowControl/>
      <w:spacing w:before="240" w:after="240"/>
      <w:ind w:left="5103"/>
    </w:pPr>
    <w:rPr>
      <w:rFonts w:eastAsia="Calibri"/>
      <w:i/>
      <w:sz w:val="32"/>
      <w:szCs w:val="22"/>
      <w:lang w:eastAsia="en-US"/>
    </w:rPr>
  </w:style>
  <w:style w:type="paragraph" w:customStyle="1" w:styleId="Corrigendum">
    <w:name w:val="Corrigendum"/>
    <w:basedOn w:val="Normal"/>
    <w:next w:val="Normal"/>
    <w:rsid w:val="004C1CED"/>
    <w:pPr>
      <w:widowControl/>
      <w:spacing w:after="240"/>
    </w:pPr>
    <w:rPr>
      <w:rFonts w:eastAsia="Calibri"/>
      <w:szCs w:val="22"/>
      <w:lang w:eastAsia="en-US"/>
    </w:rPr>
  </w:style>
  <w:style w:type="paragraph" w:customStyle="1" w:styleId="Datedadoption">
    <w:name w:val="Date d'adoption"/>
    <w:basedOn w:val="Normal"/>
    <w:next w:val="IntrtEEE"/>
    <w:rsid w:val="004C1CED"/>
    <w:pPr>
      <w:widowControl/>
      <w:spacing w:before="360"/>
      <w:jc w:val="center"/>
    </w:pPr>
    <w:rPr>
      <w:rFonts w:eastAsia="Calibri"/>
      <w:b/>
      <w:szCs w:val="22"/>
      <w:lang w:eastAsia="en-US"/>
    </w:rPr>
  </w:style>
  <w:style w:type="paragraph" w:customStyle="1" w:styleId="Exposdesmotifstitre">
    <w:name w:val="Exposé des motifs titre"/>
    <w:basedOn w:val="Normal"/>
    <w:next w:val="Normal"/>
    <w:rsid w:val="004C1CED"/>
    <w:pPr>
      <w:widowControl/>
      <w:spacing w:before="120" w:after="120"/>
      <w:jc w:val="center"/>
    </w:pPr>
    <w:rPr>
      <w:rFonts w:eastAsia="Calibri"/>
      <w:b/>
      <w:szCs w:val="22"/>
      <w:u w:val="single"/>
      <w:lang w:eastAsia="en-US"/>
    </w:rPr>
  </w:style>
  <w:style w:type="paragraph" w:customStyle="1" w:styleId="ManualConsidrant">
    <w:name w:val="Manual Considérant"/>
    <w:basedOn w:val="Normal"/>
    <w:rsid w:val="004C1CED"/>
    <w:pPr>
      <w:widowControl/>
      <w:spacing w:before="120" w:after="120"/>
      <w:ind w:left="709" w:hanging="709"/>
      <w:jc w:val="both"/>
    </w:pPr>
    <w:rPr>
      <w:rFonts w:eastAsia="Calibri"/>
      <w:szCs w:val="22"/>
      <w:lang w:eastAsia="en-US"/>
    </w:rPr>
  </w:style>
  <w:style w:type="paragraph" w:customStyle="1" w:styleId="Personnequisigne">
    <w:name w:val="Personne qui signe"/>
    <w:basedOn w:val="Normal"/>
    <w:next w:val="Institutionquisigne"/>
    <w:rsid w:val="004C1CED"/>
    <w:pPr>
      <w:widowControl/>
      <w:tabs>
        <w:tab w:val="left" w:pos="4252"/>
      </w:tabs>
    </w:pPr>
    <w:rPr>
      <w:rFonts w:eastAsia="Calibri"/>
      <w:i/>
      <w:szCs w:val="22"/>
      <w:lang w:eastAsia="en-US"/>
    </w:rPr>
  </w:style>
  <w:style w:type="paragraph" w:customStyle="1" w:styleId="Rfrenceinterinstitutionnelle">
    <w:name w:val="Référence interinstitutionnelle"/>
    <w:basedOn w:val="Normal"/>
    <w:next w:val="Statut"/>
    <w:rsid w:val="004C1CED"/>
    <w:pPr>
      <w:widowControl/>
      <w:ind w:left="5103"/>
    </w:pPr>
    <w:rPr>
      <w:rFonts w:eastAsia="Calibri"/>
      <w:szCs w:val="22"/>
      <w:lang w:eastAsia="en-US"/>
    </w:rPr>
  </w:style>
  <w:style w:type="paragraph" w:customStyle="1" w:styleId="Rfrenceinterne">
    <w:name w:val="Référence interne"/>
    <w:basedOn w:val="Normal"/>
    <w:next w:val="Rfrenceinterinstitutionnelle"/>
    <w:rsid w:val="004C1CED"/>
    <w:pPr>
      <w:widowControl/>
      <w:ind w:left="5103"/>
    </w:pPr>
    <w:rPr>
      <w:rFonts w:eastAsia="Calibri"/>
      <w:szCs w:val="22"/>
      <w:lang w:eastAsia="en-US"/>
    </w:rPr>
  </w:style>
  <w:style w:type="paragraph" w:customStyle="1" w:styleId="Titrearticle">
    <w:name w:val="Titre article"/>
    <w:basedOn w:val="Normal"/>
    <w:next w:val="Normal"/>
    <w:rsid w:val="004C1CED"/>
    <w:pPr>
      <w:keepNext/>
      <w:widowControl/>
      <w:spacing w:before="360" w:after="120"/>
      <w:jc w:val="center"/>
    </w:pPr>
    <w:rPr>
      <w:rFonts w:eastAsia="Calibri"/>
      <w:i/>
      <w:szCs w:val="22"/>
      <w:lang w:eastAsia="en-US"/>
    </w:rPr>
  </w:style>
  <w:style w:type="character" w:customStyle="1" w:styleId="Added">
    <w:name w:val="Added"/>
    <w:basedOn w:val="DefaultParagraphFont"/>
    <w:rsid w:val="004C1CED"/>
    <w:rPr>
      <w:b/>
      <w:u w:val="single"/>
      <w:shd w:val="clear" w:color="auto" w:fill="auto"/>
    </w:rPr>
  </w:style>
  <w:style w:type="character" w:customStyle="1" w:styleId="Deleted">
    <w:name w:val="Deleted"/>
    <w:basedOn w:val="DefaultParagraphFont"/>
    <w:rsid w:val="004C1CED"/>
    <w:rPr>
      <w:strike/>
      <w:dstrike w:val="0"/>
      <w:shd w:val="clear" w:color="auto" w:fill="auto"/>
    </w:rPr>
  </w:style>
  <w:style w:type="paragraph" w:customStyle="1" w:styleId="Address">
    <w:name w:val="Address"/>
    <w:basedOn w:val="Normal"/>
    <w:next w:val="Normal"/>
    <w:rsid w:val="004C1CED"/>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4C1CED"/>
    <w:pPr>
      <w:widowControl/>
      <w:spacing w:before="120" w:after="120"/>
      <w:jc w:val="both"/>
    </w:pPr>
    <w:rPr>
      <w:rFonts w:eastAsia="Calibri"/>
      <w:i/>
      <w:caps/>
      <w:szCs w:val="22"/>
      <w:lang w:eastAsia="en-US"/>
    </w:rPr>
  </w:style>
  <w:style w:type="paragraph" w:customStyle="1" w:styleId="Supertitre">
    <w:name w:val="Supertitre"/>
    <w:basedOn w:val="Normal"/>
    <w:next w:val="Normal"/>
    <w:rsid w:val="004C1CED"/>
    <w:pPr>
      <w:widowControl/>
      <w:spacing w:after="600"/>
      <w:jc w:val="center"/>
    </w:pPr>
    <w:rPr>
      <w:rFonts w:eastAsia="Calibri"/>
      <w:b/>
      <w:szCs w:val="22"/>
      <w:lang w:eastAsia="en-US"/>
    </w:rPr>
  </w:style>
  <w:style w:type="paragraph" w:customStyle="1" w:styleId="Languesfaisantfoi">
    <w:name w:val="Langues faisant foi"/>
    <w:basedOn w:val="Normal"/>
    <w:next w:val="Normal"/>
    <w:rsid w:val="004C1CED"/>
    <w:pPr>
      <w:widowControl/>
      <w:spacing w:before="360"/>
      <w:jc w:val="center"/>
    </w:pPr>
    <w:rPr>
      <w:rFonts w:eastAsia="Calibri"/>
      <w:szCs w:val="22"/>
      <w:lang w:eastAsia="en-US"/>
    </w:rPr>
  </w:style>
  <w:style w:type="paragraph" w:customStyle="1" w:styleId="Rfrencecroise">
    <w:name w:val="Référence croisée"/>
    <w:basedOn w:val="Normal"/>
    <w:rsid w:val="004C1CED"/>
    <w:pPr>
      <w:widowControl/>
      <w:jc w:val="center"/>
    </w:pPr>
    <w:rPr>
      <w:rFonts w:eastAsia="Calibri"/>
      <w:szCs w:val="22"/>
      <w:lang w:eastAsia="en-US"/>
    </w:rPr>
  </w:style>
  <w:style w:type="paragraph" w:customStyle="1" w:styleId="Fichefinanciretitre">
    <w:name w:val="Fiche financière titre"/>
    <w:basedOn w:val="Normal"/>
    <w:next w:val="Normal"/>
    <w:rsid w:val="004C1CED"/>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IntrtEEEPagedecouverture"/>
    <w:rsid w:val="004C1CED"/>
  </w:style>
  <w:style w:type="paragraph" w:customStyle="1" w:styleId="RfrenceinterinstitutionnellePagedecouverture">
    <w:name w:val="Référence interinstitutionnelle (Page de couverture)"/>
    <w:basedOn w:val="Rfrenceinterinstitutionnelle"/>
    <w:next w:val="Confidentialit"/>
    <w:rsid w:val="004C1CED"/>
  </w:style>
  <w:style w:type="paragraph" w:customStyle="1" w:styleId="StatutPagedecouverture">
    <w:name w:val="Statut (Page de couverture)"/>
    <w:basedOn w:val="Statut"/>
    <w:next w:val="TypedudocumentPagedecouverture"/>
    <w:rsid w:val="004C1CED"/>
    <w:pPr>
      <w:spacing w:before="0" w:after="240" w:line="240" w:lineRule="auto"/>
    </w:pPr>
    <w:rPr>
      <w:rFonts w:eastAsia="Calibri"/>
      <w:szCs w:val="22"/>
      <w:lang w:val="fr-FR"/>
    </w:rPr>
  </w:style>
  <w:style w:type="paragraph" w:customStyle="1" w:styleId="TypedudocumentPagedecouverture">
    <w:name w:val="Type du document (Page de couverture)"/>
    <w:basedOn w:val="Typedudocument"/>
    <w:next w:val="AccompagnantPagedecouverture"/>
    <w:rsid w:val="004C1CED"/>
    <w:pPr>
      <w:spacing w:after="180" w:line="240" w:lineRule="auto"/>
    </w:pPr>
    <w:rPr>
      <w:rFonts w:eastAsia="Calibri"/>
      <w:szCs w:val="22"/>
      <w:lang w:val="fr-FR"/>
    </w:rPr>
  </w:style>
  <w:style w:type="paragraph" w:customStyle="1" w:styleId="Volume">
    <w:name w:val="Volume"/>
    <w:basedOn w:val="Normal"/>
    <w:next w:val="Confidentialit"/>
    <w:rsid w:val="004C1CED"/>
    <w:pPr>
      <w:widowControl/>
      <w:spacing w:after="240"/>
      <w:ind w:left="5103"/>
    </w:pPr>
    <w:rPr>
      <w:rFonts w:eastAsia="Calibri"/>
      <w:szCs w:val="22"/>
      <w:lang w:eastAsia="en-US"/>
    </w:rPr>
  </w:style>
  <w:style w:type="paragraph" w:customStyle="1" w:styleId="Accompagnant">
    <w:name w:val="Accompagnant"/>
    <w:basedOn w:val="Normal"/>
    <w:next w:val="Typeacteprincipal"/>
    <w:rsid w:val="004C1CED"/>
    <w:pPr>
      <w:widowControl/>
      <w:spacing w:before="180" w:after="240"/>
      <w:jc w:val="center"/>
    </w:pPr>
    <w:rPr>
      <w:rFonts w:eastAsia="Calibri"/>
      <w:b/>
      <w:szCs w:val="22"/>
      <w:lang w:eastAsia="en-US"/>
    </w:rPr>
  </w:style>
  <w:style w:type="paragraph" w:customStyle="1" w:styleId="Typeacteprincipal">
    <w:name w:val="Type acte principal"/>
    <w:basedOn w:val="Normal"/>
    <w:next w:val="Objetacteprincipal"/>
    <w:rsid w:val="004C1CED"/>
    <w:pPr>
      <w:widowControl/>
      <w:spacing w:after="240"/>
      <w:jc w:val="center"/>
    </w:pPr>
    <w:rPr>
      <w:rFonts w:eastAsia="Calibri"/>
      <w:b/>
      <w:szCs w:val="22"/>
      <w:lang w:eastAsia="en-US"/>
    </w:rPr>
  </w:style>
  <w:style w:type="paragraph" w:customStyle="1" w:styleId="Objetacteprincipal">
    <w:name w:val="Objet acte principal"/>
    <w:basedOn w:val="Normal"/>
    <w:next w:val="Titrearticle"/>
    <w:rsid w:val="004C1CED"/>
    <w:pPr>
      <w:widowControl/>
      <w:spacing w:after="360"/>
      <w:jc w:val="center"/>
    </w:pPr>
    <w:rPr>
      <w:rFonts w:eastAsia="Calibri"/>
      <w:b/>
      <w:szCs w:val="22"/>
      <w:lang w:eastAsia="en-US"/>
    </w:rPr>
  </w:style>
  <w:style w:type="paragraph" w:customStyle="1" w:styleId="IntrtEEEPagedecouverture">
    <w:name w:val="Intérêt EEE (Page de couverture)"/>
    <w:basedOn w:val="IntrtEEE"/>
    <w:next w:val="Rfrencecroise"/>
    <w:rsid w:val="004C1CED"/>
    <w:pPr>
      <w:spacing w:line="240" w:lineRule="auto"/>
    </w:pPr>
    <w:rPr>
      <w:rFonts w:eastAsia="Calibri"/>
      <w:szCs w:val="22"/>
      <w:lang w:val="fr-FR"/>
    </w:rPr>
  </w:style>
  <w:style w:type="paragraph" w:customStyle="1" w:styleId="AccompagnantPagedecouverture">
    <w:name w:val="Accompagnant (Page de couverture)"/>
    <w:basedOn w:val="Accompagnant"/>
    <w:next w:val="TypeacteprincipalPagedecouverture"/>
    <w:rsid w:val="004C1CED"/>
  </w:style>
  <w:style w:type="paragraph" w:customStyle="1" w:styleId="TypeacteprincipalPagedecouverture">
    <w:name w:val="Type acte principal (Page de couverture)"/>
    <w:basedOn w:val="Typeacteprincipal"/>
    <w:next w:val="ObjetacteprincipalPagedecouverture"/>
    <w:rsid w:val="004C1CED"/>
  </w:style>
  <w:style w:type="paragraph" w:customStyle="1" w:styleId="ObjetacteprincipalPagedecouverture">
    <w:name w:val="Objet acte principal (Page de couverture)"/>
    <w:basedOn w:val="Objetacteprincipal"/>
    <w:next w:val="Rfrencecroise"/>
    <w:rsid w:val="004C1CED"/>
  </w:style>
  <w:style w:type="paragraph" w:customStyle="1" w:styleId="LanguesfaisantfoiPagedecouverture">
    <w:name w:val="Langues faisant foi (Page de couverture)"/>
    <w:basedOn w:val="Normal"/>
    <w:next w:val="Normal"/>
    <w:rsid w:val="004C1CED"/>
    <w:pPr>
      <w:widowControl/>
      <w:spacing w:before="360"/>
      <w:jc w:val="center"/>
    </w:pPr>
    <w:rPr>
      <w:rFonts w:eastAsia="Calibri"/>
      <w:szCs w:val="22"/>
      <w:lang w:eastAsia="en-US"/>
    </w:rPr>
  </w:style>
  <w:style w:type="table" w:styleId="PlainTable1">
    <w:name w:val="Plain Table 1"/>
    <w:basedOn w:val="TableNormal"/>
    <w:uiPriority w:val="41"/>
    <w:rsid w:val="004C1CED"/>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4C1CE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5">
    <w:name w:val="Plain Table 5"/>
    <w:basedOn w:val="TableNormal"/>
    <w:uiPriority w:val="45"/>
    <w:rsid w:val="004C1CED"/>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5">
    <w:name w:val="Table Grid5"/>
    <w:basedOn w:val="TableNormal"/>
    <w:next w:val="TableGrid"/>
    <w:uiPriority w:val="59"/>
    <w:rsid w:val="004C1CED"/>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178451">
      <w:bodyDiv w:val="1"/>
      <w:marLeft w:val="0"/>
      <w:marRight w:val="0"/>
      <w:marTop w:val="0"/>
      <w:marBottom w:val="0"/>
      <w:divBdr>
        <w:top w:val="none" w:sz="0" w:space="0" w:color="auto"/>
        <w:left w:val="none" w:sz="0" w:space="0" w:color="auto"/>
        <w:bottom w:val="none" w:sz="0" w:space="0" w:color="auto"/>
        <w:right w:val="none" w:sz="0" w:space="0" w:color="auto"/>
      </w:divBdr>
    </w:div>
    <w:div w:id="567493927">
      <w:bodyDiv w:val="1"/>
      <w:marLeft w:val="0"/>
      <w:marRight w:val="0"/>
      <w:marTop w:val="0"/>
      <w:marBottom w:val="0"/>
      <w:divBdr>
        <w:top w:val="none" w:sz="0" w:space="0" w:color="auto"/>
        <w:left w:val="none" w:sz="0" w:space="0" w:color="auto"/>
        <w:bottom w:val="none" w:sz="0" w:space="0" w:color="auto"/>
        <w:right w:val="none" w:sz="0" w:space="0" w:color="auto"/>
      </w:divBdr>
    </w:div>
    <w:div w:id="639648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177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D54225-0F87-42BC-A040-352864188C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201</Pages>
  <Words>33042</Words>
  <Characters>188345</Characters>
  <Application>Microsoft Office Word</Application>
  <DocSecurity>0</DocSecurity>
  <Lines>1569</Lines>
  <Paragraphs>441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220946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CORMAN Christel</dc:creator>
  <cp:keywords/>
  <cp:lastModifiedBy>BINKEVICIUTE Aurelija</cp:lastModifiedBy>
  <cp:revision>4</cp:revision>
  <cp:lastPrinted>2004-11-19T15:42:00Z</cp:lastPrinted>
  <dcterms:created xsi:type="dcterms:W3CDTF">2024-10-17T08:43:00Z</dcterms:created>
  <dcterms:modified xsi:type="dcterms:W3CDTF">2025-09-08T14:20:00Z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A9-0238/2023</vt:lpwstr>
  </property>
  <property fmtid="{D5CDD505-2E9C-101B-9397-08002B2CF9AE}" pid="4" name="&lt;Type&gt;">
    <vt:lpwstr>RR</vt:lpwstr>
  </property>
</Properties>
</file>